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D1CB3" w14:textId="77777777" w:rsidR="00C924A1" w:rsidRPr="009276B2" w:rsidRDefault="00C924A1" w:rsidP="00C53987">
      <w:pPr>
        <w:spacing w:after="0" w:line="240" w:lineRule="exact"/>
        <w:rPr>
          <w:rFonts w:ascii="Lato" w:hAnsi="Lato"/>
          <w:sz w:val="20"/>
        </w:rPr>
      </w:pPr>
    </w:p>
    <w:p w14:paraId="4122E0A9" w14:textId="041BB7D5" w:rsidR="00C924A1" w:rsidRPr="009276B2" w:rsidRDefault="00000000" w:rsidP="00C53987">
      <w:pPr>
        <w:spacing w:after="0" w:line="240" w:lineRule="exact"/>
        <w:rPr>
          <w:rFonts w:ascii="Lato" w:hAnsi="Lato"/>
          <w:sz w:val="20"/>
        </w:rPr>
      </w:pPr>
      <w:r w:rsidRPr="009276B2">
        <w:rPr>
          <w:rFonts w:ascii="Lato" w:hAnsi="Lato"/>
          <w:sz w:val="20"/>
        </w:rPr>
        <w:t>Znak pisma</w:t>
      </w:r>
      <w:r>
        <w:rPr>
          <w:rFonts w:ascii="Lato" w:hAnsi="Lato"/>
          <w:sz w:val="20"/>
        </w:rPr>
        <w:t xml:space="preserve">: </w:t>
      </w:r>
      <w:bookmarkStart w:id="0" w:name="ezdSprawaZnak"/>
      <w:r w:rsidRPr="00EB4EA7">
        <w:rPr>
          <w:rFonts w:ascii="Lato" w:hAnsi="Lato"/>
          <w:sz w:val="20"/>
        </w:rPr>
        <w:t>DLI-IX.7620.4.2026</w:t>
      </w:r>
      <w:bookmarkEnd w:id="0"/>
      <w:r w:rsidR="007E5E72">
        <w:rPr>
          <w:rFonts w:ascii="Lato" w:hAnsi="Lato"/>
          <w:sz w:val="20"/>
        </w:rPr>
        <w:t>.DM</w:t>
      </w:r>
    </w:p>
    <w:p w14:paraId="721180DE" w14:textId="2C2B026E" w:rsidR="00C924A1" w:rsidRPr="009276B2" w:rsidRDefault="00000000" w:rsidP="00C53987">
      <w:pPr>
        <w:spacing w:after="0" w:line="240" w:lineRule="exact"/>
        <w:rPr>
          <w:rFonts w:ascii="Lato" w:hAnsi="Lato"/>
          <w:sz w:val="20"/>
        </w:rPr>
      </w:pPr>
      <w:r>
        <w:rPr>
          <w:rFonts w:ascii="Lato" w:hAnsi="Lato"/>
          <w:sz w:val="20"/>
        </w:rPr>
        <w:t>Warszawa</w:t>
      </w:r>
      <w:r w:rsidRPr="009276B2">
        <w:rPr>
          <w:rFonts w:ascii="Lato" w:hAnsi="Lato"/>
          <w:sz w:val="20"/>
        </w:rPr>
        <w:t xml:space="preserve">, </w:t>
      </w:r>
      <w:r w:rsidR="004C1910">
        <w:rPr>
          <w:rFonts w:ascii="Lato" w:hAnsi="Lato"/>
          <w:sz w:val="20"/>
        </w:rPr>
        <w:t>12 sierpnia 2026</w:t>
      </w:r>
      <w:r w:rsidRPr="00EB4EA7">
        <w:rPr>
          <w:rFonts w:ascii="Lato" w:hAnsi="Lato"/>
          <w:sz w:val="20"/>
        </w:rPr>
        <w:t xml:space="preserve"> r.</w:t>
      </w:r>
    </w:p>
    <w:p w14:paraId="2489BDCF" w14:textId="77777777" w:rsidR="00C924A1" w:rsidRPr="009276B2" w:rsidRDefault="00C924A1" w:rsidP="00C53987">
      <w:pPr>
        <w:spacing w:after="0" w:line="240" w:lineRule="exact"/>
        <w:rPr>
          <w:rFonts w:ascii="Lato" w:hAnsi="Lato"/>
          <w:sz w:val="20"/>
        </w:rPr>
      </w:pPr>
    </w:p>
    <w:p w14:paraId="59FAC445" w14:textId="77777777" w:rsidR="009D644B" w:rsidRPr="00903BF8" w:rsidRDefault="009D644B" w:rsidP="009D644B">
      <w:pPr>
        <w:spacing w:after="360" w:line="240" w:lineRule="atLeast"/>
        <w:jc w:val="center"/>
        <w:rPr>
          <w:rFonts w:ascii="Lato" w:eastAsia="Calibri" w:hAnsi="Lato" w:cs="Times New Roman"/>
          <w:spacing w:val="4"/>
        </w:rPr>
      </w:pPr>
      <w:r w:rsidRPr="00903BF8">
        <w:rPr>
          <w:rFonts w:ascii="Lato" w:eastAsia="Calibri" w:hAnsi="Lato" w:cs="Times New Roman"/>
          <w:b/>
          <w:spacing w:val="4"/>
        </w:rPr>
        <w:t>DECYZJA</w:t>
      </w:r>
    </w:p>
    <w:p w14:paraId="04486D9A" w14:textId="4AD940FB" w:rsidR="009D644B" w:rsidRPr="00903BF8" w:rsidRDefault="009D644B" w:rsidP="009D644B">
      <w:pPr>
        <w:spacing w:after="240" w:line="240" w:lineRule="atLeast"/>
        <w:jc w:val="both"/>
        <w:outlineLvl w:val="0"/>
        <w:rPr>
          <w:rFonts w:ascii="Lato" w:eastAsia="Calibri" w:hAnsi="Lato" w:cs="Arial"/>
          <w:spacing w:val="4"/>
        </w:rPr>
      </w:pPr>
      <w:bookmarkStart w:id="1" w:name="_Hlk187401417"/>
      <w:r w:rsidRPr="00903BF8">
        <w:rPr>
          <w:rFonts w:ascii="Lato" w:eastAsia="Calibri" w:hAnsi="Lato" w:cs="Arial"/>
          <w:spacing w:val="4"/>
        </w:rPr>
        <w:t>Na podstawie art. 138 § 1 pkt 1 ustawy z dnia 14 czerwca 1960 r. Kodeks postępowania administracyjnego (</w:t>
      </w:r>
      <w:proofErr w:type="spellStart"/>
      <w:r w:rsidRPr="00903BF8">
        <w:rPr>
          <w:rFonts w:ascii="Lato" w:eastAsia="Calibri" w:hAnsi="Lato" w:cs="Arial"/>
          <w:spacing w:val="4"/>
        </w:rPr>
        <w:t>t.j</w:t>
      </w:r>
      <w:proofErr w:type="spellEnd"/>
      <w:r w:rsidRPr="00903BF8">
        <w:rPr>
          <w:rFonts w:ascii="Lato" w:eastAsia="Calibri" w:hAnsi="Lato" w:cs="Arial"/>
          <w:spacing w:val="4"/>
        </w:rPr>
        <w:t>. Dz.U. z 2025 r.</w:t>
      </w:r>
      <w:r>
        <w:rPr>
          <w:rFonts w:ascii="Lato" w:eastAsia="Calibri" w:hAnsi="Lato" w:cs="Arial"/>
          <w:spacing w:val="4"/>
        </w:rPr>
        <w:t>,</w:t>
      </w:r>
      <w:r w:rsidRPr="00903BF8">
        <w:rPr>
          <w:rFonts w:ascii="Lato" w:eastAsia="Calibri" w:hAnsi="Lato" w:cs="Arial"/>
          <w:spacing w:val="4"/>
        </w:rPr>
        <w:t xml:space="preserve"> poz. 1691), zwanej dalej „kpa”, oraz art. 5 ust. 3 w zw. z art. 39 ust. 1 </w:t>
      </w:r>
      <w:bookmarkStart w:id="2" w:name="_Hlk144907730"/>
      <w:r w:rsidRPr="00903BF8">
        <w:rPr>
          <w:rFonts w:ascii="Lato" w:eastAsia="Calibri" w:hAnsi="Lato" w:cs="Arial"/>
          <w:spacing w:val="4"/>
        </w:rPr>
        <w:t xml:space="preserve">ustawy z dnia 24 kwietnia 2009 r. o inwestycjach w zakresie terminalu </w:t>
      </w:r>
      <w:proofErr w:type="spellStart"/>
      <w:r w:rsidRPr="00903BF8">
        <w:rPr>
          <w:rFonts w:ascii="Lato" w:eastAsia="Calibri" w:hAnsi="Lato" w:cs="Arial"/>
          <w:spacing w:val="4"/>
        </w:rPr>
        <w:t>regazyfikacyjnego</w:t>
      </w:r>
      <w:proofErr w:type="spellEnd"/>
      <w:r w:rsidRPr="00903BF8">
        <w:rPr>
          <w:rFonts w:ascii="Lato" w:eastAsia="Calibri" w:hAnsi="Lato" w:cs="Arial"/>
          <w:spacing w:val="4"/>
        </w:rPr>
        <w:t xml:space="preserve"> skroplonego gazu ziemnego w Świnoujściu </w:t>
      </w:r>
      <w:bookmarkEnd w:id="2"/>
      <w:r w:rsidRPr="00903BF8">
        <w:rPr>
          <w:rFonts w:ascii="Lato" w:eastAsia="Calibri" w:hAnsi="Lato" w:cs="Arial"/>
          <w:spacing w:val="4"/>
        </w:rPr>
        <w:t>(</w:t>
      </w:r>
      <w:proofErr w:type="spellStart"/>
      <w:r w:rsidRPr="00903BF8">
        <w:rPr>
          <w:rFonts w:ascii="Lato" w:eastAsia="Calibri" w:hAnsi="Lato" w:cs="Arial"/>
          <w:spacing w:val="4"/>
        </w:rPr>
        <w:t>t.j</w:t>
      </w:r>
      <w:proofErr w:type="spellEnd"/>
      <w:r w:rsidRPr="00903BF8">
        <w:rPr>
          <w:rFonts w:ascii="Lato" w:eastAsia="Calibri" w:hAnsi="Lato" w:cs="Arial"/>
          <w:spacing w:val="4"/>
        </w:rPr>
        <w:t>.</w:t>
      </w:r>
      <w:r w:rsidRPr="00903BF8">
        <w:rPr>
          <w:rFonts w:ascii="Lato" w:hAnsi="Lato"/>
          <w:spacing w:val="4"/>
        </w:rPr>
        <w:t xml:space="preserve"> </w:t>
      </w:r>
      <w:r w:rsidRPr="00903BF8">
        <w:rPr>
          <w:rFonts w:ascii="Lato" w:eastAsia="Calibri" w:hAnsi="Lato" w:cs="Arial"/>
          <w:spacing w:val="4"/>
        </w:rPr>
        <w:t>Dz.U. z 2025 r. poz. 1222), zwanej dalej „specustawą gazową”, po rozpatrzeniu odwołania Pani B</w:t>
      </w:r>
      <w:r w:rsidR="00B23E1F">
        <w:rPr>
          <w:rFonts w:ascii="Lato" w:eastAsia="Calibri" w:hAnsi="Lato" w:cs="Arial"/>
          <w:spacing w:val="4"/>
        </w:rPr>
        <w:t>.</w:t>
      </w:r>
      <w:r w:rsidRPr="00903BF8">
        <w:rPr>
          <w:rFonts w:ascii="Lato" w:eastAsia="Calibri" w:hAnsi="Lato" w:cs="Arial"/>
          <w:spacing w:val="4"/>
        </w:rPr>
        <w:t xml:space="preserve"> P</w:t>
      </w:r>
      <w:r w:rsidR="00B23E1F">
        <w:rPr>
          <w:rFonts w:ascii="Lato" w:eastAsia="Calibri" w:hAnsi="Lato" w:cs="Arial"/>
          <w:spacing w:val="4"/>
        </w:rPr>
        <w:t>.</w:t>
      </w:r>
      <w:r w:rsidRPr="00903BF8">
        <w:rPr>
          <w:rFonts w:ascii="Lato" w:eastAsia="Calibri" w:hAnsi="Lato" w:cs="Arial"/>
          <w:spacing w:val="4"/>
        </w:rPr>
        <w:t xml:space="preserve"> </w:t>
      </w:r>
      <w:r w:rsidR="006D6B4C">
        <w:rPr>
          <w:rFonts w:ascii="Lato" w:eastAsia="Calibri" w:hAnsi="Lato" w:cs="Arial"/>
          <w:spacing w:val="4"/>
        </w:rPr>
        <w:br/>
      </w:r>
      <w:r w:rsidRPr="00903BF8">
        <w:rPr>
          <w:rFonts w:ascii="Lato" w:eastAsia="Calibri" w:hAnsi="Lato" w:cs="Arial"/>
          <w:spacing w:val="4"/>
        </w:rPr>
        <w:t>i Pana L</w:t>
      </w:r>
      <w:r w:rsidR="00B23E1F">
        <w:rPr>
          <w:rFonts w:ascii="Lato" w:eastAsia="Calibri" w:hAnsi="Lato" w:cs="Arial"/>
          <w:spacing w:val="4"/>
        </w:rPr>
        <w:t>.</w:t>
      </w:r>
      <w:r w:rsidRPr="00903BF8">
        <w:rPr>
          <w:rFonts w:ascii="Lato" w:eastAsia="Calibri" w:hAnsi="Lato" w:cs="Arial"/>
          <w:spacing w:val="4"/>
        </w:rPr>
        <w:t xml:space="preserve"> P</w:t>
      </w:r>
      <w:r w:rsidR="00B23E1F">
        <w:rPr>
          <w:rFonts w:ascii="Lato" w:eastAsia="Calibri" w:hAnsi="Lato" w:cs="Arial"/>
          <w:spacing w:val="4"/>
        </w:rPr>
        <w:t>.</w:t>
      </w:r>
      <w:r w:rsidRPr="00903BF8">
        <w:rPr>
          <w:rFonts w:ascii="Lato" w:eastAsia="Calibri" w:hAnsi="Lato" w:cs="Arial"/>
          <w:spacing w:val="4"/>
        </w:rPr>
        <w:t>, od decyzji Wojewody Lubelskiego z dnia 19 grudnia 2025 r., znak: IF-II.747.42.2025.WK,</w:t>
      </w:r>
      <w:r w:rsidR="00977ADC">
        <w:rPr>
          <w:rFonts w:ascii="Lato" w:eastAsia="Calibri" w:hAnsi="Lato" w:cs="Arial"/>
          <w:spacing w:val="4"/>
        </w:rPr>
        <w:t xml:space="preserve"> </w:t>
      </w:r>
      <w:r w:rsidRPr="00903BF8">
        <w:rPr>
          <w:rFonts w:ascii="Lato" w:eastAsia="Calibri" w:hAnsi="Lato" w:cs="Arial"/>
          <w:spacing w:val="4"/>
        </w:rPr>
        <w:t>o ustaleniu lokalizacj</w:t>
      </w:r>
      <w:r w:rsidR="00977ADC">
        <w:rPr>
          <w:rFonts w:ascii="Lato" w:eastAsia="Calibri" w:hAnsi="Lato" w:cs="Arial"/>
          <w:spacing w:val="4"/>
        </w:rPr>
        <w:t>i</w:t>
      </w:r>
      <w:r w:rsidRPr="00903BF8">
        <w:rPr>
          <w:rFonts w:ascii="Lato" w:eastAsia="Calibri" w:hAnsi="Lato" w:cs="Arial"/>
          <w:spacing w:val="4"/>
        </w:rPr>
        <w:t xml:space="preserve"> inwestycji towarzyszącej inwestycjom w zakresie terminalu </w:t>
      </w:r>
      <w:proofErr w:type="spellStart"/>
      <w:r w:rsidRPr="00903BF8">
        <w:rPr>
          <w:rFonts w:ascii="Lato" w:eastAsia="Calibri" w:hAnsi="Lato" w:cs="Arial"/>
          <w:spacing w:val="4"/>
        </w:rPr>
        <w:t>regazyfikacyjnego</w:t>
      </w:r>
      <w:proofErr w:type="spellEnd"/>
      <w:r w:rsidRPr="00903BF8">
        <w:rPr>
          <w:rFonts w:ascii="Lato" w:eastAsia="Calibri" w:hAnsi="Lato" w:cs="Arial"/>
          <w:spacing w:val="4"/>
        </w:rPr>
        <w:t xml:space="preserve"> skroplonego gazu ziemnego w Świnoujściu dla inwestycji pod nazwą:  „Budowa gazociągu DN 1000 MOP 8,4 </w:t>
      </w:r>
      <w:proofErr w:type="spellStart"/>
      <w:r w:rsidRPr="00903BF8">
        <w:rPr>
          <w:rFonts w:ascii="Lato" w:eastAsia="Calibri" w:hAnsi="Lato" w:cs="Arial"/>
          <w:spacing w:val="4"/>
        </w:rPr>
        <w:t>MPa</w:t>
      </w:r>
      <w:proofErr w:type="spellEnd"/>
      <w:r w:rsidRPr="00903BF8">
        <w:rPr>
          <w:rFonts w:ascii="Lato" w:eastAsia="Calibri" w:hAnsi="Lato" w:cs="Arial"/>
          <w:spacing w:val="4"/>
        </w:rPr>
        <w:t xml:space="preserve"> relacji Wronów – Rozwadów wraz z infrastrukturą niezbędną do jego obsługi” w ramach inwestycji</w:t>
      </w:r>
      <w:r w:rsidR="00977ADC">
        <w:rPr>
          <w:rFonts w:ascii="Lato" w:eastAsia="Calibri" w:hAnsi="Lato" w:cs="Arial"/>
          <w:spacing w:val="4"/>
        </w:rPr>
        <w:t xml:space="preserve"> </w:t>
      </w:r>
      <w:r w:rsidRPr="00903BF8">
        <w:rPr>
          <w:rFonts w:ascii="Lato" w:eastAsia="Calibri" w:hAnsi="Lato" w:cs="Arial"/>
          <w:spacing w:val="4"/>
        </w:rPr>
        <w:t>pn. „Budowa gazociągu Rembelszczyzna</w:t>
      </w:r>
      <w:r w:rsidR="00977ADC">
        <w:rPr>
          <w:rFonts w:ascii="Lato" w:eastAsia="Calibri" w:hAnsi="Lato" w:cs="Arial"/>
          <w:spacing w:val="4"/>
        </w:rPr>
        <w:t xml:space="preserve"> –</w:t>
      </w:r>
      <w:r w:rsidRPr="00903BF8">
        <w:rPr>
          <w:rFonts w:ascii="Lato" w:eastAsia="Calibri" w:hAnsi="Lato" w:cs="Arial"/>
          <w:spacing w:val="4"/>
        </w:rPr>
        <w:t xml:space="preserve"> Wronów</w:t>
      </w:r>
      <w:r w:rsidR="00977ADC">
        <w:rPr>
          <w:rFonts w:ascii="Lato" w:eastAsia="Calibri" w:hAnsi="Lato" w:cs="Arial"/>
          <w:spacing w:val="4"/>
        </w:rPr>
        <w:t xml:space="preserve"> </w:t>
      </w:r>
      <w:r w:rsidRPr="00903BF8">
        <w:rPr>
          <w:rFonts w:ascii="Lato" w:eastAsia="Calibri" w:hAnsi="Lato" w:cs="Arial"/>
          <w:spacing w:val="4"/>
        </w:rPr>
        <w:t>-</w:t>
      </w:r>
      <w:r w:rsidR="00977ADC">
        <w:rPr>
          <w:rFonts w:ascii="Lato" w:eastAsia="Calibri" w:hAnsi="Lato" w:cs="Arial"/>
          <w:spacing w:val="4"/>
        </w:rPr>
        <w:t xml:space="preserve"> </w:t>
      </w:r>
      <w:r w:rsidRPr="00903BF8">
        <w:rPr>
          <w:rFonts w:ascii="Lato" w:eastAsia="Calibri" w:hAnsi="Lato" w:cs="Arial"/>
          <w:spacing w:val="4"/>
        </w:rPr>
        <w:t>Rozwadów – Strachocina wraz z infrastrukturą niezbędną do jego obsługi na terenie województwa mazowieckiego, lubelskiego i podkarpackiego”,</w:t>
      </w:r>
    </w:p>
    <w:bookmarkEnd w:id="1"/>
    <w:p w14:paraId="69A15AF3" w14:textId="0098A946" w:rsidR="009D644B" w:rsidRPr="00903BF8" w:rsidRDefault="009D644B" w:rsidP="009D644B">
      <w:pPr>
        <w:tabs>
          <w:tab w:val="left" w:pos="284"/>
        </w:tabs>
        <w:spacing w:after="600" w:line="240" w:lineRule="atLeast"/>
        <w:ind w:left="284"/>
        <w:jc w:val="center"/>
        <w:rPr>
          <w:rFonts w:ascii="Lato" w:eastAsia="Times New Roman" w:hAnsi="Lato" w:cs="Arial"/>
          <w:b/>
          <w:bCs/>
          <w:spacing w:val="4"/>
          <w:lang w:eastAsia="pl-PL"/>
        </w:rPr>
      </w:pPr>
      <w:r w:rsidRPr="00903BF8">
        <w:rPr>
          <w:rFonts w:ascii="Lato" w:eastAsia="Times New Roman" w:hAnsi="Lato" w:cs="Arial"/>
          <w:b/>
          <w:spacing w:val="4"/>
          <w:lang w:eastAsia="pl-PL"/>
        </w:rPr>
        <w:t xml:space="preserve">- utrzymuję </w:t>
      </w:r>
      <w:r w:rsidR="007A0667" w:rsidRPr="00903BF8">
        <w:rPr>
          <w:rFonts w:ascii="Lato" w:eastAsia="Times New Roman" w:hAnsi="Lato" w:cs="Arial"/>
          <w:b/>
          <w:spacing w:val="4"/>
          <w:lang w:eastAsia="pl-PL"/>
        </w:rPr>
        <w:t xml:space="preserve">w mocy </w:t>
      </w:r>
      <w:r w:rsidRPr="00903BF8">
        <w:rPr>
          <w:rFonts w:ascii="Lato" w:eastAsia="Times New Roman" w:hAnsi="Lato" w:cs="Arial"/>
          <w:b/>
          <w:spacing w:val="4"/>
          <w:lang w:eastAsia="pl-PL"/>
        </w:rPr>
        <w:t xml:space="preserve">zaskarżoną decyzję </w:t>
      </w:r>
    </w:p>
    <w:p w14:paraId="6E2B0A58" w14:textId="77777777" w:rsidR="009D644B" w:rsidRPr="00903BF8" w:rsidRDefault="009D644B" w:rsidP="009D644B">
      <w:pPr>
        <w:spacing w:after="240" w:line="240" w:lineRule="atLeast"/>
        <w:ind w:left="74"/>
        <w:jc w:val="center"/>
        <w:outlineLvl w:val="0"/>
        <w:rPr>
          <w:rFonts w:ascii="Lato" w:eastAsia="Times New Roman" w:hAnsi="Lato" w:cs="Times New Roman"/>
          <w:spacing w:val="4"/>
          <w:lang w:eastAsia="pl-PL"/>
        </w:rPr>
      </w:pPr>
      <w:r w:rsidRPr="00903BF8">
        <w:rPr>
          <w:rFonts w:ascii="Lato" w:eastAsia="Times New Roman" w:hAnsi="Lato" w:cs="Arial"/>
          <w:b/>
          <w:bCs/>
          <w:spacing w:val="4"/>
          <w:lang w:eastAsia="pl-PL"/>
        </w:rPr>
        <w:t>UZASADNIENIE</w:t>
      </w:r>
    </w:p>
    <w:p w14:paraId="0438CBA8" w14:textId="40D98B63"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rPr>
      </w:pPr>
      <w:r w:rsidRPr="00903BF8">
        <w:rPr>
          <w:rFonts w:ascii="Lato" w:eastAsia="Calibri" w:hAnsi="Lato" w:cs="Arial"/>
          <w:spacing w:val="4"/>
        </w:rPr>
        <w:t xml:space="preserve">Wnioskiem z dnia 3 listopada 2025 r., uzupełnionym i skorygowanym w trakcie prowadzonego </w:t>
      </w:r>
      <w:r w:rsidRPr="00903BF8">
        <w:rPr>
          <w:rFonts w:ascii="Lato" w:eastAsia="Calibri" w:hAnsi="Lato" w:cs="Times New Roman"/>
          <w:bCs/>
          <w:spacing w:val="4"/>
        </w:rPr>
        <w:t>postępowania, Operator Gazociągów Przesyłowych GAZ-SYSTEM S.A.</w:t>
      </w:r>
      <w:r>
        <w:rPr>
          <w:rFonts w:ascii="Lato" w:eastAsia="Calibri" w:hAnsi="Lato" w:cs="Times New Roman"/>
          <w:bCs/>
          <w:spacing w:val="4"/>
        </w:rPr>
        <w:t xml:space="preserve"> </w:t>
      </w:r>
      <w:r w:rsidRPr="00903BF8">
        <w:rPr>
          <w:rFonts w:ascii="Lato" w:eastAsia="Calibri" w:hAnsi="Lato" w:cs="Times New Roman"/>
          <w:bCs/>
          <w:spacing w:val="4"/>
        </w:rPr>
        <w:t xml:space="preserve">z siedzibą w Warszawie, zwana dalej „inwestorem”, wystąpił do Wojewody Lubelskiego o wydanie decyzji o ustaleniu lokalizacji inwestycji towarzyszącej inwestycjom w zakresie terminalu </w:t>
      </w:r>
      <w:proofErr w:type="spellStart"/>
      <w:r w:rsidRPr="00903BF8">
        <w:rPr>
          <w:rFonts w:ascii="Lato" w:eastAsia="Calibri" w:hAnsi="Lato" w:cs="Times New Roman"/>
          <w:bCs/>
          <w:spacing w:val="4"/>
        </w:rPr>
        <w:t>regazyfikacyjnego</w:t>
      </w:r>
      <w:proofErr w:type="spellEnd"/>
      <w:r w:rsidRPr="00903BF8">
        <w:rPr>
          <w:rFonts w:ascii="Lato" w:eastAsia="Calibri" w:hAnsi="Lato" w:cs="Times New Roman"/>
          <w:bCs/>
          <w:spacing w:val="4"/>
        </w:rPr>
        <w:t xml:space="preserve"> skroplonego gazu ziemnego w Świnoujściu dla inwestycji pn.: „</w:t>
      </w:r>
      <w:r w:rsidRPr="00903BF8">
        <w:rPr>
          <w:rFonts w:ascii="Lato" w:eastAsia="Calibri" w:hAnsi="Lato" w:cs="Arial"/>
          <w:spacing w:val="4"/>
        </w:rPr>
        <w:t xml:space="preserve">Budowa gazociągu DN 1000 MOP 8,4 </w:t>
      </w:r>
      <w:proofErr w:type="spellStart"/>
      <w:r w:rsidRPr="00903BF8">
        <w:rPr>
          <w:rFonts w:ascii="Lato" w:eastAsia="Calibri" w:hAnsi="Lato" w:cs="Arial"/>
          <w:spacing w:val="4"/>
        </w:rPr>
        <w:t>MPa</w:t>
      </w:r>
      <w:proofErr w:type="spellEnd"/>
      <w:r w:rsidRPr="00903BF8">
        <w:rPr>
          <w:rFonts w:ascii="Lato" w:eastAsia="Calibri" w:hAnsi="Lato" w:cs="Arial"/>
          <w:spacing w:val="4"/>
        </w:rPr>
        <w:t xml:space="preserve"> relacji Wronów – Rozwadów wraz z infrastrukturą niezbędną do jego obsługi” w ramach inwestycji pn. „Budowa gazociągu Rembelszczyzna- Wronów</w:t>
      </w:r>
      <w:r w:rsidR="00977ADC">
        <w:rPr>
          <w:rFonts w:ascii="Lato" w:eastAsia="Calibri" w:hAnsi="Lato" w:cs="Arial"/>
          <w:spacing w:val="4"/>
        </w:rPr>
        <w:t xml:space="preserve"> </w:t>
      </w:r>
      <w:r w:rsidRPr="00903BF8">
        <w:rPr>
          <w:rFonts w:ascii="Lato" w:eastAsia="Calibri" w:hAnsi="Lato" w:cs="Arial"/>
          <w:spacing w:val="4"/>
        </w:rPr>
        <w:t>-</w:t>
      </w:r>
      <w:r w:rsidR="00977ADC">
        <w:rPr>
          <w:rFonts w:ascii="Lato" w:eastAsia="Calibri" w:hAnsi="Lato" w:cs="Arial"/>
          <w:spacing w:val="4"/>
        </w:rPr>
        <w:t xml:space="preserve"> </w:t>
      </w:r>
      <w:r w:rsidRPr="00903BF8">
        <w:rPr>
          <w:rFonts w:ascii="Lato" w:eastAsia="Calibri" w:hAnsi="Lato" w:cs="Arial"/>
          <w:spacing w:val="4"/>
        </w:rPr>
        <w:t>Rozwadów – Strachocina wraz z infrastrukturą niezbędną do jego obsługi na terenie województwa mazowieckiego, lubelskiego i podkarpackiego”</w:t>
      </w:r>
      <w:r w:rsidR="008776C7">
        <w:rPr>
          <w:rFonts w:ascii="Lato" w:eastAsia="Calibri" w:hAnsi="Lato" w:cs="Arial"/>
          <w:spacing w:val="4"/>
        </w:rPr>
        <w:t>.</w:t>
      </w:r>
    </w:p>
    <w:p w14:paraId="11E99EE9" w14:textId="2BDD1523"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rPr>
      </w:pPr>
      <w:r w:rsidRPr="00903BF8">
        <w:rPr>
          <w:rFonts w:ascii="Lato" w:eastAsia="Calibri" w:hAnsi="Lato" w:cs="Times New Roman"/>
          <w:bCs/>
          <w:spacing w:val="4"/>
        </w:rPr>
        <w:t xml:space="preserve">Po przeprowadzeniu postępowania w sprawie ww. wniosku, Wojewoda Lubelski wydał w dniu </w:t>
      </w:r>
      <w:r w:rsidRPr="00903BF8">
        <w:rPr>
          <w:rFonts w:ascii="Lato" w:eastAsia="Calibri" w:hAnsi="Lato" w:cs="Arial"/>
          <w:spacing w:val="4"/>
        </w:rPr>
        <w:t xml:space="preserve">19 grudnia 2025 </w:t>
      </w:r>
      <w:r w:rsidRPr="00903BF8">
        <w:rPr>
          <w:rFonts w:ascii="Lato" w:eastAsia="Calibri" w:hAnsi="Lato" w:cs="Times New Roman"/>
          <w:bCs/>
          <w:spacing w:val="4"/>
        </w:rPr>
        <w:t>r.</w:t>
      </w:r>
      <w:r>
        <w:rPr>
          <w:rFonts w:ascii="Lato" w:eastAsia="Calibri" w:hAnsi="Lato" w:cs="Times New Roman"/>
          <w:bCs/>
          <w:spacing w:val="4"/>
        </w:rPr>
        <w:t>,</w:t>
      </w:r>
      <w:r w:rsidRPr="00903BF8">
        <w:rPr>
          <w:rFonts w:ascii="Lato" w:eastAsia="Calibri" w:hAnsi="Lato" w:cs="Times New Roman"/>
          <w:bCs/>
          <w:spacing w:val="4"/>
        </w:rPr>
        <w:t xml:space="preserve"> decyzję znak: </w:t>
      </w:r>
      <w:r w:rsidRPr="00903BF8">
        <w:rPr>
          <w:rFonts w:ascii="Lato" w:eastAsia="Calibri" w:hAnsi="Lato" w:cs="Arial"/>
          <w:spacing w:val="4"/>
        </w:rPr>
        <w:t>IF-II.747.42.2025.WK</w:t>
      </w:r>
      <w:r w:rsidRPr="00903BF8">
        <w:rPr>
          <w:rFonts w:ascii="Lato" w:eastAsia="Calibri" w:hAnsi="Lato" w:cs="Times New Roman"/>
          <w:bCs/>
          <w:spacing w:val="4"/>
        </w:rPr>
        <w:t xml:space="preserve"> </w:t>
      </w:r>
      <w:r>
        <w:rPr>
          <w:rFonts w:ascii="Lato" w:eastAsia="Calibri" w:hAnsi="Lato" w:cs="Times New Roman"/>
          <w:bCs/>
          <w:spacing w:val="4"/>
        </w:rPr>
        <w:br/>
      </w:r>
      <w:r w:rsidRPr="00903BF8">
        <w:rPr>
          <w:rFonts w:ascii="Lato" w:eastAsia="Calibri" w:hAnsi="Lato" w:cs="Times New Roman"/>
          <w:bCs/>
          <w:spacing w:val="4"/>
        </w:rPr>
        <w:t xml:space="preserve">o ustaleniu lokalizacji inwestycji towarzyszącej inwestycjom w zakresie terminalu </w:t>
      </w:r>
      <w:proofErr w:type="spellStart"/>
      <w:r w:rsidRPr="00903BF8">
        <w:rPr>
          <w:rFonts w:ascii="Lato" w:eastAsia="Calibri" w:hAnsi="Lato" w:cs="Times New Roman"/>
          <w:bCs/>
          <w:spacing w:val="4"/>
        </w:rPr>
        <w:t>regazyfikacyjnego</w:t>
      </w:r>
      <w:proofErr w:type="spellEnd"/>
      <w:r w:rsidRPr="00903BF8">
        <w:rPr>
          <w:rFonts w:ascii="Lato" w:eastAsia="Calibri" w:hAnsi="Lato" w:cs="Times New Roman"/>
          <w:bCs/>
          <w:spacing w:val="4"/>
        </w:rPr>
        <w:t xml:space="preserve"> skroplonego gazu ziemnego w Świnoujściu pn.: „</w:t>
      </w:r>
      <w:r w:rsidRPr="00903BF8">
        <w:rPr>
          <w:rFonts w:ascii="Lato" w:eastAsia="Calibri" w:hAnsi="Lato" w:cs="Arial"/>
          <w:spacing w:val="4"/>
        </w:rPr>
        <w:t xml:space="preserve">Budowa gazociągu DN 1000 MOP 8,4 </w:t>
      </w:r>
      <w:proofErr w:type="spellStart"/>
      <w:r w:rsidRPr="00903BF8">
        <w:rPr>
          <w:rFonts w:ascii="Lato" w:eastAsia="Calibri" w:hAnsi="Lato" w:cs="Arial"/>
          <w:spacing w:val="4"/>
        </w:rPr>
        <w:t>MPa</w:t>
      </w:r>
      <w:proofErr w:type="spellEnd"/>
      <w:r w:rsidRPr="00903BF8">
        <w:rPr>
          <w:rFonts w:ascii="Lato" w:eastAsia="Calibri" w:hAnsi="Lato" w:cs="Arial"/>
          <w:spacing w:val="4"/>
        </w:rPr>
        <w:t xml:space="preserve"> relacji Wronów – Rozwadów wraz z infrastrukturą niezbędną do jego obsługi” w ramach inwestycji pn. „Budowa gazociągu Rembelszczyzna</w:t>
      </w:r>
      <w:r w:rsidR="008776C7">
        <w:rPr>
          <w:rFonts w:ascii="Lato" w:eastAsia="Calibri" w:hAnsi="Lato" w:cs="Arial"/>
          <w:spacing w:val="4"/>
        </w:rPr>
        <w:t xml:space="preserve"> –</w:t>
      </w:r>
      <w:r w:rsidRPr="00903BF8">
        <w:rPr>
          <w:rFonts w:ascii="Lato" w:eastAsia="Calibri" w:hAnsi="Lato" w:cs="Arial"/>
          <w:spacing w:val="4"/>
        </w:rPr>
        <w:t xml:space="preserve"> Wronów</w:t>
      </w:r>
      <w:r w:rsidR="008776C7">
        <w:rPr>
          <w:rFonts w:ascii="Lato" w:eastAsia="Calibri" w:hAnsi="Lato" w:cs="Arial"/>
          <w:spacing w:val="4"/>
        </w:rPr>
        <w:t xml:space="preserve"> </w:t>
      </w:r>
      <w:r w:rsidRPr="00903BF8">
        <w:rPr>
          <w:rFonts w:ascii="Lato" w:eastAsia="Calibri" w:hAnsi="Lato" w:cs="Arial"/>
          <w:spacing w:val="4"/>
        </w:rPr>
        <w:t>-</w:t>
      </w:r>
      <w:r w:rsidR="008776C7">
        <w:rPr>
          <w:rFonts w:ascii="Lato" w:eastAsia="Calibri" w:hAnsi="Lato" w:cs="Arial"/>
          <w:spacing w:val="4"/>
        </w:rPr>
        <w:t xml:space="preserve"> </w:t>
      </w:r>
      <w:r w:rsidRPr="00903BF8">
        <w:rPr>
          <w:rFonts w:ascii="Lato" w:eastAsia="Calibri" w:hAnsi="Lato" w:cs="Arial"/>
          <w:spacing w:val="4"/>
        </w:rPr>
        <w:t xml:space="preserve">Rozwadów – Strachocina wraz </w:t>
      </w:r>
      <w:r w:rsidR="006D6B4C">
        <w:rPr>
          <w:rFonts w:ascii="Lato" w:eastAsia="Calibri" w:hAnsi="Lato" w:cs="Arial"/>
          <w:spacing w:val="4"/>
        </w:rPr>
        <w:br/>
      </w:r>
      <w:r w:rsidRPr="00903BF8">
        <w:rPr>
          <w:rFonts w:ascii="Lato" w:eastAsia="Calibri" w:hAnsi="Lato" w:cs="Arial"/>
          <w:spacing w:val="4"/>
        </w:rPr>
        <w:t xml:space="preserve">z infrastrukturą niezbędną do jego obsługi na terenie województwa </w:t>
      </w:r>
      <w:r w:rsidRPr="00903BF8">
        <w:rPr>
          <w:rFonts w:ascii="Lato" w:eastAsia="Calibri" w:hAnsi="Lato" w:cs="Arial"/>
          <w:spacing w:val="4"/>
        </w:rPr>
        <w:lastRenderedPageBreak/>
        <w:t>mazowieckiego, lubelskiego i podkarpackiego</w:t>
      </w:r>
      <w:r w:rsidRPr="00903BF8">
        <w:rPr>
          <w:rFonts w:ascii="Lato" w:eastAsia="Calibri" w:hAnsi="Lato" w:cs="Times New Roman"/>
          <w:bCs/>
          <w:spacing w:val="4"/>
        </w:rPr>
        <w:t>”, zwaną dalej „decyzją Wojewody Lubelskiego”</w:t>
      </w:r>
      <w:r w:rsidR="008776C7">
        <w:rPr>
          <w:rFonts w:ascii="Lato" w:eastAsia="Calibri" w:hAnsi="Lato" w:cs="Times New Roman"/>
          <w:bCs/>
          <w:spacing w:val="4"/>
        </w:rPr>
        <w:t>.</w:t>
      </w:r>
    </w:p>
    <w:p w14:paraId="4A8210EF" w14:textId="5EADE1C1"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rPr>
      </w:pPr>
      <w:r w:rsidRPr="00903BF8">
        <w:rPr>
          <w:rFonts w:ascii="Lato" w:eastAsia="Calibri" w:hAnsi="Lato" w:cs="Times New Roman"/>
          <w:bCs/>
          <w:spacing w:val="4"/>
        </w:rPr>
        <w:t xml:space="preserve">Od decyzji Wojewody Lubelskiego odwołanie, za pośrednictwem organu </w:t>
      </w:r>
      <w:r>
        <w:rPr>
          <w:rFonts w:ascii="Lato" w:eastAsia="Calibri" w:hAnsi="Lato" w:cs="Times New Roman"/>
          <w:bCs/>
          <w:spacing w:val="4"/>
        </w:rPr>
        <w:br/>
      </w:r>
      <w:r w:rsidRPr="00903BF8">
        <w:rPr>
          <w:rFonts w:ascii="Lato" w:eastAsia="Calibri" w:hAnsi="Lato" w:cs="Times New Roman"/>
          <w:bCs/>
          <w:spacing w:val="4"/>
        </w:rPr>
        <w:t xml:space="preserve">I instancji, wnieśli </w:t>
      </w:r>
      <w:r w:rsidRPr="00903BF8">
        <w:rPr>
          <w:rFonts w:ascii="Lato" w:eastAsia="Calibri" w:hAnsi="Lato" w:cs="Arial"/>
          <w:spacing w:val="4"/>
        </w:rPr>
        <w:t>Pani B</w:t>
      </w:r>
      <w:r w:rsidR="00B23E1F">
        <w:rPr>
          <w:rFonts w:ascii="Lato" w:eastAsia="Calibri" w:hAnsi="Lato" w:cs="Arial"/>
          <w:spacing w:val="4"/>
        </w:rPr>
        <w:t>.</w:t>
      </w:r>
      <w:r w:rsidRPr="00903BF8">
        <w:rPr>
          <w:rFonts w:ascii="Lato" w:eastAsia="Calibri" w:hAnsi="Lato" w:cs="Arial"/>
          <w:spacing w:val="4"/>
        </w:rPr>
        <w:t xml:space="preserve"> P</w:t>
      </w:r>
      <w:r w:rsidR="00B23E1F">
        <w:rPr>
          <w:rFonts w:ascii="Lato" w:eastAsia="Calibri" w:hAnsi="Lato" w:cs="Arial"/>
          <w:spacing w:val="4"/>
        </w:rPr>
        <w:t>.</w:t>
      </w:r>
      <w:r w:rsidRPr="00903BF8">
        <w:rPr>
          <w:rFonts w:ascii="Lato" w:eastAsia="Calibri" w:hAnsi="Lato" w:cs="Arial"/>
          <w:spacing w:val="4"/>
        </w:rPr>
        <w:t xml:space="preserve"> i Pan L</w:t>
      </w:r>
      <w:r w:rsidR="00B23E1F">
        <w:rPr>
          <w:rFonts w:ascii="Lato" w:eastAsia="Calibri" w:hAnsi="Lato" w:cs="Arial"/>
          <w:spacing w:val="4"/>
        </w:rPr>
        <w:t>.</w:t>
      </w:r>
      <w:r w:rsidRPr="00903BF8">
        <w:rPr>
          <w:rFonts w:ascii="Lato" w:eastAsia="Calibri" w:hAnsi="Lato" w:cs="Arial"/>
          <w:spacing w:val="4"/>
        </w:rPr>
        <w:t xml:space="preserve"> P</w:t>
      </w:r>
      <w:r w:rsidRPr="00903BF8">
        <w:rPr>
          <w:rFonts w:ascii="Lato" w:eastAsia="Calibri" w:hAnsi="Lato" w:cs="Times New Roman"/>
          <w:bCs/>
          <w:spacing w:val="4"/>
        </w:rPr>
        <w:t xml:space="preserve">. Odwołanie wniesiono w terminie. W odwołaniu skarżący podnieśli zarzuty odnoszące się do </w:t>
      </w:r>
      <w:r w:rsidRPr="00903BF8">
        <w:rPr>
          <w:rFonts w:ascii="Lato" w:eastAsia="Calibri" w:hAnsi="Lato" w:cs="Times New Roman"/>
          <w:bCs/>
          <w:iCs/>
          <w:spacing w:val="4"/>
        </w:rPr>
        <w:t>decyzji Wojewody Lubelskiego</w:t>
      </w:r>
      <w:r w:rsidRPr="00903BF8">
        <w:rPr>
          <w:rFonts w:ascii="Lato" w:eastAsia="Calibri" w:hAnsi="Lato" w:cs="Times New Roman"/>
          <w:bCs/>
          <w:spacing w:val="4"/>
        </w:rPr>
        <w:t>, określili istotę i zakres żądania będącego przedmiotem odwołania oraz wskazali na dowody uzasadniające to żądanie.</w:t>
      </w:r>
    </w:p>
    <w:p w14:paraId="7AD074D1" w14:textId="77777777"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Times New Roman" w:hAnsi="Lato" w:cs="Times New Roman"/>
          <w:bCs/>
          <w:spacing w:val="4"/>
          <w:lang w:eastAsia="pl-PL"/>
        </w:rPr>
      </w:pPr>
      <w:r w:rsidRPr="00903BF8">
        <w:rPr>
          <w:rFonts w:ascii="Lato" w:eastAsia="Times New Roman" w:hAnsi="Lato" w:cs="Times New Roman"/>
          <w:spacing w:val="4"/>
          <w:lang w:eastAsia="pl-PL"/>
        </w:rPr>
        <w:t xml:space="preserve">Organ odwoławczy </w:t>
      </w:r>
      <w:r w:rsidRPr="00903BF8">
        <w:rPr>
          <w:rFonts w:ascii="Lato" w:eastAsia="Times New Roman" w:hAnsi="Lato" w:cs="Times New Roman"/>
          <w:bCs/>
          <w:spacing w:val="4"/>
          <w:lang w:eastAsia="pl-PL"/>
        </w:rPr>
        <w:t>stwierdził, co następuje.</w:t>
      </w:r>
    </w:p>
    <w:p w14:paraId="2A1E6785" w14:textId="32D587BE"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lang w:eastAsia="pl-PL"/>
        </w:rPr>
      </w:pPr>
      <w:r w:rsidRPr="00903BF8">
        <w:rPr>
          <w:rFonts w:ascii="Lato" w:eastAsia="Times New Roman" w:hAnsi="Lato" w:cs="Times New Roman"/>
          <w:bCs/>
          <w:spacing w:val="4"/>
          <w:lang w:eastAsia="pl-PL"/>
        </w:rPr>
        <w:t xml:space="preserve">Na wstępie wyjaśnić należy, iż </w:t>
      </w:r>
      <w:r w:rsidRPr="00903BF8">
        <w:rPr>
          <w:rFonts w:ascii="Lato" w:eastAsia="Times New Roman" w:hAnsi="Lato" w:cs="Arial"/>
          <w:bCs/>
          <w:spacing w:val="4"/>
          <w:lang w:eastAsia="pl-PL"/>
        </w:rPr>
        <w:t xml:space="preserve">właściwym w przedmiotowej sprawie – stosownie do treści rozporządzenia Prezesa Rady Ministrów z dnia </w:t>
      </w:r>
      <w:r w:rsidR="006D6B4C">
        <w:rPr>
          <w:rFonts w:ascii="Lato" w:eastAsia="Times New Roman" w:hAnsi="Lato" w:cs="Arial"/>
          <w:bCs/>
          <w:spacing w:val="4"/>
          <w:lang w:eastAsia="pl-PL"/>
        </w:rPr>
        <w:br/>
      </w:r>
      <w:r w:rsidRPr="00903BF8">
        <w:rPr>
          <w:rFonts w:ascii="Lato" w:eastAsia="Times New Roman" w:hAnsi="Lato" w:cs="Arial"/>
          <w:bCs/>
          <w:spacing w:val="4"/>
          <w:lang w:eastAsia="pl-PL"/>
        </w:rPr>
        <w:t>25 lipca 2025 r.</w:t>
      </w:r>
      <w:r>
        <w:rPr>
          <w:rFonts w:ascii="Lato" w:eastAsia="Times New Roman" w:hAnsi="Lato" w:cs="Arial"/>
          <w:bCs/>
          <w:spacing w:val="4"/>
          <w:lang w:eastAsia="pl-PL"/>
        </w:rPr>
        <w:t>,</w:t>
      </w:r>
      <w:r w:rsidRPr="00903BF8">
        <w:rPr>
          <w:rFonts w:ascii="Lato" w:eastAsia="Times New Roman" w:hAnsi="Lato" w:cs="Arial"/>
          <w:bCs/>
          <w:spacing w:val="4"/>
          <w:lang w:eastAsia="pl-PL"/>
        </w:rPr>
        <w:t xml:space="preserve"> w sprawie szczegółowego zakresu działania Ministra Finansów i Gospodarki (Dz.U. z 2025 r. poz. 997) – jest obecnie Minister Finansów </w:t>
      </w:r>
      <w:r w:rsidR="006D6B4C">
        <w:rPr>
          <w:rFonts w:ascii="Lato" w:eastAsia="Times New Roman" w:hAnsi="Lato" w:cs="Arial"/>
          <w:bCs/>
          <w:spacing w:val="4"/>
          <w:lang w:eastAsia="pl-PL"/>
        </w:rPr>
        <w:br/>
      </w:r>
      <w:r w:rsidRPr="00903BF8">
        <w:rPr>
          <w:rFonts w:ascii="Lato" w:eastAsia="Times New Roman" w:hAnsi="Lato" w:cs="Arial"/>
          <w:bCs/>
          <w:spacing w:val="4"/>
          <w:lang w:eastAsia="pl-PL"/>
        </w:rPr>
        <w:t>i Gospodarki, zwany dalej „Ministrem”. Natomiast zgodnie z § 1 ust. 4 pkt 1 lit. a i b ww. rozporządzenia Prezesa Rady Ministrów z dnia 25 lipca 2025 r.</w:t>
      </w:r>
      <w:r>
        <w:rPr>
          <w:rFonts w:ascii="Lato" w:eastAsia="Times New Roman" w:hAnsi="Lato" w:cs="Arial"/>
          <w:bCs/>
          <w:spacing w:val="4"/>
          <w:lang w:eastAsia="pl-PL"/>
        </w:rPr>
        <w:t>,</w:t>
      </w:r>
      <w:r w:rsidRPr="00903BF8">
        <w:rPr>
          <w:rFonts w:ascii="Lato" w:eastAsia="Times New Roman" w:hAnsi="Lato" w:cs="Arial"/>
          <w:bCs/>
          <w:spacing w:val="4"/>
          <w:lang w:eastAsia="pl-PL"/>
        </w:rPr>
        <w:t xml:space="preserve"> obsługę Ministra Finansów i Gospodarki zapewnia Ministerstwo Rozwoju i Technologii w zakresie działów administracji rządowej: budownictwo, planowanie </w:t>
      </w:r>
      <w:r w:rsidR="006D6B4C">
        <w:rPr>
          <w:rFonts w:ascii="Lato" w:eastAsia="Times New Roman" w:hAnsi="Lato" w:cs="Arial"/>
          <w:bCs/>
          <w:spacing w:val="4"/>
          <w:lang w:eastAsia="pl-PL"/>
        </w:rPr>
        <w:br/>
      </w:r>
      <w:r w:rsidRPr="00903BF8">
        <w:rPr>
          <w:rFonts w:ascii="Lato" w:eastAsia="Times New Roman" w:hAnsi="Lato" w:cs="Arial"/>
          <w:bCs/>
          <w:spacing w:val="4"/>
          <w:lang w:eastAsia="pl-PL"/>
        </w:rPr>
        <w:t>i zagospodarowanie przestrzenne oraz mieszkalnictwo; gospodarka.</w:t>
      </w:r>
    </w:p>
    <w:p w14:paraId="6B761AE0" w14:textId="6AC167FF"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rPr>
      </w:pPr>
      <w:r w:rsidRPr="00903BF8">
        <w:rPr>
          <w:rFonts w:ascii="Lato" w:eastAsia="Calibri" w:hAnsi="Lato" w:cs="Times New Roman"/>
          <w:bCs/>
          <w:spacing w:val="4"/>
        </w:rPr>
        <w:t xml:space="preserve">Kompetencje organu odwoławczego obejmują korygowanie zarówno wad prawnych decyzji organu I instancji, polegających na niewłaściwym zastosowaniu przepisu prawa materialnego, bądź postępowania administracyjnego, jak i wad polegających na niewłaściwej ocenie okoliczności faktycznych. Zgodnie z ogólnie przyjętą zasadą, organy administracji publicznej powinny działać wnikliwie, prowadząc wyczerpujące postępowanie dowodowe w celu uzyskania prawdy obiektywnej, a fakty istotne dla podjęcia rozstrzygnięcia powinny zostać w miarę możliwości bezsprzecznie ustalone. Obowiązek ten wynika z art. 7 i art. 77 kpa. Dlatego też trafność rozstrzygnięcia </w:t>
      </w:r>
      <w:r w:rsidRPr="00903BF8">
        <w:rPr>
          <w:rFonts w:ascii="Lato" w:eastAsia="Calibri" w:hAnsi="Lato" w:cs="Times New Roman"/>
          <w:bCs/>
          <w:spacing w:val="4"/>
        </w:rPr>
        <w:br/>
        <w:t xml:space="preserve">w każdym indywidualnym przypadku wymaga szczegółowego zbadania </w:t>
      </w:r>
      <w:r>
        <w:rPr>
          <w:rFonts w:ascii="Lato" w:eastAsia="Calibri" w:hAnsi="Lato" w:cs="Times New Roman"/>
          <w:bCs/>
          <w:spacing w:val="4"/>
        </w:rPr>
        <w:br/>
      </w:r>
      <w:r w:rsidRPr="00903BF8">
        <w:rPr>
          <w:rFonts w:ascii="Lato" w:eastAsia="Calibri" w:hAnsi="Lato" w:cs="Times New Roman"/>
          <w:bCs/>
          <w:spacing w:val="4"/>
        </w:rPr>
        <w:t>i rozważenia wszelkich argumentów, które stanowiłyby podstawę do przyjęcia określonego stanowiska. Wydając decyzję, organ zobowiązany jest do przestrzegania przepisów kpa, a przede wszystkim do podejmowania wszelkich działań niezbędnych do dokładnego wyjaśnienia stanu faktycznego.</w:t>
      </w:r>
    </w:p>
    <w:p w14:paraId="2CF2011B" w14:textId="19E0347E"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rPr>
      </w:pPr>
      <w:r w:rsidRPr="00903BF8">
        <w:rPr>
          <w:rFonts w:ascii="Lato" w:eastAsia="Calibri" w:hAnsi="Lato" w:cs="Times New Roman"/>
          <w:bCs/>
          <w:spacing w:val="4"/>
        </w:rPr>
        <w:t xml:space="preserve">Mając na uwadze powyższe, w trakcie przeprowadzonego postępowania odwoławczego Minister rozpatrzył ponownie wniosek inwestora o wydanie przedmiotowej decyzji o </w:t>
      </w:r>
      <w:bookmarkStart w:id="3" w:name="_Hlk189655155"/>
      <w:r w:rsidRPr="00903BF8">
        <w:rPr>
          <w:rFonts w:ascii="Lato" w:eastAsia="Calibri" w:hAnsi="Lato" w:cs="Times New Roman"/>
          <w:bCs/>
          <w:spacing w:val="4"/>
        </w:rPr>
        <w:t>ustaleniu lokalizacji inwestycji towarzyszącej inwestycjom w zakresie terminalu</w:t>
      </w:r>
      <w:bookmarkEnd w:id="3"/>
      <w:r w:rsidRPr="00903BF8">
        <w:rPr>
          <w:rFonts w:ascii="Lato" w:eastAsia="Calibri" w:hAnsi="Lato" w:cs="Times New Roman"/>
          <w:bCs/>
          <w:spacing w:val="4"/>
        </w:rPr>
        <w:t xml:space="preserve">, przeanalizował materiał dowodowy zgromadzony przez Wojewodę Lubelskiego, w tym zbadał poprawność postępowania organu I instancji oraz poprawność kończącej to postępowanie decyzji Wojewody Lubelskiego, jak również rozpatrzył zarzuty podniesione przez skarżących. </w:t>
      </w:r>
    </w:p>
    <w:p w14:paraId="5B213ADB" w14:textId="738EFDAA"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iCs/>
          <w:spacing w:val="4"/>
        </w:rPr>
      </w:pPr>
      <w:r w:rsidRPr="00903BF8">
        <w:rPr>
          <w:rFonts w:ascii="Lato" w:eastAsia="Calibri" w:hAnsi="Lato" w:cs="Times New Roman"/>
          <w:bCs/>
          <w:spacing w:val="4"/>
        </w:rPr>
        <w:t xml:space="preserve">W niniejszym przypadku, wniosek o wydanie zaskarżonej decyzji, został złożony przez właściwy podmiot, zgodnie z art. 38 pkt 2 specustawy gazowej, tj. przez Operatora Gazociągów Przesyłowych GAZ-SYSTEM S.A. z siedzibą </w:t>
      </w:r>
      <w:r>
        <w:rPr>
          <w:rFonts w:ascii="Lato" w:eastAsia="Calibri" w:hAnsi="Lato" w:cs="Times New Roman"/>
          <w:bCs/>
          <w:spacing w:val="4"/>
        </w:rPr>
        <w:br/>
      </w:r>
      <w:r w:rsidRPr="00903BF8">
        <w:rPr>
          <w:rFonts w:ascii="Lato" w:eastAsia="Calibri" w:hAnsi="Lato" w:cs="Times New Roman"/>
          <w:bCs/>
          <w:spacing w:val="4"/>
        </w:rPr>
        <w:lastRenderedPageBreak/>
        <w:t xml:space="preserve">w Warszawie, reprezentowanego przez ustanowionego w sprawie pełnomocnika. </w:t>
      </w:r>
      <w:r w:rsidRPr="00903BF8">
        <w:rPr>
          <w:rFonts w:ascii="Lato" w:eastAsia="Calibri" w:hAnsi="Lato" w:cs="Times New Roman"/>
          <w:bCs/>
          <w:iCs/>
          <w:spacing w:val="4"/>
        </w:rPr>
        <w:t>Projektowana inwestycja, stanowi inwestycję towarzyszącą inwestycjom w zakresie terminalu, o której mowa w art. 38 pkt 2 lit. q specustawy gazowej. Analizując złożony przez inwestora wniosek, Minister uznał, że zawiera on wszystkie elementy wymagane na podstawie przepisu art. 6 w zw. z art. 39 ust. 1 specustawy gazowej, niezbędne w okolicznościach niniejszej sprawy.</w:t>
      </w:r>
    </w:p>
    <w:p w14:paraId="24DBB96E" w14:textId="77777777"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rPr>
      </w:pPr>
      <w:r w:rsidRPr="00903BF8">
        <w:rPr>
          <w:rFonts w:ascii="Lato" w:eastAsia="Calibri" w:hAnsi="Lato" w:cs="Times New Roman"/>
          <w:bCs/>
          <w:spacing w:val="4"/>
        </w:rPr>
        <w:t xml:space="preserve">Następnie organ odwoławczy poddał kontroli przeprowadzone przez Wojewodę Lubelskiego postępowanie o wydanie </w:t>
      </w:r>
      <w:bookmarkStart w:id="4" w:name="_Hlk122521283"/>
      <w:r w:rsidRPr="00903BF8">
        <w:rPr>
          <w:rFonts w:ascii="Lato" w:eastAsia="Calibri" w:hAnsi="Lato" w:cs="Times New Roman"/>
          <w:bCs/>
          <w:spacing w:val="4"/>
        </w:rPr>
        <w:t>decyzji o ustaleniu lokalizacji inwestycji towarzyszącej inwestycjom w zakresie terminalu</w:t>
      </w:r>
      <w:bookmarkEnd w:id="4"/>
      <w:r w:rsidRPr="00903BF8">
        <w:rPr>
          <w:rFonts w:ascii="Lato" w:eastAsia="Calibri" w:hAnsi="Lato" w:cs="Times New Roman"/>
          <w:bCs/>
          <w:spacing w:val="4"/>
        </w:rPr>
        <w:t xml:space="preserve"> i stwierdził, co następuje. </w:t>
      </w:r>
    </w:p>
    <w:p w14:paraId="1C656A95" w14:textId="00CA6BAE"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rPr>
      </w:pPr>
      <w:r w:rsidRPr="00903BF8">
        <w:rPr>
          <w:rFonts w:ascii="Lato" w:eastAsia="Calibri" w:hAnsi="Lato" w:cs="Times New Roman"/>
          <w:bCs/>
          <w:spacing w:val="4"/>
        </w:rPr>
        <w:t xml:space="preserve">W ocenie Ministra, organ pierwszej instancji prawidłowo poinformował strony </w:t>
      </w:r>
      <w:r>
        <w:rPr>
          <w:rFonts w:ascii="Lato" w:eastAsia="Calibri" w:hAnsi="Lato" w:cs="Times New Roman"/>
          <w:bCs/>
          <w:spacing w:val="4"/>
        </w:rPr>
        <w:br/>
      </w:r>
      <w:r w:rsidRPr="00903BF8">
        <w:rPr>
          <w:rFonts w:ascii="Lato" w:eastAsia="Calibri" w:hAnsi="Lato" w:cs="Times New Roman"/>
          <w:bCs/>
          <w:spacing w:val="4"/>
        </w:rPr>
        <w:t>o wszczętym postępowaniu, podał jego podstawę prawną, pouczył o prawie do składania wniosków, uwag i zastrzeżeń, a zatem należycie i wyczerpująco poinformował strony o okolicznościach faktycznych i prawnych, będących przedmiotem postępowania administracyjnego, które mogły mieć wpływ na ustalenie ich praw i obowiązków.</w:t>
      </w:r>
    </w:p>
    <w:p w14:paraId="79B6A3C0" w14:textId="44C54356"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rPr>
      </w:pPr>
      <w:r w:rsidRPr="00903BF8">
        <w:rPr>
          <w:rFonts w:ascii="Lato" w:eastAsia="Calibri" w:hAnsi="Lato" w:cs="Times New Roman"/>
          <w:bCs/>
          <w:spacing w:val="4"/>
        </w:rPr>
        <w:t xml:space="preserve">Wojewoda Lubelski pismem z dnia 1 grudnia 2025 r., znak: IF-II.747.42.2025.WK, zawiadomił o wszczęciu postępowania wnioskodawcę, właścicieli i użytkowników wieczystych nieruchomości objętych wnioskiem, wysyłając zawiadomienie na adresy wskazane w katastrze nieruchomości. Pozostałe strony postępowania zostały poinformowane o jego wszczęciu </w:t>
      </w:r>
      <w:r w:rsidR="006D6B4C">
        <w:rPr>
          <w:rFonts w:ascii="Lato" w:eastAsia="Calibri" w:hAnsi="Lato" w:cs="Times New Roman"/>
          <w:bCs/>
          <w:spacing w:val="4"/>
        </w:rPr>
        <w:br/>
      </w:r>
      <w:r w:rsidRPr="00903BF8">
        <w:rPr>
          <w:rFonts w:ascii="Lato" w:eastAsia="Calibri" w:hAnsi="Lato" w:cs="Times New Roman"/>
          <w:bCs/>
          <w:spacing w:val="4"/>
        </w:rPr>
        <w:t xml:space="preserve">w drodze obwieszczenia. W zawiadomieniu i obwieszczeniu organ I instancji poinformował o miejscu, gdzie strony mogą zapoznać się z dokumentacją dotyczącą inwestycji. </w:t>
      </w:r>
      <w:r w:rsidRPr="00903BF8">
        <w:rPr>
          <w:rFonts w:ascii="Lato" w:eastAsia="Calibri" w:hAnsi="Lato" w:cs="Times New Roman"/>
          <w:bCs/>
          <w:iCs/>
          <w:spacing w:val="4"/>
        </w:rPr>
        <w:t>W toku postępowania przed Wojewodą Lubelskim żadna ze stron postępowania nie wniosła uwag, wniosków ani zastrzeżeń do planowanej inwestycji.</w:t>
      </w:r>
    </w:p>
    <w:p w14:paraId="6EB503D8" w14:textId="610AF040"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lang w:bidi="pl-PL"/>
        </w:rPr>
      </w:pPr>
      <w:r w:rsidRPr="00903BF8">
        <w:rPr>
          <w:rFonts w:ascii="Lato" w:eastAsia="Calibri" w:hAnsi="Lato" w:cs="Times New Roman"/>
          <w:bCs/>
          <w:spacing w:val="4"/>
        </w:rPr>
        <w:t xml:space="preserve">Uznając, że zebrany w sprawie materiał dowodowy pozwala na wydanie rozstrzygnięcia, Wojewoda Lubelski wydał w dniu </w:t>
      </w:r>
      <w:r w:rsidRPr="00903BF8">
        <w:rPr>
          <w:rFonts w:ascii="Lato" w:eastAsia="Calibri" w:hAnsi="Lato" w:cs="Arial"/>
          <w:spacing w:val="4"/>
        </w:rPr>
        <w:t xml:space="preserve">19 grudnia 2025 </w:t>
      </w:r>
      <w:r w:rsidRPr="00903BF8">
        <w:rPr>
          <w:rFonts w:ascii="Lato" w:eastAsia="Calibri" w:hAnsi="Lato" w:cs="Times New Roman"/>
          <w:bCs/>
          <w:spacing w:val="4"/>
        </w:rPr>
        <w:t xml:space="preserve">r. decyzję </w:t>
      </w:r>
      <w:bookmarkStart w:id="5" w:name="_Hlk204253678"/>
      <w:r>
        <w:rPr>
          <w:rFonts w:ascii="Lato" w:eastAsia="Calibri" w:hAnsi="Lato" w:cs="Times New Roman"/>
          <w:bCs/>
          <w:spacing w:val="4"/>
        </w:rPr>
        <w:br/>
      </w:r>
      <w:r w:rsidRPr="00903BF8">
        <w:rPr>
          <w:rFonts w:ascii="Lato" w:eastAsia="Calibri" w:hAnsi="Lato" w:cs="Times New Roman"/>
          <w:bCs/>
          <w:spacing w:val="4"/>
        </w:rPr>
        <w:t xml:space="preserve">o ustaleniu lokalizacji przedmiotowej inwestycji towarzyszącej inwestycjom </w:t>
      </w:r>
      <w:r>
        <w:rPr>
          <w:rFonts w:ascii="Lato" w:eastAsia="Calibri" w:hAnsi="Lato" w:cs="Times New Roman"/>
          <w:bCs/>
          <w:spacing w:val="4"/>
        </w:rPr>
        <w:br/>
      </w:r>
      <w:r w:rsidRPr="00903BF8">
        <w:rPr>
          <w:rFonts w:ascii="Lato" w:eastAsia="Calibri" w:hAnsi="Lato" w:cs="Times New Roman"/>
          <w:bCs/>
          <w:spacing w:val="4"/>
        </w:rPr>
        <w:t>w zakresie terminalu</w:t>
      </w:r>
      <w:bookmarkEnd w:id="5"/>
      <w:r w:rsidRPr="00903BF8">
        <w:rPr>
          <w:rFonts w:ascii="Lato" w:eastAsia="Calibri" w:hAnsi="Lato" w:cs="Times New Roman"/>
          <w:bCs/>
          <w:spacing w:val="4"/>
          <w:lang w:bidi="pl-PL"/>
        </w:rPr>
        <w:t>.</w:t>
      </w:r>
      <w:r w:rsidRPr="00903BF8">
        <w:rPr>
          <w:rFonts w:ascii="Lato" w:eastAsia="Calibri" w:hAnsi="Lato" w:cs="Times New Roman"/>
          <w:bCs/>
          <w:spacing w:val="4"/>
        </w:rPr>
        <w:t xml:space="preserve"> Stosownie do art. 34 ust. 1 specustawy gazowej decyzja podlega natychmiastowemu wykonaniu.</w:t>
      </w:r>
      <w:r w:rsidRPr="00903BF8">
        <w:rPr>
          <w:rFonts w:ascii="Lato" w:eastAsia="Calibri" w:hAnsi="Lato" w:cs="Times New Roman"/>
          <w:bCs/>
          <w:spacing w:val="4"/>
          <w:lang w:bidi="pl-PL"/>
        </w:rPr>
        <w:t xml:space="preserve"> </w:t>
      </w:r>
    </w:p>
    <w:p w14:paraId="3161627E" w14:textId="583CCEFE"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rPr>
      </w:pPr>
      <w:r w:rsidRPr="00903BF8">
        <w:rPr>
          <w:rFonts w:ascii="Lato" w:eastAsia="Calibri" w:hAnsi="Lato" w:cs="Times New Roman"/>
          <w:bCs/>
          <w:spacing w:val="4"/>
        </w:rPr>
        <w:t xml:space="preserve">W myśl art. 12 ust. 1 specustawy gazowej, Wojewoda Lubelski doręczył ww. decyzję wnioskodawcy oraz zawiadomił o jej wydaniu pozostałe strony w drodze </w:t>
      </w:r>
      <w:proofErr w:type="spellStart"/>
      <w:r w:rsidRPr="00903BF8">
        <w:rPr>
          <w:rFonts w:ascii="Lato" w:eastAsia="Calibri" w:hAnsi="Lato" w:cs="Times New Roman"/>
          <w:bCs/>
          <w:spacing w:val="4"/>
        </w:rPr>
        <w:t>obwieszczeń</w:t>
      </w:r>
      <w:proofErr w:type="spellEnd"/>
      <w:r w:rsidRPr="00903BF8">
        <w:rPr>
          <w:rFonts w:ascii="Lato" w:eastAsia="Calibri" w:hAnsi="Lato" w:cs="Times New Roman"/>
          <w:bCs/>
          <w:spacing w:val="4"/>
        </w:rPr>
        <w:t xml:space="preserve">. Właścicieli i użytkowników wieczystych nieruchomości objętych decyzją Wojewody Lubelskiego, organ I instancji poinformował o wydaniu decyzji w drodze zawiadomienia z dnia 19 grudnia 2025 r., znak: IF-II.747.42.2025.WK, wysłanego na adres wskazany w katastrze nieruchomości. </w:t>
      </w:r>
    </w:p>
    <w:p w14:paraId="000C3A58" w14:textId="1BCB0C9B"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lang w:bidi="pl-PL"/>
        </w:rPr>
      </w:pPr>
      <w:r w:rsidRPr="00903BF8">
        <w:rPr>
          <w:rFonts w:ascii="Lato" w:eastAsia="Calibri" w:hAnsi="Lato" w:cs="Times New Roman"/>
          <w:bCs/>
          <w:spacing w:val="4"/>
          <w:lang w:bidi="pl-PL"/>
        </w:rPr>
        <w:t xml:space="preserve">Kontrolowana decyzja Wojewody Lubelskiego czyni zadość wymogom przedstawionym w art. 10 ust. 1 specustawy gazowej, bowiem zawiera wszystkie niezbędne w okolicznościach niniejszej sprawy elementy określone </w:t>
      </w:r>
      <w:r w:rsidR="00A634B2">
        <w:rPr>
          <w:rFonts w:ascii="Lato" w:eastAsia="Calibri" w:hAnsi="Lato" w:cs="Times New Roman"/>
          <w:bCs/>
          <w:spacing w:val="4"/>
          <w:lang w:bidi="pl-PL"/>
        </w:rPr>
        <w:br/>
      </w:r>
      <w:r w:rsidRPr="00903BF8">
        <w:rPr>
          <w:rFonts w:ascii="Lato" w:eastAsia="Calibri" w:hAnsi="Lato" w:cs="Times New Roman"/>
          <w:bCs/>
          <w:spacing w:val="4"/>
          <w:lang w:bidi="pl-PL"/>
        </w:rPr>
        <w:t xml:space="preserve">w tym przepisie. </w:t>
      </w:r>
    </w:p>
    <w:p w14:paraId="7026E8C7" w14:textId="6AFA34DE"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lang w:bidi="pl-PL"/>
        </w:rPr>
      </w:pPr>
      <w:r w:rsidRPr="00903BF8">
        <w:rPr>
          <w:rFonts w:ascii="Lato" w:eastAsia="Calibri" w:hAnsi="Lato" w:cs="Times New Roman"/>
          <w:bCs/>
          <w:spacing w:val="4"/>
          <w:lang w:bidi="pl-PL"/>
        </w:rPr>
        <w:lastRenderedPageBreak/>
        <w:t xml:space="preserve">Projekt </w:t>
      </w:r>
      <w:r w:rsidRPr="00903BF8">
        <w:rPr>
          <w:rFonts w:ascii="Lato" w:eastAsia="Calibri" w:hAnsi="Lato" w:cs="Times New Roman"/>
          <w:bCs/>
          <w:spacing w:val="4"/>
          <w:lang w:val="x-none"/>
        </w:rPr>
        <w:t>decyzji został sporządzony przez osobę</w:t>
      </w:r>
      <w:r w:rsidRPr="00903BF8">
        <w:rPr>
          <w:rFonts w:ascii="Lato" w:eastAsia="Calibri" w:hAnsi="Lato" w:cs="Times New Roman"/>
          <w:bCs/>
          <w:spacing w:val="4"/>
          <w:lang w:bidi="pl-PL"/>
        </w:rPr>
        <w:t xml:space="preserve"> spełniającą warunki, o których mowa w</w:t>
      </w:r>
      <w:r w:rsidRPr="00903BF8">
        <w:rPr>
          <w:rFonts w:ascii="Lato" w:eastAsia="Calibri" w:hAnsi="Lato" w:cs="Times New Roman"/>
          <w:bCs/>
          <w:spacing w:val="4"/>
          <w:lang w:val="x-none"/>
        </w:rPr>
        <w:t xml:space="preserve"> art. </w:t>
      </w:r>
      <w:r w:rsidRPr="00903BF8">
        <w:rPr>
          <w:rFonts w:ascii="Lato" w:eastAsia="Calibri" w:hAnsi="Lato" w:cs="Times New Roman"/>
          <w:bCs/>
          <w:spacing w:val="4"/>
          <w:lang w:bidi="pl-PL"/>
        </w:rPr>
        <w:t>10</w:t>
      </w:r>
      <w:r w:rsidRPr="00903BF8">
        <w:rPr>
          <w:rFonts w:ascii="Lato" w:eastAsia="Calibri" w:hAnsi="Lato" w:cs="Times New Roman"/>
          <w:bCs/>
          <w:spacing w:val="4"/>
          <w:lang w:val="x-none"/>
        </w:rPr>
        <w:t xml:space="preserve"> ust. 2 specustawy </w:t>
      </w:r>
      <w:r w:rsidRPr="00903BF8">
        <w:rPr>
          <w:rFonts w:ascii="Lato" w:eastAsia="Calibri" w:hAnsi="Lato" w:cs="Times New Roman"/>
          <w:bCs/>
          <w:spacing w:val="4"/>
          <w:lang w:bidi="pl-PL"/>
        </w:rPr>
        <w:t xml:space="preserve">gazowej. </w:t>
      </w:r>
    </w:p>
    <w:p w14:paraId="1FBD1DF2" w14:textId="77777777"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lang w:bidi="pl-PL"/>
        </w:rPr>
      </w:pPr>
      <w:r w:rsidRPr="00903BF8">
        <w:rPr>
          <w:rFonts w:ascii="Lato" w:eastAsia="Calibri" w:hAnsi="Lato" w:cs="Times New Roman"/>
          <w:bCs/>
          <w:spacing w:val="4"/>
          <w:lang w:bidi="pl-PL"/>
        </w:rPr>
        <w:t>W związku z powyższym,</w:t>
      </w:r>
      <w:r w:rsidRPr="00903BF8">
        <w:rPr>
          <w:rFonts w:ascii="Lato" w:eastAsia="Calibri" w:hAnsi="Lato" w:cs="Times New Roman"/>
          <w:bCs/>
          <w:i/>
          <w:iCs/>
          <w:spacing w:val="4"/>
          <w:lang w:bidi="pl-PL"/>
        </w:rPr>
        <w:t xml:space="preserve"> </w:t>
      </w:r>
      <w:r w:rsidRPr="00903BF8">
        <w:rPr>
          <w:rFonts w:ascii="Lato" w:eastAsia="Calibri" w:hAnsi="Lato" w:cs="Times New Roman"/>
          <w:bCs/>
          <w:spacing w:val="4"/>
          <w:lang w:bidi="pl-PL"/>
        </w:rPr>
        <w:t>Minister za zasadne uznał utrzymanie w mocy</w:t>
      </w:r>
      <w:r w:rsidRPr="00903BF8">
        <w:rPr>
          <w:rFonts w:ascii="Lato" w:eastAsia="Calibri" w:hAnsi="Lato" w:cs="Times New Roman"/>
          <w:bCs/>
          <w:i/>
          <w:iCs/>
          <w:spacing w:val="4"/>
          <w:lang w:bidi="pl-PL"/>
        </w:rPr>
        <w:t xml:space="preserve"> </w:t>
      </w:r>
      <w:r w:rsidRPr="00903BF8">
        <w:rPr>
          <w:rFonts w:ascii="Lato" w:eastAsia="Calibri" w:hAnsi="Lato" w:cs="Times New Roman"/>
          <w:bCs/>
          <w:spacing w:val="4"/>
          <w:lang w:bidi="pl-PL"/>
        </w:rPr>
        <w:t>decyzji Wojewody Lubelskiego</w:t>
      </w:r>
      <w:r w:rsidRPr="00903BF8">
        <w:rPr>
          <w:rFonts w:ascii="Lato" w:eastAsia="Calibri" w:hAnsi="Lato" w:cs="Times New Roman"/>
          <w:bCs/>
          <w:i/>
          <w:iCs/>
          <w:spacing w:val="4"/>
          <w:lang w:bidi="pl-PL"/>
        </w:rPr>
        <w:t>,</w:t>
      </w:r>
      <w:r w:rsidRPr="00903BF8">
        <w:rPr>
          <w:rFonts w:ascii="Lato" w:eastAsia="Calibri" w:hAnsi="Lato" w:cs="Times New Roman"/>
          <w:bCs/>
          <w:spacing w:val="4"/>
          <w:lang w:bidi="pl-PL"/>
        </w:rPr>
        <w:t xml:space="preserve"> na podstawie art. 138 § 1 pkt 1</w:t>
      </w:r>
      <w:r w:rsidRPr="00903BF8">
        <w:rPr>
          <w:rFonts w:ascii="Lato" w:eastAsia="Calibri" w:hAnsi="Lato" w:cs="Times New Roman"/>
          <w:bCs/>
          <w:i/>
          <w:iCs/>
          <w:spacing w:val="4"/>
          <w:lang w:bidi="pl-PL"/>
        </w:rPr>
        <w:t xml:space="preserve"> </w:t>
      </w:r>
      <w:r w:rsidRPr="00903BF8">
        <w:rPr>
          <w:rFonts w:ascii="Lato" w:eastAsia="Calibri" w:hAnsi="Lato" w:cs="Times New Roman"/>
          <w:bCs/>
          <w:spacing w:val="4"/>
          <w:lang w:bidi="pl-PL"/>
        </w:rPr>
        <w:t>kpa</w:t>
      </w:r>
      <w:r w:rsidRPr="00903BF8">
        <w:rPr>
          <w:rFonts w:ascii="Lato" w:eastAsia="Calibri" w:hAnsi="Lato" w:cs="Times New Roman"/>
          <w:bCs/>
          <w:i/>
          <w:iCs/>
          <w:spacing w:val="4"/>
          <w:lang w:bidi="pl-PL"/>
        </w:rPr>
        <w:t>.</w:t>
      </w:r>
    </w:p>
    <w:p w14:paraId="35329393" w14:textId="7F9CD46C" w:rsidR="009D644B" w:rsidRPr="00903BF8" w:rsidRDefault="009D644B" w:rsidP="009D644B">
      <w:pPr>
        <w:suppressAutoHyphens/>
        <w:spacing w:after="240" w:line="240" w:lineRule="atLeast"/>
        <w:jc w:val="both"/>
        <w:rPr>
          <w:rFonts w:ascii="Lato" w:eastAsia="Times New Roman" w:hAnsi="Lato" w:cs="Arial"/>
          <w:bCs/>
          <w:spacing w:val="4"/>
          <w:lang w:eastAsia="zh-CN"/>
        </w:rPr>
      </w:pPr>
      <w:r w:rsidRPr="00903BF8">
        <w:rPr>
          <w:rFonts w:ascii="Lato" w:eastAsia="Times New Roman" w:hAnsi="Lato" w:cs="Arial"/>
          <w:bCs/>
          <w:spacing w:val="4"/>
          <w:lang w:eastAsia="zh-CN"/>
        </w:rPr>
        <w:t>Rozpatrując odwołanie Pani B</w:t>
      </w:r>
      <w:r w:rsidR="00B23E1F">
        <w:rPr>
          <w:rFonts w:ascii="Lato" w:eastAsia="Times New Roman" w:hAnsi="Lato" w:cs="Arial"/>
          <w:bCs/>
          <w:spacing w:val="4"/>
          <w:lang w:eastAsia="zh-CN"/>
        </w:rPr>
        <w:t>.</w:t>
      </w:r>
      <w:r w:rsidRPr="00903BF8">
        <w:rPr>
          <w:rFonts w:ascii="Lato" w:eastAsia="Times New Roman" w:hAnsi="Lato" w:cs="Arial"/>
          <w:bCs/>
          <w:spacing w:val="4"/>
          <w:lang w:eastAsia="zh-CN"/>
        </w:rPr>
        <w:t xml:space="preserve"> P</w:t>
      </w:r>
      <w:r w:rsidR="00B23E1F">
        <w:rPr>
          <w:rFonts w:ascii="Lato" w:eastAsia="Times New Roman" w:hAnsi="Lato" w:cs="Arial"/>
          <w:bCs/>
          <w:spacing w:val="4"/>
          <w:lang w:eastAsia="zh-CN"/>
        </w:rPr>
        <w:t>.</w:t>
      </w:r>
      <w:r w:rsidRPr="00903BF8">
        <w:rPr>
          <w:rFonts w:ascii="Lato" w:eastAsia="Times New Roman" w:hAnsi="Lato" w:cs="Arial"/>
          <w:bCs/>
          <w:spacing w:val="4"/>
          <w:lang w:eastAsia="zh-CN"/>
        </w:rPr>
        <w:t xml:space="preserve"> i Pana L</w:t>
      </w:r>
      <w:r w:rsidR="00B23E1F">
        <w:rPr>
          <w:rFonts w:ascii="Lato" w:eastAsia="Times New Roman" w:hAnsi="Lato" w:cs="Arial"/>
          <w:bCs/>
          <w:spacing w:val="4"/>
          <w:lang w:eastAsia="zh-CN"/>
        </w:rPr>
        <w:t>.</w:t>
      </w:r>
      <w:r w:rsidRPr="00903BF8">
        <w:rPr>
          <w:rFonts w:ascii="Lato" w:eastAsia="Times New Roman" w:hAnsi="Lato" w:cs="Arial"/>
          <w:bCs/>
          <w:spacing w:val="4"/>
          <w:lang w:eastAsia="zh-CN"/>
        </w:rPr>
        <w:t xml:space="preserve"> P</w:t>
      </w:r>
      <w:r w:rsidR="00B23E1F">
        <w:rPr>
          <w:rFonts w:ascii="Lato" w:eastAsia="Times New Roman" w:hAnsi="Lato" w:cs="Arial"/>
          <w:bCs/>
          <w:spacing w:val="4"/>
          <w:lang w:eastAsia="zh-CN"/>
        </w:rPr>
        <w:t>.</w:t>
      </w:r>
      <w:r w:rsidRPr="00903BF8">
        <w:rPr>
          <w:rFonts w:ascii="Lato" w:eastAsia="Times New Roman" w:hAnsi="Lato" w:cs="Arial"/>
          <w:bCs/>
          <w:spacing w:val="4"/>
          <w:lang w:eastAsia="zh-CN"/>
        </w:rPr>
        <w:t xml:space="preserve">, Minister stwierdził, co następuje. </w:t>
      </w:r>
    </w:p>
    <w:p w14:paraId="70542CE4" w14:textId="77777777" w:rsidR="009D644B" w:rsidRPr="00903BF8" w:rsidRDefault="009D644B" w:rsidP="009D644B">
      <w:pPr>
        <w:spacing w:after="240" w:line="240" w:lineRule="atLeast"/>
        <w:jc w:val="both"/>
        <w:rPr>
          <w:rFonts w:ascii="Lato" w:eastAsia="Times New Roman" w:hAnsi="Lato" w:cs="Arial"/>
          <w:bCs/>
          <w:iCs/>
          <w:spacing w:val="4"/>
          <w:lang w:eastAsia="pl-PL"/>
        </w:rPr>
      </w:pPr>
      <w:r w:rsidRPr="00903BF8">
        <w:rPr>
          <w:rFonts w:ascii="Lato" w:eastAsia="Times New Roman" w:hAnsi="Lato" w:cs="Arial"/>
          <w:bCs/>
          <w:spacing w:val="4"/>
          <w:lang w:eastAsia="pl-PL"/>
        </w:rPr>
        <w:t xml:space="preserve">Na uwzględnienie nie zasługują zarzuty skarżących kwestionujące lokalizację inwestycji na nieruchomości stanowiącej własność skarżących w zakresie ustanowionego ograniczenia wynikającego z art. 24 specustawy gazowej. </w:t>
      </w:r>
      <w:r w:rsidRPr="00903BF8">
        <w:rPr>
          <w:rFonts w:ascii="Lato" w:eastAsia="Times New Roman" w:hAnsi="Lato" w:cs="Arial"/>
          <w:bCs/>
          <w:iCs/>
          <w:spacing w:val="4"/>
          <w:lang w:eastAsia="pl-PL"/>
        </w:rPr>
        <w:t>Łączy się to z zarzutami naruszenia przepisów Konstytucji RP, oraz zarzutami naruszenia procedury administracyjnej w zakresie należytego wyjaśnienia sprawy.</w:t>
      </w:r>
    </w:p>
    <w:p w14:paraId="684B1366" w14:textId="57AF55C6" w:rsidR="009D644B" w:rsidRPr="00903BF8" w:rsidRDefault="009D644B" w:rsidP="009D644B">
      <w:pPr>
        <w:spacing w:after="240" w:line="240" w:lineRule="atLeast"/>
        <w:jc w:val="both"/>
        <w:rPr>
          <w:rFonts w:ascii="Lato" w:eastAsia="Times New Roman" w:hAnsi="Lato" w:cs="Arial"/>
          <w:bCs/>
          <w:iCs/>
          <w:spacing w:val="4"/>
          <w:lang w:eastAsia="pl-PL" w:bidi="pl-PL"/>
        </w:rPr>
      </w:pPr>
      <w:r w:rsidRPr="00903BF8">
        <w:rPr>
          <w:rFonts w:ascii="Lato" w:eastAsia="Times New Roman" w:hAnsi="Lato" w:cs="Arial"/>
          <w:bCs/>
          <w:iCs/>
          <w:spacing w:val="4"/>
          <w:lang w:eastAsia="pl-PL" w:bidi="pl-PL"/>
        </w:rPr>
        <w:t xml:space="preserve">W pierwszej kolejności należy wyjaśnić charakterystykę decyzji lokalizacyjnej wydawanej na podstawie specustawy gazowej. Charakter specustawy gazowej posiada bowiem zasadnicze znaczenie w procesie jej stosowania, ponieważ przez pryzmat tego charakteru należy postrzegać granice skutków prawnych wywoływanych przez przyjęte w tej ustawie rozwiązania. </w:t>
      </w:r>
      <w:r w:rsidRPr="00903BF8">
        <w:rPr>
          <w:rFonts w:ascii="Lato" w:hAnsi="Lato" w:cs="Arial"/>
          <w:bCs/>
          <w:spacing w:val="4"/>
        </w:rPr>
        <w:t xml:space="preserve">Przepisy specustawy gazowej należą do szczególnych regulacji prawnych, których podstawowym celem jest uproszczenie i przyspieszenie procesu inwestycyjnego. Uregulowania specustawy gazowej mają charakter uregulowań specjalnych (stanowiących wyjątki od ogólnych zasad i reguł wyrażonych w innych aktach prawnych odnoszących się do procesów inwestycyjnych), które mają za zadanie ułatwić inwestorowi realizację inwestycji gazowych, w tym poprzez pozyskiwanie tytułów prawnych nieruchomości dla celów takich inwestycji. Ustawodawca uchwalając szczególne przepisy specustawy gazowej, zdecydował, iż inwestycje w zakresie terminalu oraz inwestycje towarzyszące będą korzystały </w:t>
      </w:r>
      <w:r w:rsidR="00A634B2">
        <w:rPr>
          <w:rFonts w:ascii="Lato" w:hAnsi="Lato" w:cs="Arial"/>
          <w:bCs/>
          <w:spacing w:val="4"/>
        </w:rPr>
        <w:br/>
      </w:r>
      <w:r w:rsidRPr="00903BF8">
        <w:rPr>
          <w:rFonts w:ascii="Lato" w:hAnsi="Lato" w:cs="Arial"/>
          <w:bCs/>
          <w:spacing w:val="4"/>
        </w:rPr>
        <w:t xml:space="preserve">z priorytetowej, przyspieszonej ścieżki pozyskiwania decyzji i zezwoleń niezbędnych do realizacji tych przedsięwzięć. Pośród celów regulacji specustawy gazowej wymienić można ograniczenie ilości pozwoleń niezbędnych do rozpoczęcia inwestycji oraz skrócenie czasu trwania procedur niezbędnych do uzyskania wymaganych decyzji. </w:t>
      </w:r>
    </w:p>
    <w:p w14:paraId="2334118A" w14:textId="7C7A60FF" w:rsidR="009D644B" w:rsidRPr="00903BF8" w:rsidRDefault="009D644B" w:rsidP="009D644B">
      <w:pPr>
        <w:tabs>
          <w:tab w:val="left" w:pos="2977"/>
        </w:tabs>
        <w:spacing w:after="240" w:line="240" w:lineRule="atLeast"/>
        <w:jc w:val="both"/>
        <w:outlineLvl w:val="0"/>
        <w:rPr>
          <w:rFonts w:ascii="Lato" w:hAnsi="Lato" w:cs="Arial"/>
          <w:bCs/>
          <w:spacing w:val="4"/>
        </w:rPr>
      </w:pPr>
      <w:r w:rsidRPr="00903BF8">
        <w:rPr>
          <w:rFonts w:ascii="Lato" w:hAnsi="Lato" w:cs="Arial"/>
          <w:bCs/>
          <w:spacing w:val="4"/>
        </w:rPr>
        <w:t xml:space="preserve">Powyższymi okolicznościami należy uzasadniać z jednej strony znaczne zwiększenie uprawnień inwestora, natomiast z drugiej zdecydowane ograniczenie uprawnień właścicieli nieruchomości znajdujących się w obszarze inwestycji. </w:t>
      </w:r>
      <w:r w:rsidRPr="00903BF8">
        <w:rPr>
          <w:rFonts w:ascii="Lato" w:hAnsi="Lato" w:cs="Arial"/>
          <w:bCs/>
          <w:iCs/>
          <w:spacing w:val="4"/>
        </w:rPr>
        <w:t>Wskazać bowiem należy</w:t>
      </w:r>
      <w:r w:rsidRPr="00903BF8">
        <w:rPr>
          <w:rFonts w:ascii="Lato" w:hAnsi="Lato" w:cs="Arial"/>
          <w:bCs/>
          <w:spacing w:val="4"/>
        </w:rPr>
        <w:t xml:space="preserve">, iż brak zgody skarżących na ustanowienie ograniczenia trwałego oraz czasowego w odniesieniu do działki nr 45/3  </w:t>
      </w:r>
      <w:r w:rsidR="00A634B2">
        <w:rPr>
          <w:rFonts w:ascii="Lato" w:hAnsi="Lato" w:cs="Arial"/>
          <w:bCs/>
          <w:spacing w:val="4"/>
        </w:rPr>
        <w:br/>
      </w:r>
      <w:r w:rsidRPr="00903BF8">
        <w:rPr>
          <w:rFonts w:ascii="Lato" w:hAnsi="Lato" w:cs="Arial"/>
          <w:bCs/>
          <w:spacing w:val="4"/>
        </w:rPr>
        <w:t>w koncepcji przyjętej przez inwestora i zatwierdzonej w decyzji Wojewody Lubelskiego,</w:t>
      </w:r>
      <w:r w:rsidRPr="00903BF8">
        <w:rPr>
          <w:rFonts w:ascii="Lato" w:hAnsi="Lato" w:cs="Arial"/>
          <w:bCs/>
          <w:i/>
          <w:iCs/>
          <w:spacing w:val="4"/>
        </w:rPr>
        <w:t xml:space="preserve"> </w:t>
      </w:r>
      <w:r w:rsidRPr="00903BF8">
        <w:rPr>
          <w:rFonts w:ascii="Lato" w:hAnsi="Lato" w:cs="Arial"/>
          <w:bCs/>
          <w:spacing w:val="4"/>
        </w:rPr>
        <w:t xml:space="preserve">nie stanowi o wadliwości zaskarżonej decyzji, gdyż przepisy obowiązującego prawa, w tym przepisy specustawy gazowej, nie uzależniają udzielenia inwestorowi lokalizacji inwestycji na danej nieruchomości od wyrażenia na to zgody podmiotu będącego właścicielem bądź użytkownikiem wieczystym tejże nieruchomości. </w:t>
      </w:r>
    </w:p>
    <w:p w14:paraId="1F919AAD" w14:textId="628B4F6E"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cs="Arial"/>
          <w:bCs/>
          <w:spacing w:val="4"/>
        </w:rPr>
        <w:lastRenderedPageBreak/>
        <w:t>Przepisy specustawy gazowej nie zobowiązują bowiem inwestora do poprzedzenia wystąpienia z wnioskiem o wydanie decyzji lokalizacyjnej przeprowadzeniem uzgodnień, czy też konsultacji, które miałyby na celu ustalenie przebiegu projektowanej inwestycji z właścicielami nieruchomości objętych inwestycją</w:t>
      </w:r>
      <w:r w:rsidRPr="00903BF8">
        <w:rPr>
          <w:rFonts w:ascii="Lato" w:hAnsi="Lato" w:cs="Arial"/>
          <w:bCs/>
          <w:iCs/>
          <w:spacing w:val="4"/>
          <w:lang w:bidi="pl-PL"/>
        </w:rPr>
        <w:t xml:space="preserve">. Wszystkie działania w ramach lokalizacji inwestycji na podstawie specustawy gazowej dokonywane są w oparciu o władztwo administracyjne, a specustawa gazowa nie przewiduje w tej materii konsultacji lub uzyskania zezwoleń właścicieli nieruchomości objętych zakresem inwestycji. </w:t>
      </w:r>
    </w:p>
    <w:p w14:paraId="2FE79386" w14:textId="08FCD124" w:rsidR="009D644B" w:rsidRPr="00903BF8" w:rsidRDefault="009D644B" w:rsidP="009D644B">
      <w:pPr>
        <w:tabs>
          <w:tab w:val="left" w:pos="2977"/>
        </w:tabs>
        <w:spacing w:after="240" w:line="240" w:lineRule="atLeast"/>
        <w:jc w:val="both"/>
        <w:outlineLvl w:val="0"/>
        <w:rPr>
          <w:rFonts w:ascii="Lato" w:hAnsi="Lato" w:cs="Arial"/>
          <w:bCs/>
          <w:spacing w:val="4"/>
        </w:rPr>
      </w:pPr>
      <w:r w:rsidRPr="00903BF8">
        <w:rPr>
          <w:rFonts w:ascii="Lato" w:hAnsi="Lato" w:cs="Arial"/>
          <w:bCs/>
          <w:spacing w:val="4"/>
        </w:rPr>
        <w:t xml:space="preserve">W specustawie gazowej w ramach ujednoliconej procedury, którą wieńczy wydanie decyzji o ustaleniu lokalizacji inwestycji towarzyszącej inwestycjom </w:t>
      </w:r>
      <w:r w:rsidR="006D6B4C">
        <w:rPr>
          <w:rFonts w:ascii="Lato" w:hAnsi="Lato" w:cs="Arial"/>
          <w:bCs/>
          <w:spacing w:val="4"/>
        </w:rPr>
        <w:br/>
      </w:r>
      <w:r w:rsidRPr="00903BF8">
        <w:rPr>
          <w:rFonts w:ascii="Lato" w:hAnsi="Lato" w:cs="Arial"/>
          <w:bCs/>
          <w:spacing w:val="4"/>
        </w:rPr>
        <w:t>w zakresie terminalu dokonywane jest ustalenie lokalizacji inwestycji, ograniczenie sposobu korzystania z nieruchomości (tzw. służebność publiczna), a także niekiedy zatwierdzenie podziału nieruchomości i przejmowanie nieruchomości na własność Skarbu Państwa. Tym samym, treść decyzji administracyjnej wydawanej na podstawie specustawy gazowej inkorporuje rozstrzygnięcia kwestii, które – w zwykłym trybie – stanowiłyby przedmiot kilku odrębnych postępowań.</w:t>
      </w:r>
      <w:r w:rsidRPr="00903BF8">
        <w:rPr>
          <w:rFonts w:ascii="Lato" w:hAnsi="Lato" w:cs="Arial"/>
          <w:bCs/>
          <w:i/>
          <w:iCs/>
          <w:spacing w:val="4"/>
        </w:rPr>
        <w:t xml:space="preserve"> </w:t>
      </w:r>
      <w:r w:rsidRPr="00903BF8">
        <w:rPr>
          <w:rFonts w:ascii="Lato" w:hAnsi="Lato" w:cs="Arial"/>
          <w:bCs/>
          <w:spacing w:val="4"/>
        </w:rPr>
        <w:t xml:space="preserve">W orzecznictwie przyjmuje się, że decyzja wydana </w:t>
      </w:r>
      <w:r w:rsidR="006D6B4C">
        <w:rPr>
          <w:rFonts w:ascii="Lato" w:hAnsi="Lato" w:cs="Arial"/>
          <w:bCs/>
          <w:spacing w:val="4"/>
        </w:rPr>
        <w:br/>
      </w:r>
      <w:r w:rsidRPr="00903BF8">
        <w:rPr>
          <w:rFonts w:ascii="Lato" w:hAnsi="Lato" w:cs="Arial"/>
          <w:bCs/>
          <w:spacing w:val="4"/>
        </w:rPr>
        <w:t>w oparciu o przepisy specustawy gazowej jest rozstrzygnięciem o charakterze związanym, gdyż jak wynika z art. 6 ust. 2 specustawy gazowej, nie można uzależniać ustalenia lokalizacji inwestycji od zobowiązania inwestora do spełnienia nieprzewidzianych odrębnymi przepisami świadczeń lub warunków</w:t>
      </w:r>
      <w:r w:rsidRPr="00903BF8">
        <w:rPr>
          <w:rFonts w:ascii="Lato" w:hAnsi="Lato" w:cs="Arial"/>
          <w:bCs/>
          <w:iCs/>
          <w:spacing w:val="4"/>
        </w:rPr>
        <w:t>.</w:t>
      </w:r>
      <w:r w:rsidR="00A634B2">
        <w:rPr>
          <w:rFonts w:ascii="Lato" w:hAnsi="Lato" w:cs="Arial"/>
          <w:bCs/>
          <w:iCs/>
          <w:spacing w:val="4"/>
        </w:rPr>
        <w:t xml:space="preserve"> </w:t>
      </w:r>
      <w:r w:rsidRPr="00903BF8">
        <w:rPr>
          <w:rFonts w:ascii="Lato" w:hAnsi="Lato" w:cs="Arial"/>
          <w:bCs/>
          <w:spacing w:val="4"/>
        </w:rPr>
        <w:t xml:space="preserve">Podkreślenia zatem wymaga fakt, że w postępowaniu w sprawie ustalenia lokalizacji inwestycji w zakresie terminalu oraz inwestycji towarzyszących organ jest związany wnioskiem inwestora, co do kształtu i przebiegu inwestycji. </w:t>
      </w:r>
    </w:p>
    <w:p w14:paraId="621349C1" w14:textId="65F00A7F" w:rsidR="009D644B" w:rsidRPr="00903BF8" w:rsidRDefault="009D644B" w:rsidP="009D644B">
      <w:pPr>
        <w:tabs>
          <w:tab w:val="left" w:pos="2977"/>
        </w:tabs>
        <w:spacing w:after="240" w:line="240" w:lineRule="atLeast"/>
        <w:jc w:val="both"/>
        <w:outlineLvl w:val="0"/>
        <w:rPr>
          <w:rFonts w:ascii="Lato" w:eastAsia="Times New Roman" w:hAnsi="Lato" w:cs="Arial"/>
          <w:bCs/>
          <w:iCs/>
          <w:spacing w:val="4"/>
          <w:lang w:eastAsia="pl-PL"/>
        </w:rPr>
      </w:pPr>
      <w:r w:rsidRPr="00903BF8">
        <w:rPr>
          <w:rFonts w:ascii="Lato" w:eastAsia="Times New Roman" w:hAnsi="Lato" w:cs="Arial"/>
          <w:bCs/>
          <w:iCs/>
          <w:spacing w:val="4"/>
          <w:lang w:eastAsia="pl-PL"/>
        </w:rPr>
        <w:t xml:space="preserve">Zarówno wojewoda orzekający w sprawie jako organ I instancji, jak i </w:t>
      </w:r>
      <w:r w:rsidRPr="00903BF8">
        <w:rPr>
          <w:rFonts w:ascii="Lato" w:eastAsia="Times New Roman" w:hAnsi="Lato" w:cs="Arial"/>
          <w:bCs/>
          <w:spacing w:val="4"/>
          <w:lang w:eastAsia="pl-PL"/>
        </w:rPr>
        <w:t>Minister</w:t>
      </w:r>
      <w:r w:rsidRPr="00903BF8">
        <w:rPr>
          <w:rFonts w:ascii="Lato" w:eastAsia="Times New Roman" w:hAnsi="Lato" w:cs="Arial"/>
          <w:bCs/>
          <w:i/>
          <w:iCs/>
          <w:spacing w:val="4"/>
          <w:lang w:eastAsia="pl-PL"/>
        </w:rPr>
        <w:t xml:space="preserve"> </w:t>
      </w:r>
      <w:r w:rsidRPr="00903BF8">
        <w:rPr>
          <w:rFonts w:ascii="Lato" w:eastAsia="Times New Roman" w:hAnsi="Lato" w:cs="Arial"/>
          <w:bCs/>
          <w:iCs/>
          <w:spacing w:val="4"/>
          <w:lang w:eastAsia="pl-PL"/>
        </w:rPr>
        <w:t xml:space="preserve">działający jako organ odwoławczy, pełnią w procesie inwestycyjnym funkcję organów, które będąc właściwe do wydania decyzji w przedmiocie ustalenia lokalizacji inwestycji w zakresie terminalu </w:t>
      </w:r>
      <w:proofErr w:type="spellStart"/>
      <w:r w:rsidRPr="00903BF8">
        <w:rPr>
          <w:rFonts w:ascii="Lato" w:eastAsia="Times New Roman" w:hAnsi="Lato" w:cs="Arial"/>
          <w:bCs/>
          <w:iCs/>
          <w:spacing w:val="4"/>
          <w:lang w:eastAsia="pl-PL"/>
        </w:rPr>
        <w:t>regazyfikacyjnego</w:t>
      </w:r>
      <w:proofErr w:type="spellEnd"/>
      <w:r w:rsidRPr="00903BF8">
        <w:rPr>
          <w:rFonts w:ascii="Lato" w:eastAsia="Times New Roman" w:hAnsi="Lato" w:cs="Arial"/>
          <w:bCs/>
          <w:iCs/>
          <w:spacing w:val="4"/>
          <w:lang w:eastAsia="pl-PL"/>
        </w:rPr>
        <w:t xml:space="preserve"> skroplonego gazu ziemnego w Świnoujściu oraz inwestycji towarzyszących, nie są jednocześnie uprawnione do wyznaczania i korygowania trasy tych inwestycji, ani do zmiany proponowanych we wniosku rozwiązań.</w:t>
      </w:r>
      <w:r w:rsidRPr="00903BF8">
        <w:rPr>
          <w:rFonts w:ascii="Lato" w:eastAsia="Times New Roman" w:hAnsi="Lato" w:cs="Arial"/>
          <w:spacing w:val="4"/>
          <w:lang w:eastAsia="pl-PL"/>
        </w:rPr>
        <w:t xml:space="preserve"> </w:t>
      </w:r>
      <w:r w:rsidRPr="00903BF8">
        <w:rPr>
          <w:rFonts w:ascii="Lato" w:eastAsia="Times New Roman" w:hAnsi="Lato" w:cs="Arial"/>
          <w:bCs/>
          <w:iCs/>
          <w:spacing w:val="4"/>
          <w:lang w:eastAsia="pl-PL"/>
        </w:rPr>
        <w:t xml:space="preserve">To inwestor we wniosku o wydanie decyzji o ustaleniu lokalizacji inwestycji w zakresie terminalu </w:t>
      </w:r>
      <w:proofErr w:type="spellStart"/>
      <w:r w:rsidRPr="00903BF8">
        <w:rPr>
          <w:rFonts w:ascii="Lato" w:eastAsia="Times New Roman" w:hAnsi="Lato" w:cs="Arial"/>
          <w:bCs/>
          <w:iCs/>
          <w:spacing w:val="4"/>
          <w:lang w:eastAsia="pl-PL"/>
        </w:rPr>
        <w:t>regazyfikacyjnego</w:t>
      </w:r>
      <w:proofErr w:type="spellEnd"/>
      <w:r w:rsidRPr="00903BF8">
        <w:rPr>
          <w:rFonts w:ascii="Lato" w:eastAsia="Times New Roman" w:hAnsi="Lato" w:cs="Arial"/>
          <w:bCs/>
          <w:iCs/>
          <w:spacing w:val="4"/>
          <w:lang w:eastAsia="pl-PL"/>
        </w:rPr>
        <w:t xml:space="preserve"> skroplonego gazu ziemnego w Świnoujściu oraz inwestycji towarzyszących decyduje o przebiegu inwestycji oraz o wielkości terenu niezbędnego dla jej realizacji. Inwestor samodzielnie dokonuje wyboru najbardziej korzystnych rozwiązań lokalizacyjnych. Zarówno wojewoda, jak i organ odwoławczy, mogą działać tylko w granicach tego wniosku i nie mają możliwości ingerowania </w:t>
      </w:r>
      <w:r w:rsidR="006D6B4C">
        <w:rPr>
          <w:rFonts w:ascii="Lato" w:eastAsia="Times New Roman" w:hAnsi="Lato" w:cs="Arial"/>
          <w:bCs/>
          <w:iCs/>
          <w:spacing w:val="4"/>
          <w:lang w:eastAsia="pl-PL"/>
        </w:rPr>
        <w:br/>
      </w:r>
      <w:r w:rsidRPr="00903BF8">
        <w:rPr>
          <w:rFonts w:ascii="Lato" w:eastAsia="Times New Roman" w:hAnsi="Lato" w:cs="Arial"/>
          <w:bCs/>
          <w:iCs/>
          <w:spacing w:val="4"/>
          <w:lang w:eastAsia="pl-PL"/>
        </w:rPr>
        <w:t xml:space="preserve">w lokalizację inwestycji. Ocenie dokonanej przez organy I </w:t>
      </w:r>
      <w:proofErr w:type="spellStart"/>
      <w:r w:rsidRPr="00903BF8">
        <w:rPr>
          <w:rFonts w:ascii="Lato" w:eastAsia="Times New Roman" w:hAnsi="Lato" w:cs="Arial"/>
          <w:bCs/>
          <w:iCs/>
          <w:spacing w:val="4"/>
          <w:lang w:eastAsia="pl-PL"/>
        </w:rPr>
        <w:t>i</w:t>
      </w:r>
      <w:proofErr w:type="spellEnd"/>
      <w:r w:rsidRPr="00903BF8">
        <w:rPr>
          <w:rFonts w:ascii="Lato" w:eastAsia="Times New Roman" w:hAnsi="Lato" w:cs="Arial"/>
          <w:bCs/>
          <w:iCs/>
          <w:spacing w:val="4"/>
          <w:lang w:eastAsia="pl-PL"/>
        </w:rPr>
        <w:t xml:space="preserve"> II instancji podlega wyłącznie zgodność z prawem planowanego przedsięwzięcia, w szczególności spełnienie warunków zawartych w przepisach </w:t>
      </w:r>
      <w:r w:rsidRPr="00903BF8">
        <w:rPr>
          <w:rFonts w:ascii="Lato" w:eastAsia="Times New Roman" w:hAnsi="Lato" w:cs="Arial"/>
          <w:bCs/>
          <w:spacing w:val="4"/>
          <w:lang w:eastAsia="pl-PL"/>
        </w:rPr>
        <w:t>specustawy gazowej</w:t>
      </w:r>
      <w:r w:rsidRPr="00903BF8">
        <w:rPr>
          <w:rFonts w:ascii="Lato" w:eastAsia="Times New Roman" w:hAnsi="Lato" w:cs="Arial"/>
          <w:bCs/>
          <w:iCs/>
          <w:spacing w:val="4"/>
          <w:lang w:eastAsia="pl-PL"/>
        </w:rPr>
        <w:t>. Inwestor jest zatem kreatorem miejsca, sposobu i kształtu realizacji inwestycji</w:t>
      </w:r>
    </w:p>
    <w:p w14:paraId="1901554C" w14:textId="02C282F3"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 xml:space="preserve">Natomiast nie stanowią przedmiotu kontroli organów właściwych do wydania decyzji o ustaleniu lokalizacji inwestycji zagadnienia dotyczące racjonalności czy słuszności koncepcji przedstawionej przez inwestora, ewentualnych </w:t>
      </w:r>
      <w:r w:rsidRPr="00903BF8">
        <w:rPr>
          <w:rFonts w:ascii="Lato" w:hAnsi="Lato" w:cs="Arial"/>
          <w:bCs/>
          <w:iCs/>
          <w:spacing w:val="4"/>
          <w:lang w:bidi="pl-PL"/>
        </w:rPr>
        <w:lastRenderedPageBreak/>
        <w:t>odmiennych wariantów przebiegu inwestycji, infrastruktury towarzyszącej, czy aspektów ekonomicznych i społecznych koncepcji przedstawionej przez inwestora.</w:t>
      </w:r>
    </w:p>
    <w:p w14:paraId="6331F277" w14:textId="15731BFC"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eastAsia="Times New Roman" w:hAnsi="Lato" w:cs="Arial"/>
          <w:bCs/>
          <w:iCs/>
          <w:color w:val="000000"/>
          <w:spacing w:val="4"/>
          <w:lang w:eastAsia="pl-PL" w:bidi="pl-PL"/>
        </w:rPr>
        <w:t xml:space="preserve">Powyższe stanowisko jest ugruntowane i jednolite w orzecznictwie sądów administracyjnych dotyczącym specustawy gazowej </w:t>
      </w:r>
      <w:r w:rsidRPr="00903BF8">
        <w:rPr>
          <w:rFonts w:ascii="Lato" w:eastAsia="Times New Roman" w:hAnsi="Lato" w:cs="Arial"/>
          <w:bCs/>
          <w:iCs/>
          <w:spacing w:val="4"/>
          <w:lang w:eastAsia="pl-PL"/>
        </w:rPr>
        <w:t>(por. wyroki Naczelnego Sądu Administracyjnego: z dnia 23 października 2024 r., sygn. akt II OSK 1477/24, z dnia 12 września 2023 r., sygn. akt II OSK 1004/23, z dnia 8 listopada 2022 r., sygn. akt II OSK 1636/22, wyroki Wojewódzkiego Sądu Administracyjnego w Warszawie: z dnia 12 lipca 2023 r., sygn. akt VII SA/</w:t>
      </w:r>
      <w:proofErr w:type="spellStart"/>
      <w:r w:rsidRPr="00903BF8">
        <w:rPr>
          <w:rFonts w:ascii="Lato" w:eastAsia="Times New Roman" w:hAnsi="Lato" w:cs="Arial"/>
          <w:bCs/>
          <w:iCs/>
          <w:spacing w:val="4"/>
          <w:lang w:eastAsia="pl-PL"/>
        </w:rPr>
        <w:t>Wa</w:t>
      </w:r>
      <w:proofErr w:type="spellEnd"/>
      <w:r w:rsidRPr="00903BF8">
        <w:rPr>
          <w:rFonts w:ascii="Lato" w:eastAsia="Times New Roman" w:hAnsi="Lato" w:cs="Arial"/>
          <w:bCs/>
          <w:iCs/>
          <w:spacing w:val="4"/>
          <w:lang w:eastAsia="pl-PL"/>
        </w:rPr>
        <w:t xml:space="preserve"> 1975/22, z dnia 28 października 2022 r., sygn. akt VII SA/</w:t>
      </w:r>
      <w:proofErr w:type="spellStart"/>
      <w:r w:rsidRPr="00903BF8">
        <w:rPr>
          <w:rFonts w:ascii="Lato" w:eastAsia="Times New Roman" w:hAnsi="Lato" w:cs="Arial"/>
          <w:bCs/>
          <w:iCs/>
          <w:spacing w:val="4"/>
          <w:lang w:eastAsia="pl-PL"/>
        </w:rPr>
        <w:t>Wa</w:t>
      </w:r>
      <w:proofErr w:type="spellEnd"/>
      <w:r w:rsidRPr="00903BF8">
        <w:rPr>
          <w:rFonts w:ascii="Lato" w:eastAsia="Times New Roman" w:hAnsi="Lato" w:cs="Arial"/>
          <w:bCs/>
          <w:iCs/>
          <w:spacing w:val="4"/>
          <w:lang w:eastAsia="pl-PL"/>
        </w:rPr>
        <w:t xml:space="preserve"> 544/22, z dnia 21 kwietnia 2021 r., sygn. akt VII SA/</w:t>
      </w:r>
      <w:proofErr w:type="spellStart"/>
      <w:r w:rsidRPr="00903BF8">
        <w:rPr>
          <w:rFonts w:ascii="Lato" w:eastAsia="Times New Roman" w:hAnsi="Lato" w:cs="Arial"/>
          <w:bCs/>
          <w:iCs/>
          <w:spacing w:val="4"/>
          <w:lang w:eastAsia="pl-PL"/>
        </w:rPr>
        <w:t>Wa</w:t>
      </w:r>
      <w:proofErr w:type="spellEnd"/>
      <w:r w:rsidRPr="00903BF8">
        <w:rPr>
          <w:rFonts w:ascii="Lato" w:eastAsia="Times New Roman" w:hAnsi="Lato" w:cs="Arial"/>
          <w:bCs/>
          <w:iCs/>
          <w:spacing w:val="4"/>
          <w:lang w:eastAsia="pl-PL"/>
        </w:rPr>
        <w:t xml:space="preserve"> 364/21, z dnia 19 listopada 2019 r., sygn. akt IV SA/</w:t>
      </w:r>
      <w:proofErr w:type="spellStart"/>
      <w:r w:rsidRPr="00903BF8">
        <w:rPr>
          <w:rFonts w:ascii="Lato" w:eastAsia="Times New Roman" w:hAnsi="Lato" w:cs="Arial"/>
          <w:bCs/>
          <w:iCs/>
          <w:spacing w:val="4"/>
          <w:lang w:eastAsia="pl-PL"/>
        </w:rPr>
        <w:t>Wa</w:t>
      </w:r>
      <w:proofErr w:type="spellEnd"/>
      <w:r w:rsidRPr="00903BF8">
        <w:rPr>
          <w:rFonts w:ascii="Lato" w:eastAsia="Times New Roman" w:hAnsi="Lato" w:cs="Arial"/>
          <w:bCs/>
          <w:iCs/>
          <w:spacing w:val="4"/>
          <w:lang w:eastAsia="pl-PL"/>
        </w:rPr>
        <w:t xml:space="preserve"> 1496/19, z dnia 31 sierpnia 2018 r., sygn. akt IV SA/</w:t>
      </w:r>
      <w:proofErr w:type="spellStart"/>
      <w:r w:rsidRPr="00903BF8">
        <w:rPr>
          <w:rFonts w:ascii="Lato" w:eastAsia="Times New Roman" w:hAnsi="Lato" w:cs="Arial"/>
          <w:bCs/>
          <w:iCs/>
          <w:spacing w:val="4"/>
          <w:lang w:eastAsia="pl-PL"/>
        </w:rPr>
        <w:t>Wa</w:t>
      </w:r>
      <w:proofErr w:type="spellEnd"/>
      <w:r w:rsidRPr="00903BF8">
        <w:rPr>
          <w:rFonts w:ascii="Lato" w:eastAsia="Times New Roman" w:hAnsi="Lato" w:cs="Arial"/>
          <w:bCs/>
          <w:iCs/>
          <w:spacing w:val="4"/>
          <w:lang w:eastAsia="pl-PL"/>
        </w:rPr>
        <w:t xml:space="preserve"> 3345/17, z dnia 19 września 2018 r., sygn. akt IV SA/</w:t>
      </w:r>
      <w:proofErr w:type="spellStart"/>
      <w:r w:rsidRPr="00903BF8">
        <w:rPr>
          <w:rFonts w:ascii="Lato" w:eastAsia="Times New Roman" w:hAnsi="Lato" w:cs="Arial"/>
          <w:bCs/>
          <w:iCs/>
          <w:spacing w:val="4"/>
          <w:lang w:eastAsia="pl-PL"/>
        </w:rPr>
        <w:t>Wa</w:t>
      </w:r>
      <w:proofErr w:type="spellEnd"/>
      <w:r w:rsidRPr="00903BF8">
        <w:rPr>
          <w:rFonts w:ascii="Lato" w:eastAsia="Times New Roman" w:hAnsi="Lato" w:cs="Arial"/>
          <w:bCs/>
          <w:iCs/>
          <w:spacing w:val="4"/>
          <w:lang w:eastAsia="pl-PL"/>
        </w:rPr>
        <w:t xml:space="preserve"> 510/18, </w:t>
      </w:r>
      <w:proofErr w:type="spellStart"/>
      <w:r w:rsidRPr="00903BF8">
        <w:rPr>
          <w:rFonts w:ascii="Lato" w:eastAsia="Times New Roman" w:hAnsi="Lato" w:cs="Arial"/>
          <w:bCs/>
          <w:iCs/>
          <w:spacing w:val="4"/>
          <w:lang w:eastAsia="pl-PL"/>
        </w:rPr>
        <w:t>opubl</w:t>
      </w:r>
      <w:proofErr w:type="spellEnd"/>
      <w:r w:rsidRPr="00903BF8">
        <w:rPr>
          <w:rFonts w:ascii="Lato" w:eastAsia="Times New Roman" w:hAnsi="Lato" w:cs="Arial"/>
          <w:bCs/>
          <w:iCs/>
          <w:spacing w:val="4"/>
          <w:lang w:eastAsia="pl-PL"/>
        </w:rPr>
        <w:t xml:space="preserve">. Centralna Baza Orzeczeń Sądów Administracyjnych), </w:t>
      </w:r>
      <w:r w:rsidRPr="00903BF8">
        <w:rPr>
          <w:rFonts w:ascii="Lato" w:eastAsia="Times New Roman" w:hAnsi="Lato" w:cs="Arial"/>
          <w:bCs/>
          <w:iCs/>
          <w:spacing w:val="4"/>
          <w:lang w:eastAsia="pl-PL" w:bidi="pl-PL"/>
        </w:rPr>
        <w:t>jak również w orzecznictwie sądów administracyjnych dotyczącym ustawy</w:t>
      </w:r>
      <w:r w:rsidRPr="00903BF8">
        <w:rPr>
          <w:rFonts w:ascii="Lato" w:hAnsi="Lato" w:cs="Arial"/>
          <w:bCs/>
          <w:iCs/>
          <w:spacing w:val="4"/>
          <w:lang w:bidi="pl-PL"/>
        </w:rPr>
        <w:t xml:space="preserve"> </w:t>
      </w:r>
      <w:r w:rsidRPr="00903BF8">
        <w:rPr>
          <w:rFonts w:ascii="Lato" w:eastAsia="Times New Roman" w:hAnsi="Lato" w:cs="Arial"/>
          <w:bCs/>
          <w:iCs/>
          <w:spacing w:val="4"/>
          <w:lang w:eastAsia="pl-PL" w:bidi="pl-PL"/>
        </w:rPr>
        <w:t>z dnia 24 lipca 2015 r. o przygotowaniu i realizacji strategicznych inwestycji w zakresie sieci przesyłowych (</w:t>
      </w:r>
      <w:proofErr w:type="spellStart"/>
      <w:r w:rsidRPr="00903BF8">
        <w:rPr>
          <w:rFonts w:ascii="Lato" w:eastAsia="Times New Roman" w:hAnsi="Lato" w:cs="Arial"/>
          <w:bCs/>
          <w:iCs/>
          <w:spacing w:val="4"/>
          <w:lang w:eastAsia="pl-PL" w:bidi="pl-PL"/>
        </w:rPr>
        <w:t>t.j</w:t>
      </w:r>
      <w:proofErr w:type="spellEnd"/>
      <w:r w:rsidRPr="00903BF8">
        <w:rPr>
          <w:rFonts w:ascii="Lato" w:eastAsia="Times New Roman" w:hAnsi="Lato" w:cs="Arial"/>
          <w:bCs/>
          <w:iCs/>
          <w:spacing w:val="4"/>
          <w:lang w:eastAsia="pl-PL" w:bidi="pl-PL"/>
        </w:rPr>
        <w:t xml:space="preserve">. Dz.U. </w:t>
      </w:r>
      <w:r w:rsidR="00FC090D">
        <w:rPr>
          <w:rFonts w:ascii="Lato" w:eastAsia="Times New Roman" w:hAnsi="Lato" w:cs="Arial"/>
          <w:bCs/>
          <w:iCs/>
          <w:spacing w:val="4"/>
          <w:lang w:eastAsia="pl-PL" w:bidi="pl-PL"/>
        </w:rPr>
        <w:br/>
      </w:r>
      <w:r w:rsidRPr="00903BF8">
        <w:rPr>
          <w:rFonts w:ascii="Lato" w:eastAsia="Times New Roman" w:hAnsi="Lato" w:cs="Arial"/>
          <w:bCs/>
          <w:iCs/>
          <w:spacing w:val="4"/>
          <w:lang w:eastAsia="pl-PL" w:bidi="pl-PL"/>
        </w:rPr>
        <w:t>z 2024 r. poz. 1199), zwanej dalej „</w:t>
      </w:r>
      <w:r w:rsidRPr="00903BF8">
        <w:rPr>
          <w:rFonts w:ascii="Lato" w:eastAsia="Times New Roman" w:hAnsi="Lato" w:cs="Arial"/>
          <w:bCs/>
          <w:spacing w:val="4"/>
          <w:lang w:eastAsia="pl-PL" w:bidi="pl-PL"/>
        </w:rPr>
        <w:t>specustawą przesyłową</w:t>
      </w:r>
      <w:r w:rsidRPr="00903BF8">
        <w:rPr>
          <w:rFonts w:ascii="Lato" w:eastAsia="Times New Roman" w:hAnsi="Lato" w:cs="Arial"/>
          <w:bCs/>
          <w:i/>
          <w:iCs/>
          <w:spacing w:val="4"/>
          <w:lang w:eastAsia="pl-PL" w:bidi="pl-PL"/>
        </w:rPr>
        <w:t>”</w:t>
      </w:r>
      <w:r w:rsidRPr="00903BF8">
        <w:rPr>
          <w:rFonts w:ascii="Lato" w:eastAsia="Times New Roman" w:hAnsi="Lato" w:cs="Arial"/>
          <w:bCs/>
          <w:iCs/>
          <w:spacing w:val="4"/>
          <w:lang w:eastAsia="pl-PL" w:bidi="pl-PL"/>
        </w:rPr>
        <w:t xml:space="preserve">, która w istotnym zakresie jest w pełni analogiczna i wzorowana m.in. na </w:t>
      </w:r>
      <w:r w:rsidRPr="00903BF8">
        <w:rPr>
          <w:rFonts w:ascii="Lato" w:eastAsia="Times New Roman" w:hAnsi="Lato" w:cs="Arial"/>
          <w:bCs/>
          <w:spacing w:val="4"/>
          <w:lang w:eastAsia="pl-PL" w:bidi="pl-PL"/>
        </w:rPr>
        <w:t>specustawie gazowej</w:t>
      </w:r>
      <w:r w:rsidRPr="00903BF8">
        <w:rPr>
          <w:rFonts w:ascii="Lato" w:eastAsia="Times New Roman" w:hAnsi="Lato" w:cs="Arial"/>
          <w:bCs/>
          <w:iCs/>
          <w:spacing w:val="4"/>
          <w:lang w:eastAsia="pl-PL" w:bidi="pl-PL"/>
        </w:rPr>
        <w:t xml:space="preserve"> (por. wyroki Wojewódzkiego Sądu Administracyjnego w Warszawie: z dnia 31 maja 2023 r., sygn. akt VII SA/</w:t>
      </w:r>
      <w:proofErr w:type="spellStart"/>
      <w:r w:rsidRPr="00903BF8">
        <w:rPr>
          <w:rFonts w:ascii="Lato" w:eastAsia="Times New Roman" w:hAnsi="Lato" w:cs="Arial"/>
          <w:bCs/>
          <w:iCs/>
          <w:spacing w:val="4"/>
          <w:lang w:eastAsia="pl-PL" w:bidi="pl-PL"/>
        </w:rPr>
        <w:t>Wa</w:t>
      </w:r>
      <w:proofErr w:type="spellEnd"/>
      <w:r w:rsidRPr="00903BF8">
        <w:rPr>
          <w:rFonts w:ascii="Lato" w:eastAsia="Times New Roman" w:hAnsi="Lato" w:cs="Arial"/>
          <w:bCs/>
          <w:iCs/>
          <w:spacing w:val="4"/>
          <w:lang w:eastAsia="pl-PL" w:bidi="pl-PL"/>
        </w:rPr>
        <w:t xml:space="preserve"> 608/23, z dnia 27 października 2022 r., sygn. akt VII SA/</w:t>
      </w:r>
      <w:proofErr w:type="spellStart"/>
      <w:r w:rsidRPr="00903BF8">
        <w:rPr>
          <w:rFonts w:ascii="Lato" w:eastAsia="Times New Roman" w:hAnsi="Lato" w:cs="Arial"/>
          <w:bCs/>
          <w:iCs/>
          <w:spacing w:val="4"/>
          <w:lang w:eastAsia="pl-PL" w:bidi="pl-PL"/>
        </w:rPr>
        <w:t>Wa</w:t>
      </w:r>
      <w:proofErr w:type="spellEnd"/>
      <w:r w:rsidRPr="00903BF8">
        <w:rPr>
          <w:rFonts w:ascii="Lato" w:eastAsia="Times New Roman" w:hAnsi="Lato" w:cs="Arial"/>
          <w:bCs/>
          <w:iCs/>
          <w:spacing w:val="4"/>
          <w:lang w:eastAsia="pl-PL" w:bidi="pl-PL"/>
        </w:rPr>
        <w:t xml:space="preserve"> 1225/22, z dnia 10 października 2018 r., sygn. akt IV SA/</w:t>
      </w:r>
      <w:proofErr w:type="spellStart"/>
      <w:r w:rsidRPr="00903BF8">
        <w:rPr>
          <w:rFonts w:ascii="Lato" w:eastAsia="Times New Roman" w:hAnsi="Lato" w:cs="Arial"/>
          <w:bCs/>
          <w:iCs/>
          <w:spacing w:val="4"/>
          <w:lang w:eastAsia="pl-PL" w:bidi="pl-PL"/>
        </w:rPr>
        <w:t>Wa</w:t>
      </w:r>
      <w:proofErr w:type="spellEnd"/>
      <w:r w:rsidRPr="00903BF8">
        <w:rPr>
          <w:rFonts w:ascii="Lato" w:eastAsia="Times New Roman" w:hAnsi="Lato" w:cs="Arial"/>
          <w:bCs/>
          <w:iCs/>
          <w:spacing w:val="4"/>
          <w:lang w:eastAsia="pl-PL" w:bidi="pl-PL"/>
        </w:rPr>
        <w:t xml:space="preserve"> 2480/17, z dnia 9 lutego 2018 r., sygn. akt IV SA/</w:t>
      </w:r>
      <w:proofErr w:type="spellStart"/>
      <w:r w:rsidRPr="00903BF8">
        <w:rPr>
          <w:rFonts w:ascii="Lato" w:eastAsia="Times New Roman" w:hAnsi="Lato" w:cs="Arial"/>
          <w:bCs/>
          <w:iCs/>
          <w:spacing w:val="4"/>
          <w:lang w:eastAsia="pl-PL" w:bidi="pl-PL"/>
        </w:rPr>
        <w:t>Wa</w:t>
      </w:r>
      <w:proofErr w:type="spellEnd"/>
      <w:r w:rsidRPr="00903BF8">
        <w:rPr>
          <w:rFonts w:ascii="Lato" w:eastAsia="Times New Roman" w:hAnsi="Lato" w:cs="Arial"/>
          <w:bCs/>
          <w:iCs/>
          <w:spacing w:val="4"/>
          <w:lang w:eastAsia="pl-PL" w:bidi="pl-PL"/>
        </w:rPr>
        <w:t xml:space="preserve"> 2780/17 i z dnia 7 września 2017 r., sygn. akt IV SA/</w:t>
      </w:r>
      <w:proofErr w:type="spellStart"/>
      <w:r w:rsidRPr="00903BF8">
        <w:rPr>
          <w:rFonts w:ascii="Lato" w:eastAsia="Times New Roman" w:hAnsi="Lato" w:cs="Arial"/>
          <w:bCs/>
          <w:iCs/>
          <w:spacing w:val="4"/>
          <w:lang w:eastAsia="pl-PL" w:bidi="pl-PL"/>
        </w:rPr>
        <w:t>Wa</w:t>
      </w:r>
      <w:proofErr w:type="spellEnd"/>
      <w:r w:rsidRPr="00903BF8">
        <w:rPr>
          <w:rFonts w:ascii="Lato" w:eastAsia="Times New Roman" w:hAnsi="Lato" w:cs="Arial"/>
          <w:bCs/>
          <w:iCs/>
          <w:spacing w:val="4"/>
          <w:lang w:eastAsia="pl-PL" w:bidi="pl-PL"/>
        </w:rPr>
        <w:t xml:space="preserve"> 1749/17). </w:t>
      </w:r>
    </w:p>
    <w:p w14:paraId="0E2F9F5E" w14:textId="4B70B86A" w:rsidR="009D644B" w:rsidRPr="00903BF8" w:rsidRDefault="009D644B" w:rsidP="009D644B">
      <w:pPr>
        <w:tabs>
          <w:tab w:val="left" w:pos="2977"/>
        </w:tabs>
        <w:spacing w:after="240" w:line="240" w:lineRule="atLeast"/>
        <w:jc w:val="both"/>
        <w:outlineLvl w:val="0"/>
        <w:rPr>
          <w:rFonts w:ascii="Lato" w:eastAsia="Times New Roman" w:hAnsi="Lato" w:cs="Arial"/>
          <w:bCs/>
          <w:iCs/>
          <w:spacing w:val="4"/>
          <w:lang w:eastAsia="pl-PL"/>
        </w:rPr>
      </w:pPr>
      <w:r w:rsidRPr="00903BF8">
        <w:rPr>
          <w:rFonts w:ascii="Lato" w:eastAsia="Times New Roman" w:hAnsi="Lato" w:cs="Arial"/>
          <w:bCs/>
          <w:iCs/>
          <w:spacing w:val="4"/>
          <w:lang w:eastAsia="pl-PL"/>
        </w:rPr>
        <w:t xml:space="preserve">W tym miejscu zasadnym jest także przywołanie stanowiska Trybunału Konstytucyjnego, który w uzasadnieniu wyroku z dnia 16 października 2012 r., K 4/10 – dotyczącym </w:t>
      </w:r>
      <w:r w:rsidRPr="00903BF8">
        <w:rPr>
          <w:rFonts w:ascii="Lato" w:eastAsia="Times New Roman" w:hAnsi="Lato" w:cs="Arial"/>
          <w:bCs/>
          <w:spacing w:val="4"/>
          <w:lang w:eastAsia="pl-PL"/>
        </w:rPr>
        <w:t>specustawy drogowej</w:t>
      </w:r>
      <w:r w:rsidRPr="00903BF8">
        <w:rPr>
          <w:rFonts w:ascii="Lato" w:eastAsia="Times New Roman" w:hAnsi="Lato" w:cs="Arial"/>
          <w:bCs/>
          <w:iCs/>
          <w:spacing w:val="4"/>
          <w:lang w:eastAsia="pl-PL"/>
        </w:rPr>
        <w:t xml:space="preserve"> – zwrócił uwagę na specyfikę spraw dotyczących budowy dróg publicznych, których budowa jest realizacją celu publicznego. Budowa bezpiecznych dróg w Polsce stanowi nadal priorytetowy cel publiczny, gdyż jest konieczna zarówno dla ochrony środowiska, jak </w:t>
      </w:r>
      <w:r w:rsidR="00A634B2">
        <w:rPr>
          <w:rFonts w:ascii="Lato" w:eastAsia="Times New Roman" w:hAnsi="Lato" w:cs="Arial"/>
          <w:bCs/>
          <w:iCs/>
          <w:spacing w:val="4"/>
          <w:lang w:eastAsia="pl-PL"/>
        </w:rPr>
        <w:br/>
      </w:r>
      <w:r w:rsidRPr="00903BF8">
        <w:rPr>
          <w:rFonts w:ascii="Lato" w:eastAsia="Times New Roman" w:hAnsi="Lato" w:cs="Arial"/>
          <w:bCs/>
          <w:iCs/>
          <w:spacing w:val="4"/>
          <w:lang w:eastAsia="pl-PL"/>
        </w:rPr>
        <w:t xml:space="preserve">i zdrowia, wolności i praw konstytucyjnych całych społeczności. Trybunał Konstytucyjny zwrócił uwagę, że po pierwsze, drogi są budowane nie </w:t>
      </w:r>
      <w:r w:rsidRPr="00903BF8">
        <w:rPr>
          <w:rFonts w:ascii="Lato" w:eastAsia="Times New Roman" w:hAnsi="Lato" w:cs="Arial"/>
          <w:bCs/>
          <w:iCs/>
          <w:spacing w:val="4"/>
          <w:lang w:eastAsia="pl-PL"/>
        </w:rPr>
        <w:br/>
        <w:t xml:space="preserve">w interesie państwa, jednostki samorządu terytorialnego czy zarządcy drogi, lecz </w:t>
      </w:r>
      <w:r w:rsidRPr="00903BF8">
        <w:rPr>
          <w:rFonts w:ascii="Lato" w:eastAsia="Times New Roman" w:hAnsi="Lato" w:cs="Arial"/>
          <w:bCs/>
          <w:iCs/>
          <w:spacing w:val="4"/>
          <w:lang w:eastAsia="pl-PL"/>
        </w:rPr>
        <w:br/>
        <w:t xml:space="preserve">w interesie wszystkich członków społeczeństwa, także tych wywłaszczonych; po drugie, uproszczona procedura wywłaszczenia z mocy prawa podczas realizacji inwestycji liniowych, obejmujących wiele nieruchomości, jest metodą skuteczną; po trzecie, lokalizacja (wytyczenie) drogi niejako narzuca listę nieruchomości, które muszą być zajęte, a zatem wywłaszczone. Jeżeli przyjmujemy, że przebieg drogi jest wyznaczony w sposób racjonalny przez grono specjalistów z zakresu transportu, geologii, ochrony środowiska, musimy przyjąć nieuchronność zajęcia ściśle oznaczonych gruntów </w:t>
      </w:r>
      <w:r w:rsidRPr="00903BF8">
        <w:rPr>
          <w:rFonts w:ascii="Lato" w:eastAsia="Times New Roman" w:hAnsi="Lato" w:cs="Arial"/>
          <w:bCs/>
          <w:iCs/>
          <w:spacing w:val="4"/>
          <w:lang w:eastAsia="pl-PL"/>
        </w:rPr>
        <w:br/>
        <w:t xml:space="preserve">pod budowę drogi. Trzeba mieć na względzie liniowy charakter inwestycji drogowych, który dyktuje w sposób naturalny pewne rozstrzygnięcia, </w:t>
      </w:r>
      <w:r w:rsidR="00A634B2">
        <w:rPr>
          <w:rFonts w:ascii="Lato" w:eastAsia="Times New Roman" w:hAnsi="Lato" w:cs="Arial"/>
          <w:bCs/>
          <w:iCs/>
          <w:spacing w:val="4"/>
          <w:lang w:eastAsia="pl-PL"/>
        </w:rPr>
        <w:br/>
      </w:r>
      <w:r w:rsidRPr="00903BF8">
        <w:rPr>
          <w:rFonts w:ascii="Lato" w:eastAsia="Times New Roman" w:hAnsi="Lato" w:cs="Arial"/>
          <w:bCs/>
          <w:iCs/>
          <w:spacing w:val="4"/>
          <w:lang w:eastAsia="pl-PL"/>
        </w:rPr>
        <w:t xml:space="preserve">w szczególności co do wyboru nieruchomości objętych decyzją i – w następstwie jej wydania – wywłaszczonych. Przy założonym przebiegu drogi – z jednej strony, wybór działek, przez które ma ona przebiegać, jest bardzo ograniczony </w:t>
      </w:r>
      <w:r w:rsidRPr="00903BF8">
        <w:rPr>
          <w:rFonts w:ascii="Lato" w:eastAsia="Times New Roman" w:hAnsi="Lato" w:cs="Arial"/>
          <w:bCs/>
          <w:iCs/>
          <w:spacing w:val="4"/>
          <w:lang w:eastAsia="pl-PL"/>
        </w:rPr>
        <w:lastRenderedPageBreak/>
        <w:t xml:space="preserve">albo wręcz wybór taki nie istnieje, z drugiej strony </w:t>
      </w:r>
      <w:r w:rsidRPr="00903BF8">
        <w:rPr>
          <w:rFonts w:ascii="Lato" w:eastAsia="Times New Roman" w:hAnsi="Lato" w:cs="Arial"/>
          <w:bCs/>
          <w:iCs/>
          <w:spacing w:val="4"/>
          <w:lang w:eastAsia="pl-PL"/>
        </w:rPr>
        <w:br/>
        <w:t xml:space="preserve">– wypadnięcie choćby jednej z grup wywłaszczonych nieruchomości może unicestwić całą inwestycję. </w:t>
      </w:r>
    </w:p>
    <w:p w14:paraId="54018E59" w14:textId="77777777" w:rsidR="009D644B" w:rsidRPr="00903BF8" w:rsidRDefault="009D644B" w:rsidP="009D644B">
      <w:pPr>
        <w:tabs>
          <w:tab w:val="left" w:pos="2977"/>
        </w:tabs>
        <w:spacing w:after="240" w:line="240" w:lineRule="atLeast"/>
        <w:jc w:val="both"/>
        <w:outlineLvl w:val="0"/>
        <w:rPr>
          <w:rFonts w:ascii="Lato" w:eastAsia="Times New Roman" w:hAnsi="Lato" w:cs="Arial"/>
          <w:bCs/>
          <w:iCs/>
          <w:spacing w:val="4"/>
          <w:lang w:eastAsia="pl-PL" w:bidi="pl-PL"/>
        </w:rPr>
      </w:pPr>
      <w:r w:rsidRPr="00903BF8">
        <w:rPr>
          <w:rFonts w:ascii="Lato" w:eastAsia="Times New Roman" w:hAnsi="Lato" w:cs="Arial"/>
          <w:bCs/>
          <w:iCs/>
          <w:spacing w:val="4"/>
          <w:lang w:eastAsia="pl-PL"/>
        </w:rPr>
        <w:t>W ocenie organu odwoławczego przedstawiony powyżej pogląd Trybunału Konstytucyjnego znajduje zastosowanie również w zakresie zasad ustalania lokalizacji innych inwestycji liniowych celu publicznego, a więc również inwestycji w zakresie terminalu oraz inwestycji towarzyszących.</w:t>
      </w:r>
      <w:r w:rsidRPr="00903BF8">
        <w:rPr>
          <w:rFonts w:ascii="Lato" w:eastAsia="Times New Roman" w:hAnsi="Lato" w:cs="Arial"/>
          <w:bCs/>
          <w:iCs/>
          <w:color w:val="000000"/>
          <w:spacing w:val="4"/>
          <w:lang w:eastAsia="pl-PL" w:bidi="pl-PL"/>
        </w:rPr>
        <w:t xml:space="preserve"> </w:t>
      </w:r>
      <w:r w:rsidRPr="00903BF8">
        <w:rPr>
          <w:rFonts w:ascii="Lato" w:eastAsia="Times New Roman" w:hAnsi="Lato" w:cs="Arial"/>
          <w:bCs/>
          <w:iCs/>
          <w:spacing w:val="4"/>
          <w:lang w:eastAsia="pl-PL" w:bidi="pl-PL"/>
        </w:rPr>
        <w:t>Powyższe stwierdzenia mają bowiem uniwersalny wymiar, niezależnie od przedmiotu postępowania, z uwagi na jedność interpretacji w ramach spójnego systemu prawa.</w:t>
      </w:r>
    </w:p>
    <w:p w14:paraId="5ABEC4D2" w14:textId="3E5FA522" w:rsidR="009D644B" w:rsidRPr="00903BF8" w:rsidRDefault="009D644B" w:rsidP="009D644B">
      <w:pPr>
        <w:spacing w:after="240" w:line="240" w:lineRule="atLeast"/>
        <w:jc w:val="both"/>
        <w:rPr>
          <w:rFonts w:ascii="Lato" w:hAnsi="Lato" w:cs="Arial"/>
          <w:spacing w:val="4"/>
        </w:rPr>
      </w:pPr>
      <w:r w:rsidRPr="00903BF8">
        <w:rPr>
          <w:rFonts w:ascii="Lato" w:hAnsi="Lato" w:cs="Arial"/>
          <w:spacing w:val="4"/>
        </w:rPr>
        <w:t xml:space="preserve">Wobec powyższego, organ odwoławczy wezwał </w:t>
      </w:r>
      <w:r w:rsidRPr="00903BF8">
        <w:rPr>
          <w:rFonts w:ascii="Lato" w:hAnsi="Lato" w:cs="Arial"/>
          <w:iCs/>
          <w:spacing w:val="4"/>
        </w:rPr>
        <w:t>inwestora</w:t>
      </w:r>
      <w:r w:rsidRPr="00903BF8">
        <w:rPr>
          <w:rFonts w:ascii="Lato" w:hAnsi="Lato" w:cs="Arial"/>
          <w:spacing w:val="4"/>
        </w:rPr>
        <w:t xml:space="preserve"> do wypowiedzenia się w sprawie zastrzeżeń dotyczących lokalizacji przedmiotowej inwestycji podniesionych przez skarżące strony.  </w:t>
      </w:r>
    </w:p>
    <w:p w14:paraId="639199FB" w14:textId="764ECF08" w:rsidR="009D644B" w:rsidRPr="00903BF8" w:rsidRDefault="009D644B" w:rsidP="009D644B">
      <w:pPr>
        <w:tabs>
          <w:tab w:val="left" w:pos="2977"/>
        </w:tabs>
        <w:spacing w:after="240" w:line="240" w:lineRule="atLeast"/>
        <w:jc w:val="both"/>
        <w:outlineLvl w:val="0"/>
        <w:rPr>
          <w:rFonts w:ascii="Lato" w:hAnsi="Lato" w:cs="Arial"/>
          <w:spacing w:val="4"/>
        </w:rPr>
      </w:pPr>
      <w:r w:rsidRPr="00903BF8">
        <w:rPr>
          <w:rFonts w:ascii="Lato" w:hAnsi="Lato" w:cs="Arial"/>
          <w:spacing w:val="4"/>
        </w:rPr>
        <w:t>Inwestor,</w:t>
      </w:r>
      <w:r w:rsidRPr="00903BF8">
        <w:rPr>
          <w:rFonts w:ascii="Lato" w:hAnsi="Lato" w:cs="Arial"/>
          <w:i/>
          <w:iCs/>
          <w:spacing w:val="4"/>
        </w:rPr>
        <w:t xml:space="preserve"> </w:t>
      </w:r>
      <w:r w:rsidRPr="00903BF8">
        <w:rPr>
          <w:rFonts w:ascii="Lato" w:hAnsi="Lato" w:cs="Arial"/>
          <w:iCs/>
          <w:spacing w:val="4"/>
        </w:rPr>
        <w:t xml:space="preserve">stosownie do wezwania organu odwoławczego, odniósł się zarzutów wskazując, iż w jego ocenie nie zasługują one na uwzględnienie. Stanowisko </w:t>
      </w:r>
      <w:r w:rsidRPr="00903BF8">
        <w:rPr>
          <w:rFonts w:ascii="Lato" w:hAnsi="Lato" w:cs="Arial"/>
          <w:spacing w:val="4"/>
        </w:rPr>
        <w:t xml:space="preserve">inwestora </w:t>
      </w:r>
      <w:r w:rsidRPr="00903BF8">
        <w:rPr>
          <w:rFonts w:ascii="Lato" w:hAnsi="Lato" w:cs="Arial"/>
          <w:iCs/>
          <w:spacing w:val="4"/>
        </w:rPr>
        <w:t xml:space="preserve">organ odwoławczy, działając w oparciu o art. 9 </w:t>
      </w:r>
      <w:r w:rsidRPr="00903BF8">
        <w:rPr>
          <w:rFonts w:ascii="Lato" w:hAnsi="Lato" w:cs="Arial"/>
          <w:spacing w:val="4"/>
        </w:rPr>
        <w:t>kpa</w:t>
      </w:r>
      <w:r w:rsidRPr="00903BF8">
        <w:rPr>
          <w:rFonts w:ascii="Lato" w:hAnsi="Lato" w:cs="Arial"/>
          <w:iCs/>
          <w:spacing w:val="4"/>
        </w:rPr>
        <w:t>, przesłał skarżącym, zawiadamiając jednocześnie, stosownie do art. 10</w:t>
      </w:r>
      <w:r w:rsidRPr="00903BF8">
        <w:rPr>
          <w:rFonts w:ascii="Lato" w:hAnsi="Lato" w:cs="Arial"/>
          <w:spacing w:val="4"/>
        </w:rPr>
        <w:t xml:space="preserve"> kpa</w:t>
      </w:r>
      <w:r w:rsidRPr="00903BF8">
        <w:rPr>
          <w:rFonts w:ascii="Lato" w:hAnsi="Lato" w:cs="Arial"/>
          <w:iCs/>
          <w:spacing w:val="4"/>
        </w:rPr>
        <w:t>, o prawie wypowiedzenia się, co do zebranych dowodów i materiałów</w:t>
      </w:r>
      <w:r w:rsidRPr="00903BF8">
        <w:rPr>
          <w:rFonts w:ascii="Lato" w:hAnsi="Lato" w:cs="Arial"/>
          <w:spacing w:val="4"/>
        </w:rPr>
        <w:t xml:space="preserve"> oraz zgłoszonych żądań, a także o możliwości zapoznania się z aktami sprawy.</w:t>
      </w:r>
    </w:p>
    <w:p w14:paraId="63CD2F63" w14:textId="0E11D6D6" w:rsidR="009D644B" w:rsidRPr="00903BF8" w:rsidRDefault="009D644B" w:rsidP="009D644B">
      <w:pPr>
        <w:spacing w:after="240" w:line="240" w:lineRule="atLeast"/>
        <w:jc w:val="both"/>
        <w:rPr>
          <w:rFonts w:ascii="Lato" w:hAnsi="Lato" w:cs="Arial"/>
          <w:spacing w:val="4"/>
        </w:rPr>
      </w:pPr>
      <w:r w:rsidRPr="00903BF8">
        <w:rPr>
          <w:rFonts w:ascii="Lato" w:hAnsi="Lato" w:cs="Arial"/>
          <w:spacing w:val="4"/>
        </w:rPr>
        <w:t xml:space="preserve">Po przeanalizowaniu zarzutów skarżących, zawartych w odwołaniu jak </w:t>
      </w:r>
      <w:r w:rsidR="00A634B2">
        <w:rPr>
          <w:rFonts w:ascii="Lato" w:hAnsi="Lato" w:cs="Arial"/>
          <w:spacing w:val="4"/>
        </w:rPr>
        <w:br/>
      </w:r>
      <w:r w:rsidRPr="00903BF8">
        <w:rPr>
          <w:rFonts w:ascii="Lato" w:hAnsi="Lato" w:cs="Arial"/>
          <w:spacing w:val="4"/>
        </w:rPr>
        <w:t>i wyjaśnień przekazanych przez inwestora Minister stwierdził, że objęcie zakresem przedmiotowej inwestycji działki skarżących, w sposób wskazany we wniosku inwestora, a następnie w decyzji Wojewody Lubelskiego, nie narusza prawa. W ocenie Ministra, zaskarżona decyzja nie przewiduje rozwiązań, które wprowadzają nadmierną, a w szczególności nieuzasadnioną ingerencję w prawo własności skarżących stron. Teren będący własnością skarżących stron nie został ograniczony w korzystaniu w wymiarze większym, niż jest to wymagane dla lokalizacji przedmiotowej inwestycji.</w:t>
      </w:r>
    </w:p>
    <w:p w14:paraId="519FD6CF" w14:textId="79674224" w:rsidR="009D644B" w:rsidRPr="00903BF8" w:rsidRDefault="009D644B" w:rsidP="009D644B">
      <w:pPr>
        <w:spacing w:after="240" w:line="240" w:lineRule="atLeast"/>
        <w:jc w:val="both"/>
        <w:rPr>
          <w:rFonts w:ascii="Lato" w:hAnsi="Lato"/>
          <w:spacing w:val="4"/>
        </w:rPr>
      </w:pPr>
      <w:r w:rsidRPr="00903BF8">
        <w:rPr>
          <w:rFonts w:ascii="Lato" w:hAnsi="Lato"/>
          <w:spacing w:val="4"/>
        </w:rPr>
        <w:t>Jak wynika z treści odwołania skarżących, wadliwości decyzji Wojewody Lubelskiego</w:t>
      </w:r>
      <w:r w:rsidRPr="00903BF8">
        <w:rPr>
          <w:rFonts w:ascii="Lato" w:hAnsi="Lato"/>
          <w:i/>
          <w:iCs/>
          <w:spacing w:val="4"/>
        </w:rPr>
        <w:t xml:space="preserve"> </w:t>
      </w:r>
      <w:r w:rsidRPr="00903BF8">
        <w:rPr>
          <w:rFonts w:ascii="Lato" w:hAnsi="Lato"/>
          <w:spacing w:val="4"/>
        </w:rPr>
        <w:t>upatrują oni między innymi w</w:t>
      </w:r>
      <w:r w:rsidRPr="00903BF8">
        <w:rPr>
          <w:rFonts w:ascii="Lato" w:hAnsi="Lato"/>
          <w:i/>
          <w:iCs/>
          <w:spacing w:val="4"/>
        </w:rPr>
        <w:t xml:space="preserve"> </w:t>
      </w:r>
      <w:r w:rsidRPr="00903BF8">
        <w:rPr>
          <w:rFonts w:ascii="Lato" w:hAnsi="Lato"/>
          <w:spacing w:val="4"/>
        </w:rPr>
        <w:t>nieprawidłowym wyznaczeniu przez inwestora</w:t>
      </w:r>
      <w:r w:rsidRPr="00903BF8">
        <w:rPr>
          <w:rFonts w:ascii="Lato" w:hAnsi="Lato"/>
          <w:i/>
          <w:iCs/>
          <w:spacing w:val="4"/>
        </w:rPr>
        <w:t xml:space="preserve"> </w:t>
      </w:r>
      <w:r w:rsidRPr="00903BF8">
        <w:rPr>
          <w:rFonts w:ascii="Lato" w:hAnsi="Lato"/>
          <w:spacing w:val="4"/>
        </w:rPr>
        <w:t>obszaru, który objęło dokonane ograniczenie trwałe jak i czasowe.  Wskazano bowiem, iż obszar ograniczeni</w:t>
      </w:r>
      <w:r w:rsidR="000E7892">
        <w:rPr>
          <w:rFonts w:ascii="Lato" w:hAnsi="Lato"/>
          <w:spacing w:val="4"/>
        </w:rPr>
        <w:t>a</w:t>
      </w:r>
      <w:r w:rsidRPr="00903BF8">
        <w:rPr>
          <w:rFonts w:ascii="Lato" w:hAnsi="Lato"/>
          <w:spacing w:val="4"/>
        </w:rPr>
        <w:t xml:space="preserve"> obejmuje dużą część działki nr 45/3 uniemożliwiając zagospodarowanie ww. gruntu zgodnie z przeznaczeniem, </w:t>
      </w:r>
      <w:r w:rsidR="00A634B2">
        <w:rPr>
          <w:rFonts w:ascii="Lato" w:hAnsi="Lato"/>
          <w:spacing w:val="4"/>
        </w:rPr>
        <w:br/>
      </w:r>
      <w:r w:rsidRPr="00903BF8">
        <w:rPr>
          <w:rFonts w:ascii="Lato" w:hAnsi="Lato"/>
          <w:spacing w:val="4"/>
        </w:rPr>
        <w:t xml:space="preserve">a w praktyce trwale pozbawia właścicieli prawa do korzystania z nieruchomości oraz rozporządzania nią, co zdaniem skarżących stanowi naruszenie istoty prawa własności podlegającego ochronie konstytucyjnej Ponadto w ocenie skarżących decyzja Wojewody Lubelskiego narusza art. 24 specustawy gazowej poprzez jego zastosowanie bez wykazania, że wprowadzone ograniczenia są niezbędne </w:t>
      </w:r>
      <w:r>
        <w:rPr>
          <w:rFonts w:ascii="Lato" w:hAnsi="Lato"/>
          <w:spacing w:val="4"/>
        </w:rPr>
        <w:br/>
      </w:r>
      <w:r w:rsidRPr="00903BF8">
        <w:rPr>
          <w:rFonts w:ascii="Lato" w:hAnsi="Lato"/>
          <w:spacing w:val="4"/>
        </w:rPr>
        <w:t>i proporcjonalne oraz stanowią rozwiązania najmniej uciążliwe dla właściciela nieruchomości.</w:t>
      </w:r>
    </w:p>
    <w:p w14:paraId="7C00A7F9" w14:textId="40F29505"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cs="Arial"/>
          <w:bCs/>
          <w:iCs/>
          <w:spacing w:val="4"/>
        </w:rPr>
        <w:t xml:space="preserve">Zauważyć należy, że w art. 24 ust. 1 specustawy gazowej ustawodawca umożliwił organowi wydającemu decyzję o ustaleniu lokalizacji inwestycji </w:t>
      </w:r>
      <w:r w:rsidRPr="00903BF8">
        <w:rPr>
          <w:rFonts w:ascii="Lato" w:hAnsi="Lato" w:cs="Arial"/>
          <w:bCs/>
          <w:iCs/>
          <w:spacing w:val="4"/>
        </w:rPr>
        <w:lastRenderedPageBreak/>
        <w:t xml:space="preserve">wprowadzenie ograniczenia prawa własności nieruchomości określonych w art. 10 ust. 1 pkt 8 specustawy gazowej poprzez udzielenie zezwolenia </w:t>
      </w:r>
      <w:r w:rsidR="00A634B2">
        <w:rPr>
          <w:rFonts w:ascii="Lato" w:hAnsi="Lato" w:cs="Arial"/>
          <w:bCs/>
          <w:iCs/>
          <w:spacing w:val="4"/>
        </w:rPr>
        <w:br/>
      </w:r>
      <w:r w:rsidRPr="00903BF8">
        <w:rPr>
          <w:rFonts w:ascii="Lato" w:hAnsi="Lato" w:cs="Arial"/>
          <w:bCs/>
          <w:iCs/>
          <w:spacing w:val="4"/>
        </w:rPr>
        <w:t xml:space="preserve">w szczególności na zakładanie i przeprowadzenie na nieruchomości ciągów drenażowych, przewodów i urządzeń służących do przesyłania płynów, pary, gazów i energii elektrycznej oraz urządzeń łączności publicznej i sygnalizacji, </w:t>
      </w:r>
      <w:r w:rsidR="00A634B2">
        <w:rPr>
          <w:rFonts w:ascii="Lato" w:hAnsi="Lato" w:cs="Arial"/>
          <w:bCs/>
          <w:iCs/>
          <w:spacing w:val="4"/>
        </w:rPr>
        <w:br/>
      </w:r>
      <w:r w:rsidRPr="00903BF8">
        <w:rPr>
          <w:rFonts w:ascii="Lato" w:hAnsi="Lato" w:cs="Arial"/>
          <w:bCs/>
          <w:iCs/>
          <w:spacing w:val="4"/>
        </w:rPr>
        <w:t>a także innych podziemnych, naziemnych lub nadziemnych obiektów i urządzeń niezbędnych do założenia, przeprowadzenia oraz korzystania z tych przewodów i urządzeń. Jednocześnie wskazano cel, dla którego wprowadza się takie ograniczenie – zapewnienie prawa do wejścia na teren nieruchomości dla prowadzenia na nich budowy inwestycji w zakresie terminalu, a także prac związanych z rozbiórką, przebudową, zmianą sposobu użytkowania, utrzymaniem, eksploatacją, użytkowaniem, remontami oraz usuwaniem awarii.</w:t>
      </w:r>
      <w:r w:rsidRPr="00903BF8">
        <w:rPr>
          <w:rFonts w:ascii="Lato" w:hAnsi="Lato" w:cs="Arial"/>
          <w:bCs/>
          <w:iCs/>
          <w:spacing w:val="4"/>
          <w:lang w:bidi="pl-PL"/>
        </w:rPr>
        <w:t xml:space="preserve"> </w:t>
      </w:r>
    </w:p>
    <w:p w14:paraId="4039076C" w14:textId="4650086F"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 xml:space="preserve">Przepis art. 24 </w:t>
      </w:r>
      <w:r w:rsidRPr="00903BF8">
        <w:rPr>
          <w:rFonts w:ascii="Lato" w:hAnsi="Lato" w:cs="Arial"/>
          <w:bCs/>
          <w:spacing w:val="4"/>
          <w:lang w:bidi="pl-PL"/>
        </w:rPr>
        <w:t>specustawy gazowej, podobnie jak inne tego rodzaju regulacje wprowadzające władcze mechanizmy zapewniające instrumenty umożliwiające realizację inwestycji celu publicznego, takie jak m.in. art. 22 specustawy przesyłowej, oraz art. 30 ustawy z 22 lutego 2019 r.</w:t>
      </w:r>
      <w:r w:rsidR="00A634B2">
        <w:rPr>
          <w:rFonts w:ascii="Lato" w:hAnsi="Lato" w:cs="Arial"/>
          <w:bCs/>
          <w:spacing w:val="4"/>
          <w:lang w:bidi="pl-PL"/>
        </w:rPr>
        <w:t>,</w:t>
      </w:r>
      <w:r w:rsidRPr="00903BF8">
        <w:rPr>
          <w:rFonts w:ascii="Lato" w:hAnsi="Lato" w:cs="Arial"/>
          <w:bCs/>
          <w:spacing w:val="4"/>
          <w:lang w:bidi="pl-PL"/>
        </w:rPr>
        <w:t xml:space="preserve"> o przygotowaniu i realizacji strategicznych inwestycji w sektorze naftowym (</w:t>
      </w:r>
      <w:proofErr w:type="spellStart"/>
      <w:r w:rsidRPr="00903BF8">
        <w:rPr>
          <w:rFonts w:ascii="Lato" w:hAnsi="Lato" w:cs="Arial"/>
          <w:bCs/>
          <w:spacing w:val="4"/>
          <w:lang w:bidi="pl-PL"/>
        </w:rPr>
        <w:t>t.j</w:t>
      </w:r>
      <w:proofErr w:type="spellEnd"/>
      <w:r w:rsidRPr="00903BF8">
        <w:rPr>
          <w:rFonts w:ascii="Lato" w:hAnsi="Lato" w:cs="Arial"/>
          <w:bCs/>
          <w:spacing w:val="4"/>
          <w:lang w:bidi="pl-PL"/>
        </w:rPr>
        <w:t>. Dz.U. z 2024 r.</w:t>
      </w:r>
      <w:r w:rsidR="00A634B2">
        <w:rPr>
          <w:rFonts w:ascii="Lato" w:hAnsi="Lato" w:cs="Arial"/>
          <w:bCs/>
          <w:spacing w:val="4"/>
          <w:lang w:bidi="pl-PL"/>
        </w:rPr>
        <w:t>,</w:t>
      </w:r>
      <w:r w:rsidRPr="00903BF8">
        <w:rPr>
          <w:rFonts w:ascii="Lato" w:hAnsi="Lato" w:cs="Arial"/>
          <w:bCs/>
          <w:spacing w:val="4"/>
          <w:lang w:bidi="pl-PL"/>
        </w:rPr>
        <w:t xml:space="preserve"> poz. 1839), na zasadzie lex </w:t>
      </w:r>
      <w:proofErr w:type="spellStart"/>
      <w:r w:rsidRPr="00903BF8">
        <w:rPr>
          <w:rFonts w:ascii="Lato" w:hAnsi="Lato" w:cs="Arial"/>
          <w:bCs/>
          <w:spacing w:val="4"/>
          <w:lang w:bidi="pl-PL"/>
        </w:rPr>
        <w:t>specialis</w:t>
      </w:r>
      <w:proofErr w:type="spellEnd"/>
      <w:r w:rsidRPr="00903BF8">
        <w:rPr>
          <w:rFonts w:ascii="Lato" w:hAnsi="Lato" w:cs="Arial"/>
          <w:bCs/>
          <w:spacing w:val="4"/>
          <w:lang w:bidi="pl-PL"/>
        </w:rPr>
        <w:t xml:space="preserve"> przewiduje szczególny</w:t>
      </w:r>
      <w:r w:rsidR="000E7892">
        <w:rPr>
          <w:rFonts w:ascii="Lato" w:hAnsi="Lato" w:cs="Arial"/>
          <w:bCs/>
          <w:spacing w:val="4"/>
          <w:lang w:bidi="pl-PL"/>
        </w:rPr>
        <w:t>,</w:t>
      </w:r>
      <w:r w:rsidRPr="00903BF8">
        <w:rPr>
          <w:rFonts w:ascii="Lato" w:hAnsi="Lato" w:cs="Arial"/>
          <w:bCs/>
          <w:spacing w:val="4"/>
          <w:lang w:bidi="pl-PL"/>
        </w:rPr>
        <w:t xml:space="preserve"> władczy tryb ustanowienia </w:t>
      </w:r>
      <w:r w:rsidR="00A634B2">
        <w:rPr>
          <w:rFonts w:ascii="Lato" w:hAnsi="Lato" w:cs="Arial"/>
          <w:bCs/>
          <w:spacing w:val="4"/>
          <w:lang w:bidi="pl-PL"/>
        </w:rPr>
        <w:br/>
      </w:r>
      <w:r w:rsidRPr="00903BF8">
        <w:rPr>
          <w:rFonts w:ascii="Lato" w:hAnsi="Lato" w:cs="Arial"/>
          <w:bCs/>
          <w:spacing w:val="4"/>
          <w:lang w:bidi="pl-PL"/>
        </w:rPr>
        <w:t>i wykonywania służebności publicznej w stosunku do generalnego rozwiązania dotyczącego służebności publicznej zawartego w art. 124 ustawy z dnia 21 sierpnia 1997 r.</w:t>
      </w:r>
      <w:r w:rsidR="00A634B2">
        <w:rPr>
          <w:rFonts w:ascii="Lato" w:hAnsi="Lato" w:cs="Arial"/>
          <w:bCs/>
          <w:spacing w:val="4"/>
          <w:lang w:bidi="pl-PL"/>
        </w:rPr>
        <w:t>,</w:t>
      </w:r>
      <w:r w:rsidRPr="00903BF8">
        <w:rPr>
          <w:rFonts w:ascii="Lato" w:hAnsi="Lato" w:cs="Arial"/>
          <w:bCs/>
          <w:spacing w:val="4"/>
          <w:lang w:bidi="pl-PL"/>
        </w:rPr>
        <w:t xml:space="preserve"> o gospodarce nieruchomościami (</w:t>
      </w:r>
      <w:proofErr w:type="spellStart"/>
      <w:r w:rsidRPr="00903BF8">
        <w:rPr>
          <w:rFonts w:ascii="Lato" w:hAnsi="Lato" w:cs="Arial"/>
          <w:bCs/>
          <w:spacing w:val="4"/>
          <w:lang w:bidi="pl-PL"/>
        </w:rPr>
        <w:t>t.j</w:t>
      </w:r>
      <w:proofErr w:type="spellEnd"/>
      <w:r w:rsidRPr="00903BF8">
        <w:rPr>
          <w:rFonts w:ascii="Lato" w:hAnsi="Lato" w:cs="Arial"/>
          <w:bCs/>
          <w:spacing w:val="4"/>
          <w:lang w:bidi="pl-PL"/>
        </w:rPr>
        <w:t xml:space="preserve">. </w:t>
      </w:r>
      <w:r w:rsidRPr="00903BF8">
        <w:rPr>
          <w:rFonts w:ascii="Lato" w:hAnsi="Lato" w:cs="Arial"/>
          <w:bCs/>
          <w:iCs/>
          <w:spacing w:val="4"/>
          <w:lang w:bidi="pl-PL"/>
        </w:rPr>
        <w:t>Dz.U. z 2026 r.</w:t>
      </w:r>
      <w:r w:rsidR="00A634B2">
        <w:rPr>
          <w:rFonts w:ascii="Lato" w:hAnsi="Lato" w:cs="Arial"/>
          <w:bCs/>
          <w:iCs/>
          <w:spacing w:val="4"/>
          <w:lang w:bidi="pl-PL"/>
        </w:rPr>
        <w:t>,</w:t>
      </w:r>
      <w:r w:rsidRPr="00903BF8">
        <w:rPr>
          <w:rFonts w:ascii="Lato" w:hAnsi="Lato" w:cs="Arial"/>
          <w:bCs/>
          <w:iCs/>
          <w:spacing w:val="4"/>
          <w:lang w:bidi="pl-PL"/>
        </w:rPr>
        <w:t xml:space="preserve"> poz. 399</w:t>
      </w:r>
      <w:r w:rsidRPr="00903BF8">
        <w:rPr>
          <w:rFonts w:ascii="Lato" w:hAnsi="Lato" w:cs="Arial"/>
          <w:bCs/>
          <w:spacing w:val="4"/>
          <w:lang w:bidi="pl-PL"/>
        </w:rPr>
        <w:t>), zwanej dalej „</w:t>
      </w:r>
      <w:proofErr w:type="spellStart"/>
      <w:r w:rsidRPr="00903BF8">
        <w:rPr>
          <w:rFonts w:ascii="Lato" w:hAnsi="Lato" w:cs="Arial"/>
          <w:bCs/>
          <w:spacing w:val="4"/>
          <w:lang w:bidi="pl-PL"/>
        </w:rPr>
        <w:t>ugn</w:t>
      </w:r>
      <w:proofErr w:type="spellEnd"/>
      <w:r w:rsidRPr="00903BF8">
        <w:rPr>
          <w:rFonts w:ascii="Lato" w:hAnsi="Lato" w:cs="Arial"/>
          <w:bCs/>
          <w:spacing w:val="4"/>
          <w:lang w:bidi="pl-PL"/>
        </w:rPr>
        <w:t>”</w:t>
      </w:r>
      <w:r w:rsidRPr="00903BF8">
        <w:rPr>
          <w:rFonts w:ascii="Lato" w:hAnsi="Lato" w:cs="Arial"/>
          <w:bCs/>
          <w:iCs/>
          <w:spacing w:val="4"/>
          <w:lang w:bidi="pl-PL"/>
        </w:rPr>
        <w:t xml:space="preserve">. A zatem nie stosuje się w tych sprawach rokowań </w:t>
      </w:r>
      <w:r w:rsidR="00A634B2">
        <w:rPr>
          <w:rFonts w:ascii="Lato" w:hAnsi="Lato" w:cs="Arial"/>
          <w:bCs/>
          <w:iCs/>
          <w:spacing w:val="4"/>
          <w:lang w:bidi="pl-PL"/>
        </w:rPr>
        <w:br/>
      </w:r>
      <w:r w:rsidRPr="00903BF8">
        <w:rPr>
          <w:rFonts w:ascii="Lato" w:hAnsi="Lato" w:cs="Arial"/>
          <w:bCs/>
          <w:iCs/>
          <w:spacing w:val="4"/>
          <w:lang w:bidi="pl-PL"/>
        </w:rPr>
        <w:t>z właścicielem nieruchomości.</w:t>
      </w:r>
    </w:p>
    <w:p w14:paraId="66DE9FC3" w14:textId="77777777"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 xml:space="preserve">W literaturze przedmiotu wskazuje się, iż w zakres służebności publicznej wchodzą trzy strefy: strefa montażowa, strefa istnienia urządzenia (pas eksploatacyjny) oraz sfera oddziaływania, nazywana w zależności od operatora sieci jako pas technologiczny, strefa bezpieczeństwa lub strefa kontrolowana (por. M. </w:t>
      </w:r>
      <w:proofErr w:type="spellStart"/>
      <w:r w:rsidRPr="00903BF8">
        <w:rPr>
          <w:rFonts w:ascii="Lato" w:hAnsi="Lato" w:cs="Arial"/>
          <w:bCs/>
          <w:iCs/>
          <w:spacing w:val="4"/>
          <w:lang w:bidi="pl-PL"/>
        </w:rPr>
        <w:t>Gdesz</w:t>
      </w:r>
      <w:proofErr w:type="spellEnd"/>
      <w:r w:rsidRPr="00903BF8">
        <w:rPr>
          <w:rFonts w:ascii="Lato" w:hAnsi="Lato" w:cs="Arial"/>
          <w:bCs/>
          <w:iCs/>
          <w:spacing w:val="4"/>
          <w:lang w:bidi="pl-PL"/>
        </w:rPr>
        <w:t xml:space="preserve">, A. </w:t>
      </w:r>
      <w:proofErr w:type="spellStart"/>
      <w:r w:rsidRPr="00903BF8">
        <w:rPr>
          <w:rFonts w:ascii="Lato" w:hAnsi="Lato" w:cs="Arial"/>
          <w:bCs/>
          <w:iCs/>
          <w:spacing w:val="4"/>
          <w:lang w:bidi="pl-PL"/>
        </w:rPr>
        <w:t>Milicka-Stojek</w:t>
      </w:r>
      <w:proofErr w:type="spellEnd"/>
      <w:r w:rsidRPr="00903BF8">
        <w:rPr>
          <w:rFonts w:ascii="Lato" w:hAnsi="Lato" w:cs="Arial"/>
          <w:bCs/>
          <w:iCs/>
          <w:spacing w:val="4"/>
          <w:lang w:bidi="pl-PL"/>
        </w:rPr>
        <w:t xml:space="preserve">, C. Kowalczyk, D. Konieczny: „Aspekty prawne i ekonomiczne administracyjnego ograniczenia korzystania z nieruchomości – służebność publiczna i odszkodowania”, wyd. Instytut Infrastruktury Liniowej, Olsztyn 2016, s. 36-39). </w:t>
      </w:r>
    </w:p>
    <w:p w14:paraId="05A3DA67" w14:textId="070FD2FE" w:rsidR="009D644B" w:rsidRPr="00903BF8" w:rsidRDefault="009D644B" w:rsidP="009D644B">
      <w:pPr>
        <w:tabs>
          <w:tab w:val="left" w:pos="2977"/>
        </w:tabs>
        <w:spacing w:after="240" w:line="240" w:lineRule="atLeast"/>
        <w:jc w:val="both"/>
        <w:outlineLvl w:val="0"/>
        <w:rPr>
          <w:rFonts w:ascii="Lato" w:hAnsi="Lato" w:cs="Arial"/>
          <w:bCs/>
          <w:spacing w:val="4"/>
        </w:rPr>
      </w:pPr>
      <w:r w:rsidRPr="00903BF8">
        <w:rPr>
          <w:rFonts w:ascii="Lato" w:hAnsi="Lato"/>
          <w:spacing w:val="4"/>
        </w:rPr>
        <w:t>Treść art. 24 ust. 1 specustawy gazowej</w:t>
      </w:r>
      <w:r w:rsidRPr="00903BF8">
        <w:rPr>
          <w:rFonts w:ascii="Lato" w:hAnsi="Lato"/>
          <w:i/>
          <w:iCs/>
          <w:spacing w:val="4"/>
        </w:rPr>
        <w:t xml:space="preserve"> </w:t>
      </w:r>
      <w:r w:rsidRPr="00903BF8">
        <w:rPr>
          <w:rFonts w:ascii="Lato" w:hAnsi="Lato"/>
          <w:spacing w:val="4"/>
        </w:rPr>
        <w:t xml:space="preserve">nie pozostawia wątpliwości, że intencją ustawodawcy było takie ukształtowanie ograniczenia prawa własności nieruchomości objętych inwestycją, aby stworzyć inwestorowi prawną możliwość i warunki do jak najszybszego przystąpienia do realizacji inwestycji, </w:t>
      </w:r>
      <w:r w:rsidR="00A634B2">
        <w:rPr>
          <w:rFonts w:ascii="Lato" w:hAnsi="Lato"/>
          <w:spacing w:val="4"/>
        </w:rPr>
        <w:br/>
      </w:r>
      <w:r w:rsidRPr="00903BF8">
        <w:rPr>
          <w:rFonts w:ascii="Lato" w:hAnsi="Lato"/>
          <w:spacing w:val="4"/>
        </w:rPr>
        <w:t xml:space="preserve">a następnie zapewnić możliwość jej prawidłowej eksploatacji i utrzymania. </w:t>
      </w:r>
      <w:r w:rsidRPr="00903BF8">
        <w:rPr>
          <w:rFonts w:ascii="Lato" w:hAnsi="Lato" w:cs="Arial"/>
          <w:bCs/>
          <w:iCs/>
          <w:spacing w:val="4"/>
          <w:lang w:bidi="pl-PL"/>
        </w:rPr>
        <w:t>Stosownie do art. 24 ust. 1</w:t>
      </w:r>
      <w:r w:rsidR="000E7892">
        <w:rPr>
          <w:rFonts w:ascii="Lato" w:hAnsi="Lato" w:cs="Arial"/>
          <w:bCs/>
          <w:iCs/>
          <w:spacing w:val="4"/>
          <w:lang w:bidi="pl-PL"/>
        </w:rPr>
        <w:t>b</w:t>
      </w:r>
      <w:r w:rsidRPr="00903BF8">
        <w:rPr>
          <w:rFonts w:ascii="Lato" w:hAnsi="Lato" w:cs="Arial"/>
          <w:bCs/>
          <w:iCs/>
          <w:spacing w:val="4"/>
          <w:lang w:bidi="pl-PL"/>
        </w:rPr>
        <w:t xml:space="preserve"> specustawy gazowej, na wniosek inwestora ograniczenie sposobu korzystania</w:t>
      </w:r>
      <w:r w:rsidR="000E7892">
        <w:rPr>
          <w:rFonts w:ascii="Lato" w:hAnsi="Lato" w:cs="Arial"/>
          <w:bCs/>
          <w:iCs/>
          <w:spacing w:val="4"/>
          <w:lang w:bidi="pl-PL"/>
        </w:rPr>
        <w:t xml:space="preserve"> </w:t>
      </w:r>
      <w:r w:rsidRPr="00903BF8">
        <w:rPr>
          <w:rFonts w:ascii="Lato" w:hAnsi="Lato" w:cs="Arial"/>
          <w:bCs/>
          <w:iCs/>
          <w:spacing w:val="4"/>
          <w:lang w:bidi="pl-PL"/>
        </w:rPr>
        <w:t>z nieruchomości, o którym mowa w art. 24 ust. 1, może nastąpić na czas określony.</w:t>
      </w:r>
    </w:p>
    <w:p w14:paraId="79FE5DBB" w14:textId="6DEAF4C1" w:rsidR="009D644B" w:rsidRPr="00903BF8" w:rsidRDefault="009D644B" w:rsidP="009D644B">
      <w:pPr>
        <w:spacing w:after="240" w:line="240" w:lineRule="atLeast"/>
        <w:jc w:val="both"/>
        <w:rPr>
          <w:rFonts w:ascii="Lato" w:hAnsi="Lato" w:cs="Arial"/>
          <w:spacing w:val="4"/>
        </w:rPr>
      </w:pPr>
      <w:r w:rsidRPr="00903BF8">
        <w:rPr>
          <w:rFonts w:ascii="Lato" w:hAnsi="Lato" w:cs="Arial"/>
          <w:spacing w:val="4"/>
        </w:rPr>
        <w:t xml:space="preserve">Korzystając z uprawnień określonych w art. 24 ust. 1 specustawy przesyłowej Wojewoda Lubelski orzekł </w:t>
      </w:r>
      <w:r w:rsidR="000E7892">
        <w:rPr>
          <w:rFonts w:ascii="Lato" w:hAnsi="Lato" w:cs="Arial"/>
          <w:spacing w:val="4"/>
        </w:rPr>
        <w:t xml:space="preserve">zatem </w:t>
      </w:r>
      <w:r w:rsidRPr="00903BF8">
        <w:rPr>
          <w:rFonts w:ascii="Lato" w:hAnsi="Lato" w:cs="Arial"/>
          <w:spacing w:val="4"/>
        </w:rPr>
        <w:t xml:space="preserve">o ustanowieniu służebności publicznej </w:t>
      </w:r>
      <w:r w:rsidR="006D6B4C">
        <w:rPr>
          <w:rFonts w:ascii="Lato" w:hAnsi="Lato" w:cs="Arial"/>
          <w:spacing w:val="4"/>
        </w:rPr>
        <w:br/>
      </w:r>
      <w:r w:rsidRPr="00903BF8">
        <w:rPr>
          <w:rFonts w:ascii="Lato" w:hAnsi="Lato" w:cs="Arial"/>
          <w:spacing w:val="4"/>
        </w:rPr>
        <w:t xml:space="preserve">w odniesieniu do działki skarżących nr 45/3 obręb </w:t>
      </w:r>
      <w:proofErr w:type="spellStart"/>
      <w:r w:rsidRPr="00903BF8">
        <w:rPr>
          <w:rFonts w:ascii="Lato" w:hAnsi="Lato" w:cs="Arial"/>
          <w:spacing w:val="4"/>
        </w:rPr>
        <w:t>Kębło</w:t>
      </w:r>
      <w:proofErr w:type="spellEnd"/>
      <w:r w:rsidRPr="00903BF8">
        <w:rPr>
          <w:rFonts w:ascii="Lato" w:hAnsi="Lato" w:cs="Arial"/>
          <w:spacing w:val="4"/>
        </w:rPr>
        <w:t xml:space="preserve">, gmina Wąwolnica, czyli o ograniczeniu w korzystaniu z nieruchomości. </w:t>
      </w:r>
      <w:r w:rsidR="000E7892">
        <w:rPr>
          <w:rFonts w:ascii="Lato" w:hAnsi="Lato" w:cs="Arial"/>
          <w:spacing w:val="4"/>
        </w:rPr>
        <w:t>Tym samym d</w:t>
      </w:r>
      <w:r w:rsidRPr="00903BF8">
        <w:rPr>
          <w:rFonts w:ascii="Lato" w:hAnsi="Lato" w:cs="Arial"/>
          <w:spacing w:val="4"/>
        </w:rPr>
        <w:t xml:space="preserve">ziałki te zostały wymienione w tabeli nr 6, znajdującej się w pkt 8 zaskarżonej decyzji, </w:t>
      </w:r>
      <w:r w:rsidR="006D6B4C">
        <w:rPr>
          <w:rFonts w:ascii="Lato" w:hAnsi="Lato" w:cs="Arial"/>
          <w:spacing w:val="4"/>
        </w:rPr>
        <w:br/>
      </w:r>
      <w:r w:rsidRPr="00903BF8">
        <w:rPr>
          <w:rFonts w:ascii="Lato" w:hAnsi="Lato" w:cs="Arial"/>
          <w:spacing w:val="4"/>
        </w:rPr>
        <w:lastRenderedPageBreak/>
        <w:t xml:space="preserve">w którym m.in. wyszczególniono nieruchomości, w stosunku do których decyzja ma wywołać skutek, o którym mowa w art. 24 ust. 1 specustawy przesyłowej, tj. ustanowić ograniczenie sposobu korzystania z nieruchomości w celu zapewnienia inwestorowi prawa do wejścia na teren nieruchomości. </w:t>
      </w:r>
    </w:p>
    <w:p w14:paraId="2E5ED79B" w14:textId="1D0C9729" w:rsidR="009D644B" w:rsidRPr="00903BF8" w:rsidRDefault="009D644B" w:rsidP="009D644B">
      <w:pPr>
        <w:spacing w:after="240" w:line="240" w:lineRule="atLeast"/>
        <w:jc w:val="both"/>
        <w:rPr>
          <w:rFonts w:ascii="Lato" w:hAnsi="Lato" w:cs="Arial"/>
          <w:i/>
          <w:iCs/>
          <w:spacing w:val="4"/>
        </w:rPr>
      </w:pPr>
      <w:r w:rsidRPr="00903BF8">
        <w:rPr>
          <w:rFonts w:ascii="Lato" w:hAnsi="Lato" w:cs="Arial"/>
          <w:spacing w:val="4"/>
        </w:rPr>
        <w:t xml:space="preserve">Jak ponadto wynika z treści zaskarżonej decyzji, zakres ograniczenia został zilustrowany na mapie stanowiącej załącznik nr 2 arkusz 24 do decyzji Wojewody Lubelskiego, gdzie </w:t>
      </w:r>
      <w:r w:rsidRPr="00903BF8">
        <w:rPr>
          <w:rFonts w:ascii="Lato" w:eastAsia="Calibri" w:hAnsi="Lato" w:cs="Arial"/>
          <w:bCs/>
          <w:iCs/>
          <w:spacing w:val="4"/>
          <w:lang w:bidi="pl-PL"/>
        </w:rPr>
        <w:t xml:space="preserve">obszar oznaczono linią ciągłą koloru żółtego </w:t>
      </w:r>
      <w:r w:rsidR="00A634B2">
        <w:rPr>
          <w:rFonts w:ascii="Lato" w:eastAsia="Calibri" w:hAnsi="Lato" w:cs="Arial"/>
          <w:bCs/>
          <w:iCs/>
          <w:spacing w:val="4"/>
          <w:lang w:bidi="pl-PL"/>
        </w:rPr>
        <w:br/>
      </w:r>
      <w:r w:rsidRPr="00903BF8">
        <w:rPr>
          <w:rFonts w:ascii="Lato" w:eastAsia="Calibri" w:hAnsi="Lato" w:cs="Arial"/>
          <w:bCs/>
          <w:iCs/>
          <w:spacing w:val="4"/>
          <w:lang w:bidi="pl-PL"/>
        </w:rPr>
        <w:t>i wypełnieniem w kolorze żółtym</w:t>
      </w:r>
      <w:r w:rsidRPr="00903BF8">
        <w:rPr>
          <w:rFonts w:ascii="Lato" w:hAnsi="Lato" w:cs="Arial"/>
          <w:spacing w:val="4"/>
        </w:rPr>
        <w:t xml:space="preserve"> </w:t>
      </w:r>
      <w:r w:rsidR="000E7892">
        <w:rPr>
          <w:rFonts w:ascii="Lato" w:hAnsi="Lato" w:cs="Arial"/>
          <w:spacing w:val="4"/>
        </w:rPr>
        <w:t xml:space="preserve">- </w:t>
      </w:r>
      <w:r w:rsidRPr="00903BF8">
        <w:rPr>
          <w:rFonts w:ascii="Lato" w:hAnsi="Lato" w:cs="Arial"/>
          <w:spacing w:val="4"/>
        </w:rPr>
        <w:t xml:space="preserve">nieruchomości podlegające ograniczeniu </w:t>
      </w:r>
      <w:r w:rsidR="00A634B2">
        <w:rPr>
          <w:rFonts w:ascii="Lato" w:hAnsi="Lato" w:cs="Arial"/>
          <w:spacing w:val="4"/>
        </w:rPr>
        <w:br/>
      </w:r>
      <w:r w:rsidRPr="00903BF8">
        <w:rPr>
          <w:rFonts w:ascii="Lato" w:hAnsi="Lato" w:cs="Arial"/>
          <w:spacing w:val="4"/>
        </w:rPr>
        <w:t>w korzystaniu z nieruchomości na czas określony (art. 24 ust.  1b specustawy gazowej</w:t>
      </w:r>
      <w:r w:rsidRPr="00903BF8">
        <w:rPr>
          <w:rFonts w:ascii="Lato" w:hAnsi="Lato" w:cs="Arial"/>
          <w:i/>
          <w:iCs/>
          <w:spacing w:val="4"/>
        </w:rPr>
        <w:t xml:space="preserve">), </w:t>
      </w:r>
      <w:r w:rsidRPr="00903BF8">
        <w:rPr>
          <w:rFonts w:ascii="Lato" w:hAnsi="Lato" w:cs="Arial"/>
          <w:spacing w:val="4"/>
        </w:rPr>
        <w:t>zaś obszar podlegający ograniczeniu na czas nieokreślony oznaczono przerywaną różową linią z wypełnieniem koloru różowego (art. 24 ust.  1 specustawy gazowej</w:t>
      </w:r>
      <w:r w:rsidRPr="00903BF8">
        <w:rPr>
          <w:rFonts w:ascii="Lato" w:hAnsi="Lato" w:cs="Arial"/>
          <w:i/>
          <w:iCs/>
          <w:spacing w:val="4"/>
        </w:rPr>
        <w:t xml:space="preserve">). </w:t>
      </w:r>
      <w:r w:rsidRPr="00903BF8">
        <w:rPr>
          <w:rFonts w:ascii="Lato" w:hAnsi="Lato" w:cs="Arial"/>
          <w:spacing w:val="4"/>
        </w:rPr>
        <w:t xml:space="preserve">Ww. działka została objęta częściowo wypełnieniem koloru różowego a zatem podlega ograniczeniu na czas nieokreślony, </w:t>
      </w:r>
      <w:r w:rsidR="00A634B2">
        <w:rPr>
          <w:rFonts w:ascii="Lato" w:hAnsi="Lato" w:cs="Arial"/>
          <w:spacing w:val="4"/>
        </w:rPr>
        <w:br/>
      </w:r>
      <w:r w:rsidRPr="00903BF8">
        <w:rPr>
          <w:rFonts w:ascii="Lato" w:hAnsi="Lato" w:cs="Arial"/>
          <w:spacing w:val="4"/>
        </w:rPr>
        <w:t>a częściowo oznaczona jest kolorem żółtym co świadczy o czasowym zajęciu tego obszaru działki.</w:t>
      </w:r>
    </w:p>
    <w:p w14:paraId="078214C7" w14:textId="6F891352" w:rsidR="009D644B" w:rsidRPr="00903BF8" w:rsidRDefault="009D644B" w:rsidP="009D644B">
      <w:pPr>
        <w:spacing w:after="240" w:line="240" w:lineRule="atLeast"/>
        <w:jc w:val="both"/>
        <w:rPr>
          <w:rFonts w:ascii="Lato" w:hAnsi="Lato" w:cs="Arial"/>
          <w:bCs/>
          <w:iCs/>
          <w:spacing w:val="4"/>
          <w:lang w:bidi="pl-PL"/>
        </w:rPr>
      </w:pPr>
      <w:r w:rsidRPr="00903BF8">
        <w:rPr>
          <w:rFonts w:ascii="Lato" w:hAnsi="Lato" w:cs="Arial"/>
          <w:bCs/>
          <w:iCs/>
          <w:spacing w:val="4"/>
          <w:lang w:bidi="pl-PL"/>
        </w:rPr>
        <w:t xml:space="preserve">W pkt 8b na str. 104 decyzji Wojewody Lubelskiego, zgodnie </w:t>
      </w:r>
      <w:r w:rsidRPr="00903BF8">
        <w:rPr>
          <w:rFonts w:ascii="Lato" w:hAnsi="Lato" w:cs="Arial"/>
          <w:bCs/>
          <w:iCs/>
          <w:spacing w:val="4"/>
          <w:lang w:bidi="pl-PL"/>
        </w:rPr>
        <w:br/>
        <w:t xml:space="preserve">z art. 10 ust. 1 pkt 8b specustawy gazowej, wskazano okres, w jakim decyzja </w:t>
      </w:r>
      <w:r w:rsidR="00A634B2">
        <w:rPr>
          <w:rFonts w:ascii="Lato" w:hAnsi="Lato" w:cs="Arial"/>
          <w:bCs/>
          <w:iCs/>
          <w:spacing w:val="4"/>
          <w:lang w:bidi="pl-PL"/>
        </w:rPr>
        <w:br/>
      </w:r>
      <w:r w:rsidRPr="00903BF8">
        <w:rPr>
          <w:rFonts w:ascii="Lato" w:hAnsi="Lato" w:cs="Arial"/>
          <w:bCs/>
          <w:iCs/>
          <w:spacing w:val="4"/>
          <w:lang w:bidi="pl-PL"/>
        </w:rPr>
        <w:t xml:space="preserve">o ustaleniu lokalizacji inwestycji ma wywoływać skutek, o którym mowa w </w:t>
      </w:r>
      <w:hyperlink r:id="rId8" w:history="1">
        <w:r w:rsidRPr="00903BF8">
          <w:rPr>
            <w:rStyle w:val="Hipercze"/>
            <w:rFonts w:ascii="Lato" w:hAnsi="Lato" w:cs="Arial"/>
            <w:bCs/>
            <w:iCs/>
            <w:color w:val="auto"/>
            <w:spacing w:val="4"/>
            <w:u w:val="none"/>
            <w:lang w:bidi="pl-PL"/>
          </w:rPr>
          <w:t>art. 24 ust. 1</w:t>
        </w:r>
      </w:hyperlink>
      <w:r w:rsidRPr="00903BF8">
        <w:rPr>
          <w:rFonts w:ascii="Lato" w:hAnsi="Lato" w:cs="Arial"/>
          <w:bCs/>
          <w:iCs/>
          <w:spacing w:val="4"/>
          <w:lang w:bidi="pl-PL"/>
        </w:rPr>
        <w:t xml:space="preserve">, w przypadku gdy ograniczenie sposobu korzystania z nieruchomości, o którym mowa w </w:t>
      </w:r>
      <w:hyperlink r:id="rId9" w:history="1">
        <w:r w:rsidRPr="00903BF8">
          <w:rPr>
            <w:rStyle w:val="Hipercze"/>
            <w:rFonts w:ascii="Lato" w:hAnsi="Lato" w:cs="Arial"/>
            <w:bCs/>
            <w:iCs/>
            <w:color w:val="auto"/>
            <w:spacing w:val="4"/>
            <w:u w:val="none"/>
            <w:lang w:bidi="pl-PL"/>
          </w:rPr>
          <w:t>art. 24 ust. 1</w:t>
        </w:r>
      </w:hyperlink>
      <w:r w:rsidRPr="00903BF8">
        <w:rPr>
          <w:rFonts w:ascii="Lato" w:hAnsi="Lato" w:cs="Arial"/>
          <w:bCs/>
          <w:iCs/>
          <w:spacing w:val="4"/>
          <w:lang w:bidi="pl-PL"/>
        </w:rPr>
        <w:t>, ma nastąpić na czas określony. Ogranicz</w:t>
      </w:r>
      <w:r w:rsidR="000E7892">
        <w:rPr>
          <w:rFonts w:ascii="Lato" w:hAnsi="Lato" w:cs="Arial"/>
          <w:bCs/>
          <w:iCs/>
          <w:spacing w:val="4"/>
          <w:lang w:bidi="pl-PL"/>
        </w:rPr>
        <w:t>e</w:t>
      </w:r>
      <w:r w:rsidRPr="00903BF8">
        <w:rPr>
          <w:rFonts w:ascii="Lato" w:hAnsi="Lato" w:cs="Arial"/>
          <w:bCs/>
          <w:iCs/>
          <w:spacing w:val="4"/>
          <w:lang w:bidi="pl-PL"/>
        </w:rPr>
        <w:t xml:space="preserve">nie na czas określony związane jest z koniecznością zajęcia terenu na potrzeby realizacji inwestycji. </w:t>
      </w:r>
    </w:p>
    <w:p w14:paraId="2463C400" w14:textId="2D7C5ABC" w:rsidR="009D644B" w:rsidRPr="00903BF8" w:rsidRDefault="009D644B" w:rsidP="009D644B">
      <w:pPr>
        <w:spacing w:after="240" w:line="240" w:lineRule="atLeast"/>
        <w:jc w:val="both"/>
        <w:rPr>
          <w:rFonts w:ascii="Lato" w:hAnsi="Lato" w:cs="Arial"/>
          <w:bCs/>
          <w:iCs/>
          <w:spacing w:val="4"/>
          <w:lang w:bidi="pl-PL"/>
        </w:rPr>
      </w:pPr>
      <w:r w:rsidRPr="00903BF8">
        <w:rPr>
          <w:rFonts w:ascii="Lato" w:hAnsi="Lato" w:cs="Arial"/>
          <w:bCs/>
          <w:iCs/>
          <w:spacing w:val="4"/>
          <w:lang w:bidi="pl-PL"/>
        </w:rPr>
        <w:t xml:space="preserve">Nie ulega wątpliwości, iż oczywistym jest, że posadowienie obiektów budowlanych wymaga przeprowadzenia robót budowlanych, które wymagają przestrzeni dla ich wykonania. Ograniczenie takie zawiera w sobie element czasowości, bowiem jest niezbędne tylko w celu przeprowadzenia prac budowlanych. Natomiast ograniczenie na czas nieokreślony wynika </w:t>
      </w:r>
      <w:r w:rsidR="00A634B2">
        <w:rPr>
          <w:rFonts w:ascii="Lato" w:hAnsi="Lato" w:cs="Arial"/>
          <w:bCs/>
          <w:iCs/>
          <w:spacing w:val="4"/>
          <w:lang w:bidi="pl-PL"/>
        </w:rPr>
        <w:br/>
      </w:r>
      <w:r w:rsidRPr="00903BF8">
        <w:rPr>
          <w:rFonts w:ascii="Lato" w:hAnsi="Lato" w:cs="Arial"/>
          <w:bCs/>
          <w:iCs/>
          <w:spacing w:val="4"/>
          <w:lang w:bidi="pl-PL"/>
        </w:rPr>
        <w:t xml:space="preserve">z ustanowienia strefy kontrolowanej dla gazociągu. Decyzja lokalizacyjna ograniczająca korzystanie z nieruchomości na podstawie art. 24 ust. 1 </w:t>
      </w:r>
      <w:r w:rsidRPr="00903BF8">
        <w:rPr>
          <w:rFonts w:ascii="Lato" w:hAnsi="Lato" w:cs="Arial"/>
          <w:bCs/>
          <w:spacing w:val="4"/>
          <w:lang w:bidi="pl-PL"/>
        </w:rPr>
        <w:t>specustawy gazowej</w:t>
      </w:r>
      <w:r w:rsidRPr="00903BF8">
        <w:rPr>
          <w:rFonts w:ascii="Lato" w:hAnsi="Lato" w:cs="Arial"/>
          <w:bCs/>
          <w:iCs/>
          <w:spacing w:val="4"/>
          <w:lang w:bidi="pl-PL"/>
        </w:rPr>
        <w:t xml:space="preserve">, kreuje trwały tytuł do korzystania (współkorzystania </w:t>
      </w:r>
      <w:r>
        <w:rPr>
          <w:rFonts w:ascii="Lato" w:hAnsi="Lato" w:cs="Arial"/>
          <w:bCs/>
          <w:iCs/>
          <w:spacing w:val="4"/>
          <w:lang w:bidi="pl-PL"/>
        </w:rPr>
        <w:br/>
      </w:r>
      <w:r w:rsidRPr="00903BF8">
        <w:rPr>
          <w:rFonts w:ascii="Lato" w:hAnsi="Lato" w:cs="Arial"/>
          <w:bCs/>
          <w:iCs/>
          <w:spacing w:val="4"/>
          <w:lang w:bidi="pl-PL"/>
        </w:rPr>
        <w:t xml:space="preserve">z nieruchomości). Zatem istota ograniczenia (służebności publicznej) to nie tylko zezwolenie na budowę inwestycji, ale również możliwość współkorzystania </w:t>
      </w:r>
      <w:r>
        <w:rPr>
          <w:rFonts w:ascii="Lato" w:hAnsi="Lato" w:cs="Arial"/>
          <w:bCs/>
          <w:iCs/>
          <w:spacing w:val="4"/>
          <w:lang w:bidi="pl-PL"/>
        </w:rPr>
        <w:br/>
      </w:r>
      <w:r w:rsidRPr="00903BF8">
        <w:rPr>
          <w:rFonts w:ascii="Lato" w:hAnsi="Lato" w:cs="Arial"/>
          <w:bCs/>
          <w:iCs/>
          <w:spacing w:val="4"/>
          <w:lang w:bidi="pl-PL"/>
        </w:rPr>
        <w:t xml:space="preserve">z nieruchomości i wybudowanego na niej obiektu w zakresie wykonania szeregu robót, w tym remontu, prac związanych z utrzymaniem, eksploatacją, użytkowaniem wybudowanego obiektu. Uznać zatem należy, iż art. 24 ust. 1 </w:t>
      </w:r>
      <w:r w:rsidRPr="00903BF8">
        <w:rPr>
          <w:rFonts w:ascii="Lato" w:hAnsi="Lato" w:cs="Arial"/>
          <w:bCs/>
          <w:spacing w:val="4"/>
          <w:lang w:bidi="pl-PL"/>
        </w:rPr>
        <w:t xml:space="preserve">specustawy gazowej </w:t>
      </w:r>
      <w:r w:rsidRPr="00903BF8">
        <w:rPr>
          <w:rFonts w:ascii="Lato" w:hAnsi="Lato" w:cs="Arial"/>
          <w:bCs/>
          <w:iCs/>
          <w:spacing w:val="4"/>
          <w:lang w:bidi="pl-PL"/>
        </w:rPr>
        <w:t xml:space="preserve">dotyczy ograniczenia prawa własności jako całościowej ujętej instytucji prawnej. </w:t>
      </w:r>
    </w:p>
    <w:p w14:paraId="22630633" w14:textId="0E878625" w:rsidR="009D644B" w:rsidRPr="00903BF8" w:rsidRDefault="009D644B" w:rsidP="009D644B">
      <w:pPr>
        <w:spacing w:after="240" w:line="240" w:lineRule="atLeast"/>
        <w:jc w:val="both"/>
        <w:rPr>
          <w:rFonts w:ascii="Lato" w:hAnsi="Lato" w:cs="Arial"/>
          <w:bCs/>
          <w:iCs/>
          <w:spacing w:val="4"/>
          <w:lang w:bidi="pl-PL"/>
        </w:rPr>
      </w:pPr>
      <w:r w:rsidRPr="00903BF8">
        <w:rPr>
          <w:rFonts w:ascii="Lato" w:hAnsi="Lato" w:cs="Arial"/>
          <w:bCs/>
          <w:iCs/>
          <w:spacing w:val="4"/>
          <w:lang w:bidi="pl-PL"/>
        </w:rPr>
        <w:t xml:space="preserve">Jak już była mowa powyżej, zgodnie z treścią tabeli znajdującej się w pkt 6 decyzji Wojewody Lubelskiego (str. 40 decyzji) ww. działka skarżących nr 45/3 objęta jest zarówno ograniczeniami wynikającymi z art. 24 ust. 1, jak i art. 24 ust. 1b specustawy gazowej. </w:t>
      </w:r>
      <w:r w:rsidR="000E7892">
        <w:rPr>
          <w:rFonts w:ascii="Lato" w:hAnsi="Lato" w:cs="Arial"/>
          <w:bCs/>
          <w:iCs/>
          <w:spacing w:val="4"/>
          <w:lang w:bidi="pl-PL"/>
        </w:rPr>
        <w:t>O</w:t>
      </w:r>
      <w:r w:rsidRPr="00903BF8">
        <w:rPr>
          <w:rFonts w:ascii="Lato" w:hAnsi="Lato" w:cs="Arial"/>
          <w:bCs/>
          <w:iCs/>
          <w:spacing w:val="4"/>
          <w:lang w:bidi="pl-PL"/>
        </w:rPr>
        <w:t xml:space="preserve">bszar ograniczenia sprowadzony został do niezbędnego minimum. Obszar, do którego ma zastosowanie art. 24 ust. 1b specustawy gazowej odpowiada bowiem powierzchni placu montażowego (obszar oznaczony na załączniku graficznym nr 9 – 106 do zaskarżonej decyzji </w:t>
      </w:r>
      <w:r w:rsidRPr="00903BF8">
        <w:rPr>
          <w:rFonts w:ascii="Lato" w:hAnsi="Lato" w:cs="Arial"/>
          <w:bCs/>
          <w:iCs/>
          <w:spacing w:val="4"/>
          <w:lang w:bidi="pl-PL"/>
        </w:rPr>
        <w:lastRenderedPageBreak/>
        <w:t>linią ciągłą w kolorze żółtym i wypełnieniem w kolorze żółtym). Natomiast strefa ograniczenia trwałego obejmuje strefę kontrolowaną projektowanego gazociągu na ww. działce skarżących (obszar oznaczony na załączniku graficznym nr 9 – 106 do zaskarżonej decyzji różową przerywaną linią z wypełnieniem w kolorze różowym), której szerokość regulowana jest przepisami rozporządzenia Ministra Gospodarki z dnia 26 kwietnia 2013 r. w sprawie warunków technicznych jakim powinny odpowiadać sieci gazowe i ich usytuowanie (Dz.U. z 2013 r.</w:t>
      </w:r>
      <w:r w:rsidR="00A634B2">
        <w:rPr>
          <w:rFonts w:ascii="Lato" w:hAnsi="Lato" w:cs="Arial"/>
          <w:bCs/>
          <w:iCs/>
          <w:spacing w:val="4"/>
          <w:lang w:bidi="pl-PL"/>
        </w:rPr>
        <w:t>,</w:t>
      </w:r>
      <w:r w:rsidRPr="00903BF8">
        <w:rPr>
          <w:rFonts w:ascii="Lato" w:hAnsi="Lato" w:cs="Arial"/>
          <w:bCs/>
          <w:iCs/>
          <w:spacing w:val="4"/>
          <w:lang w:bidi="pl-PL"/>
        </w:rPr>
        <w:t xml:space="preserve"> poz. 640, z późn.zm.).</w:t>
      </w:r>
    </w:p>
    <w:p w14:paraId="4BF18FF8" w14:textId="21A776C1" w:rsidR="009D644B" w:rsidRPr="00903BF8" w:rsidRDefault="009D644B" w:rsidP="009D644B">
      <w:pPr>
        <w:spacing w:after="240" w:line="240" w:lineRule="atLeast"/>
        <w:jc w:val="both"/>
        <w:rPr>
          <w:rFonts w:ascii="Lato" w:hAnsi="Lato" w:cs="Arial"/>
          <w:spacing w:val="4"/>
        </w:rPr>
      </w:pPr>
      <w:r w:rsidRPr="00903BF8">
        <w:rPr>
          <w:rFonts w:ascii="Lato" w:hAnsi="Lato" w:cs="Arial"/>
          <w:spacing w:val="4"/>
        </w:rPr>
        <w:t xml:space="preserve">W tym miejscu raz jeszcze zauważenia wymaga, iż to inwestor we wniosku </w:t>
      </w:r>
      <w:r w:rsidR="00A634B2">
        <w:rPr>
          <w:rFonts w:ascii="Lato" w:hAnsi="Lato" w:cs="Arial"/>
          <w:spacing w:val="4"/>
        </w:rPr>
        <w:br/>
      </w:r>
      <w:r w:rsidRPr="00903BF8">
        <w:rPr>
          <w:rFonts w:ascii="Lato" w:hAnsi="Lato" w:cs="Arial"/>
          <w:spacing w:val="4"/>
        </w:rPr>
        <w:t xml:space="preserve">o wydanie decyzji o ustaleniu lokalizacji decyduje o przebiegu inwestycji oraz </w:t>
      </w:r>
      <w:r w:rsidR="00A634B2">
        <w:rPr>
          <w:rFonts w:ascii="Lato" w:hAnsi="Lato" w:cs="Arial"/>
          <w:spacing w:val="4"/>
        </w:rPr>
        <w:br/>
      </w:r>
      <w:r w:rsidRPr="00903BF8">
        <w:rPr>
          <w:rFonts w:ascii="Lato" w:hAnsi="Lato" w:cs="Arial"/>
          <w:spacing w:val="4"/>
        </w:rPr>
        <w:t xml:space="preserve">o wielkości terenu niezbędnego dla realizacji inwestycji. Inwestor samodzielnie dokonuje wyboru najbardziej korzystnych rozwiązań lokalizacyjnych i następnie techniczno-wykonawczych inwestycji. Zarówno wojewoda, jak i organ odwoławczy, mogą działać tylko w granicach tego wniosku i nie mają możliwości ingerowania w lokalizację inwestycji, w tym zakres nałożonych ograniczeń, podważania ich celowości lub wielkości obszaru niezbędnego ograniczenia. Ocenie dokonanej przez organy I </w:t>
      </w:r>
      <w:proofErr w:type="spellStart"/>
      <w:r w:rsidRPr="00903BF8">
        <w:rPr>
          <w:rFonts w:ascii="Lato" w:hAnsi="Lato" w:cs="Arial"/>
          <w:spacing w:val="4"/>
        </w:rPr>
        <w:t>i</w:t>
      </w:r>
      <w:proofErr w:type="spellEnd"/>
      <w:r w:rsidRPr="00903BF8">
        <w:rPr>
          <w:rFonts w:ascii="Lato" w:hAnsi="Lato" w:cs="Arial"/>
          <w:spacing w:val="4"/>
        </w:rPr>
        <w:t xml:space="preserve"> II instancji podlega bowiem zgodność </w:t>
      </w:r>
      <w:r w:rsidR="00A634B2">
        <w:rPr>
          <w:rFonts w:ascii="Lato" w:hAnsi="Lato" w:cs="Arial"/>
          <w:spacing w:val="4"/>
        </w:rPr>
        <w:br/>
      </w:r>
      <w:r w:rsidRPr="00903BF8">
        <w:rPr>
          <w:rFonts w:ascii="Lato" w:hAnsi="Lato" w:cs="Arial"/>
          <w:spacing w:val="4"/>
        </w:rPr>
        <w:t xml:space="preserve">z prawem planowanego przedsięwzięcia, w szczególności spełnienie warunków zawartych w przepisach </w:t>
      </w:r>
      <w:r w:rsidRPr="00903BF8">
        <w:rPr>
          <w:rFonts w:ascii="Lato" w:hAnsi="Lato" w:cs="Arial"/>
          <w:iCs/>
          <w:spacing w:val="4"/>
        </w:rPr>
        <w:t>specustawy gazowej</w:t>
      </w:r>
      <w:r w:rsidRPr="00903BF8">
        <w:rPr>
          <w:rFonts w:ascii="Lato" w:hAnsi="Lato" w:cs="Arial"/>
          <w:spacing w:val="4"/>
        </w:rPr>
        <w:t xml:space="preserve">. </w:t>
      </w:r>
    </w:p>
    <w:p w14:paraId="0D2CF4D7" w14:textId="69934AE2"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spacing w:val="4"/>
        </w:rPr>
        <w:t xml:space="preserve">Ponadto jak wynika z pisma inwestora z dnia 14 maja 2026 r., </w:t>
      </w:r>
      <w:r w:rsidRPr="00903BF8">
        <w:rPr>
          <w:rFonts w:ascii="Lato" w:hAnsi="Lato" w:cs="Arial"/>
          <w:bCs/>
          <w:iCs/>
          <w:spacing w:val="4"/>
          <w:lang w:bidi="pl-PL"/>
        </w:rPr>
        <w:t xml:space="preserve">projektowany gazociąg wraz z linią światłowodową na działce nr 45/3 zlokalizowany jest wzdłuż istniejącego gazociągu wysokiego ciśnienia DN700, w odległości około 10-11 m (licząc pomiędzy osiami gazociągów). Projektowany gazociąg wraz </w:t>
      </w:r>
      <w:r w:rsidR="00A634B2">
        <w:rPr>
          <w:rFonts w:ascii="Lato" w:hAnsi="Lato" w:cs="Arial"/>
          <w:bCs/>
          <w:iCs/>
          <w:spacing w:val="4"/>
          <w:lang w:bidi="pl-PL"/>
        </w:rPr>
        <w:br/>
      </w:r>
      <w:r w:rsidRPr="00903BF8">
        <w:rPr>
          <w:rFonts w:ascii="Lato" w:hAnsi="Lato" w:cs="Arial"/>
          <w:bCs/>
          <w:iCs/>
          <w:spacing w:val="4"/>
          <w:lang w:bidi="pl-PL"/>
        </w:rPr>
        <w:t xml:space="preserve">z jego strefą kontrolowaną o szerokości 12,0 m (po 6,0 m w obie strony od osi gazociągu), usytuowany jest w strefie kontrolowanej już istniejącego gazociągu DN700 (o szerokości po 25 m od osi gazociągu). W praktyce nie nastąpi zatem zwiększenie ograniczenia sposobu korzystania z nieruchomości wynikające </w:t>
      </w:r>
      <w:r w:rsidR="00A634B2">
        <w:rPr>
          <w:rFonts w:ascii="Lato" w:hAnsi="Lato" w:cs="Arial"/>
          <w:bCs/>
          <w:iCs/>
          <w:spacing w:val="4"/>
          <w:lang w:bidi="pl-PL"/>
        </w:rPr>
        <w:br/>
      </w:r>
      <w:r w:rsidRPr="00903BF8">
        <w:rPr>
          <w:rFonts w:ascii="Lato" w:hAnsi="Lato" w:cs="Arial"/>
          <w:bCs/>
          <w:iCs/>
          <w:spacing w:val="4"/>
          <w:lang w:bidi="pl-PL"/>
        </w:rPr>
        <w:t>z ustanowienia strefy kontrolowanej dla projektowanego gazociągu DN1000 (ograniczenie stałe).</w:t>
      </w:r>
    </w:p>
    <w:p w14:paraId="10B9841F" w14:textId="5978FA16"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Natomiast czasowe ograniczenie sposobu korzystania z nieruchomości skarżących jest</w:t>
      </w:r>
      <w:r w:rsidR="000E7892">
        <w:rPr>
          <w:rFonts w:ascii="Lato" w:hAnsi="Lato" w:cs="Arial"/>
          <w:bCs/>
          <w:iCs/>
          <w:spacing w:val="4"/>
          <w:lang w:bidi="pl-PL"/>
        </w:rPr>
        <w:t xml:space="preserve"> </w:t>
      </w:r>
      <w:r w:rsidRPr="00903BF8">
        <w:rPr>
          <w:rFonts w:ascii="Lato" w:hAnsi="Lato" w:cs="Arial"/>
          <w:bCs/>
          <w:iCs/>
          <w:spacing w:val="4"/>
          <w:lang w:bidi="pl-PL"/>
        </w:rPr>
        <w:t>konsekwencją wyznaczenia pasa budowlano-montażowego i jest konieczne wyłączenie na etap realizacji inwestycji, więc będzie generować jedynie czasowe niedogodności dla nieruchomości znajdujących się w strefie robót. Uciążliwości te mają jednak charakter przejściowy, związany z etapem realizacyjnym inwestycji gazowej.</w:t>
      </w:r>
    </w:p>
    <w:p w14:paraId="6BBA7C30" w14:textId="77777777" w:rsidR="000E7892" w:rsidRDefault="009D644B" w:rsidP="009D644B">
      <w:pPr>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 xml:space="preserve">Wyjaśnienia te zdaniem Ministra w sposób przekonywujący świadczą o tym, </w:t>
      </w:r>
      <w:r>
        <w:rPr>
          <w:rFonts w:ascii="Lato" w:hAnsi="Lato" w:cs="Arial"/>
          <w:bCs/>
          <w:iCs/>
          <w:spacing w:val="4"/>
          <w:lang w:bidi="pl-PL"/>
        </w:rPr>
        <w:br/>
      </w:r>
      <w:r w:rsidRPr="00903BF8">
        <w:rPr>
          <w:rFonts w:ascii="Lato" w:hAnsi="Lato" w:cs="Arial"/>
          <w:bCs/>
          <w:iCs/>
          <w:spacing w:val="4"/>
          <w:lang w:bidi="pl-PL"/>
        </w:rPr>
        <w:t>że ustanowione ograniczenia w korzystaniu z nieruchomości są niezbędne, a ich zakres określono w sposób odpowiedni do potrzeb budowy i eksploatacji inwestycji, tak aby w jak najmniejszym stopniu ingerowały w prawo własności skarżących. Nie zasługują zatem na uwzględnienie zarzuty dotyczące naruszenia przepisu art. 24 ust. 1 specustawy przesyłowej, poprzez nieuzasadnione, nieproporcjonalne i nadmierne ograniczenie prawa własności.</w:t>
      </w:r>
    </w:p>
    <w:p w14:paraId="380E4C97" w14:textId="5AC6AFCE" w:rsidR="009D644B" w:rsidRPr="00903BF8" w:rsidRDefault="009D644B" w:rsidP="009D644B">
      <w:pPr>
        <w:spacing w:after="240" w:line="240" w:lineRule="atLeast"/>
        <w:jc w:val="both"/>
        <w:outlineLvl w:val="0"/>
        <w:rPr>
          <w:rFonts w:ascii="Lato" w:eastAsia="MS Mincho" w:hAnsi="Lato" w:cs="Arial"/>
          <w:bCs/>
          <w:iCs/>
          <w:color w:val="000000"/>
          <w:spacing w:val="4"/>
          <w:lang w:bidi="pl-PL"/>
        </w:rPr>
      </w:pPr>
      <w:r w:rsidRPr="00903BF8">
        <w:rPr>
          <w:rFonts w:ascii="Lato" w:eastAsia="MS Mincho" w:hAnsi="Lato" w:cs="Arial"/>
          <w:bCs/>
          <w:color w:val="000000"/>
          <w:spacing w:val="4"/>
          <w:lang w:bidi="pl-PL"/>
        </w:rPr>
        <w:lastRenderedPageBreak/>
        <w:t>Za chybiony należy również uznać zarzut braku konsultacji z właścicielami nieruchomości planowanych rozwiązań. Jak już wspomniano w niniejszej decyzji</w:t>
      </w:r>
      <w:r w:rsidR="000745A0">
        <w:rPr>
          <w:rFonts w:ascii="Lato" w:eastAsia="MS Mincho" w:hAnsi="Lato" w:cs="Arial"/>
          <w:bCs/>
          <w:color w:val="000000"/>
          <w:spacing w:val="4"/>
          <w:lang w:bidi="pl-PL"/>
        </w:rPr>
        <w:t xml:space="preserve"> </w:t>
      </w:r>
      <w:r w:rsidRPr="00903BF8">
        <w:rPr>
          <w:rFonts w:ascii="Lato" w:eastAsia="MS Mincho" w:hAnsi="Lato" w:cs="Arial"/>
          <w:bCs/>
          <w:color w:val="000000"/>
          <w:spacing w:val="4"/>
          <w:lang w:bidi="pl-PL"/>
        </w:rPr>
        <w:t xml:space="preserve">w omawianym przypadku nie stosuje się procedury uzyskiwania zgody właściciela nieruchomości na ograniczenie w korzystaniu z nieruchomości, bowiem wyłączony jest obowiązek prowadzenia rokowań między właścicielem nieruchomości a inwestorem co do przeprowadzenia robót. Specustawa gazowa nie uzależnia uzyskania decyzji o ustaleniu lokalizacji inwestycji od zgód lub umów pochodzących od podmiotów, którym przysługuje tytuł prawny do gruntu. W tym zakresie wystarczające jest wskazanie we wniosku konkretnych nieruchomości, których mają dotyczyć skutki o jakich mowa </w:t>
      </w:r>
      <w:r w:rsidRPr="00903BF8">
        <w:rPr>
          <w:rFonts w:ascii="Lato" w:eastAsia="MS Mincho" w:hAnsi="Lato" w:cs="Arial"/>
          <w:bCs/>
          <w:color w:val="000000"/>
          <w:spacing w:val="4"/>
          <w:lang w:bidi="pl-PL"/>
        </w:rPr>
        <w:br/>
        <w:t xml:space="preserve">w art. 24 ust. 1 ww. ustawy. Zauważyć bowiem należy, że art. 10 ust. 1 pkt </w:t>
      </w:r>
      <w:r w:rsidRPr="00903BF8">
        <w:rPr>
          <w:rFonts w:ascii="Lato" w:eastAsia="MS Mincho" w:hAnsi="Lato" w:cs="Arial"/>
          <w:bCs/>
          <w:color w:val="000000"/>
          <w:spacing w:val="4"/>
          <w:lang w:bidi="pl-PL"/>
        </w:rPr>
        <w:br/>
        <w:t xml:space="preserve">8 w zw. z art. 24 specustawy gazowej stanowi normę szczególną wobec art. 124 ust. 1 i ust. 3 </w:t>
      </w:r>
      <w:proofErr w:type="spellStart"/>
      <w:r w:rsidRPr="00903BF8">
        <w:rPr>
          <w:rFonts w:ascii="Lato" w:eastAsia="MS Mincho" w:hAnsi="Lato" w:cs="Arial"/>
          <w:bCs/>
          <w:color w:val="000000"/>
          <w:spacing w:val="4"/>
          <w:lang w:bidi="pl-PL"/>
        </w:rPr>
        <w:t>ugn</w:t>
      </w:r>
      <w:proofErr w:type="spellEnd"/>
      <w:r w:rsidRPr="00903BF8">
        <w:rPr>
          <w:rFonts w:ascii="Lato" w:eastAsia="MS Mincho" w:hAnsi="Lato" w:cs="Arial"/>
          <w:bCs/>
          <w:color w:val="000000"/>
          <w:spacing w:val="4"/>
          <w:lang w:bidi="pl-PL"/>
        </w:rPr>
        <w:t xml:space="preserve"> i okoliczność określenia ograniczeń w korzystaniu </w:t>
      </w:r>
      <w:r w:rsidR="00A634B2">
        <w:rPr>
          <w:rFonts w:ascii="Lato" w:eastAsia="MS Mincho" w:hAnsi="Lato" w:cs="Arial"/>
          <w:bCs/>
          <w:color w:val="000000"/>
          <w:spacing w:val="4"/>
          <w:lang w:bidi="pl-PL"/>
        </w:rPr>
        <w:br/>
      </w:r>
      <w:r w:rsidRPr="00903BF8">
        <w:rPr>
          <w:rFonts w:ascii="Lato" w:eastAsia="MS Mincho" w:hAnsi="Lato" w:cs="Arial"/>
          <w:bCs/>
          <w:color w:val="000000"/>
          <w:spacing w:val="4"/>
          <w:lang w:bidi="pl-PL"/>
        </w:rPr>
        <w:t xml:space="preserve">z nieruchomości i prowadzenia robót może być w tym przypadku oparta tylko na ww. przepisach specustawy gazowej </w:t>
      </w:r>
      <w:r w:rsidRPr="00903BF8">
        <w:rPr>
          <w:rFonts w:ascii="Lato" w:eastAsia="MS Mincho" w:hAnsi="Lato" w:cs="Arial"/>
          <w:bCs/>
          <w:iCs/>
          <w:color w:val="000000"/>
          <w:spacing w:val="4"/>
          <w:lang w:bidi="pl-PL"/>
        </w:rPr>
        <w:t xml:space="preserve">(por. wyrok Naczelnego Sądu Administracyjnego z dnia 23 października 2024 r., sygn. akt II OSK 1477/24, oraz wyrok Naczelnego Sądu Administracyjnego z dnia 18 lutego 2021 r., sygn. akt II OSK 2897/20, </w:t>
      </w:r>
      <w:proofErr w:type="spellStart"/>
      <w:r w:rsidRPr="00903BF8">
        <w:rPr>
          <w:rFonts w:ascii="Lato" w:eastAsia="MS Mincho" w:hAnsi="Lato" w:cs="Arial"/>
          <w:bCs/>
          <w:iCs/>
          <w:color w:val="000000"/>
          <w:spacing w:val="4"/>
          <w:lang w:bidi="pl-PL"/>
        </w:rPr>
        <w:t>opubl</w:t>
      </w:r>
      <w:proofErr w:type="spellEnd"/>
      <w:r w:rsidRPr="00903BF8">
        <w:rPr>
          <w:rFonts w:ascii="Lato" w:eastAsia="MS Mincho" w:hAnsi="Lato" w:cs="Arial"/>
          <w:bCs/>
          <w:iCs/>
          <w:color w:val="000000"/>
          <w:spacing w:val="4"/>
          <w:lang w:bidi="pl-PL"/>
        </w:rPr>
        <w:t xml:space="preserve">. Centralna Baza Orzeczeń Sądów Administracyjnych, </w:t>
      </w:r>
      <w:proofErr w:type="spellStart"/>
      <w:r w:rsidRPr="00903BF8">
        <w:rPr>
          <w:rFonts w:ascii="Lato" w:eastAsia="MS Mincho" w:hAnsi="Lato" w:cs="Arial"/>
          <w:bCs/>
          <w:iCs/>
          <w:color w:val="000000"/>
          <w:spacing w:val="4"/>
          <w:lang w:bidi="pl-PL"/>
        </w:rPr>
        <w:t>opubl</w:t>
      </w:r>
      <w:proofErr w:type="spellEnd"/>
      <w:r w:rsidRPr="00903BF8">
        <w:rPr>
          <w:rFonts w:ascii="Lato" w:eastAsia="MS Mincho" w:hAnsi="Lato" w:cs="Arial"/>
          <w:bCs/>
          <w:iCs/>
          <w:color w:val="000000"/>
          <w:spacing w:val="4"/>
          <w:lang w:bidi="pl-PL"/>
        </w:rPr>
        <w:t>. Centralna Baza Orzeczeń Sądów Administracyjnych).</w:t>
      </w:r>
      <w:r w:rsidRPr="00903BF8" w:rsidDel="000F35D5">
        <w:rPr>
          <w:rFonts w:ascii="Lato" w:eastAsia="MS Mincho" w:hAnsi="Lato" w:cs="Arial"/>
          <w:bCs/>
          <w:color w:val="000000"/>
          <w:spacing w:val="4"/>
          <w:lang w:bidi="pl-PL"/>
        </w:rPr>
        <w:t xml:space="preserve"> </w:t>
      </w:r>
    </w:p>
    <w:p w14:paraId="179D0098" w14:textId="4AC11DEF" w:rsidR="009D644B" w:rsidRPr="00903BF8" w:rsidRDefault="009D644B" w:rsidP="009D644B">
      <w:pPr>
        <w:spacing w:after="240" w:line="240" w:lineRule="atLeast"/>
        <w:jc w:val="both"/>
        <w:outlineLvl w:val="0"/>
        <w:rPr>
          <w:rFonts w:ascii="Lato" w:eastAsia="MS Mincho" w:hAnsi="Lato" w:cs="Arial"/>
          <w:bCs/>
          <w:color w:val="000000"/>
          <w:spacing w:val="4"/>
          <w:lang w:bidi="pl-PL"/>
        </w:rPr>
      </w:pPr>
      <w:r w:rsidRPr="00903BF8">
        <w:rPr>
          <w:rFonts w:ascii="Lato" w:eastAsia="MS Mincho" w:hAnsi="Lato" w:cs="Arial"/>
          <w:bCs/>
          <w:color w:val="000000"/>
          <w:spacing w:val="4"/>
          <w:lang w:bidi="pl-PL"/>
        </w:rPr>
        <w:t xml:space="preserve">Jednakże w kontekście podniesionego zarzutu warto zauważyć, że z pisma inwestora z dnia 14 maja 2026 r., wynika , iż  w ramach dobrych praktyk zostały przeprowadzone spotkania informacyjno-konsultacyjne dla mieszkańców </w:t>
      </w:r>
      <w:r w:rsidR="00A634B2">
        <w:rPr>
          <w:rFonts w:ascii="Lato" w:eastAsia="MS Mincho" w:hAnsi="Lato" w:cs="Arial"/>
          <w:bCs/>
          <w:color w:val="000000"/>
          <w:spacing w:val="4"/>
          <w:lang w:bidi="pl-PL"/>
        </w:rPr>
        <w:br/>
      </w:r>
      <w:r w:rsidRPr="00903BF8">
        <w:rPr>
          <w:rFonts w:ascii="Lato" w:eastAsia="MS Mincho" w:hAnsi="Lato" w:cs="Arial"/>
          <w:bCs/>
          <w:color w:val="000000"/>
          <w:spacing w:val="4"/>
          <w:lang w:bidi="pl-PL"/>
        </w:rPr>
        <w:t xml:space="preserve">i właścicieli wszystkich gmin objętych przedmiotową inwestycją w tym gminy Wąwolnica, w której położona jest działka skarżących. W ramach kilkugodzinnych dyżurów właściciele nieruchomości mogli konsultować zarówno z przedstawicielami inwestora, jak i z projektantem przebieg trasy gazociągu, wskazywać możliwe korekty jak i wnosić stosowne uwagi. Informacje </w:t>
      </w:r>
      <w:r>
        <w:rPr>
          <w:rFonts w:ascii="Lato" w:eastAsia="MS Mincho" w:hAnsi="Lato" w:cs="Arial"/>
          <w:bCs/>
          <w:color w:val="000000"/>
          <w:spacing w:val="4"/>
          <w:lang w:bidi="pl-PL"/>
        </w:rPr>
        <w:br/>
      </w:r>
      <w:r w:rsidRPr="00903BF8">
        <w:rPr>
          <w:rFonts w:ascii="Lato" w:eastAsia="MS Mincho" w:hAnsi="Lato" w:cs="Arial"/>
          <w:bCs/>
          <w:color w:val="000000"/>
          <w:spacing w:val="4"/>
          <w:lang w:bidi="pl-PL"/>
        </w:rPr>
        <w:t xml:space="preserve">o spotkaniach były z wyprzedzeniem zamieszczane na stronie internetowej Urzędu Gminy. Zatem nie można uznać zarzutów skarżących, zdaniem których nie były przeprowadzane konsultacje z właścicielami, nie dokonano wizji lokalnej czy nie korzystano z opinii niezależnych ekspertów. </w:t>
      </w:r>
      <w:r w:rsidRPr="00903BF8">
        <w:rPr>
          <w:rFonts w:ascii="Lato" w:hAnsi="Lato" w:cs="Arial"/>
          <w:iCs/>
          <w:spacing w:val="4"/>
        </w:rPr>
        <w:t xml:space="preserve">Ponadto opublikowany został wykaz nieruchomości objętych planowaną inwestycją oraz poglądowa mapa z przebiegiem trasy gazociągu, a działka skarżących znajdowała się na ww. wykazie. </w:t>
      </w:r>
    </w:p>
    <w:p w14:paraId="7D2C827C" w14:textId="5DBD4E09" w:rsidR="009D644B" w:rsidRPr="00903BF8" w:rsidRDefault="009D644B" w:rsidP="009D644B">
      <w:pPr>
        <w:tabs>
          <w:tab w:val="left" w:pos="2977"/>
        </w:tabs>
        <w:spacing w:after="240" w:line="240" w:lineRule="atLeast"/>
        <w:jc w:val="both"/>
        <w:outlineLvl w:val="0"/>
        <w:rPr>
          <w:rFonts w:ascii="Lato" w:eastAsia="Times New Roman" w:hAnsi="Lato" w:cs="Arial"/>
          <w:bCs/>
          <w:iCs/>
          <w:spacing w:val="4"/>
          <w:lang w:eastAsia="pl-PL" w:bidi="pl-PL"/>
        </w:rPr>
      </w:pPr>
      <w:r w:rsidRPr="00903BF8">
        <w:rPr>
          <w:rFonts w:ascii="Lato" w:hAnsi="Lato" w:cs="Arial"/>
          <w:bCs/>
          <w:iCs/>
          <w:spacing w:val="4"/>
          <w:lang w:bidi="pl-PL"/>
        </w:rPr>
        <w:t>Należy również wyjaśnić skarżącym, iż na etapie postępowania o wydanie decyzji o ustaleniu lokalizacji gazociągu nie bada się już innych wariantów lokalizacyjnych przeprowadzenia inwestycji (por. wyrok Wojewódzkiego Sądu Administracyjnego w Warszawie z dnia 19 września 2019 r., sygn. akt IV SA/</w:t>
      </w:r>
      <w:proofErr w:type="spellStart"/>
      <w:r w:rsidRPr="00903BF8">
        <w:rPr>
          <w:rFonts w:ascii="Lato" w:hAnsi="Lato" w:cs="Arial"/>
          <w:bCs/>
          <w:iCs/>
          <w:spacing w:val="4"/>
          <w:lang w:bidi="pl-PL"/>
        </w:rPr>
        <w:t>Wa</w:t>
      </w:r>
      <w:proofErr w:type="spellEnd"/>
      <w:r w:rsidRPr="00903BF8">
        <w:rPr>
          <w:rFonts w:ascii="Lato" w:hAnsi="Lato" w:cs="Arial"/>
          <w:bCs/>
          <w:iCs/>
          <w:spacing w:val="4"/>
          <w:lang w:bidi="pl-PL"/>
        </w:rPr>
        <w:t xml:space="preserve"> 510/18, </w:t>
      </w:r>
      <w:proofErr w:type="spellStart"/>
      <w:r w:rsidRPr="00903BF8">
        <w:rPr>
          <w:rFonts w:ascii="Lato" w:hAnsi="Lato" w:cs="Arial"/>
          <w:bCs/>
          <w:iCs/>
          <w:spacing w:val="4"/>
          <w:lang w:bidi="pl-PL"/>
        </w:rPr>
        <w:t>opubl</w:t>
      </w:r>
      <w:proofErr w:type="spellEnd"/>
      <w:r w:rsidRPr="00903BF8">
        <w:rPr>
          <w:rFonts w:ascii="Lato" w:hAnsi="Lato" w:cs="Arial"/>
          <w:bCs/>
          <w:iCs/>
          <w:spacing w:val="4"/>
          <w:lang w:bidi="pl-PL"/>
        </w:rPr>
        <w:t>. Centralna Baza Orzeczeń Sądów Administracyjnych). Jak to bowiem wskazał Naczelny Sąd Administracyjny w wyroku z dnia 12 września 2023 r., sygn. akt II OSK 1004/23, żaden z organów administracji właściwych do wydania decyzji o ustaleniu lokalizacji inwestycji, na podstawie przepisów specustawy gazowej, nie miał uprawnienia do ingerowania w przebieg inwestycji zaproponowany przez inwestora, a który to wcześniej został zatwierdzony</w:t>
      </w:r>
      <w:r w:rsidR="000E0CD6">
        <w:rPr>
          <w:rFonts w:ascii="Lato" w:hAnsi="Lato" w:cs="Arial"/>
          <w:bCs/>
          <w:iCs/>
          <w:spacing w:val="4"/>
          <w:lang w:bidi="pl-PL"/>
        </w:rPr>
        <w:br/>
      </w:r>
      <w:r w:rsidRPr="00903BF8">
        <w:rPr>
          <w:rFonts w:ascii="Lato" w:hAnsi="Lato" w:cs="Arial"/>
          <w:bCs/>
          <w:iCs/>
          <w:spacing w:val="4"/>
          <w:lang w:bidi="pl-PL"/>
        </w:rPr>
        <w:lastRenderedPageBreak/>
        <w:t xml:space="preserve"> i zaakceptowany w decyzji określającej środowiskowe uwarunkowania realizacji inwestycji.</w:t>
      </w:r>
      <w:r w:rsidRPr="00903BF8">
        <w:rPr>
          <w:rFonts w:ascii="Lato" w:eastAsia="Times New Roman" w:hAnsi="Lato" w:cs="Arial"/>
          <w:bCs/>
          <w:iCs/>
          <w:spacing w:val="4"/>
          <w:lang w:eastAsia="pl-PL" w:bidi="pl-PL"/>
        </w:rPr>
        <w:t xml:space="preserve"> </w:t>
      </w:r>
    </w:p>
    <w:p w14:paraId="2F96C2E3" w14:textId="4192C49C" w:rsidR="009D644B" w:rsidRPr="00903BF8" w:rsidRDefault="009D644B" w:rsidP="009D644B">
      <w:pPr>
        <w:tabs>
          <w:tab w:val="left" w:pos="2977"/>
        </w:tabs>
        <w:spacing w:after="240" w:line="240" w:lineRule="atLeast"/>
        <w:jc w:val="both"/>
        <w:outlineLvl w:val="0"/>
        <w:rPr>
          <w:rFonts w:ascii="Lato" w:hAnsi="Lato" w:cs="Arial"/>
          <w:bCs/>
          <w:spacing w:val="4"/>
        </w:rPr>
      </w:pPr>
      <w:r w:rsidRPr="00903BF8">
        <w:rPr>
          <w:rFonts w:ascii="Lato" w:hAnsi="Lato" w:cs="Arial"/>
          <w:bCs/>
          <w:iCs/>
          <w:spacing w:val="4"/>
          <w:lang w:bidi="pl-PL"/>
        </w:rPr>
        <w:t xml:space="preserve">Nie można bowiem pominąć istotnej okoliczności, że </w:t>
      </w:r>
      <w:r w:rsidRPr="00903BF8">
        <w:rPr>
          <w:rFonts w:ascii="Lato" w:hAnsi="Lato" w:cs="Arial"/>
          <w:bCs/>
          <w:spacing w:val="4"/>
        </w:rPr>
        <w:t xml:space="preserve">określenie wariantu przebiegu przedmiotowej inwestycji nastąpiło na etapie postępowania </w:t>
      </w:r>
      <w:r w:rsidR="000E0CD6">
        <w:rPr>
          <w:rFonts w:ascii="Lato" w:hAnsi="Lato" w:cs="Arial"/>
          <w:bCs/>
          <w:spacing w:val="4"/>
        </w:rPr>
        <w:br/>
      </w:r>
      <w:r w:rsidRPr="00903BF8">
        <w:rPr>
          <w:rFonts w:ascii="Lato" w:hAnsi="Lato" w:cs="Arial"/>
          <w:bCs/>
          <w:spacing w:val="4"/>
        </w:rPr>
        <w:t xml:space="preserve">w sprawie wydania </w:t>
      </w:r>
      <w:r w:rsidRPr="00903BF8">
        <w:rPr>
          <w:rFonts w:ascii="Lato" w:hAnsi="Lato" w:cs="Arial"/>
          <w:bCs/>
          <w:iCs/>
          <w:spacing w:val="4"/>
          <w:lang w:bidi="pl-PL"/>
        </w:rPr>
        <w:t xml:space="preserve">decyzji Regionalnego Dyrektora Ochrony Środowiska </w:t>
      </w:r>
      <w:r w:rsidR="000E0CD6">
        <w:rPr>
          <w:rFonts w:ascii="Lato" w:hAnsi="Lato" w:cs="Arial"/>
          <w:bCs/>
          <w:iCs/>
          <w:spacing w:val="4"/>
          <w:lang w:bidi="pl-PL"/>
        </w:rPr>
        <w:br/>
      </w:r>
      <w:r w:rsidRPr="00903BF8">
        <w:rPr>
          <w:rFonts w:ascii="Lato" w:hAnsi="Lato" w:cs="Arial"/>
          <w:bCs/>
          <w:iCs/>
          <w:spacing w:val="4"/>
          <w:lang w:bidi="pl-PL"/>
        </w:rPr>
        <w:t xml:space="preserve">w Lublinie (dalej: RDOŚ w Lublinie) </w:t>
      </w:r>
      <w:r w:rsidRPr="009432DB">
        <w:rPr>
          <w:rFonts w:ascii="Lato" w:hAnsi="Lato" w:cs="Arial"/>
          <w:bCs/>
          <w:iCs/>
          <w:spacing w:val="4"/>
          <w:lang w:bidi="pl-PL"/>
        </w:rPr>
        <w:t>z dnia 30 września 2025 r</w:t>
      </w:r>
      <w:r w:rsidRPr="00903BF8">
        <w:rPr>
          <w:rFonts w:ascii="Lato" w:hAnsi="Lato" w:cs="Arial"/>
          <w:bCs/>
          <w:iCs/>
          <w:spacing w:val="4"/>
          <w:lang w:bidi="pl-PL"/>
        </w:rPr>
        <w:t>., znak: WOOŚ.420.29.2024.KK.24, dalej zwana</w:t>
      </w:r>
      <w:r w:rsidRPr="00903BF8">
        <w:rPr>
          <w:rFonts w:ascii="Lato" w:hAnsi="Lato"/>
          <w:i/>
          <w:iCs/>
          <w:spacing w:val="4"/>
        </w:rPr>
        <w:t xml:space="preserve"> „</w:t>
      </w:r>
      <w:r w:rsidRPr="00903BF8">
        <w:rPr>
          <w:rFonts w:ascii="Lato" w:hAnsi="Lato"/>
          <w:spacing w:val="4"/>
        </w:rPr>
        <w:t>decyzją o środowiskowych uwarunkowaniach”,</w:t>
      </w:r>
      <w:r w:rsidRPr="00903BF8">
        <w:rPr>
          <w:rFonts w:ascii="Lato" w:hAnsi="Lato" w:cs="Arial"/>
          <w:bCs/>
          <w:iCs/>
          <w:spacing w:val="4"/>
          <w:lang w:bidi="pl-PL"/>
        </w:rPr>
        <w:t xml:space="preserve"> w której określono warunki i wymagania dla przedmiotowej inwestycji </w:t>
      </w:r>
      <w:r w:rsidRPr="00903BF8">
        <w:rPr>
          <w:rFonts w:ascii="Lato" w:hAnsi="Lato" w:cs="Arial"/>
          <w:bCs/>
          <w:spacing w:val="4"/>
        </w:rPr>
        <w:t xml:space="preserve">i w tym postępowaniu strony mogły wnosić uwagi co do trasy projektowanej inwestycji (por. wyrok Wojewódzkiego Sądu Administracyjnego </w:t>
      </w:r>
      <w:r>
        <w:rPr>
          <w:rFonts w:ascii="Lato" w:hAnsi="Lato" w:cs="Arial"/>
          <w:bCs/>
          <w:spacing w:val="4"/>
        </w:rPr>
        <w:br/>
      </w:r>
      <w:r w:rsidRPr="00903BF8">
        <w:rPr>
          <w:rFonts w:ascii="Lato" w:hAnsi="Lato" w:cs="Arial"/>
          <w:bCs/>
          <w:spacing w:val="4"/>
        </w:rPr>
        <w:t>w Warszawie z dnia 7 września 2017 r., sygn. akt IV SA/</w:t>
      </w:r>
      <w:proofErr w:type="spellStart"/>
      <w:r w:rsidRPr="00903BF8">
        <w:rPr>
          <w:rFonts w:ascii="Lato" w:hAnsi="Lato" w:cs="Arial"/>
          <w:bCs/>
          <w:spacing w:val="4"/>
        </w:rPr>
        <w:t>Wa</w:t>
      </w:r>
      <w:proofErr w:type="spellEnd"/>
      <w:r w:rsidRPr="00903BF8">
        <w:rPr>
          <w:rFonts w:ascii="Lato" w:hAnsi="Lato" w:cs="Arial"/>
          <w:bCs/>
          <w:spacing w:val="4"/>
        </w:rPr>
        <w:t xml:space="preserve"> 1749/17, wydany w sprawie rozpatrywanej na podstawie specustawy przesyłowej, lecz </w:t>
      </w:r>
      <w:r w:rsidR="000E0CD6">
        <w:rPr>
          <w:rFonts w:ascii="Lato" w:hAnsi="Lato" w:cs="Arial"/>
          <w:bCs/>
          <w:spacing w:val="4"/>
        </w:rPr>
        <w:br/>
      </w:r>
      <w:r w:rsidRPr="00903BF8">
        <w:rPr>
          <w:rFonts w:ascii="Lato" w:hAnsi="Lato" w:cs="Arial"/>
          <w:bCs/>
          <w:spacing w:val="4"/>
        </w:rPr>
        <w:t xml:space="preserve">w istotnym zakresie w pełni analogicznej do rozwiązań przyjętych </w:t>
      </w:r>
      <w:r w:rsidR="000E0CD6">
        <w:rPr>
          <w:rFonts w:ascii="Lato" w:hAnsi="Lato" w:cs="Arial"/>
          <w:bCs/>
          <w:spacing w:val="4"/>
        </w:rPr>
        <w:br/>
      </w:r>
      <w:r w:rsidRPr="00903BF8">
        <w:rPr>
          <w:rFonts w:ascii="Lato" w:hAnsi="Lato" w:cs="Arial"/>
          <w:bCs/>
          <w:spacing w:val="4"/>
        </w:rPr>
        <w:t xml:space="preserve">w specustawie gazowej). </w:t>
      </w:r>
    </w:p>
    <w:p w14:paraId="45BF5169" w14:textId="6FFE222A"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 xml:space="preserve">Decyzja o środowiskowych uwarunkowaniach jest, co do zasady, pierwszą decyzją, o wydanie której występuje inwestor przed rozpoczęciem planowanego przedsięwzięcia (inwestycji). Wynika to z konieczności objęcia rozstrzygnięciem decyzji o środowiskowych uwarunkowaniach dopuszczalności usytuowania danego przedsięwzięcia z punktu widzenia ochrony zasobów środowiska, zdrowia ludzi i ewentualnemu przeciwdziałania negatywnym oddziaływaniom. Ewentualne uwagi i zastrzeżenia co do skutków środowiskowych realizacji przedmiotowej inwestycji, w tym proponowanego wariantu przebiegu inwestycji, strony mogły zgłaszać w toku postępowania środowiskowego. Należy pamiętać, że decyzja o środowiskowych uwarunkowaniach ma charakter </w:t>
      </w:r>
      <w:proofErr w:type="spellStart"/>
      <w:r w:rsidRPr="00903BF8">
        <w:rPr>
          <w:rFonts w:ascii="Lato" w:hAnsi="Lato" w:cs="Arial"/>
          <w:bCs/>
          <w:iCs/>
          <w:spacing w:val="4"/>
          <w:lang w:bidi="pl-PL"/>
        </w:rPr>
        <w:t>sui</w:t>
      </w:r>
      <w:proofErr w:type="spellEnd"/>
      <w:r w:rsidRPr="00903BF8">
        <w:rPr>
          <w:rFonts w:ascii="Lato" w:hAnsi="Lato" w:cs="Arial"/>
          <w:bCs/>
          <w:iCs/>
          <w:spacing w:val="4"/>
          <w:lang w:bidi="pl-PL"/>
        </w:rPr>
        <w:t xml:space="preserve"> </w:t>
      </w:r>
      <w:proofErr w:type="spellStart"/>
      <w:r w:rsidRPr="00903BF8">
        <w:rPr>
          <w:rFonts w:ascii="Lato" w:hAnsi="Lato" w:cs="Arial"/>
          <w:bCs/>
          <w:iCs/>
          <w:spacing w:val="4"/>
          <w:lang w:bidi="pl-PL"/>
        </w:rPr>
        <w:t>generis</w:t>
      </w:r>
      <w:proofErr w:type="spellEnd"/>
      <w:r w:rsidRPr="00903BF8">
        <w:rPr>
          <w:rFonts w:ascii="Lato" w:hAnsi="Lato" w:cs="Arial"/>
          <w:bCs/>
          <w:iCs/>
          <w:spacing w:val="4"/>
          <w:lang w:bidi="pl-PL"/>
        </w:rPr>
        <w:t xml:space="preserve"> „rozstrzygnięcia wstępnego” względem przyszłego ustalenia lokalizacji inwestycji towarzyszącej inwestycjom w zakresie terminalu i pełni ona względem niego funkcję prejudycjalną.</w:t>
      </w:r>
    </w:p>
    <w:p w14:paraId="57A305E8" w14:textId="47E7E509"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Znaczenie decyzji o środowiskowych uwarunkowaniach dla dalszego procesu inwestycyjnego zostało określone w art. 86 pkt 2 ustawy z dnia 3 października 2008 r.</w:t>
      </w:r>
      <w:r>
        <w:rPr>
          <w:rFonts w:ascii="Lato" w:hAnsi="Lato" w:cs="Arial"/>
          <w:bCs/>
          <w:iCs/>
          <w:spacing w:val="4"/>
          <w:lang w:bidi="pl-PL"/>
        </w:rPr>
        <w:t>,</w:t>
      </w:r>
      <w:r w:rsidRPr="00903BF8">
        <w:rPr>
          <w:rFonts w:ascii="Lato" w:hAnsi="Lato" w:cs="Arial"/>
          <w:bCs/>
          <w:iCs/>
          <w:spacing w:val="4"/>
          <w:lang w:bidi="pl-PL"/>
        </w:rPr>
        <w:t xml:space="preserve"> o udostępnianiu informacji o środowisku i jego ochronie, udziale społeczeństwa w ochronie środowiska oraz o ocenach oddziaływania na środowisko (</w:t>
      </w:r>
      <w:proofErr w:type="spellStart"/>
      <w:r w:rsidRPr="00903BF8">
        <w:rPr>
          <w:rFonts w:ascii="Lato" w:hAnsi="Lato" w:cs="Arial"/>
          <w:bCs/>
          <w:iCs/>
          <w:spacing w:val="4"/>
          <w:lang w:bidi="pl-PL"/>
        </w:rPr>
        <w:t>t.j</w:t>
      </w:r>
      <w:proofErr w:type="spellEnd"/>
      <w:r w:rsidRPr="00903BF8">
        <w:rPr>
          <w:rFonts w:ascii="Lato" w:hAnsi="Lato" w:cs="Arial"/>
          <w:bCs/>
          <w:iCs/>
          <w:spacing w:val="4"/>
          <w:lang w:bidi="pl-PL"/>
        </w:rPr>
        <w:t>. Dz.U. z 2026 r.</w:t>
      </w:r>
      <w:r>
        <w:rPr>
          <w:rFonts w:ascii="Lato" w:hAnsi="Lato" w:cs="Arial"/>
          <w:bCs/>
          <w:iCs/>
          <w:spacing w:val="4"/>
          <w:lang w:bidi="pl-PL"/>
        </w:rPr>
        <w:t>,</w:t>
      </w:r>
      <w:r w:rsidRPr="00903BF8">
        <w:rPr>
          <w:rFonts w:ascii="Lato" w:hAnsi="Lato" w:cs="Arial"/>
          <w:bCs/>
          <w:iCs/>
          <w:spacing w:val="4"/>
          <w:lang w:bidi="pl-PL"/>
        </w:rPr>
        <w:t xml:space="preserve"> poz. 670), zwanej dalej „ustawą o udostępnianiu informacji o środowisku i jego ochronie”. Zgodnie z tym przepisem, decyzja </w:t>
      </w:r>
      <w:r w:rsidR="000E0CD6">
        <w:rPr>
          <w:rFonts w:ascii="Lato" w:hAnsi="Lato" w:cs="Arial"/>
          <w:bCs/>
          <w:iCs/>
          <w:spacing w:val="4"/>
          <w:lang w:bidi="pl-PL"/>
        </w:rPr>
        <w:br/>
      </w:r>
      <w:r w:rsidRPr="00903BF8">
        <w:rPr>
          <w:rFonts w:ascii="Lato" w:hAnsi="Lato" w:cs="Arial"/>
          <w:bCs/>
          <w:iCs/>
          <w:spacing w:val="4"/>
          <w:lang w:bidi="pl-PL"/>
        </w:rPr>
        <w:t xml:space="preserve">o środowiskowych uwarunkowaniach wiąże organ wydający decyzję o ustaleniu lokalizacji inwestycji towarzyszącej inwestycjom w zakresie terminalu. </w:t>
      </w:r>
    </w:p>
    <w:p w14:paraId="70C41277" w14:textId="264A62D6" w:rsidR="009D644B" w:rsidRPr="00903BF8" w:rsidRDefault="009D644B" w:rsidP="009D644B">
      <w:pPr>
        <w:tabs>
          <w:tab w:val="left" w:pos="2977"/>
        </w:tabs>
        <w:spacing w:after="240" w:line="240" w:lineRule="atLeast"/>
        <w:jc w:val="both"/>
        <w:outlineLvl w:val="0"/>
        <w:rPr>
          <w:rFonts w:ascii="Lato" w:hAnsi="Lato"/>
          <w:spacing w:val="4"/>
        </w:rPr>
      </w:pPr>
      <w:r w:rsidRPr="00903BF8">
        <w:rPr>
          <w:rFonts w:ascii="Lato" w:hAnsi="Lato"/>
          <w:spacing w:val="4"/>
        </w:rPr>
        <w:t>Ponadto jak wynika z uzasadnienia decyzji o środowiskowych uwarunkowaniach, społeczeństwu zapewniono czynny udział w każdym stadium trwania postępowania w sprawie wydania przedmiotowego rozstrzygnięcia środowiskowego. To właśnie na etapie postępowania o środowiskowe uwarunkowania realizacji przedsięwzięcia strony, w tym skarżący, mogli wnosić żądania zmiany przebiegu analizowanej inwestycji i to właśnie w tym postępowaniu dochodzić swoich racji (por. wyrok Wojewódzkiego Sądu Administracyjnego w Warszawie z dnia 7 września 2017 r., sygn. akt IV SA/</w:t>
      </w:r>
      <w:proofErr w:type="spellStart"/>
      <w:r w:rsidRPr="00903BF8">
        <w:rPr>
          <w:rFonts w:ascii="Lato" w:hAnsi="Lato"/>
          <w:spacing w:val="4"/>
        </w:rPr>
        <w:t>Wa</w:t>
      </w:r>
      <w:proofErr w:type="spellEnd"/>
      <w:r w:rsidRPr="00903BF8">
        <w:rPr>
          <w:rFonts w:ascii="Lato" w:hAnsi="Lato"/>
          <w:spacing w:val="4"/>
        </w:rPr>
        <w:t xml:space="preserve"> </w:t>
      </w:r>
      <w:r w:rsidRPr="00903BF8">
        <w:rPr>
          <w:rFonts w:ascii="Lato" w:hAnsi="Lato"/>
          <w:spacing w:val="4"/>
        </w:rPr>
        <w:lastRenderedPageBreak/>
        <w:t xml:space="preserve">1749/17, </w:t>
      </w:r>
      <w:proofErr w:type="spellStart"/>
      <w:r w:rsidRPr="00903BF8">
        <w:rPr>
          <w:rFonts w:ascii="Lato" w:hAnsi="Lato"/>
          <w:spacing w:val="4"/>
        </w:rPr>
        <w:t>opubl</w:t>
      </w:r>
      <w:proofErr w:type="spellEnd"/>
      <w:r w:rsidRPr="00903BF8">
        <w:rPr>
          <w:rFonts w:ascii="Lato" w:hAnsi="Lato"/>
          <w:spacing w:val="4"/>
        </w:rPr>
        <w:t>. Centralna Baza Orzeczeń Sądów Administracyjnych) czego nie poczynili.</w:t>
      </w:r>
    </w:p>
    <w:p w14:paraId="2D05626E" w14:textId="6AB6E9D9" w:rsidR="009D644B" w:rsidRPr="00903BF8" w:rsidRDefault="009D644B" w:rsidP="009D644B">
      <w:pPr>
        <w:tabs>
          <w:tab w:val="left" w:pos="2977"/>
        </w:tabs>
        <w:spacing w:after="240" w:line="240" w:lineRule="atLeast"/>
        <w:jc w:val="both"/>
        <w:outlineLvl w:val="0"/>
        <w:rPr>
          <w:rFonts w:ascii="Lato" w:hAnsi="Lato"/>
          <w:i/>
          <w:iCs/>
          <w:spacing w:val="4"/>
        </w:rPr>
      </w:pPr>
      <w:r w:rsidRPr="00903BF8">
        <w:rPr>
          <w:rFonts w:ascii="Lato" w:hAnsi="Lato"/>
          <w:spacing w:val="4"/>
        </w:rPr>
        <w:t xml:space="preserve">Warto mieć również na uwadze fakt, iż organ środowiskowy (w niniejszej sprawie – RDOŚ w Lublinie) po przeprowadzeniu wielokryterialnej analizy (uwzględniającej kwestie środowiskowe, społeczne i ekonomiczne) podzielił argumentację przytoczoną w raporcie o oddziaływaniu inwestycji na środowisko w kwestii celowości i pozytywnych skutków wykonania przedsięwzięcia </w:t>
      </w:r>
      <w:r w:rsidR="00ED5E2F">
        <w:rPr>
          <w:rFonts w:ascii="Lato" w:hAnsi="Lato"/>
          <w:spacing w:val="4"/>
        </w:rPr>
        <w:br/>
      </w:r>
      <w:r w:rsidRPr="00903BF8">
        <w:rPr>
          <w:rFonts w:ascii="Lato" w:hAnsi="Lato"/>
          <w:spacing w:val="4"/>
        </w:rPr>
        <w:t>w wariancie proponowanym przez inwestora</w:t>
      </w:r>
      <w:r w:rsidRPr="00903BF8">
        <w:rPr>
          <w:rFonts w:ascii="Lato" w:hAnsi="Lato"/>
          <w:i/>
          <w:iCs/>
          <w:spacing w:val="4"/>
        </w:rPr>
        <w:t>.</w:t>
      </w:r>
    </w:p>
    <w:p w14:paraId="429DF1E6" w14:textId="2DA5D838" w:rsidR="009D644B" w:rsidRPr="00903BF8" w:rsidRDefault="009D644B" w:rsidP="009D644B">
      <w:pPr>
        <w:tabs>
          <w:tab w:val="left" w:pos="2977"/>
        </w:tabs>
        <w:spacing w:after="240" w:line="240" w:lineRule="atLeast"/>
        <w:jc w:val="both"/>
        <w:outlineLvl w:val="0"/>
        <w:rPr>
          <w:rFonts w:ascii="Lato" w:eastAsia="Times New Roman" w:hAnsi="Lato" w:cs="Arial"/>
          <w:bCs/>
          <w:iCs/>
          <w:spacing w:val="4"/>
          <w:lang w:eastAsia="pl-PL" w:bidi="pl-PL"/>
        </w:rPr>
      </w:pPr>
      <w:r w:rsidRPr="00903BF8">
        <w:rPr>
          <w:rFonts w:ascii="Lato" w:hAnsi="Lato" w:cs="Arial"/>
          <w:bCs/>
          <w:iCs/>
          <w:spacing w:val="4"/>
          <w:lang w:bidi="pl-PL"/>
        </w:rPr>
        <w:t xml:space="preserve">Zatem zarówno Wojewoda Lubelski, jak i Minister w ramach postępowania </w:t>
      </w:r>
      <w:r w:rsidR="00ED5E2F">
        <w:rPr>
          <w:rFonts w:ascii="Lato" w:hAnsi="Lato" w:cs="Arial"/>
          <w:bCs/>
          <w:iCs/>
          <w:spacing w:val="4"/>
          <w:lang w:bidi="pl-PL"/>
        </w:rPr>
        <w:br/>
      </w:r>
      <w:r w:rsidRPr="00903BF8">
        <w:rPr>
          <w:rFonts w:ascii="Lato" w:hAnsi="Lato" w:cs="Arial"/>
          <w:bCs/>
          <w:iCs/>
          <w:spacing w:val="4"/>
          <w:lang w:bidi="pl-PL"/>
        </w:rPr>
        <w:t xml:space="preserve">w sprawie wydania decyzji o ustaleniu lokalizacji przedmiotowej inwestycji </w:t>
      </w:r>
      <w:r w:rsidR="00ED5E2F">
        <w:rPr>
          <w:rFonts w:ascii="Lato" w:hAnsi="Lato" w:cs="Arial"/>
          <w:bCs/>
          <w:iCs/>
          <w:spacing w:val="4"/>
          <w:lang w:bidi="pl-PL"/>
        </w:rPr>
        <w:br/>
      </w:r>
      <w:r w:rsidRPr="00903BF8">
        <w:rPr>
          <w:rFonts w:ascii="Lato" w:hAnsi="Lato" w:cs="Arial"/>
          <w:bCs/>
          <w:iCs/>
          <w:spacing w:val="4"/>
          <w:lang w:bidi="pl-PL"/>
        </w:rPr>
        <w:t>z mocy prawa są związani ustaleniami decyzji w przedmiocie określenia środowiskowych uwarunkowań</w:t>
      </w:r>
      <w:r w:rsidRPr="00903BF8">
        <w:rPr>
          <w:rFonts w:ascii="Lato" w:hAnsi="Lato" w:cs="Arial"/>
          <w:bCs/>
          <w:i/>
          <w:iCs/>
          <w:spacing w:val="4"/>
          <w:lang w:bidi="pl-PL"/>
        </w:rPr>
        <w:t xml:space="preserve">, </w:t>
      </w:r>
      <w:r w:rsidRPr="00903BF8">
        <w:rPr>
          <w:rFonts w:ascii="Lato" w:hAnsi="Lato" w:cs="Arial"/>
          <w:bCs/>
          <w:iCs/>
          <w:spacing w:val="4"/>
          <w:lang w:bidi="pl-PL"/>
        </w:rPr>
        <w:t>w tym również</w:t>
      </w:r>
      <w:r w:rsidRPr="00903BF8">
        <w:rPr>
          <w:rFonts w:ascii="Lato" w:hAnsi="Lato" w:cs="Arial"/>
          <w:bCs/>
          <w:i/>
          <w:iCs/>
          <w:spacing w:val="4"/>
          <w:lang w:bidi="pl-PL"/>
        </w:rPr>
        <w:t xml:space="preserve"> </w:t>
      </w:r>
      <w:r w:rsidRPr="00903BF8">
        <w:rPr>
          <w:rFonts w:ascii="Lato" w:hAnsi="Lato" w:cs="Arial"/>
          <w:bCs/>
          <w:iCs/>
          <w:spacing w:val="4"/>
          <w:lang w:bidi="pl-PL"/>
        </w:rPr>
        <w:t>odnośnie przyjętego wariantu przebiegu inwestycji. Podnieść również należy, iż organy orzekające o ustaleniu lokalizacji inwestycji towarzyszącej inwestycjom w zakresie terminalu nie są właściwe do oceny prawidłowości postępowania zakończonego wydaniem decyzji o środowiskowych uwarunkowaniach, jak i samej decyzji. Kompetencja w tym zakresie przysługuje organom wskazanym w ustawie o udostępnianiu informacji o środowisku i jego ochronie.</w:t>
      </w:r>
    </w:p>
    <w:p w14:paraId="4055D986" w14:textId="0E3C5E60"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 xml:space="preserve">Zatem odstąpienie od ustalonego kształtu przebiegu przedmiotowej inwestycji, poprzez ingerencję w konkretne rozwiązania zaproponowane przez inwestora </w:t>
      </w:r>
      <w:r w:rsidR="00ED5E2F">
        <w:rPr>
          <w:rFonts w:ascii="Lato" w:hAnsi="Lato" w:cs="Arial"/>
          <w:bCs/>
          <w:iCs/>
          <w:spacing w:val="4"/>
          <w:lang w:bidi="pl-PL"/>
        </w:rPr>
        <w:br/>
      </w:r>
      <w:r w:rsidRPr="00903BF8">
        <w:rPr>
          <w:rFonts w:ascii="Lato" w:hAnsi="Lato" w:cs="Arial"/>
          <w:bCs/>
          <w:iCs/>
          <w:spacing w:val="4"/>
          <w:lang w:bidi="pl-PL"/>
        </w:rPr>
        <w:t xml:space="preserve">w złożonym wniosku, należałoby uznać za nieuprawnioną w świetle obowiązujących przepisów ingerencję organów administracyjnych. Kwestia zmiany przebiegu inwestycji uwzględniająca interesy skarżących, nie może stanowić podstawy do uchylenia zaskarżonej decyzji jako wadliwej w tym zakresie (por. wyrok Wojewódzkiego Sądu Administracyjnego w Warszawie </w:t>
      </w:r>
      <w:r w:rsidR="00ED5E2F">
        <w:rPr>
          <w:rFonts w:ascii="Lato" w:hAnsi="Lato" w:cs="Arial"/>
          <w:bCs/>
          <w:iCs/>
          <w:spacing w:val="4"/>
          <w:lang w:bidi="pl-PL"/>
        </w:rPr>
        <w:br/>
      </w:r>
      <w:r w:rsidRPr="00903BF8">
        <w:rPr>
          <w:rFonts w:ascii="Lato" w:hAnsi="Lato" w:cs="Arial"/>
          <w:bCs/>
          <w:iCs/>
          <w:spacing w:val="4"/>
          <w:lang w:bidi="pl-PL"/>
        </w:rPr>
        <w:t>z dnia 5 kwietnia 2019 r., sygn. akt VII SA/</w:t>
      </w:r>
      <w:proofErr w:type="spellStart"/>
      <w:r w:rsidRPr="00903BF8">
        <w:rPr>
          <w:rFonts w:ascii="Lato" w:hAnsi="Lato" w:cs="Arial"/>
          <w:bCs/>
          <w:iCs/>
          <w:spacing w:val="4"/>
          <w:lang w:bidi="pl-PL"/>
        </w:rPr>
        <w:t>Wa</w:t>
      </w:r>
      <w:proofErr w:type="spellEnd"/>
      <w:r w:rsidRPr="00903BF8">
        <w:rPr>
          <w:rFonts w:ascii="Lato" w:hAnsi="Lato" w:cs="Arial"/>
          <w:bCs/>
          <w:iCs/>
          <w:spacing w:val="4"/>
          <w:lang w:bidi="pl-PL"/>
        </w:rPr>
        <w:t xml:space="preserve"> 301/19, wydany w sprawie rozpatrywanej na podstawie specustawy drogowej, lecz w istotnym zakresie </w:t>
      </w:r>
      <w:r w:rsidR="00ED5E2F">
        <w:rPr>
          <w:rFonts w:ascii="Lato" w:hAnsi="Lato" w:cs="Arial"/>
          <w:bCs/>
          <w:iCs/>
          <w:spacing w:val="4"/>
          <w:lang w:bidi="pl-PL"/>
        </w:rPr>
        <w:br/>
      </w:r>
      <w:r w:rsidRPr="00903BF8">
        <w:rPr>
          <w:rFonts w:ascii="Lato" w:hAnsi="Lato" w:cs="Arial"/>
          <w:bCs/>
          <w:iCs/>
          <w:spacing w:val="4"/>
          <w:lang w:bidi="pl-PL"/>
        </w:rPr>
        <w:t xml:space="preserve">w pełni analogicznej do rozwiązań przyjętych specustawie gazowej, </w:t>
      </w:r>
      <w:proofErr w:type="spellStart"/>
      <w:r w:rsidRPr="00903BF8">
        <w:rPr>
          <w:rFonts w:ascii="Lato" w:hAnsi="Lato" w:cs="Arial"/>
          <w:bCs/>
          <w:iCs/>
          <w:spacing w:val="4"/>
          <w:lang w:bidi="pl-PL"/>
        </w:rPr>
        <w:t>opubl</w:t>
      </w:r>
      <w:proofErr w:type="spellEnd"/>
      <w:r w:rsidRPr="00903BF8">
        <w:rPr>
          <w:rFonts w:ascii="Lato" w:hAnsi="Lato" w:cs="Arial"/>
          <w:bCs/>
          <w:iCs/>
          <w:spacing w:val="4"/>
          <w:lang w:bidi="pl-PL"/>
        </w:rPr>
        <w:t>. Centralna Baza Orzeczeń Sądów Administracyjnych).</w:t>
      </w:r>
      <w:r w:rsidR="000745A0">
        <w:rPr>
          <w:rFonts w:ascii="Lato" w:hAnsi="Lato" w:cs="Arial"/>
          <w:bCs/>
          <w:iCs/>
          <w:spacing w:val="4"/>
          <w:lang w:bidi="pl-PL"/>
        </w:rPr>
        <w:t xml:space="preserve"> </w:t>
      </w:r>
      <w:r w:rsidRPr="00903BF8">
        <w:rPr>
          <w:rFonts w:ascii="Lato" w:hAnsi="Lato" w:cs="Arial"/>
          <w:bCs/>
          <w:iCs/>
          <w:spacing w:val="4"/>
          <w:lang w:bidi="pl-PL"/>
        </w:rPr>
        <w:t xml:space="preserve">Ważąc interes prywatny, mocno akcentowany przez skarżących, należy jednakże mieć na uwadze wszystkie powyższe uwarunkowania i wymogi dotyczące zasad ustalania lokalizacji inwestycji na podstawie specustawy gazowej. Mając na uwadze powyższe uwarunkowania, założyć trzeba pewną racjonalność założeń lokalizacyjnych, w tym w kwestii odnoszącej się do określenia nieruchomości objętych zakresem inwestycji i wybranego przez inwestora przebiegu inwestycji przez teren poszczególnych nieruchomości. </w:t>
      </w:r>
    </w:p>
    <w:p w14:paraId="3886C2C5" w14:textId="345DF807"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sidDel="00E50C8D">
        <w:rPr>
          <w:rFonts w:ascii="Lato" w:hAnsi="Lato" w:cs="Arial"/>
          <w:bCs/>
          <w:iCs/>
          <w:spacing w:val="4"/>
          <w:lang w:bidi="pl-PL"/>
        </w:rPr>
        <w:t xml:space="preserve">Dostrzec trzeba, że skarżący domagają się utrzymania swojego status quo </w:t>
      </w:r>
      <w:r w:rsidR="00ED5E2F">
        <w:rPr>
          <w:rFonts w:ascii="Lato" w:hAnsi="Lato" w:cs="Arial"/>
          <w:bCs/>
          <w:iCs/>
          <w:spacing w:val="4"/>
          <w:lang w:bidi="pl-PL"/>
        </w:rPr>
        <w:br/>
      </w:r>
      <w:r w:rsidRPr="00903BF8" w:rsidDel="00E50C8D">
        <w:rPr>
          <w:rFonts w:ascii="Lato" w:hAnsi="Lato" w:cs="Arial"/>
          <w:bCs/>
          <w:iCs/>
          <w:spacing w:val="4"/>
          <w:lang w:bidi="pl-PL"/>
        </w:rPr>
        <w:t>w zakresie, w jakim dotychczas korzystali z nieruchomości objętych lokalizacją przedmiotowej inwestycji lub planowali ich przyszłe wykorzystanie i w tym kontekście ich sprzeciw wydaje się być oczywiście naturalnym odruchem ochrony sposobu wykonywania dotychczasowego prawa własności nieruchomości.</w:t>
      </w:r>
      <w:r w:rsidRPr="00903BF8">
        <w:rPr>
          <w:rFonts w:ascii="Lato" w:hAnsi="Lato" w:cs="Arial"/>
          <w:bCs/>
          <w:iCs/>
          <w:spacing w:val="4"/>
          <w:lang w:bidi="pl-PL"/>
        </w:rPr>
        <w:t xml:space="preserve"> </w:t>
      </w:r>
      <w:r w:rsidRPr="00903BF8" w:rsidDel="00E50C8D">
        <w:rPr>
          <w:rFonts w:ascii="Lato" w:hAnsi="Lato" w:cs="Arial"/>
          <w:bCs/>
          <w:iCs/>
          <w:spacing w:val="4"/>
          <w:lang w:bidi="pl-PL"/>
        </w:rPr>
        <w:t xml:space="preserve">Jednakże rozwój urbanizacyjny skutkuje zwiększającym się ograniczaniem indywidualnych praw właścicielskich na rzecz konieczności rozwoju infrastruktury publicznej lub społecznej użyteczności w ramach </w:t>
      </w:r>
      <w:r w:rsidRPr="00903BF8" w:rsidDel="00E50C8D">
        <w:rPr>
          <w:rFonts w:ascii="Lato" w:hAnsi="Lato" w:cs="Arial"/>
          <w:bCs/>
          <w:iCs/>
          <w:spacing w:val="4"/>
          <w:lang w:bidi="pl-PL"/>
        </w:rPr>
        <w:lastRenderedPageBreak/>
        <w:t xml:space="preserve">społecznej funkcji prawa własności. W takich okolicznościach inwestor zawsze będzie narażony na niezadowolenie części właścicieli nieruchomości objętych lokalizacją inwestycji, ponieważ to on samodzielnie dokonuje wyboru najbardziej korzystnych rozwiązań lokalizacyjnych, o czym była już mowa szerzej </w:t>
      </w:r>
      <w:r w:rsidR="00ED5E2F">
        <w:rPr>
          <w:rFonts w:ascii="Lato" w:hAnsi="Lato" w:cs="Arial"/>
          <w:bCs/>
          <w:iCs/>
          <w:spacing w:val="4"/>
          <w:lang w:bidi="pl-PL"/>
        </w:rPr>
        <w:br/>
      </w:r>
      <w:r w:rsidRPr="00903BF8" w:rsidDel="00E50C8D">
        <w:rPr>
          <w:rFonts w:ascii="Lato" w:hAnsi="Lato" w:cs="Arial"/>
          <w:bCs/>
          <w:iCs/>
          <w:spacing w:val="4"/>
          <w:lang w:bidi="pl-PL"/>
        </w:rPr>
        <w:t>w niniejszej decyzji.</w:t>
      </w:r>
      <w:r w:rsidRPr="00903BF8">
        <w:rPr>
          <w:rFonts w:ascii="Lato" w:hAnsi="Lato" w:cs="Arial"/>
          <w:bCs/>
          <w:iCs/>
          <w:spacing w:val="4"/>
          <w:lang w:bidi="pl-PL"/>
        </w:rPr>
        <w:t xml:space="preserve"> </w:t>
      </w:r>
    </w:p>
    <w:p w14:paraId="24EAD849" w14:textId="1400FFF5"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Ustalenie lokalizacji inwestycji gazowej w wielu wypadkach musi uwzględniać sprzeczne interesy wielu osób i podmiotów, których prawa lub interesy mogą być zagrożone lub naruszone w związku z lokalizacją takiej inwestycji. Granice tych praw i interesów określają przepisy specustawy gazowej oraz innych aktów prawnych wydanych na podstawie i w wykonaniu przepisów tego prawa lub przepisów wydanych dla ochrony środowiska. Poza tymi granicami, a zatem poza ochroną prawną wynikającą z norm prawa pozytywnego, pozostają natomiast protesty obywateli wyrażające ich osobiste zapatrywania, oczekiwania, postulaty i życzenia. Jednakże oczekiwania, postulaty i życzenia, co do określonego przebiegu inwestycji – nie mające prawnego osadzenia – są bezskuteczne i nieuwzględnienie ich nie może stanowić podstawy kwestionowania legalności ustalenia lokalizacji inwestycji towarzyszącej inwestycji w zakresie terminalu.</w:t>
      </w:r>
    </w:p>
    <w:p w14:paraId="60781E64" w14:textId="160DA25E"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 xml:space="preserve">Mając na uwadze powyższe, po przeanalizowaniu zebranego w sprawie materiału dowodowego, Minister stwierdza, że rozwiązania lokalizacyjne </w:t>
      </w:r>
      <w:r w:rsidR="006D6B4C">
        <w:rPr>
          <w:rFonts w:ascii="Lato" w:hAnsi="Lato" w:cs="Arial"/>
          <w:bCs/>
          <w:iCs/>
          <w:spacing w:val="4"/>
          <w:lang w:bidi="pl-PL"/>
        </w:rPr>
        <w:br/>
      </w:r>
      <w:r w:rsidRPr="00903BF8">
        <w:rPr>
          <w:rFonts w:ascii="Lato" w:hAnsi="Lato" w:cs="Arial"/>
          <w:bCs/>
          <w:iCs/>
          <w:spacing w:val="4"/>
          <w:lang w:bidi="pl-PL"/>
        </w:rPr>
        <w:t xml:space="preserve">– w zakresie dotyczącym interesu prawnego skarżących – zatwierdzone </w:t>
      </w:r>
      <w:r w:rsidR="006D6B4C">
        <w:rPr>
          <w:rFonts w:ascii="Lato" w:hAnsi="Lato" w:cs="Arial"/>
          <w:bCs/>
          <w:iCs/>
          <w:spacing w:val="4"/>
          <w:lang w:bidi="pl-PL"/>
        </w:rPr>
        <w:br/>
      </w:r>
      <w:r w:rsidRPr="00903BF8">
        <w:rPr>
          <w:rFonts w:ascii="Lato" w:hAnsi="Lato" w:cs="Arial"/>
          <w:bCs/>
          <w:iCs/>
          <w:spacing w:val="4"/>
          <w:lang w:bidi="pl-PL"/>
        </w:rPr>
        <w:t>w decyzji Wojewody Lubelskiego są prawidłowe. W sprawie brak jest tym samym podstaw do podważania decyzji z powołaniem się przez Panią B</w:t>
      </w:r>
      <w:r w:rsidR="00594DDB">
        <w:rPr>
          <w:rFonts w:ascii="Lato" w:hAnsi="Lato" w:cs="Arial"/>
          <w:bCs/>
          <w:iCs/>
          <w:spacing w:val="4"/>
          <w:lang w:bidi="pl-PL"/>
        </w:rPr>
        <w:t>.</w:t>
      </w:r>
      <w:r w:rsidRPr="00903BF8">
        <w:rPr>
          <w:rFonts w:ascii="Lato" w:hAnsi="Lato" w:cs="Arial"/>
          <w:bCs/>
          <w:iCs/>
          <w:spacing w:val="4"/>
          <w:lang w:bidi="pl-PL"/>
        </w:rPr>
        <w:t xml:space="preserve"> P</w:t>
      </w:r>
      <w:r w:rsidR="00594DDB">
        <w:rPr>
          <w:rFonts w:ascii="Lato" w:hAnsi="Lato" w:cs="Arial"/>
          <w:bCs/>
          <w:iCs/>
          <w:spacing w:val="4"/>
          <w:lang w:bidi="pl-PL"/>
        </w:rPr>
        <w:t>.</w:t>
      </w:r>
      <w:r w:rsidRPr="00903BF8">
        <w:rPr>
          <w:rFonts w:ascii="Lato" w:hAnsi="Lato" w:cs="Arial"/>
          <w:bCs/>
          <w:iCs/>
          <w:spacing w:val="4"/>
          <w:lang w:bidi="pl-PL"/>
        </w:rPr>
        <w:t xml:space="preserve"> i Pana L</w:t>
      </w:r>
      <w:r w:rsidR="00594DDB">
        <w:rPr>
          <w:rFonts w:ascii="Lato" w:hAnsi="Lato" w:cs="Arial"/>
          <w:bCs/>
          <w:iCs/>
          <w:spacing w:val="4"/>
          <w:lang w:bidi="pl-PL"/>
        </w:rPr>
        <w:t>.</w:t>
      </w:r>
      <w:r w:rsidRPr="00903BF8">
        <w:rPr>
          <w:rFonts w:ascii="Lato" w:hAnsi="Lato" w:cs="Arial"/>
          <w:bCs/>
          <w:iCs/>
          <w:spacing w:val="4"/>
          <w:lang w:bidi="pl-PL"/>
        </w:rPr>
        <w:t xml:space="preserve"> P</w:t>
      </w:r>
      <w:r w:rsidR="00594DDB">
        <w:rPr>
          <w:rFonts w:ascii="Lato" w:hAnsi="Lato" w:cs="Arial"/>
          <w:bCs/>
          <w:iCs/>
          <w:spacing w:val="4"/>
          <w:lang w:bidi="pl-PL"/>
        </w:rPr>
        <w:t>.</w:t>
      </w:r>
      <w:r w:rsidRPr="00903BF8">
        <w:rPr>
          <w:rFonts w:ascii="Lato" w:hAnsi="Lato" w:cs="Arial"/>
          <w:bCs/>
          <w:iCs/>
          <w:spacing w:val="4"/>
          <w:lang w:bidi="pl-PL"/>
        </w:rPr>
        <w:t xml:space="preserve"> na ochronę prawa własności. </w:t>
      </w:r>
    </w:p>
    <w:p w14:paraId="7B32D32B" w14:textId="08F757C7" w:rsidR="009D644B" w:rsidRPr="00903BF8" w:rsidRDefault="009D644B" w:rsidP="009D644B">
      <w:pPr>
        <w:tabs>
          <w:tab w:val="left" w:pos="2977"/>
        </w:tabs>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 xml:space="preserve">Wskazać należy, że prawo własności nie ma charakteru absolutnego. Konstytucja RP w art. 64 ust. 3 dopuszcza możliwość ograniczenia prawa własności w drodze ustawy i w zakresie, w jakim nie narusza istoty prawa własności. Również art. 140 </w:t>
      </w:r>
      <w:proofErr w:type="spellStart"/>
      <w:r w:rsidRPr="00903BF8">
        <w:rPr>
          <w:rFonts w:ascii="Lato" w:hAnsi="Lato" w:cs="Arial"/>
          <w:bCs/>
          <w:iCs/>
          <w:spacing w:val="4"/>
          <w:lang w:bidi="pl-PL"/>
        </w:rPr>
        <w:t>kc</w:t>
      </w:r>
      <w:proofErr w:type="spellEnd"/>
      <w:r w:rsidRPr="00903BF8">
        <w:rPr>
          <w:rFonts w:ascii="Lato" w:hAnsi="Lato" w:cs="Arial"/>
          <w:bCs/>
          <w:iCs/>
          <w:spacing w:val="4"/>
          <w:lang w:bidi="pl-PL"/>
        </w:rPr>
        <w:t xml:space="preserve"> wyraźnie stanowi, że sposób wykonywania prawa własności może być ograniczony ustawowo. Zaskarżoną decyzję</w:t>
      </w:r>
      <w:r w:rsidRPr="00903BF8">
        <w:rPr>
          <w:rFonts w:ascii="Lato" w:hAnsi="Lato" w:cs="Arial"/>
          <w:bCs/>
          <w:i/>
          <w:iCs/>
          <w:spacing w:val="4"/>
          <w:lang w:bidi="pl-PL"/>
        </w:rPr>
        <w:t xml:space="preserve"> </w:t>
      </w:r>
      <w:r w:rsidRPr="00903BF8">
        <w:rPr>
          <w:rFonts w:ascii="Lato" w:hAnsi="Lato" w:cs="Arial"/>
          <w:bCs/>
          <w:iCs/>
          <w:spacing w:val="4"/>
          <w:lang w:bidi="pl-PL"/>
        </w:rPr>
        <w:t xml:space="preserve">wydano na podstawie przepisu ustawy – specustawy gazowej. Skoro ustawodawca w art. 10 ust. 1 pkt 8 w zw. z art. 24 ust. 1 specustawy gazowej przewidział wywołanie określonych skutków prawnych – w tym prawnorzeczowych – decyzją </w:t>
      </w:r>
      <w:r w:rsidRPr="00903BF8">
        <w:rPr>
          <w:rFonts w:ascii="Lato" w:hAnsi="Lato" w:cs="Arial"/>
          <w:bCs/>
          <w:iCs/>
          <w:spacing w:val="4"/>
          <w:lang w:bidi="pl-PL"/>
        </w:rPr>
        <w:br/>
        <w:t xml:space="preserve">o ustaleniu lokalizacji inwestycji, to tym samym ograniczenie praw właścicielskich wynika z ustawy, a tym samym jest dopuszczalne. W ocenie Ministra ograniczenie prawa własności skarżących nastąpiło w zakresie, w jakim nie narusza istoty prawa własności, gdyż decyzja </w:t>
      </w:r>
      <w:proofErr w:type="spellStart"/>
      <w:r w:rsidRPr="00903BF8">
        <w:rPr>
          <w:rFonts w:ascii="Lato" w:hAnsi="Lato" w:cs="Arial"/>
          <w:bCs/>
          <w:iCs/>
          <w:spacing w:val="4"/>
          <w:lang w:bidi="pl-PL"/>
        </w:rPr>
        <w:t>pierwszoinstancyjna</w:t>
      </w:r>
      <w:proofErr w:type="spellEnd"/>
      <w:r w:rsidRPr="00903BF8">
        <w:rPr>
          <w:rFonts w:ascii="Lato" w:hAnsi="Lato" w:cs="Arial"/>
          <w:bCs/>
          <w:iCs/>
          <w:spacing w:val="4"/>
          <w:lang w:bidi="pl-PL"/>
        </w:rPr>
        <w:t xml:space="preserve"> nie przewiduje rozwiązań, które wprowadzają nadmierną i nieuzasadnioną ingerencję w prawo własności skarżących. </w:t>
      </w:r>
    </w:p>
    <w:p w14:paraId="67DC0796" w14:textId="57CE78D4" w:rsidR="009D644B" w:rsidRPr="00903BF8" w:rsidRDefault="009D644B" w:rsidP="009D644B">
      <w:pPr>
        <w:spacing w:after="240" w:line="240" w:lineRule="atLeast"/>
        <w:jc w:val="both"/>
        <w:rPr>
          <w:rFonts w:ascii="Lato" w:hAnsi="Lato" w:cs="Arial"/>
          <w:bCs/>
          <w:iCs/>
          <w:spacing w:val="4"/>
          <w:lang w:bidi="pl-PL"/>
        </w:rPr>
      </w:pPr>
      <w:r w:rsidRPr="00903BF8">
        <w:rPr>
          <w:rFonts w:ascii="Lato" w:eastAsia="Times New Roman" w:hAnsi="Lato" w:cs="Arial"/>
          <w:bCs/>
          <w:iCs/>
          <w:spacing w:val="4"/>
          <w:lang w:eastAsia="pl-PL" w:bidi="pl-PL"/>
        </w:rPr>
        <w:t xml:space="preserve">W sprawach ustalenia lokalizacji inwestycji towarzyszących inwestycji </w:t>
      </w:r>
      <w:r w:rsidR="00ED5E2F">
        <w:rPr>
          <w:rFonts w:ascii="Lato" w:eastAsia="Times New Roman" w:hAnsi="Lato" w:cs="Arial"/>
          <w:bCs/>
          <w:iCs/>
          <w:spacing w:val="4"/>
          <w:lang w:eastAsia="pl-PL" w:bidi="pl-PL"/>
        </w:rPr>
        <w:br/>
      </w:r>
      <w:r w:rsidRPr="00903BF8">
        <w:rPr>
          <w:rFonts w:ascii="Lato" w:eastAsia="Times New Roman" w:hAnsi="Lato" w:cs="Arial"/>
          <w:bCs/>
          <w:iCs/>
          <w:spacing w:val="4"/>
          <w:lang w:eastAsia="pl-PL" w:bidi="pl-PL"/>
        </w:rPr>
        <w:t xml:space="preserve">w zakresie terminalu na tle konstytucyjnych praw i ochrony tych praw, do podważenia legalności decyzji o ustaleniu lokalizacji tego rodzaju inwestycji nie wystarczy samo wskazanie faktu, że dana inwestycja ingeruje w prawo własności, które to prawo w ogólności może mieć postać np. słusznego interesu obywatela, ponieważ przewidziana w specustawie gazowej możliwość </w:t>
      </w:r>
      <w:r w:rsidRPr="00903BF8">
        <w:rPr>
          <w:rFonts w:ascii="Lato" w:eastAsia="Times New Roman" w:hAnsi="Lato" w:cs="Arial"/>
          <w:bCs/>
          <w:iCs/>
          <w:spacing w:val="4"/>
          <w:lang w:eastAsia="pl-PL" w:bidi="pl-PL"/>
        </w:rPr>
        <w:lastRenderedPageBreak/>
        <w:t xml:space="preserve">wywłaszczenia i ograniczenia wpisuje się w przewidzianą </w:t>
      </w:r>
      <w:r w:rsidRPr="00903BF8">
        <w:rPr>
          <w:rFonts w:ascii="Lato" w:eastAsia="Times New Roman" w:hAnsi="Lato" w:cs="Arial"/>
          <w:bCs/>
          <w:iCs/>
          <w:spacing w:val="4"/>
          <w:lang w:eastAsia="pl-PL" w:bidi="pl-PL"/>
        </w:rPr>
        <w:br/>
        <w:t xml:space="preserve">w Konstytucji RP dopuszczalność ingerencji władzy publicznej w prawo własności (patrz: art. 21 ust. 2, art. 31 ust. 3 i art. 64 ust. 3 Konstytucji RP). Nie jest to nic nadzwyczajnego w demokratycznym państwie prawnym, jeżeli są ku temu spełnione wszystkie konstytucyjne przesłanki, jak ma to miejsce </w:t>
      </w:r>
      <w:r w:rsidR="00ED5E2F">
        <w:rPr>
          <w:rFonts w:ascii="Lato" w:eastAsia="Times New Roman" w:hAnsi="Lato" w:cs="Arial"/>
          <w:bCs/>
          <w:iCs/>
          <w:spacing w:val="4"/>
          <w:lang w:eastAsia="pl-PL" w:bidi="pl-PL"/>
        </w:rPr>
        <w:br/>
      </w:r>
      <w:r w:rsidRPr="00903BF8">
        <w:rPr>
          <w:rFonts w:ascii="Lato" w:eastAsia="Times New Roman" w:hAnsi="Lato" w:cs="Arial"/>
          <w:bCs/>
          <w:iCs/>
          <w:spacing w:val="4"/>
          <w:lang w:eastAsia="pl-PL" w:bidi="pl-PL"/>
        </w:rPr>
        <w:t xml:space="preserve">w przypadku inwestycji gazowych realizowanych na podstawie ww. ustawy. </w:t>
      </w:r>
      <w:r w:rsidRPr="00903BF8">
        <w:rPr>
          <w:rFonts w:ascii="Lato" w:hAnsi="Lato" w:cs="Arial"/>
          <w:bCs/>
          <w:iCs/>
          <w:spacing w:val="4"/>
          <w:lang w:bidi="pl-PL"/>
        </w:rPr>
        <w:t xml:space="preserve">Ograniczając prawa jednostki (w tym prawo własności) w zakresie określonym przepisami specustawy gazowej ustawodawca dąży do zrealizowania celów publicznych, uznając, że regulacja ta mieści się w granicach ograniczeń </w:t>
      </w:r>
      <w:r w:rsidR="00ED5E2F">
        <w:rPr>
          <w:rFonts w:ascii="Lato" w:hAnsi="Lato" w:cs="Arial"/>
          <w:bCs/>
          <w:iCs/>
          <w:spacing w:val="4"/>
          <w:lang w:bidi="pl-PL"/>
        </w:rPr>
        <w:br/>
      </w:r>
      <w:r w:rsidRPr="00903BF8">
        <w:rPr>
          <w:rFonts w:ascii="Lato" w:hAnsi="Lato" w:cs="Arial"/>
          <w:bCs/>
          <w:iCs/>
          <w:spacing w:val="4"/>
          <w:lang w:bidi="pl-PL"/>
        </w:rPr>
        <w:t xml:space="preserve">w zakresie korzystania z konstytucyjnych wolności i praw określonych </w:t>
      </w:r>
      <w:r w:rsidRPr="00903BF8">
        <w:rPr>
          <w:rFonts w:ascii="Lato" w:hAnsi="Lato" w:cs="Arial"/>
          <w:bCs/>
          <w:iCs/>
          <w:spacing w:val="4"/>
          <w:lang w:bidi="pl-PL"/>
        </w:rPr>
        <w:br/>
        <w:t>w art. 31 ust. 3 Konstytucji RP.</w:t>
      </w:r>
    </w:p>
    <w:p w14:paraId="7F1C0624" w14:textId="04628084" w:rsidR="009D644B" w:rsidRPr="00903BF8" w:rsidRDefault="009D644B" w:rsidP="009D644B">
      <w:pPr>
        <w:spacing w:after="240" w:line="240" w:lineRule="atLeast"/>
        <w:jc w:val="both"/>
        <w:rPr>
          <w:rFonts w:ascii="Lato" w:hAnsi="Lato" w:cs="Arial"/>
          <w:bCs/>
          <w:iCs/>
          <w:spacing w:val="4"/>
          <w:lang w:bidi="pl-PL"/>
        </w:rPr>
      </w:pPr>
      <w:r w:rsidRPr="00903BF8">
        <w:rPr>
          <w:rFonts w:ascii="Lato" w:hAnsi="Lato" w:cs="Arial"/>
          <w:bCs/>
          <w:iCs/>
          <w:spacing w:val="4"/>
          <w:lang w:bidi="pl-PL"/>
        </w:rPr>
        <w:t xml:space="preserve">W rozpoznawanej sprawie interes ogólny (publiczny) wymaga ograniczenia uprawnień indywidualnych podmiotów i powoduje konieczność przedłożenia </w:t>
      </w:r>
      <w:r w:rsidR="00ED5E2F">
        <w:rPr>
          <w:rFonts w:ascii="Lato" w:hAnsi="Lato" w:cs="Arial"/>
          <w:bCs/>
          <w:iCs/>
          <w:spacing w:val="4"/>
          <w:lang w:bidi="pl-PL"/>
        </w:rPr>
        <w:br/>
      </w:r>
      <w:r w:rsidRPr="00903BF8">
        <w:rPr>
          <w:rFonts w:ascii="Lato" w:hAnsi="Lato" w:cs="Arial"/>
          <w:bCs/>
          <w:iCs/>
          <w:spacing w:val="4"/>
          <w:lang w:bidi="pl-PL"/>
        </w:rPr>
        <w:t xml:space="preserve">w tym konkretnym wypadku interesu publicznego nad indywidualny, bowiem </w:t>
      </w:r>
      <w:r w:rsidR="00ED5E2F">
        <w:rPr>
          <w:rFonts w:ascii="Lato" w:hAnsi="Lato" w:cs="Arial"/>
          <w:bCs/>
          <w:iCs/>
          <w:spacing w:val="4"/>
          <w:lang w:bidi="pl-PL"/>
        </w:rPr>
        <w:br/>
      </w:r>
      <w:r w:rsidRPr="00903BF8">
        <w:rPr>
          <w:rFonts w:ascii="Lato" w:hAnsi="Lato" w:cs="Arial"/>
          <w:bCs/>
          <w:iCs/>
          <w:spacing w:val="4"/>
          <w:lang w:bidi="pl-PL"/>
        </w:rPr>
        <w:t xml:space="preserve">w interesie publicznym leży ograniczenie, chronionego przez Konstytucję RP prawa własności. </w:t>
      </w:r>
      <w:bookmarkStart w:id="6" w:name="_Hlk201481597"/>
    </w:p>
    <w:p w14:paraId="71248E8F" w14:textId="1C41136D" w:rsidR="009D644B" w:rsidRPr="00903BF8" w:rsidRDefault="009D644B" w:rsidP="009D644B">
      <w:pPr>
        <w:spacing w:after="240" w:line="240" w:lineRule="atLeast"/>
        <w:jc w:val="both"/>
        <w:rPr>
          <w:rFonts w:ascii="Lato" w:hAnsi="Lato" w:cs="Arial"/>
          <w:bCs/>
          <w:iCs/>
          <w:spacing w:val="4"/>
          <w:lang w:bidi="pl-PL"/>
        </w:rPr>
      </w:pPr>
      <w:r w:rsidRPr="00903BF8">
        <w:rPr>
          <w:rFonts w:ascii="Lato" w:hAnsi="Lato" w:cs="Arial"/>
          <w:bCs/>
          <w:iCs/>
          <w:spacing w:val="4"/>
          <w:lang w:bidi="pl-PL"/>
        </w:rPr>
        <w:t xml:space="preserve">Przedmiotowa inwestycja ma na celu poprawę warunków technicznych przesyłania gazu, przyczyni się do zwiększenia gwarancji </w:t>
      </w:r>
      <w:proofErr w:type="spellStart"/>
      <w:r w:rsidRPr="00903BF8">
        <w:rPr>
          <w:rFonts w:ascii="Lato" w:hAnsi="Lato" w:cs="Arial"/>
          <w:bCs/>
          <w:iCs/>
          <w:spacing w:val="4"/>
          <w:lang w:bidi="pl-PL"/>
        </w:rPr>
        <w:t>przesyłu</w:t>
      </w:r>
      <w:proofErr w:type="spellEnd"/>
      <w:r w:rsidRPr="00903BF8">
        <w:rPr>
          <w:rFonts w:ascii="Lato" w:hAnsi="Lato" w:cs="Arial"/>
          <w:bCs/>
          <w:iCs/>
          <w:spacing w:val="4"/>
          <w:lang w:bidi="pl-PL"/>
        </w:rPr>
        <w:t xml:space="preserve"> </w:t>
      </w:r>
      <w:r w:rsidR="006D6B4C">
        <w:rPr>
          <w:rFonts w:ascii="Lato" w:hAnsi="Lato" w:cs="Arial"/>
          <w:bCs/>
          <w:iCs/>
          <w:spacing w:val="4"/>
          <w:lang w:bidi="pl-PL"/>
        </w:rPr>
        <w:br/>
      </w:r>
      <w:r w:rsidRPr="00903BF8">
        <w:rPr>
          <w:rFonts w:ascii="Lato" w:hAnsi="Lato" w:cs="Arial"/>
          <w:bCs/>
          <w:iCs/>
          <w:spacing w:val="4"/>
          <w:lang w:bidi="pl-PL"/>
        </w:rPr>
        <w:t>i</w:t>
      </w:r>
      <w:r w:rsidR="000745A0">
        <w:rPr>
          <w:rFonts w:ascii="Lato" w:hAnsi="Lato" w:cs="Arial"/>
          <w:bCs/>
          <w:iCs/>
          <w:spacing w:val="4"/>
          <w:lang w:bidi="pl-PL"/>
        </w:rPr>
        <w:t xml:space="preserve"> </w:t>
      </w:r>
      <w:r w:rsidRPr="00903BF8">
        <w:rPr>
          <w:rFonts w:ascii="Lato" w:hAnsi="Lato" w:cs="Arial"/>
          <w:bCs/>
          <w:iCs/>
          <w:spacing w:val="4"/>
          <w:lang w:bidi="pl-PL"/>
        </w:rPr>
        <w:t>bezpieczeństwa zaopatrzenia odbiorców w paliwo gazowe</w:t>
      </w:r>
      <w:bookmarkEnd w:id="6"/>
      <w:r w:rsidRPr="00903BF8">
        <w:rPr>
          <w:rFonts w:ascii="Lato" w:hAnsi="Lato" w:cs="Arial"/>
          <w:bCs/>
          <w:iCs/>
          <w:spacing w:val="4"/>
          <w:lang w:bidi="pl-PL"/>
        </w:rPr>
        <w:t xml:space="preserve">, co w sposób oczywisty nie narusza również zasady proporcjonalności wynikającej z art. 31 ust. 3 Konstytucji RP. W tym sensie nie można mieć wątpliwości, że ograniczenia praw skarżących są nie tylko zgodne z przepisami </w:t>
      </w:r>
      <w:r w:rsidRPr="00903BF8">
        <w:rPr>
          <w:rFonts w:ascii="Lato" w:hAnsi="Lato" w:cs="Arial"/>
          <w:bCs/>
          <w:spacing w:val="4"/>
          <w:lang w:bidi="pl-PL"/>
        </w:rPr>
        <w:t>specustawy gazowej</w:t>
      </w:r>
      <w:r w:rsidRPr="00903BF8">
        <w:rPr>
          <w:rFonts w:ascii="Lato" w:hAnsi="Lato" w:cs="Arial"/>
          <w:bCs/>
          <w:iCs/>
          <w:spacing w:val="4"/>
          <w:lang w:bidi="pl-PL"/>
        </w:rPr>
        <w:t xml:space="preserve">, ale </w:t>
      </w:r>
      <w:r w:rsidR="006D6B4C">
        <w:rPr>
          <w:rFonts w:ascii="Lato" w:hAnsi="Lato" w:cs="Arial"/>
          <w:bCs/>
          <w:iCs/>
          <w:spacing w:val="4"/>
          <w:lang w:bidi="pl-PL"/>
        </w:rPr>
        <w:br/>
      </w:r>
      <w:r w:rsidRPr="00903BF8">
        <w:rPr>
          <w:rFonts w:ascii="Lato" w:hAnsi="Lato" w:cs="Arial"/>
          <w:bCs/>
          <w:iCs/>
          <w:spacing w:val="4"/>
          <w:lang w:bidi="pl-PL"/>
        </w:rPr>
        <w:t xml:space="preserve">i zasadami Konstytucji RP. </w:t>
      </w:r>
    </w:p>
    <w:p w14:paraId="227DEAFA" w14:textId="1BC60CD9" w:rsidR="009D644B" w:rsidRPr="00903BF8" w:rsidRDefault="009D644B" w:rsidP="009D644B">
      <w:pPr>
        <w:spacing w:after="240" w:line="240" w:lineRule="atLeast"/>
        <w:jc w:val="both"/>
        <w:rPr>
          <w:rFonts w:ascii="Lato" w:hAnsi="Lato" w:cs="Arial"/>
          <w:bCs/>
          <w:iCs/>
          <w:spacing w:val="4"/>
          <w:lang w:bidi="pl-PL"/>
        </w:rPr>
      </w:pPr>
      <w:r w:rsidRPr="00903BF8">
        <w:rPr>
          <w:rFonts w:ascii="Lato" w:hAnsi="Lato"/>
          <w:spacing w:val="4"/>
        </w:rPr>
        <w:t xml:space="preserve">Własność nieruchomości skarżących została ograniczona pod realizację celu publicznego – w sposób i na zasadach określonych w specustawie gazowej. </w:t>
      </w:r>
      <w:r w:rsidR="00ED5E2F">
        <w:rPr>
          <w:rFonts w:ascii="Lato" w:hAnsi="Lato"/>
          <w:spacing w:val="4"/>
        </w:rPr>
        <w:br/>
      </w:r>
      <w:r w:rsidRPr="00903BF8">
        <w:rPr>
          <w:rFonts w:ascii="Lato" w:hAnsi="Lato"/>
          <w:spacing w:val="4"/>
        </w:rPr>
        <w:t xml:space="preserve">W rozpoznawanej sprawie interes ogólny (publiczny) jest na tyle ważny </w:t>
      </w:r>
      <w:r w:rsidR="00ED5E2F">
        <w:rPr>
          <w:rFonts w:ascii="Lato" w:hAnsi="Lato"/>
          <w:spacing w:val="4"/>
        </w:rPr>
        <w:br/>
      </w:r>
      <w:r w:rsidRPr="00903BF8">
        <w:rPr>
          <w:rFonts w:ascii="Lato" w:hAnsi="Lato"/>
          <w:spacing w:val="4"/>
        </w:rPr>
        <w:t xml:space="preserve">i znaczący, że bezwzględnie wymaga ograniczenia uprawnień indywidualnych podmiotów i powoduje konieczność przedłożenia w tym konkretnym wypadku interesu publicznego nad indywidualny, bowiem w interesie publicznym leży ograniczenie, chronionego przez Konstytucję RP prawa własności. </w:t>
      </w:r>
    </w:p>
    <w:p w14:paraId="53AC495E" w14:textId="77777777" w:rsidR="009D644B" w:rsidRPr="00903BF8" w:rsidRDefault="009D644B" w:rsidP="009D644B">
      <w:pPr>
        <w:spacing w:after="240" w:line="240" w:lineRule="atLeast"/>
        <w:jc w:val="both"/>
        <w:rPr>
          <w:rFonts w:ascii="Lato" w:hAnsi="Lato" w:cs="Arial"/>
          <w:bCs/>
          <w:iCs/>
          <w:spacing w:val="4"/>
          <w:lang w:bidi="pl-PL"/>
        </w:rPr>
      </w:pPr>
      <w:r w:rsidRPr="00903BF8">
        <w:rPr>
          <w:rFonts w:ascii="Lato" w:hAnsi="Lato" w:cs="Arial"/>
          <w:bCs/>
          <w:iCs/>
          <w:spacing w:val="4"/>
          <w:lang w:bidi="pl-PL"/>
        </w:rPr>
        <w:t xml:space="preserve">W sprawie brak jest obiektywnych argumentów do uznania za słuszny zarzut skarżących dotyczący naruszenia art. 32 ust. 1 Konstytucji RP. </w:t>
      </w:r>
    </w:p>
    <w:p w14:paraId="13877F1B" w14:textId="2EB627EB" w:rsidR="009D644B" w:rsidRPr="00903BF8" w:rsidRDefault="009D644B" w:rsidP="009D644B">
      <w:pPr>
        <w:spacing w:after="240" w:line="240" w:lineRule="atLeast"/>
        <w:jc w:val="both"/>
        <w:rPr>
          <w:rFonts w:ascii="Lato" w:hAnsi="Lato" w:cs="Arial"/>
          <w:bCs/>
          <w:iCs/>
          <w:spacing w:val="4"/>
          <w:lang w:bidi="pl-PL"/>
        </w:rPr>
      </w:pPr>
      <w:r w:rsidRPr="00903BF8">
        <w:rPr>
          <w:rFonts w:ascii="Lato" w:hAnsi="Lato" w:cs="Arial"/>
          <w:bCs/>
          <w:iCs/>
          <w:spacing w:val="4"/>
          <w:lang w:bidi="pl-PL"/>
        </w:rPr>
        <w:t>Określona w art. 32 Konstytucji RP zasada równości wobec prawa, ma charakter klauzuli generalnej, będącej źródłem gwarancji i praw. Należy jednakże zauważyć, iż przepisów</w:t>
      </w:r>
      <w:r w:rsidRPr="00903BF8">
        <w:rPr>
          <w:rFonts w:ascii="Lato" w:hAnsi="Lato" w:cs="Arial"/>
          <w:bCs/>
          <w:i/>
          <w:iCs/>
          <w:spacing w:val="4"/>
          <w:lang w:bidi="pl-PL"/>
        </w:rPr>
        <w:t xml:space="preserve"> </w:t>
      </w:r>
      <w:r w:rsidRPr="00903BF8">
        <w:rPr>
          <w:rFonts w:ascii="Lato" w:hAnsi="Lato" w:cs="Arial"/>
          <w:bCs/>
          <w:iCs/>
          <w:spacing w:val="4"/>
          <w:lang w:bidi="pl-PL"/>
        </w:rPr>
        <w:t xml:space="preserve">Konstytucji RP nie stosuje się bezpośrednio, wówczas gdy dana sprawa znajduje uregulowanie w ustawie zwykłej (vide: wyrok Naczelnego Sądu Administracyjnego z dnia 8 grudnia 2008 r., sygn. akt I OSK 1924/07, </w:t>
      </w:r>
      <w:proofErr w:type="spellStart"/>
      <w:r w:rsidRPr="00903BF8">
        <w:rPr>
          <w:rFonts w:ascii="Lato" w:hAnsi="Lato" w:cs="Arial"/>
          <w:bCs/>
          <w:iCs/>
          <w:spacing w:val="4"/>
          <w:lang w:bidi="pl-PL"/>
        </w:rPr>
        <w:t>opubl</w:t>
      </w:r>
      <w:proofErr w:type="spellEnd"/>
      <w:r w:rsidRPr="00903BF8">
        <w:rPr>
          <w:rFonts w:ascii="Lato" w:hAnsi="Lato" w:cs="Arial"/>
          <w:bCs/>
          <w:iCs/>
          <w:spacing w:val="4"/>
          <w:lang w:bidi="pl-PL"/>
        </w:rPr>
        <w:t xml:space="preserve">. Centralna Baza Orzeczeń Sądów Administracyjnych). Taka zaś sytuacja ma miejsce w niniejszej sprawie, gdyż kwestie zasad ustalania lokalizacji inwestycji gazowych podlegają reżimowi </w:t>
      </w:r>
      <w:r w:rsidRPr="00903BF8">
        <w:rPr>
          <w:rFonts w:ascii="Lato" w:hAnsi="Lato" w:cs="Arial"/>
          <w:bCs/>
          <w:spacing w:val="4"/>
          <w:lang w:bidi="pl-PL"/>
        </w:rPr>
        <w:t>specustawy gazowej</w:t>
      </w:r>
      <w:r w:rsidRPr="00903BF8">
        <w:rPr>
          <w:rFonts w:ascii="Lato" w:hAnsi="Lato" w:cs="Arial"/>
          <w:bCs/>
          <w:i/>
          <w:iCs/>
          <w:spacing w:val="4"/>
          <w:lang w:bidi="pl-PL"/>
        </w:rPr>
        <w:t xml:space="preserve">. </w:t>
      </w:r>
      <w:r w:rsidRPr="00903BF8">
        <w:rPr>
          <w:rFonts w:ascii="Lato" w:hAnsi="Lato" w:cs="Arial"/>
          <w:bCs/>
          <w:iCs/>
          <w:spacing w:val="4"/>
          <w:lang w:bidi="pl-PL"/>
        </w:rPr>
        <w:t>Brak jest przekonujących podstaw, aby Wojewodzie Lubelskiemu zarzucić naruszenie zasady równości wobec prawa, skoro wydając zaskarżoną decyzję organ kierował się treścią przepisów prawa materialnego (</w:t>
      </w:r>
      <w:r w:rsidRPr="00903BF8">
        <w:rPr>
          <w:rFonts w:ascii="Lato" w:hAnsi="Lato" w:cs="Arial"/>
          <w:bCs/>
          <w:spacing w:val="4"/>
          <w:lang w:bidi="pl-PL"/>
        </w:rPr>
        <w:t>specustawy gazowej</w:t>
      </w:r>
      <w:r w:rsidRPr="00903BF8">
        <w:rPr>
          <w:rFonts w:ascii="Lato" w:hAnsi="Lato" w:cs="Arial"/>
          <w:bCs/>
          <w:iCs/>
          <w:spacing w:val="4"/>
          <w:lang w:bidi="pl-PL"/>
        </w:rPr>
        <w:t xml:space="preserve">), </w:t>
      </w:r>
      <w:r w:rsidRPr="00903BF8">
        <w:rPr>
          <w:rFonts w:ascii="Lato" w:hAnsi="Lato" w:cs="Arial"/>
          <w:bCs/>
          <w:iCs/>
          <w:spacing w:val="4"/>
          <w:lang w:bidi="pl-PL"/>
        </w:rPr>
        <w:lastRenderedPageBreak/>
        <w:t xml:space="preserve">mających w sprawie zastosowanie. W podobnej sytuacji, dotyczącej realizacji inwestycji drogowych na podstawie specustawy drogowej, Trybunał Konstytucyjny, wyrokiem z dnia 16 października 2012 r. wydanym w sprawie sygn. akt K 4/10, uznał za zgodne z Konstytucją RP przyjęte rozwiązania prawne, analogiczne do przyjętych w specustawie gazowej. </w:t>
      </w:r>
    </w:p>
    <w:p w14:paraId="5023EE1F" w14:textId="77777777" w:rsidR="009D644B" w:rsidRPr="00903BF8" w:rsidRDefault="009D644B" w:rsidP="009D644B">
      <w:pPr>
        <w:spacing w:after="240" w:line="240" w:lineRule="atLeast"/>
        <w:jc w:val="both"/>
        <w:rPr>
          <w:rFonts w:ascii="Lato" w:hAnsi="Lato" w:cs="Arial"/>
          <w:bCs/>
          <w:iCs/>
          <w:spacing w:val="4"/>
          <w:lang w:bidi="pl-PL"/>
        </w:rPr>
      </w:pPr>
      <w:r w:rsidRPr="00903BF8">
        <w:rPr>
          <w:rFonts w:ascii="Lato" w:hAnsi="Lato" w:cs="Arial"/>
          <w:bCs/>
          <w:iCs/>
          <w:spacing w:val="4"/>
          <w:lang w:bidi="pl-PL"/>
        </w:rPr>
        <w:t>Należy przy tym zauważyć, że przepisy stanowiące podstawę zaskarżonej decyzji nie naruszają konstytucyjnej zasady równości obywateli, gdyż jednakowo traktują wszystkich właścicieli gruntów, na których mają przebiegać gazociągi. Skoro nie stanowi naruszenia praw obywateli uchwalenie przepisów zawierających takie wyjątkowe, surowe regulacje, to nie można twierdzić, że stosowanie ich przez organy administracji zgodnie z ich brzmieniem prowadzi do naruszenia prawa. Zatem, choć ustalenie lokalizacji przedmiotowej inwestycji na działkach skarżących – w ich odczuciu – narusza ich interes prawny, dzieje się to w zgodzie z obowiązującym prawem.</w:t>
      </w:r>
    </w:p>
    <w:p w14:paraId="0D7307C3" w14:textId="77777777" w:rsidR="009D644B" w:rsidRPr="00903BF8" w:rsidRDefault="009D644B" w:rsidP="009D644B">
      <w:pPr>
        <w:tabs>
          <w:tab w:val="left" w:pos="2977"/>
        </w:tabs>
        <w:spacing w:after="240" w:line="240" w:lineRule="atLeast"/>
        <w:jc w:val="both"/>
        <w:outlineLvl w:val="0"/>
        <w:rPr>
          <w:rFonts w:ascii="Lato" w:hAnsi="Lato" w:cs="Arial"/>
          <w:iCs/>
          <w:spacing w:val="4"/>
        </w:rPr>
      </w:pPr>
      <w:r w:rsidRPr="00903BF8">
        <w:rPr>
          <w:rFonts w:ascii="Lato" w:hAnsi="Lato" w:cs="Arial"/>
          <w:iCs/>
          <w:spacing w:val="4"/>
        </w:rPr>
        <w:t xml:space="preserve">O wadliwości decyzji Wojewody Lubelskiego nie świadczą również zarzuty </w:t>
      </w:r>
      <w:r w:rsidRPr="00903BF8">
        <w:rPr>
          <w:rFonts w:ascii="Lato" w:hAnsi="Lato" w:cs="Arial"/>
          <w:bCs/>
          <w:iCs/>
          <w:spacing w:val="4"/>
        </w:rPr>
        <w:t xml:space="preserve">skarżących </w:t>
      </w:r>
      <w:r w:rsidRPr="00903BF8">
        <w:rPr>
          <w:rFonts w:ascii="Lato" w:hAnsi="Lato" w:cs="Arial"/>
          <w:iCs/>
          <w:spacing w:val="4"/>
        </w:rPr>
        <w:t xml:space="preserve">dotyczące tego, iż zlokalizowanie inwestycji na części ich nieruchomości spowoduje utrudnienia w korzystaniu z nieruchomości, brak możliwości ich planowanego przeznaczenia, a także utracenia możliwości korzystania z jej pożytków. Wyjaśnić bowiem należy, iż </w:t>
      </w:r>
      <w:r w:rsidRPr="00903BF8">
        <w:rPr>
          <w:rFonts w:ascii="Lato" w:hAnsi="Lato" w:cs="Arial"/>
          <w:bCs/>
          <w:iCs/>
          <w:spacing w:val="4"/>
        </w:rPr>
        <w:t xml:space="preserve">rzeczone </w:t>
      </w:r>
      <w:r w:rsidRPr="00903BF8">
        <w:rPr>
          <w:rFonts w:ascii="Lato" w:hAnsi="Lato" w:cs="Arial"/>
          <w:bCs/>
          <w:iCs/>
          <w:spacing w:val="4"/>
          <w:lang w:bidi="pl-PL"/>
        </w:rPr>
        <w:t>kwestie nie są przedmiotem rozważań organów administracji właściwych w sprawie wydania decyzji o ustaleniu lokalizacji inwestycji w zakresie terminalu oraz inwestycji towarzyszących.</w:t>
      </w:r>
    </w:p>
    <w:p w14:paraId="10FD77EB" w14:textId="4A1BEF46" w:rsidR="009D644B" w:rsidRPr="00903BF8" w:rsidRDefault="009D644B" w:rsidP="009D644B">
      <w:pPr>
        <w:spacing w:after="240" w:line="240" w:lineRule="atLeast"/>
        <w:jc w:val="both"/>
        <w:rPr>
          <w:rFonts w:ascii="Lato" w:hAnsi="Lato" w:cs="Arial"/>
          <w:iCs/>
          <w:spacing w:val="4"/>
          <w:lang w:bidi="pl-PL"/>
        </w:rPr>
      </w:pPr>
      <w:r w:rsidRPr="00903BF8">
        <w:rPr>
          <w:rFonts w:ascii="Lato" w:hAnsi="Lato" w:cs="Arial"/>
          <w:iCs/>
          <w:spacing w:val="4"/>
          <w:lang w:bidi="pl-PL"/>
        </w:rPr>
        <w:t>Możliwość dokonania oceny czy posadowienie gazociągu na gruntach skarżących pociąga za sobą skutki w postaci braku możliwości dalszego prawidłowego korzystania</w:t>
      </w:r>
      <w:r w:rsidR="00ED5E2F">
        <w:rPr>
          <w:rFonts w:ascii="Lato" w:hAnsi="Lato" w:cs="Arial"/>
          <w:iCs/>
          <w:spacing w:val="4"/>
          <w:lang w:bidi="pl-PL"/>
        </w:rPr>
        <w:t xml:space="preserve"> </w:t>
      </w:r>
      <w:r w:rsidRPr="00903BF8">
        <w:rPr>
          <w:rFonts w:ascii="Lato" w:hAnsi="Lato" w:cs="Arial"/>
          <w:iCs/>
          <w:spacing w:val="4"/>
          <w:lang w:bidi="pl-PL"/>
        </w:rPr>
        <w:t xml:space="preserve">z nieruchomości w sposób dotychczasowy albo </w:t>
      </w:r>
      <w:r w:rsidR="00ED5E2F">
        <w:rPr>
          <w:rFonts w:ascii="Lato" w:hAnsi="Lato" w:cs="Arial"/>
          <w:iCs/>
          <w:spacing w:val="4"/>
          <w:lang w:bidi="pl-PL"/>
        </w:rPr>
        <w:br/>
      </w:r>
      <w:r w:rsidRPr="00903BF8">
        <w:rPr>
          <w:rFonts w:ascii="Lato" w:hAnsi="Lato" w:cs="Arial"/>
          <w:iCs/>
          <w:spacing w:val="4"/>
          <w:lang w:bidi="pl-PL"/>
        </w:rPr>
        <w:t>w sposób zgodny z jej dotychczasowym przeznaczeniem, będzie możliwe dopiero po posadowieniu urządzeń w gruncie.</w:t>
      </w:r>
    </w:p>
    <w:p w14:paraId="66EE2F10" w14:textId="05C0A238" w:rsidR="009D644B" w:rsidRPr="00903BF8" w:rsidRDefault="009D644B" w:rsidP="009D644B">
      <w:pPr>
        <w:spacing w:after="240" w:line="240" w:lineRule="atLeast"/>
        <w:jc w:val="both"/>
        <w:rPr>
          <w:rFonts w:ascii="Lato" w:hAnsi="Lato" w:cs="Arial"/>
          <w:iCs/>
          <w:spacing w:val="4"/>
          <w:lang w:bidi="pl-PL"/>
        </w:rPr>
      </w:pPr>
      <w:r w:rsidRPr="00903BF8">
        <w:rPr>
          <w:rFonts w:ascii="Lato" w:hAnsi="Lato" w:cs="Arial"/>
          <w:iCs/>
          <w:spacing w:val="4"/>
          <w:lang w:bidi="pl-PL"/>
        </w:rPr>
        <w:t xml:space="preserve">Dopiero wówczas, po uprzednim ustaleniu, w jaki sposób właściciel czy użytkownik wieczysty korzystał z nieruchomości, można ocenić, czy </w:t>
      </w:r>
      <w:r w:rsidR="00ED5E2F">
        <w:rPr>
          <w:rFonts w:ascii="Lato" w:hAnsi="Lato" w:cs="Arial"/>
          <w:iCs/>
          <w:spacing w:val="4"/>
          <w:lang w:bidi="pl-PL"/>
        </w:rPr>
        <w:br/>
      </w:r>
      <w:r w:rsidRPr="00903BF8">
        <w:rPr>
          <w:rFonts w:ascii="Lato" w:hAnsi="Lato" w:cs="Arial"/>
          <w:iCs/>
          <w:spacing w:val="4"/>
          <w:lang w:bidi="pl-PL"/>
        </w:rPr>
        <w:t xml:space="preserve">w konsekwencji zrealizowania inwestycji nastąpił brak możliwości korzystania z nieruchomości w sposób zgodny z jej dotychczasowym przeznaczeniem. </w:t>
      </w:r>
    </w:p>
    <w:p w14:paraId="5A905798" w14:textId="3EA63CCA" w:rsidR="009D644B" w:rsidRPr="00903BF8" w:rsidRDefault="009D644B" w:rsidP="009D644B">
      <w:pPr>
        <w:pStyle w:val="Default"/>
        <w:spacing w:line="240" w:lineRule="atLeast"/>
        <w:jc w:val="both"/>
        <w:rPr>
          <w:rFonts w:ascii="Lato" w:hAnsi="Lato"/>
          <w:color w:val="auto"/>
          <w:spacing w:val="4"/>
          <w:sz w:val="22"/>
          <w:szCs w:val="22"/>
        </w:rPr>
      </w:pPr>
      <w:r w:rsidRPr="00903BF8">
        <w:rPr>
          <w:rFonts w:ascii="Lato" w:hAnsi="Lato"/>
          <w:spacing w:val="4"/>
          <w:sz w:val="22"/>
          <w:szCs w:val="22"/>
        </w:rPr>
        <w:t xml:space="preserve">Ponadto zauważenia wymaga, iż lokalizacja inwestycji w zakresie budowy gazociągu z samej istoty tego przedsięwzięcia zawsze stanowi ingerencję </w:t>
      </w:r>
      <w:r w:rsidR="00196786">
        <w:rPr>
          <w:rFonts w:ascii="Lato" w:hAnsi="Lato"/>
          <w:spacing w:val="4"/>
          <w:sz w:val="22"/>
          <w:szCs w:val="22"/>
        </w:rPr>
        <w:br/>
      </w:r>
      <w:r w:rsidRPr="00903BF8">
        <w:rPr>
          <w:rFonts w:ascii="Lato" w:hAnsi="Lato"/>
          <w:spacing w:val="4"/>
          <w:sz w:val="22"/>
          <w:szCs w:val="22"/>
        </w:rPr>
        <w:t xml:space="preserve">w czyjeś prawo własności. Może mieć jednak znaczenie dla obiektywnej możliwości dalszego korzystania z nieruchomości w dotychczasowy sposób </w:t>
      </w:r>
      <w:r w:rsidR="00196786">
        <w:rPr>
          <w:rFonts w:ascii="Lato" w:hAnsi="Lato"/>
          <w:spacing w:val="4"/>
          <w:sz w:val="22"/>
          <w:szCs w:val="22"/>
        </w:rPr>
        <w:br/>
      </w:r>
      <w:r w:rsidRPr="00903BF8">
        <w:rPr>
          <w:rFonts w:ascii="Lato" w:hAnsi="Lato"/>
          <w:spacing w:val="4"/>
          <w:sz w:val="22"/>
          <w:szCs w:val="22"/>
        </w:rPr>
        <w:t xml:space="preserve">i ewentualnego roszczenia odszkodowawczego przysługującego zgodnie z art. 124 ust. </w:t>
      </w:r>
      <w:r w:rsidR="00A42399">
        <w:rPr>
          <w:rFonts w:ascii="Lato" w:hAnsi="Lato"/>
          <w:spacing w:val="4"/>
          <w:sz w:val="22"/>
          <w:szCs w:val="22"/>
        </w:rPr>
        <w:t>4</w:t>
      </w:r>
      <w:r w:rsidRPr="00903BF8">
        <w:rPr>
          <w:rFonts w:ascii="Lato" w:hAnsi="Lato"/>
          <w:spacing w:val="4"/>
          <w:sz w:val="22"/>
          <w:szCs w:val="22"/>
        </w:rPr>
        <w:t xml:space="preserve"> </w:t>
      </w:r>
      <w:proofErr w:type="spellStart"/>
      <w:r w:rsidRPr="00903BF8">
        <w:rPr>
          <w:rFonts w:ascii="Lato" w:hAnsi="Lato"/>
          <w:i/>
          <w:iCs/>
          <w:spacing w:val="4"/>
          <w:sz w:val="22"/>
          <w:szCs w:val="22"/>
        </w:rPr>
        <w:t>ugn</w:t>
      </w:r>
      <w:proofErr w:type="spellEnd"/>
      <w:r w:rsidRPr="00903BF8">
        <w:rPr>
          <w:rFonts w:ascii="Lato" w:hAnsi="Lato"/>
          <w:spacing w:val="4"/>
          <w:sz w:val="22"/>
          <w:szCs w:val="22"/>
        </w:rPr>
        <w:t>. Według bowiem n</w:t>
      </w:r>
      <w:r w:rsidRPr="00903BF8">
        <w:rPr>
          <w:rFonts w:ascii="Lato" w:hAnsi="Lato"/>
          <w:color w:val="auto"/>
          <w:spacing w:val="4"/>
          <w:sz w:val="22"/>
          <w:szCs w:val="22"/>
        </w:rPr>
        <w:t xml:space="preserve">art. 24 ust. 1 specustawy gazowej, przepisy art. 124 ust. 4-7 </w:t>
      </w:r>
      <w:proofErr w:type="spellStart"/>
      <w:r w:rsidRPr="00903BF8">
        <w:rPr>
          <w:rFonts w:ascii="Lato" w:hAnsi="Lato"/>
          <w:i/>
          <w:iCs/>
          <w:color w:val="auto"/>
          <w:spacing w:val="4"/>
          <w:sz w:val="22"/>
          <w:szCs w:val="22"/>
        </w:rPr>
        <w:t>ugn</w:t>
      </w:r>
      <w:proofErr w:type="spellEnd"/>
      <w:r w:rsidRPr="00903BF8">
        <w:rPr>
          <w:rFonts w:ascii="Lato" w:hAnsi="Lato"/>
          <w:i/>
          <w:iCs/>
          <w:color w:val="auto"/>
          <w:spacing w:val="4"/>
          <w:sz w:val="22"/>
          <w:szCs w:val="22"/>
        </w:rPr>
        <w:t xml:space="preserve"> </w:t>
      </w:r>
      <w:r w:rsidRPr="00903BF8">
        <w:rPr>
          <w:rFonts w:ascii="Lato" w:hAnsi="Lato"/>
          <w:color w:val="auto"/>
          <w:spacing w:val="4"/>
          <w:sz w:val="22"/>
          <w:szCs w:val="22"/>
        </w:rPr>
        <w:t>stosuje się odpowiednio, z uwzględnieniem przepisów niniejszej ustawy (por. wyroki Wojewódzkiego Sądu Administracyjnego z dnia 30 sierpnia 2019 r., sygn. akt IV SA/</w:t>
      </w:r>
      <w:proofErr w:type="spellStart"/>
      <w:r w:rsidRPr="00903BF8">
        <w:rPr>
          <w:rFonts w:ascii="Lato" w:hAnsi="Lato"/>
          <w:color w:val="auto"/>
          <w:spacing w:val="4"/>
          <w:sz w:val="22"/>
          <w:szCs w:val="22"/>
        </w:rPr>
        <w:t>Wa</w:t>
      </w:r>
      <w:proofErr w:type="spellEnd"/>
      <w:r w:rsidRPr="00903BF8">
        <w:rPr>
          <w:rFonts w:ascii="Lato" w:hAnsi="Lato"/>
          <w:color w:val="auto"/>
          <w:spacing w:val="4"/>
          <w:sz w:val="22"/>
          <w:szCs w:val="22"/>
        </w:rPr>
        <w:t xml:space="preserve"> 1477/19 i z dnia 31 sierpnia 2018 r., sygn. akt IV SA/</w:t>
      </w:r>
      <w:proofErr w:type="spellStart"/>
      <w:r w:rsidRPr="00903BF8">
        <w:rPr>
          <w:rFonts w:ascii="Lato" w:hAnsi="Lato"/>
          <w:color w:val="auto"/>
          <w:spacing w:val="4"/>
          <w:sz w:val="22"/>
          <w:szCs w:val="22"/>
        </w:rPr>
        <w:t>Wa</w:t>
      </w:r>
      <w:proofErr w:type="spellEnd"/>
      <w:r w:rsidRPr="00903BF8">
        <w:rPr>
          <w:rFonts w:ascii="Lato" w:hAnsi="Lato"/>
          <w:color w:val="auto"/>
          <w:spacing w:val="4"/>
          <w:sz w:val="22"/>
          <w:szCs w:val="22"/>
        </w:rPr>
        <w:t xml:space="preserve"> 3345/17, </w:t>
      </w:r>
      <w:proofErr w:type="spellStart"/>
      <w:r w:rsidRPr="00903BF8">
        <w:rPr>
          <w:rFonts w:ascii="Lato" w:hAnsi="Lato"/>
          <w:color w:val="auto"/>
          <w:spacing w:val="4"/>
          <w:sz w:val="22"/>
          <w:szCs w:val="22"/>
        </w:rPr>
        <w:t>opubl</w:t>
      </w:r>
      <w:proofErr w:type="spellEnd"/>
      <w:r w:rsidRPr="00903BF8">
        <w:rPr>
          <w:rFonts w:ascii="Lato" w:hAnsi="Lato"/>
          <w:color w:val="auto"/>
          <w:spacing w:val="4"/>
          <w:sz w:val="22"/>
          <w:szCs w:val="22"/>
        </w:rPr>
        <w:t>. Centralna Baza Orzeczeń Sądów Administracyjnych).</w:t>
      </w:r>
    </w:p>
    <w:p w14:paraId="6E7D59CD" w14:textId="77777777" w:rsidR="009D644B" w:rsidRPr="00903BF8" w:rsidRDefault="009D644B" w:rsidP="009D644B">
      <w:pPr>
        <w:pStyle w:val="Default"/>
        <w:spacing w:line="240" w:lineRule="atLeast"/>
        <w:jc w:val="both"/>
        <w:rPr>
          <w:rFonts w:ascii="Lato" w:hAnsi="Lato"/>
          <w:color w:val="auto"/>
          <w:spacing w:val="4"/>
          <w:sz w:val="22"/>
          <w:szCs w:val="22"/>
        </w:rPr>
      </w:pPr>
    </w:p>
    <w:p w14:paraId="59EB09C7" w14:textId="77777777" w:rsidR="009D644B" w:rsidRPr="00903BF8" w:rsidRDefault="009D644B" w:rsidP="009D644B">
      <w:pPr>
        <w:pStyle w:val="Default"/>
        <w:spacing w:line="240" w:lineRule="atLeast"/>
        <w:jc w:val="both"/>
        <w:rPr>
          <w:rFonts w:ascii="Lato" w:hAnsi="Lato"/>
          <w:spacing w:val="4"/>
          <w:sz w:val="22"/>
          <w:szCs w:val="22"/>
        </w:rPr>
      </w:pPr>
      <w:r w:rsidRPr="00903BF8">
        <w:rPr>
          <w:rFonts w:ascii="Lato" w:hAnsi="Lato"/>
          <w:spacing w:val="4"/>
          <w:sz w:val="22"/>
          <w:szCs w:val="22"/>
        </w:rPr>
        <w:lastRenderedPageBreak/>
        <w:t xml:space="preserve">Odszkodowanie, o którym mowa w art. 124 ust. 4 w zw. z art. 128 ust. 4 </w:t>
      </w:r>
      <w:proofErr w:type="spellStart"/>
      <w:r w:rsidRPr="00903BF8">
        <w:rPr>
          <w:rFonts w:ascii="Lato" w:hAnsi="Lato"/>
          <w:spacing w:val="4"/>
          <w:sz w:val="22"/>
          <w:szCs w:val="22"/>
        </w:rPr>
        <w:t>ugn</w:t>
      </w:r>
      <w:proofErr w:type="spellEnd"/>
      <w:r w:rsidRPr="00903BF8">
        <w:rPr>
          <w:rFonts w:ascii="Lato" w:hAnsi="Lato"/>
          <w:i/>
          <w:iCs/>
          <w:spacing w:val="4"/>
          <w:sz w:val="22"/>
          <w:szCs w:val="22"/>
        </w:rPr>
        <w:t xml:space="preserve"> </w:t>
      </w:r>
      <w:r w:rsidRPr="00903BF8">
        <w:rPr>
          <w:rFonts w:ascii="Lato" w:hAnsi="Lato"/>
          <w:spacing w:val="4"/>
          <w:sz w:val="22"/>
          <w:szCs w:val="22"/>
        </w:rPr>
        <w:t xml:space="preserve">jest odszkodowaniem za szkody wynikające z ograniczenia sposobu korzystania </w:t>
      </w:r>
      <w:r>
        <w:rPr>
          <w:rFonts w:ascii="Lato" w:hAnsi="Lato"/>
          <w:spacing w:val="4"/>
          <w:sz w:val="22"/>
          <w:szCs w:val="22"/>
        </w:rPr>
        <w:br/>
      </w:r>
      <w:r w:rsidRPr="00903BF8">
        <w:rPr>
          <w:rFonts w:ascii="Lato" w:hAnsi="Lato"/>
          <w:spacing w:val="4"/>
          <w:sz w:val="22"/>
          <w:szCs w:val="22"/>
        </w:rPr>
        <w:t xml:space="preserve">z nieruchomości, a więc w istocie za ograniczenia prawa do nieruchomości. Odszkodowanie jest jednak należne tylko po wykazaniu zaistnienia szkody, a nie samej potencjalności jej zaistnienia. Szkoda stanowi różnicę między stanem nieruchomości (jej części składowych, lub praw z nią związanych) przed rozpoczęciem działań inwestycyjnych w zakresie budowy urządzeń infrastruktury technicznej, a stanem po ich wybudowaniu. </w:t>
      </w:r>
    </w:p>
    <w:p w14:paraId="28E2FE52" w14:textId="77777777" w:rsidR="009D644B" w:rsidRPr="00903BF8" w:rsidRDefault="009D644B" w:rsidP="009D644B">
      <w:pPr>
        <w:pStyle w:val="Default"/>
        <w:spacing w:line="240" w:lineRule="atLeast"/>
        <w:jc w:val="both"/>
        <w:rPr>
          <w:rFonts w:ascii="Lato" w:hAnsi="Lato"/>
          <w:spacing w:val="4"/>
          <w:sz w:val="22"/>
          <w:szCs w:val="22"/>
        </w:rPr>
      </w:pPr>
    </w:p>
    <w:p w14:paraId="27436044" w14:textId="77777777" w:rsidR="009D644B" w:rsidRPr="00903BF8" w:rsidRDefault="009D644B" w:rsidP="009D644B">
      <w:pPr>
        <w:pStyle w:val="Default"/>
        <w:spacing w:line="240" w:lineRule="atLeast"/>
        <w:jc w:val="both"/>
        <w:rPr>
          <w:rFonts w:ascii="Lato" w:hAnsi="Lato"/>
          <w:spacing w:val="4"/>
          <w:sz w:val="22"/>
          <w:szCs w:val="22"/>
        </w:rPr>
      </w:pPr>
      <w:r w:rsidRPr="00903BF8">
        <w:rPr>
          <w:rFonts w:ascii="Lato" w:hAnsi="Lato"/>
          <w:spacing w:val="4"/>
          <w:sz w:val="22"/>
          <w:szCs w:val="22"/>
        </w:rPr>
        <w:t>Jednakże szeroko rozumiane kwestie odszkodowawcze za ustanowienie służebności publicznej, na podstawie ww. art. 24 ust. 1 specustawy gazowej, nie są przedmiotem decyzji o ustaleniu lokalizacji inwestycji towarzyszącej inwestycjom w zakresie terminalu</w:t>
      </w:r>
    </w:p>
    <w:p w14:paraId="5ED0C753" w14:textId="77777777" w:rsidR="009D644B" w:rsidRPr="00903BF8" w:rsidRDefault="009D644B" w:rsidP="009D644B">
      <w:pPr>
        <w:pStyle w:val="Default"/>
        <w:spacing w:line="240" w:lineRule="atLeast"/>
        <w:jc w:val="both"/>
        <w:rPr>
          <w:rFonts w:ascii="Lato" w:hAnsi="Lato"/>
          <w:spacing w:val="4"/>
          <w:sz w:val="22"/>
          <w:szCs w:val="22"/>
        </w:rPr>
      </w:pPr>
    </w:p>
    <w:p w14:paraId="0A7BA4F4" w14:textId="07C5FB45" w:rsidR="009D644B" w:rsidRPr="00903BF8" w:rsidRDefault="009D644B" w:rsidP="009D644B">
      <w:pPr>
        <w:spacing w:after="240" w:line="240" w:lineRule="atLeast"/>
        <w:jc w:val="both"/>
        <w:rPr>
          <w:rFonts w:ascii="Lato" w:hAnsi="Lato" w:cs="Arial"/>
          <w:iCs/>
          <w:spacing w:val="4"/>
        </w:rPr>
      </w:pPr>
      <w:r w:rsidRPr="00903BF8">
        <w:rPr>
          <w:rFonts w:ascii="Lato" w:hAnsi="Lato" w:cs="Arial"/>
          <w:iCs/>
          <w:spacing w:val="4"/>
          <w:lang w:bidi="pl-PL"/>
        </w:rPr>
        <w:t xml:space="preserve">Ponadto podkreślenia również wymaga fakt, iż </w:t>
      </w:r>
      <w:r w:rsidR="000745A0">
        <w:rPr>
          <w:rFonts w:ascii="Lato" w:hAnsi="Lato" w:cs="Arial"/>
          <w:iCs/>
          <w:spacing w:val="4"/>
          <w:lang w:bidi="pl-PL"/>
        </w:rPr>
        <w:t>u</w:t>
      </w:r>
      <w:r w:rsidRPr="00903BF8">
        <w:rPr>
          <w:rFonts w:ascii="Lato" w:hAnsi="Lato" w:cs="Arial"/>
          <w:iCs/>
          <w:spacing w:val="4"/>
          <w:lang w:bidi="pl-PL"/>
        </w:rPr>
        <w:t xml:space="preserve">stawodawca wyraźnie przesądził, że właściwym instrumentem prawnym, służącym ochronie właściciela gruntu, zajętego jedynie częściowo na potrzeby inwestycji, jest żądanie wykupu przez </w:t>
      </w:r>
      <w:r w:rsidRPr="00903BF8">
        <w:rPr>
          <w:rFonts w:ascii="Lato" w:hAnsi="Lato" w:cs="Arial"/>
          <w:spacing w:val="4"/>
          <w:lang w:bidi="pl-PL"/>
        </w:rPr>
        <w:t>inwestora</w:t>
      </w:r>
      <w:r w:rsidRPr="00903BF8">
        <w:rPr>
          <w:rFonts w:ascii="Lato" w:hAnsi="Lato" w:cs="Arial"/>
          <w:iCs/>
          <w:spacing w:val="4"/>
          <w:lang w:bidi="pl-PL"/>
        </w:rPr>
        <w:t xml:space="preserve"> całości nieruchomości na zasadach przewidzianych w art. 124 ust. 5 </w:t>
      </w:r>
      <w:proofErr w:type="spellStart"/>
      <w:r w:rsidRPr="00903BF8">
        <w:rPr>
          <w:rFonts w:ascii="Lato" w:hAnsi="Lato" w:cs="Arial"/>
          <w:spacing w:val="4"/>
          <w:lang w:bidi="pl-PL"/>
        </w:rPr>
        <w:t>ugn</w:t>
      </w:r>
      <w:proofErr w:type="spellEnd"/>
      <w:r w:rsidRPr="00903BF8">
        <w:rPr>
          <w:rFonts w:ascii="Lato" w:hAnsi="Lato" w:cs="Arial"/>
          <w:iCs/>
          <w:spacing w:val="4"/>
          <w:lang w:bidi="pl-PL"/>
        </w:rPr>
        <w:t>, gdyby zachodziła rzeczywista przeszkoda w dalszym prawidłowym korzystaniu z nieruchomości w sposób dotychczasowy albo w sposób zgodny z jej dotychczasowym przeznaczeniem.</w:t>
      </w:r>
      <w:r w:rsidRPr="00903BF8">
        <w:rPr>
          <w:rFonts w:ascii="Lato" w:hAnsi="Lato" w:cs="Arial"/>
          <w:iCs/>
          <w:spacing w:val="4"/>
        </w:rPr>
        <w:t xml:space="preserve"> </w:t>
      </w:r>
    </w:p>
    <w:p w14:paraId="4473EA66" w14:textId="05F98C5D" w:rsidR="009D644B" w:rsidRPr="00903BF8" w:rsidRDefault="009D644B" w:rsidP="009D644B">
      <w:pPr>
        <w:spacing w:after="240" w:line="240" w:lineRule="atLeast"/>
        <w:jc w:val="both"/>
        <w:rPr>
          <w:rFonts w:ascii="Lato" w:hAnsi="Lato" w:cs="Arial"/>
          <w:iCs/>
          <w:spacing w:val="4"/>
        </w:rPr>
      </w:pPr>
      <w:r w:rsidRPr="00903BF8">
        <w:rPr>
          <w:rFonts w:ascii="Lato" w:hAnsi="Lato" w:cs="Arial"/>
          <w:iCs/>
          <w:spacing w:val="4"/>
        </w:rPr>
        <w:t xml:space="preserve">Przepis art. 124 ust. 5 </w:t>
      </w:r>
      <w:proofErr w:type="spellStart"/>
      <w:r w:rsidRPr="00903BF8">
        <w:rPr>
          <w:rFonts w:ascii="Lato" w:hAnsi="Lato" w:cs="Arial"/>
          <w:spacing w:val="4"/>
        </w:rPr>
        <w:t>ugn</w:t>
      </w:r>
      <w:proofErr w:type="spellEnd"/>
      <w:r w:rsidRPr="00903BF8">
        <w:rPr>
          <w:rFonts w:ascii="Lato" w:hAnsi="Lato" w:cs="Arial"/>
          <w:iCs/>
          <w:spacing w:val="4"/>
        </w:rPr>
        <w:t xml:space="preserve"> przyznaje właścicielowi albo użytkownikowi wieczystemu nieruchomości prawo żądania nabycia od niego w drodze umowy własności lub prawa użytkowania wieczystego, jeżeli założenie lub przeprowadzenie ciągów, przewodów i urządzeń uniemożliwia właścicielowi albo użytkownikowi wieczystemu dalsze prawidłowe korzystanie </w:t>
      </w:r>
      <w:r w:rsidR="00196786">
        <w:rPr>
          <w:rFonts w:ascii="Lato" w:hAnsi="Lato" w:cs="Arial"/>
          <w:iCs/>
          <w:spacing w:val="4"/>
        </w:rPr>
        <w:br/>
      </w:r>
      <w:r w:rsidRPr="00903BF8">
        <w:rPr>
          <w:rFonts w:ascii="Lato" w:hAnsi="Lato" w:cs="Arial"/>
          <w:iCs/>
          <w:spacing w:val="4"/>
        </w:rPr>
        <w:t xml:space="preserve">z nieruchomości w sposób dotychczasowy albo w sposób zgodny z jej dotychczasowym przeznaczeniem. Sprawy te należą jednak do właściwości sądów powszechnych (por. postanowienie Naczelnego Sądu Administracyjnego z dnia 22 czerwca 1998 r., sygn. akt II SA/Ka 921/98, CBOSA). Roszczenie </w:t>
      </w:r>
      <w:r w:rsidR="00196786">
        <w:rPr>
          <w:rFonts w:ascii="Lato" w:hAnsi="Lato" w:cs="Arial"/>
          <w:iCs/>
          <w:spacing w:val="4"/>
        </w:rPr>
        <w:br/>
      </w:r>
      <w:r w:rsidRPr="00903BF8">
        <w:rPr>
          <w:rFonts w:ascii="Lato" w:hAnsi="Lato" w:cs="Arial"/>
          <w:iCs/>
          <w:spacing w:val="4"/>
        </w:rPr>
        <w:t xml:space="preserve">o wykup nieruchomości, w sytuacji uregulowanej ww. przepisem jest realizowane w drodze umowy, a nie w drodze decyzji administracyjnej. </w:t>
      </w:r>
      <w:r w:rsidR="00196786">
        <w:rPr>
          <w:rFonts w:ascii="Lato" w:hAnsi="Lato" w:cs="Arial"/>
          <w:iCs/>
          <w:spacing w:val="4"/>
        </w:rPr>
        <w:br/>
      </w:r>
      <w:r w:rsidRPr="00903BF8">
        <w:rPr>
          <w:rFonts w:ascii="Lato" w:hAnsi="Lato" w:cs="Arial"/>
          <w:iCs/>
          <w:spacing w:val="4"/>
        </w:rPr>
        <w:t>W sytuacji więc, gdy nie doszło do zawarcia umowy zainteresowany może wystąpić do sądu powszechnego z roszczeniem o wydanie wyroku zastępującego oświadczenie woli (por. ww. wyrok Wojewódzkiego Sądu Administracyjnego w Warszawie z dnia 30 sierpnia 2019 r., sygn. akt IV SA/</w:t>
      </w:r>
      <w:proofErr w:type="spellStart"/>
      <w:r w:rsidRPr="00903BF8">
        <w:rPr>
          <w:rFonts w:ascii="Lato" w:hAnsi="Lato" w:cs="Arial"/>
          <w:iCs/>
          <w:spacing w:val="4"/>
        </w:rPr>
        <w:t>Wa</w:t>
      </w:r>
      <w:proofErr w:type="spellEnd"/>
      <w:r w:rsidRPr="00903BF8">
        <w:rPr>
          <w:rFonts w:ascii="Lato" w:hAnsi="Lato" w:cs="Arial"/>
          <w:iCs/>
          <w:spacing w:val="4"/>
        </w:rPr>
        <w:t xml:space="preserve"> 1477/19). </w:t>
      </w:r>
    </w:p>
    <w:p w14:paraId="2DF42904" w14:textId="77777777" w:rsidR="009D644B" w:rsidRPr="00903BF8" w:rsidRDefault="009D644B" w:rsidP="009D644B">
      <w:pPr>
        <w:spacing w:after="240" w:line="240" w:lineRule="atLeast"/>
        <w:jc w:val="both"/>
        <w:rPr>
          <w:rFonts w:ascii="Lato" w:hAnsi="Lato" w:cs="Arial"/>
          <w:iCs/>
          <w:spacing w:val="4"/>
        </w:rPr>
      </w:pPr>
      <w:r w:rsidRPr="00903BF8">
        <w:rPr>
          <w:rFonts w:ascii="Lato" w:hAnsi="Lato" w:cs="Arial"/>
          <w:bCs/>
          <w:iCs/>
          <w:spacing w:val="4"/>
        </w:rPr>
        <w:t xml:space="preserve">Jak wskazuje się w doktrynie: „Z pewnością roszczenie (wynikające z 124 ust. 5 </w:t>
      </w:r>
      <w:proofErr w:type="spellStart"/>
      <w:r w:rsidRPr="00903BF8">
        <w:rPr>
          <w:rFonts w:ascii="Lato" w:hAnsi="Lato" w:cs="Arial"/>
          <w:bCs/>
          <w:spacing w:val="4"/>
        </w:rPr>
        <w:t>ugn</w:t>
      </w:r>
      <w:proofErr w:type="spellEnd"/>
      <w:r w:rsidRPr="00903BF8">
        <w:rPr>
          <w:rFonts w:ascii="Lato" w:hAnsi="Lato" w:cs="Arial"/>
          <w:bCs/>
          <w:iCs/>
          <w:spacing w:val="4"/>
        </w:rPr>
        <w:t xml:space="preserve">) może powstać dopiero po fizycznym posadowieniu urządzeń w przestrzeni nieruchomości. Treść planu miejscowego lub decyzji o ustaleniu lokalizacji przed fizycznym wkroczeniem na nieruchomości nie spowoduje powstania tego roszczenia” (por. G. Matusik: Komentarz do art. 124 </w:t>
      </w:r>
      <w:proofErr w:type="spellStart"/>
      <w:r w:rsidRPr="00903BF8">
        <w:rPr>
          <w:rFonts w:ascii="Lato" w:hAnsi="Lato" w:cs="Arial"/>
          <w:bCs/>
          <w:spacing w:val="4"/>
        </w:rPr>
        <w:t>ugn</w:t>
      </w:r>
      <w:proofErr w:type="spellEnd"/>
      <w:r w:rsidRPr="00903BF8">
        <w:rPr>
          <w:rFonts w:ascii="Lato" w:hAnsi="Lato" w:cs="Arial"/>
          <w:bCs/>
          <w:iCs/>
          <w:spacing w:val="4"/>
        </w:rPr>
        <w:t xml:space="preserve"> [w:] Kalus S. (red.), Bieniek G., </w:t>
      </w:r>
      <w:proofErr w:type="spellStart"/>
      <w:r w:rsidRPr="00903BF8">
        <w:rPr>
          <w:rFonts w:ascii="Lato" w:hAnsi="Lato" w:cs="Arial"/>
          <w:bCs/>
          <w:iCs/>
          <w:spacing w:val="4"/>
        </w:rPr>
        <w:t>Gdesz</w:t>
      </w:r>
      <w:proofErr w:type="spellEnd"/>
      <w:r w:rsidRPr="00903BF8">
        <w:rPr>
          <w:rFonts w:ascii="Lato" w:hAnsi="Lato" w:cs="Arial"/>
          <w:bCs/>
          <w:iCs/>
          <w:spacing w:val="4"/>
        </w:rPr>
        <w:t xml:space="preserve"> M., Matusik G., Mzyk E., Ustawa o gospodarce nieruchomościami. Komentarz, </w:t>
      </w:r>
      <w:proofErr w:type="spellStart"/>
      <w:r w:rsidRPr="00903BF8">
        <w:rPr>
          <w:rFonts w:ascii="Lato" w:hAnsi="Lato" w:cs="Arial"/>
          <w:bCs/>
          <w:iCs/>
          <w:spacing w:val="4"/>
        </w:rPr>
        <w:t>LexisNexis</w:t>
      </w:r>
      <w:proofErr w:type="spellEnd"/>
      <w:r w:rsidRPr="00903BF8">
        <w:rPr>
          <w:rFonts w:ascii="Lato" w:hAnsi="Lato" w:cs="Arial"/>
          <w:bCs/>
          <w:iCs/>
          <w:spacing w:val="4"/>
        </w:rPr>
        <w:t>, 2012, Lex/el.).</w:t>
      </w:r>
    </w:p>
    <w:p w14:paraId="0AD64FC1" w14:textId="7B85E5BB" w:rsidR="009D644B" w:rsidRPr="00903BF8" w:rsidRDefault="009D644B" w:rsidP="009D644B">
      <w:pPr>
        <w:spacing w:after="240" w:line="240" w:lineRule="atLeast"/>
        <w:jc w:val="both"/>
        <w:rPr>
          <w:rFonts w:ascii="Lato" w:hAnsi="Lato" w:cs="Arial"/>
          <w:bCs/>
          <w:iCs/>
          <w:spacing w:val="4"/>
          <w:lang w:bidi="pl-PL"/>
        </w:rPr>
      </w:pPr>
      <w:r w:rsidRPr="00903BF8">
        <w:rPr>
          <w:rFonts w:ascii="Lato" w:hAnsi="Lato" w:cs="Arial"/>
          <w:bCs/>
          <w:iCs/>
          <w:spacing w:val="4"/>
          <w:lang w:bidi="pl-PL"/>
        </w:rPr>
        <w:lastRenderedPageBreak/>
        <w:t xml:space="preserve">Zauważyć przy tym należy, iż w postępowaniu w sprawie wydania decyzji </w:t>
      </w:r>
      <w:r w:rsidR="00196786">
        <w:rPr>
          <w:rFonts w:ascii="Lato" w:hAnsi="Lato" w:cs="Arial"/>
          <w:bCs/>
          <w:iCs/>
          <w:spacing w:val="4"/>
          <w:lang w:bidi="pl-PL"/>
        </w:rPr>
        <w:br/>
      </w:r>
      <w:r w:rsidRPr="00903BF8">
        <w:rPr>
          <w:rFonts w:ascii="Lato" w:hAnsi="Lato" w:cs="Arial"/>
          <w:bCs/>
          <w:iCs/>
          <w:spacing w:val="4"/>
          <w:lang w:bidi="pl-PL"/>
        </w:rPr>
        <w:t xml:space="preserve">w przedmiocie ustalenia lokalizacji inwestycji towarzyszących inwestycjom </w:t>
      </w:r>
      <w:r w:rsidR="00196786">
        <w:rPr>
          <w:rFonts w:ascii="Lato" w:hAnsi="Lato" w:cs="Arial"/>
          <w:bCs/>
          <w:iCs/>
          <w:spacing w:val="4"/>
          <w:lang w:bidi="pl-PL"/>
        </w:rPr>
        <w:br/>
      </w:r>
      <w:r w:rsidRPr="00903BF8">
        <w:rPr>
          <w:rFonts w:ascii="Lato" w:hAnsi="Lato" w:cs="Arial"/>
          <w:bCs/>
          <w:iCs/>
          <w:spacing w:val="4"/>
          <w:lang w:bidi="pl-PL"/>
        </w:rPr>
        <w:t xml:space="preserve">w zakresie terminalu, zarówno Wojewoda Lubelski, jak i </w:t>
      </w:r>
      <w:r w:rsidRPr="00903BF8">
        <w:rPr>
          <w:rFonts w:ascii="Lato" w:hAnsi="Lato" w:cs="Arial"/>
          <w:bCs/>
          <w:spacing w:val="4"/>
          <w:lang w:bidi="pl-PL"/>
        </w:rPr>
        <w:t>Minister</w:t>
      </w:r>
      <w:r w:rsidRPr="00903BF8">
        <w:rPr>
          <w:rFonts w:ascii="Lato" w:hAnsi="Lato" w:cs="Arial"/>
          <w:bCs/>
          <w:iCs/>
          <w:spacing w:val="4"/>
          <w:lang w:bidi="pl-PL"/>
        </w:rPr>
        <w:t xml:space="preserve">, badają zgodność z prawem wniosku </w:t>
      </w:r>
      <w:r w:rsidRPr="00903BF8">
        <w:rPr>
          <w:rFonts w:ascii="Lato" w:hAnsi="Lato" w:cs="Arial"/>
          <w:bCs/>
          <w:spacing w:val="4"/>
          <w:lang w:bidi="pl-PL"/>
        </w:rPr>
        <w:t>inwestora</w:t>
      </w:r>
      <w:r w:rsidRPr="00903BF8">
        <w:rPr>
          <w:rFonts w:ascii="Lato" w:hAnsi="Lato" w:cs="Arial"/>
          <w:bCs/>
          <w:iCs/>
          <w:spacing w:val="4"/>
          <w:lang w:bidi="pl-PL"/>
        </w:rPr>
        <w:t xml:space="preserve">, nie zaś zagadnień dotyczących ewentualnych negatywnych następstw dla podmiotów objętych tą decyzją. </w:t>
      </w:r>
      <w:r w:rsidR="00196786">
        <w:rPr>
          <w:rFonts w:ascii="Lato" w:hAnsi="Lato" w:cs="Arial"/>
          <w:bCs/>
          <w:iCs/>
          <w:spacing w:val="4"/>
          <w:lang w:bidi="pl-PL"/>
        </w:rPr>
        <w:br/>
      </w:r>
      <w:r w:rsidRPr="00903BF8">
        <w:rPr>
          <w:rFonts w:ascii="Lato" w:hAnsi="Lato" w:cs="Arial"/>
          <w:bCs/>
          <w:iCs/>
          <w:spacing w:val="4"/>
          <w:lang w:bidi="pl-PL"/>
        </w:rPr>
        <w:t xml:space="preserve">Z samej bowiem istoty przedsięwzięcia gazowego, będącego inwestycją liniową, wynika ingerencja w prawa przysługujące innym podmiotom w stosunku do nieruchomości objętych projektowaną inwestycją. Z omawianej ingerencji wynikać mogą z kolei inne utrudnienia dla podmiotów dotychczas wykorzystujących daną nieruchomość w określony sposób lub planujących jej wykorzystanie. Nieuniknione jest bowiem to, że lokalizacja inwestycji towarzyszącej inwestycji w zakresie terminalu, może stwarzać określone uciążliwości dla właścicieli nieruchomości objętych jej zakresem. Nie oznacza to jednak, że taka decyzja o ustaleniu lokalizacji inwestycji jest wadliwa. </w:t>
      </w:r>
    </w:p>
    <w:p w14:paraId="5ABE55A9" w14:textId="0A76E3F5" w:rsidR="009D644B" w:rsidRPr="00903BF8" w:rsidRDefault="009D644B" w:rsidP="009D644B">
      <w:pPr>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 xml:space="preserve">Organ wydający decyzję o ustaleniu lokalizacji inwestycji towarzyszących inwestycjom w zakresie terminalu nie jest bowiem kompetentny do oceny przesłanek ekonomicznych oraz społecznych powstającej inwestycji, w jej kształcie określonym przez </w:t>
      </w:r>
      <w:r w:rsidRPr="00903BF8">
        <w:rPr>
          <w:rFonts w:ascii="Lato" w:hAnsi="Lato" w:cs="Arial"/>
          <w:bCs/>
          <w:spacing w:val="4"/>
          <w:lang w:bidi="pl-PL"/>
        </w:rPr>
        <w:t>inwestora</w:t>
      </w:r>
      <w:r w:rsidRPr="00903BF8">
        <w:rPr>
          <w:rFonts w:ascii="Lato" w:hAnsi="Lato" w:cs="Arial"/>
          <w:bCs/>
          <w:iCs/>
          <w:spacing w:val="4"/>
          <w:lang w:bidi="pl-PL"/>
        </w:rPr>
        <w:t xml:space="preserve">. Do organu administracji należy jedynie ocena wniosku </w:t>
      </w:r>
      <w:r w:rsidRPr="00903BF8">
        <w:rPr>
          <w:rFonts w:ascii="Lato" w:hAnsi="Lato" w:cs="Arial"/>
          <w:bCs/>
          <w:spacing w:val="4"/>
          <w:lang w:bidi="pl-PL"/>
        </w:rPr>
        <w:t>inwestora</w:t>
      </w:r>
      <w:r w:rsidRPr="00903BF8">
        <w:rPr>
          <w:rFonts w:ascii="Lato" w:hAnsi="Lato" w:cs="Arial"/>
          <w:bCs/>
          <w:iCs/>
          <w:spacing w:val="4"/>
          <w:lang w:bidi="pl-PL"/>
        </w:rPr>
        <w:t xml:space="preserve"> pod względem jego zgodności z prawem powszechnie obowiązującym. Podkreślić także należy, że przedmiotem orzekania zarówno przez Wojewodę Lubelskiego, jak i </w:t>
      </w:r>
      <w:r w:rsidRPr="00903BF8">
        <w:rPr>
          <w:rFonts w:ascii="Lato" w:hAnsi="Lato" w:cs="Arial"/>
          <w:bCs/>
          <w:spacing w:val="4"/>
          <w:lang w:bidi="pl-PL"/>
        </w:rPr>
        <w:t>Ministra</w:t>
      </w:r>
      <w:r w:rsidRPr="00903BF8">
        <w:rPr>
          <w:rFonts w:ascii="Lato" w:hAnsi="Lato" w:cs="Arial"/>
          <w:bCs/>
          <w:iCs/>
          <w:spacing w:val="4"/>
          <w:lang w:bidi="pl-PL"/>
        </w:rPr>
        <w:t xml:space="preserve">, nie jest prognozowanie wielkości ewentualnych strat w majątku skarżących stron, jako czynnika decydującego </w:t>
      </w:r>
      <w:r w:rsidR="00196786">
        <w:rPr>
          <w:rFonts w:ascii="Lato" w:hAnsi="Lato" w:cs="Arial"/>
          <w:bCs/>
          <w:iCs/>
          <w:spacing w:val="4"/>
          <w:lang w:bidi="pl-PL"/>
        </w:rPr>
        <w:br/>
      </w:r>
      <w:r w:rsidRPr="00903BF8">
        <w:rPr>
          <w:rFonts w:ascii="Lato" w:hAnsi="Lato" w:cs="Arial"/>
          <w:bCs/>
          <w:iCs/>
          <w:spacing w:val="4"/>
          <w:lang w:bidi="pl-PL"/>
        </w:rPr>
        <w:t xml:space="preserve">o wyborze przez </w:t>
      </w:r>
      <w:r w:rsidRPr="00903BF8">
        <w:rPr>
          <w:rFonts w:ascii="Lato" w:hAnsi="Lato" w:cs="Arial"/>
          <w:bCs/>
          <w:spacing w:val="4"/>
          <w:lang w:bidi="pl-PL"/>
        </w:rPr>
        <w:t xml:space="preserve">inwestora </w:t>
      </w:r>
      <w:r w:rsidRPr="00903BF8">
        <w:rPr>
          <w:rFonts w:ascii="Lato" w:hAnsi="Lato" w:cs="Arial"/>
          <w:bCs/>
          <w:iCs/>
          <w:spacing w:val="4"/>
          <w:lang w:bidi="pl-PL"/>
        </w:rPr>
        <w:t>konkretnych rozwiązań lokalizacyjnych i w tym zakresie podnoszone zarzuty pozostają bez wpływu na kształt podjętego rozstrzygnięcia.</w:t>
      </w:r>
      <w:r w:rsidR="00A42399">
        <w:rPr>
          <w:rFonts w:ascii="Lato" w:hAnsi="Lato" w:cs="Arial"/>
          <w:bCs/>
          <w:iCs/>
          <w:spacing w:val="4"/>
          <w:lang w:bidi="pl-PL"/>
        </w:rPr>
        <w:t xml:space="preserve"> </w:t>
      </w:r>
      <w:r w:rsidRPr="00903BF8">
        <w:rPr>
          <w:rFonts w:ascii="Lato" w:hAnsi="Lato" w:cs="Arial"/>
          <w:bCs/>
          <w:iCs/>
          <w:spacing w:val="4"/>
          <w:lang w:bidi="pl-PL"/>
        </w:rPr>
        <w:t>W świetle dotychczasowej argumentacji, Wojewoda Lubelski ustalając lokalizację inwestycji na działkach skarżących stron w przebiegu zawnioskowanym przez inwestora, nie naruszył wskazanych w odwołaniu przepisów postępowania administracyjnego.</w:t>
      </w:r>
    </w:p>
    <w:p w14:paraId="52E91739" w14:textId="7379F4DF" w:rsidR="009D644B" w:rsidRPr="00903BF8" w:rsidRDefault="009D644B" w:rsidP="009D644B">
      <w:pPr>
        <w:spacing w:after="240" w:line="240" w:lineRule="atLeast"/>
        <w:jc w:val="both"/>
        <w:outlineLvl w:val="0"/>
        <w:rPr>
          <w:rFonts w:ascii="Lato" w:hAnsi="Lato"/>
          <w:spacing w:val="4"/>
        </w:rPr>
      </w:pPr>
      <w:r w:rsidRPr="00903BF8">
        <w:rPr>
          <w:rFonts w:ascii="Lato" w:hAnsi="Lato"/>
          <w:spacing w:val="4"/>
        </w:rPr>
        <w:t>Minister</w:t>
      </w:r>
      <w:r w:rsidRPr="00903BF8">
        <w:rPr>
          <w:rFonts w:ascii="Lato" w:hAnsi="Lato"/>
          <w:i/>
          <w:iCs/>
          <w:spacing w:val="4"/>
        </w:rPr>
        <w:t xml:space="preserve"> </w:t>
      </w:r>
      <w:r w:rsidRPr="00903BF8">
        <w:rPr>
          <w:rFonts w:ascii="Lato" w:hAnsi="Lato"/>
          <w:spacing w:val="4"/>
        </w:rPr>
        <w:t>po dokonaniu analizy akt sprawy, podziela stanowisko inwestora</w:t>
      </w:r>
      <w:r w:rsidRPr="00903BF8">
        <w:rPr>
          <w:rFonts w:ascii="Lato" w:hAnsi="Lato"/>
          <w:i/>
          <w:iCs/>
          <w:spacing w:val="4"/>
        </w:rPr>
        <w:t xml:space="preserve"> </w:t>
      </w:r>
      <w:r w:rsidRPr="00903BF8">
        <w:rPr>
          <w:rFonts w:ascii="Lato" w:hAnsi="Lato"/>
          <w:spacing w:val="4"/>
        </w:rPr>
        <w:t xml:space="preserve">przedstawione w toku postępowania odwoławczego, że trasa projektowanego gazociągu została wybrana w sposób optymalny i przy uwzględnieniu wszystkich czynników technicznych, prawnych, ekonomicznych i przyrodniczych, </w:t>
      </w:r>
      <w:r w:rsidR="00196786">
        <w:rPr>
          <w:rFonts w:ascii="Lato" w:hAnsi="Lato"/>
          <w:spacing w:val="4"/>
        </w:rPr>
        <w:br/>
      </w:r>
      <w:r w:rsidRPr="00903BF8">
        <w:rPr>
          <w:rFonts w:ascii="Lato" w:hAnsi="Lato"/>
          <w:spacing w:val="4"/>
        </w:rPr>
        <w:t xml:space="preserve">z uwzględnieniem istniejącego zagospodarowania i uzbrojenia terenu, mając jednocześnie na uwadze ograniczenie uciążliwości dla właścicieli nieruchomości. Ograniczenie prawa własności nastąpiło w zakresie, w jakim nie narusza istoty prawa własności. Teren będący własnością skarżących nie został ograniczony </w:t>
      </w:r>
      <w:r w:rsidR="00196786">
        <w:rPr>
          <w:rFonts w:ascii="Lato" w:hAnsi="Lato"/>
          <w:spacing w:val="4"/>
        </w:rPr>
        <w:br/>
      </w:r>
      <w:r w:rsidRPr="00903BF8">
        <w:rPr>
          <w:rFonts w:ascii="Lato" w:hAnsi="Lato"/>
          <w:spacing w:val="4"/>
        </w:rPr>
        <w:t>w wymiarze większym, niż jest to wymagane dla lokalizacji inwestycji.</w:t>
      </w:r>
    </w:p>
    <w:p w14:paraId="532CD5F3" w14:textId="1DA1AF59" w:rsidR="009D644B" w:rsidRPr="00903BF8" w:rsidRDefault="009D644B" w:rsidP="009D644B">
      <w:pPr>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 xml:space="preserve">Organ I instancji przeprowadził postępowanie w sprawie wydania decyzji Wojewody Lubelskiego – w zakresie interesu prawnego skarżących – w sposób zgodny z art. 6 kpa, art. 7 kpa, art. 77 kpa, art. 80 kpa oraz art. 107 § 1 i § 3 kpa, prawidłowo ustalając lokalizację inwestycji na ich działkach. Materiał dowodowy zgromadzony w sprawie był wystarczający do wydania rozstrzygnięcia i dokonując jego oceny Wojewoda Lubelski nie naruszył zasady swobodnej oceny dowodów. Wydając zaskarżoną decyzję organ kierował się </w:t>
      </w:r>
      <w:r w:rsidRPr="00903BF8">
        <w:rPr>
          <w:rFonts w:ascii="Lato" w:hAnsi="Lato" w:cs="Arial"/>
          <w:bCs/>
          <w:iCs/>
          <w:spacing w:val="4"/>
          <w:lang w:bidi="pl-PL"/>
        </w:rPr>
        <w:lastRenderedPageBreak/>
        <w:t xml:space="preserve">treścią przepisów prawa materialnego (specustawy gazowej), mających </w:t>
      </w:r>
      <w:r w:rsidRPr="00903BF8">
        <w:rPr>
          <w:rFonts w:ascii="Lato" w:hAnsi="Lato" w:cs="Arial"/>
          <w:bCs/>
          <w:iCs/>
          <w:spacing w:val="4"/>
          <w:lang w:bidi="pl-PL"/>
        </w:rPr>
        <w:br/>
        <w:t xml:space="preserve">w sprawie zastosowanie. Poczynione ustalenia przez Wojewodę Lubelskiego wskazujące na spełnienie przesłanek niezbędnych dla wydania decyzji </w:t>
      </w:r>
      <w:r w:rsidR="00196786">
        <w:rPr>
          <w:rFonts w:ascii="Lato" w:hAnsi="Lato" w:cs="Arial"/>
          <w:bCs/>
          <w:iCs/>
          <w:spacing w:val="4"/>
          <w:lang w:bidi="pl-PL"/>
        </w:rPr>
        <w:br/>
      </w:r>
      <w:r w:rsidRPr="00903BF8">
        <w:rPr>
          <w:rFonts w:ascii="Lato" w:hAnsi="Lato" w:cs="Arial"/>
          <w:bCs/>
          <w:iCs/>
          <w:spacing w:val="4"/>
          <w:lang w:bidi="pl-PL"/>
        </w:rPr>
        <w:t xml:space="preserve">o ustaleniu lokalizacji przedmiotowej inwestycji towarzyszącej inwestycji </w:t>
      </w:r>
      <w:r w:rsidR="00196786">
        <w:rPr>
          <w:rFonts w:ascii="Lato" w:hAnsi="Lato" w:cs="Arial"/>
          <w:bCs/>
          <w:iCs/>
          <w:spacing w:val="4"/>
          <w:lang w:bidi="pl-PL"/>
        </w:rPr>
        <w:br/>
      </w:r>
      <w:r w:rsidRPr="00903BF8">
        <w:rPr>
          <w:rFonts w:ascii="Lato" w:hAnsi="Lato" w:cs="Arial"/>
          <w:bCs/>
          <w:iCs/>
          <w:spacing w:val="4"/>
          <w:lang w:bidi="pl-PL"/>
        </w:rPr>
        <w:t xml:space="preserve">w zakresie terminalu znajdują odzwierciedlenie w aktach sprawy. </w:t>
      </w:r>
    </w:p>
    <w:p w14:paraId="7A18A8DC" w14:textId="77777777" w:rsidR="009D644B" w:rsidRPr="00903BF8" w:rsidRDefault="009D644B" w:rsidP="009D644B">
      <w:pPr>
        <w:spacing w:after="240" w:line="240" w:lineRule="atLeast"/>
        <w:jc w:val="both"/>
        <w:outlineLvl w:val="0"/>
        <w:rPr>
          <w:rFonts w:ascii="Lato" w:hAnsi="Lato" w:cs="Arial"/>
          <w:bCs/>
          <w:iCs/>
          <w:spacing w:val="4"/>
          <w:lang w:bidi="pl-PL"/>
        </w:rPr>
      </w:pPr>
      <w:r w:rsidRPr="00903BF8">
        <w:rPr>
          <w:rFonts w:ascii="Lato" w:hAnsi="Lato" w:cs="Arial"/>
          <w:bCs/>
          <w:iCs/>
          <w:spacing w:val="4"/>
          <w:lang w:bidi="pl-PL"/>
        </w:rPr>
        <w:t xml:space="preserve">Według Ministra uzasadnienie decyzji Wojewody Lubelskiego pozwala na poznanie motywów, którymi organ I instancji kierował się przy załatwianiu sprawy, a także umożliwia stronom zrozumienie i w miarę możliwości zaakceptowanie zasadności przesłanek faktycznych i prawnych, którymi kierował się organ przy załatwianiu sprawy, co stanowi o tym, że uzasadnienie zaskarżonej decyzji zostało skonstruowane w sposób umożliwiający realizację zasady przekonywania, o której mowa w art. 11 kpa. Stanowisko Wojewody Lubelskiego nie nosi cech dowolności, lecz jest wyrazem rzetelnie przeprowadzonego postępowania. </w:t>
      </w:r>
    </w:p>
    <w:p w14:paraId="1F12FB1B" w14:textId="7B7AE136" w:rsidR="009D644B" w:rsidRPr="00903BF8" w:rsidRDefault="009D644B" w:rsidP="009D644B">
      <w:pPr>
        <w:spacing w:after="240" w:line="240" w:lineRule="atLeast"/>
        <w:jc w:val="both"/>
        <w:outlineLvl w:val="0"/>
        <w:rPr>
          <w:rFonts w:ascii="Lato" w:eastAsia="Times New Roman" w:hAnsi="Lato" w:cs="Arial"/>
          <w:iCs/>
          <w:spacing w:val="4"/>
          <w:lang w:eastAsia="pl-PL"/>
        </w:rPr>
      </w:pPr>
      <w:r w:rsidRPr="00903BF8">
        <w:rPr>
          <w:rFonts w:ascii="Lato" w:eastAsia="Times New Roman" w:hAnsi="Lato" w:cs="Arial"/>
          <w:iCs/>
          <w:spacing w:val="4"/>
          <w:lang w:eastAsia="pl-PL"/>
        </w:rPr>
        <w:t>Zaznaczyć trzeba, iż zasada przekonywania sprowadza się do wyjaśnienia stronie, że adresowana do niej decyzja wynika z racjonalnych przesłanek i jest oparta o przepisy obowiązującego prawa, to znaczy, że w istniejącym stanie prawnym i faktycznym wydanie innej decyzji było niemożliwe. Organ odpowiada za naruszenie tej zasady, jeżeli nie podejmie lub bezpodstawnie odstąpi od czynności mających przekonać stronę o zasadności decyzji, np. odstąpi od uzasadnienia decyzji. Zasada ta nakłada na organ obowiązek dołożenia należytej staranności w wyjaśnieniu stronie zasadności podjętego rozstrzygnięcia. Nie wymaga się zaś od niego osiągnięcia rezultatu, to znaczy faktycznego przekonania strony do prawidłowości podjętej decyzji (vide: wyrok Wojewódzkiego Sądu Administracyjnego w Łodzi z dnia 2 października 2013 r., sygn. akt II SA/</w:t>
      </w:r>
      <w:proofErr w:type="spellStart"/>
      <w:r w:rsidRPr="00903BF8">
        <w:rPr>
          <w:rFonts w:ascii="Lato" w:eastAsia="Times New Roman" w:hAnsi="Lato" w:cs="Arial"/>
          <w:iCs/>
          <w:spacing w:val="4"/>
          <w:lang w:eastAsia="pl-PL"/>
        </w:rPr>
        <w:t>Łd</w:t>
      </w:r>
      <w:proofErr w:type="spellEnd"/>
      <w:r w:rsidRPr="00903BF8">
        <w:rPr>
          <w:rFonts w:ascii="Lato" w:eastAsia="Times New Roman" w:hAnsi="Lato" w:cs="Arial"/>
          <w:iCs/>
          <w:spacing w:val="4"/>
          <w:lang w:eastAsia="pl-PL"/>
        </w:rPr>
        <w:t xml:space="preserve"> 631/13). Jak już to wyjaśniano powyżej, Wojewoda Lubelski uzasadnił zaskarżoną decyzję, podając jej podstawę prawną oraz argumenty przemawiające za słusznością podjętego rozstrzygnięcia, zaś brak przekonania stron co do prawidłowości podjętej decyzji nie oznacza naruszenia zasady wyrażonej w art. 11 </w:t>
      </w:r>
      <w:r w:rsidRPr="00903BF8">
        <w:rPr>
          <w:rFonts w:ascii="Lato" w:eastAsia="Times New Roman" w:hAnsi="Lato" w:cs="Arial"/>
          <w:spacing w:val="4"/>
          <w:lang w:eastAsia="pl-PL"/>
        </w:rPr>
        <w:t>kpa</w:t>
      </w:r>
      <w:r w:rsidRPr="00903BF8">
        <w:rPr>
          <w:rFonts w:ascii="Lato" w:eastAsia="Times New Roman" w:hAnsi="Lato" w:cs="Arial"/>
          <w:iCs/>
          <w:spacing w:val="4"/>
          <w:lang w:eastAsia="pl-PL" w:bidi="pl-PL"/>
        </w:rPr>
        <w:t>, gdyż skarżący mają prawo do własnego subiektywnego przekonania o zasadności swoich zarzutów, zaś przekonanie to nie musi mieć odzwierciedlenia w obowiązujących przepisach prawnych.</w:t>
      </w:r>
    </w:p>
    <w:p w14:paraId="363805F6" w14:textId="50432E52" w:rsidR="009D644B" w:rsidRPr="00903BF8" w:rsidRDefault="009D644B" w:rsidP="009D644B">
      <w:pPr>
        <w:tabs>
          <w:tab w:val="num" w:pos="426"/>
        </w:tabs>
        <w:spacing w:after="240" w:line="240" w:lineRule="atLeast"/>
        <w:jc w:val="both"/>
        <w:rPr>
          <w:rFonts w:ascii="Lato" w:hAnsi="Lato" w:cs="Arial"/>
          <w:bCs/>
          <w:iCs/>
          <w:spacing w:val="4"/>
        </w:rPr>
      </w:pPr>
      <w:r w:rsidRPr="00903BF8">
        <w:rPr>
          <w:rFonts w:ascii="Lato" w:eastAsia="Times New Roman" w:hAnsi="Lato" w:cs="Arial"/>
          <w:bCs/>
          <w:iCs/>
          <w:spacing w:val="4"/>
          <w:lang w:eastAsia="pl-PL" w:bidi="pl-PL"/>
        </w:rPr>
        <w:t xml:space="preserve">Jednocześnie wyjaśnienia wymaga, że </w:t>
      </w:r>
      <w:r w:rsidRPr="00903BF8">
        <w:rPr>
          <w:rFonts w:ascii="Lato" w:hAnsi="Lato" w:cs="Arial"/>
          <w:bCs/>
          <w:iCs/>
          <w:spacing w:val="4"/>
        </w:rPr>
        <w:t xml:space="preserve">reguła wynikająca z art. 7 kpa nakazująca załatwienie sprawy w sposób uwzględniający interes społeczny i słuszny interes obywateli nie mogła doprowadzić do wyłączenia stosowania przepisów specustawy gazowej. Nakaz ten jest możliwy do zrealizowania wyłącznie </w:t>
      </w:r>
      <w:r w:rsidR="00196786">
        <w:rPr>
          <w:rFonts w:ascii="Lato" w:hAnsi="Lato" w:cs="Arial"/>
          <w:bCs/>
          <w:iCs/>
          <w:spacing w:val="4"/>
        </w:rPr>
        <w:br/>
      </w:r>
      <w:r w:rsidRPr="00903BF8">
        <w:rPr>
          <w:rFonts w:ascii="Lato" w:hAnsi="Lato" w:cs="Arial"/>
          <w:bCs/>
          <w:iCs/>
          <w:spacing w:val="4"/>
        </w:rPr>
        <w:t xml:space="preserve">w sytuacji, gdy organowi administracji przysługuje tzw. uznanie administracyjne. Nie można go jednak stosować w przypadku wydania przez organ tzw. decyzji związanej, tj. decyzji wydawanej w sytuacji, gdy norma prawa przewiduje </w:t>
      </w:r>
      <w:r w:rsidR="00196786">
        <w:rPr>
          <w:rFonts w:ascii="Lato" w:hAnsi="Lato" w:cs="Arial"/>
          <w:bCs/>
          <w:iCs/>
          <w:spacing w:val="4"/>
        </w:rPr>
        <w:br/>
      </w:r>
      <w:r w:rsidRPr="00903BF8">
        <w:rPr>
          <w:rFonts w:ascii="Lato" w:hAnsi="Lato" w:cs="Arial"/>
          <w:bCs/>
          <w:iCs/>
          <w:spacing w:val="4"/>
        </w:rPr>
        <w:t xml:space="preserve">w określonym stanie faktycznym obowiązek wydania przez organ decyzji </w:t>
      </w:r>
      <w:r w:rsidR="00196786">
        <w:rPr>
          <w:rFonts w:ascii="Lato" w:hAnsi="Lato" w:cs="Arial"/>
          <w:bCs/>
          <w:iCs/>
          <w:spacing w:val="4"/>
        </w:rPr>
        <w:br/>
      </w:r>
      <w:r w:rsidRPr="00903BF8">
        <w:rPr>
          <w:rFonts w:ascii="Lato" w:hAnsi="Lato" w:cs="Arial"/>
          <w:bCs/>
          <w:iCs/>
          <w:spacing w:val="4"/>
        </w:rPr>
        <w:t xml:space="preserve">o określonej treści. Zatem dopuszczalność zastosowania przepisów prawa materialnego tj. specustawy gazowej nie może być zmodyfikowana </w:t>
      </w:r>
      <w:r w:rsidRPr="00903BF8">
        <w:rPr>
          <w:rFonts w:ascii="Lato" w:hAnsi="Lato" w:cs="Arial"/>
          <w:bCs/>
          <w:iCs/>
          <w:spacing w:val="4"/>
        </w:rPr>
        <w:br/>
        <w:t xml:space="preserve">z uwagi na słuszny interes skarżących (por. wyrok Naczelnego Sądu Administracyjnego z dnia 14 września 2021 r., sygn. akt II OSK 1332/21, </w:t>
      </w:r>
      <w:r w:rsidRPr="00903BF8">
        <w:rPr>
          <w:rFonts w:ascii="Lato" w:hAnsi="Lato" w:cs="Arial"/>
          <w:bCs/>
          <w:iCs/>
          <w:spacing w:val="4"/>
        </w:rPr>
        <w:lastRenderedPageBreak/>
        <w:t xml:space="preserve">Centralna Baza Orzeczeń Sądów Administracyjnych, </w:t>
      </w:r>
      <w:r w:rsidRPr="00903BF8">
        <w:rPr>
          <w:rFonts w:ascii="Lato" w:hAnsi="Lato" w:cs="Arial"/>
          <w:bCs/>
          <w:iCs/>
          <w:spacing w:val="4"/>
          <w:lang w:bidi="pl-PL"/>
        </w:rPr>
        <w:t xml:space="preserve">wydany w sprawie rozpatrywanej na podstawie </w:t>
      </w:r>
      <w:r w:rsidRPr="00903BF8">
        <w:rPr>
          <w:rFonts w:ascii="Lato" w:hAnsi="Lato" w:cs="Arial"/>
          <w:bCs/>
          <w:spacing w:val="4"/>
          <w:lang w:bidi="pl-PL"/>
        </w:rPr>
        <w:t>specustawy drogowej</w:t>
      </w:r>
      <w:r w:rsidRPr="00903BF8">
        <w:rPr>
          <w:rFonts w:ascii="Lato" w:hAnsi="Lato" w:cs="Arial"/>
          <w:bCs/>
          <w:iCs/>
          <w:spacing w:val="4"/>
          <w:lang w:bidi="pl-PL"/>
        </w:rPr>
        <w:t xml:space="preserve">, lecz w istotnym zakresie </w:t>
      </w:r>
      <w:r w:rsidR="00196786">
        <w:rPr>
          <w:rFonts w:ascii="Lato" w:hAnsi="Lato" w:cs="Arial"/>
          <w:bCs/>
          <w:iCs/>
          <w:spacing w:val="4"/>
          <w:lang w:bidi="pl-PL"/>
        </w:rPr>
        <w:br/>
      </w:r>
      <w:r w:rsidRPr="00903BF8">
        <w:rPr>
          <w:rFonts w:ascii="Lato" w:hAnsi="Lato" w:cs="Arial"/>
          <w:bCs/>
          <w:iCs/>
          <w:spacing w:val="4"/>
          <w:lang w:bidi="pl-PL"/>
        </w:rPr>
        <w:t xml:space="preserve">w pełni analogicznej do rozwiązań przyjętych </w:t>
      </w:r>
      <w:r w:rsidRPr="00903BF8">
        <w:rPr>
          <w:rFonts w:ascii="Lato" w:hAnsi="Lato" w:cs="Arial"/>
          <w:bCs/>
          <w:spacing w:val="4"/>
          <w:lang w:bidi="pl-PL"/>
        </w:rPr>
        <w:t>specustawie gazowej</w:t>
      </w:r>
      <w:r w:rsidRPr="00903BF8">
        <w:rPr>
          <w:rFonts w:ascii="Lato" w:hAnsi="Lato" w:cs="Arial"/>
          <w:bCs/>
          <w:iCs/>
          <w:spacing w:val="4"/>
          <w:lang w:bidi="pl-PL"/>
        </w:rPr>
        <w:t>)</w:t>
      </w:r>
      <w:r w:rsidRPr="00903BF8">
        <w:rPr>
          <w:rFonts w:ascii="Lato" w:hAnsi="Lato" w:cs="Arial"/>
          <w:bCs/>
          <w:iCs/>
          <w:spacing w:val="4"/>
        </w:rPr>
        <w:t xml:space="preserve">. </w:t>
      </w:r>
    </w:p>
    <w:p w14:paraId="1E498F54" w14:textId="0E13E7ED" w:rsidR="009D644B" w:rsidRPr="00903BF8" w:rsidRDefault="009D644B" w:rsidP="009D644B">
      <w:pPr>
        <w:tabs>
          <w:tab w:val="num" w:pos="426"/>
        </w:tabs>
        <w:spacing w:after="240" w:line="240" w:lineRule="atLeast"/>
        <w:jc w:val="both"/>
        <w:rPr>
          <w:rFonts w:ascii="Lato" w:eastAsia="Times New Roman" w:hAnsi="Lato" w:cs="Arial"/>
          <w:bCs/>
          <w:iCs/>
          <w:spacing w:val="4"/>
          <w:lang w:eastAsia="pl-PL" w:bidi="pl-PL"/>
        </w:rPr>
      </w:pPr>
      <w:r w:rsidRPr="00903BF8">
        <w:rPr>
          <w:rFonts w:ascii="Lato" w:eastAsia="Times New Roman" w:hAnsi="Lato" w:cs="Arial"/>
          <w:bCs/>
          <w:iCs/>
          <w:spacing w:val="4"/>
          <w:lang w:eastAsia="pl-PL" w:bidi="pl-PL"/>
        </w:rPr>
        <w:t xml:space="preserve">To, że skarżący nie zgadzają się z lokalizacją inwestycji na ich nieruchomości nie oznacza, że doszło do naruszenia zasady zaufania (art. 8 kpa). Sama tylko okoliczność, że Wojewoda Lubelski negatywnie dla skarżących rozstrzygnął sprawę nie wystarcza do uznania, że naruszono art. 8 kpa. Niezadowolenie skarżących z wydanego przez organ administracji rozstrzygnięcia nie może być utożsamiane z naruszeniem wynikającego z art. 8 kpa obowiązku prowadzenia postępowania w sposób budzący zaufanie jego uczestników do władzy publicznej. Nie sposób bowiem przyjąć, że wymóg prowadzenia postępowania w sposób budzący zaufanie jego uczestników do władzy publicznej będzie zachowany tylko wówczas, gdy organy administracji będą wydawać rozstrzygnięcia, których oczekują strony postępowania. </w:t>
      </w:r>
    </w:p>
    <w:p w14:paraId="070C3EA5" w14:textId="77777777" w:rsidR="009D644B" w:rsidRPr="00903BF8" w:rsidRDefault="009D644B" w:rsidP="009D644B">
      <w:pPr>
        <w:spacing w:after="240" w:line="240" w:lineRule="atLeast"/>
        <w:jc w:val="both"/>
        <w:rPr>
          <w:rFonts w:ascii="Lato" w:eastAsia="Times New Roman" w:hAnsi="Lato" w:cs="Arial"/>
          <w:bCs/>
          <w:iCs/>
          <w:spacing w:val="4"/>
          <w:lang w:val="x-none" w:eastAsia="pl-PL" w:bidi="pl-PL"/>
        </w:rPr>
      </w:pPr>
      <w:r w:rsidRPr="00903BF8">
        <w:rPr>
          <w:rFonts w:ascii="Lato" w:eastAsia="Times New Roman" w:hAnsi="Lato" w:cs="Arial"/>
          <w:bCs/>
          <w:iCs/>
          <w:spacing w:val="4"/>
          <w:lang w:val="x-none" w:eastAsia="pl-PL" w:bidi="pl-PL"/>
        </w:rPr>
        <w:t xml:space="preserve">W sprawie nie doszło także do zarzucanego przez skarżących  naruszenia art. 10 kpa.  </w:t>
      </w:r>
    </w:p>
    <w:p w14:paraId="7BCBEB19" w14:textId="2A262915" w:rsidR="009D644B" w:rsidRPr="00903BF8" w:rsidRDefault="009D644B" w:rsidP="009D644B">
      <w:pPr>
        <w:spacing w:after="240" w:line="240" w:lineRule="atLeast"/>
        <w:jc w:val="both"/>
        <w:rPr>
          <w:rFonts w:ascii="Lato" w:eastAsia="Times New Roman" w:hAnsi="Lato" w:cs="Arial"/>
          <w:bCs/>
          <w:iCs/>
          <w:spacing w:val="4"/>
          <w:lang w:eastAsia="pl-PL" w:bidi="pl-PL"/>
        </w:rPr>
      </w:pPr>
      <w:r w:rsidRPr="00903BF8">
        <w:rPr>
          <w:rFonts w:ascii="Lato" w:eastAsia="Times New Roman" w:hAnsi="Lato" w:cs="Arial"/>
          <w:bCs/>
          <w:iCs/>
          <w:spacing w:val="4"/>
          <w:lang w:eastAsia="pl-PL" w:bidi="pl-PL"/>
        </w:rPr>
        <w:t xml:space="preserve">W orzecznictwie </w:t>
      </w:r>
      <w:proofErr w:type="spellStart"/>
      <w:r w:rsidRPr="00903BF8">
        <w:rPr>
          <w:rFonts w:ascii="Lato" w:eastAsia="Times New Roman" w:hAnsi="Lato" w:cs="Arial"/>
          <w:bCs/>
          <w:iCs/>
          <w:spacing w:val="4"/>
          <w:lang w:eastAsia="pl-PL" w:bidi="pl-PL"/>
        </w:rPr>
        <w:t>sądowoadministracyjnym</w:t>
      </w:r>
      <w:proofErr w:type="spellEnd"/>
      <w:r w:rsidRPr="00903BF8">
        <w:rPr>
          <w:rFonts w:ascii="Lato" w:eastAsia="Times New Roman" w:hAnsi="Lato" w:cs="Arial"/>
          <w:bCs/>
          <w:iCs/>
          <w:spacing w:val="4"/>
          <w:lang w:eastAsia="pl-PL" w:bidi="pl-PL"/>
        </w:rPr>
        <w:t xml:space="preserve"> dotyczącym szczególnych przepisów ułatwiających wydawanie zgód administracyjnych na lokalizację i realizację inwestycji infrastrukturalnych (por. wyrok Wojewódzkiego Sądu Administracyjnego w Warszawie z dnia 18 lipca 2019 r., sygn. akt VII SA/</w:t>
      </w:r>
      <w:proofErr w:type="spellStart"/>
      <w:r w:rsidRPr="00903BF8">
        <w:rPr>
          <w:rFonts w:ascii="Lato" w:eastAsia="Times New Roman" w:hAnsi="Lato" w:cs="Arial"/>
          <w:bCs/>
          <w:iCs/>
          <w:spacing w:val="4"/>
          <w:lang w:eastAsia="pl-PL" w:bidi="pl-PL"/>
        </w:rPr>
        <w:t>Wa</w:t>
      </w:r>
      <w:proofErr w:type="spellEnd"/>
      <w:r w:rsidRPr="00903BF8">
        <w:rPr>
          <w:rFonts w:ascii="Lato" w:eastAsia="Times New Roman" w:hAnsi="Lato" w:cs="Arial"/>
          <w:bCs/>
          <w:iCs/>
          <w:spacing w:val="4"/>
          <w:lang w:eastAsia="pl-PL" w:bidi="pl-PL"/>
        </w:rPr>
        <w:t xml:space="preserve"> 1017/19, </w:t>
      </w:r>
      <w:proofErr w:type="spellStart"/>
      <w:r w:rsidRPr="00903BF8">
        <w:rPr>
          <w:rFonts w:ascii="Lato" w:eastAsia="Times New Roman" w:hAnsi="Lato" w:cs="Arial"/>
          <w:bCs/>
          <w:iCs/>
          <w:spacing w:val="4"/>
          <w:lang w:eastAsia="pl-PL" w:bidi="pl-PL"/>
        </w:rPr>
        <w:t>opubl</w:t>
      </w:r>
      <w:proofErr w:type="spellEnd"/>
      <w:r w:rsidRPr="00903BF8">
        <w:rPr>
          <w:rFonts w:ascii="Lato" w:eastAsia="Times New Roman" w:hAnsi="Lato" w:cs="Arial"/>
          <w:bCs/>
          <w:iCs/>
          <w:spacing w:val="4"/>
          <w:lang w:eastAsia="pl-PL" w:bidi="pl-PL"/>
        </w:rPr>
        <w:t xml:space="preserve">. Centralna Baza Orzeczeń Sądów Administracyjnych), wskazuje się, iż podnoszenie zarzutu naruszenia art. 10 kpa (jak czynią to skarżący) w tego rodzaju sprawach musi być szczególnie dobrze przemyślane i uzasadnione. Dorobek orzeczniczy wojewódzkich sądów administracyjnych i Naczelnego Sądu Administracyjnego – wskazujący na to, że zarzut naruszenia tego ogólnego przepisu procesowego może tylko wówczas odnieść skutek, gdy jego autor wykaże jaka konkretna i znacząca dla sprawy czynność strony została przez organ uniemożliwiona – nabiera w ww. sprawach szczególnego znaczenia. Zwłaszcza że z art. 8 specustawy gazowej (podobnie jak z art. 11d ust. 5 specustawy drogowej) nie wynika, aby ustawodawca przewidział uprawnienie do wypowiadania się przez uczestników postępowania co do zebranych materiałów w postępowaniu lokalizacyjnym. Przepis ten stanowi natomiast lex </w:t>
      </w:r>
      <w:proofErr w:type="spellStart"/>
      <w:r w:rsidRPr="00903BF8">
        <w:rPr>
          <w:rFonts w:ascii="Lato" w:eastAsia="Times New Roman" w:hAnsi="Lato" w:cs="Arial"/>
          <w:bCs/>
          <w:iCs/>
          <w:spacing w:val="4"/>
          <w:lang w:eastAsia="pl-PL" w:bidi="pl-PL"/>
        </w:rPr>
        <w:t>specialis</w:t>
      </w:r>
      <w:proofErr w:type="spellEnd"/>
      <w:r w:rsidRPr="00903BF8">
        <w:rPr>
          <w:rFonts w:ascii="Lato" w:eastAsia="Times New Roman" w:hAnsi="Lato" w:cs="Arial"/>
          <w:bCs/>
          <w:iCs/>
          <w:spacing w:val="4"/>
          <w:lang w:eastAsia="pl-PL" w:bidi="pl-PL"/>
        </w:rPr>
        <w:t xml:space="preserve"> w stosunku do tych przepisów kpa, które odmiennie regulują kwestie postępowania administracyjnego. Jak zaś wiadomo, lex </w:t>
      </w:r>
      <w:proofErr w:type="spellStart"/>
      <w:r w:rsidRPr="00903BF8">
        <w:rPr>
          <w:rFonts w:ascii="Lato" w:eastAsia="Times New Roman" w:hAnsi="Lato" w:cs="Arial"/>
          <w:bCs/>
          <w:iCs/>
          <w:spacing w:val="4"/>
          <w:lang w:eastAsia="pl-PL" w:bidi="pl-PL"/>
        </w:rPr>
        <w:t>specialis</w:t>
      </w:r>
      <w:proofErr w:type="spellEnd"/>
      <w:r w:rsidRPr="00903BF8">
        <w:rPr>
          <w:rFonts w:ascii="Lato" w:eastAsia="Times New Roman" w:hAnsi="Lato" w:cs="Arial"/>
          <w:bCs/>
          <w:iCs/>
          <w:spacing w:val="4"/>
          <w:lang w:eastAsia="pl-PL" w:bidi="pl-PL"/>
        </w:rPr>
        <w:t xml:space="preserve"> derogat legi </w:t>
      </w:r>
      <w:proofErr w:type="spellStart"/>
      <w:r w:rsidRPr="00903BF8">
        <w:rPr>
          <w:rFonts w:ascii="Lato" w:eastAsia="Times New Roman" w:hAnsi="Lato" w:cs="Arial"/>
          <w:bCs/>
          <w:iCs/>
          <w:spacing w:val="4"/>
          <w:lang w:eastAsia="pl-PL" w:bidi="pl-PL"/>
        </w:rPr>
        <w:t>generali</w:t>
      </w:r>
      <w:proofErr w:type="spellEnd"/>
      <w:r w:rsidRPr="00903BF8">
        <w:rPr>
          <w:rFonts w:ascii="Lato" w:eastAsia="Times New Roman" w:hAnsi="Lato" w:cs="Arial"/>
          <w:bCs/>
          <w:iCs/>
          <w:spacing w:val="4"/>
          <w:lang w:eastAsia="pl-PL" w:bidi="pl-PL"/>
        </w:rPr>
        <w:t>.</w:t>
      </w:r>
    </w:p>
    <w:p w14:paraId="59070FE6" w14:textId="0ED6723D" w:rsidR="009D644B" w:rsidRPr="00903BF8" w:rsidRDefault="009D644B" w:rsidP="009D644B">
      <w:pPr>
        <w:spacing w:after="240" w:line="240" w:lineRule="atLeast"/>
        <w:jc w:val="both"/>
        <w:rPr>
          <w:rFonts w:ascii="Lato" w:eastAsia="Times New Roman" w:hAnsi="Lato" w:cs="Arial"/>
          <w:bCs/>
          <w:iCs/>
          <w:spacing w:val="4"/>
          <w:lang w:eastAsia="pl-PL" w:bidi="pl-PL"/>
        </w:rPr>
      </w:pPr>
      <w:r w:rsidRPr="00903BF8">
        <w:rPr>
          <w:rFonts w:ascii="Lato" w:eastAsia="Times New Roman" w:hAnsi="Lato" w:cs="Arial"/>
          <w:bCs/>
          <w:iCs/>
          <w:spacing w:val="4"/>
          <w:lang w:eastAsia="pl-PL" w:bidi="pl-PL"/>
        </w:rPr>
        <w:t xml:space="preserve">Godzi się zauważyć, że strona stawiająca zarzut naruszenia art. 10 § 1 kpa, powinna wykazać, iż uchybienie to miało istotny wpływ na wynik sprawy, tzn. że uniemożliwiło jej dokonanie konkretnych czynności procesowych, mogących mieć znaczenie dla rozstrzygnięcia sprawy (zob. np. wyrok Naczelnego Sądu Administracyjnego z dnia 14 marca 2017 r., sygn. akt I OSK 2841/15). Dopiero wykazanie, że naruszenie przez organ administracji publicznej zasady czynnego udziału strony w postępowaniu administracyjnym uniemożliwiło stronie podjęcie konkretnie wskazanej czynności procesowej (najczęściej w sferze postępowania dowodowego), a także wykazanie, iż uchybienie to miało istotny </w:t>
      </w:r>
      <w:r w:rsidRPr="00903BF8">
        <w:rPr>
          <w:rFonts w:ascii="Lato" w:eastAsia="Times New Roman" w:hAnsi="Lato" w:cs="Arial"/>
          <w:bCs/>
          <w:iCs/>
          <w:spacing w:val="4"/>
          <w:lang w:eastAsia="pl-PL" w:bidi="pl-PL"/>
        </w:rPr>
        <w:lastRenderedPageBreak/>
        <w:t xml:space="preserve">wpływ na wynik sprawy, daje podstawy do przyjęcia, </w:t>
      </w:r>
      <w:r w:rsidRPr="00903BF8">
        <w:rPr>
          <w:rFonts w:ascii="Lato" w:eastAsia="Times New Roman" w:hAnsi="Lato" w:cs="Arial"/>
          <w:bCs/>
          <w:iCs/>
          <w:spacing w:val="4"/>
          <w:lang w:eastAsia="pl-PL" w:bidi="pl-PL"/>
        </w:rPr>
        <w:br/>
        <w:t>że doszło do naruszenia art. 10 kpa (por. wyrok Naczelnego Sądu Administracyjnego z dnia 2 września 2009 r., sygn. akt II OSK 1320/08, Lex nr 597196). Natomiast skarżący poza ogólnym stwierdzeniem nie wskazali, jakich konkretnych czynności procesowych nie mogli dokonać, które mogłyby doprowadzić do odmiennego rozstrzygnięcia sprawy dotyczącej ustalenia lokalizacji przedmiotowej inwestycji gazowej na ich nieruchomości. Ponadto wskazać należy, że skarżący</w:t>
      </w:r>
      <w:r w:rsidRPr="00903BF8">
        <w:rPr>
          <w:rFonts w:ascii="Lato" w:eastAsia="Times New Roman" w:hAnsi="Lato" w:cs="Arial"/>
          <w:bCs/>
          <w:i/>
          <w:iCs/>
          <w:spacing w:val="4"/>
          <w:lang w:eastAsia="pl-PL" w:bidi="pl-PL"/>
        </w:rPr>
        <w:t xml:space="preserve"> </w:t>
      </w:r>
      <w:r w:rsidRPr="00903BF8">
        <w:rPr>
          <w:rFonts w:ascii="Lato" w:eastAsia="Times New Roman" w:hAnsi="Lato" w:cs="Arial"/>
          <w:bCs/>
          <w:iCs/>
          <w:spacing w:val="4"/>
          <w:lang w:eastAsia="pl-PL" w:bidi="pl-PL"/>
        </w:rPr>
        <w:t xml:space="preserve">nie złożyli zarówno na etapie postępowania prowadzonego przez Wojewodę Lubelskiego jak i na etapie postępowania odwoławczego wniosków dowodowych, które mogłyby doprowadzić do innych ustaleń w przedmiotowej sprawie, niż te przyjęte w </w:t>
      </w:r>
      <w:r w:rsidRPr="00903BF8">
        <w:rPr>
          <w:rFonts w:ascii="Lato" w:eastAsia="Times New Roman" w:hAnsi="Lato" w:cs="Arial"/>
          <w:bCs/>
          <w:spacing w:val="4"/>
          <w:lang w:eastAsia="pl-PL" w:bidi="pl-PL"/>
        </w:rPr>
        <w:t>decyzji Wojewody Lubelskiego</w:t>
      </w:r>
      <w:r w:rsidRPr="00903BF8">
        <w:rPr>
          <w:rFonts w:ascii="Lato" w:eastAsia="Times New Roman" w:hAnsi="Lato" w:cs="Arial"/>
          <w:bCs/>
          <w:iCs/>
          <w:spacing w:val="4"/>
          <w:lang w:eastAsia="pl-PL" w:bidi="pl-PL"/>
        </w:rPr>
        <w:t>, w zakresie dotyczącym ich interesu prawnego.</w:t>
      </w:r>
    </w:p>
    <w:p w14:paraId="7EF9C118" w14:textId="3E54F80C"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lang w:bidi="pl-PL"/>
        </w:rPr>
      </w:pPr>
      <w:bookmarkStart w:id="7" w:name="_Hlk181704976"/>
      <w:r w:rsidRPr="00903BF8">
        <w:rPr>
          <w:rFonts w:ascii="Lato" w:eastAsia="Calibri" w:hAnsi="Lato" w:cs="Times New Roman"/>
          <w:bCs/>
          <w:spacing w:val="4"/>
          <w:lang w:bidi="pl-PL"/>
        </w:rPr>
        <w:t>Podsumowując, organ odwoławczy uznał, że przebieg planowanej inwestycji został ustalony prawidłowo</w:t>
      </w:r>
      <w:r w:rsidR="00A42399">
        <w:rPr>
          <w:rFonts w:ascii="Lato" w:eastAsia="Calibri" w:hAnsi="Lato" w:cs="Times New Roman"/>
          <w:bCs/>
          <w:spacing w:val="4"/>
          <w:lang w:bidi="pl-PL"/>
        </w:rPr>
        <w:t>.</w:t>
      </w:r>
      <w:r w:rsidRPr="00903BF8">
        <w:rPr>
          <w:rFonts w:ascii="Lato" w:eastAsia="Calibri" w:hAnsi="Lato" w:cs="Times New Roman"/>
          <w:bCs/>
          <w:spacing w:val="4"/>
          <w:lang w:bidi="pl-PL"/>
        </w:rPr>
        <w:t xml:space="preserve"> Organ uznał racje przemawiające za ustaloną lokalizacją, które przedstawił inwestor w dokumentacji przedłożonej w trakcie postępowania w sprawie wydania decyzji w przedmiocie ustalenia lokalizacji ww. inwestycji towarzyszącej inwestycjom w zakresie terminalu. </w:t>
      </w:r>
      <w:bookmarkEnd w:id="7"/>
    </w:p>
    <w:p w14:paraId="4E71AE0E" w14:textId="77777777"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lang w:bidi="pl-PL"/>
        </w:rPr>
      </w:pPr>
      <w:r w:rsidRPr="00903BF8">
        <w:rPr>
          <w:rFonts w:ascii="Lato" w:eastAsia="Calibri" w:hAnsi="Lato" w:cs="Times New Roman"/>
          <w:bCs/>
          <w:spacing w:val="4"/>
        </w:rPr>
        <w:t xml:space="preserve">Niniejsza decyzja jest ostateczna. </w:t>
      </w:r>
    </w:p>
    <w:p w14:paraId="7A2F1E22" w14:textId="79733823" w:rsidR="009D644B" w:rsidRPr="00903BF8" w:rsidRDefault="009D644B" w:rsidP="009D644B">
      <w:pPr>
        <w:tabs>
          <w:tab w:val="left" w:pos="-1843"/>
          <w:tab w:val="left" w:pos="-993"/>
          <w:tab w:val="left" w:pos="4678"/>
          <w:tab w:val="left" w:pos="5387"/>
          <w:tab w:val="right" w:pos="5812"/>
        </w:tabs>
        <w:spacing w:after="240" w:line="240" w:lineRule="atLeast"/>
        <w:jc w:val="both"/>
        <w:outlineLvl w:val="0"/>
        <w:rPr>
          <w:rFonts w:ascii="Lato" w:eastAsia="Calibri" w:hAnsi="Lato" w:cs="Times New Roman"/>
          <w:bCs/>
          <w:spacing w:val="4"/>
        </w:rPr>
      </w:pPr>
      <w:r w:rsidRPr="00903BF8">
        <w:rPr>
          <w:rFonts w:ascii="Lato" w:eastAsia="Calibri" w:hAnsi="Lato" w:cs="Times New Roman"/>
          <w:bCs/>
          <w:spacing w:val="4"/>
        </w:rPr>
        <w:t xml:space="preserve">Na decyzję, na podstawie art. 53 § 1 i art. 54 § 1 ustawy z dnia 30 </w:t>
      </w:r>
      <w:r w:rsidR="00035853">
        <w:rPr>
          <w:rFonts w:ascii="Lato" w:eastAsia="Calibri" w:hAnsi="Lato" w:cs="Times New Roman"/>
          <w:bCs/>
          <w:spacing w:val="4"/>
        </w:rPr>
        <w:br/>
      </w:r>
      <w:r w:rsidRPr="00903BF8">
        <w:rPr>
          <w:rFonts w:ascii="Lato" w:eastAsia="Calibri" w:hAnsi="Lato" w:cs="Times New Roman"/>
          <w:bCs/>
          <w:spacing w:val="4"/>
        </w:rPr>
        <w:t>sierpnia 2002 r.</w:t>
      </w:r>
      <w:r>
        <w:rPr>
          <w:rFonts w:ascii="Lato" w:eastAsia="Calibri" w:hAnsi="Lato" w:cs="Times New Roman"/>
          <w:bCs/>
          <w:spacing w:val="4"/>
        </w:rPr>
        <w:t>,</w:t>
      </w:r>
      <w:r w:rsidRPr="00903BF8">
        <w:rPr>
          <w:rFonts w:ascii="Lato" w:eastAsia="Calibri" w:hAnsi="Lato" w:cs="Times New Roman"/>
          <w:bCs/>
          <w:spacing w:val="4"/>
        </w:rPr>
        <w:t xml:space="preserve"> – Prawo o postępowaniu przed sądami administracyjnymi </w:t>
      </w:r>
      <w:r w:rsidR="00035853">
        <w:rPr>
          <w:rFonts w:ascii="Lato" w:eastAsia="Calibri" w:hAnsi="Lato" w:cs="Times New Roman"/>
          <w:bCs/>
          <w:spacing w:val="4"/>
        </w:rPr>
        <w:br/>
      </w:r>
      <w:r w:rsidRPr="00903BF8">
        <w:rPr>
          <w:rFonts w:ascii="Lato" w:eastAsia="Calibri" w:hAnsi="Lato" w:cs="Times New Roman"/>
          <w:bCs/>
          <w:spacing w:val="4"/>
        </w:rPr>
        <w:t>(</w:t>
      </w:r>
      <w:proofErr w:type="spellStart"/>
      <w:r w:rsidRPr="00903BF8">
        <w:rPr>
          <w:rFonts w:ascii="Lato" w:eastAsia="Calibri" w:hAnsi="Lato" w:cs="Times New Roman"/>
          <w:bCs/>
          <w:spacing w:val="4"/>
          <w:lang w:bidi="pl-PL"/>
        </w:rPr>
        <w:t>t.j</w:t>
      </w:r>
      <w:proofErr w:type="spellEnd"/>
      <w:r w:rsidRPr="00903BF8">
        <w:rPr>
          <w:rFonts w:ascii="Lato" w:eastAsia="Calibri" w:hAnsi="Lato" w:cs="Times New Roman"/>
          <w:bCs/>
          <w:spacing w:val="4"/>
          <w:lang w:bidi="pl-PL"/>
        </w:rPr>
        <w:t>. Dz.U. z 2026 r</w:t>
      </w:r>
      <w:r w:rsidR="00035853">
        <w:rPr>
          <w:rFonts w:ascii="Lato" w:eastAsia="Calibri" w:hAnsi="Lato" w:cs="Times New Roman"/>
          <w:bCs/>
          <w:spacing w:val="4"/>
          <w:lang w:bidi="pl-PL"/>
        </w:rPr>
        <w:t>,</w:t>
      </w:r>
      <w:r w:rsidRPr="00903BF8">
        <w:rPr>
          <w:rFonts w:ascii="Lato" w:eastAsia="Calibri" w:hAnsi="Lato" w:cs="Times New Roman"/>
          <w:bCs/>
          <w:spacing w:val="4"/>
          <w:lang w:bidi="pl-PL"/>
        </w:rPr>
        <w:t xml:space="preserve">. poz. 143, z późn.zm.), </w:t>
      </w:r>
      <w:r w:rsidRPr="00903BF8">
        <w:rPr>
          <w:rFonts w:ascii="Lato" w:eastAsia="Calibri" w:hAnsi="Lato" w:cs="Times New Roman"/>
          <w:bCs/>
          <w:spacing w:val="4"/>
        </w:rPr>
        <w:t>zwanej dalej „</w:t>
      </w:r>
      <w:proofErr w:type="spellStart"/>
      <w:r w:rsidRPr="00903BF8">
        <w:rPr>
          <w:rFonts w:ascii="Lato" w:eastAsia="Calibri" w:hAnsi="Lato" w:cs="Times New Roman"/>
          <w:bCs/>
          <w:spacing w:val="4"/>
        </w:rPr>
        <w:t>ppsa</w:t>
      </w:r>
      <w:proofErr w:type="spellEnd"/>
      <w:r w:rsidRPr="00903BF8">
        <w:rPr>
          <w:rFonts w:ascii="Lato" w:eastAsia="Calibri" w:hAnsi="Lato" w:cs="Times New Roman"/>
          <w:bCs/>
          <w:spacing w:val="4"/>
        </w:rPr>
        <w:t>”, przysługuje skarga do Wojewódzkiego Sądu Administracyjnego w Warszawie, wnoszona za pośrednictwem Ministra Finansów i Gospodarki, w terminie 30 dni od dnia doręczenia decyzji.</w:t>
      </w:r>
    </w:p>
    <w:p w14:paraId="7CA3F064" w14:textId="77777777" w:rsidR="009D644B" w:rsidRPr="00903BF8" w:rsidRDefault="009D644B" w:rsidP="009D644B">
      <w:pPr>
        <w:tabs>
          <w:tab w:val="left" w:pos="-1843"/>
          <w:tab w:val="left" w:pos="-993"/>
          <w:tab w:val="left" w:pos="4678"/>
          <w:tab w:val="left" w:pos="5387"/>
          <w:tab w:val="right" w:pos="5812"/>
        </w:tabs>
        <w:spacing w:after="120" w:line="240" w:lineRule="atLeast"/>
        <w:jc w:val="both"/>
        <w:outlineLvl w:val="0"/>
        <w:rPr>
          <w:rFonts w:ascii="Lato" w:eastAsia="Calibri" w:hAnsi="Lato" w:cs="Times New Roman"/>
          <w:bCs/>
          <w:spacing w:val="4"/>
        </w:rPr>
      </w:pPr>
      <w:r w:rsidRPr="00903BF8">
        <w:rPr>
          <w:rFonts w:ascii="Lato" w:eastAsia="Calibri" w:hAnsi="Lato" w:cs="Times New Roman"/>
          <w:bCs/>
          <w:spacing w:val="4"/>
        </w:rPr>
        <w:t xml:space="preserve">Jednocześnie informuję, że do skargi należy załączyć dowód uiszczenia wpisu </w:t>
      </w:r>
      <w:r w:rsidRPr="00903BF8">
        <w:rPr>
          <w:rFonts w:ascii="Lato" w:eastAsia="Calibri" w:hAnsi="Lato" w:cs="Times New Roman"/>
          <w:bCs/>
          <w:spacing w:val="4"/>
        </w:rPr>
        <w:br/>
        <w:t xml:space="preserve">od wniesienia skargi w kwocie 500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 art. 243-262 </w:t>
      </w:r>
      <w:proofErr w:type="spellStart"/>
      <w:r w:rsidRPr="00903BF8">
        <w:rPr>
          <w:rFonts w:ascii="Lato" w:eastAsia="Calibri" w:hAnsi="Lato" w:cs="Times New Roman"/>
          <w:bCs/>
          <w:spacing w:val="4"/>
        </w:rPr>
        <w:t>ppsa</w:t>
      </w:r>
      <w:proofErr w:type="spellEnd"/>
      <w:r w:rsidRPr="00903BF8">
        <w:rPr>
          <w:rFonts w:ascii="Lato" w:eastAsia="Calibri" w:hAnsi="Lato" w:cs="Times New Roman"/>
          <w:bCs/>
          <w:spacing w:val="4"/>
        </w:rPr>
        <w:t>.</w:t>
      </w:r>
    </w:p>
    <w:p w14:paraId="7D25EC50" w14:textId="77777777" w:rsidR="00C924A1" w:rsidRPr="00565D32" w:rsidRDefault="00C924A1" w:rsidP="00C53987">
      <w:pPr>
        <w:spacing w:after="120" w:line="240" w:lineRule="exact"/>
        <w:rPr>
          <w:rFonts w:ascii="Lato" w:hAnsi="Lato"/>
          <w:sz w:val="20"/>
        </w:rPr>
      </w:pPr>
    </w:p>
    <w:p w14:paraId="2A708CA4" w14:textId="78036FB7" w:rsidR="00B23E1F" w:rsidRPr="00C87F21" w:rsidRDefault="00B23E1F" w:rsidP="00B23E1F">
      <w:pPr>
        <w:spacing w:after="120" w:line="240" w:lineRule="exact"/>
        <w:rPr>
          <w:rFonts w:ascii="Lato" w:eastAsia="Aptos" w:hAnsi="Lato" w:cs="Times New Roman"/>
          <w:b/>
          <w:bCs/>
        </w:rPr>
      </w:pPr>
      <w:r>
        <w:rPr>
          <w:rFonts w:ascii="Lato" w:eastAsia="Aptos" w:hAnsi="Lato" w:cs="Times New Roman"/>
          <w:b/>
          <w:bCs/>
        </w:rPr>
        <w:t xml:space="preserve">                                                                               </w:t>
      </w:r>
      <w:r w:rsidRPr="00C87F21">
        <w:rPr>
          <w:rFonts w:ascii="Lato" w:eastAsia="Aptos" w:hAnsi="Lato" w:cs="Times New Roman"/>
          <w:b/>
          <w:bCs/>
        </w:rPr>
        <w:t>Z upoważnienia,</w:t>
      </w:r>
    </w:p>
    <w:p w14:paraId="3AD0393C" w14:textId="4D27258A" w:rsidR="00B23E1F" w:rsidRPr="00C87F21" w:rsidRDefault="00B23E1F" w:rsidP="00B23E1F">
      <w:pPr>
        <w:spacing w:after="120" w:line="240" w:lineRule="exact"/>
        <w:rPr>
          <w:rFonts w:ascii="Lato" w:eastAsia="Aptos" w:hAnsi="Lato" w:cs="Times New Roman"/>
        </w:rPr>
      </w:pPr>
      <w:r>
        <w:rPr>
          <w:rFonts w:ascii="Lato" w:eastAsia="Aptos" w:hAnsi="Lato" w:cs="Times New Roman"/>
        </w:rPr>
        <w:t xml:space="preserve">                                                                           </w:t>
      </w:r>
      <w:r w:rsidRPr="00C87F21">
        <w:rPr>
          <w:rFonts w:ascii="Lato" w:eastAsia="Aptos" w:hAnsi="Lato" w:cs="Times New Roman"/>
        </w:rPr>
        <w:t>Edyta Lubaszewska</w:t>
      </w:r>
    </w:p>
    <w:p w14:paraId="61307B7A" w14:textId="17C17E57" w:rsidR="00B23E1F" w:rsidRPr="00C87F21" w:rsidRDefault="00B23E1F" w:rsidP="00B23E1F">
      <w:pPr>
        <w:spacing w:after="120" w:line="240" w:lineRule="exact"/>
        <w:rPr>
          <w:rFonts w:ascii="Lato" w:eastAsia="Aptos" w:hAnsi="Lato" w:cs="Times New Roman"/>
        </w:rPr>
      </w:pPr>
      <w:r>
        <w:rPr>
          <w:rFonts w:ascii="Lato" w:eastAsia="Aptos" w:hAnsi="Lato" w:cs="Times New Roman"/>
        </w:rPr>
        <w:t xml:space="preserve">                                                                           </w:t>
      </w:r>
      <w:r w:rsidRPr="00C87F21">
        <w:rPr>
          <w:rFonts w:ascii="Lato" w:eastAsia="Aptos" w:hAnsi="Lato" w:cs="Times New Roman"/>
        </w:rPr>
        <w:t>dyrektor</w:t>
      </w:r>
    </w:p>
    <w:p w14:paraId="1BFDD881" w14:textId="29C03A81" w:rsidR="00B23E1F" w:rsidRPr="00C87F21" w:rsidRDefault="00B23E1F" w:rsidP="00B23E1F">
      <w:pPr>
        <w:spacing w:after="120" w:line="240" w:lineRule="exact"/>
        <w:rPr>
          <w:rFonts w:ascii="Lato" w:eastAsia="Aptos" w:hAnsi="Lato" w:cs="Times New Roman"/>
        </w:rPr>
      </w:pPr>
      <w:r>
        <w:rPr>
          <w:rFonts w:ascii="Lato" w:eastAsia="Aptos" w:hAnsi="Lato" w:cs="Times New Roman"/>
        </w:rPr>
        <w:t xml:space="preserve">                                                                           </w:t>
      </w:r>
      <w:r w:rsidRPr="00C87F21">
        <w:rPr>
          <w:rFonts w:ascii="Lato" w:eastAsia="Aptos" w:hAnsi="Lato" w:cs="Times New Roman"/>
        </w:rPr>
        <w:t>Departament Lokalizacji Inwestycji</w:t>
      </w:r>
    </w:p>
    <w:p w14:paraId="746796E4" w14:textId="1384BBC0" w:rsidR="00B23E1F" w:rsidRPr="00C87F21" w:rsidRDefault="00B23E1F" w:rsidP="00B23E1F">
      <w:pPr>
        <w:spacing w:after="120" w:line="240" w:lineRule="exact"/>
        <w:rPr>
          <w:rFonts w:ascii="Lato" w:eastAsia="Aptos" w:hAnsi="Lato" w:cs="Times New Roman"/>
        </w:rPr>
      </w:pPr>
      <w:r>
        <w:rPr>
          <w:rFonts w:ascii="Lato" w:eastAsia="Aptos" w:hAnsi="Lato" w:cs="Times New Roman"/>
        </w:rPr>
        <w:t xml:space="preserve">                                                                          </w:t>
      </w:r>
      <w:r w:rsidRPr="00C87F21">
        <w:rPr>
          <w:rFonts w:ascii="Lato" w:eastAsia="Aptos" w:hAnsi="Lato" w:cs="Times New Roman"/>
        </w:rPr>
        <w:t>/ kwalifikowany podpis elektroniczny /</w:t>
      </w:r>
    </w:p>
    <w:p w14:paraId="039CE7AD" w14:textId="4D58C17A" w:rsidR="0065528B" w:rsidRPr="00565D32" w:rsidRDefault="00B23E1F" w:rsidP="00B23E1F">
      <w:pPr>
        <w:spacing w:line="240" w:lineRule="exact"/>
        <w:rPr>
          <w:rFonts w:ascii="Lato" w:hAnsi="Lato" w:cstheme="minorHAnsi"/>
          <w:sz w:val="20"/>
          <w:szCs w:val="20"/>
        </w:rPr>
      </w:pPr>
      <w:r>
        <w:rPr>
          <w:rFonts w:ascii="Lato" w:eastAsia="Calibri" w:hAnsi="Lato" w:cs="Times New Roman"/>
        </w:rPr>
        <w:t xml:space="preserve">                                                                          </w:t>
      </w:r>
      <w:r w:rsidRPr="00C87F21">
        <w:rPr>
          <w:rFonts w:ascii="Lato" w:eastAsia="Calibri" w:hAnsi="Lato" w:cs="Times New Roman"/>
        </w:rPr>
        <w:t>w Ministerstwie Rozwoju i Technologii</w:t>
      </w:r>
    </w:p>
    <w:sectPr w:rsidR="0065528B" w:rsidRPr="00565D32" w:rsidSect="003A1976">
      <w:headerReference w:type="default" r:id="rId10"/>
      <w:footerReference w:type="default" r:id="rId11"/>
      <w:headerReference w:type="first" r:id="rId12"/>
      <w:footerReference w:type="first" r:id="rId13"/>
      <w:pgSz w:w="11906" w:h="16838"/>
      <w:pgMar w:top="2268" w:right="1985" w:bottom="1985" w:left="1985"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7CAAD" w14:textId="77777777" w:rsidR="00824FFA" w:rsidRDefault="00824FFA">
      <w:pPr>
        <w:spacing w:after="0" w:line="240" w:lineRule="auto"/>
      </w:pPr>
      <w:r>
        <w:separator/>
      </w:r>
    </w:p>
  </w:endnote>
  <w:endnote w:type="continuationSeparator" w:id="0">
    <w:p w14:paraId="2BEE922F" w14:textId="77777777" w:rsidR="00824FFA" w:rsidRDefault="00824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6947C28B-7762-49AA-A506-EEEF0DC8C9E7}"/>
    <w:embedBold r:id="rId2" w:fontKey="{03B134A1-026B-4285-A8F2-467235223232}"/>
    <w:embedItalic r:id="rId3" w:fontKey="{F4F2CB2E-D020-4B22-BECF-FDF912ED237E}"/>
  </w:font>
  <w:font w:name="Arial">
    <w:panose1 w:val="020B0604020202020204"/>
    <w:charset w:val="00"/>
    <w:family w:val="swiss"/>
    <w:pitch w:val="variable"/>
    <w:sig w:usb0="E0002EFF" w:usb1="C000785B" w:usb2="00000009" w:usb3="00000000" w:csb0="000001FF" w:csb1="00000000"/>
  </w:font>
  <w:font w:name="___WRD_EMBED_SUB_60">
    <w:altName w:val="Calibri"/>
    <w:panose1 w:val="00000000000000000000"/>
    <w:charset w:val="00"/>
    <w:family w:val="swiss"/>
    <w:notTrueType/>
    <w:pitch w:val="default"/>
    <w:sig w:usb0="00000007" w:usb1="00000000" w:usb2="00000000" w:usb3="00000000" w:csb0="00000003" w:csb1="00000000"/>
  </w:font>
  <w:font w:name="Lato">
    <w:altName w:val="Segoe UI"/>
    <w:charset w:val="00"/>
    <w:family w:val="swiss"/>
    <w:pitch w:val="variable"/>
    <w:sig w:usb0="E10002FF" w:usb1="5000ECFF" w:usb2="00000021" w:usb3="00000000" w:csb0="0000019F" w:csb1="00000000"/>
    <w:embedRegular r:id="rId4" w:fontKey="{B9587B00-EF08-4247-BAEE-CAD3820DC917}"/>
    <w:embedBold r:id="rId5" w:fontKey="{DB0DABD2-DC5A-4137-AA65-2105F59CAA73}"/>
    <w:embedItalic r:id="rId6" w:fontKey="{BA51D786-60CA-405C-82B7-9C9A37B59AE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Regular r:id="rId7" w:fontKey="{37421DFF-E4DD-43FD-8B14-B37CA4CFE601}"/>
    <w:embedBold r:id="rId8" w:fontKey="{7A452522-C08F-489F-800A-F1CBF1D581E9}"/>
  </w:font>
  <w:font w:name="Calibri Light">
    <w:panose1 w:val="020F0302020204030204"/>
    <w:charset w:val="EE"/>
    <w:family w:val="swiss"/>
    <w:pitch w:val="variable"/>
    <w:sig w:usb0="E4002EFF" w:usb1="C200247B" w:usb2="00000009" w:usb3="00000000" w:csb0="000001FF" w:csb1="00000000"/>
    <w:embedRegular r:id="rId9" w:fontKey="{8378BBA4-9122-4EA8-AAE4-C25D566E0C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EEB43" w14:textId="52B66C2A" w:rsidR="00011E51" w:rsidRDefault="00000000" w:rsidP="007A0667">
    <w:pPr>
      <w:pStyle w:val="Stopka"/>
      <w:jc w:val="center"/>
    </w:pPr>
    <w:sdt>
      <w:sdtPr>
        <w:id w:val="1294407038"/>
        <w:docPartObj>
          <w:docPartGallery w:val="Page Numbers (Bottom of Page)"/>
          <w:docPartUnique/>
        </w:docPartObj>
      </w:sdtPr>
      <w:sdtContent>
        <w:r w:rsidR="00011E51">
          <w:fldChar w:fldCharType="begin"/>
        </w:r>
        <w:r w:rsidR="00011E51">
          <w:instrText>PAGE   \* MERGEFORMAT</w:instrText>
        </w:r>
        <w:r w:rsidR="00011E51">
          <w:fldChar w:fldCharType="separate"/>
        </w:r>
        <w:r w:rsidR="00011E51">
          <w:t>2</w:t>
        </w:r>
        <w:r w:rsidR="00011E51">
          <w:fldChar w:fldCharType="end"/>
        </w:r>
      </w:sdtContent>
    </w:sdt>
    <w:r w:rsidR="007A0667">
      <w:t xml:space="preserve"> (23)</w:t>
    </w:r>
  </w:p>
  <w:p w14:paraId="6489C5F7" w14:textId="77777777" w:rsidR="007A0667" w:rsidRDefault="007A0667">
    <w:pPr>
      <w:pStyle w:val="Stopka"/>
      <w:jc w:val="center"/>
    </w:pPr>
  </w:p>
  <w:p w14:paraId="24D4A90B" w14:textId="48C55085" w:rsidR="00C924A1" w:rsidRDefault="00C924A1" w:rsidP="003A1976">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265170"/>
      <w:docPartObj>
        <w:docPartGallery w:val="Page Numbers (Bottom of Page)"/>
        <w:docPartUnique/>
      </w:docPartObj>
    </w:sdtPr>
    <w:sdtContent>
      <w:p w14:paraId="2F881DB2" w14:textId="37105C7D" w:rsidR="004139D7" w:rsidRDefault="004139D7">
        <w:pPr>
          <w:pStyle w:val="Stopka"/>
          <w:jc w:val="center"/>
        </w:pPr>
        <w:r>
          <w:fldChar w:fldCharType="begin"/>
        </w:r>
        <w:r>
          <w:instrText>PAGE   \* MERGEFORMAT</w:instrText>
        </w:r>
        <w:r>
          <w:fldChar w:fldCharType="separate"/>
        </w:r>
        <w:r>
          <w:t>2</w:t>
        </w:r>
        <w:r>
          <w:fldChar w:fldCharType="end"/>
        </w:r>
      </w:p>
    </w:sdtContent>
  </w:sdt>
  <w:p w14:paraId="6E6A1E03" w14:textId="020FB464" w:rsidR="00C924A1" w:rsidRDefault="00C924A1"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04C8E" w14:textId="77777777" w:rsidR="00824FFA" w:rsidRDefault="00824FFA">
      <w:pPr>
        <w:spacing w:after="0" w:line="240" w:lineRule="auto"/>
      </w:pPr>
      <w:r>
        <w:separator/>
      </w:r>
    </w:p>
  </w:footnote>
  <w:footnote w:type="continuationSeparator" w:id="0">
    <w:p w14:paraId="2C96DABB" w14:textId="77777777" w:rsidR="00824FFA" w:rsidRDefault="00824F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C505" w14:textId="77777777" w:rsidR="00C924A1" w:rsidRDefault="00C924A1"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8BCB" w14:textId="77777777" w:rsidR="00C924A1" w:rsidRDefault="00000000">
    <w:pPr>
      <w:pStyle w:val="Nagwek"/>
    </w:pPr>
    <w:r>
      <w:rPr>
        <w:noProof/>
        <w:lang w:eastAsia="pl-PL"/>
      </w:rPr>
      <w:drawing>
        <wp:anchor distT="0" distB="0" distL="114300" distR="114300" simplePos="0" relativeHeight="251662336" behindDoc="0" locked="0" layoutInCell="1" allowOverlap="1" wp14:anchorId="56BFE303" wp14:editId="1A74D2FE">
          <wp:simplePos x="0" y="0"/>
          <wp:positionH relativeFrom="column">
            <wp:posOffset>-890905</wp:posOffset>
          </wp:positionH>
          <wp:positionV relativeFrom="paragraph">
            <wp:posOffset>415925</wp:posOffset>
          </wp:positionV>
          <wp:extent cx="3172460" cy="1017270"/>
          <wp:effectExtent l="0" t="0" r="0" b="0"/>
          <wp:wrapThrough wrapText="bothSides">
            <wp:wrapPolygon edited="0">
              <wp:start x="3026" y="2427"/>
              <wp:lineTo x="1643" y="3775"/>
              <wp:lineTo x="951" y="6472"/>
              <wp:lineTo x="865" y="8360"/>
              <wp:lineTo x="865" y="10247"/>
              <wp:lineTo x="1297" y="16989"/>
              <wp:lineTo x="2248" y="18067"/>
              <wp:lineTo x="3026" y="18607"/>
              <wp:lineTo x="20666" y="18607"/>
              <wp:lineTo x="20839" y="9708"/>
              <wp:lineTo x="19110" y="9169"/>
              <wp:lineTo x="11241" y="7281"/>
              <wp:lineTo x="11500" y="5393"/>
              <wp:lineTo x="10117" y="4854"/>
              <wp:lineTo x="3459" y="2427"/>
              <wp:lineTo x="3026" y="2427"/>
            </wp:wrapPolygon>
          </wp:wrapThrough>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33B51"/>
    <w:multiLevelType w:val="hybridMultilevel"/>
    <w:tmpl w:val="4462F3E4"/>
    <w:lvl w:ilvl="0" w:tplc="7E34352E">
      <w:start w:val="1"/>
      <w:numFmt w:val="decimal"/>
      <w:lvlText w:val="%1."/>
      <w:lvlJc w:val="left"/>
      <w:pPr>
        <w:tabs>
          <w:tab w:val="num" w:pos="720"/>
        </w:tabs>
        <w:ind w:left="720" w:hanging="360"/>
      </w:pPr>
      <w:rPr>
        <w:rFonts w:cs="Times New Roman"/>
      </w:rPr>
    </w:lvl>
    <w:lvl w:ilvl="1" w:tplc="70A83FB4">
      <w:start w:val="1"/>
      <w:numFmt w:val="lowerLetter"/>
      <w:lvlText w:val="%2."/>
      <w:lvlJc w:val="left"/>
      <w:pPr>
        <w:tabs>
          <w:tab w:val="num" w:pos="1440"/>
        </w:tabs>
        <w:ind w:left="1440" w:hanging="360"/>
      </w:pPr>
      <w:rPr>
        <w:rFonts w:cs="Times New Roman"/>
      </w:rPr>
    </w:lvl>
    <w:lvl w:ilvl="2" w:tplc="44B89450">
      <w:start w:val="1"/>
      <w:numFmt w:val="lowerRoman"/>
      <w:lvlText w:val="%3."/>
      <w:lvlJc w:val="right"/>
      <w:pPr>
        <w:tabs>
          <w:tab w:val="num" w:pos="2160"/>
        </w:tabs>
        <w:ind w:left="2160" w:hanging="180"/>
      </w:pPr>
      <w:rPr>
        <w:rFonts w:cs="Times New Roman"/>
      </w:rPr>
    </w:lvl>
    <w:lvl w:ilvl="3" w:tplc="6394AF04">
      <w:start w:val="1"/>
      <w:numFmt w:val="decimal"/>
      <w:lvlText w:val="%4."/>
      <w:lvlJc w:val="left"/>
      <w:pPr>
        <w:tabs>
          <w:tab w:val="num" w:pos="2880"/>
        </w:tabs>
        <w:ind w:left="2880" w:hanging="360"/>
      </w:pPr>
      <w:rPr>
        <w:rFonts w:cs="Times New Roman"/>
      </w:rPr>
    </w:lvl>
    <w:lvl w:ilvl="4" w:tplc="DBFAA07A">
      <w:start w:val="1"/>
      <w:numFmt w:val="lowerLetter"/>
      <w:lvlText w:val="%5."/>
      <w:lvlJc w:val="left"/>
      <w:pPr>
        <w:tabs>
          <w:tab w:val="num" w:pos="3600"/>
        </w:tabs>
        <w:ind w:left="3600" w:hanging="360"/>
      </w:pPr>
      <w:rPr>
        <w:rFonts w:cs="Times New Roman"/>
      </w:rPr>
    </w:lvl>
    <w:lvl w:ilvl="5" w:tplc="F9106A24">
      <w:start w:val="1"/>
      <w:numFmt w:val="lowerRoman"/>
      <w:lvlText w:val="%6."/>
      <w:lvlJc w:val="right"/>
      <w:pPr>
        <w:tabs>
          <w:tab w:val="num" w:pos="4320"/>
        </w:tabs>
        <w:ind w:left="4320" w:hanging="180"/>
      </w:pPr>
      <w:rPr>
        <w:rFonts w:cs="Times New Roman"/>
      </w:rPr>
    </w:lvl>
    <w:lvl w:ilvl="6" w:tplc="4BD21B2A">
      <w:start w:val="1"/>
      <w:numFmt w:val="decimal"/>
      <w:lvlText w:val="%7."/>
      <w:lvlJc w:val="left"/>
      <w:pPr>
        <w:tabs>
          <w:tab w:val="num" w:pos="5040"/>
        </w:tabs>
        <w:ind w:left="5040" w:hanging="360"/>
      </w:pPr>
      <w:rPr>
        <w:rFonts w:cs="Times New Roman"/>
      </w:rPr>
    </w:lvl>
    <w:lvl w:ilvl="7" w:tplc="94B8BA78">
      <w:start w:val="1"/>
      <w:numFmt w:val="lowerLetter"/>
      <w:lvlText w:val="%8."/>
      <w:lvlJc w:val="left"/>
      <w:pPr>
        <w:tabs>
          <w:tab w:val="num" w:pos="5760"/>
        </w:tabs>
        <w:ind w:left="5760" w:hanging="360"/>
      </w:pPr>
      <w:rPr>
        <w:rFonts w:cs="Times New Roman"/>
      </w:rPr>
    </w:lvl>
    <w:lvl w:ilvl="8" w:tplc="2D8A7566">
      <w:start w:val="1"/>
      <w:numFmt w:val="lowerRoman"/>
      <w:lvlText w:val="%9."/>
      <w:lvlJc w:val="right"/>
      <w:pPr>
        <w:tabs>
          <w:tab w:val="num" w:pos="6480"/>
        </w:tabs>
        <w:ind w:left="6480" w:hanging="180"/>
      </w:pPr>
      <w:rPr>
        <w:rFonts w:cs="Times New Roman"/>
      </w:rPr>
    </w:lvl>
  </w:abstractNum>
  <w:abstractNum w:abstractNumId="1" w15:restartNumberingAfterBreak="0">
    <w:nsid w:val="1B722736"/>
    <w:multiLevelType w:val="hybridMultilevel"/>
    <w:tmpl w:val="8D86F76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15:restartNumberingAfterBreak="0">
    <w:nsid w:val="26220F5E"/>
    <w:multiLevelType w:val="hybridMultilevel"/>
    <w:tmpl w:val="54640F68"/>
    <w:lvl w:ilvl="0" w:tplc="80D25FC6">
      <w:start w:val="1"/>
      <w:numFmt w:val="decimal"/>
      <w:lvlText w:val="%1."/>
      <w:lvlJc w:val="left"/>
      <w:pPr>
        <w:tabs>
          <w:tab w:val="num" w:pos="720"/>
        </w:tabs>
        <w:ind w:left="720" w:hanging="360"/>
      </w:pPr>
      <w:rPr>
        <w:rFonts w:cs="Times New Roman"/>
      </w:rPr>
    </w:lvl>
    <w:lvl w:ilvl="1" w:tplc="BA60A200">
      <w:start w:val="1"/>
      <w:numFmt w:val="lowerLetter"/>
      <w:lvlText w:val="%2."/>
      <w:lvlJc w:val="left"/>
      <w:pPr>
        <w:tabs>
          <w:tab w:val="num" w:pos="1440"/>
        </w:tabs>
        <w:ind w:left="1440" w:hanging="360"/>
      </w:pPr>
      <w:rPr>
        <w:rFonts w:cs="Times New Roman"/>
      </w:rPr>
    </w:lvl>
    <w:lvl w:ilvl="2" w:tplc="69485A6C">
      <w:start w:val="1"/>
      <w:numFmt w:val="lowerRoman"/>
      <w:lvlText w:val="%3."/>
      <w:lvlJc w:val="right"/>
      <w:pPr>
        <w:tabs>
          <w:tab w:val="num" w:pos="2160"/>
        </w:tabs>
        <w:ind w:left="2160" w:hanging="180"/>
      </w:pPr>
      <w:rPr>
        <w:rFonts w:cs="Times New Roman"/>
      </w:rPr>
    </w:lvl>
    <w:lvl w:ilvl="3" w:tplc="5EB4A0FE">
      <w:start w:val="1"/>
      <w:numFmt w:val="decimal"/>
      <w:lvlText w:val="%4."/>
      <w:lvlJc w:val="left"/>
      <w:pPr>
        <w:tabs>
          <w:tab w:val="num" w:pos="2880"/>
        </w:tabs>
        <w:ind w:left="2880" w:hanging="360"/>
      </w:pPr>
      <w:rPr>
        <w:rFonts w:cs="Times New Roman"/>
      </w:rPr>
    </w:lvl>
    <w:lvl w:ilvl="4" w:tplc="D564F126">
      <w:start w:val="1"/>
      <w:numFmt w:val="lowerLetter"/>
      <w:lvlText w:val="%5."/>
      <w:lvlJc w:val="left"/>
      <w:pPr>
        <w:tabs>
          <w:tab w:val="num" w:pos="3600"/>
        </w:tabs>
        <w:ind w:left="3600" w:hanging="360"/>
      </w:pPr>
      <w:rPr>
        <w:rFonts w:cs="Times New Roman"/>
      </w:rPr>
    </w:lvl>
    <w:lvl w:ilvl="5" w:tplc="DD521D36">
      <w:start w:val="1"/>
      <w:numFmt w:val="lowerRoman"/>
      <w:lvlText w:val="%6."/>
      <w:lvlJc w:val="right"/>
      <w:pPr>
        <w:tabs>
          <w:tab w:val="num" w:pos="4320"/>
        </w:tabs>
        <w:ind w:left="4320" w:hanging="180"/>
      </w:pPr>
      <w:rPr>
        <w:rFonts w:cs="Times New Roman"/>
      </w:rPr>
    </w:lvl>
    <w:lvl w:ilvl="6" w:tplc="133E6E14">
      <w:start w:val="1"/>
      <w:numFmt w:val="decimal"/>
      <w:lvlText w:val="%7."/>
      <w:lvlJc w:val="left"/>
      <w:pPr>
        <w:tabs>
          <w:tab w:val="num" w:pos="5040"/>
        </w:tabs>
        <w:ind w:left="5040" w:hanging="360"/>
      </w:pPr>
      <w:rPr>
        <w:rFonts w:cs="Times New Roman"/>
      </w:rPr>
    </w:lvl>
    <w:lvl w:ilvl="7" w:tplc="860A8C16">
      <w:start w:val="1"/>
      <w:numFmt w:val="lowerLetter"/>
      <w:lvlText w:val="%8."/>
      <w:lvlJc w:val="left"/>
      <w:pPr>
        <w:tabs>
          <w:tab w:val="num" w:pos="5760"/>
        </w:tabs>
        <w:ind w:left="5760" w:hanging="360"/>
      </w:pPr>
      <w:rPr>
        <w:rFonts w:cs="Times New Roman"/>
      </w:rPr>
    </w:lvl>
    <w:lvl w:ilvl="8" w:tplc="888CFA26">
      <w:start w:val="1"/>
      <w:numFmt w:val="lowerRoman"/>
      <w:lvlText w:val="%9."/>
      <w:lvlJc w:val="right"/>
      <w:pPr>
        <w:tabs>
          <w:tab w:val="num" w:pos="6480"/>
        </w:tabs>
        <w:ind w:left="6480" w:hanging="180"/>
      </w:pPr>
      <w:rPr>
        <w:rFonts w:cs="Times New Roman"/>
      </w:rPr>
    </w:lvl>
  </w:abstractNum>
  <w:abstractNum w:abstractNumId="3" w15:restartNumberingAfterBreak="0">
    <w:nsid w:val="30B42A26"/>
    <w:multiLevelType w:val="hybridMultilevel"/>
    <w:tmpl w:val="AEB84964"/>
    <w:lvl w:ilvl="0" w:tplc="16BC7078">
      <w:start w:val="1"/>
      <w:numFmt w:val="decimal"/>
      <w:lvlText w:val="%1."/>
      <w:lvlJc w:val="left"/>
      <w:pPr>
        <w:ind w:left="360" w:hanging="360"/>
      </w:pPr>
      <w:rPr>
        <w:b w:val="0"/>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21C5F7A"/>
    <w:multiLevelType w:val="hybridMultilevel"/>
    <w:tmpl w:val="25FC92F2"/>
    <w:lvl w:ilvl="0" w:tplc="0415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DFD2832"/>
    <w:multiLevelType w:val="hybridMultilevel"/>
    <w:tmpl w:val="8C8657F2"/>
    <w:lvl w:ilvl="0" w:tplc="0415000F">
      <w:start w:val="1"/>
      <w:numFmt w:val="decimal"/>
      <w:lvlText w:val="%1."/>
      <w:lvlJc w:val="left"/>
      <w:pPr>
        <w:ind w:left="360" w:hanging="360"/>
      </w:pPr>
      <w:rPr>
        <w:sz w:val="20"/>
        <w:szCs w:val="2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61821177"/>
    <w:multiLevelType w:val="hybridMultilevel"/>
    <w:tmpl w:val="25FC92F2"/>
    <w:lvl w:ilvl="0" w:tplc="0415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576372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1842561">
    <w:abstractNumId w:val="0"/>
  </w:num>
  <w:num w:numId="3" w16cid:durableId="14144296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01389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72517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53012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73429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552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E72"/>
    <w:rsid w:val="00011E51"/>
    <w:rsid w:val="00035853"/>
    <w:rsid w:val="000745A0"/>
    <w:rsid w:val="000E0CD6"/>
    <w:rsid w:val="000E7892"/>
    <w:rsid w:val="00196786"/>
    <w:rsid w:val="003041C2"/>
    <w:rsid w:val="0035257E"/>
    <w:rsid w:val="004139D7"/>
    <w:rsid w:val="004C1910"/>
    <w:rsid w:val="0050164C"/>
    <w:rsid w:val="005867C6"/>
    <w:rsid w:val="00594DDB"/>
    <w:rsid w:val="005A30FC"/>
    <w:rsid w:val="006229FF"/>
    <w:rsid w:val="0065528B"/>
    <w:rsid w:val="00664618"/>
    <w:rsid w:val="006D6B4C"/>
    <w:rsid w:val="0072387D"/>
    <w:rsid w:val="00743FFB"/>
    <w:rsid w:val="007A0667"/>
    <w:rsid w:val="007E5E72"/>
    <w:rsid w:val="00824FFA"/>
    <w:rsid w:val="00835E47"/>
    <w:rsid w:val="008776C7"/>
    <w:rsid w:val="00880D13"/>
    <w:rsid w:val="008815B5"/>
    <w:rsid w:val="008E2517"/>
    <w:rsid w:val="009432DB"/>
    <w:rsid w:val="00977ADC"/>
    <w:rsid w:val="009D4D69"/>
    <w:rsid w:val="009D644B"/>
    <w:rsid w:val="00A25ABB"/>
    <w:rsid w:val="00A42399"/>
    <w:rsid w:val="00A634B2"/>
    <w:rsid w:val="00AB5B49"/>
    <w:rsid w:val="00B23E1F"/>
    <w:rsid w:val="00B250C2"/>
    <w:rsid w:val="00B6614B"/>
    <w:rsid w:val="00B855A2"/>
    <w:rsid w:val="00BA24BC"/>
    <w:rsid w:val="00C40BBE"/>
    <w:rsid w:val="00C410C1"/>
    <w:rsid w:val="00C56085"/>
    <w:rsid w:val="00C924A1"/>
    <w:rsid w:val="00C97464"/>
    <w:rsid w:val="00CC307C"/>
    <w:rsid w:val="00D2692D"/>
    <w:rsid w:val="00DC33A9"/>
    <w:rsid w:val="00E15104"/>
    <w:rsid w:val="00ED5E2F"/>
    <w:rsid w:val="00EE4A97"/>
    <w:rsid w:val="00F165DC"/>
    <w:rsid w:val="00FC090D"/>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61F2C"/>
  <w15:docId w15:val="{1C67D232-73E4-4385-9726-950D7806B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565D32"/>
    <w:rPr>
      <w:color w:val="0563C1" w:themeColor="hyperlink"/>
      <w:u w:val="single"/>
    </w:rPr>
  </w:style>
  <w:style w:type="character" w:customStyle="1" w:styleId="Nierozpoznanawzmianka1">
    <w:name w:val="Nierozpoznana wzmianka1"/>
    <w:basedOn w:val="Domylnaczcionkaakapitu"/>
    <w:uiPriority w:val="99"/>
    <w:semiHidden/>
    <w:unhideWhenUsed/>
    <w:rsid w:val="00565D32"/>
    <w:rPr>
      <w:color w:val="605E5C"/>
      <w:shd w:val="clear" w:color="auto" w:fill="E1DFDD"/>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9D644B"/>
    <w:pPr>
      <w:ind w:left="720"/>
      <w:contextualSpacing/>
    </w:p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9D644B"/>
  </w:style>
  <w:style w:type="paragraph" w:customStyle="1" w:styleId="Default">
    <w:name w:val="Default"/>
    <w:rsid w:val="009D644B"/>
    <w:pPr>
      <w:autoSpaceDE w:val="0"/>
      <w:autoSpaceDN w:val="0"/>
      <w:adjustRightInd w:val="0"/>
      <w:spacing w:after="0" w:line="240" w:lineRule="auto"/>
    </w:pPr>
    <w:rPr>
      <w:rFonts w:ascii="___WRD_EMBED_SUB_60" w:hAnsi="___WRD_EMBED_SUB_60" w:cs="___WRD_EMBED_SUB_60"/>
      <w:color w:val="000000"/>
      <w:sz w:val="24"/>
      <w:szCs w:val="24"/>
    </w:rPr>
  </w:style>
  <w:style w:type="paragraph" w:styleId="Poprawka">
    <w:name w:val="Revision"/>
    <w:hidden/>
    <w:uiPriority w:val="99"/>
    <w:semiHidden/>
    <w:rsid w:val="00977ADC"/>
    <w:pPr>
      <w:spacing w:after="0" w:line="240" w:lineRule="auto"/>
    </w:pPr>
  </w:style>
  <w:style w:type="character" w:styleId="Odwoaniedokomentarza">
    <w:name w:val="annotation reference"/>
    <w:basedOn w:val="Domylnaczcionkaakapitu"/>
    <w:uiPriority w:val="99"/>
    <w:semiHidden/>
    <w:unhideWhenUsed/>
    <w:rsid w:val="008776C7"/>
    <w:rPr>
      <w:sz w:val="16"/>
      <w:szCs w:val="16"/>
    </w:rPr>
  </w:style>
  <w:style w:type="paragraph" w:styleId="Tekstkomentarza">
    <w:name w:val="annotation text"/>
    <w:basedOn w:val="Normalny"/>
    <w:link w:val="TekstkomentarzaZnak"/>
    <w:uiPriority w:val="99"/>
    <w:unhideWhenUsed/>
    <w:rsid w:val="008776C7"/>
    <w:pPr>
      <w:spacing w:line="240" w:lineRule="auto"/>
    </w:pPr>
    <w:rPr>
      <w:sz w:val="20"/>
      <w:szCs w:val="20"/>
    </w:rPr>
  </w:style>
  <w:style w:type="character" w:customStyle="1" w:styleId="TekstkomentarzaZnak">
    <w:name w:val="Tekst komentarza Znak"/>
    <w:basedOn w:val="Domylnaczcionkaakapitu"/>
    <w:link w:val="Tekstkomentarza"/>
    <w:uiPriority w:val="99"/>
    <w:rsid w:val="008776C7"/>
    <w:rPr>
      <w:sz w:val="20"/>
      <w:szCs w:val="20"/>
    </w:rPr>
  </w:style>
  <w:style w:type="paragraph" w:styleId="Tematkomentarza">
    <w:name w:val="annotation subject"/>
    <w:basedOn w:val="Tekstkomentarza"/>
    <w:next w:val="Tekstkomentarza"/>
    <w:link w:val="TematkomentarzaZnak"/>
    <w:uiPriority w:val="99"/>
    <w:semiHidden/>
    <w:unhideWhenUsed/>
    <w:rsid w:val="008776C7"/>
    <w:rPr>
      <w:b/>
      <w:bCs/>
    </w:rPr>
  </w:style>
  <w:style w:type="character" w:customStyle="1" w:styleId="TematkomentarzaZnak">
    <w:name w:val="Temat komentarza Znak"/>
    <w:basedOn w:val="TekstkomentarzaZnak"/>
    <w:link w:val="Tematkomentarza"/>
    <w:uiPriority w:val="99"/>
    <w:semiHidden/>
    <w:rsid w:val="008776C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gojxg43dqltqmfyc4njqgizdqobugu&amp;refSource=hy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p.legalis.pl/document-view.seam?documentId=mfrxilrtg4ytgojxg43dqltqmfyc4njqgizdqobugu&amp;refSource=hyp"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8926</Words>
  <Characters>53559</Characters>
  <Application>Microsoft Office Word</Application>
  <DocSecurity>0</DocSecurity>
  <Lines>446</Lines>
  <Paragraphs>124</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62361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Nowakowski Adam</dc:creator>
  <cp:lastModifiedBy>Ciechomska Sylwia</cp:lastModifiedBy>
  <cp:revision>2</cp:revision>
  <cp:lastPrinted>2022-09-08T13:34:00Z</cp:lastPrinted>
  <dcterms:created xsi:type="dcterms:W3CDTF">2026-09-07T06:29:00Z</dcterms:created>
  <dcterms:modified xsi:type="dcterms:W3CDTF">2026-09-07T06:29:00Z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0a9004-cdc5-40c0-beca-df1c17fd61a3_ActionId">
    <vt:lpwstr>2fe94e49-168e-4020-ab63-3795824fcbc5</vt:lpwstr>
  </property>
  <property fmtid="{D5CDD505-2E9C-101B-9397-08002B2CF9AE}" pid="3" name="MSIP_Label_2f0a9004-cdc5-40c0-beca-df1c17fd61a3_ContentBits">
    <vt:lpwstr>0</vt:lpwstr>
  </property>
  <property fmtid="{D5CDD505-2E9C-101B-9397-08002B2CF9AE}" pid="4" name="MSIP_Label_2f0a9004-cdc5-40c0-beca-df1c17fd61a3_Enabled">
    <vt:lpwstr>true</vt:lpwstr>
  </property>
  <property fmtid="{D5CDD505-2E9C-101B-9397-08002B2CF9AE}" pid="5" name="MSIP_Label_2f0a9004-cdc5-40c0-beca-df1c17fd61a3_Method">
    <vt:lpwstr>Standard</vt:lpwstr>
  </property>
  <property fmtid="{D5CDD505-2E9C-101B-9397-08002B2CF9AE}" pid="6" name="MSIP_Label_2f0a9004-cdc5-40c0-beca-df1c17fd61a3_Name">
    <vt:lpwstr>Ogólne</vt:lpwstr>
  </property>
  <property fmtid="{D5CDD505-2E9C-101B-9397-08002B2CF9AE}" pid="7" name="MSIP_Label_2f0a9004-cdc5-40c0-beca-df1c17fd61a3_SetDate">
    <vt:lpwstr>2025-08-08T12:24:05Z</vt:lpwstr>
  </property>
  <property fmtid="{D5CDD505-2E9C-101B-9397-08002B2CF9AE}" pid="8" name="MSIP_Label_2f0a9004-cdc5-40c0-beca-df1c17fd61a3_SiteId">
    <vt:lpwstr>c8982834-7cc9-4780-a724-3183cf8c58ac</vt:lpwstr>
  </property>
  <property fmtid="{D5CDD505-2E9C-101B-9397-08002B2CF9AE}" pid="9" name="MSIP_Label_2f0a9004-cdc5-40c0-beca-df1c17fd61a3_Tag">
    <vt:lpwstr>10, 3, 0, 1</vt:lpwstr>
  </property>
</Properties>
</file>