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E51B3D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E51B3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E51B3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E51B3D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26 lutego 2026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E51B3D" w:rsidP="00422E40">
      <w:pPr>
        <w:pStyle w:val="Nagwek2"/>
      </w:pPr>
      <w:r w:rsidRPr="00422E40">
        <w:t xml:space="preserve">zmieniające </w:t>
      </w:r>
      <w:r w:rsidRPr="00422E40">
        <w:t>zarządzenie w sprawie</w:t>
      </w:r>
      <w:r>
        <w:t xml:space="preserve"> ustalenia regulaminu organizacyjnego </w:t>
      </w:r>
      <w:r>
        <w:t>Wydziału Zdrowia – Pomorskiego Centrum Zdrowia Public</w:t>
      </w:r>
      <w:bookmarkStart w:id="1" w:name="_GoBack"/>
      <w:bookmarkEnd w:id="1"/>
      <w:r>
        <w:t>znego</w:t>
      </w:r>
    </w:p>
    <w:p w:rsidR="00E53A80" w:rsidRPr="00007904" w:rsidRDefault="00E51B3D" w:rsidP="00007904">
      <w:pPr>
        <w:spacing w:after="360"/>
      </w:pPr>
      <w:r w:rsidRPr="00E53A80">
        <w:t xml:space="preserve">Na podstawie </w:t>
      </w:r>
      <w:r>
        <w:t xml:space="preserve">art. 25 ust. 4 pkt 1 lit. d ustawy z dnia 21 listopada 2008 r. </w:t>
      </w:r>
      <w:r>
        <w:br/>
      </w:r>
      <w:r>
        <w:t>o służbie cywilnej (Dz. U. z 2024 r., poz. 409 oraz z 2025 r., poz. 620</w:t>
      </w:r>
      <w:r>
        <w:t xml:space="preserve"> i 1661</w:t>
      </w:r>
      <w:r>
        <w:t xml:space="preserve">) oraz </w:t>
      </w:r>
      <w:r>
        <w:br/>
      </w:r>
      <w:r>
        <w:t>§ 12 ust. 3 i 5 regulaminu Pomorskiego Urzędu Wojewódzkiego w Gdańsku, stanowiącego załącznik do zarządzen</w:t>
      </w:r>
      <w:r>
        <w:t xml:space="preserve">ia Wojewody Pomorskiego z dnia 30 września 2021 r. w sprawie ustalenia regulaminu Pomorskiego Urzędu Wojewódzkiego </w:t>
      </w:r>
      <w:r>
        <w:br/>
      </w:r>
      <w:r>
        <w:t>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</w:t>
      </w:r>
      <w:r>
        <w:t xml:space="preserve"> </w:t>
      </w:r>
      <w:r w:rsidRPr="00E53A80">
        <w:t>następuje:</w:t>
      </w:r>
      <w:bookmarkStart w:id="3" w:name="_Hlk71116339"/>
    </w:p>
    <w:p w:rsidR="000C5504" w:rsidRDefault="00E51B3D" w:rsidP="000455E4">
      <w:pPr>
        <w:rPr>
          <w:rFonts w:ascii="ArialMT" w:eastAsiaTheme="minorHAnsi" w:hAnsi="ArialMT" w:cs="ArialMT"/>
          <w:szCs w:val="24"/>
        </w:rPr>
      </w:pPr>
      <w:r w:rsidRPr="00A469D0">
        <w:rPr>
          <w:b/>
          <w:bCs/>
        </w:rPr>
        <w:t>§ 1.</w:t>
      </w:r>
      <w:r>
        <w:t xml:space="preserve"> </w:t>
      </w:r>
      <w:bookmarkEnd w:id="3"/>
      <w:r>
        <w:t xml:space="preserve">W regulaminie organizacyjnym Wydziału </w:t>
      </w:r>
      <w:r>
        <w:t>Zdrowia – Pomorskiego Centrum Zdrowia Publicznego</w:t>
      </w:r>
      <w:r>
        <w:t xml:space="preserve"> Pomorsk</w:t>
      </w:r>
      <w:r>
        <w:t xml:space="preserve">iego Urzędu Wojewódzkiego w Gdańsku stanowiącym załącznik do zarządzenia Dyrektora Generalnego Pomorskiego Urzędu Wojewódzkiego w Gdańsku z dnia 9 lipca 2024 r. w sprawie ustalenia regulaminu organizacyjnego Wydziału Zdrowia – </w:t>
      </w:r>
      <w:r>
        <w:t>P</w:t>
      </w:r>
      <w:r>
        <w:t>omorskiego Centrum Zdrowia P</w:t>
      </w:r>
      <w:r>
        <w:t xml:space="preserve">ublicznego </w:t>
      </w:r>
      <w:r>
        <w:rPr>
          <w:rFonts w:ascii="ArialMT" w:eastAsiaTheme="minorHAnsi" w:hAnsi="ArialMT" w:cs="ArialMT"/>
          <w:szCs w:val="24"/>
        </w:rPr>
        <w:t xml:space="preserve">wprowadza się następujące zmiany: </w:t>
      </w:r>
    </w:p>
    <w:p w:rsidR="00542FB0" w:rsidRDefault="00E51B3D" w:rsidP="00542F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 w:val="0"/>
      </w:pPr>
      <w:r>
        <w:t xml:space="preserve">w </w:t>
      </w:r>
      <w:r w:rsidRPr="00F53439">
        <w:t xml:space="preserve">§ </w:t>
      </w:r>
      <w:r>
        <w:t xml:space="preserve">3 </w:t>
      </w:r>
      <w:r>
        <w:t xml:space="preserve">w </w:t>
      </w:r>
      <w:r>
        <w:t xml:space="preserve">ust. </w:t>
      </w:r>
      <w:r>
        <w:t>2</w:t>
      </w:r>
      <w:r>
        <w:t xml:space="preserve"> </w:t>
      </w:r>
      <w:r>
        <w:t xml:space="preserve">uchyla się </w:t>
      </w:r>
      <w:r>
        <w:t>pkt 5;</w:t>
      </w:r>
    </w:p>
    <w:p w:rsidR="000455E4" w:rsidRDefault="00E51B3D" w:rsidP="00542F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 w:val="0"/>
      </w:pPr>
      <w:r>
        <w:t>uchyla się</w:t>
      </w:r>
      <w:r>
        <w:t xml:space="preserve"> </w:t>
      </w:r>
      <w:r w:rsidRPr="00F53439">
        <w:t>§</w:t>
      </w:r>
      <w:r>
        <w:t xml:space="preserve"> 7</w:t>
      </w:r>
      <w:r>
        <w:t>;</w:t>
      </w:r>
    </w:p>
    <w:p w:rsidR="00E53A80" w:rsidRDefault="00E51B3D" w:rsidP="00542F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 w:val="0"/>
      </w:pPr>
      <w:r>
        <w:t xml:space="preserve">w </w:t>
      </w:r>
      <w:r>
        <w:t xml:space="preserve">§ 12 w pkt 13 kropkę zastępuje się średnikiem i dodaje się pkt </w:t>
      </w:r>
      <w:r>
        <w:t xml:space="preserve">14 - 16 </w:t>
      </w:r>
      <w:r>
        <w:t>w brzmieniu:</w:t>
      </w:r>
    </w:p>
    <w:p w:rsidR="00007904" w:rsidRDefault="00E51B3D" w:rsidP="00542FB0">
      <w:pPr>
        <w:pStyle w:val="Akapitzlist"/>
        <w:spacing w:after="0"/>
        <w:ind w:left="851" w:hanging="284"/>
        <w:rPr>
          <w:rFonts w:cs="Arial"/>
          <w:szCs w:val="24"/>
        </w:rPr>
      </w:pPr>
      <w:r>
        <w:rPr>
          <w:rFonts w:cs="Arial"/>
          <w:szCs w:val="24"/>
        </w:rPr>
        <w:t>„14) opiniowanie oraz sporządzanie zbiorczej informacji w zakresie:</w:t>
      </w:r>
    </w:p>
    <w:p w:rsidR="00007904" w:rsidRDefault="00E51B3D" w:rsidP="00542FB0">
      <w:pPr>
        <w:pStyle w:val="Akapitzlist"/>
        <w:numPr>
          <w:ilvl w:val="0"/>
          <w:numId w:val="1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 xml:space="preserve">budowy </w:t>
      </w:r>
      <w:r>
        <w:rPr>
          <w:rFonts w:cs="Arial"/>
          <w:szCs w:val="24"/>
        </w:rPr>
        <w:t>sieci lądowisk przyszpitalnych,</w:t>
      </w:r>
    </w:p>
    <w:p w:rsidR="00007904" w:rsidRDefault="00E51B3D" w:rsidP="00542FB0">
      <w:pPr>
        <w:pStyle w:val="Akapitzlist"/>
        <w:numPr>
          <w:ilvl w:val="0"/>
          <w:numId w:val="1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utworzenia i wdrożenia w szpitalach kompatybilnego oprogramowania do zarządzania informacją medyczną,</w:t>
      </w:r>
    </w:p>
    <w:p w:rsidR="00007904" w:rsidRDefault="00E51B3D" w:rsidP="00542FB0">
      <w:pPr>
        <w:pStyle w:val="Akapitzlist"/>
        <w:numPr>
          <w:ilvl w:val="0"/>
          <w:numId w:val="1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zwiększenia zdolności do masowej ewakuacji,</w:t>
      </w:r>
    </w:p>
    <w:p w:rsidR="00007904" w:rsidRDefault="00E51B3D" w:rsidP="00542FB0">
      <w:pPr>
        <w:pStyle w:val="Akapitzlist"/>
        <w:numPr>
          <w:ilvl w:val="0"/>
          <w:numId w:val="1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dostosowania infrastruktury szpitali w sposób umożliwiający przyjęcie zwiększo</w:t>
      </w:r>
      <w:r>
        <w:rPr>
          <w:rFonts w:cs="Arial"/>
          <w:szCs w:val="24"/>
        </w:rPr>
        <w:t>nej liczby pojazdów  oraz ich przebywania na parkingach przez wydłużony okres (powyżej doby),</w:t>
      </w:r>
    </w:p>
    <w:p w:rsidR="000C5504" w:rsidRPr="000455E4" w:rsidRDefault="00E51B3D" w:rsidP="00542FB0">
      <w:pPr>
        <w:pStyle w:val="Akapitzlist"/>
        <w:numPr>
          <w:ilvl w:val="0"/>
          <w:numId w:val="1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szkolenia personelu medycznego w zakresie post</w:t>
      </w:r>
      <w:r>
        <w:rPr>
          <w:rFonts w:cs="Arial"/>
          <w:szCs w:val="24"/>
        </w:rPr>
        <w:t>ę</w:t>
      </w:r>
      <w:r>
        <w:rPr>
          <w:rFonts w:cs="Arial"/>
          <w:szCs w:val="24"/>
        </w:rPr>
        <w:t>powania ze skutkami urazów będących wynikiem działań zbrojnych;</w:t>
      </w:r>
    </w:p>
    <w:p w:rsidR="00007904" w:rsidRDefault="00E51B3D" w:rsidP="00542FB0">
      <w:pPr>
        <w:pStyle w:val="Akapitzlist"/>
        <w:spacing w:after="0"/>
        <w:ind w:left="1134" w:hanging="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15) utrzymywanie współpracy z Komendantem Rejonowym</w:t>
      </w:r>
      <w:r>
        <w:rPr>
          <w:rFonts w:cs="Arial"/>
          <w:szCs w:val="24"/>
        </w:rPr>
        <w:t xml:space="preserve"> Zabezpieczenia Medycznego Wojsk;</w:t>
      </w:r>
    </w:p>
    <w:p w:rsidR="00007904" w:rsidRDefault="00E51B3D" w:rsidP="00542FB0">
      <w:pPr>
        <w:pStyle w:val="Akapitzlist"/>
        <w:spacing w:after="120"/>
        <w:ind w:left="1134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16) promowanie rozwoju i udziału w programie </w:t>
      </w:r>
      <w:r>
        <w:rPr>
          <w:rFonts w:cs="Arial"/>
          <w:szCs w:val="24"/>
        </w:rPr>
        <w:t>„</w:t>
      </w:r>
      <w:r>
        <w:rPr>
          <w:rFonts w:cs="Arial"/>
          <w:szCs w:val="24"/>
        </w:rPr>
        <w:t>Szpitale Przyjazne Wojsku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>”.</w:t>
      </w:r>
    </w:p>
    <w:p w:rsidR="00542FB0" w:rsidRPr="0036445F" w:rsidRDefault="00E51B3D" w:rsidP="00542FB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rFonts w:cs="Arial"/>
          <w:szCs w:val="24"/>
        </w:rPr>
      </w:pPr>
      <w:r>
        <w:t xml:space="preserve">uchyla się </w:t>
      </w:r>
      <w:r w:rsidRPr="00F53439">
        <w:t>§</w:t>
      </w:r>
      <w:r>
        <w:t xml:space="preserve"> 14;</w:t>
      </w:r>
    </w:p>
    <w:p w:rsidR="0036445F" w:rsidRPr="0036445F" w:rsidRDefault="00E51B3D" w:rsidP="00542FB0">
      <w:pPr>
        <w:pStyle w:val="Akapitzlist"/>
        <w:numPr>
          <w:ilvl w:val="0"/>
          <w:numId w:val="4"/>
        </w:numPr>
        <w:spacing w:before="120" w:after="120"/>
        <w:ind w:left="357" w:hanging="357"/>
        <w:rPr>
          <w:rFonts w:cs="Arial"/>
          <w:szCs w:val="24"/>
        </w:rPr>
      </w:pPr>
      <w:r>
        <w:t xml:space="preserve">w </w:t>
      </w:r>
      <w:r w:rsidRPr="00F53439">
        <w:t>§</w:t>
      </w:r>
      <w:r>
        <w:t xml:space="preserve"> 15 ust. 3 otrzymuje brzmienie:</w:t>
      </w:r>
    </w:p>
    <w:p w:rsidR="0036445F" w:rsidRPr="00A469D0" w:rsidRDefault="00E51B3D" w:rsidP="00A469D0">
      <w:pPr>
        <w:autoSpaceDE w:val="0"/>
        <w:autoSpaceDN w:val="0"/>
        <w:adjustRightInd w:val="0"/>
        <w:spacing w:after="0"/>
        <w:ind w:left="284" w:firstLine="567"/>
        <w:rPr>
          <w:rFonts w:eastAsiaTheme="minorHAnsi" w:cs="Arial"/>
          <w:szCs w:val="24"/>
        </w:rPr>
      </w:pPr>
      <w:r w:rsidRPr="00A469D0">
        <w:rPr>
          <w:rFonts w:cs="Arial"/>
        </w:rPr>
        <w:t>„3. Czynności kancelaryjne wykonywane są</w:t>
      </w:r>
      <w:r w:rsidRPr="00A469D0">
        <w:rPr>
          <w:rFonts w:eastAsiaTheme="minorHAnsi" w:cs="Arial"/>
          <w:szCs w:val="24"/>
        </w:rPr>
        <w:t xml:space="preserve"> w oparciu o rozporządzenie Prezesa Rady Ministrów z dn</w:t>
      </w:r>
      <w:r w:rsidRPr="00A469D0">
        <w:rPr>
          <w:rFonts w:eastAsiaTheme="minorHAnsi" w:cs="Arial"/>
          <w:szCs w:val="24"/>
        </w:rPr>
        <w:t>ia 18 stycznia 2011 r. w sprawie instrukcji kancelaryjnej, jednolitych rzeczowych wykazów akt oraz instrukcji w sprawie organizacji i zakresu działania archiwów zakładowych (Dz. U. z 2011</w:t>
      </w:r>
      <w:r>
        <w:rPr>
          <w:rFonts w:eastAsiaTheme="minorHAnsi" w:cs="Arial"/>
          <w:szCs w:val="24"/>
        </w:rPr>
        <w:t xml:space="preserve"> r.</w:t>
      </w:r>
      <w:r w:rsidRPr="00A469D0">
        <w:rPr>
          <w:rFonts w:eastAsiaTheme="minorHAnsi" w:cs="Arial"/>
          <w:szCs w:val="24"/>
        </w:rPr>
        <w:t xml:space="preserve"> Nr 14 poz. 67, z późn. zm.)</w:t>
      </w:r>
      <w:r>
        <w:rPr>
          <w:rFonts w:eastAsiaTheme="minorHAnsi" w:cs="Arial"/>
          <w:szCs w:val="24"/>
        </w:rPr>
        <w:t xml:space="preserve"> </w:t>
      </w:r>
      <w:r w:rsidRPr="00A469D0">
        <w:rPr>
          <w:rFonts w:eastAsiaTheme="minorHAnsi" w:cs="Arial"/>
          <w:szCs w:val="24"/>
        </w:rPr>
        <w:t>oraz</w:t>
      </w:r>
      <w:r w:rsidRPr="00A469D0">
        <w:rPr>
          <w:rFonts w:cs="Arial"/>
          <w:szCs w:val="24"/>
        </w:rPr>
        <w:t xml:space="preserve"> </w:t>
      </w:r>
      <w:r w:rsidRPr="00A469D0">
        <w:rPr>
          <w:rFonts w:eastAsiaTheme="minorHAnsi" w:cs="Arial"/>
          <w:szCs w:val="24"/>
        </w:rPr>
        <w:t>zarządzenie Wojewody Pomorskiego</w:t>
      </w:r>
      <w:r w:rsidRPr="00A469D0">
        <w:rPr>
          <w:rFonts w:cs="Arial"/>
          <w:szCs w:val="24"/>
        </w:rPr>
        <w:t xml:space="preserve"> z dnia 22 października 2025 r.</w:t>
      </w:r>
      <w:r w:rsidRPr="00A469D0">
        <w:rPr>
          <w:rFonts w:eastAsiaTheme="minorHAnsi" w:cs="Arial"/>
          <w:szCs w:val="24"/>
        </w:rPr>
        <w:t xml:space="preserve"> </w:t>
      </w:r>
      <w:r w:rsidRPr="00A469D0">
        <w:rPr>
          <w:rFonts w:cs="Arial"/>
          <w:szCs w:val="24"/>
        </w:rPr>
        <w:t>w sprawie zasad postępowania z dokumentacją i wykonywania czynności kancelaryjnych w Pomorskim Urzędzie Wojewódzkim w Gdańsku</w:t>
      </w:r>
      <w:r w:rsidRPr="00A469D0">
        <w:rPr>
          <w:rFonts w:eastAsiaTheme="minorHAnsi" w:cs="Arial"/>
          <w:szCs w:val="24"/>
        </w:rPr>
        <w:t>.</w:t>
      </w:r>
      <w:r>
        <w:rPr>
          <w:rFonts w:eastAsiaTheme="minorHAnsi" w:cs="Arial"/>
          <w:szCs w:val="24"/>
        </w:rPr>
        <w:t>”;</w:t>
      </w:r>
    </w:p>
    <w:p w:rsidR="000455E4" w:rsidRPr="00542FB0" w:rsidRDefault="00E51B3D" w:rsidP="00542FB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rFonts w:cs="Arial"/>
          <w:szCs w:val="24"/>
        </w:rPr>
      </w:pPr>
      <w:bookmarkStart w:id="4" w:name="_Hlk216944404"/>
      <w:r>
        <w:t xml:space="preserve">w </w:t>
      </w:r>
      <w:r w:rsidRPr="00F53439">
        <w:t>§</w:t>
      </w:r>
      <w:r>
        <w:t xml:space="preserve"> </w:t>
      </w:r>
      <w:r>
        <w:t xml:space="preserve">16 </w:t>
      </w:r>
      <w:bookmarkEnd w:id="4"/>
      <w:r>
        <w:t xml:space="preserve">w </w:t>
      </w:r>
      <w:r>
        <w:t xml:space="preserve">ust. 1 </w:t>
      </w:r>
      <w:r>
        <w:t xml:space="preserve">uchyla się </w:t>
      </w:r>
      <w:r>
        <w:t>pkt 5;</w:t>
      </w:r>
    </w:p>
    <w:p w:rsidR="00007904" w:rsidRPr="000455E4" w:rsidRDefault="00E51B3D" w:rsidP="00542FB0">
      <w:pPr>
        <w:pStyle w:val="Akapitzlist"/>
        <w:numPr>
          <w:ilvl w:val="0"/>
          <w:numId w:val="4"/>
        </w:numPr>
        <w:autoSpaceDE w:val="0"/>
        <w:autoSpaceDN w:val="0"/>
        <w:adjustRightInd w:val="0"/>
      </w:pPr>
      <w:r>
        <w:rPr>
          <w:rFonts w:cs="Arial"/>
          <w:szCs w:val="24"/>
        </w:rPr>
        <w:t xml:space="preserve">załącznik do </w:t>
      </w:r>
      <w:r w:rsidRPr="00482A23">
        <w:rPr>
          <w:szCs w:val="24"/>
        </w:rPr>
        <w:t xml:space="preserve">regulaminu organizacyjnego </w:t>
      </w:r>
      <w:r>
        <w:rPr>
          <w:szCs w:val="24"/>
        </w:rPr>
        <w:t>otrzymuje brzmienie j</w:t>
      </w:r>
      <w:r>
        <w:rPr>
          <w:szCs w:val="24"/>
        </w:rPr>
        <w:t>ak w załączni</w:t>
      </w:r>
      <w:r>
        <w:rPr>
          <w:szCs w:val="24"/>
        </w:rPr>
        <w:t>k</w:t>
      </w:r>
      <w:r>
        <w:rPr>
          <w:szCs w:val="24"/>
        </w:rPr>
        <w:t>u</w:t>
      </w:r>
      <w:r>
        <w:rPr>
          <w:szCs w:val="24"/>
        </w:rPr>
        <w:t xml:space="preserve"> do</w:t>
      </w:r>
      <w:r w:rsidR="00405396">
        <w:rPr>
          <w:szCs w:val="24"/>
        </w:rPr>
        <w:t> </w:t>
      </w:r>
      <w:r>
        <w:rPr>
          <w:szCs w:val="24"/>
        </w:rPr>
        <w:t>niniejszego zarządzenia</w:t>
      </w:r>
      <w:r>
        <w:rPr>
          <w:szCs w:val="24"/>
        </w:rPr>
        <w:t>.</w:t>
      </w:r>
    </w:p>
    <w:p w:rsidR="000455E4" w:rsidRDefault="00E51B3D" w:rsidP="00405396">
      <w:pPr>
        <w:spacing w:after="480"/>
      </w:pPr>
      <w:r w:rsidRPr="00A469D0">
        <w:rPr>
          <w:b/>
          <w:bCs/>
        </w:rPr>
        <w:t xml:space="preserve">§ </w:t>
      </w:r>
      <w:r w:rsidRPr="00A469D0">
        <w:rPr>
          <w:b/>
          <w:bCs/>
        </w:rPr>
        <w:t>2.</w:t>
      </w:r>
      <w:r>
        <w:t xml:space="preserve"> Zarządzenie wchodzi w życie z dniem podpisania</w:t>
      </w:r>
      <w:r>
        <w:t>.</w:t>
      </w:r>
    </w:p>
    <w:p w:rsidR="006D471D" w:rsidRDefault="00E51B3D" w:rsidP="006D471D">
      <w:pPr>
        <w:spacing w:after="0" w:line="360" w:lineRule="auto"/>
        <w:ind w:left="3686"/>
        <w:jc w:val="center"/>
      </w:pPr>
      <w:r>
        <w:t>wz. Dyrektora Generalnego</w:t>
      </w:r>
    </w:p>
    <w:p w:rsidR="006D471D" w:rsidRDefault="00E51B3D" w:rsidP="006D471D">
      <w:pPr>
        <w:spacing w:after="0" w:line="360" w:lineRule="auto"/>
        <w:ind w:left="3686"/>
        <w:jc w:val="center"/>
      </w:pPr>
      <w:r>
        <w:t>Maria Leszczyńska</w:t>
      </w:r>
    </w:p>
    <w:p w:rsidR="006D471D" w:rsidRDefault="00E51B3D" w:rsidP="006D471D">
      <w:pPr>
        <w:spacing w:after="0" w:line="360" w:lineRule="auto"/>
        <w:ind w:left="3686"/>
        <w:jc w:val="center"/>
      </w:pPr>
      <w:r>
        <w:t>Dyrektor</w:t>
      </w:r>
    </w:p>
    <w:p w:rsidR="006D471D" w:rsidRPr="00E53A80" w:rsidRDefault="00E51B3D" w:rsidP="006D471D">
      <w:pPr>
        <w:spacing w:after="0" w:line="360" w:lineRule="auto"/>
        <w:ind w:left="3686"/>
        <w:jc w:val="center"/>
      </w:pPr>
      <w:r>
        <w:t>Biura Kadr i Organizacji</w:t>
      </w:r>
    </w:p>
    <w:sectPr w:rsidR="006D471D" w:rsidRPr="00E5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B3D" w:rsidRDefault="00E51B3D">
      <w:pPr>
        <w:spacing w:after="0" w:line="240" w:lineRule="auto"/>
      </w:pPr>
      <w:r>
        <w:separator/>
      </w:r>
    </w:p>
  </w:endnote>
  <w:endnote w:type="continuationSeparator" w:id="0">
    <w:p w:rsidR="00E51B3D" w:rsidRDefault="00E5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B3D" w:rsidRDefault="00E51B3D" w:rsidP="001D1766">
      <w:pPr>
        <w:spacing w:after="0" w:line="240" w:lineRule="auto"/>
      </w:pPr>
      <w:r>
        <w:separator/>
      </w:r>
    </w:p>
  </w:footnote>
  <w:footnote w:type="continuationSeparator" w:id="0">
    <w:p w:rsidR="00E51B3D" w:rsidRDefault="00E51B3D" w:rsidP="001D1766">
      <w:pPr>
        <w:spacing w:after="0" w:line="240" w:lineRule="auto"/>
      </w:pPr>
      <w:r>
        <w:continuationSeparator/>
      </w:r>
    </w:p>
  </w:footnote>
  <w:footnote w:id="1">
    <w:p w:rsidR="001D1766" w:rsidRDefault="00E51B3D" w:rsidP="001D1766">
      <w:pPr>
        <w:pStyle w:val="Tekstprzypisudolnego"/>
        <w:ind w:left="142" w:hanging="142"/>
      </w:pPr>
      <w:r>
        <w:rPr>
          <w:rStyle w:val="Odwoanieprzypisudolnego"/>
        </w:rPr>
        <w:footnoteRef/>
      </w:r>
      <w:bookmarkStart w:id="2" w:name="_Hlk213920333"/>
      <w:r>
        <w:rPr>
          <w:vertAlign w:val="superscript"/>
        </w:rPr>
        <w:t>)</w:t>
      </w:r>
      <w:bookmarkEnd w:id="2"/>
      <w:r>
        <w:t xml:space="preserve"> zmieniony zarządzeniem Wojewody Pomorskiego z dnia 23 grudnia 2021 r., z dnia 23 grudnia 2022 r., z dnia 29 czerwca 2023 r., z dnia 13 października 2023 r., z dnia 6 grudnia 2023 r., z dnia 14 stycznia 2024 r., z dnia 22 lutego 2024 r., z dnia 26 marca 20</w:t>
      </w:r>
      <w:r>
        <w:t xml:space="preserve">24 r., z dnia 29 kwietnia 2024 r., z dnia 28 </w:t>
      </w:r>
      <w:r w:rsidRPr="003E6E40">
        <w:t>sierpnia 2024 r., z dnia 31 grudnia 2024 r., z dnia 31 marca 2025 r., z dnia 15 października 2025 r.</w:t>
      </w:r>
      <w:r w:rsidRPr="003E6E40">
        <w:t xml:space="preserve"> oraz z dnia 2 stycznia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ACC"/>
    <w:multiLevelType w:val="hybridMultilevel"/>
    <w:tmpl w:val="77F21A36"/>
    <w:lvl w:ilvl="0" w:tplc="FB8A9EFE">
      <w:start w:val="1"/>
      <w:numFmt w:val="lowerLetter"/>
      <w:lvlText w:val="%1)"/>
      <w:lvlJc w:val="left"/>
      <w:pPr>
        <w:ind w:left="4624" w:hanging="360"/>
      </w:pPr>
    </w:lvl>
    <w:lvl w:ilvl="1" w:tplc="DDC67EC2" w:tentative="1">
      <w:start w:val="1"/>
      <w:numFmt w:val="lowerLetter"/>
      <w:lvlText w:val="%2."/>
      <w:lvlJc w:val="left"/>
      <w:pPr>
        <w:ind w:left="5344" w:hanging="360"/>
      </w:pPr>
    </w:lvl>
    <w:lvl w:ilvl="2" w:tplc="5C22F416" w:tentative="1">
      <w:start w:val="1"/>
      <w:numFmt w:val="lowerRoman"/>
      <w:lvlText w:val="%3."/>
      <w:lvlJc w:val="right"/>
      <w:pPr>
        <w:ind w:left="6064" w:hanging="180"/>
      </w:pPr>
    </w:lvl>
    <w:lvl w:ilvl="3" w:tplc="B4D83A7A" w:tentative="1">
      <w:start w:val="1"/>
      <w:numFmt w:val="decimal"/>
      <w:lvlText w:val="%4."/>
      <w:lvlJc w:val="left"/>
      <w:pPr>
        <w:ind w:left="6784" w:hanging="360"/>
      </w:pPr>
    </w:lvl>
    <w:lvl w:ilvl="4" w:tplc="DCAE8D9A" w:tentative="1">
      <w:start w:val="1"/>
      <w:numFmt w:val="lowerLetter"/>
      <w:lvlText w:val="%5."/>
      <w:lvlJc w:val="left"/>
      <w:pPr>
        <w:ind w:left="7504" w:hanging="360"/>
      </w:pPr>
    </w:lvl>
    <w:lvl w:ilvl="5" w:tplc="AE1C1E7C" w:tentative="1">
      <w:start w:val="1"/>
      <w:numFmt w:val="lowerRoman"/>
      <w:lvlText w:val="%6."/>
      <w:lvlJc w:val="right"/>
      <w:pPr>
        <w:ind w:left="8224" w:hanging="180"/>
      </w:pPr>
    </w:lvl>
    <w:lvl w:ilvl="6" w:tplc="012068AA" w:tentative="1">
      <w:start w:val="1"/>
      <w:numFmt w:val="decimal"/>
      <w:lvlText w:val="%7."/>
      <w:lvlJc w:val="left"/>
      <w:pPr>
        <w:ind w:left="8944" w:hanging="360"/>
      </w:pPr>
    </w:lvl>
    <w:lvl w:ilvl="7" w:tplc="CE2C1D4E" w:tentative="1">
      <w:start w:val="1"/>
      <w:numFmt w:val="lowerLetter"/>
      <w:lvlText w:val="%8."/>
      <w:lvlJc w:val="left"/>
      <w:pPr>
        <w:ind w:left="9664" w:hanging="360"/>
      </w:pPr>
    </w:lvl>
    <w:lvl w:ilvl="8" w:tplc="A01E414E" w:tentative="1">
      <w:start w:val="1"/>
      <w:numFmt w:val="lowerRoman"/>
      <w:lvlText w:val="%9."/>
      <w:lvlJc w:val="right"/>
      <w:pPr>
        <w:ind w:left="10384" w:hanging="180"/>
      </w:pPr>
    </w:lvl>
  </w:abstractNum>
  <w:abstractNum w:abstractNumId="1" w15:restartNumberingAfterBreak="0">
    <w:nsid w:val="0CBC4C92"/>
    <w:multiLevelType w:val="hybridMultilevel"/>
    <w:tmpl w:val="8FBA7E6A"/>
    <w:lvl w:ilvl="0" w:tplc="18EC792E">
      <w:start w:val="1"/>
      <w:numFmt w:val="decimal"/>
      <w:lvlText w:val="%1)"/>
      <w:lvlJc w:val="left"/>
      <w:pPr>
        <w:ind w:left="720" w:hanging="360"/>
      </w:pPr>
    </w:lvl>
    <w:lvl w:ilvl="1" w:tplc="37BED360" w:tentative="1">
      <w:start w:val="1"/>
      <w:numFmt w:val="lowerLetter"/>
      <w:lvlText w:val="%2."/>
      <w:lvlJc w:val="left"/>
      <w:pPr>
        <w:ind w:left="1440" w:hanging="360"/>
      </w:pPr>
    </w:lvl>
    <w:lvl w:ilvl="2" w:tplc="9FB21556" w:tentative="1">
      <w:start w:val="1"/>
      <w:numFmt w:val="lowerRoman"/>
      <w:lvlText w:val="%3."/>
      <w:lvlJc w:val="right"/>
      <w:pPr>
        <w:ind w:left="2160" w:hanging="180"/>
      </w:pPr>
    </w:lvl>
    <w:lvl w:ilvl="3" w:tplc="C0BC97C4" w:tentative="1">
      <w:start w:val="1"/>
      <w:numFmt w:val="decimal"/>
      <w:lvlText w:val="%4."/>
      <w:lvlJc w:val="left"/>
      <w:pPr>
        <w:ind w:left="2880" w:hanging="360"/>
      </w:pPr>
    </w:lvl>
    <w:lvl w:ilvl="4" w:tplc="A8904328" w:tentative="1">
      <w:start w:val="1"/>
      <w:numFmt w:val="lowerLetter"/>
      <w:lvlText w:val="%5."/>
      <w:lvlJc w:val="left"/>
      <w:pPr>
        <w:ind w:left="3600" w:hanging="360"/>
      </w:pPr>
    </w:lvl>
    <w:lvl w:ilvl="5" w:tplc="B68A66AA" w:tentative="1">
      <w:start w:val="1"/>
      <w:numFmt w:val="lowerRoman"/>
      <w:lvlText w:val="%6."/>
      <w:lvlJc w:val="right"/>
      <w:pPr>
        <w:ind w:left="4320" w:hanging="180"/>
      </w:pPr>
    </w:lvl>
    <w:lvl w:ilvl="6" w:tplc="228838BA" w:tentative="1">
      <w:start w:val="1"/>
      <w:numFmt w:val="decimal"/>
      <w:lvlText w:val="%7."/>
      <w:lvlJc w:val="left"/>
      <w:pPr>
        <w:ind w:left="5040" w:hanging="360"/>
      </w:pPr>
    </w:lvl>
    <w:lvl w:ilvl="7" w:tplc="A4248C52" w:tentative="1">
      <w:start w:val="1"/>
      <w:numFmt w:val="lowerLetter"/>
      <w:lvlText w:val="%8."/>
      <w:lvlJc w:val="left"/>
      <w:pPr>
        <w:ind w:left="5760" w:hanging="360"/>
      </w:pPr>
    </w:lvl>
    <w:lvl w:ilvl="8" w:tplc="CF34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4490"/>
    <w:multiLevelType w:val="hybridMultilevel"/>
    <w:tmpl w:val="674AE536"/>
    <w:lvl w:ilvl="0" w:tplc="629207A0">
      <w:start w:val="1"/>
      <w:numFmt w:val="decimal"/>
      <w:lvlText w:val="%1)"/>
      <w:lvlJc w:val="left"/>
      <w:pPr>
        <w:ind w:left="1211" w:hanging="360"/>
      </w:pPr>
    </w:lvl>
    <w:lvl w:ilvl="1" w:tplc="0024B1C4" w:tentative="1">
      <w:start w:val="1"/>
      <w:numFmt w:val="lowerLetter"/>
      <w:lvlText w:val="%2."/>
      <w:lvlJc w:val="left"/>
      <w:pPr>
        <w:ind w:left="1800" w:hanging="360"/>
      </w:pPr>
    </w:lvl>
    <w:lvl w:ilvl="2" w:tplc="19EE0970" w:tentative="1">
      <w:start w:val="1"/>
      <w:numFmt w:val="lowerRoman"/>
      <w:lvlText w:val="%3."/>
      <w:lvlJc w:val="right"/>
      <w:pPr>
        <w:ind w:left="2520" w:hanging="180"/>
      </w:pPr>
    </w:lvl>
    <w:lvl w:ilvl="3" w:tplc="6AB628CE" w:tentative="1">
      <w:start w:val="1"/>
      <w:numFmt w:val="decimal"/>
      <w:lvlText w:val="%4."/>
      <w:lvlJc w:val="left"/>
      <w:pPr>
        <w:ind w:left="3240" w:hanging="360"/>
      </w:pPr>
    </w:lvl>
    <w:lvl w:ilvl="4" w:tplc="F2F09FAA" w:tentative="1">
      <w:start w:val="1"/>
      <w:numFmt w:val="lowerLetter"/>
      <w:lvlText w:val="%5."/>
      <w:lvlJc w:val="left"/>
      <w:pPr>
        <w:ind w:left="3960" w:hanging="360"/>
      </w:pPr>
    </w:lvl>
    <w:lvl w:ilvl="5" w:tplc="B8F069F8" w:tentative="1">
      <w:start w:val="1"/>
      <w:numFmt w:val="lowerRoman"/>
      <w:lvlText w:val="%6."/>
      <w:lvlJc w:val="right"/>
      <w:pPr>
        <w:ind w:left="4680" w:hanging="180"/>
      </w:pPr>
    </w:lvl>
    <w:lvl w:ilvl="6" w:tplc="CBC4C744" w:tentative="1">
      <w:start w:val="1"/>
      <w:numFmt w:val="decimal"/>
      <w:lvlText w:val="%7."/>
      <w:lvlJc w:val="left"/>
      <w:pPr>
        <w:ind w:left="5400" w:hanging="360"/>
      </w:pPr>
    </w:lvl>
    <w:lvl w:ilvl="7" w:tplc="2D64D346" w:tentative="1">
      <w:start w:val="1"/>
      <w:numFmt w:val="lowerLetter"/>
      <w:lvlText w:val="%8."/>
      <w:lvlJc w:val="left"/>
      <w:pPr>
        <w:ind w:left="6120" w:hanging="360"/>
      </w:pPr>
    </w:lvl>
    <w:lvl w:ilvl="8" w:tplc="DEFE4C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3855AD"/>
    <w:multiLevelType w:val="hybridMultilevel"/>
    <w:tmpl w:val="1C205846"/>
    <w:lvl w:ilvl="0" w:tplc="133C5A8E">
      <w:start w:val="1"/>
      <w:numFmt w:val="decimal"/>
      <w:lvlText w:val="%1)"/>
      <w:lvlJc w:val="left"/>
      <w:pPr>
        <w:ind w:left="360" w:hanging="360"/>
      </w:pPr>
    </w:lvl>
    <w:lvl w:ilvl="1" w:tplc="71D2DF14" w:tentative="1">
      <w:start w:val="1"/>
      <w:numFmt w:val="lowerLetter"/>
      <w:lvlText w:val="%2."/>
      <w:lvlJc w:val="left"/>
      <w:pPr>
        <w:ind w:left="1080" w:hanging="360"/>
      </w:pPr>
    </w:lvl>
    <w:lvl w:ilvl="2" w:tplc="B5C49ED2" w:tentative="1">
      <w:start w:val="1"/>
      <w:numFmt w:val="lowerRoman"/>
      <w:lvlText w:val="%3."/>
      <w:lvlJc w:val="right"/>
      <w:pPr>
        <w:ind w:left="1800" w:hanging="180"/>
      </w:pPr>
    </w:lvl>
    <w:lvl w:ilvl="3" w:tplc="6D18AF14" w:tentative="1">
      <w:start w:val="1"/>
      <w:numFmt w:val="decimal"/>
      <w:lvlText w:val="%4."/>
      <w:lvlJc w:val="left"/>
      <w:pPr>
        <w:ind w:left="2520" w:hanging="360"/>
      </w:pPr>
    </w:lvl>
    <w:lvl w:ilvl="4" w:tplc="FCD63DA6" w:tentative="1">
      <w:start w:val="1"/>
      <w:numFmt w:val="lowerLetter"/>
      <w:lvlText w:val="%5."/>
      <w:lvlJc w:val="left"/>
      <w:pPr>
        <w:ind w:left="3240" w:hanging="360"/>
      </w:pPr>
    </w:lvl>
    <w:lvl w:ilvl="5" w:tplc="7E8E6CF6" w:tentative="1">
      <w:start w:val="1"/>
      <w:numFmt w:val="lowerRoman"/>
      <w:lvlText w:val="%6."/>
      <w:lvlJc w:val="right"/>
      <w:pPr>
        <w:ind w:left="3960" w:hanging="180"/>
      </w:pPr>
    </w:lvl>
    <w:lvl w:ilvl="6" w:tplc="7314495A" w:tentative="1">
      <w:start w:val="1"/>
      <w:numFmt w:val="decimal"/>
      <w:lvlText w:val="%7."/>
      <w:lvlJc w:val="left"/>
      <w:pPr>
        <w:ind w:left="4680" w:hanging="360"/>
      </w:pPr>
    </w:lvl>
    <w:lvl w:ilvl="7" w:tplc="618E0E5A" w:tentative="1">
      <w:start w:val="1"/>
      <w:numFmt w:val="lowerLetter"/>
      <w:lvlText w:val="%8."/>
      <w:lvlJc w:val="left"/>
      <w:pPr>
        <w:ind w:left="5400" w:hanging="360"/>
      </w:pPr>
    </w:lvl>
    <w:lvl w:ilvl="8" w:tplc="05143B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A12EDD"/>
    <w:multiLevelType w:val="hybridMultilevel"/>
    <w:tmpl w:val="77BCC624"/>
    <w:lvl w:ilvl="0" w:tplc="2EEEA5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BD4443E" w:tentative="1">
      <w:start w:val="1"/>
      <w:numFmt w:val="lowerLetter"/>
      <w:lvlText w:val="%2."/>
      <w:lvlJc w:val="left"/>
      <w:pPr>
        <w:ind w:left="11" w:hanging="360"/>
      </w:pPr>
    </w:lvl>
    <w:lvl w:ilvl="2" w:tplc="79F2A65C" w:tentative="1">
      <w:start w:val="1"/>
      <w:numFmt w:val="lowerRoman"/>
      <w:lvlText w:val="%3."/>
      <w:lvlJc w:val="right"/>
      <w:pPr>
        <w:ind w:left="731" w:hanging="180"/>
      </w:pPr>
    </w:lvl>
    <w:lvl w:ilvl="3" w:tplc="99306C88" w:tentative="1">
      <w:start w:val="1"/>
      <w:numFmt w:val="decimal"/>
      <w:lvlText w:val="%4."/>
      <w:lvlJc w:val="left"/>
      <w:pPr>
        <w:ind w:left="1451" w:hanging="360"/>
      </w:pPr>
    </w:lvl>
    <w:lvl w:ilvl="4" w:tplc="1CAEC7B2" w:tentative="1">
      <w:start w:val="1"/>
      <w:numFmt w:val="lowerLetter"/>
      <w:lvlText w:val="%5."/>
      <w:lvlJc w:val="left"/>
      <w:pPr>
        <w:ind w:left="2171" w:hanging="360"/>
      </w:pPr>
    </w:lvl>
    <w:lvl w:ilvl="5" w:tplc="77989E74" w:tentative="1">
      <w:start w:val="1"/>
      <w:numFmt w:val="lowerRoman"/>
      <w:lvlText w:val="%6."/>
      <w:lvlJc w:val="right"/>
      <w:pPr>
        <w:ind w:left="2891" w:hanging="180"/>
      </w:pPr>
    </w:lvl>
    <w:lvl w:ilvl="6" w:tplc="60C86B88" w:tentative="1">
      <w:start w:val="1"/>
      <w:numFmt w:val="decimal"/>
      <w:lvlText w:val="%7."/>
      <w:lvlJc w:val="left"/>
      <w:pPr>
        <w:ind w:left="3611" w:hanging="360"/>
      </w:pPr>
    </w:lvl>
    <w:lvl w:ilvl="7" w:tplc="BD3AF602" w:tentative="1">
      <w:start w:val="1"/>
      <w:numFmt w:val="lowerLetter"/>
      <w:lvlText w:val="%8."/>
      <w:lvlJc w:val="left"/>
      <w:pPr>
        <w:ind w:left="4331" w:hanging="360"/>
      </w:pPr>
    </w:lvl>
    <w:lvl w:ilvl="8" w:tplc="661C9DD4" w:tentative="1">
      <w:start w:val="1"/>
      <w:numFmt w:val="lowerRoman"/>
      <w:lvlText w:val="%9."/>
      <w:lvlJc w:val="right"/>
      <w:pPr>
        <w:ind w:left="505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96"/>
    <w:rsid w:val="00405396"/>
    <w:rsid w:val="00E5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869B"/>
  <w15:docId w15:val="{084559D1-97BD-4537-89D4-DB936717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766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76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7904"/>
    <w:pPr>
      <w:ind w:left="720"/>
      <w:contextualSpacing/>
    </w:pPr>
  </w:style>
  <w:style w:type="paragraph" w:styleId="Poprawka">
    <w:name w:val="Revision"/>
    <w:hidden/>
    <w:uiPriority w:val="99"/>
    <w:semiHidden/>
    <w:rsid w:val="00501C30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26 lutego 2026 roku zmieniające zarządzenie w sprawie ustalenia regulaminu organizacyjnego Wydziału Zdrowia – Pomorskiego Centrum Zdrowia Publicznego</dc:title>
  <dc:creator>Maria Leszczyńska</dc:creator>
  <cp:lastModifiedBy>Monika Giedrojć</cp:lastModifiedBy>
  <cp:revision>19</cp:revision>
  <cp:lastPrinted>2025-12-17T10:12:00Z</cp:lastPrinted>
  <dcterms:created xsi:type="dcterms:W3CDTF">2021-05-10T11:41:00Z</dcterms:created>
  <dcterms:modified xsi:type="dcterms:W3CDTF">2026-02-26T14:22:00Z</dcterms:modified>
</cp:coreProperties>
</file>