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0C2C" w14:textId="178776DF" w:rsidR="00A60983" w:rsidRDefault="00A60983" w:rsidP="00671FD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val="pl-PL" w:eastAsia="pl-PL"/>
        </w:rPr>
      </w:pPr>
      <w:r w:rsidRPr="00671FD8">
        <w:rPr>
          <w:rFonts w:ascii="Times New Roman" w:eastAsia="Times New Roman" w:hAnsi="Times New Roman"/>
          <w:lang w:val="pl-PL" w:eastAsia="pl-PL"/>
        </w:rPr>
        <w:t>Załącznik</w:t>
      </w:r>
      <w:r w:rsidR="00B26B9D">
        <w:rPr>
          <w:rFonts w:ascii="Times New Roman" w:eastAsia="Times New Roman" w:hAnsi="Times New Roman"/>
          <w:lang w:val="pl-PL" w:eastAsia="pl-PL"/>
        </w:rPr>
        <w:t xml:space="preserve"> </w:t>
      </w:r>
      <w:r w:rsidRPr="00671FD8">
        <w:rPr>
          <w:rFonts w:ascii="Times New Roman" w:eastAsia="Times New Roman" w:hAnsi="Times New Roman"/>
          <w:lang w:val="pl-PL" w:eastAsia="pl-PL"/>
        </w:rPr>
        <w:t>B.</w:t>
      </w:r>
      <w:r w:rsidR="0025173C">
        <w:rPr>
          <w:rFonts w:ascii="Times New Roman" w:eastAsia="Times New Roman" w:hAnsi="Times New Roman"/>
          <w:lang w:val="pl-PL" w:eastAsia="pl-PL"/>
        </w:rPr>
        <w:t>125</w:t>
      </w:r>
      <w:r w:rsidRPr="00671FD8">
        <w:rPr>
          <w:rFonts w:ascii="Times New Roman" w:eastAsia="Times New Roman" w:hAnsi="Times New Roman"/>
          <w:lang w:val="pl-PL" w:eastAsia="pl-PL"/>
        </w:rPr>
        <w:t>.</w:t>
      </w:r>
    </w:p>
    <w:p w14:paraId="399DB313" w14:textId="77777777" w:rsidR="00671FD8" w:rsidRPr="00671FD8" w:rsidRDefault="00671FD8" w:rsidP="00671F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pl-PL" w:eastAsia="pl-PL"/>
        </w:rPr>
      </w:pPr>
    </w:p>
    <w:p w14:paraId="71EBB77E" w14:textId="058D1648" w:rsidR="009739C4" w:rsidRPr="00671FD8" w:rsidRDefault="008B1316" w:rsidP="0025173C">
      <w:pPr>
        <w:spacing w:after="240" w:line="240" w:lineRule="auto"/>
        <w:ind w:right="108"/>
        <w:jc w:val="both"/>
        <w:rPr>
          <w:rFonts w:ascii="Times New Roman" w:hAnsi="Times New Roman"/>
          <w:b/>
          <w:szCs w:val="20"/>
          <w:lang w:val="pl-PL"/>
        </w:rPr>
      </w:pPr>
      <w:r w:rsidRPr="00671FD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LECZENIE</w:t>
      </w:r>
      <w:r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671FD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CHORYCH</w:t>
      </w:r>
      <w:r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671FD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NA</w:t>
      </w:r>
      <w:r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671FD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ZAAWANSOWANEGO</w:t>
      </w:r>
      <w:r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671FD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RAKA</w:t>
      </w:r>
      <w:r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KOLCZYSTOKOMÓRKOWEGO </w:t>
      </w:r>
      <w:r w:rsidRPr="00671FD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SKÓRY</w:t>
      </w:r>
      <w:r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CEMIPLIMABEM (ICD-10:</w:t>
      </w:r>
      <w:r>
        <w:rPr>
          <w:lang w:val="pl-PL"/>
        </w:rPr>
        <w:t xml:space="preserve"> </w:t>
      </w:r>
      <w:r w:rsidRPr="003E3B01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C44.12,</w:t>
      </w:r>
      <w:r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3E3B01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C44.22,</w:t>
      </w:r>
      <w:r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3E3B01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C44.32,</w:t>
      </w:r>
      <w:r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3E3B01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C44.42,</w:t>
      </w:r>
      <w:r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3E3B01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C44.52,</w:t>
      </w:r>
      <w:r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3E3B01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C44.62,</w:t>
      </w:r>
      <w:r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3E3B01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C44.72,</w:t>
      </w:r>
      <w:r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3E3B01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C44.82,</w:t>
      </w:r>
      <w:r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</w:t>
      </w:r>
      <w:r w:rsidRPr="003E3B01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C44.92</w:t>
      </w:r>
      <w:r w:rsidRPr="00671FD8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5"/>
        <w:gridCol w:w="3700"/>
        <w:gridCol w:w="5774"/>
      </w:tblGrid>
      <w:tr w:rsidR="00127C87" w:rsidRPr="00611FEB" w14:paraId="2E8C4056" w14:textId="77777777" w:rsidTr="00B26B9D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AEB4392" w14:textId="7210A11B" w:rsidR="00127C87" w:rsidRPr="00611FEB" w:rsidRDefault="00127C87" w:rsidP="00611FEB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bookmarkStart w:id="0" w:name="_Hlk84873712"/>
            <w:r w:rsidRPr="00611FEB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ZAKRES</w:t>
            </w:r>
            <w:r w:rsidR="00B26B9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ŚWIADCZENIA</w:t>
            </w:r>
            <w:r w:rsidR="00B26B9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GWARANTOWANEGO</w:t>
            </w:r>
          </w:p>
        </w:tc>
      </w:tr>
      <w:tr w:rsidR="00B26B9D" w:rsidRPr="0061594E" w14:paraId="5156575E" w14:textId="77777777" w:rsidTr="00B26B9D">
        <w:trPr>
          <w:trHeight w:val="567"/>
        </w:trPr>
        <w:tc>
          <w:tcPr>
            <w:tcW w:w="1922" w:type="pct"/>
            <w:shd w:val="clear" w:color="auto" w:fill="auto"/>
            <w:vAlign w:val="center"/>
          </w:tcPr>
          <w:p w14:paraId="558CE64D" w14:textId="77777777" w:rsidR="00127C87" w:rsidRPr="00611FEB" w:rsidRDefault="00127C87" w:rsidP="00611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ŚWIADCZENIOBIORCY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196C079E" w14:textId="55D64959" w:rsidR="00127C87" w:rsidRPr="00611FEB" w:rsidRDefault="00127C87" w:rsidP="00611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SCHEMAT</w:t>
            </w:r>
            <w:r w:rsidR="00B26B9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DAWKOWANIA</w:t>
            </w:r>
            <w:r w:rsidR="00B26B9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="003E3B01" w:rsidRPr="00611FEB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LEKÓW</w:t>
            </w:r>
            <w:r w:rsidR="00B26B9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="003E3B01" w:rsidRPr="00611FEB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PROGRAMIE</w:t>
            </w:r>
          </w:p>
        </w:tc>
        <w:tc>
          <w:tcPr>
            <w:tcW w:w="1876" w:type="pct"/>
            <w:shd w:val="clear" w:color="auto" w:fill="auto"/>
            <w:vAlign w:val="center"/>
          </w:tcPr>
          <w:p w14:paraId="606D0499" w14:textId="7AE6B735" w:rsidR="00127C87" w:rsidRPr="00611FEB" w:rsidRDefault="00127C87" w:rsidP="00B26B9D">
            <w:pPr>
              <w:spacing w:after="0" w:line="240" w:lineRule="auto"/>
              <w:ind w:left="55" w:hanging="55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BADANIA</w:t>
            </w:r>
            <w:r w:rsidR="00B26B9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DIAGNOSTYCZNE</w:t>
            </w:r>
            <w:r w:rsidR="00B26B9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WYKONYWANE</w:t>
            </w:r>
            <w:r w:rsidR="00B26B9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="00B26B9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br/>
            </w:r>
            <w:r w:rsidRPr="00611FEB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RAMACH</w:t>
            </w:r>
            <w:r w:rsidR="00B26B9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PROGRAMU</w:t>
            </w:r>
          </w:p>
        </w:tc>
      </w:tr>
      <w:tr w:rsidR="00B26B9D" w:rsidRPr="0061594E" w14:paraId="5F5525BC" w14:textId="77777777" w:rsidTr="00B26B9D">
        <w:trPr>
          <w:trHeight w:val="20"/>
        </w:trPr>
        <w:tc>
          <w:tcPr>
            <w:tcW w:w="1922" w:type="pct"/>
            <w:shd w:val="clear" w:color="auto" w:fill="auto"/>
          </w:tcPr>
          <w:p w14:paraId="03834D18" w14:textId="124F506E" w:rsidR="00E82756" w:rsidRDefault="00655894" w:rsidP="008B1316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Kwalifikacja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C31EDE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świadczeniobiorców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do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programu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94DE3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przeprowadza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C31EDE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jest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przez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B73C0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espół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B73C0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Koordynacyjny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B73C0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ds.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B73C0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Leczenia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B73C0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Chorych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B73C0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EE2FF1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Raka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E3B01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Kolczystokomórkowego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EE2FF1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Skóry</w:t>
            </w:r>
            <w:r w:rsidR="00894DE3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,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C31EDE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powoływany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C31EDE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przez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C31EDE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Prezesa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C31EDE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Narodowego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C31EDE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Funduszu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C31EDE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Zdrowia</w:t>
            </w:r>
            <w:r w:rsidR="004327C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</w:t>
            </w:r>
          </w:p>
          <w:p w14:paraId="07CD40F0" w14:textId="77777777" w:rsidR="008B1316" w:rsidRPr="008B1316" w:rsidRDefault="008B1316" w:rsidP="008B1316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</w:p>
          <w:p w14:paraId="2582D253" w14:textId="443DA83D" w:rsidR="004E0977" w:rsidRPr="00611FEB" w:rsidRDefault="007A230E" w:rsidP="008B131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Kryteria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kwalifikacji</w:t>
            </w:r>
          </w:p>
          <w:p w14:paraId="26CB77BF" w14:textId="0C542F54" w:rsidR="005911EC" w:rsidRPr="00611FEB" w:rsidRDefault="00C6626B" w:rsidP="008B131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h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istologicznie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potwierdzona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obecność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raka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kolczystokomórkowego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skóry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przerzutami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lub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stadium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miejscowo-zaawansowanym,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braku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kwalifikacji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radykalnego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leczenia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chirurgicznego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lub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radykalnej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radioterapii</w:t>
            </w:r>
            <w:r w:rsidR="00474BB4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66BD99B3" w14:textId="0289FCCA" w:rsidR="00FD3A03" w:rsidRPr="00611FEB" w:rsidRDefault="00C6626B" w:rsidP="008B131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FD3A0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iek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FD3A0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≥18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FD3A0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roku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FD3A0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życia</w:t>
            </w:r>
            <w:r w:rsidR="00474BB4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2ABD731F" w14:textId="22DF779B" w:rsidR="007A230E" w:rsidRPr="00611FEB" w:rsidRDefault="00C6626B" w:rsidP="008B131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</w:t>
            </w:r>
            <w:r w:rsidR="007A230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dekwatna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A230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wydolność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A230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narządowa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A230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określona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A230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A230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podstawie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A230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badań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A230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laboratoryjnych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A230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krwi:</w:t>
            </w:r>
          </w:p>
          <w:p w14:paraId="40F628F4" w14:textId="4DFE03B4" w:rsidR="00EF7B1E" w:rsidRPr="00611FEB" w:rsidRDefault="00EF7B1E" w:rsidP="008B1316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wyniki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badań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czynności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wątroby:</w:t>
            </w:r>
          </w:p>
          <w:p w14:paraId="3E8DF76D" w14:textId="271A53B6" w:rsidR="00EF7B1E" w:rsidRPr="00611FEB" w:rsidRDefault="00EF7B1E" w:rsidP="008B131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stężenie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bilirubiny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całkowitej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nieprzekraczające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2-krotnie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górnej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granicy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normy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D7185B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(</w:t>
            </w:r>
            <w:r w:rsidR="002557C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GGN</w:t>
            </w:r>
            <w:r w:rsidR="00D7185B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)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lub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przypadku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pacjentów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2557C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udokumentowany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2557C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zesp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ołem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Gilberta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nieprzekraczające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D7185B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3-krotnie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GGN</w:t>
            </w:r>
          </w:p>
          <w:p w14:paraId="6759E1D1" w14:textId="2711717B" w:rsidR="002557CA" w:rsidRPr="00611FEB" w:rsidRDefault="00EF7B1E" w:rsidP="008B131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akty</w:t>
            </w:r>
            <w:r w:rsidR="00E16B41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wność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E16B41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transaminaz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E16B41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(alaninowej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E16B41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asparaginowej)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surowicy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nieprzekraczające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3-krotnie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A2F7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GGN</w:t>
            </w:r>
            <w:r w:rsidR="00E8275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,</w:t>
            </w:r>
          </w:p>
          <w:p w14:paraId="6D70BD62" w14:textId="15BBA371" w:rsidR="002557CA" w:rsidRPr="00611FEB" w:rsidRDefault="002557CA" w:rsidP="008B1316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lastRenderedPageBreak/>
              <w:t>wynik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czynności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nerek:</w:t>
            </w:r>
          </w:p>
          <w:p w14:paraId="191E489F" w14:textId="79FE415F" w:rsidR="00EF7B1E" w:rsidRPr="00611FEB" w:rsidRDefault="00EF7B1E" w:rsidP="008B131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stężenie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kreatyniny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2557C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2557C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surowicy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57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nieprzekraczające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57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2,0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57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mg/dL</w:t>
            </w:r>
            <w:r w:rsidR="00E8275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,</w:t>
            </w:r>
          </w:p>
          <w:p w14:paraId="39D4C485" w14:textId="440B5150" w:rsidR="006B6F26" w:rsidRPr="00611FEB" w:rsidRDefault="006B6F26" w:rsidP="008B1316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wynik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czynności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szpiku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kostnego: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</w:p>
          <w:p w14:paraId="3283E41B" w14:textId="5D1D0469" w:rsidR="00EF7B1E" w:rsidRPr="00611FEB" w:rsidRDefault="00EF7B1E" w:rsidP="008B131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stężenie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hemoglobiny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72D7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72D7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najmniej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B53D67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8</w:t>
            </w:r>
            <w:r w:rsidR="006B6F2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,</w:t>
            </w:r>
            <w:r w:rsidR="00157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5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6B6F2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g/dl</w:t>
            </w:r>
          </w:p>
          <w:p w14:paraId="08D2A5B8" w14:textId="116ACA08" w:rsidR="00EF7B1E" w:rsidRPr="00611FEB" w:rsidRDefault="00EF7B1E" w:rsidP="008B131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liczba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6B6F2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neutrofilii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6B6F2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(ANC)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57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57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najmniej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57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1000</w:t>
            </w:r>
            <w:r w:rsidR="00906D0F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/μl</w:t>
            </w:r>
          </w:p>
          <w:p w14:paraId="142C4961" w14:textId="216F9371" w:rsidR="00EF7B1E" w:rsidRPr="00611FEB" w:rsidRDefault="00EF7B1E" w:rsidP="008B1316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liczba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płytek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krwi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06D0F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06D0F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najmniej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06D0F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75000/μl;</w:t>
            </w:r>
          </w:p>
          <w:p w14:paraId="0207D74C" w14:textId="63EE26F8" w:rsidR="00960436" w:rsidRPr="00611FEB" w:rsidRDefault="00C6626B" w:rsidP="008B131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</w:t>
            </w:r>
            <w:r w:rsidR="009604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obiety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604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604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wieku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604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rozrodczym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604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604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mężczyźni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604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muszą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604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spełniać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604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wymogi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604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antykoncepcji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604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zawarte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604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4C56A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aktualnej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4C56A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Charakterystyce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4C56A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Produktu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4C56A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Leczniczego</w:t>
            </w:r>
            <w:r w:rsidR="00474BB4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7EFC1388" w14:textId="77EB82B6" w:rsidR="00300B20" w:rsidRPr="00611FEB" w:rsidRDefault="00C6626B" w:rsidP="008B131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877E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ykluczenie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B877E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</w:t>
            </w:r>
            <w:r w:rsidR="004D1D01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iąż</w:t>
            </w:r>
            <w:r w:rsidR="00B877E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4D1D01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lub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4D1D01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karmi</w:t>
            </w:r>
            <w:r w:rsidR="00B877E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enia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4D1D01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piersią</w:t>
            </w:r>
            <w:r w:rsidR="00474BB4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278656D9" w14:textId="78D94C1F" w:rsidR="00EE2FF1" w:rsidRPr="00611FEB" w:rsidRDefault="00C6626B" w:rsidP="008B131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877E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ykluczenie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00B20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przeciwwskazań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00B20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opisanych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00B20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00B20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aktualnej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00B20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Charakterystyce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00B20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Produktu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00B20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Leczniczego.</w:t>
            </w:r>
          </w:p>
          <w:p w14:paraId="12883275" w14:textId="63749E1D" w:rsidR="003E134A" w:rsidRPr="008B1316" w:rsidRDefault="003E134A" w:rsidP="008B1316">
            <w:pPr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Kryteria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kwalifikacji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muszą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być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spełnione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łącznie.</w:t>
            </w:r>
          </w:p>
          <w:p w14:paraId="33C95456" w14:textId="77777777" w:rsidR="00E82756" w:rsidRPr="00E82756" w:rsidRDefault="00E82756" w:rsidP="00E82756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5C58825E" w14:textId="2DB9B07D" w:rsidR="007A230E" w:rsidRPr="00611FEB" w:rsidRDefault="007A230E" w:rsidP="008B131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Określenie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czasu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leczenia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programie</w:t>
            </w:r>
          </w:p>
          <w:p w14:paraId="4A8E3D05" w14:textId="37468D05" w:rsidR="007A230E" w:rsidRPr="008B1316" w:rsidRDefault="007A230E" w:rsidP="008B131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Leczenie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trwa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do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czasu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podj</w:t>
            </w:r>
            <w:r w:rsidR="00712F93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ęcia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2F93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przez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2F93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lekarza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2F93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prowadzącego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decyzji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wyłączeniu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świadczeniobiorcy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programu,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zgodn</w:t>
            </w:r>
            <w:r w:rsidR="00A7477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ie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7477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kryteriami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wyłączenia.</w:t>
            </w:r>
          </w:p>
          <w:p w14:paraId="2B3F8284" w14:textId="77777777" w:rsidR="00E82756" w:rsidRPr="00E82756" w:rsidRDefault="00E82756" w:rsidP="00E827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</w:p>
          <w:p w14:paraId="03135DC0" w14:textId="41F2A08F" w:rsidR="00B2770A" w:rsidRPr="00611FEB" w:rsidRDefault="007A230E" w:rsidP="008B131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Kryteria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wyłączenia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programu</w:t>
            </w:r>
          </w:p>
          <w:p w14:paraId="4D8C8D77" w14:textId="5ECFB310" w:rsidR="00906D0F" w:rsidRPr="00611FEB" w:rsidRDefault="00906D0F" w:rsidP="008B1316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nadwrażliwość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substancję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czynną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lub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którakolwiek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substancję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pomocniczą</w:t>
            </w:r>
            <w:r w:rsidR="00E8275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6974736E" w14:textId="409A2EF3" w:rsidR="00906D0F" w:rsidRPr="00611FEB" w:rsidRDefault="00906D0F" w:rsidP="008B1316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ciąża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lub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karmienie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piersią</w:t>
            </w:r>
            <w:r w:rsidR="00E8275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385D6EFC" w14:textId="7C858FE4" w:rsidR="00906D0F" w:rsidRPr="00611FEB" w:rsidRDefault="00906D0F" w:rsidP="008B1316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nieprzestrzeganie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zaleceń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programu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zapobiegania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ciąży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17785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zawartego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17785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17785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aktualnej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17785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Charakterystyce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17785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Produktu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17785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Leczniczego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17785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17785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kobiety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17785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17785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wieku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17785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rozrodczym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17785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17785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mężczyzn</w:t>
            </w:r>
            <w:r w:rsidR="00E8275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015FC2EF" w14:textId="18FDF603" w:rsidR="00714FFA" w:rsidRPr="00611FEB" w:rsidRDefault="00017785" w:rsidP="008B1316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obecność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innych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przeciwskazań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zastosowania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cemiplimabu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zawartych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aktualnej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Charakterystyce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Produktu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Leczniczego</w:t>
            </w:r>
            <w:r w:rsidR="00E8275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7B415C1D" w14:textId="47BFDB27" w:rsidR="00714FFA" w:rsidRPr="00611FEB" w:rsidRDefault="00772D7C" w:rsidP="008B1316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lastRenderedPageBreak/>
              <w:t>u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trzymująca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się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lub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nawracająca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nieakceptowalna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toksyczność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powyżej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3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stopnia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według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kryteriów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CTC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(Common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Toxicity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Criteria);</w:t>
            </w:r>
          </w:p>
          <w:p w14:paraId="79361B2A" w14:textId="569458CD" w:rsidR="00714FFA" w:rsidRPr="00611FEB" w:rsidRDefault="00772D7C" w:rsidP="008B1316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bniżenie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sprawności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stopnia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3-4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według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kryteriów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ECOG;</w:t>
            </w:r>
          </w:p>
          <w:p w14:paraId="71A5C8C4" w14:textId="36D5E9D5" w:rsidR="00714FFA" w:rsidRPr="00611FEB" w:rsidRDefault="00772D7C" w:rsidP="008B1316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ogorszenie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jakości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życia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istotnym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znaczeniu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według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oceny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lekarza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lub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pacjenta;</w:t>
            </w:r>
          </w:p>
          <w:p w14:paraId="34C4BA7B" w14:textId="31BF36F5" w:rsidR="00127C87" w:rsidRPr="00611FEB" w:rsidRDefault="00772D7C" w:rsidP="008B1316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ezygnacja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pacjenta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–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wycofanie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zgody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leczenie</w:t>
            </w:r>
            <w:r w:rsidR="00E8275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342188C9" w14:textId="39112A0A" w:rsidR="006C66AC" w:rsidRPr="00611FEB" w:rsidRDefault="006C66AC" w:rsidP="008B1316">
            <w:pPr>
              <w:numPr>
                <w:ilvl w:val="2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brak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współpracy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pacjenta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lekarzem</w:t>
            </w:r>
            <w:r w:rsidR="00E8275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</w:t>
            </w:r>
          </w:p>
          <w:p w14:paraId="226FD711" w14:textId="47C080B7" w:rsidR="00581090" w:rsidRPr="008B1316" w:rsidRDefault="00581090" w:rsidP="008B131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Ponadto,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celu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zapewnienia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kontynuacji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terapii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cemiplimabem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są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kwalifikowani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również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pacjenci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uprzednio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leczeni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cemiplimabem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(w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ramach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innego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sposobu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finansowania)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o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ile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dzień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rozpoczęcia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terapii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spełnili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kryteria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kwalifikacji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określone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punkcie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1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nie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spełnili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kryteriów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wyłączenia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leczenia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określonych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punkcie</w:t>
            </w:r>
            <w:r w:rsidR="00B26B9D" w:rsidRPr="008B131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1263E5" w:rsidRPr="008B1316">
              <w:rPr>
                <w:rFonts w:ascii="Times New Roman" w:hAnsi="Times New Roman"/>
                <w:sz w:val="20"/>
                <w:szCs w:val="20"/>
                <w:lang w:val="pl-PL"/>
              </w:rPr>
              <w:t>3</w:t>
            </w:r>
            <w:r w:rsidRPr="008B1316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2185D370" w14:textId="23DE4E55" w:rsidR="00E82756" w:rsidRPr="00E82756" w:rsidRDefault="00E82756" w:rsidP="00E827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1202" w:type="pct"/>
            <w:shd w:val="clear" w:color="auto" w:fill="auto"/>
          </w:tcPr>
          <w:p w14:paraId="15E419D7" w14:textId="30F259F3" w:rsidR="00A8442A" w:rsidRPr="008B1316" w:rsidRDefault="000A5F23" w:rsidP="008B1316">
            <w:pPr>
              <w:tabs>
                <w:tab w:val="left" w:pos="34"/>
              </w:tabs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lastRenderedPageBreak/>
              <w:t>Dawkowanie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E3B01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cemiplimabu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EE2FF1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zgodnie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EE2FF1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EE2FF1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aktualną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EE2FF1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Chara</w:t>
            </w:r>
            <w:r w:rsidR="002557CA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kterystyką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2557CA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Produktu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2557CA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Leczniczego.</w:t>
            </w:r>
          </w:p>
          <w:p w14:paraId="639A3671" w14:textId="122E447A" w:rsidR="00C06DEC" w:rsidRPr="008B1316" w:rsidRDefault="002557CA" w:rsidP="008B1316">
            <w:pPr>
              <w:tabs>
                <w:tab w:val="left" w:pos="3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Zalecane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dawkowanie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cemiplimabu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to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350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mg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co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25E72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3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tyg.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we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wlewie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dożylnym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przez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30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min.</w:t>
            </w:r>
          </w:p>
          <w:p w14:paraId="2E2779EC" w14:textId="77777777" w:rsidR="00127C87" w:rsidRPr="00611FEB" w:rsidRDefault="00127C87" w:rsidP="00E8275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76" w:type="pct"/>
            <w:shd w:val="clear" w:color="auto" w:fill="auto"/>
          </w:tcPr>
          <w:p w14:paraId="4BB3BA1E" w14:textId="68A032A5" w:rsidR="007A230E" w:rsidRPr="00611FEB" w:rsidRDefault="007A230E" w:rsidP="008B131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Badania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przy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kwalifikacji</w:t>
            </w:r>
          </w:p>
          <w:p w14:paraId="6AFABA90" w14:textId="6916F676" w:rsidR="006037E8" w:rsidRPr="00611FEB" w:rsidRDefault="00952AAA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histologiczne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potwierdzenie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raka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kolczystokomórkowego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skóry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przerzutami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lub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stadium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miejscowo-zaawansowanym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nieresekcyjnym</w:t>
            </w:r>
            <w:r w:rsidR="0063049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</w:p>
          <w:p w14:paraId="2FD40852" w14:textId="7EC0F7AA" w:rsidR="00C6626B" w:rsidRPr="00611FEB" w:rsidRDefault="00C6626B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przedmiotowe;</w:t>
            </w:r>
          </w:p>
          <w:p w14:paraId="744FFBBE" w14:textId="5704F970" w:rsidR="00EE3FD4" w:rsidRPr="00611FEB" w:rsidRDefault="00EE3FD4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ocena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sprawności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skali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ECOG;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</w:p>
          <w:p w14:paraId="3B798C94" w14:textId="6C0D8CC8" w:rsidR="007A230E" w:rsidRPr="00611FEB" w:rsidRDefault="007A230E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morfologia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krwi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rozmazem;</w:t>
            </w:r>
          </w:p>
          <w:p w14:paraId="0B599281" w14:textId="1CEC3912" w:rsidR="007A230E" w:rsidRPr="00611FEB" w:rsidRDefault="007A230E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oznaczenia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stężenia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kreatyniny;</w:t>
            </w:r>
          </w:p>
          <w:p w14:paraId="06560DB3" w14:textId="525CF7CD" w:rsidR="007A230E" w:rsidRPr="00611FEB" w:rsidRDefault="007A230E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oznaczenie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stężenia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bilirubiny;</w:t>
            </w:r>
          </w:p>
          <w:p w14:paraId="2E582D4C" w14:textId="74532A2F" w:rsidR="007A230E" w:rsidRPr="00611FEB" w:rsidRDefault="007A230E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oznaczenie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aktywności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aminotransferazy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alaninowej;</w:t>
            </w:r>
          </w:p>
          <w:p w14:paraId="07CE88F7" w14:textId="0590A37C" w:rsidR="007A230E" w:rsidRPr="00611FEB" w:rsidRDefault="007A230E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oznaczenie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aktywności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aminotransferazy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asparaginianowej;</w:t>
            </w:r>
          </w:p>
          <w:p w14:paraId="1619068D" w14:textId="668F6EAC" w:rsidR="006C66AC" w:rsidRPr="00611FEB" w:rsidRDefault="006C66AC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oznaczenie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TSH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FT4</w:t>
            </w:r>
            <w:r w:rsidR="00E8275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71661FD8" w14:textId="490D3E84" w:rsidR="007A230E" w:rsidRPr="00611FEB" w:rsidRDefault="007A230E" w:rsidP="008B1316">
            <w:pPr>
              <w:numPr>
                <w:ilvl w:val="2"/>
                <w:numId w:val="28"/>
              </w:numPr>
              <w:tabs>
                <w:tab w:val="left" w:pos="563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test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ciążowy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573A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573A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próbki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573A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krwi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kobiet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wieku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rozrodczym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604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(wynik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604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ważny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604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4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604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dni)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75E09F58" w14:textId="0F31975D" w:rsidR="008573AE" w:rsidRPr="00611FEB" w:rsidRDefault="008573AE" w:rsidP="008B1316">
            <w:pPr>
              <w:numPr>
                <w:ilvl w:val="2"/>
                <w:numId w:val="28"/>
              </w:numPr>
              <w:tabs>
                <w:tab w:val="left" w:pos="563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ocena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rozległości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zmian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badaniu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przedmiotowym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wraz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dokumentacją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fotograficzną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F148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widocznych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F1483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zmian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4E414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(na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4E414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zdjęciu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4E414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widoczna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4E414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skala)</w:t>
            </w:r>
            <w:r w:rsidR="009C013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454DF92A" w14:textId="3338AB27" w:rsidR="007A230E" w:rsidRPr="00611FEB" w:rsidRDefault="007A230E" w:rsidP="008B1316">
            <w:pPr>
              <w:numPr>
                <w:ilvl w:val="2"/>
                <w:numId w:val="28"/>
              </w:numPr>
              <w:tabs>
                <w:tab w:val="left" w:pos="646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45482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TK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573A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lub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573A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MR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F211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F211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przypadku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F211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wskazań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F211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klinicznych,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F211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dla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F211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głębokości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F211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naciekania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F211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nowotworowego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573A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lub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573A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udokumentowania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573A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zmian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8573AE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przerzutowych</w:t>
            </w:r>
            <w:r w:rsidR="00A85659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,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85659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ocena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85659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RECIST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F714C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1.1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</w:p>
          <w:p w14:paraId="5B5CA662" w14:textId="6336E1C1" w:rsidR="007A230E" w:rsidRPr="00611FEB" w:rsidRDefault="007A230E" w:rsidP="008B1316">
            <w:pPr>
              <w:numPr>
                <w:ilvl w:val="2"/>
                <w:numId w:val="28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lastRenderedPageBreak/>
              <w:t>inne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razie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wskazań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klinicznych.</w:t>
            </w:r>
          </w:p>
          <w:p w14:paraId="0A10D593" w14:textId="426A25D0" w:rsidR="00712F93" w:rsidRPr="008B1316" w:rsidRDefault="00462068" w:rsidP="008B131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</w:t>
            </w:r>
            <w:r w:rsidR="007A230E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adania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A230E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obra</w:t>
            </w:r>
            <w:r w:rsidR="00712F93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zowe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500A16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lub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500A16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dokumentacja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500A16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fotograficzna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2F93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muszą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12F93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umożliwić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A230E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obiektywną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A230E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ocenę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A230E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odpowiedzi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A230E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</w:t>
            </w:r>
            <w:r w:rsidR="00B26B9D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A230E" w:rsidRPr="008B131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leczenie.</w:t>
            </w:r>
          </w:p>
          <w:p w14:paraId="5BD3E22D" w14:textId="77777777" w:rsidR="00E82756" w:rsidRPr="00E82756" w:rsidRDefault="00E82756" w:rsidP="00B26B9D">
            <w:pPr>
              <w:autoSpaceDE w:val="0"/>
              <w:autoSpaceDN w:val="0"/>
              <w:adjustRightInd w:val="0"/>
              <w:spacing w:after="60"/>
              <w:ind w:left="55" w:hanging="55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</w:p>
          <w:p w14:paraId="5F98249F" w14:textId="677CA041" w:rsidR="009C013C" w:rsidRPr="00611FEB" w:rsidRDefault="007A230E" w:rsidP="008B131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Monitorowanie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8D3891"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bezpieczeństwa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leczeni</w:t>
            </w:r>
            <w:r w:rsidR="009C013C"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a</w:t>
            </w:r>
          </w:p>
          <w:p w14:paraId="6AC1D6CE" w14:textId="5097959A" w:rsidR="007A230E" w:rsidRPr="00611FEB" w:rsidRDefault="007A230E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morfologia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krwi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rozmazem;</w:t>
            </w:r>
          </w:p>
          <w:p w14:paraId="295A7E05" w14:textId="7ACB5008" w:rsidR="007A230E" w:rsidRPr="00611FEB" w:rsidRDefault="007A230E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oznaczenia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stężenia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kreatyniny;</w:t>
            </w:r>
          </w:p>
          <w:p w14:paraId="0FA14FD9" w14:textId="3C2C6390" w:rsidR="002A60A6" w:rsidRPr="00611FEB" w:rsidRDefault="007A230E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oznaczenie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stężenia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bilirubiny;</w:t>
            </w:r>
          </w:p>
          <w:p w14:paraId="3A80FCFE" w14:textId="37589D4D" w:rsidR="007A230E" w:rsidRPr="00611FEB" w:rsidRDefault="007A230E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oznaczenie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aktywności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aminotransferazy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alaninowej;</w:t>
            </w:r>
          </w:p>
          <w:p w14:paraId="017668DB" w14:textId="372A9525" w:rsidR="007A230E" w:rsidRPr="00611FEB" w:rsidRDefault="007A230E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oznaczenie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aktywności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aminotransferazy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asparaginianowej;</w:t>
            </w:r>
          </w:p>
          <w:p w14:paraId="0C102187" w14:textId="0293D76D" w:rsidR="003B0D3F" w:rsidRPr="00611FEB" w:rsidRDefault="003B0D3F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oznaczenie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TSH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FT4;</w:t>
            </w:r>
          </w:p>
          <w:p w14:paraId="62FE7BFF" w14:textId="2CE9B417" w:rsidR="00FF17FF" w:rsidRPr="00611FEB" w:rsidRDefault="00FF17FF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test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ciążowy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próbki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krwi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kobiet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wieku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rozrodczym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0410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(wynik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0410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ważny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0410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4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0410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dni)</w:t>
            </w:r>
            <w:r w:rsidR="006037E8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57E7C9BD" w14:textId="037A4D9A" w:rsidR="004F780E" w:rsidRPr="00611FEB" w:rsidRDefault="00D34E34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inne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razie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wskazań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klinicznych</w:t>
            </w:r>
            <w:r w:rsidR="006037E8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</w:t>
            </w:r>
          </w:p>
          <w:p w14:paraId="34DBA0AF" w14:textId="16825188" w:rsidR="001E408A" w:rsidRPr="00D62A92" w:rsidRDefault="00A7477D" w:rsidP="00D62A9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Badania</w:t>
            </w:r>
            <w:r w:rsidR="00B26B9D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wykonuje</w:t>
            </w:r>
            <w:r w:rsidR="00B26B9D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się</w:t>
            </w:r>
            <w:r w:rsidR="00B26B9D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5C54A0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czasie</w:t>
            </w:r>
            <w:r w:rsidR="00B26B9D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5C54A0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6</w:t>
            </w:r>
            <w:r w:rsidR="00B26B9D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5C54A0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pierwszych</w:t>
            </w:r>
            <w:r w:rsidR="00B26B9D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5C54A0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tygodni</w:t>
            </w:r>
            <w:r w:rsidR="00B26B9D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5C54A0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leczenia</w:t>
            </w:r>
            <w:r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,</w:t>
            </w:r>
            <w:r w:rsidR="00B26B9D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85659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</w:t>
            </w:r>
            <w:r w:rsidR="00B26B9D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85659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następnie</w:t>
            </w:r>
            <w:r w:rsidR="00B26B9D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C01EEA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przed</w:t>
            </w:r>
            <w:r w:rsidR="00B26B9D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C01EEA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decyzją</w:t>
            </w:r>
            <w:r w:rsidR="00B26B9D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C01EEA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</w:t>
            </w:r>
            <w:r w:rsidR="00B26B9D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4259B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kontynuowaniu</w:t>
            </w:r>
            <w:r w:rsidR="00B26B9D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4259B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leczenia</w:t>
            </w:r>
            <w:r w:rsidR="004D2AA9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</w:t>
            </w:r>
            <w:r w:rsidR="00B26B9D" w:rsidRPr="00D62A92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</w:p>
          <w:p w14:paraId="4641C2D0" w14:textId="77777777" w:rsidR="00E82756" w:rsidRPr="00E82756" w:rsidRDefault="00E82756" w:rsidP="00B26B9D">
            <w:pPr>
              <w:autoSpaceDE w:val="0"/>
              <w:autoSpaceDN w:val="0"/>
              <w:adjustRightInd w:val="0"/>
              <w:spacing w:after="60"/>
              <w:ind w:left="55" w:hanging="55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</w:p>
          <w:p w14:paraId="4AEAB898" w14:textId="127ECF52" w:rsidR="007A230E" w:rsidRPr="00611FEB" w:rsidRDefault="007A230E" w:rsidP="008B131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Monitorowanie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skuteczności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leczenia</w:t>
            </w:r>
          </w:p>
          <w:p w14:paraId="241D50BA" w14:textId="73641DD2" w:rsidR="009C013C" w:rsidRPr="00E82756" w:rsidRDefault="00960436" w:rsidP="008B1316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U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pacjentów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54822"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miejscowo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zaawansowanym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14FFA"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(nieresekcyjnym)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B73C0"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rakiem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896DDC"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kolczystokomórkowym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BA4E24"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skóry</w:t>
            </w:r>
            <w:r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:</w:t>
            </w:r>
          </w:p>
          <w:p w14:paraId="3246A044" w14:textId="41AA684D" w:rsidR="009C013C" w:rsidRPr="00611FEB" w:rsidRDefault="0014259B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ocena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kliniczna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wraz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dokumentacją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fotograficzną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widocznych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zmian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4E414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(na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4E414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zdjęciu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4E414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widoczna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4E414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skala)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F211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F211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9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-12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tyg</w:t>
            </w:r>
            <w:r w:rsidR="009C013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oraz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chwili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wyłączenia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programu,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ile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E408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wyłączenie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E408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E408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programu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nastąpiło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powodu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udokumentowanej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progresji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choroby</w:t>
            </w:r>
            <w:r w:rsidR="0045482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5A7F30AF" w14:textId="317EA351" w:rsidR="00960436" w:rsidRPr="00611FEB" w:rsidRDefault="00960436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645FB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TK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lub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MR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odpowiedniego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obszaru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przy</w:t>
            </w:r>
            <w:r w:rsidR="00B07834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padku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B07834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miejscowo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B07834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zaawansowanego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B07834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CC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zmian</w:t>
            </w:r>
            <w:r w:rsidR="00A85659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ami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85659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mierzalnymi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85659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wg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85659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RECIST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F714C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1.1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F0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F0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zależności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F0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od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F0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sytuacji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F0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klinicznej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oraz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chwili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wyłączenia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programu,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ile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A5F2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wyłączenie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A5F23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E408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programu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nastąpiło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powodu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udokumentowanej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progresji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choroby</w:t>
            </w:r>
            <w:r w:rsidR="0045482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5C7B9D90" w14:textId="1291CE22" w:rsidR="009C013C" w:rsidRPr="00611FEB" w:rsidRDefault="00960436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lastRenderedPageBreak/>
              <w:t>inne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obrazowe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razie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wskazań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klinicznych.</w:t>
            </w:r>
          </w:p>
          <w:p w14:paraId="16E858F2" w14:textId="57FE178A" w:rsidR="003E134A" w:rsidRPr="00D62A92" w:rsidRDefault="003E134A" w:rsidP="00D62A9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Dla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oceny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zmian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skórnych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stosuje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się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złożony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punkt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końcowy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34596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obejmujący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34596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ocenę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34596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danych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34596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radiologicznych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34596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wg.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34596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RECIST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714CC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1.1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34596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34596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cyfrowych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34596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zdjęć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A34596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medycznych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52AAA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(kryteria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52AAA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WHO).</w:t>
            </w:r>
          </w:p>
          <w:p w14:paraId="6AA8F36F" w14:textId="3AD05B04" w:rsidR="00960436" w:rsidRPr="00D62A92" w:rsidRDefault="003E134A" w:rsidP="00D62A9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Progresję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choroby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stwierdza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się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przypadku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zwiększenia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sumy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najdłuższych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wymiarów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widocznych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zmian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o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20%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pojawienia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się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nowej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zmiany,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które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nie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wykazuje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cech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gojenia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następnej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wizyty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kontrolnej.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przypadku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zmian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mierzalnych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odpowiedź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jest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D62A92">
              <w:rPr>
                <w:rFonts w:ascii="Times New Roman" w:hAnsi="Times New Roman"/>
                <w:sz w:val="20"/>
                <w:szCs w:val="20"/>
                <w:lang w:val="pl-PL"/>
              </w:rPr>
              <w:t>zdefinio</w:t>
            </w:r>
            <w:r w:rsidR="008C1775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wana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C1775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według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C1775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kryteriów</w:t>
            </w:r>
            <w:r w:rsidR="00B26B9D" w:rsidRPr="00D62A9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C1775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RECIST</w:t>
            </w:r>
            <w:r w:rsidR="00F714CC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1.1</w:t>
            </w:r>
            <w:r w:rsidR="00390814" w:rsidRPr="00D62A92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52A2584C" w14:textId="77777777" w:rsidR="00E82756" w:rsidRPr="00E82756" w:rsidRDefault="00E82756" w:rsidP="00B26B9D">
            <w:pPr>
              <w:autoSpaceDE w:val="0"/>
              <w:autoSpaceDN w:val="0"/>
              <w:adjustRightInd w:val="0"/>
              <w:spacing w:after="60"/>
              <w:ind w:left="55" w:hanging="55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1FABAC7D" w14:textId="0D2FFE13" w:rsidR="002A60A6" w:rsidRPr="00E82756" w:rsidRDefault="00960436" w:rsidP="008B1316">
            <w:pPr>
              <w:pStyle w:val="Akapitzlist"/>
              <w:keepNext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U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pacjentów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54822"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B73C0"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rakiem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896DDC"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kolczystokomórkowym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BA4E24"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skóry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A5F23"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A5F23" w:rsidRPr="00E82756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przerzutami:</w:t>
            </w:r>
          </w:p>
          <w:p w14:paraId="3E09B10D" w14:textId="0BE0758D" w:rsidR="00A85659" w:rsidRPr="00611FEB" w:rsidRDefault="00A85659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ocena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kliniczna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wraz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AB7A86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cyfrową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dokumentacją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fotograficzną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widocznych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zmian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(na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zdjęciu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widoczna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skala)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rzadziej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niż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9</w:t>
            </w:r>
            <w:r w:rsidR="00714FF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-12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tyg.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oraz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chwili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wyłączenia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programu,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ile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wyłączenie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programu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nastąpiło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powodu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udokumentowanej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progresji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choroby</w:t>
            </w:r>
            <w:r w:rsidR="00E82756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11014923" w14:textId="36CBAB20" w:rsidR="00B2770A" w:rsidRPr="00611FEB" w:rsidRDefault="007A230E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4259B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T</w:t>
            </w:r>
            <w:r w:rsidR="00B3573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4259B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lub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4259B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MR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4259B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odpowiedniego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7B73C0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obszaru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B044B8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–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F0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F0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zależności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F0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od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F0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sytuacji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0F01BC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klinicznej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oraz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chwili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wyłączenia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programu,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ile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E408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wyłączenie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E408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1E408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programu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nastąpiło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powodu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udokumentowanej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progresji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choroby</w:t>
            </w:r>
            <w:r w:rsidR="00390814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90814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1E408A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przypadku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1E408A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zmian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1E408A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mierzalnych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1E408A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o</w:t>
            </w:r>
            <w:r w:rsidR="009D6932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dpowiedź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jest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D6932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zdefinio</w:t>
            </w:r>
            <w:r w:rsidR="008C1775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wana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C1775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według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C1775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kryteriów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C1775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RECIST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714CC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1.1</w:t>
            </w:r>
            <w:r w:rsidR="00B2770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;</w:t>
            </w:r>
          </w:p>
          <w:p w14:paraId="795F8B6B" w14:textId="6C61FAF8" w:rsidR="007A230E" w:rsidRPr="00611FEB" w:rsidRDefault="00960436" w:rsidP="008B1316">
            <w:pPr>
              <w:numPr>
                <w:ilvl w:val="2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inne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badania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obrazowe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razie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wskazań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klinicznych</w:t>
            </w:r>
            <w:r w:rsidR="001E408A" w:rsidRPr="00611FE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</w:t>
            </w:r>
            <w:r w:rsidR="00B26B9D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</w:p>
          <w:p w14:paraId="6B0B70CE" w14:textId="77777777" w:rsidR="008C1775" w:rsidRPr="00611FEB" w:rsidRDefault="008C1775" w:rsidP="00B26B9D">
            <w:pPr>
              <w:autoSpaceDE w:val="0"/>
              <w:autoSpaceDN w:val="0"/>
              <w:adjustRightInd w:val="0"/>
              <w:spacing w:after="60"/>
              <w:ind w:left="55" w:hanging="55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4D9AFDD3" w14:textId="626328E9" w:rsidR="00B2770A" w:rsidRPr="00611FEB" w:rsidRDefault="003467AB" w:rsidP="008B131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Monitorowanie</w:t>
            </w:r>
            <w:r w:rsidR="00B26B9D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programu</w:t>
            </w:r>
          </w:p>
          <w:p w14:paraId="4E086E4E" w14:textId="3DB76514" w:rsidR="006037E8" w:rsidRPr="00611FEB" w:rsidRDefault="003467AB" w:rsidP="008B1316">
            <w:pPr>
              <w:numPr>
                <w:ilvl w:val="2"/>
                <w:numId w:val="28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gromadzenie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dokumentacji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medycznej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pacjenta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danych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dotyczących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monitorowania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leczenia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ka</w:t>
            </w:r>
            <w:r w:rsidR="000A5F23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żdorazowe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0A5F23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ich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0A5F23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przedstawianie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0A5F23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żądanie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kontrolerów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Narodowego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Funduszu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Zdrowia;</w:t>
            </w:r>
          </w:p>
          <w:p w14:paraId="347C7A55" w14:textId="56C611F7" w:rsidR="003467AB" w:rsidRPr="00611FEB" w:rsidRDefault="003467AB" w:rsidP="008B1316">
            <w:pPr>
              <w:numPr>
                <w:ilvl w:val="2"/>
                <w:numId w:val="28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uzupełnienie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danych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zawartych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rejestrze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(SMPT)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dostępnym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za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pomocą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aplikacji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internetowe</w:t>
            </w:r>
            <w:r w:rsidR="000A5F23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j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0A5F23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udostępnionej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0A5F23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przez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0A5F23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OW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0A5F23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NFZ,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0A5F23" w:rsidRPr="00611FEB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częstotliwością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zgodną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opisem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programu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oraz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zakończenie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leczenia;</w:t>
            </w:r>
          </w:p>
          <w:p w14:paraId="5B79739D" w14:textId="542E3664" w:rsidR="00127C87" w:rsidRDefault="003467AB" w:rsidP="008B1316">
            <w:pPr>
              <w:numPr>
                <w:ilvl w:val="2"/>
                <w:numId w:val="28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przekazywanie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informacji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sprawozdawczo-rozliczeniowych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NFZ: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informacje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przekazuje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się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NFZ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formie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papierowej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formie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elektronicznej,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zgodnie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wymaganiami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opublikowanymi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przez</w:t>
            </w:r>
            <w:r w:rsidR="00B26B9D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11FEB">
              <w:rPr>
                <w:rFonts w:ascii="Times New Roman" w:hAnsi="Times New Roman"/>
                <w:sz w:val="20"/>
                <w:szCs w:val="20"/>
                <w:lang w:val="pl-PL"/>
              </w:rPr>
              <w:t>NFZ.</w:t>
            </w:r>
          </w:p>
          <w:p w14:paraId="266DDA1C" w14:textId="663A0908" w:rsidR="00E82756" w:rsidRPr="00611FEB" w:rsidRDefault="00E82756" w:rsidP="00B26B9D">
            <w:pPr>
              <w:spacing w:after="60"/>
              <w:ind w:left="55" w:hanging="55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bookmarkEnd w:id="0"/>
    </w:tbl>
    <w:p w14:paraId="609574A9" w14:textId="77777777" w:rsidR="008006DA" w:rsidRPr="002E2FF6" w:rsidRDefault="008006DA" w:rsidP="00B2770A">
      <w:pPr>
        <w:rPr>
          <w:rFonts w:ascii="Calibri" w:hAnsi="Calibri" w:cs="Arial"/>
          <w:sz w:val="20"/>
          <w:szCs w:val="20"/>
          <w:lang w:val="pl-PL"/>
        </w:rPr>
      </w:pPr>
    </w:p>
    <w:sectPr w:rsidR="008006DA" w:rsidRPr="002E2FF6" w:rsidSect="00671FD8">
      <w:pgSz w:w="16839" w:h="11907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7A16" w14:textId="77777777" w:rsidR="00E86C4B" w:rsidRDefault="00E86C4B" w:rsidP="00C31EDE">
      <w:pPr>
        <w:spacing w:after="0" w:line="240" w:lineRule="auto"/>
      </w:pPr>
      <w:r>
        <w:separator/>
      </w:r>
    </w:p>
  </w:endnote>
  <w:endnote w:type="continuationSeparator" w:id="0">
    <w:p w14:paraId="0038068A" w14:textId="77777777" w:rsidR="00E86C4B" w:rsidRDefault="00E86C4B" w:rsidP="00C3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ion">
    <w:altName w:val="Cambria Math"/>
    <w:charset w:val="00"/>
    <w:family w:val="roman"/>
    <w:pitch w:val="variable"/>
    <w:sig w:usb0="E00002AF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9A07" w14:textId="77777777" w:rsidR="00E86C4B" w:rsidRDefault="00E86C4B" w:rsidP="00C31EDE">
      <w:pPr>
        <w:spacing w:after="0" w:line="240" w:lineRule="auto"/>
      </w:pPr>
      <w:r>
        <w:separator/>
      </w:r>
    </w:p>
  </w:footnote>
  <w:footnote w:type="continuationSeparator" w:id="0">
    <w:p w14:paraId="0B25A963" w14:textId="77777777" w:rsidR="00E86C4B" w:rsidRDefault="00E86C4B" w:rsidP="00C3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3D"/>
    <w:multiLevelType w:val="hybridMultilevel"/>
    <w:tmpl w:val="32DED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219F"/>
    <w:multiLevelType w:val="hybridMultilevel"/>
    <w:tmpl w:val="6A6642EA"/>
    <w:lvl w:ilvl="0" w:tplc="81029FE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F8515B5"/>
    <w:multiLevelType w:val="hybridMultilevel"/>
    <w:tmpl w:val="EACC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67D0"/>
    <w:multiLevelType w:val="hybridMultilevel"/>
    <w:tmpl w:val="297CD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364FA"/>
    <w:multiLevelType w:val="hybridMultilevel"/>
    <w:tmpl w:val="2B0826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C01E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0D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A3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30D2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B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E298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871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971EB"/>
    <w:multiLevelType w:val="multilevel"/>
    <w:tmpl w:val="4348B3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2DC9319C"/>
    <w:multiLevelType w:val="hybridMultilevel"/>
    <w:tmpl w:val="EACC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20E48"/>
    <w:multiLevelType w:val="hybridMultilevel"/>
    <w:tmpl w:val="17F21C3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3550121"/>
    <w:multiLevelType w:val="hybridMultilevel"/>
    <w:tmpl w:val="0D72166A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34492102"/>
    <w:multiLevelType w:val="hybridMultilevel"/>
    <w:tmpl w:val="72E65E80"/>
    <w:lvl w:ilvl="0" w:tplc="B7BE87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B5C67EF"/>
    <w:multiLevelType w:val="hybridMultilevel"/>
    <w:tmpl w:val="F6BAD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42D40"/>
    <w:multiLevelType w:val="hybridMultilevel"/>
    <w:tmpl w:val="5D04B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94B42"/>
    <w:multiLevelType w:val="hybridMultilevel"/>
    <w:tmpl w:val="D68A1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D43D0"/>
    <w:multiLevelType w:val="multilevel"/>
    <w:tmpl w:val="9F027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21C7857"/>
    <w:multiLevelType w:val="multilevel"/>
    <w:tmpl w:val="45228BB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43FF4E4F"/>
    <w:multiLevelType w:val="multilevel"/>
    <w:tmpl w:val="D292A4F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4D2A7A25"/>
    <w:multiLevelType w:val="hybridMultilevel"/>
    <w:tmpl w:val="169E1A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24665E"/>
    <w:multiLevelType w:val="hybridMultilevel"/>
    <w:tmpl w:val="DCA40B8E"/>
    <w:lvl w:ilvl="0" w:tplc="04150017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5480700F"/>
    <w:multiLevelType w:val="hybridMultilevel"/>
    <w:tmpl w:val="7E4A7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73EEC"/>
    <w:multiLevelType w:val="hybridMultilevel"/>
    <w:tmpl w:val="5D04B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966DE"/>
    <w:multiLevelType w:val="hybridMultilevel"/>
    <w:tmpl w:val="5BECF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F21C6"/>
    <w:multiLevelType w:val="multilevel"/>
    <w:tmpl w:val="611E386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2" w15:restartNumberingAfterBreak="0">
    <w:nsid w:val="61C63F57"/>
    <w:multiLevelType w:val="hybridMultilevel"/>
    <w:tmpl w:val="65DAC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D20AC"/>
    <w:multiLevelType w:val="hybridMultilevel"/>
    <w:tmpl w:val="F3BAC10E"/>
    <w:lvl w:ilvl="0" w:tplc="AC50FA7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B40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927851"/>
    <w:multiLevelType w:val="hybridMultilevel"/>
    <w:tmpl w:val="5D04B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C1F11"/>
    <w:multiLevelType w:val="hybridMultilevel"/>
    <w:tmpl w:val="D68A1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4"/>
  </w:num>
  <w:num w:numId="4">
    <w:abstractNumId w:val="9"/>
  </w:num>
  <w:num w:numId="5">
    <w:abstractNumId w:val="1"/>
  </w:num>
  <w:num w:numId="6">
    <w:abstractNumId w:val="23"/>
  </w:num>
  <w:num w:numId="7">
    <w:abstractNumId w:val="11"/>
  </w:num>
  <w:num w:numId="8">
    <w:abstractNumId w:val="12"/>
  </w:num>
  <w:num w:numId="9">
    <w:abstractNumId w:val="16"/>
  </w:num>
  <w:num w:numId="10">
    <w:abstractNumId w:val="2"/>
  </w:num>
  <w:num w:numId="11">
    <w:abstractNumId w:val="3"/>
  </w:num>
  <w:num w:numId="12">
    <w:abstractNumId w:val="0"/>
  </w:num>
  <w:num w:numId="13">
    <w:abstractNumId w:val="20"/>
  </w:num>
  <w:num w:numId="14">
    <w:abstractNumId w:val="22"/>
  </w:num>
  <w:num w:numId="15">
    <w:abstractNumId w:val="8"/>
  </w:num>
  <w:num w:numId="16">
    <w:abstractNumId w:val="10"/>
  </w:num>
  <w:num w:numId="17">
    <w:abstractNumId w:val="7"/>
  </w:num>
  <w:num w:numId="18">
    <w:abstractNumId w:val="18"/>
  </w:num>
  <w:num w:numId="19">
    <w:abstractNumId w:val="19"/>
  </w:num>
  <w:num w:numId="20">
    <w:abstractNumId w:val="25"/>
  </w:num>
  <w:num w:numId="21">
    <w:abstractNumId w:val="4"/>
  </w:num>
  <w:num w:numId="22">
    <w:abstractNumId w:val="26"/>
  </w:num>
  <w:num w:numId="23">
    <w:abstractNumId w:val="6"/>
  </w:num>
  <w:num w:numId="24">
    <w:abstractNumId w:val="15"/>
  </w:num>
  <w:num w:numId="25">
    <w:abstractNumId w:val="21"/>
  </w:num>
  <w:num w:numId="26">
    <w:abstractNumId w:val="21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27" w:hanging="227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pPr>
          <w:ind w:left="397" w:hanging="227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lowerLetter"/>
        <w:suff w:val="space"/>
        <w:lvlText w:val="%4)"/>
        <w:lvlJc w:val="left"/>
        <w:pPr>
          <w:ind w:left="567" w:hanging="227"/>
        </w:pPr>
        <w:rPr>
          <w:rFonts w:hint="default"/>
        </w:rPr>
      </w:lvl>
    </w:lvlOverride>
    <w:lvlOverride w:ilvl="4">
      <w:lvl w:ilvl="4">
        <w:start w:val="1"/>
        <w:numFmt w:val="bullet"/>
        <w:suff w:val="space"/>
        <w:lvlText w:val=""/>
        <w:lvlJc w:val="left"/>
        <w:pPr>
          <w:ind w:left="680" w:hanging="170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94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44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5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26" w:hanging="1440"/>
        </w:pPr>
        <w:rPr>
          <w:rFonts w:hint="default"/>
        </w:rPr>
      </w:lvl>
    </w:lvlOverride>
  </w:num>
  <w:num w:numId="27">
    <w:abstractNumId w:val="5"/>
  </w:num>
  <w:num w:numId="2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3NDEysDQ1sTAwNbNQ0lEKTi0uzszPAykwrAUAJbnErywAAAA="/>
  </w:docVars>
  <w:rsids>
    <w:rsidRoot w:val="008006DA"/>
    <w:rsid w:val="000004B2"/>
    <w:rsid w:val="00004102"/>
    <w:rsid w:val="0001399D"/>
    <w:rsid w:val="00017785"/>
    <w:rsid w:val="000645FB"/>
    <w:rsid w:val="000753C1"/>
    <w:rsid w:val="00076EB9"/>
    <w:rsid w:val="000803E2"/>
    <w:rsid w:val="00081F9E"/>
    <w:rsid w:val="000846A6"/>
    <w:rsid w:val="00094C14"/>
    <w:rsid w:val="000A5F23"/>
    <w:rsid w:val="000A6E0E"/>
    <w:rsid w:val="000B097D"/>
    <w:rsid w:val="000D0767"/>
    <w:rsid w:val="000D6159"/>
    <w:rsid w:val="000D6BFC"/>
    <w:rsid w:val="000E434B"/>
    <w:rsid w:val="000F01BC"/>
    <w:rsid w:val="000F159B"/>
    <w:rsid w:val="00107F26"/>
    <w:rsid w:val="00113689"/>
    <w:rsid w:val="00124CB7"/>
    <w:rsid w:val="001263E5"/>
    <w:rsid w:val="00127C87"/>
    <w:rsid w:val="00135C15"/>
    <w:rsid w:val="001379CD"/>
    <w:rsid w:val="0014259B"/>
    <w:rsid w:val="001571BC"/>
    <w:rsid w:val="00165CCC"/>
    <w:rsid w:val="001751BF"/>
    <w:rsid w:val="001779E2"/>
    <w:rsid w:val="00190927"/>
    <w:rsid w:val="00190ECD"/>
    <w:rsid w:val="00191229"/>
    <w:rsid w:val="001B3C8E"/>
    <w:rsid w:val="001B3D48"/>
    <w:rsid w:val="001C3B7F"/>
    <w:rsid w:val="001D27C0"/>
    <w:rsid w:val="001D3377"/>
    <w:rsid w:val="001D5C6E"/>
    <w:rsid w:val="001D648C"/>
    <w:rsid w:val="001E0683"/>
    <w:rsid w:val="001E408A"/>
    <w:rsid w:val="001E644F"/>
    <w:rsid w:val="001F15FB"/>
    <w:rsid w:val="0021732B"/>
    <w:rsid w:val="00224F8B"/>
    <w:rsid w:val="00226135"/>
    <w:rsid w:val="00230A68"/>
    <w:rsid w:val="0024494D"/>
    <w:rsid w:val="00244F30"/>
    <w:rsid w:val="0025173C"/>
    <w:rsid w:val="00252314"/>
    <w:rsid w:val="002557CA"/>
    <w:rsid w:val="00262108"/>
    <w:rsid w:val="002645CD"/>
    <w:rsid w:val="00266F90"/>
    <w:rsid w:val="002820D0"/>
    <w:rsid w:val="00283AF2"/>
    <w:rsid w:val="002856D2"/>
    <w:rsid w:val="002953C5"/>
    <w:rsid w:val="002A266D"/>
    <w:rsid w:val="002A4BFC"/>
    <w:rsid w:val="002A60A6"/>
    <w:rsid w:val="002B0943"/>
    <w:rsid w:val="002C7EA8"/>
    <w:rsid w:val="002D09A9"/>
    <w:rsid w:val="002E2FF6"/>
    <w:rsid w:val="002E5CED"/>
    <w:rsid w:val="002F6497"/>
    <w:rsid w:val="00300B20"/>
    <w:rsid w:val="00303F8B"/>
    <w:rsid w:val="00304EA6"/>
    <w:rsid w:val="00313993"/>
    <w:rsid w:val="003369A1"/>
    <w:rsid w:val="00336CBF"/>
    <w:rsid w:val="00345989"/>
    <w:rsid w:val="003467AB"/>
    <w:rsid w:val="00370DFE"/>
    <w:rsid w:val="003757A4"/>
    <w:rsid w:val="00376CA4"/>
    <w:rsid w:val="003825E6"/>
    <w:rsid w:val="00390814"/>
    <w:rsid w:val="003B0D3F"/>
    <w:rsid w:val="003B7BC6"/>
    <w:rsid w:val="003C120F"/>
    <w:rsid w:val="003D5B1A"/>
    <w:rsid w:val="003E134A"/>
    <w:rsid w:val="003E3B01"/>
    <w:rsid w:val="003F2113"/>
    <w:rsid w:val="003F768C"/>
    <w:rsid w:val="004263BC"/>
    <w:rsid w:val="004327CD"/>
    <w:rsid w:val="00436D41"/>
    <w:rsid w:val="00437FF8"/>
    <w:rsid w:val="00454822"/>
    <w:rsid w:val="00461FBB"/>
    <w:rsid w:val="00462068"/>
    <w:rsid w:val="00474BB4"/>
    <w:rsid w:val="004847BA"/>
    <w:rsid w:val="00486405"/>
    <w:rsid w:val="004A2818"/>
    <w:rsid w:val="004C56A3"/>
    <w:rsid w:val="004D1D01"/>
    <w:rsid w:val="004D2AA9"/>
    <w:rsid w:val="004E0977"/>
    <w:rsid w:val="004E414C"/>
    <w:rsid w:val="004E6F24"/>
    <w:rsid w:val="004F187D"/>
    <w:rsid w:val="004F780E"/>
    <w:rsid w:val="00500A16"/>
    <w:rsid w:val="005053E0"/>
    <w:rsid w:val="00522A55"/>
    <w:rsid w:val="005247CF"/>
    <w:rsid w:val="00526812"/>
    <w:rsid w:val="005327F6"/>
    <w:rsid w:val="00533B99"/>
    <w:rsid w:val="00537EAD"/>
    <w:rsid w:val="0054394C"/>
    <w:rsid w:val="0054540A"/>
    <w:rsid w:val="005462FE"/>
    <w:rsid w:val="00554382"/>
    <w:rsid w:val="005638F6"/>
    <w:rsid w:val="00581090"/>
    <w:rsid w:val="005911EC"/>
    <w:rsid w:val="005A1AAB"/>
    <w:rsid w:val="005B6162"/>
    <w:rsid w:val="005C54A0"/>
    <w:rsid w:val="006019D0"/>
    <w:rsid w:val="00601F0F"/>
    <w:rsid w:val="006037E8"/>
    <w:rsid w:val="00611FEB"/>
    <w:rsid w:val="0061594E"/>
    <w:rsid w:val="00617200"/>
    <w:rsid w:val="006221A5"/>
    <w:rsid w:val="0063049A"/>
    <w:rsid w:val="00634666"/>
    <w:rsid w:val="006468D6"/>
    <w:rsid w:val="00653539"/>
    <w:rsid w:val="00655894"/>
    <w:rsid w:val="00671FD8"/>
    <w:rsid w:val="00684F6A"/>
    <w:rsid w:val="006A2056"/>
    <w:rsid w:val="006A39BF"/>
    <w:rsid w:val="006B6F26"/>
    <w:rsid w:val="006C178A"/>
    <w:rsid w:val="006C2FB7"/>
    <w:rsid w:val="006C66AC"/>
    <w:rsid w:val="006D0AB4"/>
    <w:rsid w:val="006E7FA8"/>
    <w:rsid w:val="007021BF"/>
    <w:rsid w:val="00704AEC"/>
    <w:rsid w:val="00705729"/>
    <w:rsid w:val="00706513"/>
    <w:rsid w:val="00712F93"/>
    <w:rsid w:val="00714FFA"/>
    <w:rsid w:val="00720925"/>
    <w:rsid w:val="0072249C"/>
    <w:rsid w:val="00723DDE"/>
    <w:rsid w:val="00727723"/>
    <w:rsid w:val="00742A59"/>
    <w:rsid w:val="0074571A"/>
    <w:rsid w:val="007538AE"/>
    <w:rsid w:val="00762BA4"/>
    <w:rsid w:val="00762D3A"/>
    <w:rsid w:val="007677F6"/>
    <w:rsid w:val="00772D7C"/>
    <w:rsid w:val="00792097"/>
    <w:rsid w:val="007A1564"/>
    <w:rsid w:val="007A1E01"/>
    <w:rsid w:val="007A230E"/>
    <w:rsid w:val="007A6D30"/>
    <w:rsid w:val="007B0E24"/>
    <w:rsid w:val="007B61B0"/>
    <w:rsid w:val="007B73C0"/>
    <w:rsid w:val="007C21A2"/>
    <w:rsid w:val="007C2AC5"/>
    <w:rsid w:val="007C494D"/>
    <w:rsid w:val="007C561D"/>
    <w:rsid w:val="007D4C11"/>
    <w:rsid w:val="007D58DB"/>
    <w:rsid w:val="007E086E"/>
    <w:rsid w:val="007E7509"/>
    <w:rsid w:val="008006DA"/>
    <w:rsid w:val="0081387B"/>
    <w:rsid w:val="00825E72"/>
    <w:rsid w:val="00825F3F"/>
    <w:rsid w:val="008414AB"/>
    <w:rsid w:val="008573AE"/>
    <w:rsid w:val="008708E2"/>
    <w:rsid w:val="008726A5"/>
    <w:rsid w:val="008910AE"/>
    <w:rsid w:val="0089394A"/>
    <w:rsid w:val="00893CDA"/>
    <w:rsid w:val="00894DE3"/>
    <w:rsid w:val="008958B2"/>
    <w:rsid w:val="00896DDC"/>
    <w:rsid w:val="008B1316"/>
    <w:rsid w:val="008C0BEF"/>
    <w:rsid w:val="008C1775"/>
    <w:rsid w:val="008C22BB"/>
    <w:rsid w:val="008D33CD"/>
    <w:rsid w:val="008D3891"/>
    <w:rsid w:val="008E4EC6"/>
    <w:rsid w:val="008E601A"/>
    <w:rsid w:val="008E614E"/>
    <w:rsid w:val="008F4433"/>
    <w:rsid w:val="00906D0F"/>
    <w:rsid w:val="0091683B"/>
    <w:rsid w:val="0091695A"/>
    <w:rsid w:val="009174D7"/>
    <w:rsid w:val="00931F5F"/>
    <w:rsid w:val="00933D97"/>
    <w:rsid w:val="00952AAA"/>
    <w:rsid w:val="00960436"/>
    <w:rsid w:val="009739C4"/>
    <w:rsid w:val="009741DF"/>
    <w:rsid w:val="00974238"/>
    <w:rsid w:val="00984B54"/>
    <w:rsid w:val="00993F76"/>
    <w:rsid w:val="009C013C"/>
    <w:rsid w:val="009C259E"/>
    <w:rsid w:val="009C6F22"/>
    <w:rsid w:val="009D6932"/>
    <w:rsid w:val="009E2E70"/>
    <w:rsid w:val="009F1285"/>
    <w:rsid w:val="009F606E"/>
    <w:rsid w:val="00A018EF"/>
    <w:rsid w:val="00A148A9"/>
    <w:rsid w:val="00A14A49"/>
    <w:rsid w:val="00A15942"/>
    <w:rsid w:val="00A203A8"/>
    <w:rsid w:val="00A26F93"/>
    <w:rsid w:val="00A34596"/>
    <w:rsid w:val="00A36B1A"/>
    <w:rsid w:val="00A463EC"/>
    <w:rsid w:val="00A525C1"/>
    <w:rsid w:val="00A60983"/>
    <w:rsid w:val="00A6571E"/>
    <w:rsid w:val="00A7477D"/>
    <w:rsid w:val="00A75167"/>
    <w:rsid w:val="00A75B55"/>
    <w:rsid w:val="00A834C2"/>
    <w:rsid w:val="00A8442A"/>
    <w:rsid w:val="00A85659"/>
    <w:rsid w:val="00A935BB"/>
    <w:rsid w:val="00AA2F7E"/>
    <w:rsid w:val="00AA6A57"/>
    <w:rsid w:val="00AB7A86"/>
    <w:rsid w:val="00AD11F1"/>
    <w:rsid w:val="00AF3F89"/>
    <w:rsid w:val="00B015C6"/>
    <w:rsid w:val="00B044B8"/>
    <w:rsid w:val="00B07834"/>
    <w:rsid w:val="00B26B9D"/>
    <w:rsid w:val="00B2770A"/>
    <w:rsid w:val="00B3573C"/>
    <w:rsid w:val="00B42B25"/>
    <w:rsid w:val="00B43E36"/>
    <w:rsid w:val="00B53D67"/>
    <w:rsid w:val="00B65843"/>
    <w:rsid w:val="00B7246D"/>
    <w:rsid w:val="00B750C1"/>
    <w:rsid w:val="00B829F0"/>
    <w:rsid w:val="00B865EC"/>
    <w:rsid w:val="00B877E6"/>
    <w:rsid w:val="00BA0E7A"/>
    <w:rsid w:val="00BA4E24"/>
    <w:rsid w:val="00BB417D"/>
    <w:rsid w:val="00BB6389"/>
    <w:rsid w:val="00BD56F6"/>
    <w:rsid w:val="00C01EEA"/>
    <w:rsid w:val="00C06DEC"/>
    <w:rsid w:val="00C31EDE"/>
    <w:rsid w:val="00C403F2"/>
    <w:rsid w:val="00C603AC"/>
    <w:rsid w:val="00C60521"/>
    <w:rsid w:val="00C64D61"/>
    <w:rsid w:val="00C6626B"/>
    <w:rsid w:val="00CA1531"/>
    <w:rsid w:val="00CB52EF"/>
    <w:rsid w:val="00CB590D"/>
    <w:rsid w:val="00CC4460"/>
    <w:rsid w:val="00CC75C7"/>
    <w:rsid w:val="00CF06E5"/>
    <w:rsid w:val="00CF6BC3"/>
    <w:rsid w:val="00D05820"/>
    <w:rsid w:val="00D1266A"/>
    <w:rsid w:val="00D34E34"/>
    <w:rsid w:val="00D439C3"/>
    <w:rsid w:val="00D45833"/>
    <w:rsid w:val="00D55E5C"/>
    <w:rsid w:val="00D61C99"/>
    <w:rsid w:val="00D62A92"/>
    <w:rsid w:val="00D65689"/>
    <w:rsid w:val="00D7185B"/>
    <w:rsid w:val="00D77F51"/>
    <w:rsid w:val="00DC66B3"/>
    <w:rsid w:val="00DD684E"/>
    <w:rsid w:val="00DF5C8B"/>
    <w:rsid w:val="00E02B4D"/>
    <w:rsid w:val="00E12448"/>
    <w:rsid w:val="00E16B41"/>
    <w:rsid w:val="00E205E0"/>
    <w:rsid w:val="00E226F9"/>
    <w:rsid w:val="00E23B0E"/>
    <w:rsid w:val="00E334C4"/>
    <w:rsid w:val="00E33A0F"/>
    <w:rsid w:val="00E60F5B"/>
    <w:rsid w:val="00E65E60"/>
    <w:rsid w:val="00E664B5"/>
    <w:rsid w:val="00E77F92"/>
    <w:rsid w:val="00E801FE"/>
    <w:rsid w:val="00E82756"/>
    <w:rsid w:val="00E85AA6"/>
    <w:rsid w:val="00E86C4B"/>
    <w:rsid w:val="00E946B5"/>
    <w:rsid w:val="00EA003F"/>
    <w:rsid w:val="00EA1E27"/>
    <w:rsid w:val="00ED7E63"/>
    <w:rsid w:val="00EE2FF1"/>
    <w:rsid w:val="00EE3FD4"/>
    <w:rsid w:val="00EF0C33"/>
    <w:rsid w:val="00EF7B1E"/>
    <w:rsid w:val="00F04A6B"/>
    <w:rsid w:val="00F14836"/>
    <w:rsid w:val="00F20C55"/>
    <w:rsid w:val="00F21729"/>
    <w:rsid w:val="00F37736"/>
    <w:rsid w:val="00F543EA"/>
    <w:rsid w:val="00F56337"/>
    <w:rsid w:val="00F714CC"/>
    <w:rsid w:val="00F800A9"/>
    <w:rsid w:val="00F844B7"/>
    <w:rsid w:val="00F930E9"/>
    <w:rsid w:val="00F948E2"/>
    <w:rsid w:val="00F96CDF"/>
    <w:rsid w:val="00FB0005"/>
    <w:rsid w:val="00FB431D"/>
    <w:rsid w:val="00FB7091"/>
    <w:rsid w:val="00FC5DF1"/>
    <w:rsid w:val="00FC768D"/>
    <w:rsid w:val="00FD0126"/>
    <w:rsid w:val="00FD3A03"/>
    <w:rsid w:val="00FD7A5B"/>
    <w:rsid w:val="00FE2992"/>
    <w:rsid w:val="00FF17FF"/>
    <w:rsid w:val="00FF38CB"/>
    <w:rsid w:val="00FF53CB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6B5406"/>
  <w15:chartTrackingRefBased/>
  <w15:docId w15:val="{04F636DD-7A1D-4B4F-8B0F-D137AE03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FF1"/>
    <w:pPr>
      <w:spacing w:after="200" w:line="276" w:lineRule="auto"/>
    </w:pPr>
    <w:rPr>
      <w:rFonts w:ascii="Minion" w:hAnsi="Minion"/>
      <w:sz w:val="22"/>
      <w:szCs w:val="22"/>
      <w:lang w:val="en-US" w:eastAsia="zh-T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7A5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D684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D684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D684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684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D684E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D684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D684E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D684E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asiatka21">
    <w:name w:val="Średnia siatka 21"/>
    <w:uiPriority w:val="1"/>
    <w:qFormat/>
    <w:rsid w:val="007D58DB"/>
    <w:rPr>
      <w:rFonts w:ascii="Minion" w:hAnsi="Minion"/>
      <w:sz w:val="22"/>
      <w:szCs w:val="22"/>
      <w:lang w:val="en-US" w:eastAsia="zh-TW"/>
    </w:rPr>
  </w:style>
  <w:style w:type="character" w:customStyle="1" w:styleId="Nagwek1Znak">
    <w:name w:val="Nagłówek 1 Znak"/>
    <w:link w:val="Nagwek1"/>
    <w:uiPriority w:val="9"/>
    <w:rsid w:val="00FD7A5B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DD684E"/>
    <w:rPr>
      <w:rFonts w:ascii="Cambria" w:eastAsia="PMingLiU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DD684E"/>
    <w:rPr>
      <w:rFonts w:ascii="Cambria" w:eastAsia="PMingLiU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uiPriority w:val="9"/>
    <w:rsid w:val="00DD684E"/>
    <w:rPr>
      <w:rFonts w:ascii="Cambria" w:eastAsia="PMingLiU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DD684E"/>
    <w:rPr>
      <w:rFonts w:ascii="Cambria" w:eastAsia="PMingLiU" w:hAnsi="Cambria" w:cs="Times New Roman"/>
      <w:color w:val="243F60"/>
    </w:rPr>
  </w:style>
  <w:style w:type="character" w:customStyle="1" w:styleId="Nagwek6Znak">
    <w:name w:val="Nagłówek 6 Znak"/>
    <w:link w:val="Nagwek6"/>
    <w:uiPriority w:val="9"/>
    <w:rsid w:val="00DD684E"/>
    <w:rPr>
      <w:rFonts w:ascii="Cambria" w:eastAsia="PMingLiU" w:hAnsi="Cambria" w:cs="Times New Roman"/>
      <w:i/>
      <w:iCs/>
      <w:color w:val="243F60"/>
    </w:rPr>
  </w:style>
  <w:style w:type="character" w:customStyle="1" w:styleId="Nagwek7Znak">
    <w:name w:val="Nagłówek 7 Znak"/>
    <w:link w:val="Nagwek7"/>
    <w:uiPriority w:val="9"/>
    <w:rsid w:val="00DD684E"/>
    <w:rPr>
      <w:rFonts w:ascii="Cambria" w:eastAsia="PMingLiU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rsid w:val="00DD684E"/>
    <w:rPr>
      <w:rFonts w:ascii="Cambria" w:eastAsia="PMingLiU" w:hAnsi="Cambria" w:cs="Times New Roman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"/>
    <w:rsid w:val="00DD684E"/>
    <w:rPr>
      <w:rFonts w:ascii="Cambria" w:eastAsia="PMingLiU" w:hAnsi="Cambria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D684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DD684E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customStyle="1" w:styleId="Kolorowalistaakcent11">
    <w:name w:val="Kolorowa lista — akcent 11"/>
    <w:basedOn w:val="Normalny"/>
    <w:uiPriority w:val="34"/>
    <w:qFormat/>
    <w:rsid w:val="00DD684E"/>
    <w:pPr>
      <w:ind w:left="720"/>
      <w:contextualSpacing/>
    </w:pPr>
  </w:style>
  <w:style w:type="character" w:customStyle="1" w:styleId="Tytuksiki1">
    <w:name w:val="Tytuł książki1"/>
    <w:uiPriority w:val="33"/>
    <w:qFormat/>
    <w:rsid w:val="00DD684E"/>
    <w:rPr>
      <w:b/>
      <w:bCs/>
      <w:smallCaps/>
      <w:spacing w:val="5"/>
    </w:rPr>
  </w:style>
  <w:style w:type="character" w:customStyle="1" w:styleId="Odwoanieintensywne1">
    <w:name w:val="Odwołanie intensywne1"/>
    <w:uiPriority w:val="32"/>
    <w:qFormat/>
    <w:rsid w:val="00DD684E"/>
    <w:rPr>
      <w:b/>
      <w:bCs/>
      <w:smallCaps/>
      <w:color w:val="C0504D"/>
      <w:spacing w:val="5"/>
      <w:u w:val="single"/>
    </w:rPr>
  </w:style>
  <w:style w:type="character" w:customStyle="1" w:styleId="Odwoaniedelikatne1">
    <w:name w:val="Odwołanie delikatne1"/>
    <w:uiPriority w:val="31"/>
    <w:qFormat/>
    <w:rsid w:val="00DD684E"/>
    <w:rPr>
      <w:smallCaps/>
      <w:color w:val="C0504D"/>
      <w:u w:val="single"/>
    </w:rPr>
  </w:style>
  <w:style w:type="paragraph" w:customStyle="1" w:styleId="Jasnecieniowanieakcent21">
    <w:name w:val="Jasne cieniowanie — akcent 21"/>
    <w:basedOn w:val="Normalny"/>
    <w:next w:val="Normalny"/>
    <w:link w:val="Jasnecieniowanieakcent2Znak"/>
    <w:uiPriority w:val="30"/>
    <w:qFormat/>
    <w:rsid w:val="00DD68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Jasnecieniowanieakcent2Znak">
    <w:name w:val="Jasne cieniowanie — akcent 2 Znak"/>
    <w:link w:val="Jasnecieniowanieakcent21"/>
    <w:uiPriority w:val="30"/>
    <w:rsid w:val="00DD684E"/>
    <w:rPr>
      <w:rFonts w:ascii="Minion" w:hAnsi="Minion"/>
      <w:b/>
      <w:bCs/>
      <w:i/>
      <w:iCs/>
      <w:color w:val="4F81BD"/>
    </w:rPr>
  </w:style>
  <w:style w:type="paragraph" w:customStyle="1" w:styleId="Kolorowasiatkaakcent11">
    <w:name w:val="Kolorowa siatka — akcent 11"/>
    <w:basedOn w:val="Normalny"/>
    <w:next w:val="Normalny"/>
    <w:link w:val="Kolorowasiatkaakcent1Znak"/>
    <w:uiPriority w:val="29"/>
    <w:qFormat/>
    <w:rsid w:val="00DD684E"/>
    <w:rPr>
      <w:i/>
      <w:iCs/>
      <w:color w:val="000000"/>
    </w:rPr>
  </w:style>
  <w:style w:type="character" w:customStyle="1" w:styleId="Kolorowasiatkaakcent1Znak">
    <w:name w:val="Kolorowa siatka — akcent 1 Znak"/>
    <w:link w:val="Kolorowasiatkaakcent11"/>
    <w:uiPriority w:val="29"/>
    <w:rsid w:val="00DD684E"/>
    <w:rPr>
      <w:rFonts w:ascii="Minion" w:hAnsi="Minion"/>
      <w:i/>
      <w:iCs/>
      <w:color w:val="000000"/>
    </w:rPr>
  </w:style>
  <w:style w:type="table" w:styleId="Tabela-Siatka">
    <w:name w:val="Table Grid"/>
    <w:basedOn w:val="Standardowy"/>
    <w:uiPriority w:val="59"/>
    <w:rsid w:val="00800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15942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8F44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44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F4433"/>
    <w:rPr>
      <w:rFonts w:ascii="Minion" w:hAnsi="Minion"/>
      <w:lang w:val="en-US" w:eastAsia="zh-T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4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F4433"/>
    <w:rPr>
      <w:rFonts w:ascii="Minion" w:hAnsi="Minion"/>
      <w:b/>
      <w:bCs/>
      <w:lang w:val="en-US" w:eastAsia="zh-TW"/>
    </w:rPr>
  </w:style>
  <w:style w:type="paragraph" w:styleId="Akapitzlist">
    <w:name w:val="List Paragraph"/>
    <w:basedOn w:val="Normalny"/>
    <w:uiPriority w:val="99"/>
    <w:qFormat/>
    <w:rsid w:val="009C013C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EDE"/>
    <w:rPr>
      <w:rFonts w:ascii="Minion" w:hAnsi="Minion"/>
      <w:sz w:val="22"/>
      <w:szCs w:val="22"/>
      <w:lang w:val="en-US" w:eastAsia="zh-TW"/>
    </w:rPr>
  </w:style>
  <w:style w:type="paragraph" w:styleId="Stopka">
    <w:name w:val="footer"/>
    <w:basedOn w:val="Normalny"/>
    <w:link w:val="Stopka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EDE"/>
    <w:rPr>
      <w:rFonts w:ascii="Minion" w:hAnsi="Minion"/>
      <w:sz w:val="22"/>
      <w:szCs w:val="22"/>
      <w:lang w:val="en-US" w:eastAsia="zh-TW"/>
    </w:rPr>
  </w:style>
  <w:style w:type="paragraph" w:customStyle="1" w:styleId="Default">
    <w:name w:val="Default"/>
    <w:rsid w:val="00522A5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9417-E3D8-42EA-BB31-2B0A8C6E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996</Words>
  <Characters>5978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Sowa, Aleksander {RX~Warsaw}</dc:creator>
  <cp:keywords/>
  <cp:lastModifiedBy>Królak-Buzakowska Joanna</cp:lastModifiedBy>
  <cp:revision>5</cp:revision>
  <cp:lastPrinted>2015-07-30T10:53:00Z</cp:lastPrinted>
  <dcterms:created xsi:type="dcterms:W3CDTF">2021-10-11T16:02:00Z</dcterms:created>
  <dcterms:modified xsi:type="dcterms:W3CDTF">2021-10-11T17:47:00Z</dcterms:modified>
</cp:coreProperties>
</file>