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229C" w14:textId="77777777" w:rsidR="005F7A90" w:rsidRPr="008A10C5" w:rsidRDefault="008A10C5" w:rsidP="008A10C5">
      <w:pPr>
        <w:pStyle w:val="Cytat"/>
        <w:jc w:val="right"/>
        <w:rPr>
          <w:i w:val="0"/>
          <w:lang w:val="pl-PL"/>
        </w:rPr>
      </w:pPr>
      <w:r w:rsidRPr="008A10C5">
        <w:rPr>
          <w:i w:val="0"/>
          <w:lang w:val="pl-PL"/>
        </w:rPr>
        <w:t xml:space="preserve">Załącznik do Uchwały </w:t>
      </w:r>
      <w:r>
        <w:rPr>
          <w:i w:val="0"/>
          <w:lang w:val="pl-PL"/>
        </w:rPr>
        <w:t>nr xxx Rady Ministrów z dnia xxx (poz. xxx)</w:t>
      </w:r>
    </w:p>
    <w:p w14:paraId="1A2CB149" w14:textId="77777777" w:rsidR="005F7A90" w:rsidRDefault="005F7A90" w:rsidP="00771A89">
      <w:pPr>
        <w:pStyle w:val="Cytat"/>
        <w:rPr>
          <w:lang w:val="pl-PL"/>
        </w:rPr>
      </w:pPr>
    </w:p>
    <w:p w14:paraId="3F9A059A" w14:textId="77777777" w:rsidR="005F7A90" w:rsidRDefault="005F7A90" w:rsidP="00771A89">
      <w:pPr>
        <w:pStyle w:val="Cytat"/>
        <w:rPr>
          <w:lang w:val="pl-PL"/>
        </w:rPr>
      </w:pPr>
    </w:p>
    <w:p w14:paraId="16E0A536" w14:textId="7F320CAF" w:rsidR="003961AF" w:rsidRDefault="005F7A90" w:rsidP="005F7A90">
      <w:pPr>
        <w:jc w:val="center"/>
        <w:rPr>
          <w:rFonts w:cstheme="minorHAnsi"/>
          <w:sz w:val="44"/>
          <w:szCs w:val="44"/>
          <w:lang w:val="pl-PL"/>
        </w:rPr>
      </w:pPr>
      <w:r w:rsidRPr="00BC6AD2">
        <w:rPr>
          <w:rFonts w:cstheme="minorHAnsi"/>
          <w:sz w:val="44"/>
          <w:szCs w:val="44"/>
          <w:lang w:val="pl-PL"/>
        </w:rPr>
        <w:t>KRAJOWA STRATEGIA</w:t>
      </w:r>
    </w:p>
    <w:p w14:paraId="12D5B4BF" w14:textId="1B4F1A18" w:rsidR="00DC1CEC" w:rsidRPr="00BC6AD2" w:rsidRDefault="005F7A90" w:rsidP="003961AF">
      <w:pPr>
        <w:spacing w:after="120"/>
        <w:jc w:val="center"/>
        <w:rPr>
          <w:rFonts w:cstheme="minorHAnsi"/>
          <w:sz w:val="44"/>
          <w:szCs w:val="44"/>
          <w:lang w:val="pl-PL"/>
        </w:rPr>
      </w:pPr>
      <w:r w:rsidRPr="00BC6AD2">
        <w:rPr>
          <w:rFonts w:cstheme="minorHAnsi"/>
          <w:sz w:val="44"/>
          <w:szCs w:val="44"/>
          <w:lang w:val="pl-PL"/>
        </w:rPr>
        <w:t xml:space="preserve">EDUKACJI FINANSOWEJ </w:t>
      </w:r>
    </w:p>
    <w:p w14:paraId="2B83C806" w14:textId="77777777" w:rsidR="005F7A90" w:rsidRPr="00BC6AD2" w:rsidRDefault="005F7A90" w:rsidP="005F7A90">
      <w:pPr>
        <w:jc w:val="center"/>
        <w:rPr>
          <w:rFonts w:cstheme="minorHAnsi"/>
          <w:sz w:val="44"/>
          <w:szCs w:val="44"/>
          <w:lang w:val="pl-PL"/>
        </w:rPr>
      </w:pPr>
      <w:r w:rsidRPr="00BC6AD2">
        <w:rPr>
          <w:rFonts w:cstheme="minorHAnsi"/>
          <w:sz w:val="44"/>
          <w:szCs w:val="44"/>
          <w:lang w:val="pl-PL"/>
        </w:rPr>
        <w:t>POLITYKA NA RZECZ ROZWIJANIA KOMPETENCJI FINANSOWYCH</w:t>
      </w:r>
    </w:p>
    <w:p w14:paraId="799D5057" w14:textId="77777777" w:rsidR="005F7A90" w:rsidRPr="00BC6AD2" w:rsidRDefault="005F7A90" w:rsidP="005F7A90">
      <w:pPr>
        <w:jc w:val="center"/>
        <w:rPr>
          <w:rFonts w:cstheme="minorHAnsi"/>
          <w:sz w:val="44"/>
          <w:szCs w:val="44"/>
          <w:lang w:val="pl-PL"/>
        </w:rPr>
      </w:pPr>
    </w:p>
    <w:p w14:paraId="2320025B" w14:textId="77777777" w:rsidR="005F7A90" w:rsidRPr="00BC6AD2" w:rsidRDefault="005F7A90" w:rsidP="005F7A90">
      <w:pPr>
        <w:jc w:val="center"/>
        <w:rPr>
          <w:rFonts w:cstheme="minorHAnsi"/>
          <w:sz w:val="44"/>
          <w:szCs w:val="44"/>
          <w:lang w:val="pl-PL"/>
        </w:rPr>
      </w:pPr>
    </w:p>
    <w:p w14:paraId="1E073481" w14:textId="77777777" w:rsidR="005F7A90" w:rsidRPr="00BC6AD2" w:rsidRDefault="005F7A90" w:rsidP="005F7A90">
      <w:pPr>
        <w:jc w:val="center"/>
        <w:rPr>
          <w:rFonts w:cstheme="minorHAnsi"/>
          <w:sz w:val="44"/>
          <w:szCs w:val="44"/>
          <w:lang w:val="pl-PL"/>
        </w:rPr>
      </w:pPr>
    </w:p>
    <w:p w14:paraId="1575EB5E" w14:textId="77777777" w:rsidR="005F7A90" w:rsidRPr="00BC6AD2" w:rsidRDefault="005F7A90" w:rsidP="005F7A90">
      <w:pPr>
        <w:jc w:val="center"/>
        <w:rPr>
          <w:rFonts w:cstheme="minorHAnsi"/>
          <w:sz w:val="44"/>
          <w:szCs w:val="44"/>
          <w:lang w:val="pl-PL"/>
        </w:rPr>
      </w:pPr>
    </w:p>
    <w:p w14:paraId="67D338F5" w14:textId="77777777" w:rsidR="005F7A90" w:rsidRPr="00BC6AD2" w:rsidRDefault="005F7A90" w:rsidP="005F7A90">
      <w:pPr>
        <w:jc w:val="center"/>
        <w:rPr>
          <w:rFonts w:cstheme="minorHAnsi"/>
          <w:sz w:val="44"/>
          <w:szCs w:val="44"/>
          <w:lang w:val="pl-PL"/>
        </w:rPr>
      </w:pPr>
    </w:p>
    <w:p w14:paraId="2D3CF79B" w14:textId="77777777" w:rsidR="005F7A90" w:rsidRPr="00BC6AD2" w:rsidRDefault="005F7A90" w:rsidP="005F7A90">
      <w:pPr>
        <w:jc w:val="center"/>
        <w:rPr>
          <w:rFonts w:cstheme="minorHAnsi"/>
          <w:sz w:val="44"/>
          <w:szCs w:val="44"/>
          <w:lang w:val="pl-PL"/>
        </w:rPr>
      </w:pPr>
    </w:p>
    <w:p w14:paraId="16F3BEAB" w14:textId="77777777" w:rsidR="005F7A90" w:rsidRPr="00BC6AD2" w:rsidRDefault="005F7A90" w:rsidP="005F7A90">
      <w:pPr>
        <w:jc w:val="center"/>
        <w:rPr>
          <w:rFonts w:cstheme="minorHAnsi"/>
          <w:sz w:val="44"/>
          <w:szCs w:val="44"/>
          <w:lang w:val="pl-PL"/>
        </w:rPr>
      </w:pPr>
    </w:p>
    <w:p w14:paraId="1FE652EE" w14:textId="77777777" w:rsidR="005F7A90" w:rsidRDefault="005F7A90" w:rsidP="005F7A90">
      <w:pPr>
        <w:pStyle w:val="Para0"/>
        <w:rPr>
          <w:rFonts w:cstheme="minorHAnsi"/>
          <w:color w:val="auto"/>
          <w:sz w:val="44"/>
          <w:szCs w:val="44"/>
          <w:lang w:val="pl-PL"/>
        </w:rPr>
      </w:pPr>
    </w:p>
    <w:p w14:paraId="62083FC3" w14:textId="77777777" w:rsidR="005F7A90" w:rsidRPr="00BC6AD2" w:rsidRDefault="005F7A90" w:rsidP="005F7A90">
      <w:pPr>
        <w:pStyle w:val="Tytu"/>
        <w:rPr>
          <w:lang w:val="pl-PL"/>
        </w:rPr>
      </w:pPr>
      <w:r w:rsidRPr="00BC6AD2">
        <w:rPr>
          <w:color w:val="auto"/>
          <w:lang w:val="pl-PL"/>
        </w:rPr>
        <w:lastRenderedPageBreak/>
        <w:t>Wstęp</w:t>
      </w:r>
    </w:p>
    <w:p w14:paraId="71830ABB" w14:textId="6FEC8860" w:rsidR="005F7A90" w:rsidRPr="00A21EBA" w:rsidRDefault="005F7A90" w:rsidP="005F7A90">
      <w:pPr>
        <w:pStyle w:val="Para0"/>
        <w:rPr>
          <w:lang w:val="pl-PL"/>
        </w:rPr>
      </w:pPr>
      <w:r w:rsidRPr="00A21EBA">
        <w:rPr>
          <w:lang w:val="pl-PL"/>
        </w:rPr>
        <w:t>Polityka publiczna pn. „Krajowa Strategia Edukacji Finansowej. Polityka na rzecz rozwijania kompetencji finansowych” (KSEF</w:t>
      </w:r>
      <w:r w:rsidR="00C57F3F" w:rsidRPr="00A21EBA">
        <w:rPr>
          <w:lang w:val="pl-PL"/>
        </w:rPr>
        <w:t xml:space="preserve"> lub Strategia</w:t>
      </w:r>
      <w:r w:rsidRPr="00A21EBA">
        <w:rPr>
          <w:lang w:val="pl-PL"/>
        </w:rPr>
        <w:t xml:space="preserve">) jest dokumentem mającym na celu wytyczenie kierunków i udzielenie wskazówek interesariuszom zaangażowanym w edukację finansową w Polsce. Zawiera ogólne ramy strategiczne </w:t>
      </w:r>
      <w:r w:rsidR="002508B4" w:rsidRPr="00A21EBA">
        <w:rPr>
          <w:lang w:val="pl-PL"/>
        </w:rPr>
        <w:t xml:space="preserve">na lata 2024-2030 </w:t>
      </w:r>
      <w:r w:rsidRPr="00A21EBA">
        <w:rPr>
          <w:lang w:val="pl-PL"/>
        </w:rPr>
        <w:t xml:space="preserve">i pierwszy plan </w:t>
      </w:r>
      <w:r w:rsidR="003961AF" w:rsidRPr="00A21EBA">
        <w:rPr>
          <w:lang w:val="pl-PL"/>
        </w:rPr>
        <w:t xml:space="preserve">ich </w:t>
      </w:r>
      <w:r w:rsidRPr="00A21EBA">
        <w:rPr>
          <w:lang w:val="pl-PL"/>
        </w:rPr>
        <w:t xml:space="preserve">wdrażania. </w:t>
      </w:r>
    </w:p>
    <w:p w14:paraId="4B3FA18B" w14:textId="77777777" w:rsidR="005F7A90" w:rsidRPr="00A21EBA" w:rsidRDefault="005F7A90" w:rsidP="005F7A90">
      <w:pPr>
        <w:pStyle w:val="Para0"/>
        <w:rPr>
          <w:lang w:val="pl-PL"/>
        </w:rPr>
      </w:pPr>
      <w:r w:rsidRPr="00A21EBA">
        <w:rPr>
          <w:lang w:val="pl-PL"/>
        </w:rPr>
        <w:t>KSEF została opracowana na podstawie konsultacji z podmiotami zaangażowanymi w edukację finansową, uzyskanych danych oraz krajowych i</w:t>
      </w:r>
      <w:r w:rsidR="00170D80" w:rsidRPr="00A21EBA">
        <w:rPr>
          <w:lang w:val="pl-PL"/>
        </w:rPr>
        <w:t xml:space="preserve"> </w:t>
      </w:r>
      <w:r w:rsidRPr="00A21EBA">
        <w:rPr>
          <w:lang w:val="pl-PL"/>
        </w:rPr>
        <w:t>międzynarodowych dobrych praktyk związanych z edukacją finansową. S</w:t>
      </w:r>
      <w:r w:rsidR="00170D80" w:rsidRPr="00A21EBA">
        <w:rPr>
          <w:lang w:val="pl-PL"/>
        </w:rPr>
        <w:t>trategia</w:t>
      </w:r>
      <w:r w:rsidRPr="00A21EBA">
        <w:rPr>
          <w:lang w:val="pl-PL"/>
        </w:rPr>
        <w:t xml:space="preserve"> została dostosowana do potrzeb prowadzenia edukacji finansowej wśród mieszkańców Polski z uwzględnieniem już istniejącego i dynamicznie się rozwijającego polskiego środowiska edukacji finansowej.</w:t>
      </w:r>
    </w:p>
    <w:p w14:paraId="632523D7" w14:textId="77777777" w:rsidR="005F7A90" w:rsidRPr="00A21EBA" w:rsidRDefault="005F7A90" w:rsidP="005F7A90">
      <w:pPr>
        <w:pStyle w:val="Para0"/>
        <w:rPr>
          <w:lang w:val="pl-PL"/>
        </w:rPr>
      </w:pPr>
      <w:r w:rsidRPr="00A21EBA">
        <w:rPr>
          <w:lang w:val="pl-PL"/>
        </w:rPr>
        <w:t xml:space="preserve">KSEF określa długoterminową wizję edukacji finansowej w Polsce, jej priorytety strategiczne, grupy docelowe oraz ramy ewaluacji. Proponuje </w:t>
      </w:r>
      <w:proofErr w:type="spellStart"/>
      <w:r w:rsidRPr="00A21EBA">
        <w:rPr>
          <w:lang w:val="pl-PL"/>
        </w:rPr>
        <w:t>inkluzywną</w:t>
      </w:r>
      <w:proofErr w:type="spellEnd"/>
      <w:r w:rsidRPr="00A21EBA">
        <w:rPr>
          <w:lang w:val="pl-PL"/>
        </w:rPr>
        <w:t xml:space="preserve"> strukturę zarządzania, opartą na istniejących kompetencjach podmiotów krajowych i wiedzy fachowej w dziedzinie edukacji finansowej.</w:t>
      </w:r>
    </w:p>
    <w:p w14:paraId="22DCE0D9" w14:textId="77777777" w:rsidR="005F7A90" w:rsidRPr="00A21EBA" w:rsidRDefault="005F7A90" w:rsidP="005F7A90">
      <w:pPr>
        <w:pStyle w:val="Para0"/>
        <w:rPr>
          <w:lang w:val="pl-PL"/>
        </w:rPr>
      </w:pPr>
      <w:r w:rsidRPr="00A21EBA">
        <w:rPr>
          <w:lang w:val="pl-PL"/>
        </w:rPr>
        <w:t>S</w:t>
      </w:r>
      <w:r w:rsidR="00170D80" w:rsidRPr="00A21EBA">
        <w:rPr>
          <w:lang w:val="pl-PL"/>
        </w:rPr>
        <w:t>trategia</w:t>
      </w:r>
      <w:r w:rsidRPr="00A21EBA">
        <w:rPr>
          <w:lang w:val="pl-PL"/>
        </w:rPr>
        <w:t xml:space="preserve"> stanowi fundament, na którym zostanie zbudowane skoordynowane podejście do edukacji finansowej w Polsce, oferując platformę współpracy i wymiany dobrych praktyk pomiędzy interesariuszami edukacji finansowej w Polsce. Jego ostatecznym, długoterminowym celem jest zapewnienie osobom mieszkającym w Polsce możliwości zdobycia niezbędnych kompetencji finansowych, które mogą poprawić ich</w:t>
      </w:r>
      <w:r w:rsidR="00CF6580" w:rsidRPr="00A21EBA">
        <w:rPr>
          <w:lang w:val="pl-PL"/>
        </w:rPr>
        <w:t xml:space="preserve"> ogólną odporność na trudności </w:t>
      </w:r>
      <w:r w:rsidRPr="00A21EBA">
        <w:rPr>
          <w:lang w:val="pl-PL"/>
        </w:rPr>
        <w:t>finansowe oraz pomóc w osiągnięciu dobrostanu finansowego.</w:t>
      </w:r>
    </w:p>
    <w:p w14:paraId="0EAAB456" w14:textId="77777777" w:rsidR="005F7A90" w:rsidRPr="00A21EBA" w:rsidRDefault="005F7A90" w:rsidP="005F7A90">
      <w:pPr>
        <w:pStyle w:val="Para0"/>
        <w:rPr>
          <w:lang w:val="pl-PL"/>
        </w:rPr>
      </w:pPr>
      <w:r w:rsidRPr="00A21EBA">
        <w:rPr>
          <w:lang w:val="pl-PL"/>
        </w:rPr>
        <w:t>Przygotowanie KSEF było jedną z rekomendacji Strategii Rozwoju Rynku Kapitałowego (SRRK) przyjętej uchwałą nr 114 Rady Ministrów z dnia 19 października 2019 r. (Dz.</w:t>
      </w:r>
      <w:r w:rsidR="000A59BA" w:rsidRPr="00A21EBA">
        <w:rPr>
          <w:lang w:val="pl-PL"/>
        </w:rPr>
        <w:t> </w:t>
      </w:r>
      <w:r w:rsidR="00CF6580" w:rsidRPr="00A21EBA">
        <w:rPr>
          <w:lang w:val="pl-PL"/>
        </w:rPr>
        <w:t xml:space="preserve">U. </w:t>
      </w:r>
      <w:r w:rsidR="000A59BA" w:rsidRPr="00A21EBA">
        <w:rPr>
          <w:lang w:val="pl-PL"/>
        </w:rPr>
        <w:t>z </w:t>
      </w:r>
      <w:r w:rsidRPr="00A21EBA">
        <w:rPr>
          <w:lang w:val="pl-PL"/>
        </w:rPr>
        <w:t xml:space="preserve">2019 r. poz. 1027). SRRK ma na celu między innymi przeciwdziałanie ograniczonemu udziałowi inwestorów indywidualnych w rynku kapitałowym, pobudzanie zainteresowania inwestycjami długoterminowymi w tej grupie osób oraz podnoszenie znajomości zagadnień finansowych wśród mieszkańców Polski. </w:t>
      </w:r>
    </w:p>
    <w:p w14:paraId="45D4F001" w14:textId="77777777" w:rsidR="005F7A90" w:rsidRPr="00A21EBA" w:rsidRDefault="005F7A90" w:rsidP="005F7A90">
      <w:pPr>
        <w:pStyle w:val="Para0"/>
        <w:rPr>
          <w:lang w:val="pl-PL"/>
        </w:rPr>
      </w:pPr>
      <w:r w:rsidRPr="00A21EBA">
        <w:rPr>
          <w:lang w:val="pl-PL"/>
        </w:rPr>
        <w:t>Strategia powstała dzięki zaangażowaniu wielu podmiotów działających w obszarze edukacji finansowej w Polsce. Z inicjatywy Rady Edukacji Finansowej i na zaproszenie Ministra Finansów została powołana krajowa grupa robocza ds. strategii edukacji finansowej (krajowa grupa robocza). W jej skład weszli przedstawiciele Ministerstwa Finansów, Ministerstwa Edukacji i</w:t>
      </w:r>
      <w:r w:rsidR="00170D80" w:rsidRPr="00A21EBA">
        <w:rPr>
          <w:lang w:val="pl-PL"/>
        </w:rPr>
        <w:t xml:space="preserve"> </w:t>
      </w:r>
      <w:r w:rsidRPr="00A21EBA">
        <w:rPr>
          <w:lang w:val="pl-PL"/>
        </w:rPr>
        <w:t>Nauki, Narodowego Banku Polskiego, Komisji Nadzoru Finansowego, Urzędu Ochrony Konkurencji i Konsumentów, Bankowego Funduszu Gwarancyjnego, Giełdy Papierów Wartościowych w Warszawie, Krajowego Depozytu Papierów Wartościowych i Rzecznika Finansowego. Prace grupy koordynowało Ministerstwo Finansów. Eksperci krajowej grupy roboczej wspólnie opracowali wniosek o dofinansowanie z Instrumentu Wsparcia Technicznego UE, który został przyjęty. Organizacja Współpracy Gospodarczej i Rozwoju (OECD) została wybrana jako podmiot świadczący wsparcie techniczne na rzecz projektu.</w:t>
      </w:r>
    </w:p>
    <w:p w14:paraId="15082903" w14:textId="138BBD70" w:rsidR="005F7A90" w:rsidRPr="00A21EBA" w:rsidRDefault="005F7A90" w:rsidP="005F7A90">
      <w:pPr>
        <w:pStyle w:val="Para0"/>
        <w:rPr>
          <w:lang w:val="pl-PL"/>
        </w:rPr>
      </w:pPr>
      <w:r w:rsidRPr="00A21EBA">
        <w:rPr>
          <w:lang w:val="pl-PL"/>
        </w:rPr>
        <w:t xml:space="preserve">Projekt 21PL32 – Opracowanie krajowej strategii edukacji finansowej </w:t>
      </w:r>
      <w:r w:rsidR="00032051" w:rsidRPr="00A21EBA">
        <w:rPr>
          <w:lang w:val="pl-PL"/>
        </w:rPr>
        <w:t>dla</w:t>
      </w:r>
      <w:r w:rsidRPr="00A21EBA">
        <w:rPr>
          <w:lang w:val="pl-PL"/>
        </w:rPr>
        <w:t xml:space="preserve"> Pols</w:t>
      </w:r>
      <w:r w:rsidR="00032051" w:rsidRPr="00A21EBA">
        <w:rPr>
          <w:lang w:val="pl-PL"/>
        </w:rPr>
        <w:t>ki</w:t>
      </w:r>
      <w:r w:rsidRPr="00A21EBA">
        <w:rPr>
          <w:lang w:val="pl-PL"/>
        </w:rPr>
        <w:t xml:space="preserve"> został uruchomiony w</w:t>
      </w:r>
      <w:r w:rsidR="00D70A73" w:rsidRPr="00A21EBA">
        <w:rPr>
          <w:lang w:val="pl-PL"/>
        </w:rPr>
        <w:t> </w:t>
      </w:r>
      <w:r w:rsidRPr="00A21EBA">
        <w:rPr>
          <w:lang w:val="pl-PL"/>
        </w:rPr>
        <w:t>październiku 2021</w:t>
      </w:r>
      <w:r w:rsidR="00D70A73" w:rsidRPr="00A21EBA">
        <w:rPr>
          <w:lang w:val="pl-PL"/>
        </w:rPr>
        <w:t> </w:t>
      </w:r>
      <w:r w:rsidRPr="00A21EBA">
        <w:rPr>
          <w:lang w:val="pl-PL"/>
        </w:rPr>
        <w:t>r. i był realizowany ze środków Unii Europejskiej za pośrednictwem Instrumentu Wsparcia Technicznego (REFORM/IM2021/007) oraz we współpracy z Dyrekcją Generalną ds.</w:t>
      </w:r>
      <w:r w:rsidR="000A59BA" w:rsidRPr="00A21EBA">
        <w:rPr>
          <w:lang w:val="pl-PL"/>
        </w:rPr>
        <w:t> </w:t>
      </w:r>
      <w:r w:rsidRPr="00A21EBA">
        <w:rPr>
          <w:lang w:val="pl-PL"/>
        </w:rPr>
        <w:t>Wspierania Reform Strukturalnych (DG REFORM) Komisji Europejskiej.</w:t>
      </w:r>
    </w:p>
    <w:p w14:paraId="751A18FA" w14:textId="4DD863AA" w:rsidR="005F7A90" w:rsidRPr="00A21EBA" w:rsidRDefault="005F7A90" w:rsidP="005F7A90">
      <w:pPr>
        <w:pStyle w:val="Para0"/>
        <w:rPr>
          <w:lang w:val="pl-PL"/>
        </w:rPr>
      </w:pPr>
      <w:r w:rsidRPr="00A21EBA">
        <w:rPr>
          <w:lang w:val="pl-PL"/>
        </w:rPr>
        <w:lastRenderedPageBreak/>
        <w:t xml:space="preserve">Niniejsza polityka publiczna bazuje na </w:t>
      </w:r>
      <w:r w:rsidR="00A62A40" w:rsidRPr="00A21EBA">
        <w:rPr>
          <w:lang w:val="pl-PL"/>
        </w:rPr>
        <w:t>propozycji</w:t>
      </w:r>
      <w:r w:rsidRPr="00A21EBA">
        <w:rPr>
          <w:lang w:val="pl-PL"/>
        </w:rPr>
        <w:t xml:space="preserve"> K</w:t>
      </w:r>
      <w:r w:rsidR="008F05C5" w:rsidRPr="00A21EBA">
        <w:rPr>
          <w:lang w:val="pl-PL"/>
        </w:rPr>
        <w:t xml:space="preserve">rajowej </w:t>
      </w:r>
      <w:r w:rsidRPr="00A21EBA">
        <w:rPr>
          <w:lang w:val="pl-PL"/>
        </w:rPr>
        <w:t>S</w:t>
      </w:r>
      <w:r w:rsidR="008F05C5" w:rsidRPr="00A21EBA">
        <w:rPr>
          <w:lang w:val="pl-PL"/>
        </w:rPr>
        <w:t xml:space="preserve">trategii </w:t>
      </w:r>
      <w:r w:rsidRPr="00A21EBA">
        <w:rPr>
          <w:lang w:val="pl-PL"/>
        </w:rPr>
        <w:t>E</w:t>
      </w:r>
      <w:r w:rsidR="008F05C5" w:rsidRPr="00A21EBA">
        <w:rPr>
          <w:lang w:val="pl-PL"/>
        </w:rPr>
        <w:t xml:space="preserve">dukacji </w:t>
      </w:r>
      <w:r w:rsidRPr="00A21EBA">
        <w:rPr>
          <w:lang w:val="pl-PL"/>
        </w:rPr>
        <w:t>F</w:t>
      </w:r>
      <w:r w:rsidR="008F05C5" w:rsidRPr="00A21EBA">
        <w:rPr>
          <w:lang w:val="pl-PL"/>
        </w:rPr>
        <w:t>inansowej</w:t>
      </w:r>
      <w:r w:rsidRPr="00A21EBA">
        <w:rPr>
          <w:vertAlign w:val="superscript"/>
        </w:rPr>
        <w:footnoteReference w:id="1"/>
      </w:r>
      <w:r w:rsidRPr="00A21EBA">
        <w:rPr>
          <w:lang w:val="pl-PL"/>
        </w:rPr>
        <w:t xml:space="preserve"> sporządzon</w:t>
      </w:r>
      <w:r w:rsidR="00A62A40" w:rsidRPr="00A21EBA">
        <w:rPr>
          <w:lang w:val="pl-PL"/>
        </w:rPr>
        <w:t>ej</w:t>
      </w:r>
      <w:r w:rsidRPr="00A21EBA">
        <w:rPr>
          <w:lang w:val="pl-PL"/>
        </w:rPr>
        <w:t xml:space="preserve"> przez ekspertów z Dyrekcji ds.</w:t>
      </w:r>
      <w:r w:rsidR="000A59BA" w:rsidRPr="00A21EBA">
        <w:rPr>
          <w:lang w:val="pl-PL"/>
        </w:rPr>
        <w:t> </w:t>
      </w:r>
      <w:r w:rsidRPr="00A21EBA">
        <w:rPr>
          <w:lang w:val="pl-PL"/>
        </w:rPr>
        <w:t>Finansów i Przedsiębiorstw OECD w ścisłej współpracy z krajową grupą roboczą. W dokumencie w</w:t>
      </w:r>
      <w:r w:rsidR="000A59BA" w:rsidRPr="00A21EBA">
        <w:rPr>
          <w:lang w:val="pl-PL"/>
        </w:rPr>
        <w:t> </w:t>
      </w:r>
      <w:r w:rsidRPr="00A21EBA">
        <w:rPr>
          <w:lang w:val="pl-PL"/>
        </w:rPr>
        <w:t>znacznym stopniu wykorzystano wsparcie, wkład merytoryczny i uwagi ekspertów krajowej grupy roboczej oraz wkład DG REFORM.</w:t>
      </w:r>
    </w:p>
    <w:p w14:paraId="053D1434" w14:textId="77777777" w:rsidR="005F7A90" w:rsidRPr="00A21EBA" w:rsidRDefault="005F7A90" w:rsidP="005F7A90">
      <w:pPr>
        <w:pStyle w:val="Para0"/>
        <w:rPr>
          <w:lang w:val="pl-PL"/>
        </w:rPr>
      </w:pPr>
      <w:r w:rsidRPr="00A21EBA">
        <w:rPr>
          <w:lang w:val="pl-PL"/>
        </w:rPr>
        <w:t xml:space="preserve">Rekomendacja OECD dot. kompetencji finansowych zachęca do opracowywania krajowych strategii na rzecz podnoszenia znajomości zagadnień finansowych, w których uwzględnione zostaną zidentyfikowane krajowe potrzeby i luki w zakresie edukacji finansowej </w:t>
      </w:r>
      <w:sdt>
        <w:sdtPr>
          <w:rPr>
            <w:lang w:val="pl-PL"/>
          </w:rPr>
          <w:id w:val="-632863936"/>
          <w:citation/>
        </w:sdtPr>
        <w:sdtEndPr/>
        <w:sdtContent>
          <w:r w:rsidRPr="00A21EBA">
            <w:rPr>
              <w:lang w:val="pl-PL"/>
            </w:rPr>
            <w:fldChar w:fldCharType="begin"/>
          </w:r>
          <w:r w:rsidRPr="00A21EBA">
            <w:rPr>
              <w:lang w:val="pl-PL"/>
            </w:rPr>
            <w:instrText xml:space="preserve"> CITATION Mendeley_KgnJVBjRizqD0KFK1qRMww \l 2057 </w:instrText>
          </w:r>
          <w:r w:rsidRPr="00A21EBA">
            <w:rPr>
              <w:lang w:val="pl-PL"/>
            </w:rPr>
            <w:fldChar w:fldCharType="separate"/>
          </w:r>
          <w:r w:rsidRPr="00A21EBA">
            <w:rPr>
              <w:lang w:val="pl-PL"/>
            </w:rPr>
            <w:t>(OECD, 2020[9])</w:t>
          </w:r>
          <w:r w:rsidRPr="00A21EBA">
            <w:rPr>
              <w:lang w:val="pl-PL"/>
            </w:rPr>
            <w:fldChar w:fldCharType="end"/>
          </w:r>
        </w:sdtContent>
      </w:sdt>
      <w:r w:rsidRPr="00A21EBA">
        <w:rPr>
          <w:lang w:val="pl-PL"/>
        </w:rPr>
        <w:t xml:space="preserve">. W związku z tym krajowa grupa robocza zwróciła się do OECD o </w:t>
      </w:r>
      <w:r w:rsidR="00343F20" w:rsidRPr="00A21EBA">
        <w:rPr>
          <w:lang w:val="pl-PL"/>
        </w:rPr>
        <w:t xml:space="preserve">pomoc </w:t>
      </w:r>
      <w:r w:rsidRPr="00A21EBA">
        <w:rPr>
          <w:lang w:val="pl-PL"/>
        </w:rPr>
        <w:t>w analizie potrzeb, inicjatyw i interesariuszy w obszarze edukacji finansowej w Polsce oraz, na podstawie wyników tej analizy, wsparcie</w:t>
      </w:r>
      <w:r w:rsidR="00343F20" w:rsidRPr="00A21EBA">
        <w:rPr>
          <w:lang w:val="pl-PL"/>
        </w:rPr>
        <w:t xml:space="preserve"> w </w:t>
      </w:r>
      <w:r w:rsidRPr="00A21EBA">
        <w:rPr>
          <w:lang w:val="pl-PL"/>
        </w:rPr>
        <w:t>opracowani</w:t>
      </w:r>
      <w:r w:rsidR="00343F20" w:rsidRPr="00A21EBA">
        <w:rPr>
          <w:lang w:val="pl-PL"/>
        </w:rPr>
        <w:t>u</w:t>
      </w:r>
      <w:r w:rsidRPr="00A21EBA">
        <w:rPr>
          <w:lang w:val="pl-PL"/>
        </w:rPr>
        <w:t xml:space="preserve"> </w:t>
      </w:r>
      <w:r w:rsidR="00343F20" w:rsidRPr="00A21EBA">
        <w:rPr>
          <w:lang w:val="pl-PL"/>
        </w:rPr>
        <w:t xml:space="preserve">propozycji </w:t>
      </w:r>
      <w:r w:rsidRPr="00A21EBA">
        <w:rPr>
          <w:lang w:val="pl-PL"/>
        </w:rPr>
        <w:t>KSEF</w:t>
      </w:r>
      <w:r w:rsidR="00343F20" w:rsidRPr="00A21EBA">
        <w:rPr>
          <w:lang w:val="pl-PL"/>
        </w:rPr>
        <w:t xml:space="preserve"> dla Polski</w:t>
      </w:r>
      <w:r w:rsidRPr="00A21EBA">
        <w:rPr>
          <w:lang w:val="pl-PL"/>
        </w:rPr>
        <w:t xml:space="preserve">. Współpraca OECD z krajową grupą roboczą na rzecz </w:t>
      </w:r>
      <w:r w:rsidR="002F1806" w:rsidRPr="00A21EBA">
        <w:rPr>
          <w:lang w:val="pl-PL"/>
        </w:rPr>
        <w:t xml:space="preserve">tego projektu </w:t>
      </w:r>
      <w:r w:rsidRPr="00A21EBA">
        <w:rPr>
          <w:lang w:val="pl-PL"/>
        </w:rPr>
        <w:t>rozpoczęła się w</w:t>
      </w:r>
      <w:r w:rsidR="002F1806" w:rsidRPr="00A21EBA">
        <w:rPr>
          <w:lang w:val="pl-PL"/>
        </w:rPr>
        <w:t> </w:t>
      </w:r>
      <w:r w:rsidRPr="00A21EBA">
        <w:rPr>
          <w:lang w:val="pl-PL"/>
        </w:rPr>
        <w:t>październiku 2021 r.</w:t>
      </w:r>
    </w:p>
    <w:p w14:paraId="133CB93A" w14:textId="77777777" w:rsidR="00481A59" w:rsidRPr="00A21EBA" w:rsidRDefault="005F7A90" w:rsidP="005F7A90">
      <w:pPr>
        <w:pStyle w:val="Para0"/>
        <w:rPr>
          <w:lang w:val="pl-PL"/>
        </w:rPr>
      </w:pPr>
      <w:r w:rsidRPr="00A21EBA">
        <w:rPr>
          <w:lang w:val="pl-PL"/>
        </w:rPr>
        <w:t>OECD, we współpracy z krajową grupą roboczą, przeprowadziła badania i analizy. Na ich podstawie opracowano raport „Znajomość zagadnień finansowy w Polsce: znaczenie, dane i oferta edukacyjna”</w:t>
      </w:r>
      <w:r w:rsidRPr="00A21EBA">
        <w:rPr>
          <w:vertAlign w:val="superscript"/>
        </w:rPr>
        <w:footnoteReference w:id="2"/>
      </w:r>
      <w:r w:rsidRPr="00A21EBA">
        <w:rPr>
          <w:lang w:val="pl-PL"/>
        </w:rPr>
        <w:t xml:space="preserve"> (</w:t>
      </w:r>
      <w:r w:rsidR="002F1806" w:rsidRPr="00A21EBA">
        <w:rPr>
          <w:lang w:val="pl-PL"/>
        </w:rPr>
        <w:t>R</w:t>
      </w:r>
      <w:r w:rsidRPr="00A21EBA">
        <w:rPr>
          <w:lang w:val="pl-PL"/>
        </w:rPr>
        <w:t xml:space="preserve">aport). Raportowi przyświecały trzy cele: </w:t>
      </w:r>
    </w:p>
    <w:p w14:paraId="1B9AB19A" w14:textId="77777777" w:rsidR="00481A59" w:rsidRPr="00A21EBA" w:rsidRDefault="005F7A90" w:rsidP="002F1806">
      <w:pPr>
        <w:pStyle w:val="Para0"/>
        <w:numPr>
          <w:ilvl w:val="0"/>
          <w:numId w:val="24"/>
        </w:numPr>
        <w:rPr>
          <w:lang w:val="pl-PL"/>
        </w:rPr>
      </w:pPr>
      <w:r w:rsidRPr="00A21EBA">
        <w:rPr>
          <w:lang w:val="pl-PL"/>
        </w:rPr>
        <w:t xml:space="preserve">identyfikacja, przegląd i analiza realizowanych inicjatyw w zakresie edukacji finansowej w Polsce, ich zasięgu oraz – w miarę możliwości – ich skuteczności, </w:t>
      </w:r>
    </w:p>
    <w:p w14:paraId="189C1805" w14:textId="77777777" w:rsidR="00481A59" w:rsidRPr="00A21EBA" w:rsidRDefault="005F7A90" w:rsidP="002F1806">
      <w:pPr>
        <w:pStyle w:val="Para0"/>
        <w:numPr>
          <w:ilvl w:val="0"/>
          <w:numId w:val="24"/>
        </w:numPr>
        <w:rPr>
          <w:lang w:val="pl-PL"/>
        </w:rPr>
      </w:pPr>
      <w:r w:rsidRPr="00A21EBA">
        <w:rPr>
          <w:lang w:val="pl-PL"/>
        </w:rPr>
        <w:t xml:space="preserve">identyfikacja potrzeb w zakresie edukacji finansowej i luk w ofercie edukacji finansowej, oraz </w:t>
      </w:r>
    </w:p>
    <w:p w14:paraId="37523EB3" w14:textId="77777777" w:rsidR="005F7A90" w:rsidRPr="00A21EBA" w:rsidRDefault="005F7A90" w:rsidP="002F1806">
      <w:pPr>
        <w:pStyle w:val="Para0"/>
        <w:numPr>
          <w:ilvl w:val="0"/>
          <w:numId w:val="24"/>
        </w:numPr>
        <w:rPr>
          <w:lang w:val="pl-PL"/>
        </w:rPr>
      </w:pPr>
      <w:r w:rsidRPr="00A21EBA">
        <w:rPr>
          <w:lang w:val="pl-PL"/>
        </w:rPr>
        <w:t>przedstawienie rekomendacji, uwzględniających międzynarodowe dobre praktyki, właściwych dla polskiego kontekstu.</w:t>
      </w:r>
    </w:p>
    <w:p w14:paraId="693C2C6C" w14:textId="77777777" w:rsidR="005F7A90" w:rsidRPr="00A21EBA" w:rsidRDefault="005F7A90" w:rsidP="005F7A90">
      <w:pPr>
        <w:pStyle w:val="Para0"/>
        <w:rPr>
          <w:lang w:val="pl-PL"/>
        </w:rPr>
      </w:pPr>
      <w:r w:rsidRPr="00A21EBA">
        <w:rPr>
          <w:lang w:val="pl-PL"/>
        </w:rPr>
        <w:t xml:space="preserve">Opracowując </w:t>
      </w:r>
      <w:r w:rsidR="002F1806" w:rsidRPr="00A21EBA">
        <w:rPr>
          <w:lang w:val="pl-PL"/>
        </w:rPr>
        <w:t>R</w:t>
      </w:r>
      <w:r w:rsidRPr="00A21EBA">
        <w:rPr>
          <w:lang w:val="pl-PL"/>
        </w:rPr>
        <w:t xml:space="preserve">aport, oparto się na kilku źródłach, w tym </w:t>
      </w:r>
      <w:r w:rsidR="002F1806" w:rsidRPr="00A21EBA">
        <w:rPr>
          <w:lang w:val="pl-PL"/>
        </w:rPr>
        <w:t xml:space="preserve">na </w:t>
      </w:r>
      <w:r w:rsidRPr="00A21EBA">
        <w:rPr>
          <w:lang w:val="pl-PL"/>
        </w:rPr>
        <w:t xml:space="preserve">badaniach dostępnych materiałów i danych dotyczących kompetencji finansowych (badaniu kompetencji finansowych wśród osób dorosłych OECD/INFE z 2020 r., ocenie kompetencji finansowych w ramach badania PISA 2020, a także innych badaniach krajowych), </w:t>
      </w:r>
      <w:r w:rsidR="002F1806" w:rsidRPr="00A21EBA">
        <w:rPr>
          <w:lang w:val="pl-PL"/>
        </w:rPr>
        <w:t xml:space="preserve">wynikach przeglądu opartego na specjalnie utworzonym do tego celu </w:t>
      </w:r>
      <w:r w:rsidRPr="00A21EBA">
        <w:rPr>
          <w:lang w:val="pl-PL"/>
        </w:rPr>
        <w:t xml:space="preserve">kwestionariuszu inwentaryzacyjnym oraz </w:t>
      </w:r>
      <w:r w:rsidR="007A7747" w:rsidRPr="00A21EBA">
        <w:rPr>
          <w:lang w:val="pl-PL"/>
        </w:rPr>
        <w:t xml:space="preserve">na </w:t>
      </w:r>
      <w:r w:rsidRPr="00A21EBA">
        <w:rPr>
          <w:lang w:val="pl-PL"/>
        </w:rPr>
        <w:t>wynikach warsztatu, zorganizowanego przez OECD i</w:t>
      </w:r>
      <w:r w:rsidR="007A7747" w:rsidRPr="00A21EBA">
        <w:rPr>
          <w:lang w:val="pl-PL"/>
        </w:rPr>
        <w:t> </w:t>
      </w:r>
      <w:r w:rsidRPr="00A21EBA">
        <w:rPr>
          <w:lang w:val="pl-PL"/>
        </w:rPr>
        <w:t xml:space="preserve">Ministerstwo Finansów, dla przedstawicieli podmiotów zaangażowanych w edukację finansową w Polsce. </w:t>
      </w:r>
    </w:p>
    <w:p w14:paraId="44810B71" w14:textId="1ABC2310" w:rsidR="005F7A90" w:rsidRPr="00A21EBA" w:rsidRDefault="005F7A90" w:rsidP="005F7A90">
      <w:pPr>
        <w:pStyle w:val="Para0"/>
        <w:rPr>
          <w:lang w:val="pl-PL"/>
        </w:rPr>
      </w:pPr>
      <w:r w:rsidRPr="00A21EBA">
        <w:rPr>
          <w:lang w:val="pl-PL"/>
        </w:rPr>
        <w:t>Badanie z wykorzystaniem kwestionariusza inwentaryzacyjnego zostało przeprowadzone w</w:t>
      </w:r>
      <w:r w:rsidR="00481A59" w:rsidRPr="00A21EBA">
        <w:rPr>
          <w:lang w:val="pl-PL"/>
        </w:rPr>
        <w:t xml:space="preserve"> </w:t>
      </w:r>
      <w:r w:rsidRPr="00A21EBA">
        <w:rPr>
          <w:lang w:val="pl-PL"/>
        </w:rPr>
        <w:t>okresie grudzień 2021</w:t>
      </w:r>
      <w:r w:rsidR="00B826AD" w:rsidRPr="00A21EBA">
        <w:rPr>
          <w:lang w:val="pl-PL"/>
        </w:rPr>
        <w:t> </w:t>
      </w:r>
      <w:r w:rsidR="007A7747" w:rsidRPr="00A21EBA">
        <w:rPr>
          <w:lang w:val="pl-PL"/>
        </w:rPr>
        <w:t>r.</w:t>
      </w:r>
      <w:r w:rsidRPr="00A21EBA">
        <w:rPr>
          <w:lang w:val="pl-PL"/>
        </w:rPr>
        <w:t xml:space="preserve"> – styczeń 2022</w:t>
      </w:r>
      <w:r w:rsidR="00B826AD" w:rsidRPr="00A21EBA">
        <w:rPr>
          <w:lang w:val="pl-PL"/>
        </w:rPr>
        <w:t> </w:t>
      </w:r>
      <w:r w:rsidR="007A7747" w:rsidRPr="00A21EBA">
        <w:rPr>
          <w:lang w:val="pl-PL"/>
        </w:rPr>
        <w:t>r</w:t>
      </w:r>
      <w:r w:rsidRPr="00A21EBA">
        <w:rPr>
          <w:lang w:val="pl-PL"/>
        </w:rPr>
        <w:t>. Dostarczyło ono informacji o 97 inicjatywach w zakresie edukacji finansowej realizowanych w Polsce przez 45 podmiot</w:t>
      </w:r>
      <w:r w:rsidR="00BB1BE3" w:rsidRPr="00A21EBA">
        <w:rPr>
          <w:lang w:val="pl-PL"/>
        </w:rPr>
        <w:t>y</w:t>
      </w:r>
      <w:r w:rsidRPr="00A21EBA">
        <w:rPr>
          <w:lang w:val="pl-PL"/>
        </w:rPr>
        <w:t xml:space="preserve">. </w:t>
      </w:r>
      <w:r w:rsidR="00B826AD" w:rsidRPr="00A21EBA">
        <w:rPr>
          <w:lang w:val="pl-PL"/>
        </w:rPr>
        <w:t>Jego w</w:t>
      </w:r>
      <w:r w:rsidRPr="00A21EBA">
        <w:rPr>
          <w:lang w:val="pl-PL"/>
        </w:rPr>
        <w:t>stępne wyniki zostały zaprezentowane podczas warsztatu, który odbył się 15 marca 2022</w:t>
      </w:r>
      <w:r w:rsidR="00B826AD" w:rsidRPr="00A21EBA">
        <w:rPr>
          <w:lang w:val="pl-PL"/>
        </w:rPr>
        <w:t> </w:t>
      </w:r>
      <w:r w:rsidRPr="00A21EBA">
        <w:rPr>
          <w:lang w:val="pl-PL"/>
        </w:rPr>
        <w:t>r. W warsztacie wzięło udział 92 uczestników reprezentujących instytucje sektora pub</w:t>
      </w:r>
      <w:r w:rsidR="00CF6580" w:rsidRPr="00A21EBA">
        <w:rPr>
          <w:lang w:val="pl-PL"/>
        </w:rPr>
        <w:t xml:space="preserve">licznego, organizacje branżowe </w:t>
      </w:r>
      <w:r w:rsidRPr="00A21EBA">
        <w:rPr>
          <w:lang w:val="pl-PL"/>
        </w:rPr>
        <w:t xml:space="preserve">sektora finansowego, organizacje pozarządowe i środowisko naukowe. </w:t>
      </w:r>
      <w:r w:rsidR="00B826AD" w:rsidRPr="00A21EBA">
        <w:rPr>
          <w:lang w:val="pl-PL"/>
        </w:rPr>
        <w:t>P</w:t>
      </w:r>
      <w:r w:rsidRPr="00A21EBA">
        <w:rPr>
          <w:lang w:val="pl-PL"/>
        </w:rPr>
        <w:t xml:space="preserve">odczas warsztatu przeprowadzono </w:t>
      </w:r>
      <w:r w:rsidR="00B826AD" w:rsidRPr="00A21EBA">
        <w:rPr>
          <w:lang w:val="pl-PL"/>
        </w:rPr>
        <w:t xml:space="preserve">też </w:t>
      </w:r>
      <w:r w:rsidRPr="00A21EBA">
        <w:rPr>
          <w:lang w:val="pl-PL"/>
        </w:rPr>
        <w:t>konsultacje i zebrano opinie dotyczące celów, priorytetów i grup docelowych KSEF.</w:t>
      </w:r>
    </w:p>
    <w:p w14:paraId="25A0D095" w14:textId="77777777" w:rsidR="005F7A90" w:rsidRPr="00A21EBA" w:rsidRDefault="005F7A90" w:rsidP="005F7A90">
      <w:pPr>
        <w:pStyle w:val="Para0"/>
        <w:rPr>
          <w:lang w:val="pl-PL"/>
        </w:rPr>
      </w:pPr>
      <w:r w:rsidRPr="00A21EBA">
        <w:rPr>
          <w:lang w:val="pl-PL"/>
        </w:rPr>
        <w:t xml:space="preserve">OECD opublikowała anglojęzyczną wersję </w:t>
      </w:r>
      <w:r w:rsidR="00B826AD" w:rsidRPr="00A21EBA">
        <w:rPr>
          <w:lang w:val="pl-PL"/>
        </w:rPr>
        <w:t>R</w:t>
      </w:r>
      <w:r w:rsidRPr="00A21EBA">
        <w:rPr>
          <w:lang w:val="pl-PL"/>
        </w:rPr>
        <w:t>aportu 13 września 2022</w:t>
      </w:r>
      <w:r w:rsidR="00B826AD" w:rsidRPr="00A21EBA">
        <w:rPr>
          <w:lang w:val="pl-PL"/>
        </w:rPr>
        <w:t> </w:t>
      </w:r>
      <w:r w:rsidRPr="00A21EBA">
        <w:rPr>
          <w:lang w:val="pl-PL"/>
        </w:rPr>
        <w:t>r. (polskie tłumaczenie zostało opublikowane 17 listopada 2022</w:t>
      </w:r>
      <w:r w:rsidR="00B826AD" w:rsidRPr="00A21EBA">
        <w:rPr>
          <w:lang w:val="pl-PL"/>
        </w:rPr>
        <w:t> </w:t>
      </w:r>
      <w:r w:rsidRPr="00A21EBA">
        <w:rPr>
          <w:lang w:val="pl-PL"/>
        </w:rPr>
        <w:t xml:space="preserve">r.). Wnioski i rekomendacje </w:t>
      </w:r>
      <w:r w:rsidR="00B826AD" w:rsidRPr="00A21EBA">
        <w:rPr>
          <w:lang w:val="pl-PL"/>
        </w:rPr>
        <w:t>R</w:t>
      </w:r>
      <w:r w:rsidRPr="00A21EBA">
        <w:rPr>
          <w:lang w:val="pl-PL"/>
        </w:rPr>
        <w:t xml:space="preserve">aportu stanowiły kanwę do opracowania </w:t>
      </w:r>
      <w:r w:rsidR="00B826AD" w:rsidRPr="00A21EBA">
        <w:rPr>
          <w:lang w:val="pl-PL"/>
        </w:rPr>
        <w:t xml:space="preserve">propozycji </w:t>
      </w:r>
      <w:r w:rsidRPr="00A21EBA">
        <w:rPr>
          <w:lang w:val="pl-PL"/>
        </w:rPr>
        <w:t>KSEF.</w:t>
      </w:r>
    </w:p>
    <w:p w14:paraId="256EB880" w14:textId="77777777" w:rsidR="005F7A90" w:rsidRPr="00A21EBA" w:rsidRDefault="005F7A90" w:rsidP="00A16510">
      <w:pPr>
        <w:pStyle w:val="Para0"/>
        <w:spacing w:after="0"/>
        <w:rPr>
          <w:lang w:val="pl-PL"/>
        </w:rPr>
      </w:pPr>
      <w:r w:rsidRPr="00A21EBA">
        <w:rPr>
          <w:lang w:val="pl-PL"/>
        </w:rPr>
        <w:t xml:space="preserve">Po przeprowadzeniu badań i analiz omówionych w </w:t>
      </w:r>
      <w:r w:rsidR="00B826AD" w:rsidRPr="00A21EBA">
        <w:rPr>
          <w:lang w:val="pl-PL"/>
        </w:rPr>
        <w:t>R</w:t>
      </w:r>
      <w:r w:rsidRPr="00A21EBA">
        <w:rPr>
          <w:lang w:val="pl-PL"/>
        </w:rPr>
        <w:t xml:space="preserve">aporcie, OECD wraz z krajową grupą roboczą przystąpiła do opracowania </w:t>
      </w:r>
      <w:r w:rsidR="00350116" w:rsidRPr="00A21EBA">
        <w:rPr>
          <w:lang w:val="pl-PL"/>
        </w:rPr>
        <w:t xml:space="preserve">propozycji </w:t>
      </w:r>
      <w:r w:rsidRPr="00A21EBA">
        <w:rPr>
          <w:lang w:val="pl-PL"/>
        </w:rPr>
        <w:t>KSEF. Krajowa grupa robocza przeprowadziła konsultacje z</w:t>
      </w:r>
      <w:r w:rsidR="00350116" w:rsidRPr="00A21EBA">
        <w:rPr>
          <w:lang w:val="pl-PL"/>
        </w:rPr>
        <w:t> </w:t>
      </w:r>
      <w:r w:rsidRPr="00A21EBA">
        <w:rPr>
          <w:lang w:val="pl-PL"/>
        </w:rPr>
        <w:t xml:space="preserve">polskimi interesariuszami edukacji finansowej na dwóch kluczowych etapach powstawania </w:t>
      </w:r>
      <w:r w:rsidR="00350116" w:rsidRPr="00A21EBA">
        <w:rPr>
          <w:lang w:val="pl-PL"/>
        </w:rPr>
        <w:t xml:space="preserve">propozycji </w:t>
      </w:r>
      <w:r w:rsidRPr="00A21EBA">
        <w:rPr>
          <w:lang w:val="pl-PL"/>
        </w:rPr>
        <w:t>KSEF:</w:t>
      </w:r>
    </w:p>
    <w:p w14:paraId="23A8CE35" w14:textId="77777777" w:rsidR="005F7A90" w:rsidRPr="00A21EBA" w:rsidRDefault="005F7A90" w:rsidP="00A16510">
      <w:pPr>
        <w:pStyle w:val="Para0"/>
        <w:numPr>
          <w:ilvl w:val="0"/>
          <w:numId w:val="19"/>
        </w:numPr>
        <w:spacing w:before="0" w:after="0"/>
        <w:rPr>
          <w:lang w:val="pl-PL"/>
        </w:rPr>
      </w:pPr>
      <w:r w:rsidRPr="00A21EBA">
        <w:rPr>
          <w:lang w:val="pl-PL"/>
        </w:rPr>
        <w:t xml:space="preserve">pisemne konsultacje zarysu projektu </w:t>
      </w:r>
      <w:r w:rsidR="00350116" w:rsidRPr="00A21EBA">
        <w:rPr>
          <w:lang w:val="pl-PL"/>
        </w:rPr>
        <w:t xml:space="preserve">propozycji </w:t>
      </w:r>
      <w:r w:rsidRPr="00A21EBA">
        <w:rPr>
          <w:lang w:val="pl-PL"/>
        </w:rPr>
        <w:t>KSEF, przeprowadzone we wrześniu 2022 r.;</w:t>
      </w:r>
    </w:p>
    <w:p w14:paraId="1DFB9A94" w14:textId="77777777" w:rsidR="00350116" w:rsidRPr="00A21EBA" w:rsidRDefault="005F7A90" w:rsidP="005F7A90">
      <w:pPr>
        <w:pStyle w:val="BulletedList"/>
        <w:numPr>
          <w:ilvl w:val="0"/>
          <w:numId w:val="19"/>
        </w:numPr>
        <w:rPr>
          <w:lang w:val="pl-PL"/>
        </w:rPr>
      </w:pPr>
      <w:r w:rsidRPr="00A21EBA">
        <w:rPr>
          <w:lang w:val="pl-PL"/>
        </w:rPr>
        <w:t xml:space="preserve">pisemne konsultacje pierwszej wersji projektu </w:t>
      </w:r>
      <w:r w:rsidR="00350116" w:rsidRPr="00A21EBA">
        <w:rPr>
          <w:lang w:val="pl-PL"/>
        </w:rPr>
        <w:t xml:space="preserve">propozycji </w:t>
      </w:r>
      <w:r w:rsidRPr="00A21EBA">
        <w:rPr>
          <w:lang w:val="pl-PL"/>
        </w:rPr>
        <w:t>KSEF, przeprowadzone w grudniu 2022 r.</w:t>
      </w:r>
    </w:p>
    <w:p w14:paraId="5865D2A4" w14:textId="77777777" w:rsidR="005F7A90" w:rsidRPr="00A21EBA" w:rsidRDefault="005F7A90" w:rsidP="005F7A90">
      <w:pPr>
        <w:pStyle w:val="Para0"/>
        <w:rPr>
          <w:lang w:val="pl-PL"/>
        </w:rPr>
      </w:pPr>
      <w:r w:rsidRPr="00A21EBA">
        <w:rPr>
          <w:lang w:val="pl-PL"/>
        </w:rPr>
        <w:lastRenderedPageBreak/>
        <w:t>Niniejsz</w:t>
      </w:r>
      <w:r w:rsidR="00350116" w:rsidRPr="00A21EBA">
        <w:rPr>
          <w:lang w:val="pl-PL"/>
        </w:rPr>
        <w:t>y</w:t>
      </w:r>
      <w:r w:rsidRPr="00A21EBA">
        <w:rPr>
          <w:lang w:val="pl-PL"/>
        </w:rPr>
        <w:t xml:space="preserve"> dokument przedstawia</w:t>
      </w:r>
      <w:r w:rsidR="00A16510" w:rsidRPr="00A21EBA">
        <w:rPr>
          <w:lang w:val="pl-PL"/>
        </w:rPr>
        <w:t xml:space="preserve"> ostateczną</w:t>
      </w:r>
      <w:r w:rsidRPr="00A21EBA">
        <w:rPr>
          <w:lang w:val="pl-PL"/>
        </w:rPr>
        <w:t xml:space="preserve"> KSEF</w:t>
      </w:r>
      <w:r w:rsidR="00A16510" w:rsidRPr="00A21EBA">
        <w:rPr>
          <w:lang w:val="pl-PL"/>
        </w:rPr>
        <w:t xml:space="preserve"> </w:t>
      </w:r>
      <w:r w:rsidRPr="00A21EBA">
        <w:rPr>
          <w:lang w:val="pl-PL"/>
        </w:rPr>
        <w:t>dla Polski oraz jej pierwszy plan wdrażania. Jest ona wynikiem szeroko zakrojonych konsultacji z liczną grupą krajowych interesariuszy działających w sektorze edukacji finansowej w Polsce. Dokument opiera się na założeniu, że edukacja finansowa jest istotnym elementem polityk publicznych i tworzy podstawy skoordynowanego podejścia do edukacji finansowej w</w:t>
      </w:r>
      <w:r w:rsidR="00A16510" w:rsidRPr="00A21EBA">
        <w:rPr>
          <w:lang w:val="pl-PL"/>
        </w:rPr>
        <w:t> </w:t>
      </w:r>
      <w:r w:rsidRPr="00A21EBA">
        <w:rPr>
          <w:lang w:val="pl-PL"/>
        </w:rPr>
        <w:t>Polsce. Ustanawia ona również platformę współdziałania oraz wymiany najlepszych praktyk pomiędzy interesariuszami edukacji finansowej w kraju.</w:t>
      </w:r>
    </w:p>
    <w:p w14:paraId="554EC43B" w14:textId="4111673B" w:rsidR="00ED238F" w:rsidRPr="000A59BA" w:rsidRDefault="00ED238F" w:rsidP="005F7A90">
      <w:pPr>
        <w:pStyle w:val="Para0"/>
        <w:rPr>
          <w:lang w:val="pl-PL"/>
        </w:rPr>
      </w:pPr>
      <w:r w:rsidRPr="00A21EBA">
        <w:rPr>
          <w:szCs w:val="20"/>
          <w:lang w:val="pl-PL"/>
        </w:rPr>
        <w:t xml:space="preserve">KSEF ma status polityki publicznej </w:t>
      </w:r>
      <w:r w:rsidR="00F51757" w:rsidRPr="00A21EBA">
        <w:rPr>
          <w:szCs w:val="20"/>
          <w:lang w:val="pl-PL"/>
        </w:rPr>
        <w:t xml:space="preserve">w rozumieniu </w:t>
      </w:r>
      <w:r w:rsidRPr="00A21EBA">
        <w:rPr>
          <w:szCs w:val="20"/>
          <w:lang w:val="pl-PL"/>
        </w:rPr>
        <w:t>ustaw</w:t>
      </w:r>
      <w:r w:rsidR="00F51757" w:rsidRPr="00A21EBA">
        <w:rPr>
          <w:szCs w:val="20"/>
          <w:lang w:val="pl-PL"/>
        </w:rPr>
        <w:t>y</w:t>
      </w:r>
      <w:r w:rsidRPr="00A21EBA">
        <w:rPr>
          <w:szCs w:val="20"/>
          <w:lang w:val="pl-PL"/>
        </w:rPr>
        <w:t xml:space="preserve"> z dnia </w:t>
      </w:r>
      <w:r w:rsidR="00F51757" w:rsidRPr="00A21EBA">
        <w:rPr>
          <w:szCs w:val="20"/>
          <w:lang w:val="pl-PL"/>
        </w:rPr>
        <w:t>6 grudnia 2006 r.</w:t>
      </w:r>
      <w:r w:rsidR="00F51757" w:rsidRPr="00A21EBA" w:rsidDel="00F51757">
        <w:rPr>
          <w:szCs w:val="20"/>
          <w:lang w:val="pl-PL"/>
        </w:rPr>
        <w:t xml:space="preserve"> </w:t>
      </w:r>
      <w:r w:rsidRPr="00A21EBA">
        <w:rPr>
          <w:szCs w:val="20"/>
          <w:lang w:val="pl-PL"/>
        </w:rPr>
        <w:t>o zasadach prowadzenia polityki rozwoju</w:t>
      </w:r>
      <w:r w:rsidR="00F51757" w:rsidRPr="00A21EBA">
        <w:rPr>
          <w:szCs w:val="20"/>
          <w:lang w:val="pl-PL"/>
        </w:rPr>
        <w:t xml:space="preserve"> </w:t>
      </w:r>
      <w:hyperlink r:id="rId15" w:history="1">
        <w:r w:rsidR="00F51757" w:rsidRPr="00A21EBA">
          <w:rPr>
            <w:szCs w:val="20"/>
            <w:lang w:val="pl-PL"/>
          </w:rPr>
          <w:t xml:space="preserve">(Dz.U. z 2023 r. poz. 1259, z </w:t>
        </w:r>
        <w:proofErr w:type="spellStart"/>
        <w:r w:rsidR="00F51757" w:rsidRPr="00A21EBA">
          <w:rPr>
            <w:szCs w:val="20"/>
            <w:lang w:val="pl-PL"/>
          </w:rPr>
          <w:t>późn</w:t>
        </w:r>
        <w:proofErr w:type="spellEnd"/>
        <w:r w:rsidR="00F51757" w:rsidRPr="00A21EBA">
          <w:rPr>
            <w:szCs w:val="20"/>
            <w:lang w:val="pl-PL"/>
          </w:rPr>
          <w:t>. zm.)</w:t>
        </w:r>
      </w:hyperlink>
      <w:r w:rsidR="00F51757" w:rsidRPr="00A21EBA">
        <w:rPr>
          <w:szCs w:val="20"/>
          <w:lang w:val="pl-PL"/>
        </w:rPr>
        <w:t>.</w:t>
      </w:r>
      <w:r w:rsidRPr="00A21EBA">
        <w:rPr>
          <w:szCs w:val="20"/>
          <w:lang w:val="pl-PL"/>
        </w:rPr>
        <w:t xml:space="preserve"> </w:t>
      </w:r>
      <w:r w:rsidR="005608A8" w:rsidRPr="00A21EBA">
        <w:rPr>
          <w:szCs w:val="20"/>
          <w:lang w:val="pl-PL"/>
        </w:rPr>
        <w:t xml:space="preserve">Zgodnie z art. 21e </w:t>
      </w:r>
      <w:r w:rsidR="00463542" w:rsidRPr="00A21EBA">
        <w:rPr>
          <w:szCs w:val="20"/>
          <w:lang w:val="pl-PL"/>
        </w:rPr>
        <w:t xml:space="preserve">tej </w:t>
      </w:r>
      <w:r w:rsidR="005608A8" w:rsidRPr="00A21EBA">
        <w:rPr>
          <w:szCs w:val="20"/>
          <w:lang w:val="pl-PL"/>
        </w:rPr>
        <w:t>us</w:t>
      </w:r>
      <w:r w:rsidR="00265ECD" w:rsidRPr="00A21EBA">
        <w:rPr>
          <w:szCs w:val="20"/>
          <w:lang w:val="pl-PL"/>
        </w:rPr>
        <w:t>t</w:t>
      </w:r>
      <w:r w:rsidR="005608A8" w:rsidRPr="00A21EBA">
        <w:rPr>
          <w:szCs w:val="20"/>
          <w:lang w:val="pl-PL"/>
        </w:rPr>
        <w:t xml:space="preserve">awy </w:t>
      </w:r>
      <w:r w:rsidR="00F51757" w:rsidRPr="00A21EBA">
        <w:rPr>
          <w:szCs w:val="20"/>
          <w:lang w:val="pl-PL"/>
        </w:rPr>
        <w:t>KSEF</w:t>
      </w:r>
      <w:r w:rsidR="00867D18" w:rsidRPr="00A21EBA">
        <w:rPr>
          <w:szCs w:val="20"/>
          <w:lang w:val="pl-PL"/>
        </w:rPr>
        <w:t>, na podstawie wcześniej przeprowadzonej diagnozy,</w:t>
      </w:r>
      <w:r w:rsidR="00F51757" w:rsidRPr="00A21EBA">
        <w:rPr>
          <w:szCs w:val="20"/>
          <w:lang w:val="pl-PL"/>
        </w:rPr>
        <w:t xml:space="preserve"> </w:t>
      </w:r>
      <w:r w:rsidRPr="00A21EBA">
        <w:rPr>
          <w:szCs w:val="20"/>
          <w:lang w:val="pl-PL"/>
        </w:rPr>
        <w:t xml:space="preserve">określa </w:t>
      </w:r>
      <w:r w:rsidR="00867D18" w:rsidRPr="00A21EBA">
        <w:rPr>
          <w:szCs w:val="20"/>
          <w:lang w:val="pl-PL"/>
        </w:rPr>
        <w:t>zasady realizacji polityki</w:t>
      </w:r>
      <w:r w:rsidRPr="00A21EBA">
        <w:rPr>
          <w:szCs w:val="20"/>
          <w:lang w:val="pl-PL"/>
        </w:rPr>
        <w:t xml:space="preserve"> w </w:t>
      </w:r>
      <w:r w:rsidR="005608A8" w:rsidRPr="00A21EBA">
        <w:rPr>
          <w:szCs w:val="20"/>
          <w:lang w:val="pl-PL"/>
        </w:rPr>
        <w:t>zakresie edukacji finansowej</w:t>
      </w:r>
      <w:r w:rsidR="00867D18" w:rsidRPr="00A21EBA">
        <w:rPr>
          <w:szCs w:val="20"/>
          <w:lang w:val="pl-PL"/>
        </w:rPr>
        <w:t>.</w:t>
      </w:r>
      <w:r w:rsidRPr="001F525C">
        <w:rPr>
          <w:szCs w:val="20"/>
          <w:lang w:val="pl-PL"/>
        </w:rPr>
        <w:t xml:space="preserve"> </w:t>
      </w:r>
    </w:p>
    <w:p w14:paraId="49CADF6E" w14:textId="77777777" w:rsidR="005F7A90" w:rsidRDefault="005F7A90" w:rsidP="00771A89">
      <w:pPr>
        <w:pStyle w:val="Cytat"/>
        <w:rPr>
          <w:lang w:val="pl-PL"/>
        </w:rPr>
      </w:pPr>
    </w:p>
    <w:p w14:paraId="06EA4A31" w14:textId="77777777" w:rsidR="005F7A90" w:rsidRDefault="005F7A90" w:rsidP="00771A89">
      <w:pPr>
        <w:pStyle w:val="Cytat"/>
        <w:rPr>
          <w:lang w:val="pl-PL"/>
        </w:rPr>
      </w:pPr>
    </w:p>
    <w:p w14:paraId="652CFB5C" w14:textId="77777777" w:rsidR="005F7A90" w:rsidRDefault="005F7A90" w:rsidP="00771A89">
      <w:pPr>
        <w:pStyle w:val="Cytat"/>
        <w:rPr>
          <w:lang w:val="pl-PL"/>
        </w:rPr>
      </w:pPr>
      <w:bookmarkStart w:id="2" w:name="mip68906342"/>
      <w:bookmarkStart w:id="3" w:name="mip68906343"/>
      <w:bookmarkStart w:id="4" w:name="mip68906344"/>
      <w:bookmarkStart w:id="5" w:name="mip68906345"/>
      <w:bookmarkEnd w:id="2"/>
      <w:bookmarkEnd w:id="3"/>
      <w:bookmarkEnd w:id="4"/>
      <w:bookmarkEnd w:id="5"/>
    </w:p>
    <w:p w14:paraId="09B3F628" w14:textId="77777777" w:rsidR="005F7A90" w:rsidRDefault="005F7A90" w:rsidP="00771A89">
      <w:pPr>
        <w:pStyle w:val="Cytat"/>
        <w:rPr>
          <w:lang w:val="pl-PL"/>
        </w:rPr>
      </w:pPr>
    </w:p>
    <w:p w14:paraId="57F70810" w14:textId="77777777" w:rsidR="005F7A90" w:rsidRDefault="005F7A90" w:rsidP="00771A89">
      <w:pPr>
        <w:pStyle w:val="Cytat"/>
        <w:rPr>
          <w:lang w:val="pl-PL"/>
        </w:rPr>
      </w:pPr>
    </w:p>
    <w:p w14:paraId="3AFD3C1C" w14:textId="77777777" w:rsidR="005F7A90" w:rsidRDefault="005F7A90" w:rsidP="00771A89">
      <w:pPr>
        <w:pStyle w:val="Cytat"/>
        <w:rPr>
          <w:lang w:val="pl-PL"/>
        </w:rPr>
      </w:pPr>
    </w:p>
    <w:p w14:paraId="1FF7C009" w14:textId="77777777" w:rsidR="005F7A90" w:rsidRDefault="005F7A90" w:rsidP="00771A89">
      <w:pPr>
        <w:pStyle w:val="Cytat"/>
        <w:rPr>
          <w:lang w:val="pl-PL"/>
        </w:rPr>
      </w:pPr>
    </w:p>
    <w:p w14:paraId="7E8EE624" w14:textId="77777777" w:rsidR="005F7A90" w:rsidRDefault="005F7A90" w:rsidP="00771A89">
      <w:pPr>
        <w:pStyle w:val="Cytat"/>
        <w:rPr>
          <w:lang w:val="pl-PL"/>
        </w:rPr>
      </w:pPr>
    </w:p>
    <w:p w14:paraId="4B200137" w14:textId="77777777" w:rsidR="005F7A90" w:rsidRDefault="005F7A90" w:rsidP="00771A89">
      <w:pPr>
        <w:pStyle w:val="Cytat"/>
        <w:rPr>
          <w:lang w:val="pl-PL"/>
        </w:rPr>
      </w:pPr>
    </w:p>
    <w:p w14:paraId="25DB8ADA" w14:textId="77777777" w:rsidR="005F7A90" w:rsidRDefault="005F7A90" w:rsidP="00771A89">
      <w:pPr>
        <w:pStyle w:val="Cytat"/>
        <w:rPr>
          <w:lang w:val="pl-PL"/>
        </w:rPr>
      </w:pPr>
    </w:p>
    <w:p w14:paraId="726A87F0" w14:textId="77777777" w:rsidR="005F7A90" w:rsidRDefault="005F7A90" w:rsidP="00771A89">
      <w:pPr>
        <w:pStyle w:val="Cytat"/>
        <w:rPr>
          <w:lang w:val="pl-PL"/>
        </w:rPr>
      </w:pPr>
    </w:p>
    <w:p w14:paraId="7BEDEB9C" w14:textId="77777777" w:rsidR="005F7A90" w:rsidRDefault="005F7A90" w:rsidP="00771A89">
      <w:pPr>
        <w:pStyle w:val="Cytat"/>
        <w:rPr>
          <w:lang w:val="pl-PL"/>
        </w:rPr>
      </w:pPr>
    </w:p>
    <w:p w14:paraId="7174AF63" w14:textId="77777777" w:rsidR="005F7A90" w:rsidRDefault="005F7A90" w:rsidP="00771A89">
      <w:pPr>
        <w:pStyle w:val="Cytat"/>
        <w:rPr>
          <w:lang w:val="pl-PL"/>
        </w:rPr>
      </w:pPr>
    </w:p>
    <w:p w14:paraId="24796293" w14:textId="77777777" w:rsidR="005F7A90" w:rsidRDefault="005F7A90" w:rsidP="00771A89">
      <w:pPr>
        <w:pStyle w:val="Cytat"/>
        <w:rPr>
          <w:lang w:val="pl-PL"/>
        </w:rPr>
      </w:pPr>
    </w:p>
    <w:p w14:paraId="5FC773BF" w14:textId="77777777" w:rsidR="005F7A90" w:rsidRDefault="005F7A90" w:rsidP="00771A89">
      <w:pPr>
        <w:pStyle w:val="Cytat"/>
        <w:rPr>
          <w:lang w:val="pl-PL"/>
        </w:rPr>
      </w:pPr>
    </w:p>
    <w:p w14:paraId="01B05822" w14:textId="77777777" w:rsidR="005F7A90" w:rsidRDefault="005F7A90" w:rsidP="00771A89">
      <w:pPr>
        <w:pStyle w:val="Cytat"/>
        <w:rPr>
          <w:lang w:val="pl-PL"/>
        </w:rPr>
      </w:pPr>
    </w:p>
    <w:p w14:paraId="6531B97C" w14:textId="77777777" w:rsidR="005F7A90" w:rsidRDefault="005F7A90" w:rsidP="00771A89">
      <w:pPr>
        <w:pStyle w:val="Cytat"/>
        <w:rPr>
          <w:lang w:val="pl-PL"/>
        </w:rPr>
      </w:pPr>
    </w:p>
    <w:p w14:paraId="3FA5BF8A" w14:textId="77777777" w:rsidR="005F7A90" w:rsidRDefault="005F7A90" w:rsidP="00771A89">
      <w:pPr>
        <w:pStyle w:val="Cytat"/>
        <w:rPr>
          <w:lang w:val="pl-PL"/>
        </w:rPr>
      </w:pPr>
    </w:p>
    <w:p w14:paraId="54B1D46B" w14:textId="77777777" w:rsidR="005F7A90" w:rsidRDefault="005F7A90" w:rsidP="00771A89">
      <w:pPr>
        <w:pStyle w:val="Cytat"/>
        <w:rPr>
          <w:lang w:val="pl-PL"/>
        </w:rPr>
      </w:pPr>
    </w:p>
    <w:p w14:paraId="452EEB0E" w14:textId="77777777" w:rsidR="00770C09" w:rsidRPr="0085159D" w:rsidRDefault="00770C09" w:rsidP="000B051F">
      <w:pPr>
        <w:pStyle w:val="Para0"/>
        <w:rPr>
          <w:lang w:val="pl-PL"/>
        </w:rPr>
      </w:pPr>
    </w:p>
    <w:p w14:paraId="33FC5E4A" w14:textId="77777777" w:rsidR="00770C09" w:rsidRPr="0085159D" w:rsidRDefault="00770C09" w:rsidP="000B051F">
      <w:pPr>
        <w:pStyle w:val="Para0"/>
        <w:rPr>
          <w:lang w:val="pl-PL"/>
        </w:rPr>
      </w:pPr>
    </w:p>
    <w:p w14:paraId="73BA0D6E" w14:textId="77777777" w:rsidR="00770C09" w:rsidRPr="0085159D" w:rsidRDefault="00770C09" w:rsidP="000B051F">
      <w:pPr>
        <w:pStyle w:val="Para0"/>
        <w:rPr>
          <w:lang w:val="pl-PL"/>
        </w:rPr>
      </w:pPr>
    </w:p>
    <w:p w14:paraId="43A218EA" w14:textId="77777777" w:rsidR="00770C09" w:rsidRPr="0085159D" w:rsidRDefault="00770C09" w:rsidP="000B051F">
      <w:pPr>
        <w:pStyle w:val="Para0"/>
        <w:rPr>
          <w:lang w:val="pl-PL"/>
        </w:rPr>
      </w:pPr>
    </w:p>
    <w:p w14:paraId="3CA2AED6" w14:textId="77777777" w:rsidR="00770C09" w:rsidRPr="0085159D" w:rsidRDefault="00770C09" w:rsidP="000B051F">
      <w:pPr>
        <w:pStyle w:val="Para0"/>
        <w:rPr>
          <w:lang w:val="pl-PL"/>
        </w:rPr>
      </w:pPr>
    </w:p>
    <w:p w14:paraId="481A1BD0" w14:textId="77777777" w:rsidR="00770C09" w:rsidRPr="0085159D" w:rsidRDefault="00770C09" w:rsidP="000B051F">
      <w:pPr>
        <w:pStyle w:val="Para0"/>
        <w:rPr>
          <w:lang w:val="pl-PL"/>
        </w:rPr>
      </w:pPr>
    </w:p>
    <w:p w14:paraId="2CA9CCC3" w14:textId="77777777" w:rsidR="00770C09" w:rsidRPr="0085159D" w:rsidRDefault="00770C09" w:rsidP="000B051F">
      <w:pPr>
        <w:pStyle w:val="Para0"/>
        <w:rPr>
          <w:lang w:val="pl-PL"/>
        </w:rPr>
      </w:pPr>
    </w:p>
    <w:p w14:paraId="09211249" w14:textId="77777777" w:rsidR="00770C09" w:rsidRPr="0085159D" w:rsidRDefault="00770C09" w:rsidP="000B051F">
      <w:pPr>
        <w:pStyle w:val="Para0"/>
        <w:rPr>
          <w:lang w:val="pl-PL"/>
        </w:rPr>
      </w:pPr>
    </w:p>
    <w:p w14:paraId="54C72BE5" w14:textId="77777777" w:rsidR="00770C09" w:rsidRPr="0085159D" w:rsidRDefault="00770C09" w:rsidP="000B051F">
      <w:pPr>
        <w:pStyle w:val="Para0"/>
        <w:rPr>
          <w:lang w:val="pl-PL"/>
        </w:rPr>
      </w:pPr>
    </w:p>
    <w:p w14:paraId="77EBE4ED" w14:textId="77777777" w:rsidR="00770C09" w:rsidRPr="0085159D" w:rsidRDefault="00770C09" w:rsidP="000B051F">
      <w:pPr>
        <w:pStyle w:val="Para0"/>
        <w:rPr>
          <w:lang w:val="pl-PL"/>
        </w:rPr>
      </w:pPr>
    </w:p>
    <w:p w14:paraId="2FBA5827" w14:textId="77777777" w:rsidR="00770C09" w:rsidRPr="0085159D" w:rsidRDefault="00770C09" w:rsidP="000B051F">
      <w:pPr>
        <w:pStyle w:val="Para0"/>
        <w:rPr>
          <w:lang w:val="pl-PL"/>
        </w:rPr>
      </w:pPr>
    </w:p>
    <w:p w14:paraId="1AD493FB" w14:textId="77777777" w:rsidR="00770C09" w:rsidRPr="0085159D" w:rsidRDefault="00770C09" w:rsidP="000B051F">
      <w:pPr>
        <w:pStyle w:val="Para0"/>
        <w:rPr>
          <w:lang w:val="pl-PL"/>
        </w:rPr>
      </w:pPr>
    </w:p>
    <w:p w14:paraId="683DC66B" w14:textId="77777777" w:rsidR="00770C09" w:rsidRPr="0085159D" w:rsidRDefault="00770C09" w:rsidP="000B051F">
      <w:pPr>
        <w:pStyle w:val="Para0"/>
        <w:rPr>
          <w:lang w:val="pl-PL"/>
        </w:rPr>
      </w:pPr>
    </w:p>
    <w:p w14:paraId="24F1E697" w14:textId="77777777" w:rsidR="00770C09" w:rsidRPr="0085159D" w:rsidRDefault="00770C09" w:rsidP="000B051F">
      <w:pPr>
        <w:pStyle w:val="Para0"/>
        <w:rPr>
          <w:lang w:val="pl-PL"/>
        </w:rPr>
      </w:pPr>
    </w:p>
    <w:p w14:paraId="6F280206" w14:textId="77777777" w:rsidR="00770C09" w:rsidRPr="0085159D" w:rsidRDefault="00770C09" w:rsidP="000B051F">
      <w:pPr>
        <w:pStyle w:val="Para0"/>
        <w:rPr>
          <w:lang w:val="pl-PL"/>
        </w:rPr>
      </w:pPr>
    </w:p>
    <w:p w14:paraId="6CE291D8" w14:textId="77777777" w:rsidR="00770C09" w:rsidRPr="0085159D" w:rsidRDefault="00770C09" w:rsidP="000B051F">
      <w:pPr>
        <w:pStyle w:val="Para0"/>
        <w:rPr>
          <w:lang w:val="pl-PL"/>
        </w:rPr>
      </w:pPr>
    </w:p>
    <w:p w14:paraId="4B01FA70" w14:textId="77777777" w:rsidR="00770C09" w:rsidRPr="0085159D" w:rsidRDefault="00770C09" w:rsidP="000B051F">
      <w:pPr>
        <w:pStyle w:val="Para0"/>
        <w:rPr>
          <w:lang w:val="pl-PL"/>
        </w:rPr>
      </w:pPr>
    </w:p>
    <w:p w14:paraId="25F174FA" w14:textId="77777777" w:rsidR="00770C09" w:rsidRPr="0085159D" w:rsidRDefault="00770C09" w:rsidP="000B051F">
      <w:pPr>
        <w:pStyle w:val="Para0"/>
        <w:rPr>
          <w:lang w:val="pl-PL"/>
        </w:rPr>
      </w:pPr>
    </w:p>
    <w:p w14:paraId="3B216FF1" w14:textId="77777777" w:rsidR="00770C09" w:rsidRPr="0085159D" w:rsidRDefault="00770C09" w:rsidP="000B051F">
      <w:pPr>
        <w:pStyle w:val="Para0"/>
        <w:rPr>
          <w:lang w:val="pl-PL"/>
        </w:rPr>
      </w:pPr>
    </w:p>
    <w:p w14:paraId="0CD03138" w14:textId="77777777" w:rsidR="00770C09" w:rsidRPr="0085159D" w:rsidRDefault="00770C09" w:rsidP="000B051F">
      <w:pPr>
        <w:pStyle w:val="Para0"/>
        <w:rPr>
          <w:lang w:val="pl-PL"/>
        </w:rPr>
      </w:pPr>
    </w:p>
    <w:sdt>
      <w:sdtPr>
        <w:rPr>
          <w:rFonts w:asciiTheme="minorHAnsi" w:eastAsiaTheme="minorHAnsi" w:hAnsiTheme="minorHAnsi" w:cstheme="minorBidi"/>
          <w:b w:val="0"/>
          <w:noProof/>
          <w:color w:val="000000" w:themeColor="text1"/>
          <w:sz w:val="20"/>
          <w:szCs w:val="22"/>
          <w:lang w:val="pl-PL"/>
        </w:rPr>
        <w:id w:val="-85394019"/>
        <w:docPartObj>
          <w:docPartGallery w:val="Table of Contents"/>
          <w:docPartUnique/>
        </w:docPartObj>
      </w:sdtPr>
      <w:sdtEndPr>
        <w:rPr>
          <w:bCs/>
        </w:rPr>
      </w:sdtEndPr>
      <w:sdtContent>
        <w:p w14:paraId="29FCDB75" w14:textId="77777777" w:rsidR="006D0AD8" w:rsidRPr="007E70B7" w:rsidRDefault="00E14925" w:rsidP="0085159D">
          <w:pPr>
            <w:pStyle w:val="Nagwekspisutreci"/>
            <w:spacing w:after="400"/>
            <w:rPr>
              <w:noProof/>
              <w:color w:val="auto"/>
              <w:lang w:val="pl-PL"/>
            </w:rPr>
          </w:pPr>
          <w:r w:rsidRPr="004A096F">
            <w:rPr>
              <w:bCs/>
              <w:noProof/>
              <w:color w:val="auto"/>
              <w:lang w:val="pl-PL"/>
            </w:rPr>
            <w:t>Spis</w:t>
          </w:r>
          <w:r w:rsidRPr="003821D4">
            <w:rPr>
              <w:bCs/>
              <w:noProof/>
              <w:color w:val="auto"/>
              <w:lang w:val="pl-PL"/>
            </w:rPr>
            <w:t xml:space="preserve"> </w:t>
          </w:r>
          <w:r w:rsidRPr="004A096F">
            <w:rPr>
              <w:bCs/>
              <w:noProof/>
              <w:color w:val="auto"/>
              <w:lang w:val="pl-PL"/>
            </w:rPr>
            <w:t>treści</w:t>
          </w:r>
        </w:p>
        <w:p w14:paraId="647BCE20" w14:textId="77777777" w:rsidR="000A59BA" w:rsidRPr="004A096F" w:rsidRDefault="000A59BA" w:rsidP="000B051F">
          <w:pPr>
            <w:pStyle w:val="Spistreci1"/>
            <w:rPr>
              <w:rFonts w:asciiTheme="minorHAnsi" w:eastAsiaTheme="minorEastAsia" w:hAnsiTheme="minorHAnsi"/>
              <w:noProof/>
              <w:color w:val="auto"/>
              <w:sz w:val="22"/>
              <w:lang w:val="pl-PL"/>
            </w:rPr>
          </w:pPr>
          <w:r w:rsidRPr="007E70B7">
            <w:rPr>
              <w:b/>
              <w:bCs/>
              <w:color w:val="auto"/>
              <w:lang w:val="pl-PL"/>
            </w:rPr>
            <w:fldChar w:fldCharType="begin"/>
          </w:r>
          <w:r w:rsidRPr="007E70B7">
            <w:rPr>
              <w:b/>
              <w:color w:val="auto"/>
              <w:lang w:val="pl-PL"/>
            </w:rPr>
            <w:instrText xml:space="preserve"> TOC \o "1-1" \h \z \t "Heading 2,2,Heading 6,9,Heading 7,1,Heading 9,2,InBrief Opener,2,Heading 2 (Indicator),2" </w:instrText>
          </w:r>
          <w:r w:rsidRPr="007E70B7">
            <w:rPr>
              <w:b/>
              <w:color w:val="auto"/>
              <w:lang w:val="pl-PL"/>
            </w:rPr>
            <w:fldChar w:fldCharType="separate"/>
          </w:r>
          <w:hyperlink w:anchor="_Toc131520804" w:history="1">
            <w:r w:rsidRPr="007E70B7">
              <w:rPr>
                <w:rStyle w:val="Hipercze"/>
                <w:bCs/>
                <w:noProof/>
                <w:color w:val="auto"/>
                <w:lang w:val="pl-PL"/>
              </w:rPr>
              <w:t>Wstęp</w:t>
            </w:r>
            <w:r w:rsidRPr="007E70B7">
              <w:rPr>
                <w:noProof/>
                <w:webHidden/>
                <w:color w:val="auto"/>
                <w:lang w:val="pl-PL"/>
              </w:rPr>
              <w:tab/>
            </w:r>
          </w:hyperlink>
          <w:r w:rsidR="007E70B7">
            <w:rPr>
              <w:noProof/>
              <w:color w:val="auto"/>
              <w:lang w:val="pl-PL"/>
            </w:rPr>
            <w:t>2</w:t>
          </w:r>
        </w:p>
        <w:p w14:paraId="7C9F8B6C" w14:textId="5FDD86E1" w:rsidR="000A59BA" w:rsidRPr="004A096F" w:rsidRDefault="003938DA" w:rsidP="000B051F">
          <w:pPr>
            <w:pStyle w:val="Spistreci1"/>
            <w:rPr>
              <w:rFonts w:asciiTheme="minorHAnsi" w:eastAsiaTheme="minorEastAsia" w:hAnsiTheme="minorHAnsi"/>
              <w:noProof/>
              <w:color w:val="auto"/>
              <w:sz w:val="22"/>
              <w:lang w:val="pl-PL"/>
            </w:rPr>
          </w:pPr>
          <w:hyperlink w:anchor="_Toc131520805" w:history="1">
            <w:r w:rsidR="000A59BA" w:rsidRPr="007E70B7">
              <w:rPr>
                <w:rStyle w:val="Hipercze"/>
                <w:bCs/>
                <w:noProof/>
                <w:color w:val="auto"/>
                <w:lang w:val="pl-PL"/>
              </w:rPr>
              <w:t>Skróty i akronimy</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_Toc131520805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7</w:t>
            </w:r>
            <w:r w:rsidR="000A59BA" w:rsidRPr="007E70B7">
              <w:rPr>
                <w:noProof/>
                <w:webHidden/>
                <w:color w:val="auto"/>
                <w:lang w:val="pl-PL"/>
              </w:rPr>
              <w:fldChar w:fldCharType="end"/>
            </w:r>
          </w:hyperlink>
        </w:p>
        <w:p w14:paraId="0FB49A5C" w14:textId="16E27566" w:rsidR="000A59BA" w:rsidRPr="004A096F" w:rsidRDefault="003938DA" w:rsidP="000B051F">
          <w:pPr>
            <w:pStyle w:val="Spistreci1"/>
            <w:rPr>
              <w:rFonts w:asciiTheme="minorHAnsi" w:eastAsiaTheme="minorEastAsia" w:hAnsiTheme="minorHAnsi"/>
              <w:noProof/>
              <w:color w:val="auto"/>
              <w:sz w:val="22"/>
              <w:lang w:val="pl-PL"/>
            </w:rPr>
          </w:pPr>
          <w:hyperlink w:anchor="_Toc131520806" w:history="1">
            <w:r w:rsidR="000A59BA" w:rsidRPr="007E70B7">
              <w:rPr>
                <w:rStyle w:val="Hipercze"/>
                <w:bCs/>
                <w:noProof/>
                <w:color w:val="auto"/>
                <w:lang w:val="pl-PL"/>
              </w:rPr>
              <w:t>Część I: Potrzeba edukacji finansowej w Polsce</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_Toc131520806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8</w:t>
            </w:r>
            <w:r w:rsidR="000A59BA" w:rsidRPr="007E70B7">
              <w:rPr>
                <w:noProof/>
                <w:webHidden/>
                <w:color w:val="auto"/>
                <w:lang w:val="pl-PL"/>
              </w:rPr>
              <w:fldChar w:fldCharType="end"/>
            </w:r>
          </w:hyperlink>
        </w:p>
        <w:p w14:paraId="1E927319" w14:textId="0ED15CDB" w:rsidR="000A59BA" w:rsidRPr="004A096F" w:rsidRDefault="003938DA" w:rsidP="000B051F">
          <w:pPr>
            <w:pStyle w:val="Spistreci2"/>
            <w:rPr>
              <w:rFonts w:eastAsiaTheme="minorEastAsia"/>
              <w:noProof/>
              <w:color w:val="auto"/>
              <w:sz w:val="22"/>
              <w:lang w:val="pl-PL"/>
            </w:rPr>
          </w:pPr>
          <w:hyperlink w:anchor="_Toc131520807" w:history="1">
            <w:r w:rsidR="000A59BA" w:rsidRPr="007E70B7">
              <w:rPr>
                <w:rStyle w:val="Hipercze"/>
                <w:bCs/>
                <w:noProof/>
                <w:color w:val="auto"/>
                <w:lang w:val="pl-PL"/>
              </w:rPr>
              <w:t>1.1. Dlaczego w Polsce potrzebna jest edukacja finansowa?</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_Toc131520807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8</w:t>
            </w:r>
            <w:r w:rsidR="000A59BA" w:rsidRPr="007E70B7">
              <w:rPr>
                <w:noProof/>
                <w:webHidden/>
                <w:color w:val="auto"/>
                <w:lang w:val="pl-PL"/>
              </w:rPr>
              <w:fldChar w:fldCharType="end"/>
            </w:r>
          </w:hyperlink>
        </w:p>
        <w:p w14:paraId="735637FB" w14:textId="17460E0B" w:rsidR="000A59BA" w:rsidRPr="004A096F" w:rsidRDefault="003938DA" w:rsidP="000B051F">
          <w:pPr>
            <w:pStyle w:val="Spistreci2"/>
            <w:rPr>
              <w:rFonts w:eastAsiaTheme="minorEastAsia"/>
              <w:noProof/>
              <w:color w:val="auto"/>
              <w:sz w:val="22"/>
              <w:lang w:val="pl-PL"/>
            </w:rPr>
          </w:pPr>
          <w:hyperlink w:anchor="_Toc131520808" w:history="1">
            <w:r w:rsidR="000A59BA" w:rsidRPr="007E70B7">
              <w:rPr>
                <w:rStyle w:val="Hipercze"/>
                <w:bCs/>
                <w:noProof/>
                <w:color w:val="auto"/>
                <w:lang w:val="pl-PL"/>
              </w:rPr>
              <w:t>1.2. Cel Krajowej Strategii Edukacji Finansowej (KSEF)</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_Toc131520808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10</w:t>
            </w:r>
            <w:r w:rsidR="000A59BA" w:rsidRPr="007E70B7">
              <w:rPr>
                <w:noProof/>
                <w:webHidden/>
                <w:color w:val="auto"/>
                <w:lang w:val="pl-PL"/>
              </w:rPr>
              <w:fldChar w:fldCharType="end"/>
            </w:r>
          </w:hyperlink>
        </w:p>
        <w:p w14:paraId="4DAE9756" w14:textId="01F07A7A" w:rsidR="000A59BA" w:rsidRPr="004A096F" w:rsidRDefault="003938DA" w:rsidP="000B051F">
          <w:pPr>
            <w:pStyle w:val="Spistreci2"/>
            <w:rPr>
              <w:rFonts w:eastAsiaTheme="minorEastAsia"/>
              <w:noProof/>
              <w:color w:val="auto"/>
              <w:sz w:val="22"/>
              <w:lang w:val="pl-PL"/>
            </w:rPr>
          </w:pPr>
          <w:hyperlink w:anchor="_Toc131520809" w:history="1">
            <w:r w:rsidR="000A59BA" w:rsidRPr="007E70B7">
              <w:rPr>
                <w:rStyle w:val="Hipercze"/>
                <w:bCs/>
                <w:noProof/>
                <w:color w:val="auto"/>
                <w:lang w:val="pl-PL"/>
              </w:rPr>
              <w:t>1.3. Komplementarność KSEF z innymi politykami i strategiami realizowanymi na poziomie krajowym i międzynarodowym</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_Toc131520809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11</w:t>
            </w:r>
            <w:r w:rsidR="000A59BA" w:rsidRPr="007E70B7">
              <w:rPr>
                <w:noProof/>
                <w:webHidden/>
                <w:color w:val="auto"/>
                <w:lang w:val="pl-PL"/>
              </w:rPr>
              <w:fldChar w:fldCharType="end"/>
            </w:r>
          </w:hyperlink>
        </w:p>
        <w:p w14:paraId="3DF0A186" w14:textId="23EF6407" w:rsidR="000A59BA" w:rsidRPr="004A096F" w:rsidRDefault="003938DA" w:rsidP="000B051F">
          <w:pPr>
            <w:pStyle w:val="Spistreci1"/>
            <w:rPr>
              <w:rFonts w:asciiTheme="minorHAnsi" w:eastAsiaTheme="minorEastAsia" w:hAnsiTheme="minorHAnsi"/>
              <w:noProof/>
              <w:color w:val="auto"/>
              <w:sz w:val="22"/>
              <w:lang w:val="pl-PL"/>
            </w:rPr>
          </w:pPr>
          <w:hyperlink w:anchor="_Toc131520810" w:history="1">
            <w:r w:rsidR="000A59BA" w:rsidRPr="007E70B7">
              <w:rPr>
                <w:rStyle w:val="Hipercze"/>
                <w:bCs/>
                <w:noProof/>
                <w:color w:val="auto"/>
                <w:lang w:val="pl-PL"/>
              </w:rPr>
              <w:t>Część II: Krajowa Strategia Edukacji Finansowej</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_Toc131520810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14</w:t>
            </w:r>
            <w:r w:rsidR="000A59BA" w:rsidRPr="007E70B7">
              <w:rPr>
                <w:noProof/>
                <w:webHidden/>
                <w:color w:val="auto"/>
                <w:lang w:val="pl-PL"/>
              </w:rPr>
              <w:fldChar w:fldCharType="end"/>
            </w:r>
          </w:hyperlink>
        </w:p>
        <w:p w14:paraId="53715F01" w14:textId="0CCDD406" w:rsidR="000A59BA" w:rsidRPr="004A096F" w:rsidRDefault="003938DA" w:rsidP="000B051F">
          <w:pPr>
            <w:pStyle w:val="Spistreci2"/>
            <w:rPr>
              <w:rFonts w:eastAsiaTheme="minorEastAsia"/>
              <w:noProof/>
              <w:color w:val="auto"/>
              <w:sz w:val="22"/>
              <w:lang w:val="pl-PL"/>
            </w:rPr>
          </w:pPr>
          <w:hyperlink w:anchor="_Toc131520811" w:history="1">
            <w:r w:rsidR="000A59BA" w:rsidRPr="007E70B7">
              <w:rPr>
                <w:rStyle w:val="Hipercze"/>
                <w:bCs/>
                <w:noProof/>
                <w:color w:val="auto"/>
                <w:lang w:val="pl-PL"/>
              </w:rPr>
              <w:t>2.1. Definicje edukacji finansowej i związanych z nią pojęć</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_Toc131520811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14</w:t>
            </w:r>
            <w:r w:rsidR="000A59BA" w:rsidRPr="007E70B7">
              <w:rPr>
                <w:noProof/>
                <w:webHidden/>
                <w:color w:val="auto"/>
                <w:lang w:val="pl-PL"/>
              </w:rPr>
              <w:fldChar w:fldCharType="end"/>
            </w:r>
          </w:hyperlink>
        </w:p>
        <w:p w14:paraId="3F569496" w14:textId="2243DF45" w:rsidR="000A59BA" w:rsidRPr="004A096F" w:rsidRDefault="003938DA" w:rsidP="000B051F">
          <w:pPr>
            <w:pStyle w:val="Spistreci2"/>
            <w:rPr>
              <w:rFonts w:eastAsiaTheme="minorEastAsia"/>
              <w:noProof/>
              <w:color w:val="auto"/>
              <w:sz w:val="22"/>
              <w:lang w:val="pl-PL"/>
            </w:rPr>
          </w:pPr>
          <w:hyperlink w:anchor="_Toc131520812" w:history="1">
            <w:r w:rsidR="000A59BA" w:rsidRPr="007E70B7">
              <w:rPr>
                <w:rStyle w:val="Hipercze"/>
                <w:bCs/>
                <w:noProof/>
                <w:color w:val="auto"/>
                <w:lang w:val="pl-PL"/>
              </w:rPr>
              <w:t xml:space="preserve">2.2. </w:t>
            </w:r>
            <w:r w:rsidR="009C68E3">
              <w:rPr>
                <w:rStyle w:val="Hipercze"/>
                <w:bCs/>
                <w:noProof/>
                <w:color w:val="auto"/>
                <w:lang w:val="pl-PL"/>
              </w:rPr>
              <w:t xml:space="preserve">Wizja </w:t>
            </w:r>
            <w:r w:rsidR="000A59BA" w:rsidRPr="007E70B7">
              <w:rPr>
                <w:rStyle w:val="Hipercze"/>
                <w:bCs/>
                <w:noProof/>
                <w:color w:val="auto"/>
                <w:lang w:val="pl-PL"/>
              </w:rPr>
              <w:t>KSEF</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_Toc131520812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15</w:t>
            </w:r>
            <w:r w:rsidR="000A59BA" w:rsidRPr="007E70B7">
              <w:rPr>
                <w:noProof/>
                <w:webHidden/>
                <w:color w:val="auto"/>
                <w:lang w:val="pl-PL"/>
              </w:rPr>
              <w:fldChar w:fldCharType="end"/>
            </w:r>
          </w:hyperlink>
        </w:p>
        <w:p w14:paraId="778F158E" w14:textId="4658CC16" w:rsidR="000A59BA" w:rsidRPr="004A096F" w:rsidRDefault="003938DA" w:rsidP="000B051F">
          <w:pPr>
            <w:pStyle w:val="Spistreci2"/>
            <w:rPr>
              <w:rFonts w:eastAsiaTheme="minorEastAsia"/>
              <w:noProof/>
              <w:color w:val="auto"/>
              <w:sz w:val="22"/>
              <w:lang w:val="pl-PL"/>
            </w:rPr>
          </w:pPr>
          <w:hyperlink w:anchor="_Toc131520813" w:history="1">
            <w:r w:rsidR="000A59BA" w:rsidRPr="007E70B7">
              <w:rPr>
                <w:rStyle w:val="Hipercze"/>
                <w:bCs/>
                <w:noProof/>
                <w:color w:val="auto"/>
                <w:lang w:val="pl-PL"/>
              </w:rPr>
              <w:t>2.3. Kluczowe priorytety KSEF</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_Toc131520813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16</w:t>
            </w:r>
            <w:r w:rsidR="000A59BA" w:rsidRPr="007E70B7">
              <w:rPr>
                <w:noProof/>
                <w:webHidden/>
                <w:color w:val="auto"/>
                <w:lang w:val="pl-PL"/>
              </w:rPr>
              <w:fldChar w:fldCharType="end"/>
            </w:r>
          </w:hyperlink>
        </w:p>
        <w:p w14:paraId="473AEB56" w14:textId="514FD768" w:rsidR="000A59BA" w:rsidRPr="004A096F" w:rsidRDefault="003938DA" w:rsidP="000B051F">
          <w:pPr>
            <w:pStyle w:val="Spistreci2"/>
            <w:rPr>
              <w:rFonts w:eastAsiaTheme="minorEastAsia"/>
              <w:noProof/>
              <w:color w:val="auto"/>
              <w:sz w:val="22"/>
              <w:lang w:val="pl-PL"/>
            </w:rPr>
          </w:pPr>
          <w:hyperlink w:anchor="_Toc131520814" w:history="1">
            <w:r w:rsidR="000A59BA" w:rsidRPr="007E70B7">
              <w:rPr>
                <w:rStyle w:val="Hipercze"/>
                <w:bCs/>
                <w:noProof/>
                <w:color w:val="auto"/>
                <w:lang w:val="pl-PL"/>
              </w:rPr>
              <w:t>2</w:t>
            </w:r>
            <w:r w:rsidR="00AE2ABB">
              <w:rPr>
                <w:rStyle w:val="Hipercze"/>
                <w:bCs/>
                <w:noProof/>
                <w:color w:val="auto"/>
                <w:lang w:val="pl-PL"/>
              </w:rPr>
              <w:t>.4. Ramy czasowe KSEF oraz plan</w:t>
            </w:r>
            <w:r w:rsidR="007F62F6">
              <w:rPr>
                <w:rStyle w:val="Hipercze"/>
                <w:bCs/>
                <w:noProof/>
                <w:color w:val="auto"/>
                <w:lang w:val="pl-PL"/>
              </w:rPr>
              <w:t>y</w:t>
            </w:r>
            <w:r w:rsidR="000A59BA" w:rsidRPr="007E70B7">
              <w:rPr>
                <w:rStyle w:val="Hipercze"/>
                <w:bCs/>
                <w:noProof/>
                <w:color w:val="auto"/>
                <w:lang w:val="pl-PL"/>
              </w:rPr>
              <w:t xml:space="preserve"> wdrażania</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_Toc131520814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23</w:t>
            </w:r>
            <w:r w:rsidR="000A59BA" w:rsidRPr="007E70B7">
              <w:rPr>
                <w:noProof/>
                <w:webHidden/>
                <w:color w:val="auto"/>
                <w:lang w:val="pl-PL"/>
              </w:rPr>
              <w:fldChar w:fldCharType="end"/>
            </w:r>
          </w:hyperlink>
        </w:p>
        <w:p w14:paraId="3A631ABC" w14:textId="6182CEBB" w:rsidR="000A59BA" w:rsidRPr="004A096F" w:rsidRDefault="003938DA" w:rsidP="000B051F">
          <w:pPr>
            <w:pStyle w:val="Spistreci2"/>
            <w:rPr>
              <w:rFonts w:eastAsiaTheme="minorEastAsia"/>
              <w:noProof/>
              <w:color w:val="auto"/>
              <w:sz w:val="22"/>
              <w:lang w:val="pl-PL"/>
            </w:rPr>
          </w:pPr>
          <w:hyperlink w:anchor="_Toc131520815" w:history="1">
            <w:r w:rsidR="000A59BA" w:rsidRPr="007E70B7">
              <w:rPr>
                <w:rStyle w:val="Hipercze"/>
                <w:bCs/>
                <w:noProof/>
                <w:color w:val="auto"/>
                <w:lang w:val="pl-PL"/>
              </w:rPr>
              <w:t xml:space="preserve">2.5. </w:t>
            </w:r>
            <w:r w:rsidR="00AE2ABB">
              <w:rPr>
                <w:rStyle w:val="Hipercze"/>
                <w:bCs/>
                <w:noProof/>
                <w:color w:val="auto"/>
                <w:lang w:val="pl-PL"/>
              </w:rPr>
              <w:t>Grupy docelowe i z</w:t>
            </w:r>
            <w:r w:rsidR="000A59BA" w:rsidRPr="007E70B7">
              <w:rPr>
                <w:rStyle w:val="Hipercze"/>
                <w:bCs/>
                <w:noProof/>
                <w:color w:val="auto"/>
                <w:lang w:val="pl-PL"/>
              </w:rPr>
              <w:t>asady priorytetyzacji</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_Toc131520815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23</w:t>
            </w:r>
            <w:r w:rsidR="000A59BA" w:rsidRPr="007E70B7">
              <w:rPr>
                <w:noProof/>
                <w:webHidden/>
                <w:color w:val="auto"/>
                <w:lang w:val="pl-PL"/>
              </w:rPr>
              <w:fldChar w:fldCharType="end"/>
            </w:r>
          </w:hyperlink>
        </w:p>
        <w:p w14:paraId="070565A2" w14:textId="609EDF4E" w:rsidR="000A59BA" w:rsidRPr="004A096F" w:rsidRDefault="003938DA" w:rsidP="000B051F">
          <w:pPr>
            <w:pStyle w:val="Spistreci2"/>
            <w:rPr>
              <w:rFonts w:eastAsiaTheme="minorEastAsia"/>
              <w:noProof/>
              <w:color w:val="auto"/>
              <w:sz w:val="22"/>
              <w:lang w:val="pl-PL"/>
            </w:rPr>
          </w:pPr>
          <w:hyperlink w:anchor="_Toc131520816" w:history="1">
            <w:r w:rsidR="000A59BA" w:rsidRPr="007E70B7">
              <w:rPr>
                <w:rStyle w:val="Hipercze"/>
                <w:bCs/>
                <w:noProof/>
                <w:color w:val="auto"/>
                <w:lang w:val="pl-PL"/>
              </w:rPr>
              <w:t xml:space="preserve">2.6. </w:t>
            </w:r>
            <w:r w:rsidR="00AA2011">
              <w:rPr>
                <w:rStyle w:val="Hipercze"/>
                <w:bCs/>
                <w:noProof/>
                <w:color w:val="auto"/>
                <w:lang w:val="pl-PL"/>
              </w:rPr>
              <w:t xml:space="preserve">Zasady realizajci </w:t>
            </w:r>
            <w:r w:rsidR="009C68E3">
              <w:rPr>
                <w:rStyle w:val="Hipercze"/>
                <w:bCs/>
                <w:noProof/>
                <w:color w:val="auto"/>
                <w:lang w:val="pl-PL"/>
              </w:rPr>
              <w:t>KSEF</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_Toc131520816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25</w:t>
            </w:r>
            <w:r w:rsidR="000A59BA" w:rsidRPr="007E70B7">
              <w:rPr>
                <w:noProof/>
                <w:webHidden/>
                <w:color w:val="auto"/>
                <w:lang w:val="pl-PL"/>
              </w:rPr>
              <w:fldChar w:fldCharType="end"/>
            </w:r>
          </w:hyperlink>
        </w:p>
        <w:p w14:paraId="7518A854" w14:textId="1FCE498A" w:rsidR="000A59BA" w:rsidRPr="004A096F" w:rsidRDefault="003938DA" w:rsidP="000B051F">
          <w:pPr>
            <w:pStyle w:val="Spistreci2"/>
            <w:rPr>
              <w:rFonts w:eastAsiaTheme="minorEastAsia"/>
              <w:noProof/>
              <w:color w:val="auto"/>
              <w:sz w:val="22"/>
              <w:lang w:val="pl-PL"/>
            </w:rPr>
          </w:pPr>
          <w:hyperlink w:anchor="_Toc131520817" w:history="1">
            <w:r w:rsidR="000A59BA" w:rsidRPr="007E70B7">
              <w:rPr>
                <w:rStyle w:val="Hipercze"/>
                <w:bCs/>
                <w:noProof/>
                <w:color w:val="auto"/>
                <w:lang w:val="pl-PL"/>
              </w:rPr>
              <w:t>2.7 Finansowanie KSEF i programów edukacji finansowej</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_Toc131520817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28</w:t>
            </w:r>
            <w:r w:rsidR="000A59BA" w:rsidRPr="007E70B7">
              <w:rPr>
                <w:noProof/>
                <w:webHidden/>
                <w:color w:val="auto"/>
                <w:lang w:val="pl-PL"/>
              </w:rPr>
              <w:fldChar w:fldCharType="end"/>
            </w:r>
          </w:hyperlink>
        </w:p>
        <w:p w14:paraId="4DFE8C5C" w14:textId="28EDE4AB" w:rsidR="000A59BA" w:rsidRPr="004A096F" w:rsidRDefault="003938DA" w:rsidP="000B051F">
          <w:pPr>
            <w:pStyle w:val="Spistreci2"/>
            <w:rPr>
              <w:rFonts w:eastAsiaTheme="minorEastAsia"/>
              <w:noProof/>
              <w:color w:val="auto"/>
              <w:sz w:val="22"/>
              <w:lang w:val="pl-PL"/>
            </w:rPr>
          </w:pPr>
          <w:hyperlink w:anchor="_Toc131520818" w:history="1">
            <w:r w:rsidR="000A59BA" w:rsidRPr="007E70B7">
              <w:rPr>
                <w:rStyle w:val="Hipercze"/>
                <w:bCs/>
                <w:noProof/>
                <w:color w:val="auto"/>
                <w:lang w:val="pl-PL"/>
              </w:rPr>
              <w:t>2.8 Monitoring i ewaluacja</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_Toc131520818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29</w:t>
            </w:r>
            <w:r w:rsidR="000A59BA" w:rsidRPr="007E70B7">
              <w:rPr>
                <w:noProof/>
                <w:webHidden/>
                <w:color w:val="auto"/>
                <w:lang w:val="pl-PL"/>
              </w:rPr>
              <w:fldChar w:fldCharType="end"/>
            </w:r>
          </w:hyperlink>
        </w:p>
        <w:p w14:paraId="395B8A5A" w14:textId="0E3DA80B" w:rsidR="000A59BA" w:rsidRPr="004A096F" w:rsidRDefault="003938DA" w:rsidP="000B051F">
          <w:pPr>
            <w:pStyle w:val="Spistreci1"/>
            <w:rPr>
              <w:rFonts w:asciiTheme="minorHAnsi" w:eastAsiaTheme="minorEastAsia" w:hAnsiTheme="minorHAnsi"/>
              <w:noProof/>
              <w:color w:val="auto"/>
              <w:sz w:val="22"/>
              <w:lang w:val="pl-PL"/>
            </w:rPr>
          </w:pPr>
          <w:hyperlink w:anchor="_Toc131520819" w:history="1">
            <w:r w:rsidR="000A59BA" w:rsidRPr="007E70B7">
              <w:rPr>
                <w:rStyle w:val="Hipercze"/>
                <w:bCs/>
                <w:noProof/>
                <w:color w:val="auto"/>
                <w:lang w:val="pl-PL"/>
              </w:rPr>
              <w:t>Część III: Pierwszy plan wdrażania</w:t>
            </w:r>
            <w:r w:rsidR="009C68E3">
              <w:rPr>
                <w:rStyle w:val="Hipercze"/>
                <w:bCs/>
                <w:noProof/>
                <w:color w:val="auto"/>
                <w:lang w:val="pl-PL"/>
              </w:rPr>
              <w:t xml:space="preserve"> KSEF</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_Toc131520819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32</w:t>
            </w:r>
            <w:r w:rsidR="000A59BA" w:rsidRPr="007E70B7">
              <w:rPr>
                <w:noProof/>
                <w:webHidden/>
                <w:color w:val="auto"/>
                <w:lang w:val="pl-PL"/>
              </w:rPr>
              <w:fldChar w:fldCharType="end"/>
            </w:r>
          </w:hyperlink>
        </w:p>
        <w:p w14:paraId="07D76BE0" w14:textId="1BEAF168" w:rsidR="000A59BA" w:rsidRPr="004A096F" w:rsidRDefault="003938DA" w:rsidP="000B051F">
          <w:pPr>
            <w:pStyle w:val="Spistreci2"/>
            <w:rPr>
              <w:rFonts w:eastAsiaTheme="minorEastAsia"/>
              <w:noProof/>
              <w:color w:val="auto"/>
              <w:sz w:val="22"/>
              <w:lang w:val="pl-PL"/>
            </w:rPr>
          </w:pPr>
          <w:hyperlink w:anchor="_Toc131520820" w:history="1">
            <w:r w:rsidR="000A59BA" w:rsidRPr="007E70B7">
              <w:rPr>
                <w:rStyle w:val="Hipercze"/>
                <w:bCs/>
                <w:noProof/>
                <w:color w:val="auto"/>
                <w:lang w:val="pl-PL"/>
              </w:rPr>
              <w:t>3.1. Priorytetowe grupy docelowe pierwszego planu wdrażania</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_Toc131520820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32</w:t>
            </w:r>
            <w:r w:rsidR="000A59BA" w:rsidRPr="007E70B7">
              <w:rPr>
                <w:noProof/>
                <w:webHidden/>
                <w:color w:val="auto"/>
                <w:lang w:val="pl-PL"/>
              </w:rPr>
              <w:fldChar w:fldCharType="end"/>
            </w:r>
          </w:hyperlink>
        </w:p>
        <w:p w14:paraId="6E52274C" w14:textId="593AC9BF" w:rsidR="000A59BA" w:rsidRPr="004A096F" w:rsidRDefault="003938DA" w:rsidP="000B051F">
          <w:pPr>
            <w:pStyle w:val="Spistreci2"/>
            <w:rPr>
              <w:rFonts w:eastAsiaTheme="minorEastAsia"/>
              <w:noProof/>
              <w:color w:val="auto"/>
              <w:sz w:val="22"/>
              <w:lang w:val="pl-PL"/>
            </w:rPr>
          </w:pPr>
          <w:hyperlink w:anchor="_Toc131520821" w:history="1">
            <w:r w:rsidR="00AE2ABB">
              <w:rPr>
                <w:rStyle w:val="Hipercze"/>
                <w:bCs/>
                <w:noProof/>
                <w:color w:val="auto"/>
                <w:lang w:val="pl-PL"/>
              </w:rPr>
              <w:t>3.2. Wdra</w:t>
            </w:r>
            <w:r w:rsidR="00BE0005">
              <w:rPr>
                <w:rStyle w:val="Hipercze"/>
                <w:bCs/>
                <w:noProof/>
                <w:color w:val="auto"/>
                <w:lang w:val="pl-PL"/>
              </w:rPr>
              <w:t>ża</w:t>
            </w:r>
            <w:r w:rsidR="000A59BA" w:rsidRPr="007E70B7">
              <w:rPr>
                <w:rStyle w:val="Hipercze"/>
                <w:bCs/>
                <w:noProof/>
                <w:color w:val="auto"/>
                <w:lang w:val="pl-PL"/>
              </w:rPr>
              <w:t xml:space="preserve">nie </w:t>
            </w:r>
            <w:r w:rsidR="009C68E3" w:rsidRPr="009C68E3">
              <w:rPr>
                <w:rStyle w:val="Hipercze"/>
                <w:bCs/>
                <w:noProof/>
                <w:color w:val="auto"/>
                <w:lang w:val="pl-PL"/>
              </w:rPr>
              <w:t xml:space="preserve">kluczowych </w:t>
            </w:r>
            <w:r w:rsidR="000A59BA" w:rsidRPr="007E70B7">
              <w:rPr>
                <w:rStyle w:val="Hipercze"/>
                <w:bCs/>
                <w:noProof/>
                <w:color w:val="auto"/>
                <w:lang w:val="pl-PL"/>
              </w:rPr>
              <w:t>priorytetów</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_Toc131520821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35</w:t>
            </w:r>
            <w:r w:rsidR="000A59BA" w:rsidRPr="007E70B7">
              <w:rPr>
                <w:noProof/>
                <w:webHidden/>
                <w:color w:val="auto"/>
                <w:lang w:val="pl-PL"/>
              </w:rPr>
              <w:fldChar w:fldCharType="end"/>
            </w:r>
          </w:hyperlink>
        </w:p>
        <w:p w14:paraId="60BA6DEB" w14:textId="0EB77C97" w:rsidR="000A59BA" w:rsidRPr="004A096F" w:rsidRDefault="003938DA" w:rsidP="000B051F">
          <w:pPr>
            <w:pStyle w:val="Spistreci1"/>
            <w:rPr>
              <w:rFonts w:asciiTheme="minorHAnsi" w:eastAsiaTheme="minorEastAsia" w:hAnsiTheme="minorHAnsi"/>
              <w:noProof/>
              <w:color w:val="auto"/>
              <w:sz w:val="22"/>
              <w:lang w:val="pl-PL"/>
            </w:rPr>
          </w:pPr>
          <w:hyperlink w:anchor="_Toc131520823" w:history="1">
            <w:r w:rsidR="000A59BA" w:rsidRPr="007E70B7">
              <w:rPr>
                <w:rStyle w:val="Hipercze"/>
                <w:noProof/>
                <w:color w:val="auto"/>
                <w:lang w:val="pl-PL"/>
              </w:rPr>
              <w:t>Załącznik A.</w:t>
            </w:r>
            <w:r w:rsidR="000A59BA" w:rsidRPr="007E70B7">
              <w:rPr>
                <w:rStyle w:val="Hipercze"/>
                <w:bCs/>
                <w:noProof/>
                <w:color w:val="auto"/>
                <w:lang w:val="pl-PL"/>
              </w:rPr>
              <w:t xml:space="preserve"> Wskaźniki oddziaływania długoterminowego</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_Toc131520823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40</w:t>
            </w:r>
            <w:r w:rsidR="000A59BA" w:rsidRPr="007E70B7">
              <w:rPr>
                <w:noProof/>
                <w:webHidden/>
                <w:color w:val="auto"/>
                <w:lang w:val="pl-PL"/>
              </w:rPr>
              <w:fldChar w:fldCharType="end"/>
            </w:r>
          </w:hyperlink>
        </w:p>
        <w:p w14:paraId="6B17AC02" w14:textId="3D6275CB" w:rsidR="000A59BA" w:rsidRPr="004A096F" w:rsidRDefault="003938DA" w:rsidP="000B051F">
          <w:pPr>
            <w:pStyle w:val="Spistreci1"/>
            <w:rPr>
              <w:rFonts w:asciiTheme="minorHAnsi" w:eastAsiaTheme="minorEastAsia" w:hAnsiTheme="minorHAnsi"/>
              <w:noProof/>
              <w:color w:val="auto"/>
              <w:sz w:val="22"/>
              <w:lang w:val="pl-PL"/>
            </w:rPr>
          </w:pPr>
          <w:hyperlink w:anchor="_Toc131520824" w:history="1">
            <w:r w:rsidR="000A59BA" w:rsidRPr="007E70B7">
              <w:rPr>
                <w:rStyle w:val="Hipercze"/>
                <w:noProof/>
                <w:color w:val="auto"/>
                <w:lang w:val="pl-PL"/>
              </w:rPr>
              <w:t>Załącznik B.</w:t>
            </w:r>
            <w:r w:rsidR="000A59BA" w:rsidRPr="007E70B7">
              <w:rPr>
                <w:rStyle w:val="Hipercze"/>
                <w:bCs/>
                <w:noProof/>
                <w:color w:val="auto"/>
                <w:lang w:val="pl-PL"/>
              </w:rPr>
              <w:t xml:space="preserve"> Pierwszy plan wdrażania</w:t>
            </w:r>
            <w:r w:rsidR="009C68E3">
              <w:rPr>
                <w:rStyle w:val="Hipercze"/>
                <w:bCs/>
                <w:noProof/>
                <w:color w:val="auto"/>
                <w:lang w:val="pl-PL"/>
              </w:rPr>
              <w:t xml:space="preserve"> KSEF</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_Toc131520824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43</w:t>
            </w:r>
            <w:r w:rsidR="000A59BA" w:rsidRPr="007E70B7">
              <w:rPr>
                <w:noProof/>
                <w:webHidden/>
                <w:color w:val="auto"/>
                <w:lang w:val="pl-PL"/>
              </w:rPr>
              <w:fldChar w:fldCharType="end"/>
            </w:r>
          </w:hyperlink>
        </w:p>
        <w:p w14:paraId="062EA830" w14:textId="13CDF9E9" w:rsidR="000A59BA" w:rsidRPr="004A096F" w:rsidRDefault="003938DA" w:rsidP="000B051F">
          <w:pPr>
            <w:pStyle w:val="Spistreci1"/>
            <w:rPr>
              <w:rFonts w:asciiTheme="minorHAnsi" w:eastAsiaTheme="minorEastAsia" w:hAnsiTheme="minorHAnsi"/>
              <w:noProof/>
              <w:color w:val="auto"/>
              <w:sz w:val="22"/>
              <w:lang w:val="pl-PL"/>
            </w:rPr>
          </w:pPr>
          <w:hyperlink w:anchor="_Toc131520825" w:history="1">
            <w:r w:rsidR="000A59BA" w:rsidRPr="007E70B7">
              <w:rPr>
                <w:rStyle w:val="Hipercze"/>
                <w:bCs/>
                <w:noProof/>
                <w:color w:val="auto"/>
                <w:lang w:val="pl-PL"/>
              </w:rPr>
              <w:t>Żródła</w:t>
            </w:r>
            <w:r w:rsidR="000A59BA" w:rsidRPr="007E70B7">
              <w:rPr>
                <w:noProof/>
                <w:webHidden/>
                <w:color w:val="auto"/>
                <w:lang w:val="pl-PL"/>
              </w:rPr>
              <w:tab/>
            </w:r>
            <w:r w:rsidR="000A59BA" w:rsidRPr="007E70B7">
              <w:rPr>
                <w:noProof/>
                <w:webHidden/>
                <w:color w:val="auto"/>
                <w:lang w:val="pl-PL"/>
              </w:rPr>
              <w:fldChar w:fldCharType="begin"/>
            </w:r>
            <w:r w:rsidR="000A59BA" w:rsidRPr="007E70B7">
              <w:rPr>
                <w:noProof/>
                <w:webHidden/>
                <w:color w:val="auto"/>
                <w:lang w:val="pl-PL"/>
              </w:rPr>
              <w:instrText xml:space="preserve"> PAGEREF _Toc131520825 \h </w:instrText>
            </w:r>
            <w:r w:rsidR="000A59BA" w:rsidRPr="007E70B7">
              <w:rPr>
                <w:noProof/>
                <w:webHidden/>
                <w:color w:val="auto"/>
                <w:lang w:val="pl-PL"/>
              </w:rPr>
            </w:r>
            <w:r w:rsidR="000A59BA" w:rsidRPr="007E70B7">
              <w:rPr>
                <w:noProof/>
                <w:webHidden/>
                <w:color w:val="auto"/>
                <w:lang w:val="pl-PL"/>
              </w:rPr>
              <w:fldChar w:fldCharType="separate"/>
            </w:r>
            <w:r w:rsidR="001C3129">
              <w:rPr>
                <w:noProof/>
                <w:webHidden/>
                <w:color w:val="auto"/>
                <w:lang w:val="pl-PL"/>
              </w:rPr>
              <w:t>47</w:t>
            </w:r>
            <w:r w:rsidR="000A59BA" w:rsidRPr="007E70B7">
              <w:rPr>
                <w:noProof/>
                <w:webHidden/>
                <w:color w:val="auto"/>
                <w:lang w:val="pl-PL"/>
              </w:rPr>
              <w:fldChar w:fldCharType="end"/>
            </w:r>
          </w:hyperlink>
        </w:p>
        <w:p w14:paraId="46F6FCCC" w14:textId="77777777" w:rsidR="000A59BA" w:rsidRPr="004A096F" w:rsidRDefault="000A59BA" w:rsidP="000B051F">
          <w:pPr>
            <w:pStyle w:val="Spistreci1"/>
            <w:rPr>
              <w:rFonts w:asciiTheme="minorHAnsi" w:eastAsiaTheme="minorEastAsia" w:hAnsiTheme="minorHAnsi"/>
              <w:noProof/>
              <w:color w:val="auto"/>
              <w:sz w:val="22"/>
              <w:lang w:val="pl-PL"/>
            </w:rPr>
          </w:pPr>
        </w:p>
        <w:p w14:paraId="0C4D0344" w14:textId="77777777" w:rsidR="006D0AD8" w:rsidRPr="0085159D" w:rsidRDefault="000A59BA" w:rsidP="0085159D">
          <w:pPr>
            <w:pStyle w:val="Para0"/>
            <w:spacing w:before="0" w:after="0"/>
            <w:rPr>
              <w:b/>
              <w:lang w:val="pl-PL"/>
            </w:rPr>
          </w:pPr>
          <w:r w:rsidRPr="007E70B7">
            <w:rPr>
              <w:b/>
              <w:color w:val="auto"/>
              <w:lang w:val="pl-PL"/>
            </w:rPr>
            <w:fldChar w:fldCharType="end"/>
          </w:r>
        </w:p>
        <w:p w14:paraId="0183036D" w14:textId="77777777" w:rsidR="006D0AD8" w:rsidRPr="0085159D" w:rsidRDefault="006D0AD8" w:rsidP="000B051F">
          <w:pPr>
            <w:pStyle w:val="Podtytu"/>
            <w:rPr>
              <w:noProof/>
              <w:lang w:val="pl-PL"/>
            </w:rPr>
          </w:pPr>
          <w:r w:rsidRPr="004A096F">
            <w:rPr>
              <w:bCs/>
              <w:noProof/>
              <w:color w:val="auto"/>
              <w:lang w:val="pl-PL"/>
            </w:rPr>
            <w:t>WYKRES</w:t>
          </w:r>
          <w:r w:rsidR="00464477" w:rsidRPr="004A096F">
            <w:rPr>
              <w:bCs/>
              <w:noProof/>
              <w:color w:val="auto"/>
              <w:lang w:val="pl-PL"/>
            </w:rPr>
            <w:t>Y</w:t>
          </w:r>
        </w:p>
        <w:p w14:paraId="1A271729" w14:textId="1F026552" w:rsidR="00A60403" w:rsidRPr="0085159D" w:rsidRDefault="006D0AD8" w:rsidP="000B051F">
          <w:pPr>
            <w:pStyle w:val="Spisilustracji"/>
            <w:rPr>
              <w:rFonts w:eastAsiaTheme="minorEastAsia"/>
              <w:noProof/>
              <w:color w:val="auto"/>
              <w:sz w:val="22"/>
              <w:lang w:val="pl-PL"/>
            </w:rPr>
          </w:pPr>
          <w:r w:rsidRPr="0085159D">
            <w:rPr>
              <w:b/>
              <w:bCs/>
              <w:lang w:val="pl-PL"/>
            </w:rPr>
            <w:fldChar w:fldCharType="begin"/>
          </w:r>
          <w:r w:rsidRPr="0085159D">
            <w:rPr>
              <w:b/>
              <w:lang w:val="pl-PL"/>
            </w:rPr>
            <w:instrText xml:space="preserve"> TOC \h \z \c "Figure" </w:instrText>
          </w:r>
          <w:r w:rsidRPr="0085159D">
            <w:rPr>
              <w:b/>
              <w:lang w:val="pl-PL"/>
            </w:rPr>
            <w:fldChar w:fldCharType="separate"/>
          </w:r>
          <w:hyperlink w:anchor="_Toc131521221" w:history="1">
            <w:r w:rsidR="00A60403" w:rsidRPr="0085159D">
              <w:rPr>
                <w:rStyle w:val="Hipercze"/>
                <w:bCs/>
                <w:noProof/>
                <w:lang w:val="pl-PL"/>
              </w:rPr>
              <w:t xml:space="preserve">Wykres 1. </w:t>
            </w:r>
            <w:r w:rsidR="007C25CC">
              <w:rPr>
                <w:rStyle w:val="Hipercze"/>
                <w:bCs/>
                <w:noProof/>
                <w:lang w:val="pl-PL"/>
              </w:rPr>
              <w:t xml:space="preserve">Wizja i </w:t>
            </w:r>
            <w:r w:rsidR="00A60403" w:rsidRPr="0085159D">
              <w:rPr>
                <w:rStyle w:val="Hipercze"/>
                <w:bCs/>
                <w:noProof/>
                <w:lang w:val="pl-PL"/>
              </w:rPr>
              <w:t>kluczow</w:t>
            </w:r>
            <w:r w:rsidR="007C25CC">
              <w:rPr>
                <w:rStyle w:val="Hipercze"/>
                <w:bCs/>
                <w:noProof/>
                <w:lang w:val="pl-PL"/>
              </w:rPr>
              <w:t>e</w:t>
            </w:r>
            <w:r w:rsidR="00A60403" w:rsidRPr="0085159D">
              <w:rPr>
                <w:rStyle w:val="Hipercze"/>
                <w:bCs/>
                <w:noProof/>
                <w:lang w:val="pl-PL"/>
              </w:rPr>
              <w:t xml:space="preserve"> priorytet</w:t>
            </w:r>
            <w:r w:rsidR="007C25CC">
              <w:rPr>
                <w:rStyle w:val="Hipercze"/>
                <w:bCs/>
                <w:noProof/>
                <w:lang w:val="pl-PL"/>
              </w:rPr>
              <w:t>y KSEF</w:t>
            </w:r>
            <w:r w:rsidR="00A60403" w:rsidRPr="0085159D">
              <w:rPr>
                <w:noProof/>
                <w:webHidden/>
                <w:lang w:val="pl-PL"/>
              </w:rPr>
              <w:tab/>
            </w:r>
            <w:r w:rsidR="00A60403" w:rsidRPr="0085159D">
              <w:rPr>
                <w:noProof/>
                <w:webHidden/>
                <w:lang w:val="pl-PL"/>
              </w:rPr>
              <w:fldChar w:fldCharType="begin"/>
            </w:r>
            <w:r w:rsidR="00A60403" w:rsidRPr="0085159D">
              <w:rPr>
                <w:noProof/>
                <w:webHidden/>
                <w:lang w:val="pl-PL"/>
              </w:rPr>
              <w:instrText xml:space="preserve"> PAGEREF _Toc131521221 \h </w:instrText>
            </w:r>
            <w:r w:rsidR="00A60403" w:rsidRPr="0085159D">
              <w:rPr>
                <w:noProof/>
                <w:webHidden/>
                <w:lang w:val="pl-PL"/>
              </w:rPr>
            </w:r>
            <w:r w:rsidR="00A60403" w:rsidRPr="0085159D">
              <w:rPr>
                <w:noProof/>
                <w:webHidden/>
                <w:lang w:val="pl-PL"/>
              </w:rPr>
              <w:fldChar w:fldCharType="separate"/>
            </w:r>
            <w:r w:rsidR="001C3129">
              <w:rPr>
                <w:noProof/>
                <w:webHidden/>
                <w:lang w:val="pl-PL"/>
              </w:rPr>
              <w:t>17</w:t>
            </w:r>
            <w:r w:rsidR="00A60403" w:rsidRPr="0085159D">
              <w:rPr>
                <w:noProof/>
                <w:webHidden/>
                <w:lang w:val="pl-PL"/>
              </w:rPr>
              <w:fldChar w:fldCharType="end"/>
            </w:r>
          </w:hyperlink>
        </w:p>
        <w:p w14:paraId="68B039F7" w14:textId="77777777" w:rsidR="006D0AD8" w:rsidRPr="0085159D" w:rsidRDefault="006D0AD8" w:rsidP="0085159D">
          <w:pPr>
            <w:pStyle w:val="Para0"/>
            <w:spacing w:before="0" w:after="0"/>
            <w:rPr>
              <w:b/>
              <w:lang w:val="pl-PL"/>
            </w:rPr>
          </w:pPr>
          <w:r w:rsidRPr="0085159D">
            <w:rPr>
              <w:b/>
              <w:lang w:val="pl-PL"/>
            </w:rPr>
            <w:fldChar w:fldCharType="end"/>
          </w:r>
        </w:p>
        <w:p w14:paraId="4BAC954E" w14:textId="77777777" w:rsidR="006D0AD8" w:rsidRPr="0085159D" w:rsidRDefault="006D0AD8" w:rsidP="000B051F">
          <w:pPr>
            <w:pStyle w:val="Podtytu"/>
            <w:rPr>
              <w:lang w:val="pl-PL"/>
            </w:rPr>
          </w:pPr>
          <w:r w:rsidRPr="004A096F">
            <w:rPr>
              <w:bCs/>
              <w:color w:val="auto"/>
              <w:lang w:val="pl-PL"/>
            </w:rPr>
            <w:t>TABEL</w:t>
          </w:r>
          <w:r w:rsidR="00464477" w:rsidRPr="004A096F">
            <w:rPr>
              <w:bCs/>
              <w:color w:val="auto"/>
              <w:lang w:val="pl-PL"/>
            </w:rPr>
            <w:t>E</w:t>
          </w:r>
        </w:p>
        <w:p w14:paraId="36E8A7F4" w14:textId="23981C71" w:rsidR="00A60403" w:rsidRPr="0085159D" w:rsidRDefault="006D0AD8" w:rsidP="000B051F">
          <w:pPr>
            <w:pStyle w:val="Spisilustracji"/>
            <w:rPr>
              <w:rFonts w:eastAsiaTheme="minorEastAsia"/>
              <w:noProof/>
              <w:color w:val="auto"/>
              <w:sz w:val="22"/>
              <w:lang w:val="pl-PL"/>
            </w:rPr>
          </w:pPr>
          <w:r w:rsidRPr="0085159D">
            <w:rPr>
              <w:b/>
              <w:bCs/>
              <w:noProof/>
              <w:lang w:val="pl-PL"/>
            </w:rPr>
            <w:fldChar w:fldCharType="begin"/>
          </w:r>
          <w:r w:rsidRPr="0085159D">
            <w:rPr>
              <w:b/>
              <w:bCs/>
              <w:noProof/>
              <w:lang w:val="pl-PL"/>
            </w:rPr>
            <w:instrText xml:space="preserve"> TOC \h \z \c "Table A" </w:instrText>
          </w:r>
          <w:r w:rsidRPr="0085159D">
            <w:rPr>
              <w:b/>
              <w:bCs/>
              <w:noProof/>
              <w:lang w:val="pl-PL"/>
            </w:rPr>
            <w:fldChar w:fldCharType="separate"/>
          </w:r>
          <w:hyperlink w:anchor="_Toc131521243" w:history="1">
            <w:r w:rsidR="00A60403" w:rsidRPr="0085159D">
              <w:rPr>
                <w:rStyle w:val="Hipercze"/>
                <w:bCs/>
                <w:noProof/>
                <w:lang w:val="pl-PL"/>
              </w:rPr>
              <w:t xml:space="preserve">Tabela A A.1. Wskaźniki </w:t>
            </w:r>
            <w:r w:rsidR="00BE0005">
              <w:rPr>
                <w:rStyle w:val="Hipercze"/>
                <w:bCs/>
                <w:noProof/>
                <w:lang w:val="pl-PL"/>
              </w:rPr>
              <w:t xml:space="preserve">dla </w:t>
            </w:r>
            <w:r w:rsidR="001727F5" w:rsidRPr="0085159D">
              <w:rPr>
                <w:rStyle w:val="Hipercze"/>
                <w:bCs/>
                <w:noProof/>
                <w:lang w:val="pl-PL"/>
              </w:rPr>
              <w:t>k</w:t>
            </w:r>
            <w:r w:rsidR="00A60403" w:rsidRPr="0085159D">
              <w:rPr>
                <w:rStyle w:val="Hipercze"/>
                <w:bCs/>
                <w:noProof/>
                <w:lang w:val="pl-PL"/>
              </w:rPr>
              <w:t>luczowych priorytetów KSEF</w:t>
            </w:r>
            <w:r w:rsidR="00A60403" w:rsidRPr="0085159D">
              <w:rPr>
                <w:noProof/>
                <w:webHidden/>
                <w:lang w:val="pl-PL"/>
              </w:rPr>
              <w:tab/>
            </w:r>
            <w:r w:rsidR="00A60403" w:rsidRPr="0085159D">
              <w:rPr>
                <w:noProof/>
                <w:webHidden/>
                <w:lang w:val="pl-PL"/>
              </w:rPr>
              <w:fldChar w:fldCharType="begin"/>
            </w:r>
            <w:r w:rsidR="00A60403" w:rsidRPr="0085159D">
              <w:rPr>
                <w:noProof/>
                <w:webHidden/>
                <w:lang w:val="pl-PL"/>
              </w:rPr>
              <w:instrText xml:space="preserve"> PAGEREF _Toc131521243 \h </w:instrText>
            </w:r>
            <w:r w:rsidR="00A60403" w:rsidRPr="0085159D">
              <w:rPr>
                <w:noProof/>
                <w:webHidden/>
                <w:lang w:val="pl-PL"/>
              </w:rPr>
            </w:r>
            <w:r w:rsidR="00A60403" w:rsidRPr="0085159D">
              <w:rPr>
                <w:noProof/>
                <w:webHidden/>
                <w:lang w:val="pl-PL"/>
              </w:rPr>
              <w:fldChar w:fldCharType="separate"/>
            </w:r>
            <w:r w:rsidR="001C3129">
              <w:rPr>
                <w:noProof/>
                <w:webHidden/>
                <w:lang w:val="pl-PL"/>
              </w:rPr>
              <w:t>41</w:t>
            </w:r>
            <w:r w:rsidR="00A60403" w:rsidRPr="0085159D">
              <w:rPr>
                <w:noProof/>
                <w:webHidden/>
                <w:lang w:val="pl-PL"/>
              </w:rPr>
              <w:fldChar w:fldCharType="end"/>
            </w:r>
          </w:hyperlink>
        </w:p>
        <w:p w14:paraId="16801495" w14:textId="028E6EBB" w:rsidR="00A60403" w:rsidRPr="0085159D" w:rsidRDefault="003938DA" w:rsidP="000B051F">
          <w:pPr>
            <w:pStyle w:val="Spisilustracji"/>
            <w:rPr>
              <w:rFonts w:eastAsiaTheme="minorEastAsia"/>
              <w:noProof/>
              <w:color w:val="auto"/>
              <w:sz w:val="22"/>
              <w:lang w:val="pl-PL"/>
            </w:rPr>
          </w:pPr>
          <w:hyperlink w:anchor="_Toc131521244" w:history="1">
            <w:r w:rsidR="00A60403" w:rsidRPr="0085159D">
              <w:rPr>
                <w:rStyle w:val="Hipercze"/>
                <w:bCs/>
                <w:noProof/>
                <w:lang w:val="pl-PL"/>
              </w:rPr>
              <w:t>Tabela A B.1. Kkluczowe wskaźniki efektywności), któr</w:t>
            </w:r>
            <w:r w:rsidR="004F17E4">
              <w:rPr>
                <w:rStyle w:val="Hipercze"/>
                <w:bCs/>
                <w:noProof/>
                <w:lang w:val="pl-PL"/>
              </w:rPr>
              <w:t>e mogą być wykorzystane do</w:t>
            </w:r>
            <w:r w:rsidR="00A60403" w:rsidRPr="0085159D">
              <w:rPr>
                <w:rStyle w:val="Hipercze"/>
                <w:bCs/>
                <w:noProof/>
                <w:lang w:val="pl-PL"/>
              </w:rPr>
              <w:t xml:space="preserve"> monitorowan</w:t>
            </w:r>
            <w:r w:rsidR="004F17E4">
              <w:rPr>
                <w:rStyle w:val="Hipercze"/>
                <w:bCs/>
                <w:noProof/>
                <w:lang w:val="pl-PL"/>
              </w:rPr>
              <w:t>a</w:t>
            </w:r>
            <w:r w:rsidR="00A60403" w:rsidRPr="0085159D">
              <w:rPr>
                <w:rStyle w:val="Hipercze"/>
                <w:bCs/>
                <w:noProof/>
                <w:lang w:val="pl-PL"/>
              </w:rPr>
              <w:t xml:space="preserve"> realizacji pierwszego </w:t>
            </w:r>
            <w:r w:rsidR="001727F5" w:rsidRPr="0085159D">
              <w:rPr>
                <w:rStyle w:val="Hipercze"/>
                <w:bCs/>
                <w:noProof/>
                <w:lang w:val="pl-PL"/>
              </w:rPr>
              <w:t>planu wdrażania</w:t>
            </w:r>
            <w:r w:rsidR="002225BA">
              <w:rPr>
                <w:rStyle w:val="Hipercze"/>
                <w:bCs/>
                <w:noProof/>
                <w:lang w:val="pl-PL"/>
              </w:rPr>
              <w:t xml:space="preserve"> KSEF</w:t>
            </w:r>
            <w:r w:rsidR="00A60403" w:rsidRPr="0085159D">
              <w:rPr>
                <w:noProof/>
                <w:webHidden/>
                <w:lang w:val="pl-PL"/>
              </w:rPr>
              <w:tab/>
            </w:r>
            <w:r w:rsidR="00A60403" w:rsidRPr="0085159D">
              <w:rPr>
                <w:noProof/>
                <w:webHidden/>
                <w:lang w:val="pl-PL"/>
              </w:rPr>
              <w:fldChar w:fldCharType="begin"/>
            </w:r>
            <w:r w:rsidR="00A60403" w:rsidRPr="0085159D">
              <w:rPr>
                <w:noProof/>
                <w:webHidden/>
                <w:lang w:val="pl-PL"/>
              </w:rPr>
              <w:instrText xml:space="preserve"> PAGEREF _Toc131521244 \h </w:instrText>
            </w:r>
            <w:r w:rsidR="00A60403" w:rsidRPr="0085159D">
              <w:rPr>
                <w:noProof/>
                <w:webHidden/>
                <w:lang w:val="pl-PL"/>
              </w:rPr>
            </w:r>
            <w:r w:rsidR="00A60403" w:rsidRPr="0085159D">
              <w:rPr>
                <w:noProof/>
                <w:webHidden/>
                <w:lang w:val="pl-PL"/>
              </w:rPr>
              <w:fldChar w:fldCharType="separate"/>
            </w:r>
            <w:r w:rsidR="001C3129">
              <w:rPr>
                <w:noProof/>
                <w:webHidden/>
                <w:lang w:val="pl-PL"/>
              </w:rPr>
              <w:t>43</w:t>
            </w:r>
            <w:r w:rsidR="00A60403" w:rsidRPr="0085159D">
              <w:rPr>
                <w:noProof/>
                <w:webHidden/>
                <w:lang w:val="pl-PL"/>
              </w:rPr>
              <w:fldChar w:fldCharType="end"/>
            </w:r>
          </w:hyperlink>
        </w:p>
        <w:p w14:paraId="4AA262E8" w14:textId="77777777" w:rsidR="006D0AD8" w:rsidRPr="0085159D" w:rsidRDefault="006D0AD8" w:rsidP="000B051F">
          <w:pPr>
            <w:pStyle w:val="Para0"/>
            <w:rPr>
              <w:bCs/>
              <w:noProof/>
              <w:lang w:val="pl-PL"/>
            </w:rPr>
          </w:pPr>
          <w:r w:rsidRPr="0085159D">
            <w:rPr>
              <w:b/>
              <w:bCs/>
              <w:noProof/>
              <w:lang w:val="pl-PL"/>
            </w:rPr>
            <w:fldChar w:fldCharType="end"/>
          </w:r>
          <w:r w:rsidR="00465A61" w:rsidRPr="0085159D">
            <w:rPr>
              <w:bCs/>
              <w:noProof/>
              <w:lang w:val="pl-PL"/>
            </w:rPr>
            <w:t xml:space="preserve"> </w:t>
          </w:r>
        </w:p>
      </w:sdtContent>
    </w:sdt>
    <w:p w14:paraId="52B942C2" w14:textId="77777777" w:rsidR="006D0AD8" w:rsidRPr="0085159D" w:rsidRDefault="006D0AD8" w:rsidP="000B051F">
      <w:pPr>
        <w:pStyle w:val="Tytu"/>
        <w:rPr>
          <w:i/>
          <w:lang w:val="pl-PL"/>
        </w:rPr>
      </w:pPr>
      <w:bookmarkStart w:id="6" w:name="_Toc131520805"/>
      <w:r w:rsidRPr="004A096F">
        <w:rPr>
          <w:bCs/>
          <w:color w:val="auto"/>
          <w:lang w:val="pl-PL"/>
        </w:rPr>
        <w:lastRenderedPageBreak/>
        <w:t>Skróty</w:t>
      </w:r>
      <w:r w:rsidRPr="0085159D">
        <w:rPr>
          <w:bCs/>
          <w:lang w:val="pl-PL"/>
        </w:rPr>
        <w:t xml:space="preserve"> </w:t>
      </w:r>
      <w:r w:rsidRPr="004A096F">
        <w:rPr>
          <w:bCs/>
          <w:color w:val="auto"/>
          <w:lang w:val="pl-PL"/>
        </w:rPr>
        <w:t>i akronimy</w:t>
      </w:r>
      <w:bookmarkEnd w:id="6"/>
    </w:p>
    <w:tbl>
      <w:tblPr>
        <w:tblStyle w:val="OECD"/>
        <w:tblW w:w="0" w:type="auto"/>
        <w:tblLook w:val="04A0" w:firstRow="1" w:lastRow="0" w:firstColumn="1" w:lastColumn="0" w:noHBand="0" w:noVBand="1"/>
      </w:tblPr>
      <w:tblGrid>
        <w:gridCol w:w="2715"/>
        <w:gridCol w:w="6583"/>
      </w:tblGrid>
      <w:tr w:rsidR="006D0AD8" w:rsidRPr="00FF4054" w14:paraId="31850900" w14:textId="77777777" w:rsidTr="00BE532B">
        <w:trPr>
          <w:cnfStyle w:val="100000000000" w:firstRow="1" w:lastRow="0" w:firstColumn="0" w:lastColumn="0" w:oddVBand="0" w:evenVBand="0" w:oddHBand="0" w:evenHBand="0" w:firstRowFirstColumn="0" w:firstRowLastColumn="0" w:lastRowFirstColumn="0" w:lastRowLastColumn="0"/>
          <w:trHeight w:val="255"/>
        </w:trPr>
        <w:tc>
          <w:tcPr>
            <w:tcW w:w="2715" w:type="dxa"/>
            <w:noWrap/>
          </w:tcPr>
          <w:p w14:paraId="2842FC92" w14:textId="77777777" w:rsidR="006D0AD8" w:rsidRPr="00FF4054" w:rsidRDefault="00FF4054" w:rsidP="000B051F">
            <w:pPr>
              <w:pStyle w:val="TableCell"/>
              <w:widowControl/>
              <w:jc w:val="left"/>
              <w:rPr>
                <w:b/>
                <w:lang w:val="pl-PL"/>
              </w:rPr>
            </w:pPr>
            <w:r w:rsidRPr="00FF4054">
              <w:rPr>
                <w:b/>
                <w:lang w:val="pl-PL"/>
              </w:rPr>
              <w:t>Skróty i akronimy</w:t>
            </w:r>
          </w:p>
        </w:tc>
        <w:tc>
          <w:tcPr>
            <w:tcW w:w="6583" w:type="dxa"/>
            <w:noWrap/>
          </w:tcPr>
          <w:p w14:paraId="2CE03CB0" w14:textId="77777777" w:rsidR="006D0AD8" w:rsidRPr="00FF4054" w:rsidRDefault="00FF4054" w:rsidP="000B051F">
            <w:pPr>
              <w:pStyle w:val="TableCell"/>
              <w:widowControl/>
              <w:jc w:val="left"/>
              <w:rPr>
                <w:b/>
                <w:lang w:val="pl-PL"/>
              </w:rPr>
            </w:pPr>
            <w:r w:rsidRPr="00FF4054">
              <w:rPr>
                <w:b/>
                <w:lang w:val="pl-PL"/>
              </w:rPr>
              <w:t>Pełna nazwa</w:t>
            </w:r>
          </w:p>
        </w:tc>
      </w:tr>
      <w:tr w:rsidR="006D0AD8" w:rsidRPr="0085159D" w14:paraId="5F204934" w14:textId="77777777" w:rsidTr="00BE532B">
        <w:trPr>
          <w:trHeight w:val="255"/>
        </w:trPr>
        <w:tc>
          <w:tcPr>
            <w:tcW w:w="2715" w:type="dxa"/>
            <w:noWrap/>
            <w:hideMark/>
          </w:tcPr>
          <w:p w14:paraId="57B70F67" w14:textId="77777777" w:rsidR="006D0AD8" w:rsidRPr="0085159D" w:rsidRDefault="006D0AD8" w:rsidP="000B051F">
            <w:pPr>
              <w:pStyle w:val="TableCell"/>
              <w:widowControl/>
              <w:jc w:val="left"/>
              <w:rPr>
                <w:lang w:val="pl-PL"/>
              </w:rPr>
            </w:pPr>
            <w:r w:rsidRPr="0085159D">
              <w:rPr>
                <w:lang w:val="pl-PL"/>
              </w:rPr>
              <w:t>BFG</w:t>
            </w:r>
          </w:p>
        </w:tc>
        <w:tc>
          <w:tcPr>
            <w:tcW w:w="6583" w:type="dxa"/>
            <w:noWrap/>
            <w:hideMark/>
          </w:tcPr>
          <w:p w14:paraId="24D6CA6C" w14:textId="77777777" w:rsidR="006D0AD8" w:rsidRPr="0085159D" w:rsidRDefault="006D0AD8" w:rsidP="000B051F">
            <w:pPr>
              <w:pStyle w:val="TableCell"/>
              <w:widowControl/>
              <w:jc w:val="left"/>
              <w:rPr>
                <w:lang w:val="pl-PL"/>
              </w:rPr>
            </w:pPr>
            <w:r w:rsidRPr="0085159D">
              <w:rPr>
                <w:lang w:val="pl-PL"/>
              </w:rPr>
              <w:t>Bankowy Fundusz Gwarancyjny</w:t>
            </w:r>
          </w:p>
        </w:tc>
      </w:tr>
      <w:tr w:rsidR="00773083" w:rsidRPr="004571F3" w14:paraId="7500E05C" w14:textId="77777777" w:rsidTr="00773083">
        <w:trPr>
          <w:trHeight w:val="154"/>
        </w:trPr>
        <w:tc>
          <w:tcPr>
            <w:tcW w:w="2715" w:type="dxa"/>
            <w:noWrap/>
            <w:hideMark/>
          </w:tcPr>
          <w:p w14:paraId="79487068" w14:textId="77777777" w:rsidR="00773083" w:rsidRPr="0085159D" w:rsidRDefault="00773083" w:rsidP="00057507">
            <w:pPr>
              <w:pStyle w:val="TableCell"/>
              <w:widowControl/>
              <w:jc w:val="left"/>
              <w:rPr>
                <w:lang w:val="pl-PL"/>
              </w:rPr>
            </w:pPr>
            <w:r w:rsidRPr="0085159D">
              <w:rPr>
                <w:lang w:val="pl-PL"/>
              </w:rPr>
              <w:t xml:space="preserve">DG REFORM </w:t>
            </w:r>
          </w:p>
        </w:tc>
        <w:tc>
          <w:tcPr>
            <w:tcW w:w="6583" w:type="dxa"/>
            <w:noWrap/>
            <w:hideMark/>
          </w:tcPr>
          <w:p w14:paraId="6B0D36EC" w14:textId="77777777" w:rsidR="00773083" w:rsidRPr="0085159D" w:rsidRDefault="00773083" w:rsidP="00057507">
            <w:pPr>
              <w:pStyle w:val="TableCell"/>
              <w:widowControl/>
              <w:jc w:val="left"/>
              <w:rPr>
                <w:lang w:val="pl-PL"/>
              </w:rPr>
            </w:pPr>
            <w:r w:rsidRPr="0085159D">
              <w:rPr>
                <w:lang w:val="pl-PL"/>
              </w:rPr>
              <w:t>Dyrekcja Generalna ds. Wspierania Reform Strukturalnych Komisji Europejskiej</w:t>
            </w:r>
          </w:p>
        </w:tc>
      </w:tr>
      <w:tr w:rsidR="00773083" w:rsidRPr="004571F3" w14:paraId="18273B06" w14:textId="77777777" w:rsidTr="00463B41">
        <w:trPr>
          <w:trHeight w:val="255"/>
        </w:trPr>
        <w:tc>
          <w:tcPr>
            <w:tcW w:w="2715" w:type="dxa"/>
            <w:noWrap/>
            <w:hideMark/>
          </w:tcPr>
          <w:p w14:paraId="5518C0DB" w14:textId="77777777" w:rsidR="00773083" w:rsidRPr="0085159D" w:rsidRDefault="00773083" w:rsidP="00463B41">
            <w:pPr>
              <w:pStyle w:val="TableCell"/>
              <w:widowControl/>
              <w:jc w:val="left"/>
              <w:rPr>
                <w:lang w:val="pl-PL"/>
              </w:rPr>
            </w:pPr>
            <w:r w:rsidRPr="0085159D">
              <w:rPr>
                <w:lang w:val="pl-PL"/>
              </w:rPr>
              <w:t>GPW</w:t>
            </w:r>
          </w:p>
        </w:tc>
        <w:tc>
          <w:tcPr>
            <w:tcW w:w="6583" w:type="dxa"/>
            <w:noWrap/>
            <w:hideMark/>
          </w:tcPr>
          <w:p w14:paraId="31AB6AA6" w14:textId="77777777" w:rsidR="00773083" w:rsidRPr="0085159D" w:rsidRDefault="00773083" w:rsidP="00463B41">
            <w:pPr>
              <w:pStyle w:val="TableCell"/>
              <w:widowControl/>
              <w:jc w:val="left"/>
              <w:rPr>
                <w:lang w:val="pl-PL"/>
              </w:rPr>
            </w:pPr>
            <w:r w:rsidRPr="0085159D">
              <w:rPr>
                <w:lang w:val="pl-PL"/>
              </w:rPr>
              <w:t>Giełda Papierów Wartościowych w Warszawie</w:t>
            </w:r>
          </w:p>
        </w:tc>
      </w:tr>
      <w:tr w:rsidR="00773083" w:rsidRPr="0085159D" w14:paraId="19258C94" w14:textId="77777777" w:rsidTr="004916AF">
        <w:trPr>
          <w:trHeight w:val="255"/>
        </w:trPr>
        <w:tc>
          <w:tcPr>
            <w:tcW w:w="2715" w:type="dxa"/>
            <w:noWrap/>
            <w:hideMark/>
          </w:tcPr>
          <w:p w14:paraId="3FAF86A5" w14:textId="77777777" w:rsidR="00773083" w:rsidRPr="0085159D" w:rsidRDefault="00773083" w:rsidP="004916AF">
            <w:pPr>
              <w:pStyle w:val="TableCell"/>
              <w:widowControl/>
              <w:jc w:val="left"/>
              <w:rPr>
                <w:lang w:val="pl-PL"/>
              </w:rPr>
            </w:pPr>
            <w:r w:rsidRPr="0085159D">
              <w:rPr>
                <w:lang w:val="pl-PL"/>
              </w:rPr>
              <w:t>IKE</w:t>
            </w:r>
          </w:p>
        </w:tc>
        <w:tc>
          <w:tcPr>
            <w:tcW w:w="6583" w:type="dxa"/>
            <w:noWrap/>
            <w:hideMark/>
          </w:tcPr>
          <w:p w14:paraId="4BCD2C33" w14:textId="77777777" w:rsidR="00773083" w:rsidRPr="0085159D" w:rsidRDefault="00773083" w:rsidP="004916AF">
            <w:pPr>
              <w:pStyle w:val="TableCell"/>
              <w:widowControl/>
              <w:jc w:val="left"/>
              <w:rPr>
                <w:lang w:val="pl-PL"/>
              </w:rPr>
            </w:pPr>
            <w:r w:rsidRPr="0085159D">
              <w:rPr>
                <w:lang w:val="pl-PL"/>
              </w:rPr>
              <w:t>Indywidulane Konta Emerytalne</w:t>
            </w:r>
          </w:p>
        </w:tc>
      </w:tr>
      <w:tr w:rsidR="00773083" w:rsidRPr="0085159D" w14:paraId="006C30B6" w14:textId="77777777" w:rsidTr="004916AF">
        <w:trPr>
          <w:trHeight w:val="255"/>
        </w:trPr>
        <w:tc>
          <w:tcPr>
            <w:tcW w:w="2715" w:type="dxa"/>
            <w:noWrap/>
            <w:hideMark/>
          </w:tcPr>
          <w:p w14:paraId="508EBA65" w14:textId="77777777" w:rsidR="00773083" w:rsidRPr="0085159D" w:rsidRDefault="00773083" w:rsidP="004916AF">
            <w:pPr>
              <w:pStyle w:val="TableCell"/>
              <w:widowControl/>
              <w:jc w:val="left"/>
              <w:rPr>
                <w:lang w:val="pl-PL"/>
              </w:rPr>
            </w:pPr>
            <w:r w:rsidRPr="0085159D">
              <w:rPr>
                <w:lang w:val="pl-PL"/>
              </w:rPr>
              <w:t>IKZE</w:t>
            </w:r>
          </w:p>
        </w:tc>
        <w:tc>
          <w:tcPr>
            <w:tcW w:w="6583" w:type="dxa"/>
            <w:noWrap/>
            <w:hideMark/>
          </w:tcPr>
          <w:p w14:paraId="0E918A1D" w14:textId="77777777" w:rsidR="00773083" w:rsidRPr="0085159D" w:rsidRDefault="00773083" w:rsidP="004916AF">
            <w:pPr>
              <w:pStyle w:val="TableCell"/>
              <w:widowControl/>
              <w:jc w:val="left"/>
              <w:rPr>
                <w:lang w:val="pl-PL"/>
              </w:rPr>
            </w:pPr>
            <w:r w:rsidRPr="0085159D">
              <w:rPr>
                <w:lang w:val="pl-PL"/>
              </w:rPr>
              <w:t>Indywidualne Konta Zabezpieczenia Emerytalnego</w:t>
            </w:r>
          </w:p>
        </w:tc>
      </w:tr>
      <w:tr w:rsidR="00773083" w:rsidRPr="0085159D" w14:paraId="5E1AC6EC" w14:textId="77777777" w:rsidTr="00226D7A">
        <w:trPr>
          <w:trHeight w:val="255"/>
        </w:trPr>
        <w:tc>
          <w:tcPr>
            <w:tcW w:w="2715" w:type="dxa"/>
            <w:noWrap/>
            <w:hideMark/>
          </w:tcPr>
          <w:p w14:paraId="6CD003A8" w14:textId="77777777" w:rsidR="00773083" w:rsidRPr="0085159D" w:rsidRDefault="00773083" w:rsidP="00226D7A">
            <w:pPr>
              <w:pStyle w:val="TableCell"/>
              <w:widowControl/>
              <w:jc w:val="left"/>
              <w:rPr>
                <w:lang w:val="pl-PL"/>
              </w:rPr>
            </w:pPr>
            <w:r w:rsidRPr="0085159D">
              <w:rPr>
                <w:lang w:val="pl-PL"/>
              </w:rPr>
              <w:t>KDPW</w:t>
            </w:r>
          </w:p>
        </w:tc>
        <w:tc>
          <w:tcPr>
            <w:tcW w:w="6583" w:type="dxa"/>
            <w:noWrap/>
            <w:hideMark/>
          </w:tcPr>
          <w:p w14:paraId="03292FC8" w14:textId="77777777" w:rsidR="00773083" w:rsidRPr="0085159D" w:rsidRDefault="00773083" w:rsidP="00226D7A">
            <w:pPr>
              <w:pStyle w:val="TableCell"/>
              <w:widowControl/>
              <w:jc w:val="left"/>
              <w:rPr>
                <w:lang w:val="pl-PL"/>
              </w:rPr>
            </w:pPr>
            <w:r w:rsidRPr="0085159D">
              <w:rPr>
                <w:lang w:val="pl-PL"/>
              </w:rPr>
              <w:t>Krajowy Depozyt Papierów Wartościowych</w:t>
            </w:r>
          </w:p>
        </w:tc>
      </w:tr>
      <w:tr w:rsidR="007E4C18" w:rsidRPr="0085159D" w14:paraId="732A6815" w14:textId="77777777" w:rsidTr="00824578">
        <w:trPr>
          <w:trHeight w:val="255"/>
        </w:trPr>
        <w:tc>
          <w:tcPr>
            <w:tcW w:w="2715" w:type="dxa"/>
            <w:noWrap/>
            <w:hideMark/>
          </w:tcPr>
          <w:p w14:paraId="54A5F030" w14:textId="77777777" w:rsidR="007E4C18" w:rsidRPr="0085159D" w:rsidRDefault="007E4C18" w:rsidP="00824578">
            <w:pPr>
              <w:pStyle w:val="TableCell"/>
              <w:widowControl/>
              <w:jc w:val="left"/>
              <w:rPr>
                <w:lang w:val="pl-PL"/>
              </w:rPr>
            </w:pPr>
            <w:proofErr w:type="spellStart"/>
            <w:r w:rsidRPr="0085159D">
              <w:rPr>
                <w:lang w:val="pl-PL"/>
              </w:rPr>
              <w:t>MEiN</w:t>
            </w:r>
            <w:proofErr w:type="spellEnd"/>
          </w:p>
        </w:tc>
        <w:tc>
          <w:tcPr>
            <w:tcW w:w="6583" w:type="dxa"/>
            <w:noWrap/>
            <w:hideMark/>
          </w:tcPr>
          <w:p w14:paraId="7CFC392D" w14:textId="77777777" w:rsidR="007E4C18" w:rsidRPr="0085159D" w:rsidRDefault="007E4C18" w:rsidP="00824578">
            <w:pPr>
              <w:pStyle w:val="TableCell"/>
              <w:widowControl/>
              <w:jc w:val="left"/>
              <w:rPr>
                <w:lang w:val="pl-PL"/>
              </w:rPr>
            </w:pPr>
            <w:r w:rsidRPr="0085159D">
              <w:rPr>
                <w:lang w:val="pl-PL"/>
              </w:rPr>
              <w:t>Ministerstwo Edukacji i Nauki</w:t>
            </w:r>
          </w:p>
        </w:tc>
      </w:tr>
      <w:tr w:rsidR="007E4C18" w:rsidRPr="0085159D" w14:paraId="7D7269FB" w14:textId="77777777" w:rsidTr="00824578">
        <w:trPr>
          <w:trHeight w:val="255"/>
        </w:trPr>
        <w:tc>
          <w:tcPr>
            <w:tcW w:w="2715" w:type="dxa"/>
            <w:noWrap/>
            <w:hideMark/>
          </w:tcPr>
          <w:p w14:paraId="3CE7EDD5" w14:textId="77777777" w:rsidR="007E4C18" w:rsidRPr="0085159D" w:rsidRDefault="007E4C18" w:rsidP="00824578">
            <w:pPr>
              <w:pStyle w:val="TableCell"/>
              <w:widowControl/>
              <w:jc w:val="left"/>
              <w:rPr>
                <w:lang w:val="pl-PL"/>
              </w:rPr>
            </w:pPr>
            <w:r w:rsidRPr="0085159D">
              <w:rPr>
                <w:lang w:val="pl-PL"/>
              </w:rPr>
              <w:t>MF</w:t>
            </w:r>
          </w:p>
        </w:tc>
        <w:tc>
          <w:tcPr>
            <w:tcW w:w="6583" w:type="dxa"/>
            <w:noWrap/>
            <w:hideMark/>
          </w:tcPr>
          <w:p w14:paraId="289BD621" w14:textId="77777777" w:rsidR="007E4C18" w:rsidRPr="0085159D" w:rsidRDefault="007E4C18" w:rsidP="00824578">
            <w:pPr>
              <w:pStyle w:val="TableCell"/>
              <w:widowControl/>
              <w:jc w:val="left"/>
              <w:rPr>
                <w:lang w:val="pl-PL"/>
              </w:rPr>
            </w:pPr>
            <w:r w:rsidRPr="0085159D">
              <w:rPr>
                <w:lang w:val="pl-PL"/>
              </w:rPr>
              <w:t>Ministerstwo Finansów</w:t>
            </w:r>
          </w:p>
        </w:tc>
      </w:tr>
      <w:tr w:rsidR="007E4C18" w:rsidRPr="0085159D" w14:paraId="323A9307" w14:textId="77777777" w:rsidTr="00BB44B4">
        <w:trPr>
          <w:trHeight w:val="255"/>
        </w:trPr>
        <w:tc>
          <w:tcPr>
            <w:tcW w:w="2715" w:type="dxa"/>
            <w:noWrap/>
            <w:hideMark/>
          </w:tcPr>
          <w:p w14:paraId="06B00AFE" w14:textId="77777777" w:rsidR="007E4C18" w:rsidRPr="0085159D" w:rsidRDefault="007E4C18" w:rsidP="00BB44B4">
            <w:pPr>
              <w:pStyle w:val="TableCell"/>
              <w:widowControl/>
              <w:jc w:val="left"/>
              <w:rPr>
                <w:lang w:val="pl-PL"/>
              </w:rPr>
            </w:pPr>
            <w:r w:rsidRPr="0085159D">
              <w:rPr>
                <w:lang w:val="pl-PL"/>
              </w:rPr>
              <w:t>NBP</w:t>
            </w:r>
          </w:p>
        </w:tc>
        <w:tc>
          <w:tcPr>
            <w:tcW w:w="6583" w:type="dxa"/>
            <w:noWrap/>
            <w:hideMark/>
          </w:tcPr>
          <w:p w14:paraId="2AA25F9B" w14:textId="77777777" w:rsidR="007E4C18" w:rsidRPr="0085159D" w:rsidRDefault="007E4C18" w:rsidP="00BB44B4">
            <w:pPr>
              <w:pStyle w:val="TableCell"/>
              <w:widowControl/>
              <w:jc w:val="left"/>
              <w:rPr>
                <w:lang w:val="pl-PL"/>
              </w:rPr>
            </w:pPr>
            <w:r w:rsidRPr="0085159D">
              <w:rPr>
                <w:lang w:val="pl-PL"/>
              </w:rPr>
              <w:t>Narodowy Bank Polski</w:t>
            </w:r>
          </w:p>
        </w:tc>
      </w:tr>
      <w:tr w:rsidR="007E4C18" w:rsidRPr="004571F3" w14:paraId="07FFFC48" w14:textId="77777777" w:rsidTr="00AC3A89">
        <w:trPr>
          <w:trHeight w:val="255"/>
        </w:trPr>
        <w:tc>
          <w:tcPr>
            <w:tcW w:w="2715" w:type="dxa"/>
            <w:noWrap/>
            <w:hideMark/>
          </w:tcPr>
          <w:p w14:paraId="3C13C957" w14:textId="77777777" w:rsidR="007E4C18" w:rsidRPr="0085159D" w:rsidRDefault="007E4C18" w:rsidP="00AC3A89">
            <w:pPr>
              <w:pStyle w:val="TableCell"/>
              <w:widowControl/>
              <w:jc w:val="left"/>
              <w:rPr>
                <w:lang w:val="pl-PL"/>
              </w:rPr>
            </w:pPr>
            <w:r w:rsidRPr="0085159D">
              <w:rPr>
                <w:lang w:val="pl-PL"/>
              </w:rPr>
              <w:t>OECD</w:t>
            </w:r>
          </w:p>
        </w:tc>
        <w:tc>
          <w:tcPr>
            <w:tcW w:w="6583" w:type="dxa"/>
            <w:noWrap/>
            <w:hideMark/>
          </w:tcPr>
          <w:p w14:paraId="5E1FE0CD" w14:textId="77777777" w:rsidR="007E4C18" w:rsidRPr="0085159D" w:rsidRDefault="007E4C18" w:rsidP="00AC3A89">
            <w:pPr>
              <w:pStyle w:val="TableCell"/>
              <w:widowControl/>
              <w:jc w:val="left"/>
              <w:rPr>
                <w:lang w:val="pl-PL"/>
              </w:rPr>
            </w:pPr>
            <w:r w:rsidRPr="0085159D">
              <w:rPr>
                <w:lang w:val="pl-PL"/>
              </w:rPr>
              <w:t>Organizacja Współpracy Gospodarczej i Rozwoju</w:t>
            </w:r>
          </w:p>
        </w:tc>
      </w:tr>
      <w:tr w:rsidR="007E4C18" w:rsidRPr="0085159D" w14:paraId="4698159F" w14:textId="77777777" w:rsidTr="00037ED1">
        <w:trPr>
          <w:trHeight w:val="255"/>
        </w:trPr>
        <w:tc>
          <w:tcPr>
            <w:tcW w:w="2715" w:type="dxa"/>
            <w:noWrap/>
            <w:hideMark/>
          </w:tcPr>
          <w:p w14:paraId="65D319C7" w14:textId="77777777" w:rsidR="007E4C18" w:rsidRPr="0085159D" w:rsidRDefault="007E4C18" w:rsidP="00037ED1">
            <w:pPr>
              <w:pStyle w:val="TableCell"/>
              <w:widowControl/>
              <w:jc w:val="left"/>
              <w:rPr>
                <w:lang w:val="pl-PL"/>
              </w:rPr>
            </w:pPr>
            <w:r w:rsidRPr="0085159D">
              <w:rPr>
                <w:lang w:val="pl-PL"/>
              </w:rPr>
              <w:t xml:space="preserve">ONZ </w:t>
            </w:r>
          </w:p>
        </w:tc>
        <w:tc>
          <w:tcPr>
            <w:tcW w:w="6583" w:type="dxa"/>
            <w:noWrap/>
            <w:hideMark/>
          </w:tcPr>
          <w:p w14:paraId="6E90DDC1" w14:textId="77777777" w:rsidR="007E4C18" w:rsidRPr="0085159D" w:rsidRDefault="007E4C18" w:rsidP="00037ED1">
            <w:pPr>
              <w:pStyle w:val="TableCell"/>
              <w:widowControl/>
              <w:jc w:val="left"/>
              <w:rPr>
                <w:lang w:val="pl-PL"/>
              </w:rPr>
            </w:pPr>
            <w:r w:rsidRPr="0085159D">
              <w:rPr>
                <w:lang w:val="pl-PL"/>
              </w:rPr>
              <w:t xml:space="preserve">Organizacja Narodów Zjednoczonych </w:t>
            </w:r>
          </w:p>
        </w:tc>
      </w:tr>
      <w:tr w:rsidR="007E4C18" w:rsidRPr="0085159D" w14:paraId="6B780869" w14:textId="77777777" w:rsidTr="00037ED1">
        <w:trPr>
          <w:trHeight w:val="255"/>
        </w:trPr>
        <w:tc>
          <w:tcPr>
            <w:tcW w:w="2715" w:type="dxa"/>
            <w:noWrap/>
          </w:tcPr>
          <w:p w14:paraId="53824CCD" w14:textId="77777777" w:rsidR="007E4C18" w:rsidRPr="0085159D" w:rsidRDefault="007E4C18" w:rsidP="00037ED1">
            <w:pPr>
              <w:pStyle w:val="TableCell"/>
              <w:widowControl/>
              <w:jc w:val="left"/>
              <w:rPr>
                <w:lang w:val="pl-PL"/>
              </w:rPr>
            </w:pPr>
            <w:r>
              <w:rPr>
                <w:lang w:val="pl-PL"/>
              </w:rPr>
              <w:t>ORE</w:t>
            </w:r>
          </w:p>
        </w:tc>
        <w:tc>
          <w:tcPr>
            <w:tcW w:w="6583" w:type="dxa"/>
            <w:noWrap/>
          </w:tcPr>
          <w:p w14:paraId="48C93EB9" w14:textId="77777777" w:rsidR="007E4C18" w:rsidRPr="0085159D" w:rsidRDefault="007E4C18" w:rsidP="00037ED1">
            <w:pPr>
              <w:pStyle w:val="TableCell"/>
              <w:widowControl/>
              <w:jc w:val="left"/>
              <w:rPr>
                <w:lang w:val="pl-PL"/>
              </w:rPr>
            </w:pPr>
            <w:r>
              <w:rPr>
                <w:lang w:val="pl-PL"/>
              </w:rPr>
              <w:t>Ośrodek Rozwoju Edukacji</w:t>
            </w:r>
          </w:p>
        </w:tc>
      </w:tr>
      <w:tr w:rsidR="007E4C18" w:rsidRPr="004571F3" w14:paraId="249417ED" w14:textId="77777777" w:rsidTr="00AF6D16">
        <w:trPr>
          <w:trHeight w:val="255"/>
        </w:trPr>
        <w:tc>
          <w:tcPr>
            <w:tcW w:w="2715" w:type="dxa"/>
            <w:noWrap/>
            <w:hideMark/>
          </w:tcPr>
          <w:p w14:paraId="722858FE" w14:textId="77777777" w:rsidR="007E4C18" w:rsidRPr="0085159D" w:rsidRDefault="007E4C18" w:rsidP="00AF6D16">
            <w:pPr>
              <w:pStyle w:val="TableCell"/>
              <w:widowControl/>
              <w:jc w:val="left"/>
              <w:rPr>
                <w:lang w:val="pl-PL"/>
              </w:rPr>
            </w:pPr>
            <w:r w:rsidRPr="0085159D">
              <w:rPr>
                <w:lang w:val="pl-PL"/>
              </w:rPr>
              <w:t>PISA</w:t>
            </w:r>
          </w:p>
        </w:tc>
        <w:tc>
          <w:tcPr>
            <w:tcW w:w="6583" w:type="dxa"/>
            <w:noWrap/>
            <w:hideMark/>
          </w:tcPr>
          <w:p w14:paraId="10EB0E66" w14:textId="77777777" w:rsidR="007E4C18" w:rsidRPr="0085159D" w:rsidRDefault="007E4C18" w:rsidP="00AF6D16">
            <w:pPr>
              <w:pStyle w:val="TableCell"/>
              <w:widowControl/>
              <w:jc w:val="left"/>
              <w:rPr>
                <w:lang w:val="pl-PL"/>
              </w:rPr>
            </w:pPr>
            <w:r w:rsidRPr="0085159D">
              <w:rPr>
                <w:lang w:val="pl-PL"/>
              </w:rPr>
              <w:t>Program Międzynarodowej Oceny Umiejętności Uczniów</w:t>
            </w:r>
          </w:p>
        </w:tc>
      </w:tr>
      <w:tr w:rsidR="007E4C18" w:rsidRPr="0085159D" w14:paraId="1EDBA3D4" w14:textId="77777777" w:rsidTr="007E4C18">
        <w:trPr>
          <w:trHeight w:val="255"/>
        </w:trPr>
        <w:tc>
          <w:tcPr>
            <w:tcW w:w="2715" w:type="dxa"/>
            <w:noWrap/>
            <w:hideMark/>
          </w:tcPr>
          <w:p w14:paraId="5E2E1933" w14:textId="77777777" w:rsidR="007E4C18" w:rsidRPr="0085159D" w:rsidRDefault="007E4C18" w:rsidP="00057507">
            <w:pPr>
              <w:pStyle w:val="TableCell"/>
              <w:widowControl/>
              <w:jc w:val="left"/>
              <w:rPr>
                <w:lang w:val="pl-PL"/>
              </w:rPr>
            </w:pPr>
            <w:r w:rsidRPr="0085159D">
              <w:rPr>
                <w:lang w:val="pl-PL"/>
              </w:rPr>
              <w:t>PPE</w:t>
            </w:r>
          </w:p>
        </w:tc>
        <w:tc>
          <w:tcPr>
            <w:tcW w:w="6583" w:type="dxa"/>
            <w:noWrap/>
            <w:hideMark/>
          </w:tcPr>
          <w:p w14:paraId="298999BD" w14:textId="77777777" w:rsidR="007E4C18" w:rsidRPr="0085159D" w:rsidRDefault="007E4C18" w:rsidP="00057507">
            <w:pPr>
              <w:pStyle w:val="TableCell"/>
              <w:widowControl/>
              <w:jc w:val="left"/>
              <w:rPr>
                <w:lang w:val="pl-PL"/>
              </w:rPr>
            </w:pPr>
            <w:r w:rsidRPr="0085159D">
              <w:rPr>
                <w:lang w:val="pl-PL"/>
              </w:rPr>
              <w:t>Pracownicze Programy Emerytalne</w:t>
            </w:r>
          </w:p>
        </w:tc>
      </w:tr>
      <w:tr w:rsidR="007E4C18" w:rsidRPr="0085159D" w14:paraId="0217F2E2" w14:textId="77777777" w:rsidTr="007E4C18">
        <w:trPr>
          <w:trHeight w:val="255"/>
        </w:trPr>
        <w:tc>
          <w:tcPr>
            <w:tcW w:w="2715" w:type="dxa"/>
            <w:noWrap/>
            <w:hideMark/>
          </w:tcPr>
          <w:p w14:paraId="6B28D062" w14:textId="77777777" w:rsidR="007E4C18" w:rsidRPr="0085159D" w:rsidRDefault="007E4C18" w:rsidP="00057507">
            <w:pPr>
              <w:pStyle w:val="TableCell"/>
              <w:widowControl/>
              <w:jc w:val="left"/>
              <w:rPr>
                <w:lang w:val="pl-PL"/>
              </w:rPr>
            </w:pPr>
            <w:r w:rsidRPr="0085159D">
              <w:rPr>
                <w:lang w:val="pl-PL"/>
              </w:rPr>
              <w:t>PPK</w:t>
            </w:r>
          </w:p>
        </w:tc>
        <w:tc>
          <w:tcPr>
            <w:tcW w:w="6583" w:type="dxa"/>
            <w:noWrap/>
            <w:hideMark/>
          </w:tcPr>
          <w:p w14:paraId="17CF2DAD" w14:textId="77777777" w:rsidR="007E4C18" w:rsidRPr="0085159D" w:rsidRDefault="007E4C18" w:rsidP="00057507">
            <w:pPr>
              <w:pStyle w:val="TableCell"/>
              <w:widowControl/>
              <w:jc w:val="left"/>
              <w:rPr>
                <w:lang w:val="pl-PL"/>
              </w:rPr>
            </w:pPr>
            <w:r w:rsidRPr="0085159D">
              <w:rPr>
                <w:lang w:val="pl-PL"/>
              </w:rPr>
              <w:t>Pracownicze Plany Kapitałowe</w:t>
            </w:r>
          </w:p>
        </w:tc>
      </w:tr>
      <w:tr w:rsidR="007E4C18" w:rsidRPr="0085159D" w14:paraId="5311BEE5" w14:textId="77777777" w:rsidTr="00723C9A">
        <w:trPr>
          <w:trHeight w:val="255"/>
        </w:trPr>
        <w:tc>
          <w:tcPr>
            <w:tcW w:w="2715" w:type="dxa"/>
            <w:noWrap/>
            <w:hideMark/>
          </w:tcPr>
          <w:p w14:paraId="7237356F" w14:textId="77777777" w:rsidR="007E4C18" w:rsidRPr="0085159D" w:rsidRDefault="007E4C18" w:rsidP="00723C9A">
            <w:pPr>
              <w:pStyle w:val="TableCell"/>
              <w:widowControl/>
              <w:jc w:val="left"/>
              <w:rPr>
                <w:lang w:val="pl-PL"/>
              </w:rPr>
            </w:pPr>
            <w:r w:rsidRPr="007E70B7">
              <w:rPr>
                <w:lang w:val="pl-PL"/>
              </w:rPr>
              <w:t>REF</w:t>
            </w:r>
            <w:r>
              <w:rPr>
                <w:lang w:val="pl-PL"/>
              </w:rPr>
              <w:t>, Rada</w:t>
            </w:r>
          </w:p>
        </w:tc>
        <w:tc>
          <w:tcPr>
            <w:tcW w:w="6583" w:type="dxa"/>
            <w:noWrap/>
            <w:hideMark/>
          </w:tcPr>
          <w:p w14:paraId="4B09D3DE" w14:textId="77777777" w:rsidR="007E4C18" w:rsidRPr="0085159D" w:rsidRDefault="007E4C18" w:rsidP="00723C9A">
            <w:pPr>
              <w:pStyle w:val="TableCell"/>
              <w:widowControl/>
              <w:jc w:val="left"/>
              <w:rPr>
                <w:lang w:val="pl-PL"/>
              </w:rPr>
            </w:pPr>
            <w:r w:rsidRPr="0085159D">
              <w:rPr>
                <w:lang w:val="pl-PL"/>
              </w:rPr>
              <w:t xml:space="preserve">Rada Edukacji Finansowej </w:t>
            </w:r>
          </w:p>
        </w:tc>
      </w:tr>
      <w:tr w:rsidR="00F02D73" w:rsidRPr="0085159D" w14:paraId="2F46B9BC" w14:textId="77777777" w:rsidTr="00D14DA4">
        <w:trPr>
          <w:trHeight w:val="255"/>
        </w:trPr>
        <w:tc>
          <w:tcPr>
            <w:tcW w:w="2715" w:type="dxa"/>
            <w:noWrap/>
            <w:hideMark/>
          </w:tcPr>
          <w:p w14:paraId="1645D249" w14:textId="77777777" w:rsidR="00F02D73" w:rsidRPr="0085159D" w:rsidRDefault="00F02D73" w:rsidP="00D14DA4">
            <w:pPr>
              <w:pStyle w:val="TableCell"/>
              <w:widowControl/>
              <w:jc w:val="left"/>
              <w:rPr>
                <w:lang w:val="pl-PL"/>
              </w:rPr>
            </w:pPr>
            <w:r w:rsidRPr="0085159D">
              <w:rPr>
                <w:lang w:val="pl-PL"/>
              </w:rPr>
              <w:t>RF</w:t>
            </w:r>
          </w:p>
        </w:tc>
        <w:tc>
          <w:tcPr>
            <w:tcW w:w="6583" w:type="dxa"/>
            <w:noWrap/>
            <w:hideMark/>
          </w:tcPr>
          <w:p w14:paraId="0FA104ED" w14:textId="77777777" w:rsidR="00F02D73" w:rsidRPr="0085159D" w:rsidRDefault="00F02D73" w:rsidP="00D14DA4">
            <w:pPr>
              <w:pStyle w:val="TableCell"/>
              <w:widowControl/>
              <w:jc w:val="left"/>
              <w:rPr>
                <w:lang w:val="pl-PL"/>
              </w:rPr>
            </w:pPr>
            <w:r w:rsidRPr="0085159D">
              <w:rPr>
                <w:lang w:val="pl-PL"/>
              </w:rPr>
              <w:t>Rzecznik Finansowy</w:t>
            </w:r>
          </w:p>
        </w:tc>
      </w:tr>
      <w:tr w:rsidR="00F02D73" w:rsidRPr="004571F3" w14:paraId="7C7B59CC" w14:textId="77777777" w:rsidTr="000D682E">
        <w:trPr>
          <w:trHeight w:val="255"/>
        </w:trPr>
        <w:tc>
          <w:tcPr>
            <w:tcW w:w="2715" w:type="dxa"/>
            <w:noWrap/>
            <w:hideMark/>
          </w:tcPr>
          <w:p w14:paraId="640C3D18" w14:textId="77777777" w:rsidR="00F02D73" w:rsidRPr="0085159D" w:rsidRDefault="00F02D73" w:rsidP="000D682E">
            <w:pPr>
              <w:pStyle w:val="TableCell"/>
              <w:widowControl/>
              <w:jc w:val="left"/>
              <w:rPr>
                <w:lang w:val="pl-PL"/>
              </w:rPr>
            </w:pPr>
            <w:r w:rsidRPr="0085159D">
              <w:rPr>
                <w:lang w:val="pl-PL"/>
              </w:rPr>
              <w:t>SOR</w:t>
            </w:r>
          </w:p>
        </w:tc>
        <w:tc>
          <w:tcPr>
            <w:tcW w:w="6583" w:type="dxa"/>
            <w:noWrap/>
            <w:hideMark/>
          </w:tcPr>
          <w:p w14:paraId="4490A79F" w14:textId="77777777" w:rsidR="00F02D73" w:rsidRPr="0085159D" w:rsidRDefault="00F02D73" w:rsidP="000D682E">
            <w:pPr>
              <w:pStyle w:val="TableCell"/>
              <w:widowControl/>
              <w:jc w:val="left"/>
              <w:rPr>
                <w:lang w:val="pl-PL"/>
              </w:rPr>
            </w:pPr>
            <w:r w:rsidRPr="0085159D">
              <w:rPr>
                <w:lang w:val="pl-PL"/>
              </w:rPr>
              <w:t>Strategia na rzecz Odpowiedzialnego Rozwoju</w:t>
            </w:r>
          </w:p>
        </w:tc>
      </w:tr>
      <w:tr w:rsidR="006D0AD8" w:rsidRPr="0085159D" w14:paraId="57618F65" w14:textId="77777777" w:rsidTr="00BE532B">
        <w:trPr>
          <w:trHeight w:val="255"/>
        </w:trPr>
        <w:tc>
          <w:tcPr>
            <w:tcW w:w="2715" w:type="dxa"/>
            <w:noWrap/>
            <w:hideMark/>
          </w:tcPr>
          <w:p w14:paraId="74A54407" w14:textId="77777777" w:rsidR="006D0AD8" w:rsidRPr="0085159D" w:rsidRDefault="006D0AD8" w:rsidP="000B051F">
            <w:pPr>
              <w:pStyle w:val="TableCell"/>
              <w:widowControl/>
              <w:jc w:val="left"/>
              <w:rPr>
                <w:lang w:val="pl-PL"/>
              </w:rPr>
            </w:pPr>
            <w:r w:rsidRPr="007E4C18">
              <w:rPr>
                <w:lang w:val="pl-PL"/>
              </w:rPr>
              <w:t>SRRK</w:t>
            </w:r>
          </w:p>
        </w:tc>
        <w:tc>
          <w:tcPr>
            <w:tcW w:w="6583" w:type="dxa"/>
            <w:noWrap/>
            <w:hideMark/>
          </w:tcPr>
          <w:p w14:paraId="032FAF37" w14:textId="77777777" w:rsidR="006D0AD8" w:rsidRPr="0085159D" w:rsidRDefault="006D0AD8" w:rsidP="000B051F">
            <w:pPr>
              <w:pStyle w:val="TableCell"/>
              <w:widowControl/>
              <w:jc w:val="left"/>
              <w:rPr>
                <w:lang w:val="pl-PL"/>
              </w:rPr>
            </w:pPr>
            <w:r w:rsidRPr="0085159D">
              <w:rPr>
                <w:lang w:val="pl-PL"/>
              </w:rPr>
              <w:t>Strategia Rozwoju Rynku Kapitałowego</w:t>
            </w:r>
          </w:p>
        </w:tc>
      </w:tr>
      <w:tr w:rsidR="006D0AD8" w:rsidRPr="0085159D" w14:paraId="0FBF4E66" w14:textId="77777777" w:rsidTr="00BE532B">
        <w:trPr>
          <w:trHeight w:val="255"/>
        </w:trPr>
        <w:tc>
          <w:tcPr>
            <w:tcW w:w="2715" w:type="dxa"/>
            <w:noWrap/>
            <w:hideMark/>
          </w:tcPr>
          <w:p w14:paraId="7A885599" w14:textId="77777777" w:rsidR="006D0AD8" w:rsidRPr="0085159D" w:rsidRDefault="006D0AD8" w:rsidP="000B051F">
            <w:pPr>
              <w:pStyle w:val="TableCell"/>
              <w:widowControl/>
              <w:jc w:val="left"/>
              <w:rPr>
                <w:lang w:val="pl-PL"/>
              </w:rPr>
            </w:pPr>
            <w:r w:rsidRPr="0085159D">
              <w:rPr>
                <w:lang w:val="pl-PL"/>
              </w:rPr>
              <w:t>UE</w:t>
            </w:r>
          </w:p>
        </w:tc>
        <w:tc>
          <w:tcPr>
            <w:tcW w:w="6583" w:type="dxa"/>
            <w:noWrap/>
            <w:hideMark/>
          </w:tcPr>
          <w:p w14:paraId="5B48B7C8" w14:textId="77777777" w:rsidR="006D0AD8" w:rsidRPr="0085159D" w:rsidRDefault="006D0AD8" w:rsidP="000B051F">
            <w:pPr>
              <w:pStyle w:val="TableCell"/>
              <w:widowControl/>
              <w:jc w:val="left"/>
              <w:rPr>
                <w:lang w:val="pl-PL"/>
              </w:rPr>
            </w:pPr>
            <w:r w:rsidRPr="0085159D">
              <w:rPr>
                <w:lang w:val="pl-PL"/>
              </w:rPr>
              <w:t>Unia Europejska</w:t>
            </w:r>
          </w:p>
        </w:tc>
      </w:tr>
    </w:tbl>
    <w:p w14:paraId="4F34A271" w14:textId="77777777" w:rsidR="00E14925" w:rsidRPr="0085159D" w:rsidRDefault="00E14925" w:rsidP="000B051F">
      <w:pPr>
        <w:pStyle w:val="Para0"/>
        <w:rPr>
          <w:lang w:val="pl-PL"/>
        </w:rPr>
      </w:pPr>
    </w:p>
    <w:p w14:paraId="31489E2C" w14:textId="77777777" w:rsidR="006D0AD8" w:rsidRPr="0085159D" w:rsidRDefault="00E14925" w:rsidP="000B051F">
      <w:pPr>
        <w:pStyle w:val="Nagwek1"/>
        <w:framePr w:wrap="notBeside"/>
        <w:numPr>
          <w:ilvl w:val="0"/>
          <w:numId w:val="0"/>
        </w:numPr>
        <w:rPr>
          <w:lang w:val="pl-PL"/>
        </w:rPr>
      </w:pPr>
      <w:bookmarkStart w:id="7" w:name="_Toc131520806"/>
      <w:r w:rsidRPr="0085159D">
        <w:rPr>
          <w:bCs/>
          <w:lang w:val="pl-PL"/>
        </w:rPr>
        <w:lastRenderedPageBreak/>
        <w:t>Część I: Potrzeba edukacji finansowej w</w:t>
      </w:r>
      <w:r w:rsidR="00464477" w:rsidRPr="0085159D">
        <w:rPr>
          <w:bCs/>
          <w:lang w:val="pl-PL"/>
        </w:rPr>
        <w:t> </w:t>
      </w:r>
      <w:r w:rsidRPr="0085159D">
        <w:rPr>
          <w:bCs/>
          <w:lang w:val="pl-PL"/>
        </w:rPr>
        <w:t>Polsce</w:t>
      </w:r>
      <w:bookmarkEnd w:id="7"/>
    </w:p>
    <w:p w14:paraId="49E8BEA6" w14:textId="77777777" w:rsidR="00E14925" w:rsidRPr="0085159D" w:rsidRDefault="008A21D5" w:rsidP="000B051F">
      <w:pPr>
        <w:pStyle w:val="Nagwek2"/>
        <w:rPr>
          <w:lang w:val="pl-PL"/>
        </w:rPr>
      </w:pPr>
      <w:bookmarkStart w:id="8" w:name="_Toc131520807"/>
      <w:r w:rsidRPr="0085159D">
        <w:rPr>
          <w:bCs/>
          <w:lang w:val="pl-PL"/>
        </w:rPr>
        <w:t>1.1. Dlaczego w Polsce potrzebna jest edukacja finansowa?</w:t>
      </w:r>
      <w:bookmarkEnd w:id="8"/>
    </w:p>
    <w:p w14:paraId="00E6B6C8" w14:textId="77777777" w:rsidR="00282A62" w:rsidRPr="0085159D" w:rsidRDefault="006D0AD8" w:rsidP="000B051F">
      <w:pPr>
        <w:pStyle w:val="Para0"/>
        <w:rPr>
          <w:lang w:val="pl-PL"/>
        </w:rPr>
      </w:pPr>
      <w:r w:rsidRPr="0085159D">
        <w:rPr>
          <w:lang w:val="pl-PL"/>
        </w:rPr>
        <w:t xml:space="preserve">Na przestrzeni ostatnich 25 lat Polska </w:t>
      </w:r>
      <w:r w:rsidR="00100629" w:rsidRPr="0085159D">
        <w:rPr>
          <w:lang w:val="pl-PL"/>
        </w:rPr>
        <w:t xml:space="preserve">znajdowała się na </w:t>
      </w:r>
      <w:r w:rsidRPr="0085159D">
        <w:rPr>
          <w:lang w:val="pl-PL"/>
        </w:rPr>
        <w:t>długo</w:t>
      </w:r>
      <w:r w:rsidR="00100629" w:rsidRPr="0085159D">
        <w:rPr>
          <w:lang w:val="pl-PL"/>
        </w:rPr>
        <w:t>okresowej</w:t>
      </w:r>
      <w:r w:rsidRPr="0085159D">
        <w:rPr>
          <w:lang w:val="pl-PL"/>
        </w:rPr>
        <w:t xml:space="preserve"> ścież</w:t>
      </w:r>
      <w:r w:rsidR="00100629" w:rsidRPr="0085159D">
        <w:rPr>
          <w:lang w:val="pl-PL"/>
        </w:rPr>
        <w:t>ce</w:t>
      </w:r>
      <w:r w:rsidRPr="0085159D">
        <w:rPr>
          <w:lang w:val="pl-PL"/>
        </w:rPr>
        <w:t xml:space="preserve"> wzrostu gospodarczego połączonego ze wzrostem </w:t>
      </w:r>
      <w:r w:rsidR="00100629" w:rsidRPr="0085159D">
        <w:rPr>
          <w:lang w:val="pl-PL"/>
        </w:rPr>
        <w:t xml:space="preserve">poziomu </w:t>
      </w:r>
      <w:r w:rsidRPr="0085159D">
        <w:rPr>
          <w:lang w:val="pl-PL"/>
        </w:rPr>
        <w:t>życi</w:t>
      </w:r>
      <w:r w:rsidR="00100629" w:rsidRPr="0085159D">
        <w:rPr>
          <w:lang w:val="pl-PL"/>
        </w:rPr>
        <w:t>a</w:t>
      </w:r>
      <w:r w:rsidRPr="0085159D">
        <w:rPr>
          <w:lang w:val="pl-PL"/>
        </w:rPr>
        <w:t xml:space="preserve"> społeczeństwa. </w:t>
      </w:r>
      <w:r w:rsidR="00100629" w:rsidRPr="0085159D">
        <w:rPr>
          <w:lang w:val="pl-PL"/>
        </w:rPr>
        <w:t xml:space="preserve">Jednak </w:t>
      </w:r>
      <w:r w:rsidRPr="0085159D">
        <w:rPr>
          <w:lang w:val="pl-PL"/>
        </w:rPr>
        <w:t xml:space="preserve">mieszkańcy Polski </w:t>
      </w:r>
      <w:r w:rsidR="00882609" w:rsidRPr="0085159D">
        <w:rPr>
          <w:lang w:val="pl-PL"/>
        </w:rPr>
        <w:t xml:space="preserve">stoją przed szeregiem </w:t>
      </w:r>
      <w:r w:rsidRPr="0085159D">
        <w:rPr>
          <w:lang w:val="pl-PL"/>
        </w:rPr>
        <w:t>wyzwa</w:t>
      </w:r>
      <w:r w:rsidR="00882609" w:rsidRPr="0085159D">
        <w:rPr>
          <w:lang w:val="pl-PL"/>
        </w:rPr>
        <w:t xml:space="preserve">ń, które podkreślają potrzebę poprawy </w:t>
      </w:r>
      <w:r w:rsidRPr="0085159D">
        <w:rPr>
          <w:lang w:val="pl-PL"/>
        </w:rPr>
        <w:t>ich niewystarczających kompetencji finansowych</w:t>
      </w:r>
      <w:r w:rsidR="00A62A40" w:rsidRPr="007E70B7">
        <w:rPr>
          <w:rStyle w:val="Odwoanieprzypisudolnego"/>
          <w:lang w:val="pl-PL"/>
        </w:rPr>
        <w:footnoteReference w:id="3"/>
      </w:r>
      <w:r w:rsidRPr="0085159D">
        <w:rPr>
          <w:lang w:val="pl-PL"/>
        </w:rPr>
        <w:t xml:space="preserve">. Wyzwania te związane są zarówno z </w:t>
      </w:r>
      <w:r w:rsidR="00882609" w:rsidRPr="0085159D">
        <w:rPr>
          <w:lang w:val="pl-PL"/>
        </w:rPr>
        <w:t xml:space="preserve">istniejącymi </w:t>
      </w:r>
      <w:r w:rsidRPr="0085159D">
        <w:rPr>
          <w:lang w:val="pl-PL"/>
        </w:rPr>
        <w:t xml:space="preserve">już od pewnego czasu, jak i nowymi trendami demograficznymi, </w:t>
      </w:r>
      <w:r w:rsidR="00955250" w:rsidRPr="0085159D">
        <w:rPr>
          <w:lang w:val="pl-PL"/>
        </w:rPr>
        <w:t xml:space="preserve">takimi jak </w:t>
      </w:r>
      <w:r w:rsidRPr="0085159D">
        <w:rPr>
          <w:lang w:val="pl-PL"/>
        </w:rPr>
        <w:t>starzenie się społeczeństwa i napływ uchodźców po agresji Rosji na Ukrainę w lutym 2022</w:t>
      </w:r>
      <w:r w:rsidR="00B15058">
        <w:rPr>
          <w:lang w:val="pl-PL"/>
        </w:rPr>
        <w:t> </w:t>
      </w:r>
      <w:r w:rsidRPr="0085159D">
        <w:rPr>
          <w:lang w:val="pl-PL"/>
        </w:rPr>
        <w:t>r., utrzymując</w:t>
      </w:r>
      <w:r w:rsidR="00955250" w:rsidRPr="0085159D">
        <w:rPr>
          <w:lang w:val="pl-PL"/>
        </w:rPr>
        <w:t>e</w:t>
      </w:r>
      <w:r w:rsidRPr="0085159D">
        <w:rPr>
          <w:lang w:val="pl-PL"/>
        </w:rPr>
        <w:t xml:space="preserve"> się dysproporcj</w:t>
      </w:r>
      <w:r w:rsidR="00955250" w:rsidRPr="0085159D">
        <w:rPr>
          <w:lang w:val="pl-PL"/>
        </w:rPr>
        <w:t>e</w:t>
      </w:r>
      <w:r w:rsidRPr="0085159D">
        <w:rPr>
          <w:lang w:val="pl-PL"/>
        </w:rPr>
        <w:t xml:space="preserve"> w rozwoju społeczno-</w:t>
      </w:r>
      <w:r w:rsidR="00955250" w:rsidRPr="0085159D">
        <w:rPr>
          <w:lang w:val="pl-PL"/>
        </w:rPr>
        <w:t>gospodarczym</w:t>
      </w:r>
      <w:r w:rsidRPr="0085159D">
        <w:rPr>
          <w:lang w:val="pl-PL"/>
        </w:rPr>
        <w:t xml:space="preserve"> pomiędzy regionami kraju oraz globaln</w:t>
      </w:r>
      <w:r w:rsidR="00955250" w:rsidRPr="0085159D">
        <w:rPr>
          <w:lang w:val="pl-PL"/>
        </w:rPr>
        <w:t>e</w:t>
      </w:r>
      <w:r w:rsidRPr="0085159D">
        <w:rPr>
          <w:lang w:val="pl-PL"/>
        </w:rPr>
        <w:t xml:space="preserve"> zawirowania gospodarc</w:t>
      </w:r>
      <w:r w:rsidR="00955250" w:rsidRPr="0085159D">
        <w:rPr>
          <w:lang w:val="pl-PL"/>
        </w:rPr>
        <w:t>z</w:t>
      </w:r>
      <w:r w:rsidRPr="0085159D">
        <w:rPr>
          <w:lang w:val="pl-PL"/>
        </w:rPr>
        <w:t>e na rynkach finansowych.</w:t>
      </w:r>
    </w:p>
    <w:p w14:paraId="2DFECD48" w14:textId="77777777" w:rsidR="00B636D8" w:rsidRPr="0085159D" w:rsidRDefault="00282A62" w:rsidP="00771A89">
      <w:pPr>
        <w:pStyle w:val="BulletedList"/>
        <w:rPr>
          <w:lang w:val="pl-PL"/>
        </w:rPr>
      </w:pPr>
      <w:r w:rsidRPr="0085159D">
        <w:rPr>
          <w:lang w:val="pl-PL"/>
        </w:rPr>
        <w:t>W 2020 r. około 70% Polaków uważało, że wiedza finansowa i ekonomiczna jest niezbędna w</w:t>
      </w:r>
      <w:r w:rsidR="00FD1935">
        <w:rPr>
          <w:lang w:val="pl-PL"/>
        </w:rPr>
        <w:t> </w:t>
      </w:r>
      <w:r w:rsidRPr="0085159D">
        <w:rPr>
          <w:lang w:val="pl-PL"/>
        </w:rPr>
        <w:t xml:space="preserve">życiu codziennym </w:t>
      </w:r>
      <w:sdt>
        <w:sdtPr>
          <w:rPr>
            <w:lang w:val="pl-PL"/>
          </w:rPr>
          <w:id w:val="-94787204"/>
          <w:citation/>
        </w:sdtPr>
        <w:sdtEndPr/>
        <w:sdtContent>
          <w:r w:rsidRPr="0085159D">
            <w:rPr>
              <w:lang w:val="pl-PL"/>
            </w:rPr>
            <w:fldChar w:fldCharType="begin"/>
          </w:r>
          <w:r w:rsidRPr="0085159D">
            <w:rPr>
              <w:lang w:val="pl-PL"/>
            </w:rPr>
            <w:instrText xml:space="preserve"> CITATION Mendeley_SHwBrEC8sjGzBrTIhDSUxg \l 2057 </w:instrText>
          </w:r>
          <w:r w:rsidRPr="0085159D">
            <w:rPr>
              <w:lang w:val="pl-PL"/>
            </w:rPr>
            <w:fldChar w:fldCharType="separate"/>
          </w:r>
          <w:r w:rsidRPr="0085159D">
            <w:rPr>
              <w:noProof/>
              <w:lang w:val="pl-PL"/>
            </w:rPr>
            <w:t>(Narodowy Bank Polski, 2020</w:t>
          </w:r>
          <w:r w:rsidRPr="0085159D">
            <w:rPr>
              <w:noProof/>
              <w:vertAlign w:val="subscript"/>
              <w:lang w:val="pl-PL"/>
            </w:rPr>
            <w:t>[1]</w:t>
          </w:r>
          <w:r w:rsidRPr="0085159D">
            <w:rPr>
              <w:noProof/>
              <w:lang w:val="pl-PL"/>
            </w:rPr>
            <w:t>)</w:t>
          </w:r>
          <w:r w:rsidRPr="0085159D">
            <w:rPr>
              <w:lang w:val="pl-PL"/>
            </w:rPr>
            <w:fldChar w:fldCharType="end"/>
          </w:r>
        </w:sdtContent>
      </w:sdt>
      <w:r w:rsidRPr="0085159D">
        <w:rPr>
          <w:lang w:val="pl-PL"/>
        </w:rPr>
        <w:t>. Z analiz przeprowadzonych przez OECD i</w:t>
      </w:r>
      <w:r w:rsidR="00FD1935">
        <w:rPr>
          <w:lang w:val="pl-PL"/>
        </w:rPr>
        <w:t> </w:t>
      </w:r>
      <w:r w:rsidRPr="0085159D">
        <w:rPr>
          <w:lang w:val="pl-PL"/>
        </w:rPr>
        <w:t xml:space="preserve">inne organizacje wynika, że mieszkańcy Polski, a w szczególności niektóre określone grupy, dysponują ograniczonymi kompetencjami finansowymi i niewystarczającą odpornością finansową </w:t>
      </w:r>
      <w:sdt>
        <w:sdtPr>
          <w:rPr>
            <w:lang w:val="pl-PL"/>
          </w:rPr>
          <w:id w:val="-596092215"/>
          <w:citation/>
        </w:sdtPr>
        <w:sdtEndPr/>
        <w:sdtContent>
          <w:r w:rsidRPr="0085159D">
            <w:rPr>
              <w:lang w:val="pl-PL"/>
            </w:rPr>
            <w:fldChar w:fldCharType="begin"/>
          </w:r>
          <w:r w:rsidRPr="0085159D">
            <w:rPr>
              <w:noProof/>
              <w:lang w:val="pl-PL"/>
            </w:rPr>
            <w:instrText xml:space="preserve">CITATION Mendeley_n2B3t2wosDKEOKrxpqvBCA \m Mendeley_HL1LB5KKEzudIUMChZuI__A \m Kappa_48ebd1ba \n  \m Mendeley_8lCJr_J5ljC5UalIEA3Gvw \n  \l 2057 </w:instrText>
          </w:r>
          <w:r w:rsidRPr="0085159D">
            <w:rPr>
              <w:lang w:val="pl-PL"/>
            </w:rPr>
            <w:fldChar w:fldCharType="separate"/>
          </w:r>
          <w:bookmarkStart w:id="10" w:name="Kappa_48ebd1ba_4"/>
          <w:r w:rsidRPr="0085159D">
            <w:rPr>
              <w:noProof/>
              <w:lang w:val="pl-PL"/>
            </w:rPr>
            <w:t>(Demirgüç-Kunt i in., 2022</w:t>
          </w:r>
          <w:r w:rsidRPr="0085159D">
            <w:rPr>
              <w:noProof/>
              <w:vertAlign w:val="subscript"/>
              <w:lang w:val="pl-PL"/>
            </w:rPr>
            <w:t>[2]</w:t>
          </w:r>
          <w:r w:rsidRPr="0085159D">
            <w:rPr>
              <w:noProof/>
              <w:lang w:val="pl-PL"/>
            </w:rPr>
            <w:t>; OECD, 2022</w:t>
          </w:r>
          <w:r w:rsidRPr="0085159D">
            <w:rPr>
              <w:noProof/>
              <w:vertAlign w:val="subscript"/>
              <w:lang w:val="pl-PL"/>
            </w:rPr>
            <w:t>[3]</w:t>
          </w:r>
          <w:r w:rsidRPr="0085159D">
            <w:rPr>
              <w:noProof/>
              <w:lang w:val="pl-PL"/>
            </w:rPr>
            <w:t>; 2020</w:t>
          </w:r>
          <w:r w:rsidRPr="0085159D">
            <w:rPr>
              <w:noProof/>
              <w:vertAlign w:val="subscript"/>
              <w:lang w:val="pl-PL"/>
            </w:rPr>
            <w:t>[4]</w:t>
          </w:r>
          <w:r w:rsidRPr="0085159D">
            <w:rPr>
              <w:noProof/>
              <w:lang w:val="pl-PL"/>
            </w:rPr>
            <w:t>; 2020</w:t>
          </w:r>
          <w:r w:rsidRPr="0085159D">
            <w:rPr>
              <w:noProof/>
              <w:vertAlign w:val="subscript"/>
              <w:lang w:val="pl-PL"/>
            </w:rPr>
            <w:t>[5]</w:t>
          </w:r>
          <w:r w:rsidRPr="0085159D">
            <w:rPr>
              <w:noProof/>
              <w:lang w:val="pl-PL"/>
            </w:rPr>
            <w:t>)</w:t>
          </w:r>
          <w:bookmarkEnd w:id="10"/>
          <w:r w:rsidRPr="0085159D">
            <w:rPr>
              <w:lang w:val="pl-PL"/>
            </w:rPr>
            <w:fldChar w:fldCharType="end"/>
          </w:r>
        </w:sdtContent>
      </w:sdt>
      <w:r w:rsidRPr="0085159D">
        <w:rPr>
          <w:lang w:val="pl-PL"/>
        </w:rPr>
        <w:t>. Poniżej podsumowane zostały niektóre kluczowe ustalenia tych analiz</w:t>
      </w:r>
      <w:r w:rsidR="00B15058">
        <w:rPr>
          <w:lang w:val="pl-PL"/>
        </w:rPr>
        <w:t>.</w:t>
      </w:r>
      <w:r w:rsidR="00287F4D" w:rsidRPr="0085159D">
        <w:rPr>
          <w:lang w:val="pl-PL"/>
        </w:rPr>
        <w:t xml:space="preserve"> </w:t>
      </w:r>
      <w:r w:rsidR="00B15058">
        <w:rPr>
          <w:lang w:val="pl-PL"/>
        </w:rPr>
        <w:t>S</w:t>
      </w:r>
      <w:r w:rsidRPr="0085159D">
        <w:rPr>
          <w:lang w:val="pl-PL"/>
        </w:rPr>
        <w:t>ektor finansowy w Polsce jest dobrze rozwinięty i</w:t>
      </w:r>
      <w:r w:rsidR="00FD1935">
        <w:rPr>
          <w:lang w:val="pl-PL"/>
        </w:rPr>
        <w:t> </w:t>
      </w:r>
      <w:r w:rsidRPr="0085159D">
        <w:rPr>
          <w:lang w:val="pl-PL"/>
        </w:rPr>
        <w:t xml:space="preserve">stosunkowo </w:t>
      </w:r>
      <w:proofErr w:type="spellStart"/>
      <w:r w:rsidRPr="0085159D">
        <w:rPr>
          <w:lang w:val="pl-PL"/>
        </w:rPr>
        <w:t>inkluzywny</w:t>
      </w:r>
      <w:proofErr w:type="spellEnd"/>
      <w:r w:rsidRPr="0085159D">
        <w:rPr>
          <w:lang w:val="pl-PL"/>
        </w:rPr>
        <w:t xml:space="preserve"> </w:t>
      </w:r>
      <w:sdt>
        <w:sdtPr>
          <w:rPr>
            <w:lang w:val="pl-PL"/>
          </w:rPr>
          <w:id w:val="-19794773"/>
          <w:citation/>
        </w:sdtPr>
        <w:sdtEndPr/>
        <w:sdtContent>
          <w:r w:rsidRPr="0085159D">
            <w:rPr>
              <w:lang w:val="pl-PL"/>
            </w:rPr>
            <w:fldChar w:fldCharType="begin"/>
          </w:r>
          <w:r w:rsidRPr="0085159D">
            <w:rPr>
              <w:lang w:val="pl-PL"/>
            </w:rPr>
            <w:instrText xml:space="preserve"> CITATION Mendeley_n2B3t2wosDKEOKrxpqvBCA \l 2057 </w:instrText>
          </w:r>
          <w:r w:rsidRPr="0085159D">
            <w:rPr>
              <w:lang w:val="pl-PL"/>
            </w:rPr>
            <w:fldChar w:fldCharType="separate"/>
          </w:r>
          <w:r w:rsidRPr="0085159D">
            <w:rPr>
              <w:noProof/>
              <w:lang w:val="pl-PL"/>
            </w:rPr>
            <w:t>(Demirgüç-Kunt i in., 2022</w:t>
          </w:r>
          <w:r w:rsidRPr="0085159D">
            <w:rPr>
              <w:noProof/>
              <w:vertAlign w:val="subscript"/>
              <w:lang w:val="pl-PL"/>
            </w:rPr>
            <w:t>[2]</w:t>
          </w:r>
          <w:r w:rsidRPr="0085159D">
            <w:rPr>
              <w:noProof/>
              <w:lang w:val="pl-PL"/>
            </w:rPr>
            <w:t>)</w:t>
          </w:r>
          <w:r w:rsidRPr="0085159D">
            <w:rPr>
              <w:lang w:val="pl-PL"/>
            </w:rPr>
            <w:fldChar w:fldCharType="end"/>
          </w:r>
        </w:sdtContent>
      </w:sdt>
      <w:r w:rsidRPr="0085159D">
        <w:rPr>
          <w:lang w:val="pl-PL"/>
        </w:rPr>
        <w:t xml:space="preserve">, </w:t>
      </w:r>
      <w:r w:rsidR="00885B3D" w:rsidRPr="0085159D">
        <w:rPr>
          <w:lang w:val="pl-PL"/>
        </w:rPr>
        <w:t xml:space="preserve">a </w:t>
      </w:r>
      <w:r w:rsidRPr="0085159D">
        <w:rPr>
          <w:lang w:val="pl-PL"/>
        </w:rPr>
        <w:t xml:space="preserve">coraz </w:t>
      </w:r>
      <w:r w:rsidR="00885B3D" w:rsidRPr="0085159D">
        <w:rPr>
          <w:lang w:val="pl-PL"/>
        </w:rPr>
        <w:t xml:space="preserve">więcej </w:t>
      </w:r>
      <w:r w:rsidRPr="0085159D">
        <w:rPr>
          <w:lang w:val="pl-PL"/>
        </w:rPr>
        <w:t>Polaków deklaruje posiadanie oszczędności. Mimo to większość mieszkańców Polski nie ma nawyku oszczędzania. Z kolei osoby, które ten nawyk posiadają, zazwyczaj dysponują skromnymi oszczędnościami albo odkładają środki nieregularnie lub w sposób</w:t>
      </w:r>
      <w:r w:rsidR="00ED2996" w:rsidRPr="0085159D">
        <w:rPr>
          <w:lang w:val="pl-PL"/>
        </w:rPr>
        <w:t xml:space="preserve"> nieformalny</w:t>
      </w:r>
      <w:r w:rsidR="003E1DF4" w:rsidRPr="0085159D">
        <w:rPr>
          <w:lang w:val="pl-PL"/>
        </w:rPr>
        <w:t xml:space="preserve">. W przypadku niespodziewanych wydatków </w:t>
      </w:r>
      <w:r w:rsidR="00735D67" w:rsidRPr="0085159D">
        <w:rPr>
          <w:lang w:val="pl-PL"/>
        </w:rPr>
        <w:t xml:space="preserve">osoby te </w:t>
      </w:r>
      <w:r w:rsidR="00D2267D">
        <w:rPr>
          <w:lang w:val="pl-PL"/>
        </w:rPr>
        <w:t xml:space="preserve">mają </w:t>
      </w:r>
      <w:r w:rsidR="00735D67" w:rsidRPr="0085159D">
        <w:rPr>
          <w:lang w:val="pl-PL"/>
        </w:rPr>
        <w:t xml:space="preserve">ograniczoną odpornością finansową. </w:t>
      </w:r>
      <w:r w:rsidRPr="0085159D">
        <w:rPr>
          <w:lang w:val="pl-PL"/>
        </w:rPr>
        <w:t>W</w:t>
      </w:r>
      <w:r w:rsidR="00FD1935">
        <w:rPr>
          <w:lang w:val="pl-PL"/>
        </w:rPr>
        <w:t> </w:t>
      </w:r>
      <w:r w:rsidRPr="0085159D">
        <w:rPr>
          <w:lang w:val="pl-PL"/>
        </w:rPr>
        <w:t xml:space="preserve">kontekście </w:t>
      </w:r>
      <w:r w:rsidR="00B7516A" w:rsidRPr="0085159D">
        <w:rPr>
          <w:lang w:val="pl-PL"/>
        </w:rPr>
        <w:t xml:space="preserve">podwyższonej obecnie </w:t>
      </w:r>
      <w:r w:rsidRPr="0085159D">
        <w:rPr>
          <w:lang w:val="pl-PL"/>
        </w:rPr>
        <w:t xml:space="preserve">inflacji </w:t>
      </w:r>
      <w:r w:rsidR="005B2B22" w:rsidRPr="0085159D">
        <w:rPr>
          <w:lang w:val="pl-PL"/>
        </w:rPr>
        <w:t>i</w:t>
      </w:r>
      <w:r w:rsidR="00755984">
        <w:rPr>
          <w:lang w:val="pl-PL"/>
        </w:rPr>
        <w:t> </w:t>
      </w:r>
      <w:r w:rsidR="005B2B22" w:rsidRPr="0085159D">
        <w:rPr>
          <w:lang w:val="pl-PL"/>
        </w:rPr>
        <w:t xml:space="preserve">ograniczonego </w:t>
      </w:r>
      <w:r w:rsidR="00B7516A" w:rsidRPr="0085159D">
        <w:rPr>
          <w:lang w:val="pl-PL"/>
        </w:rPr>
        <w:t>uczestnictwa Polak</w:t>
      </w:r>
      <w:r w:rsidR="0085159D">
        <w:rPr>
          <w:lang w:val="pl-PL"/>
        </w:rPr>
        <w:t>ów w ry</w:t>
      </w:r>
      <w:r w:rsidR="005B2B22" w:rsidRPr="0085159D">
        <w:rPr>
          <w:lang w:val="pl-PL"/>
        </w:rPr>
        <w:t xml:space="preserve">nku kapitałowym, </w:t>
      </w:r>
      <w:r w:rsidRPr="0085159D">
        <w:rPr>
          <w:lang w:val="pl-PL"/>
        </w:rPr>
        <w:t xml:space="preserve">są </w:t>
      </w:r>
      <w:r w:rsidR="00B7516A" w:rsidRPr="0085159D">
        <w:rPr>
          <w:lang w:val="pl-PL"/>
        </w:rPr>
        <w:t xml:space="preserve">oni </w:t>
      </w:r>
      <w:r w:rsidRPr="0085159D">
        <w:rPr>
          <w:lang w:val="pl-PL"/>
        </w:rPr>
        <w:t xml:space="preserve">również narażeni na ryzyko </w:t>
      </w:r>
      <w:r w:rsidR="004E2541" w:rsidRPr="0085159D">
        <w:rPr>
          <w:lang w:val="pl-PL"/>
        </w:rPr>
        <w:t xml:space="preserve">uszczuplenia </w:t>
      </w:r>
      <w:r w:rsidRPr="0085159D">
        <w:rPr>
          <w:lang w:val="pl-PL"/>
        </w:rPr>
        <w:t xml:space="preserve">swoich oszczędności życia oraz utraty potencjalnych </w:t>
      </w:r>
      <w:r w:rsidR="005B2B22" w:rsidRPr="0085159D">
        <w:rPr>
          <w:lang w:val="pl-PL"/>
        </w:rPr>
        <w:t xml:space="preserve">zysków </w:t>
      </w:r>
      <w:r w:rsidRPr="0085159D">
        <w:rPr>
          <w:lang w:val="pl-PL"/>
        </w:rPr>
        <w:t xml:space="preserve">z inwestycji. </w:t>
      </w:r>
      <w:r w:rsidR="00B7516A" w:rsidRPr="0085159D">
        <w:rPr>
          <w:lang w:val="pl-PL"/>
        </w:rPr>
        <w:t>Osoby te, mające w związku z</w:t>
      </w:r>
      <w:r w:rsidR="00137A2F">
        <w:rPr>
          <w:lang w:val="pl-PL"/>
        </w:rPr>
        <w:t> </w:t>
      </w:r>
      <w:r w:rsidR="00B7516A" w:rsidRPr="0085159D">
        <w:rPr>
          <w:lang w:val="pl-PL"/>
        </w:rPr>
        <w:t>powyższym potencjalnie ograniczoną odporność finansową, mogą być postawione w trudnej sytuacji w obliczu konieczności poniesienia niespodziewanych wydatków.</w:t>
      </w:r>
    </w:p>
    <w:p w14:paraId="23160698" w14:textId="77777777" w:rsidR="00282A62" w:rsidRPr="0085159D" w:rsidRDefault="00282A62" w:rsidP="000B051F">
      <w:pPr>
        <w:pStyle w:val="BulletedList"/>
        <w:numPr>
          <w:ilvl w:val="0"/>
          <w:numId w:val="0"/>
        </w:numPr>
        <w:ind w:left="680"/>
        <w:rPr>
          <w:lang w:val="pl-PL"/>
        </w:rPr>
      </w:pPr>
      <w:r w:rsidRPr="0085159D">
        <w:rPr>
          <w:lang w:val="pl-PL"/>
        </w:rPr>
        <w:t>Nieco ponad jedna trzecia Polaków rozumie pojęcie procentu składanego, ważnego zarówno w</w:t>
      </w:r>
      <w:r w:rsidR="001E5B9C">
        <w:rPr>
          <w:lang w:val="pl-PL"/>
        </w:rPr>
        <w:t> </w:t>
      </w:r>
      <w:r w:rsidRPr="0085159D">
        <w:rPr>
          <w:lang w:val="pl-PL"/>
        </w:rPr>
        <w:t>przypadku korzystania z kredytu, jak i gromadzenia długoterminowych oszczędności. Kwestia ta może w istotnym stopniu wyjaśniać, dlaczego tylko niewielka liczba Polaków inwestuje na rynkach finansowych lub posiada dodatkowe oszczędności emerytalne. Jednocześnie prawie trzy czwarte Polaków obawia się niedoboru oszczędności na starość, a tylko 25% ma mocne przekonanie, że dobrze zabezpieczyli</w:t>
      </w:r>
      <w:r w:rsidR="00D2267D">
        <w:rPr>
          <w:lang w:val="pl-PL"/>
        </w:rPr>
        <w:t>,</w:t>
      </w:r>
      <w:r w:rsidRPr="0085159D">
        <w:rPr>
          <w:lang w:val="pl-PL"/>
        </w:rPr>
        <w:t xml:space="preserve"> pod względem finansowym lata, które spędzą na emeryturze </w:t>
      </w:r>
      <w:sdt>
        <w:sdtPr>
          <w:rPr>
            <w:lang w:val="pl-PL"/>
          </w:rPr>
          <w:id w:val="-795367077"/>
          <w:citation/>
        </w:sdtPr>
        <w:sdtEndPr/>
        <w:sdtContent>
          <w:r w:rsidRPr="0085159D">
            <w:rPr>
              <w:lang w:val="pl-PL"/>
            </w:rPr>
            <w:fldChar w:fldCharType="begin"/>
          </w:r>
          <w:r w:rsidRPr="0085159D">
            <w:rPr>
              <w:lang w:val="pl-PL"/>
            </w:rPr>
            <w:instrText xml:space="preserve"> CITATION Mendeley_8lCJr_J5ljC5UalIEA3Gvw \l 2057 </w:instrText>
          </w:r>
          <w:r w:rsidRPr="0085159D">
            <w:rPr>
              <w:lang w:val="pl-PL"/>
            </w:rPr>
            <w:fldChar w:fldCharType="separate"/>
          </w:r>
          <w:r w:rsidRPr="0085159D">
            <w:rPr>
              <w:noProof/>
              <w:lang w:val="pl-PL"/>
            </w:rPr>
            <w:t>(OECD, 2020</w:t>
          </w:r>
          <w:r w:rsidRPr="0085159D">
            <w:rPr>
              <w:noProof/>
              <w:vertAlign w:val="subscript"/>
              <w:lang w:val="pl-PL"/>
            </w:rPr>
            <w:t>[5]</w:t>
          </w:r>
          <w:r w:rsidRPr="0085159D">
            <w:rPr>
              <w:noProof/>
              <w:lang w:val="pl-PL"/>
            </w:rPr>
            <w:t>)</w:t>
          </w:r>
          <w:r w:rsidRPr="0085159D">
            <w:rPr>
              <w:lang w:val="pl-PL"/>
            </w:rPr>
            <w:fldChar w:fldCharType="end"/>
          </w:r>
        </w:sdtContent>
      </w:sdt>
      <w:r w:rsidRPr="0085159D">
        <w:rPr>
          <w:lang w:val="pl-PL"/>
        </w:rPr>
        <w:t>.</w:t>
      </w:r>
    </w:p>
    <w:p w14:paraId="1F07C67B" w14:textId="77777777" w:rsidR="00282A62" w:rsidRPr="0085159D" w:rsidRDefault="00282A62" w:rsidP="000B051F">
      <w:pPr>
        <w:pStyle w:val="BulletedList"/>
        <w:rPr>
          <w:lang w:val="pl-PL"/>
        </w:rPr>
      </w:pPr>
      <w:r w:rsidRPr="0085159D">
        <w:rPr>
          <w:lang w:val="pl-PL"/>
        </w:rPr>
        <w:lastRenderedPageBreak/>
        <w:t xml:space="preserve">Większość dorosłych Polaków uważa, że </w:t>
      </w:r>
      <w:r w:rsidR="00B7516A" w:rsidRPr="0085159D">
        <w:rPr>
          <w:lang w:val="pl-PL"/>
        </w:rPr>
        <w:t>ledwo sobie radzi finansowo</w:t>
      </w:r>
      <w:r w:rsidRPr="0085159D">
        <w:rPr>
          <w:lang w:val="pl-PL"/>
        </w:rPr>
        <w:t xml:space="preserve">, prawie połowa uważa, że ich finanse kontrolują ich życie, a ponad jedna trzecia martwi się, czy pokryje swoje normalne wydatki na życie </w:t>
      </w:r>
      <w:sdt>
        <w:sdtPr>
          <w:rPr>
            <w:lang w:val="pl-PL"/>
          </w:rPr>
          <w:id w:val="-1791970740"/>
          <w:citation/>
        </w:sdtPr>
        <w:sdtEndPr/>
        <w:sdtContent>
          <w:r w:rsidRPr="0085159D">
            <w:rPr>
              <w:lang w:val="pl-PL"/>
            </w:rPr>
            <w:fldChar w:fldCharType="begin"/>
          </w:r>
          <w:r w:rsidRPr="0085159D">
            <w:rPr>
              <w:lang w:val="pl-PL"/>
            </w:rPr>
            <w:instrText xml:space="preserve"> CITATION Mendeley_8lCJr_J5ljC5UalIEA3Gvw \l 2057 </w:instrText>
          </w:r>
          <w:r w:rsidRPr="0085159D">
            <w:rPr>
              <w:lang w:val="pl-PL"/>
            </w:rPr>
            <w:fldChar w:fldCharType="separate"/>
          </w:r>
          <w:r w:rsidRPr="0085159D">
            <w:rPr>
              <w:noProof/>
              <w:lang w:val="pl-PL"/>
            </w:rPr>
            <w:t>(OECD, 2020</w:t>
          </w:r>
          <w:r w:rsidRPr="0085159D">
            <w:rPr>
              <w:noProof/>
              <w:vertAlign w:val="subscript"/>
              <w:lang w:val="pl-PL"/>
            </w:rPr>
            <w:t>[5]</w:t>
          </w:r>
          <w:r w:rsidRPr="0085159D">
            <w:rPr>
              <w:noProof/>
              <w:lang w:val="pl-PL"/>
            </w:rPr>
            <w:t>)</w:t>
          </w:r>
          <w:r w:rsidRPr="0085159D">
            <w:rPr>
              <w:lang w:val="pl-PL"/>
            </w:rPr>
            <w:fldChar w:fldCharType="end"/>
          </w:r>
        </w:sdtContent>
      </w:sdt>
      <w:r w:rsidRPr="0085159D">
        <w:rPr>
          <w:lang w:val="pl-PL"/>
        </w:rPr>
        <w:t>. P</w:t>
      </w:r>
      <w:r w:rsidR="005B2B22" w:rsidRPr="0085159D">
        <w:rPr>
          <w:lang w:val="pl-PL"/>
        </w:rPr>
        <w:t>andemia COVID-19 oraz uwarunkowania rosnącej inflacji i stóp procentowych miały wpływ na kondycję polskiej gospodarki.</w:t>
      </w:r>
      <w:r w:rsidRPr="0085159D">
        <w:rPr>
          <w:lang w:val="pl-PL"/>
        </w:rPr>
        <w:t xml:space="preserve"> Można się spodziewać, że czynniki te będą wywierać wpływ na sytuację finansową mieszkańców Polski, zwłaszcza tych znajdujących się w najtrudniejsz</w:t>
      </w:r>
      <w:r w:rsidR="00352AAA" w:rsidRPr="0085159D">
        <w:rPr>
          <w:lang w:val="pl-PL"/>
        </w:rPr>
        <w:t>ym</w:t>
      </w:r>
      <w:r w:rsidRPr="0085159D">
        <w:rPr>
          <w:lang w:val="pl-PL"/>
        </w:rPr>
        <w:t xml:space="preserve"> </w:t>
      </w:r>
      <w:r w:rsidR="00352AAA" w:rsidRPr="0085159D">
        <w:rPr>
          <w:lang w:val="pl-PL"/>
        </w:rPr>
        <w:t>położeniu</w:t>
      </w:r>
      <w:r w:rsidRPr="0085159D">
        <w:rPr>
          <w:lang w:val="pl-PL"/>
        </w:rPr>
        <w:t>.</w:t>
      </w:r>
    </w:p>
    <w:p w14:paraId="085622EF" w14:textId="77777777" w:rsidR="00282A62" w:rsidRPr="0085159D" w:rsidRDefault="00282A62" w:rsidP="000B051F">
      <w:pPr>
        <w:pStyle w:val="BulletedList"/>
        <w:rPr>
          <w:lang w:val="pl-PL"/>
        </w:rPr>
      </w:pPr>
      <w:r w:rsidRPr="0085159D">
        <w:rPr>
          <w:lang w:val="pl-PL"/>
        </w:rPr>
        <w:t xml:space="preserve">Nadmiernym zadłużeniem obciążonych jest w Polsce mniej </w:t>
      </w:r>
      <w:r w:rsidR="00352AAA" w:rsidRPr="0085159D">
        <w:rPr>
          <w:lang w:val="pl-PL"/>
        </w:rPr>
        <w:t xml:space="preserve">osób </w:t>
      </w:r>
      <w:r w:rsidRPr="0085159D">
        <w:rPr>
          <w:lang w:val="pl-PL"/>
        </w:rPr>
        <w:t xml:space="preserve">niż średnio w UE-28 </w:t>
      </w:r>
      <w:sdt>
        <w:sdtPr>
          <w:rPr>
            <w:lang w:val="pl-PL"/>
          </w:rPr>
          <w:id w:val="716708481"/>
          <w:citation/>
        </w:sdtPr>
        <w:sdtEndPr/>
        <w:sdtContent>
          <w:r w:rsidRPr="0085159D">
            <w:rPr>
              <w:lang w:val="pl-PL"/>
            </w:rPr>
            <w:fldChar w:fldCharType="begin"/>
          </w:r>
          <w:r w:rsidRPr="0085159D">
            <w:rPr>
              <w:lang w:val="pl-PL"/>
            </w:rPr>
            <w:instrText xml:space="preserve"> CITATION Mendeley_hqBJyXW93jmGPE__H8Cp6Gw \l 2057 </w:instrText>
          </w:r>
          <w:r w:rsidRPr="0085159D">
            <w:rPr>
              <w:lang w:val="pl-PL"/>
            </w:rPr>
            <w:fldChar w:fldCharType="separate"/>
          </w:r>
          <w:r w:rsidRPr="0085159D">
            <w:rPr>
              <w:noProof/>
              <w:lang w:val="pl-PL"/>
            </w:rPr>
            <w:t>(Eurofound, 2020</w:t>
          </w:r>
          <w:r w:rsidRPr="0085159D">
            <w:rPr>
              <w:noProof/>
              <w:vertAlign w:val="subscript"/>
              <w:lang w:val="pl-PL"/>
            </w:rPr>
            <w:t>[6]</w:t>
          </w:r>
          <w:r w:rsidRPr="0085159D">
            <w:rPr>
              <w:noProof/>
              <w:lang w:val="pl-PL"/>
            </w:rPr>
            <w:t>)</w:t>
          </w:r>
          <w:r w:rsidRPr="0085159D">
            <w:rPr>
              <w:lang w:val="pl-PL"/>
            </w:rPr>
            <w:fldChar w:fldCharType="end"/>
          </w:r>
        </w:sdtContent>
      </w:sdt>
      <w:r w:rsidRPr="0085159D">
        <w:rPr>
          <w:lang w:val="pl-PL"/>
        </w:rPr>
        <w:t xml:space="preserve">. Sytuacja ta może ulec zmianie w kontekście zmieniających się globalnych uwarunkowań makroekonomicznych. </w:t>
      </w:r>
      <w:r w:rsidR="00965A21" w:rsidRPr="0085159D">
        <w:rPr>
          <w:lang w:val="pl-PL"/>
        </w:rPr>
        <w:t>W obecnie trudnych warunkach gospodarczej niepewności s</w:t>
      </w:r>
      <w:r w:rsidRPr="0085159D">
        <w:rPr>
          <w:lang w:val="pl-PL"/>
        </w:rPr>
        <w:t xml:space="preserve">zczególnie </w:t>
      </w:r>
      <w:r w:rsidR="0041258F" w:rsidRPr="0085159D">
        <w:rPr>
          <w:lang w:val="pl-PL"/>
        </w:rPr>
        <w:t xml:space="preserve">niełatwa </w:t>
      </w:r>
      <w:r w:rsidRPr="0085159D">
        <w:rPr>
          <w:lang w:val="pl-PL"/>
        </w:rPr>
        <w:t xml:space="preserve">jest sytuacja Polaków spłacających </w:t>
      </w:r>
      <w:r w:rsidR="00965A21" w:rsidRPr="0085159D">
        <w:rPr>
          <w:lang w:val="pl-PL"/>
        </w:rPr>
        <w:t xml:space="preserve">istniejące </w:t>
      </w:r>
      <w:r w:rsidRPr="0085159D">
        <w:rPr>
          <w:lang w:val="pl-PL"/>
        </w:rPr>
        <w:t xml:space="preserve">zadłużenie, </w:t>
      </w:r>
      <w:r w:rsidR="00965A21" w:rsidRPr="0085159D">
        <w:rPr>
          <w:lang w:val="pl-PL"/>
        </w:rPr>
        <w:t>którzy nie są wyposażeni w</w:t>
      </w:r>
      <w:r w:rsidR="001E5B9C">
        <w:rPr>
          <w:lang w:val="pl-PL"/>
        </w:rPr>
        <w:t> </w:t>
      </w:r>
      <w:r w:rsidR="00965A21" w:rsidRPr="0085159D">
        <w:rPr>
          <w:lang w:val="pl-PL"/>
        </w:rPr>
        <w:t>wiedzę</w:t>
      </w:r>
      <w:r w:rsidR="0041258F" w:rsidRPr="0085159D">
        <w:rPr>
          <w:lang w:val="pl-PL"/>
        </w:rPr>
        <w:t>,</w:t>
      </w:r>
      <w:r w:rsidR="00965A21" w:rsidRPr="0085159D">
        <w:rPr>
          <w:lang w:val="pl-PL"/>
        </w:rPr>
        <w:t xml:space="preserve"> jak chronić swoje finanse</w:t>
      </w:r>
      <w:r w:rsidRPr="0085159D">
        <w:rPr>
          <w:lang w:val="pl-PL"/>
        </w:rPr>
        <w:t>.</w:t>
      </w:r>
    </w:p>
    <w:p w14:paraId="6B86D62B" w14:textId="77777777" w:rsidR="00282A62" w:rsidRPr="0085159D" w:rsidRDefault="00282A62" w:rsidP="000B051F">
      <w:pPr>
        <w:pStyle w:val="BulletedList"/>
        <w:rPr>
          <w:lang w:val="pl-PL"/>
        </w:rPr>
      </w:pPr>
      <w:r w:rsidRPr="0085159D">
        <w:rPr>
          <w:lang w:val="pl-PL"/>
        </w:rPr>
        <w:t xml:space="preserve">Polacy </w:t>
      </w:r>
      <w:r w:rsidR="00B7516A" w:rsidRPr="0085159D">
        <w:rPr>
          <w:lang w:val="pl-PL"/>
        </w:rPr>
        <w:t xml:space="preserve">mają dostęp do </w:t>
      </w:r>
      <w:r w:rsidR="00123CF7" w:rsidRPr="0085159D">
        <w:rPr>
          <w:lang w:val="pl-PL"/>
        </w:rPr>
        <w:t xml:space="preserve">cyfrowych </w:t>
      </w:r>
      <w:r w:rsidRPr="0085159D">
        <w:rPr>
          <w:lang w:val="pl-PL"/>
        </w:rPr>
        <w:t xml:space="preserve">usług instytucji finansowych </w:t>
      </w:r>
      <w:r w:rsidR="0041258F" w:rsidRPr="0085159D">
        <w:rPr>
          <w:lang w:val="pl-PL"/>
        </w:rPr>
        <w:t xml:space="preserve">oraz </w:t>
      </w:r>
      <w:r w:rsidR="00B7516A" w:rsidRPr="0085159D">
        <w:rPr>
          <w:lang w:val="pl-PL"/>
        </w:rPr>
        <w:t>powszechnie korzystają z</w:t>
      </w:r>
      <w:r w:rsidR="001E5B9C">
        <w:rPr>
          <w:lang w:val="pl-PL"/>
        </w:rPr>
        <w:t> </w:t>
      </w:r>
      <w:r w:rsidRPr="0085159D">
        <w:rPr>
          <w:lang w:val="pl-PL"/>
        </w:rPr>
        <w:t>urządze</w:t>
      </w:r>
      <w:r w:rsidR="00B7516A" w:rsidRPr="0085159D">
        <w:rPr>
          <w:lang w:val="pl-PL"/>
        </w:rPr>
        <w:t>ń</w:t>
      </w:r>
      <w:r w:rsidRPr="0085159D">
        <w:rPr>
          <w:lang w:val="pl-PL"/>
        </w:rPr>
        <w:t xml:space="preserve"> elektroniczny</w:t>
      </w:r>
      <w:r w:rsidR="00B7516A" w:rsidRPr="0085159D">
        <w:rPr>
          <w:lang w:val="pl-PL"/>
        </w:rPr>
        <w:t>ch</w:t>
      </w:r>
      <w:r w:rsidRPr="0085159D">
        <w:rPr>
          <w:lang w:val="pl-PL"/>
        </w:rPr>
        <w:t xml:space="preserve"> i </w:t>
      </w:r>
      <w:r w:rsidR="00352AAA" w:rsidRPr="0085159D">
        <w:rPr>
          <w:lang w:val="pl-PL"/>
        </w:rPr>
        <w:t>I</w:t>
      </w:r>
      <w:r w:rsidRPr="0085159D">
        <w:rPr>
          <w:lang w:val="pl-PL"/>
        </w:rPr>
        <w:t xml:space="preserve">nternetu, ale ich umiejętności w tym zakresie nie dorównują kompetencjom posiadanym przez obywateli wielu innych krajów UE </w:t>
      </w:r>
      <w:sdt>
        <w:sdtPr>
          <w:rPr>
            <w:lang w:val="pl-PL"/>
          </w:rPr>
          <w:id w:val="441575680"/>
          <w:citation/>
        </w:sdtPr>
        <w:sdtEndPr/>
        <w:sdtContent>
          <w:r w:rsidRPr="0085159D">
            <w:rPr>
              <w:lang w:val="pl-PL"/>
            </w:rPr>
            <w:fldChar w:fldCharType="begin"/>
          </w:r>
          <w:r w:rsidRPr="0085159D">
            <w:rPr>
              <w:lang w:val="pl-PL"/>
            </w:rPr>
            <w:instrText xml:space="preserve"> CITATION Mendeley_pSYuWD7K_jizcZPK6fpXeg \l 2057 </w:instrText>
          </w:r>
          <w:r w:rsidRPr="0085159D">
            <w:rPr>
              <w:lang w:val="pl-PL"/>
            </w:rPr>
            <w:fldChar w:fldCharType="separate"/>
          </w:r>
          <w:r w:rsidRPr="0085159D">
            <w:rPr>
              <w:noProof/>
              <w:lang w:val="pl-PL"/>
            </w:rPr>
            <w:t>(Komisja Europejska, 2021</w:t>
          </w:r>
          <w:r w:rsidRPr="0085159D">
            <w:rPr>
              <w:noProof/>
              <w:vertAlign w:val="subscript"/>
              <w:lang w:val="pl-PL"/>
            </w:rPr>
            <w:t>[7]</w:t>
          </w:r>
          <w:r w:rsidRPr="0085159D">
            <w:rPr>
              <w:noProof/>
              <w:lang w:val="pl-PL"/>
            </w:rPr>
            <w:t>)</w:t>
          </w:r>
          <w:r w:rsidRPr="0085159D">
            <w:rPr>
              <w:lang w:val="pl-PL"/>
            </w:rPr>
            <w:fldChar w:fldCharType="end"/>
          </w:r>
        </w:sdtContent>
      </w:sdt>
      <w:r w:rsidRPr="0085159D">
        <w:rPr>
          <w:lang w:val="pl-PL"/>
        </w:rPr>
        <w:t xml:space="preserve">. Fakt ten może stwarzać pewne ryzyka na rynku finansowym. Polacy czują, że nie posiadają wystarczającej wiedzy na tematy związane z </w:t>
      </w:r>
      <w:proofErr w:type="spellStart"/>
      <w:r w:rsidRPr="0085159D">
        <w:rPr>
          <w:lang w:val="pl-PL"/>
        </w:rPr>
        <w:t>cyberbezpieczeństwem</w:t>
      </w:r>
      <w:proofErr w:type="spellEnd"/>
      <w:r w:rsidRPr="0085159D">
        <w:rPr>
          <w:lang w:val="pl-PL"/>
        </w:rPr>
        <w:t xml:space="preserve"> i bezpiecznym poruszaniem się po Internecie </w:t>
      </w:r>
      <w:sdt>
        <w:sdtPr>
          <w:rPr>
            <w:lang w:val="pl-PL"/>
          </w:rPr>
          <w:id w:val="-1237695139"/>
          <w:citation/>
        </w:sdtPr>
        <w:sdtEndPr/>
        <w:sdtContent>
          <w:r w:rsidRPr="0085159D">
            <w:rPr>
              <w:lang w:val="pl-PL"/>
            </w:rPr>
            <w:fldChar w:fldCharType="begin"/>
          </w:r>
          <w:r w:rsidRPr="0085159D">
            <w:rPr>
              <w:lang w:val="pl-PL"/>
            </w:rPr>
            <w:instrText xml:space="preserve"> CITATION Mendeley_ZwqRyr7PJTKw9Hg__VaRsg \l 2057 </w:instrText>
          </w:r>
          <w:r w:rsidRPr="0085159D">
            <w:rPr>
              <w:lang w:val="pl-PL"/>
            </w:rPr>
            <w:fldChar w:fldCharType="separate"/>
          </w:r>
          <w:r w:rsidRPr="0085159D">
            <w:rPr>
              <w:noProof/>
              <w:lang w:val="pl-PL"/>
            </w:rPr>
            <w:t>(Fundacja Warszawski Instytut Bankowości i Fundacja Giełdy Papierów Wartościowych w Warszawie, 2021</w:t>
          </w:r>
          <w:r w:rsidRPr="0085159D">
            <w:rPr>
              <w:noProof/>
              <w:vertAlign w:val="subscript"/>
              <w:lang w:val="pl-PL"/>
            </w:rPr>
            <w:t>[8]</w:t>
          </w:r>
          <w:r w:rsidRPr="0085159D">
            <w:rPr>
              <w:noProof/>
              <w:lang w:val="pl-PL"/>
            </w:rPr>
            <w:t>)</w:t>
          </w:r>
          <w:r w:rsidRPr="0085159D">
            <w:rPr>
              <w:lang w:val="pl-PL"/>
            </w:rPr>
            <w:fldChar w:fldCharType="end"/>
          </w:r>
        </w:sdtContent>
      </w:sdt>
      <w:r w:rsidRPr="0085159D">
        <w:rPr>
          <w:lang w:val="pl-PL"/>
        </w:rPr>
        <w:t>.</w:t>
      </w:r>
    </w:p>
    <w:p w14:paraId="2ED31FAD" w14:textId="77777777" w:rsidR="00282A62" w:rsidRPr="0085159D" w:rsidRDefault="00282A62" w:rsidP="000B051F">
      <w:pPr>
        <w:pStyle w:val="Para0"/>
        <w:rPr>
          <w:lang w:val="pl-PL"/>
        </w:rPr>
      </w:pPr>
      <w:r w:rsidRPr="0085159D">
        <w:rPr>
          <w:lang w:val="pl-PL"/>
        </w:rPr>
        <w:t xml:space="preserve">Zasadniczo, co zostało podkreślone w raporcie „Znajomość zagadnień </w:t>
      </w:r>
      <w:r w:rsidR="0041258F" w:rsidRPr="0085159D">
        <w:rPr>
          <w:lang w:val="pl-PL"/>
        </w:rPr>
        <w:t>finansowych w Polsce:</w:t>
      </w:r>
      <w:r w:rsidRPr="0085159D">
        <w:rPr>
          <w:lang w:val="pl-PL"/>
        </w:rPr>
        <w:t xml:space="preserve"> Znaczenie, dane i oferta edukacyjna” </w:t>
      </w:r>
      <w:sdt>
        <w:sdtPr>
          <w:rPr>
            <w:lang w:val="pl-PL"/>
          </w:rPr>
          <w:id w:val="455226829"/>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 celem edukacji finansowej będzie wspieranie mieszkańców Polski w następujących obszarach:</w:t>
      </w:r>
    </w:p>
    <w:p w14:paraId="74730F3A" w14:textId="77777777" w:rsidR="00282A62" w:rsidRPr="0085159D" w:rsidRDefault="00D2267D" w:rsidP="000B051F">
      <w:pPr>
        <w:pStyle w:val="BulletedList"/>
        <w:rPr>
          <w:lang w:val="pl-PL"/>
        </w:rPr>
      </w:pPr>
      <w:r>
        <w:rPr>
          <w:lang w:val="pl-PL"/>
        </w:rPr>
        <w:t xml:space="preserve">w </w:t>
      </w:r>
      <w:r w:rsidR="00282A62" w:rsidRPr="0085159D">
        <w:rPr>
          <w:lang w:val="pl-PL"/>
        </w:rPr>
        <w:t>poprawie odporności finansowej, zwłaszcza u osób, które już znalazły się w trudnej sytuacji finansowej</w:t>
      </w:r>
      <w:r w:rsidR="00B7516A" w:rsidRPr="0085159D">
        <w:rPr>
          <w:lang w:val="pl-PL"/>
        </w:rPr>
        <w:t>,</w:t>
      </w:r>
    </w:p>
    <w:p w14:paraId="7D1C2D09" w14:textId="77777777" w:rsidR="00282A62" w:rsidRPr="0085159D" w:rsidRDefault="00D2267D" w:rsidP="000B051F">
      <w:pPr>
        <w:pStyle w:val="BulletedList"/>
        <w:rPr>
          <w:lang w:val="pl-PL"/>
        </w:rPr>
      </w:pPr>
      <w:r>
        <w:rPr>
          <w:lang w:val="pl-PL"/>
        </w:rPr>
        <w:t xml:space="preserve">we </w:t>
      </w:r>
      <w:r w:rsidR="00282A62" w:rsidRPr="0085159D">
        <w:rPr>
          <w:lang w:val="pl-PL"/>
        </w:rPr>
        <w:t xml:space="preserve">wzmacnianiu zaufania do sektora finansowego w celu zwiększenia korzystania </w:t>
      </w:r>
      <w:r w:rsidR="00B7516A" w:rsidRPr="0085159D">
        <w:rPr>
          <w:lang w:val="pl-PL"/>
        </w:rPr>
        <w:t xml:space="preserve">przez </w:t>
      </w:r>
      <w:r w:rsidR="00965A21" w:rsidRPr="0085159D">
        <w:rPr>
          <w:lang w:val="pl-PL"/>
        </w:rPr>
        <w:t>osoby mieszkające w Polsce</w:t>
      </w:r>
      <w:r w:rsidR="00B7516A" w:rsidRPr="0085159D">
        <w:rPr>
          <w:lang w:val="pl-PL"/>
        </w:rPr>
        <w:t xml:space="preserve"> z produktów oszczędnościowych, ubezpieczeniowych, inwestycyjnych i</w:t>
      </w:r>
      <w:r w:rsidR="001E5B9C">
        <w:rPr>
          <w:lang w:val="pl-PL"/>
        </w:rPr>
        <w:t> </w:t>
      </w:r>
      <w:r w:rsidR="00B7516A" w:rsidRPr="0085159D">
        <w:rPr>
          <w:lang w:val="pl-PL"/>
        </w:rPr>
        <w:t xml:space="preserve">emerytalnych </w:t>
      </w:r>
      <w:r w:rsidR="00282A62" w:rsidRPr="0085159D">
        <w:rPr>
          <w:lang w:val="pl-PL"/>
        </w:rPr>
        <w:t>oferowanych przez instytucje finansowe</w:t>
      </w:r>
      <w:r w:rsidR="00B7516A" w:rsidRPr="0085159D">
        <w:rPr>
          <w:lang w:val="pl-PL"/>
        </w:rPr>
        <w:t>,</w:t>
      </w:r>
    </w:p>
    <w:p w14:paraId="3CF8B3F9" w14:textId="77777777" w:rsidR="00282A62" w:rsidRPr="0085159D" w:rsidRDefault="00D2267D" w:rsidP="000B051F">
      <w:pPr>
        <w:pStyle w:val="BulletedList"/>
        <w:rPr>
          <w:lang w:val="pl-PL"/>
        </w:rPr>
      </w:pPr>
      <w:r>
        <w:rPr>
          <w:lang w:val="pl-PL"/>
        </w:rPr>
        <w:t xml:space="preserve">w </w:t>
      </w:r>
      <w:r w:rsidR="00E11E64" w:rsidRPr="0085159D">
        <w:rPr>
          <w:lang w:val="pl-PL"/>
        </w:rPr>
        <w:t>zwiększeniu świadomości</w:t>
      </w:r>
      <w:r w:rsidR="00282A62" w:rsidRPr="0085159D">
        <w:rPr>
          <w:lang w:val="pl-PL"/>
        </w:rPr>
        <w:t xml:space="preserve">, że długoterminowe oszczędzanie jest ważne dla własnego przyszłego </w:t>
      </w:r>
      <w:r w:rsidR="00352AAA" w:rsidRPr="0085159D">
        <w:rPr>
          <w:lang w:val="pl-PL"/>
        </w:rPr>
        <w:t xml:space="preserve">dobrostanu </w:t>
      </w:r>
      <w:r w:rsidR="00282A62" w:rsidRPr="0085159D">
        <w:rPr>
          <w:lang w:val="pl-PL"/>
        </w:rPr>
        <w:t xml:space="preserve">finansowego, oraz </w:t>
      </w:r>
      <w:r>
        <w:rPr>
          <w:lang w:val="pl-PL"/>
        </w:rPr>
        <w:t xml:space="preserve">w </w:t>
      </w:r>
      <w:r w:rsidR="00282A62" w:rsidRPr="0085159D">
        <w:rPr>
          <w:lang w:val="pl-PL"/>
        </w:rPr>
        <w:t xml:space="preserve">nabywaniu umiejętności i </w:t>
      </w:r>
      <w:r w:rsidR="00E11E64" w:rsidRPr="0085159D">
        <w:rPr>
          <w:lang w:val="pl-PL"/>
        </w:rPr>
        <w:t xml:space="preserve">poczucia pewności </w:t>
      </w:r>
      <w:r w:rsidR="00282A62" w:rsidRPr="0085159D">
        <w:rPr>
          <w:lang w:val="pl-PL"/>
        </w:rPr>
        <w:t>w</w:t>
      </w:r>
      <w:r w:rsidR="00137A2F">
        <w:rPr>
          <w:lang w:val="pl-PL"/>
        </w:rPr>
        <w:t> </w:t>
      </w:r>
      <w:r w:rsidR="00282A62" w:rsidRPr="0085159D">
        <w:rPr>
          <w:lang w:val="pl-PL"/>
        </w:rPr>
        <w:t>podejmowaniu długoterminowych decyzji inwestycyjnych</w:t>
      </w:r>
      <w:r w:rsidR="00B7516A" w:rsidRPr="0085159D">
        <w:rPr>
          <w:lang w:val="pl-PL"/>
        </w:rPr>
        <w:t>,</w:t>
      </w:r>
    </w:p>
    <w:p w14:paraId="2C1D1B1E" w14:textId="77777777" w:rsidR="00282A62" w:rsidRPr="0085159D" w:rsidRDefault="009F116E" w:rsidP="000B051F">
      <w:pPr>
        <w:pStyle w:val="BulletedList"/>
        <w:rPr>
          <w:lang w:val="pl-PL"/>
        </w:rPr>
      </w:pPr>
      <w:r>
        <w:rPr>
          <w:lang w:val="pl-PL"/>
        </w:rPr>
        <w:t xml:space="preserve">w </w:t>
      </w:r>
      <w:r w:rsidR="00282A62" w:rsidRPr="0085159D">
        <w:rPr>
          <w:lang w:val="pl-PL"/>
        </w:rPr>
        <w:t>doskonaleniu umiejętności zarządzania ryzykiem i korzystani</w:t>
      </w:r>
      <w:r>
        <w:rPr>
          <w:lang w:val="pl-PL"/>
        </w:rPr>
        <w:t>a</w:t>
      </w:r>
      <w:r w:rsidR="00282A62" w:rsidRPr="0085159D">
        <w:rPr>
          <w:lang w:val="pl-PL"/>
        </w:rPr>
        <w:t xml:space="preserve"> z możliwości inwestycyjnych na rynku kapitałowym</w:t>
      </w:r>
      <w:r w:rsidR="00B7516A" w:rsidRPr="0085159D">
        <w:rPr>
          <w:lang w:val="pl-PL"/>
        </w:rPr>
        <w:t>,</w:t>
      </w:r>
    </w:p>
    <w:p w14:paraId="73A6288F" w14:textId="77777777" w:rsidR="00282A62" w:rsidRPr="0085159D" w:rsidRDefault="009F116E" w:rsidP="000B051F">
      <w:pPr>
        <w:pStyle w:val="BulletedList"/>
        <w:rPr>
          <w:lang w:val="pl-PL"/>
        </w:rPr>
      </w:pPr>
      <w:r>
        <w:rPr>
          <w:lang w:val="pl-PL"/>
        </w:rPr>
        <w:t xml:space="preserve">w </w:t>
      </w:r>
      <w:r w:rsidR="00282A62" w:rsidRPr="0085159D">
        <w:rPr>
          <w:lang w:val="pl-PL"/>
        </w:rPr>
        <w:t xml:space="preserve">nabywaniu umiejętności zarządzania </w:t>
      </w:r>
      <w:r w:rsidR="00B7516A" w:rsidRPr="0085159D">
        <w:rPr>
          <w:lang w:val="pl-PL"/>
        </w:rPr>
        <w:t xml:space="preserve">swoim </w:t>
      </w:r>
      <w:r w:rsidR="00282A62" w:rsidRPr="0085159D">
        <w:rPr>
          <w:lang w:val="pl-PL"/>
        </w:rPr>
        <w:t>zadłużeniem</w:t>
      </w:r>
      <w:r w:rsidR="00B7516A" w:rsidRPr="0085159D">
        <w:rPr>
          <w:lang w:val="pl-PL"/>
        </w:rPr>
        <w:t>,</w:t>
      </w:r>
    </w:p>
    <w:p w14:paraId="486EEDE9" w14:textId="77777777" w:rsidR="00282A62" w:rsidRPr="0085159D" w:rsidRDefault="009F116E" w:rsidP="000B051F">
      <w:pPr>
        <w:pStyle w:val="BulletedList"/>
        <w:rPr>
          <w:lang w:val="pl-PL"/>
        </w:rPr>
      </w:pPr>
      <w:r>
        <w:rPr>
          <w:lang w:val="pl-PL"/>
        </w:rPr>
        <w:t xml:space="preserve">w </w:t>
      </w:r>
      <w:r w:rsidR="00282A62" w:rsidRPr="0085159D">
        <w:rPr>
          <w:lang w:val="pl-PL"/>
        </w:rPr>
        <w:t xml:space="preserve">poprawie </w:t>
      </w:r>
      <w:r w:rsidR="00B7516A" w:rsidRPr="0085159D">
        <w:rPr>
          <w:lang w:val="pl-PL"/>
        </w:rPr>
        <w:t xml:space="preserve">umiejętności </w:t>
      </w:r>
      <w:r w:rsidR="00282A62" w:rsidRPr="0085159D">
        <w:rPr>
          <w:lang w:val="pl-PL"/>
        </w:rPr>
        <w:t>zachowania bezpieczeństwa w Internecie oraz czerpania korzyści z</w:t>
      </w:r>
      <w:r w:rsidR="001E5B9C">
        <w:rPr>
          <w:lang w:val="pl-PL"/>
        </w:rPr>
        <w:t> </w:t>
      </w:r>
      <w:r w:rsidR="00282A62" w:rsidRPr="0085159D">
        <w:rPr>
          <w:lang w:val="pl-PL"/>
        </w:rPr>
        <w:t>cyfrowych usług finansowych.</w:t>
      </w:r>
    </w:p>
    <w:p w14:paraId="62A9D624" w14:textId="77777777" w:rsidR="00282A62" w:rsidRPr="0085159D" w:rsidRDefault="00282A62" w:rsidP="000B051F">
      <w:pPr>
        <w:pStyle w:val="Para0"/>
        <w:rPr>
          <w:lang w:val="pl-PL"/>
        </w:rPr>
      </w:pPr>
      <w:r w:rsidRPr="0085159D">
        <w:rPr>
          <w:lang w:val="pl-PL"/>
        </w:rPr>
        <w:t>Analiza OECD</w:t>
      </w:r>
      <w:r w:rsidR="009F116E">
        <w:rPr>
          <w:lang w:val="pl-PL"/>
        </w:rPr>
        <w:t xml:space="preserve"> przedstawiona w Raporcie</w:t>
      </w:r>
      <w:r w:rsidRPr="0085159D">
        <w:rPr>
          <w:lang w:val="pl-PL"/>
        </w:rPr>
        <w:t xml:space="preserve"> wskazuje, że </w:t>
      </w:r>
      <w:r w:rsidR="00081836" w:rsidRPr="0085159D">
        <w:rPr>
          <w:lang w:val="pl-PL"/>
        </w:rPr>
        <w:t>programy edukacji finansowej, które są nastawione na zwiększanie wiedzy, podnoszenie umiejętności i kształtowanie właściwych nawyków w</w:t>
      </w:r>
      <w:r w:rsidR="00137A2F">
        <w:rPr>
          <w:lang w:val="pl-PL"/>
        </w:rPr>
        <w:t> </w:t>
      </w:r>
      <w:r w:rsidR="00081836" w:rsidRPr="0085159D">
        <w:rPr>
          <w:lang w:val="pl-PL"/>
        </w:rPr>
        <w:t>odniesieniu do planowania budżetu, oszczędzania, inwestowania, chronienia finansów gospodarstw domowych przy pomocy odpowiedniego ubezpieczenia oraz unikania niepotrzebnego zadłużenia (OECD, 2022</w:t>
      </w:r>
      <w:r w:rsidR="00081836" w:rsidRPr="0085159D">
        <w:rPr>
          <w:vertAlign w:val="subscript"/>
          <w:lang w:val="pl-PL"/>
        </w:rPr>
        <w:t>[3]</w:t>
      </w:r>
      <w:r w:rsidR="00081836" w:rsidRPr="0085159D">
        <w:rPr>
          <w:lang w:val="pl-PL"/>
        </w:rPr>
        <w:t>) przyniosłyby pożytek osobom mieszkającym w Polsce.</w:t>
      </w:r>
      <w:r w:rsidR="00081836" w:rsidRPr="0085159D" w:rsidDel="00081836">
        <w:rPr>
          <w:lang w:val="pl-PL"/>
        </w:rPr>
        <w:t xml:space="preserve"> </w:t>
      </w:r>
      <w:r w:rsidR="00081836" w:rsidRPr="0085159D">
        <w:rPr>
          <w:lang w:val="pl-PL"/>
        </w:rPr>
        <w:t>O</w:t>
      </w:r>
      <w:r w:rsidRPr="0085159D">
        <w:rPr>
          <w:lang w:val="pl-PL"/>
        </w:rPr>
        <w:t xml:space="preserve">dnieśliby </w:t>
      </w:r>
      <w:r w:rsidR="00081836" w:rsidRPr="0085159D">
        <w:rPr>
          <w:lang w:val="pl-PL"/>
        </w:rPr>
        <w:t xml:space="preserve">oni </w:t>
      </w:r>
      <w:r w:rsidRPr="0085159D">
        <w:rPr>
          <w:lang w:val="pl-PL"/>
        </w:rPr>
        <w:t>korzyści z lepszego zrozumienia, jak funkcjonują systemy finansowe i socjalne, gdyby znali swoje prawa przy zakupie i</w:t>
      </w:r>
      <w:r w:rsidR="00137A2F">
        <w:rPr>
          <w:lang w:val="pl-PL"/>
        </w:rPr>
        <w:t> </w:t>
      </w:r>
      <w:r w:rsidRPr="0085159D">
        <w:rPr>
          <w:lang w:val="pl-PL"/>
        </w:rPr>
        <w:t>korzystaniu z produktów finansowych, a także byli świadomi potencjalnych zagrożeń związanych z</w:t>
      </w:r>
      <w:r w:rsidR="00137A2F">
        <w:rPr>
          <w:lang w:val="pl-PL"/>
        </w:rPr>
        <w:t> </w:t>
      </w:r>
      <w:r w:rsidRPr="0085159D">
        <w:rPr>
          <w:lang w:val="pl-PL"/>
        </w:rPr>
        <w:t>oszustwami finansowymi</w:t>
      </w:r>
      <w:r w:rsidR="00352AAA" w:rsidRPr="0085159D">
        <w:rPr>
          <w:lang w:val="pl-PL"/>
        </w:rPr>
        <w:t>.</w:t>
      </w:r>
      <w:r w:rsidRPr="0085159D">
        <w:rPr>
          <w:lang w:val="pl-PL"/>
        </w:rPr>
        <w:t xml:space="preserve"> W odniesieniu do inwestowania konsumenci powinni rozumieć, jaka jest real</w:t>
      </w:r>
      <w:r w:rsidR="009F116E">
        <w:rPr>
          <w:lang w:val="pl-PL"/>
        </w:rPr>
        <w:t>na</w:t>
      </w:r>
      <w:r w:rsidRPr="0085159D">
        <w:rPr>
          <w:lang w:val="pl-PL"/>
        </w:rPr>
        <w:t xml:space="preserve"> stopa zwrotu z danej inwestycji oraz jak rozpoznać instrumenty inwestycyjne, których celem jest dokonanie oszustwa. </w:t>
      </w:r>
      <w:r w:rsidR="00B7516A" w:rsidRPr="0085159D">
        <w:rPr>
          <w:lang w:val="pl-PL"/>
        </w:rPr>
        <w:t>P</w:t>
      </w:r>
      <w:r w:rsidRPr="0085159D">
        <w:rPr>
          <w:lang w:val="pl-PL"/>
        </w:rPr>
        <w:t>owinni rozumieć</w:t>
      </w:r>
      <w:r w:rsidR="00B7516A" w:rsidRPr="0085159D">
        <w:rPr>
          <w:lang w:val="pl-PL"/>
        </w:rPr>
        <w:t xml:space="preserve"> także</w:t>
      </w:r>
      <w:r w:rsidRPr="0085159D">
        <w:rPr>
          <w:lang w:val="pl-PL"/>
        </w:rPr>
        <w:t>, że wysokie oczekiwane stopy zwrotu są zwykle związane z wysokim ryzykiem oraz że stopy procentowe mogą z czasem ulegać zmianie. I wreszcie, biorąc pod uwagę postępującą cyfryzację systemu finansowego, konsumenci powinni być świadomi potencjalnych zagrożeń w zakresie cyberbezpieczeństwa i oszustw w Internecie, a także wiedzieć, jak bezpiecznie poruszać się w</w:t>
      </w:r>
      <w:r w:rsidR="00137A2F">
        <w:rPr>
          <w:lang w:val="pl-PL"/>
        </w:rPr>
        <w:t> </w:t>
      </w:r>
      <w:r w:rsidRPr="0085159D">
        <w:rPr>
          <w:lang w:val="pl-PL"/>
        </w:rPr>
        <w:t>sieci.</w:t>
      </w:r>
    </w:p>
    <w:p w14:paraId="2888FC65" w14:textId="77777777" w:rsidR="00282A62" w:rsidRPr="0085159D" w:rsidRDefault="008A21D5" w:rsidP="000B051F">
      <w:pPr>
        <w:pStyle w:val="Nagwek2"/>
        <w:rPr>
          <w:lang w:val="pl-PL"/>
        </w:rPr>
      </w:pPr>
      <w:bookmarkStart w:id="11" w:name="_Toc131520808"/>
      <w:r w:rsidRPr="0085159D">
        <w:rPr>
          <w:bCs/>
          <w:lang w:val="pl-PL"/>
        </w:rPr>
        <w:lastRenderedPageBreak/>
        <w:t xml:space="preserve">1.2. </w:t>
      </w:r>
      <w:r w:rsidR="000E0F10">
        <w:rPr>
          <w:bCs/>
          <w:lang w:val="pl-PL"/>
        </w:rPr>
        <w:t xml:space="preserve">Cel </w:t>
      </w:r>
      <w:r w:rsidRPr="0085159D">
        <w:rPr>
          <w:bCs/>
          <w:lang w:val="pl-PL"/>
        </w:rPr>
        <w:t xml:space="preserve">Krajowej Strategii Edukacji Finansowej (KSEF) </w:t>
      </w:r>
      <w:bookmarkEnd w:id="11"/>
    </w:p>
    <w:p w14:paraId="2A4775F3" w14:textId="77777777" w:rsidR="00282A62" w:rsidRPr="0085159D" w:rsidRDefault="00282A62" w:rsidP="000B051F">
      <w:pPr>
        <w:pStyle w:val="Para0"/>
        <w:rPr>
          <w:lang w:val="pl-PL"/>
        </w:rPr>
      </w:pPr>
      <w:r w:rsidRPr="0085159D">
        <w:rPr>
          <w:lang w:val="pl-PL"/>
        </w:rPr>
        <w:t xml:space="preserve">Potrzeba podnoszenia </w:t>
      </w:r>
      <w:r w:rsidR="00B7516A" w:rsidRPr="0085159D">
        <w:rPr>
          <w:lang w:val="pl-PL"/>
        </w:rPr>
        <w:t>poziomu kompetencji finansowych</w:t>
      </w:r>
      <w:r w:rsidRPr="0085159D">
        <w:rPr>
          <w:lang w:val="pl-PL"/>
        </w:rPr>
        <w:t xml:space="preserve"> wśród mieszkańców Polski nie jest nowa, o</w:t>
      </w:r>
      <w:r w:rsidR="001E5B9C">
        <w:rPr>
          <w:lang w:val="pl-PL"/>
        </w:rPr>
        <w:t> </w:t>
      </w:r>
      <w:r w:rsidRPr="0085159D">
        <w:rPr>
          <w:lang w:val="pl-PL"/>
        </w:rPr>
        <w:t xml:space="preserve">czym świadczy duża liczba organizacji zajmujących się edukacją finansową w kraju. Z analizy inicjatyw podejmowanych w tym obszarze wynika, że w lutym 2022 r. realizowanych było w Polsce ponad 100 programów edukacji finansowej, których organizatorami były </w:t>
      </w:r>
      <w:r w:rsidR="009F116E">
        <w:rPr>
          <w:lang w:val="pl-PL"/>
        </w:rPr>
        <w:t xml:space="preserve">podmioty </w:t>
      </w:r>
      <w:r w:rsidRPr="0085159D">
        <w:rPr>
          <w:lang w:val="pl-PL"/>
        </w:rPr>
        <w:t>publiczne</w:t>
      </w:r>
      <w:r w:rsidR="00D460AE" w:rsidRPr="0085159D">
        <w:rPr>
          <w:lang w:val="pl-PL"/>
        </w:rPr>
        <w:t>, prywatne</w:t>
      </w:r>
      <w:r w:rsidRPr="0085159D">
        <w:rPr>
          <w:lang w:val="pl-PL"/>
        </w:rPr>
        <w:t xml:space="preserve"> oraz </w:t>
      </w:r>
      <w:r w:rsidR="009F116E">
        <w:rPr>
          <w:lang w:val="pl-PL"/>
        </w:rPr>
        <w:t xml:space="preserve">organizacje pozarządowe </w:t>
      </w:r>
      <w:sdt>
        <w:sdtPr>
          <w:rPr>
            <w:lang w:val="pl-PL"/>
          </w:rPr>
          <w:id w:val="-1970889744"/>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00A62A40">
        <w:rPr>
          <w:rStyle w:val="Odwoanieprzypisudolnego"/>
          <w:lang w:val="pl-PL"/>
        </w:rPr>
        <w:footnoteReference w:id="4"/>
      </w:r>
      <w:r w:rsidR="00287F4D" w:rsidRPr="0085159D">
        <w:rPr>
          <w:lang w:val="pl-PL"/>
        </w:rPr>
        <w:t>.</w:t>
      </w:r>
      <w:r w:rsidRPr="0085159D">
        <w:rPr>
          <w:lang w:val="pl-PL"/>
        </w:rPr>
        <w:t xml:space="preserve"> Inicjatywy te nie były jednak skoordynowane, w niektórych przypadkach ich cele lub zasady działania pokrywały się albo nie uwzględniały w pełnym zakresie potrzeb określonych grup docelowych. Raport OECD zwrócił uwagę na następujące luki w ofercie edukacji finansowej w Polsce:</w:t>
      </w:r>
    </w:p>
    <w:p w14:paraId="1284BB27" w14:textId="77777777" w:rsidR="00282A62" w:rsidRPr="0085159D" w:rsidRDefault="00282A62" w:rsidP="000B051F">
      <w:pPr>
        <w:pStyle w:val="BulletedList"/>
        <w:rPr>
          <w:lang w:val="pl-PL"/>
        </w:rPr>
      </w:pPr>
      <w:r w:rsidRPr="0085159D">
        <w:rPr>
          <w:lang w:val="pl-PL"/>
        </w:rPr>
        <w:t xml:space="preserve">Edukacja finansowa prowadzona jest w szkołach podstawowych i </w:t>
      </w:r>
      <w:r w:rsidR="00072134" w:rsidRPr="0085159D">
        <w:rPr>
          <w:lang w:val="pl-PL"/>
        </w:rPr>
        <w:t>ponadpodstawowych</w:t>
      </w:r>
      <w:r w:rsidRPr="0085159D">
        <w:rPr>
          <w:lang w:val="pl-PL"/>
        </w:rPr>
        <w:t xml:space="preserve">. Z danych PISA wynika, że polscy 15-letni uczniowie </w:t>
      </w:r>
      <w:r w:rsidR="00B7516A" w:rsidRPr="0085159D">
        <w:rPr>
          <w:lang w:val="pl-PL"/>
        </w:rPr>
        <w:t xml:space="preserve">charakteryzują się </w:t>
      </w:r>
      <w:r w:rsidRPr="0085159D">
        <w:rPr>
          <w:lang w:val="pl-PL"/>
        </w:rPr>
        <w:t xml:space="preserve">stosunkowo </w:t>
      </w:r>
      <w:r w:rsidR="00B7516A" w:rsidRPr="0085159D">
        <w:rPr>
          <w:lang w:val="pl-PL"/>
        </w:rPr>
        <w:t>wysokim poziomem kompetencji finansowych</w:t>
      </w:r>
      <w:r w:rsidRPr="0085159D">
        <w:rPr>
          <w:lang w:val="pl-PL"/>
        </w:rPr>
        <w:t xml:space="preserve"> w porównaniu do swoich rówieśników z innych krajów, natomiast linia podziału przebiega wyraźnie według kryterium płci (chłopcy radzą sobie lepiej niż dziewczęta w tej dziedzinie) i statusu społeczno-ekonomicznego (uczniowie </w:t>
      </w:r>
      <w:r w:rsidR="00072134" w:rsidRPr="0085159D">
        <w:rPr>
          <w:lang w:val="pl-PL"/>
        </w:rPr>
        <w:t xml:space="preserve">znajdujący się </w:t>
      </w:r>
      <w:r w:rsidRPr="0085159D">
        <w:rPr>
          <w:lang w:val="pl-PL"/>
        </w:rPr>
        <w:t>w korzystnej sytuacji społeczno-ekonomicznej uzyskiwali znacznie lepsze wyniki od uczniów</w:t>
      </w:r>
      <w:r w:rsidR="00B7516A" w:rsidRPr="0085159D">
        <w:rPr>
          <w:lang w:val="pl-PL"/>
        </w:rPr>
        <w:t>, których sytuacja jest niekorzystna</w:t>
      </w:r>
      <w:r w:rsidRPr="0085159D">
        <w:rPr>
          <w:lang w:val="pl-PL"/>
        </w:rPr>
        <w:t xml:space="preserve">) </w:t>
      </w:r>
      <w:sdt>
        <w:sdtPr>
          <w:rPr>
            <w:lang w:val="pl-PL"/>
          </w:rPr>
          <w:id w:val="2053271293"/>
          <w:citation/>
        </w:sdtPr>
        <w:sdtEndPr/>
        <w:sdtContent>
          <w:r w:rsidRPr="0085159D">
            <w:rPr>
              <w:lang w:val="pl-PL"/>
            </w:rPr>
            <w:fldChar w:fldCharType="begin"/>
          </w:r>
          <w:r w:rsidRPr="0085159D">
            <w:rPr>
              <w:lang w:val="pl-PL"/>
            </w:rPr>
            <w:instrText xml:space="preserve"> CITATION Kappa_48ebd1ba \l 2057 </w:instrText>
          </w:r>
          <w:r w:rsidRPr="0085159D">
            <w:rPr>
              <w:lang w:val="pl-PL"/>
            </w:rPr>
            <w:fldChar w:fldCharType="separate"/>
          </w:r>
          <w:r w:rsidRPr="0085159D">
            <w:rPr>
              <w:noProof/>
              <w:lang w:val="pl-PL"/>
            </w:rPr>
            <w:t>(OECD, 2020</w:t>
          </w:r>
          <w:r w:rsidRPr="0085159D">
            <w:rPr>
              <w:noProof/>
              <w:vertAlign w:val="subscript"/>
              <w:lang w:val="pl-PL"/>
            </w:rPr>
            <w:t>[4]</w:t>
          </w:r>
          <w:r w:rsidRPr="0085159D">
            <w:rPr>
              <w:noProof/>
              <w:lang w:val="pl-PL"/>
            </w:rPr>
            <w:t>)</w:t>
          </w:r>
          <w:r w:rsidRPr="0085159D">
            <w:rPr>
              <w:lang w:val="pl-PL"/>
            </w:rPr>
            <w:fldChar w:fldCharType="end"/>
          </w:r>
        </w:sdtContent>
      </w:sdt>
      <w:r w:rsidRPr="0085159D">
        <w:rPr>
          <w:lang w:val="pl-PL"/>
        </w:rPr>
        <w:t>. Wynika z tego, że programy edukacji finansowej skierowane do ludzi młodych powinny w większym stopniu koncentrować się na wspieraniu uczniów znajdujących się w niekorzystnej sytuacji społeczno</w:t>
      </w:r>
      <w:r w:rsidR="00B7516A" w:rsidRPr="0085159D">
        <w:rPr>
          <w:lang w:val="pl-PL"/>
        </w:rPr>
        <w:t>-</w:t>
      </w:r>
      <w:r w:rsidRPr="0085159D">
        <w:rPr>
          <w:lang w:val="pl-PL"/>
        </w:rPr>
        <w:t xml:space="preserve">ekonomicznej. Mogłyby one również </w:t>
      </w:r>
      <w:r w:rsidR="00B7516A" w:rsidRPr="0085159D">
        <w:rPr>
          <w:lang w:val="pl-PL"/>
        </w:rPr>
        <w:t>zapewni</w:t>
      </w:r>
      <w:r w:rsidR="00532688" w:rsidRPr="0085159D">
        <w:rPr>
          <w:lang w:val="pl-PL"/>
        </w:rPr>
        <w:t>a</w:t>
      </w:r>
      <w:r w:rsidR="00B7516A" w:rsidRPr="0085159D">
        <w:rPr>
          <w:lang w:val="pl-PL"/>
        </w:rPr>
        <w:t xml:space="preserve">ć </w:t>
      </w:r>
      <w:r w:rsidRPr="0085159D">
        <w:rPr>
          <w:lang w:val="pl-PL"/>
        </w:rPr>
        <w:t>większe wsparci</w:t>
      </w:r>
      <w:r w:rsidR="00B7516A" w:rsidRPr="0085159D">
        <w:rPr>
          <w:lang w:val="pl-PL"/>
        </w:rPr>
        <w:t>e</w:t>
      </w:r>
      <w:r w:rsidRPr="0085159D">
        <w:rPr>
          <w:lang w:val="pl-PL"/>
        </w:rPr>
        <w:t xml:space="preserve"> nauczycielom i rodzicom/opiekunom, zważywszy na ich rolę w edukacji dzieci.</w:t>
      </w:r>
    </w:p>
    <w:p w14:paraId="090C92C6" w14:textId="77777777" w:rsidR="00282A62" w:rsidRPr="0085159D" w:rsidRDefault="00282A62" w:rsidP="000B051F">
      <w:pPr>
        <w:pStyle w:val="BulletedList"/>
        <w:rPr>
          <w:lang w:val="pl-PL"/>
        </w:rPr>
      </w:pPr>
      <w:r w:rsidRPr="0085159D">
        <w:rPr>
          <w:lang w:val="pl-PL"/>
        </w:rPr>
        <w:t>Więcej programów edukacji finansowej mogłoby się skupiać na zagadnieniach, które wymagają traktowania priorytetowego, takich jak budżetowani</w:t>
      </w:r>
      <w:r w:rsidR="00783CD7">
        <w:rPr>
          <w:lang w:val="pl-PL"/>
        </w:rPr>
        <w:t>e</w:t>
      </w:r>
      <w:r w:rsidRPr="0085159D">
        <w:rPr>
          <w:lang w:val="pl-PL"/>
        </w:rPr>
        <w:t>, oszczędzani</w:t>
      </w:r>
      <w:r w:rsidR="00783CD7">
        <w:rPr>
          <w:lang w:val="pl-PL"/>
        </w:rPr>
        <w:t>e</w:t>
      </w:r>
      <w:r w:rsidRPr="0085159D">
        <w:rPr>
          <w:lang w:val="pl-PL"/>
        </w:rPr>
        <w:t xml:space="preserve"> i inwestowani</w:t>
      </w:r>
      <w:r w:rsidR="00783CD7">
        <w:rPr>
          <w:lang w:val="pl-PL"/>
        </w:rPr>
        <w:t>e</w:t>
      </w:r>
      <w:r w:rsidRPr="0085159D">
        <w:rPr>
          <w:lang w:val="pl-PL"/>
        </w:rPr>
        <w:t xml:space="preserve">, </w:t>
      </w:r>
      <w:r w:rsidR="00F36642" w:rsidRPr="0085159D">
        <w:rPr>
          <w:lang w:val="pl-PL"/>
        </w:rPr>
        <w:t>cyfryzacj</w:t>
      </w:r>
      <w:r w:rsidR="00783CD7">
        <w:rPr>
          <w:lang w:val="pl-PL"/>
        </w:rPr>
        <w:t>a</w:t>
      </w:r>
      <w:r w:rsidR="00F36642" w:rsidRPr="0085159D">
        <w:rPr>
          <w:lang w:val="pl-PL"/>
        </w:rPr>
        <w:t xml:space="preserve"> </w:t>
      </w:r>
      <w:r w:rsidRPr="0085159D">
        <w:rPr>
          <w:lang w:val="pl-PL"/>
        </w:rPr>
        <w:t>(w</w:t>
      </w:r>
      <w:r w:rsidR="00137A2F">
        <w:rPr>
          <w:lang w:val="pl-PL"/>
        </w:rPr>
        <w:t> </w:t>
      </w:r>
      <w:r w:rsidRPr="0085159D">
        <w:rPr>
          <w:lang w:val="pl-PL"/>
        </w:rPr>
        <w:t>tym znajomoś</w:t>
      </w:r>
      <w:r w:rsidR="00783CD7">
        <w:rPr>
          <w:lang w:val="pl-PL"/>
        </w:rPr>
        <w:t>ć</w:t>
      </w:r>
      <w:r w:rsidRPr="0085159D">
        <w:rPr>
          <w:lang w:val="pl-PL"/>
        </w:rPr>
        <w:t xml:space="preserve"> zagrożeń związanych z </w:t>
      </w:r>
      <w:proofErr w:type="spellStart"/>
      <w:r w:rsidRPr="0085159D">
        <w:rPr>
          <w:lang w:val="pl-PL"/>
        </w:rPr>
        <w:t>cyberbezpieczeństwem</w:t>
      </w:r>
      <w:proofErr w:type="spellEnd"/>
      <w:r w:rsidRPr="0085159D">
        <w:rPr>
          <w:lang w:val="pl-PL"/>
        </w:rPr>
        <w:t xml:space="preserve"> i oszustwami w</w:t>
      </w:r>
      <w:r w:rsidR="001E5B9C">
        <w:rPr>
          <w:lang w:val="pl-PL"/>
        </w:rPr>
        <w:t> </w:t>
      </w:r>
      <w:r w:rsidRPr="0085159D">
        <w:rPr>
          <w:lang w:val="pl-PL"/>
        </w:rPr>
        <w:t>Internecie), odpowiedzialne zaciągani</w:t>
      </w:r>
      <w:r w:rsidR="00783CD7">
        <w:rPr>
          <w:lang w:val="pl-PL"/>
        </w:rPr>
        <w:t>e</w:t>
      </w:r>
      <w:r w:rsidRPr="0085159D">
        <w:rPr>
          <w:lang w:val="pl-PL"/>
        </w:rPr>
        <w:t xml:space="preserve"> kredytów i pożyczek oraz </w:t>
      </w:r>
      <w:r w:rsidR="00783CD7" w:rsidRPr="0085159D">
        <w:rPr>
          <w:lang w:val="pl-PL"/>
        </w:rPr>
        <w:t xml:space="preserve">kwestie </w:t>
      </w:r>
      <w:r w:rsidRPr="0085159D">
        <w:rPr>
          <w:lang w:val="pl-PL"/>
        </w:rPr>
        <w:t>ubezpieczeń.</w:t>
      </w:r>
    </w:p>
    <w:p w14:paraId="426773F8" w14:textId="77777777" w:rsidR="00282A62" w:rsidRPr="0085159D" w:rsidRDefault="00282A62" w:rsidP="000B051F">
      <w:pPr>
        <w:pStyle w:val="BulletedList"/>
        <w:rPr>
          <w:lang w:val="pl-PL"/>
        </w:rPr>
      </w:pPr>
      <w:r w:rsidRPr="0085159D">
        <w:rPr>
          <w:lang w:val="pl-PL"/>
        </w:rPr>
        <w:t xml:space="preserve">Istnieje potrzeba </w:t>
      </w:r>
      <w:r w:rsidR="00F36642" w:rsidRPr="0085159D">
        <w:rPr>
          <w:lang w:val="pl-PL"/>
        </w:rPr>
        <w:t xml:space="preserve">zwiększenia </w:t>
      </w:r>
      <w:r w:rsidRPr="0085159D">
        <w:rPr>
          <w:lang w:val="pl-PL"/>
        </w:rPr>
        <w:t>wysiłków nastawionych na opracowanie inicjatyw wspierających osiągnięcie trwałej zmiany nawyków, obok inicjatyw jedynie dostarczających informacje lub podnoszących świadomość konkretnych kwestii. Programy edukacji finansowej dla dorosłych o</w:t>
      </w:r>
      <w:r w:rsidR="001E5B9C">
        <w:rPr>
          <w:lang w:val="pl-PL"/>
        </w:rPr>
        <w:t> </w:t>
      </w:r>
      <w:r w:rsidRPr="0085159D">
        <w:rPr>
          <w:lang w:val="pl-PL"/>
        </w:rPr>
        <w:t xml:space="preserve">bardziej długofalowej perspektywie, takie jak inicjatywy podejmowane w miejscu pracy lub uzupełniające programy rozwoju kariery/zatrudnienia, </w:t>
      </w:r>
      <w:r w:rsidR="00B7516A" w:rsidRPr="0085159D">
        <w:rPr>
          <w:lang w:val="pl-PL"/>
        </w:rPr>
        <w:t xml:space="preserve">mają </w:t>
      </w:r>
      <w:r w:rsidRPr="0085159D">
        <w:rPr>
          <w:lang w:val="pl-PL"/>
        </w:rPr>
        <w:t xml:space="preserve">obecnie </w:t>
      </w:r>
      <w:r w:rsidR="00783CD7">
        <w:rPr>
          <w:lang w:val="pl-PL"/>
        </w:rPr>
        <w:t xml:space="preserve">w Polsce </w:t>
      </w:r>
      <w:r w:rsidRPr="0085159D">
        <w:rPr>
          <w:lang w:val="pl-PL"/>
        </w:rPr>
        <w:t xml:space="preserve">bardzo </w:t>
      </w:r>
      <w:r w:rsidR="00B7516A" w:rsidRPr="0085159D">
        <w:rPr>
          <w:lang w:val="pl-PL"/>
        </w:rPr>
        <w:t xml:space="preserve">ograniczony zakres </w:t>
      </w:r>
      <w:r w:rsidRPr="0085159D">
        <w:rPr>
          <w:lang w:val="pl-PL"/>
        </w:rPr>
        <w:t>lub w ogóle nie występują.</w:t>
      </w:r>
    </w:p>
    <w:p w14:paraId="15D8DA39" w14:textId="77777777" w:rsidR="00282A62" w:rsidRPr="0085159D" w:rsidRDefault="00282A62" w:rsidP="000B051F">
      <w:pPr>
        <w:pStyle w:val="BulletedList"/>
        <w:rPr>
          <w:lang w:val="pl-PL"/>
        </w:rPr>
      </w:pPr>
      <w:r w:rsidRPr="0085159D">
        <w:rPr>
          <w:lang w:val="pl-PL"/>
        </w:rPr>
        <w:t>Istnieje potrzeba skierowania większej liczby inicjatyw w zakresie edukacji finansowej do grup społeczno-demograficznych charakteryzujących się ograniczoną odpornością finansową lub ograniczon</w:t>
      </w:r>
      <w:r w:rsidR="00287F4D" w:rsidRPr="0085159D">
        <w:rPr>
          <w:lang w:val="pl-PL"/>
        </w:rPr>
        <w:t xml:space="preserve">ymi kompetencjami </w:t>
      </w:r>
      <w:r w:rsidRPr="0085159D">
        <w:rPr>
          <w:lang w:val="pl-PL"/>
        </w:rPr>
        <w:t>finansowymi, na co wskazują zebrane dotychczas dowody.</w:t>
      </w:r>
    </w:p>
    <w:p w14:paraId="3B386A1D" w14:textId="77777777" w:rsidR="00282A62" w:rsidRPr="0085159D" w:rsidRDefault="00282A62" w:rsidP="000B051F">
      <w:pPr>
        <w:pStyle w:val="BulletedList"/>
        <w:rPr>
          <w:lang w:val="pl-PL"/>
        </w:rPr>
      </w:pPr>
      <w:r w:rsidRPr="0085159D">
        <w:rPr>
          <w:lang w:val="pl-PL"/>
        </w:rPr>
        <w:t xml:space="preserve">Istnieje potrzeba </w:t>
      </w:r>
      <w:r w:rsidR="00B7516A" w:rsidRPr="0085159D">
        <w:rPr>
          <w:lang w:val="pl-PL"/>
        </w:rPr>
        <w:t xml:space="preserve">podjęcia </w:t>
      </w:r>
      <w:r w:rsidRPr="0085159D">
        <w:rPr>
          <w:lang w:val="pl-PL"/>
        </w:rPr>
        <w:t xml:space="preserve">większych starań w zakresie dostosowania </w:t>
      </w:r>
      <w:r w:rsidR="00F36642" w:rsidRPr="0085159D">
        <w:rPr>
          <w:lang w:val="pl-PL"/>
        </w:rPr>
        <w:t xml:space="preserve">sposobów </w:t>
      </w:r>
      <w:r w:rsidRPr="0085159D">
        <w:rPr>
          <w:lang w:val="pl-PL"/>
        </w:rPr>
        <w:t>dostarczania treści programów edukacji finansowej do potrzeb konsumentów.</w:t>
      </w:r>
    </w:p>
    <w:p w14:paraId="7E4BB738" w14:textId="77777777" w:rsidR="00282A62" w:rsidRPr="0085159D" w:rsidRDefault="00783CD7" w:rsidP="000B051F">
      <w:pPr>
        <w:pStyle w:val="BulletedList"/>
        <w:rPr>
          <w:lang w:val="pl-PL"/>
        </w:rPr>
      </w:pPr>
      <w:r>
        <w:rPr>
          <w:lang w:val="pl-PL"/>
        </w:rPr>
        <w:t>Z</w:t>
      </w:r>
      <w:r w:rsidR="00282A62" w:rsidRPr="0085159D">
        <w:rPr>
          <w:lang w:val="pl-PL"/>
        </w:rPr>
        <w:t xml:space="preserve">byt mała waga przykładana jest do </w:t>
      </w:r>
      <w:r w:rsidR="00F36642" w:rsidRPr="0085159D">
        <w:rPr>
          <w:lang w:val="pl-PL"/>
        </w:rPr>
        <w:t xml:space="preserve">ewaluacji </w:t>
      </w:r>
      <w:r w:rsidR="00282A62" w:rsidRPr="0085159D">
        <w:rPr>
          <w:lang w:val="pl-PL"/>
        </w:rPr>
        <w:t xml:space="preserve">programów edukacji finansowej. Podejście to należy skorygować, by </w:t>
      </w:r>
      <w:r w:rsidR="00B7516A" w:rsidRPr="0085159D">
        <w:rPr>
          <w:lang w:val="pl-PL"/>
        </w:rPr>
        <w:t xml:space="preserve">móc </w:t>
      </w:r>
      <w:r w:rsidR="00282A62" w:rsidRPr="0085159D">
        <w:rPr>
          <w:lang w:val="pl-PL"/>
        </w:rPr>
        <w:t xml:space="preserve">lepiej </w:t>
      </w:r>
      <w:r w:rsidR="00B7516A" w:rsidRPr="0085159D">
        <w:rPr>
          <w:lang w:val="pl-PL"/>
        </w:rPr>
        <w:t>ocenić</w:t>
      </w:r>
      <w:r w:rsidR="00282A62" w:rsidRPr="0085159D">
        <w:rPr>
          <w:lang w:val="pl-PL"/>
        </w:rPr>
        <w:t>, które inicjatywy okazały się na tyle skuteczne, że warto kierować zasoby na realizację podobnych programów w przyszłości.</w:t>
      </w:r>
    </w:p>
    <w:p w14:paraId="39C0D3A2" w14:textId="77777777" w:rsidR="00282A62" w:rsidRPr="0085159D" w:rsidRDefault="00F36642" w:rsidP="000B051F">
      <w:pPr>
        <w:pStyle w:val="Para0"/>
        <w:rPr>
          <w:lang w:val="pl-PL"/>
        </w:rPr>
      </w:pPr>
      <w:r w:rsidRPr="0085159D">
        <w:rPr>
          <w:lang w:val="pl-PL"/>
        </w:rPr>
        <w:t xml:space="preserve">W </w:t>
      </w:r>
      <w:r w:rsidR="00783CD7">
        <w:rPr>
          <w:lang w:val="pl-PL"/>
        </w:rPr>
        <w:t>R</w:t>
      </w:r>
      <w:r w:rsidR="00282A62" w:rsidRPr="0085159D">
        <w:rPr>
          <w:lang w:val="pl-PL"/>
        </w:rPr>
        <w:t>apor</w:t>
      </w:r>
      <w:r w:rsidRPr="0085159D">
        <w:rPr>
          <w:lang w:val="pl-PL"/>
        </w:rPr>
        <w:t>cie</w:t>
      </w:r>
      <w:r w:rsidR="00282A62" w:rsidRPr="0085159D">
        <w:rPr>
          <w:lang w:val="pl-PL"/>
        </w:rPr>
        <w:t xml:space="preserve"> </w:t>
      </w:r>
      <w:sdt>
        <w:sdtPr>
          <w:rPr>
            <w:lang w:val="pl-PL"/>
          </w:rPr>
          <w:id w:val="-685432361"/>
          <w:citation/>
        </w:sdtPr>
        <w:sdtEndPr/>
        <w:sdtContent>
          <w:r w:rsidR="00282A62" w:rsidRPr="0085159D">
            <w:rPr>
              <w:lang w:val="pl-PL"/>
            </w:rPr>
            <w:fldChar w:fldCharType="begin"/>
          </w:r>
          <w:r w:rsidR="00282A62" w:rsidRPr="0085159D">
            <w:rPr>
              <w:lang w:val="pl-PL"/>
            </w:rPr>
            <w:instrText xml:space="preserve">CITATION Mendeley_HL1LB5KKEzudIUMChZuI__A \y  \l 2057 </w:instrText>
          </w:r>
          <w:r w:rsidR="00282A62" w:rsidRPr="0085159D">
            <w:rPr>
              <w:lang w:val="pl-PL"/>
            </w:rPr>
            <w:fldChar w:fldCharType="separate"/>
          </w:r>
          <w:r w:rsidR="00282A62" w:rsidRPr="0085159D">
            <w:rPr>
              <w:noProof/>
              <w:lang w:val="pl-PL"/>
            </w:rPr>
            <w:t>(OECD</w:t>
          </w:r>
          <w:r w:rsidR="00282A62" w:rsidRPr="0085159D">
            <w:rPr>
              <w:noProof/>
              <w:vertAlign w:val="subscript"/>
              <w:lang w:val="pl-PL"/>
            </w:rPr>
            <w:t>[3]</w:t>
          </w:r>
          <w:r w:rsidR="00282A62" w:rsidRPr="0085159D">
            <w:rPr>
              <w:noProof/>
              <w:lang w:val="pl-PL"/>
            </w:rPr>
            <w:t>)</w:t>
          </w:r>
          <w:r w:rsidR="00282A62" w:rsidRPr="0085159D">
            <w:rPr>
              <w:lang w:val="pl-PL"/>
            </w:rPr>
            <w:fldChar w:fldCharType="end"/>
          </w:r>
        </w:sdtContent>
      </w:sdt>
      <w:r w:rsidR="00282A62" w:rsidRPr="0085159D">
        <w:rPr>
          <w:lang w:val="pl-PL"/>
        </w:rPr>
        <w:t xml:space="preserve"> wiąże </w:t>
      </w:r>
      <w:r w:rsidRPr="0085159D">
        <w:rPr>
          <w:lang w:val="pl-PL"/>
        </w:rPr>
        <w:t xml:space="preserve">się </w:t>
      </w:r>
      <w:r w:rsidR="00282A62" w:rsidRPr="0085159D">
        <w:rPr>
          <w:lang w:val="pl-PL"/>
        </w:rPr>
        <w:t xml:space="preserve">te niedobory w edukacji finansowej z brakiem mechanizmu koordynacji pomiędzy interesariuszami sektora publicznego, prywatnego i organizacji </w:t>
      </w:r>
      <w:r w:rsidR="00783CD7">
        <w:rPr>
          <w:lang w:val="pl-PL"/>
        </w:rPr>
        <w:t>pozarządowych</w:t>
      </w:r>
      <w:r w:rsidR="00282A62" w:rsidRPr="0085159D">
        <w:rPr>
          <w:lang w:val="pl-PL"/>
        </w:rPr>
        <w:t xml:space="preserve">. Ponadto podkreśla </w:t>
      </w:r>
      <w:r w:rsidRPr="0085159D">
        <w:rPr>
          <w:lang w:val="pl-PL"/>
        </w:rPr>
        <w:t xml:space="preserve">się </w:t>
      </w:r>
      <w:r w:rsidR="00282A62" w:rsidRPr="0085159D">
        <w:rPr>
          <w:lang w:val="pl-PL"/>
        </w:rPr>
        <w:t>brak jednolitego pojmowania zakresu edukacji finansowej na poziomie krajowym i</w:t>
      </w:r>
      <w:r w:rsidR="00137A2F">
        <w:rPr>
          <w:lang w:val="pl-PL"/>
        </w:rPr>
        <w:t> </w:t>
      </w:r>
      <w:r w:rsidR="00282A62" w:rsidRPr="0085159D">
        <w:rPr>
          <w:lang w:val="pl-PL"/>
        </w:rPr>
        <w:t>rozumienia, jakie kluczowe kompetencje powinny być rozwijane</w:t>
      </w:r>
      <w:r w:rsidRPr="0085159D">
        <w:rPr>
          <w:lang w:val="pl-PL"/>
        </w:rPr>
        <w:t xml:space="preserve"> priorytetowo</w:t>
      </w:r>
      <w:r w:rsidR="00282A62" w:rsidRPr="0085159D">
        <w:rPr>
          <w:lang w:val="pl-PL"/>
        </w:rPr>
        <w:t>. W</w:t>
      </w:r>
      <w:r w:rsidR="001E5B9C">
        <w:rPr>
          <w:lang w:val="pl-PL"/>
        </w:rPr>
        <w:t> </w:t>
      </w:r>
      <w:r w:rsidR="00282A62" w:rsidRPr="0085159D">
        <w:rPr>
          <w:lang w:val="pl-PL"/>
        </w:rPr>
        <w:t xml:space="preserve">związku z tym wśród </w:t>
      </w:r>
      <w:r w:rsidR="00282A62" w:rsidRPr="0085159D">
        <w:rPr>
          <w:lang w:val="pl-PL"/>
        </w:rPr>
        <w:lastRenderedPageBreak/>
        <w:t>sugestii i zaleceń dotyczących polityki</w:t>
      </w:r>
      <w:r w:rsidR="000F54F6">
        <w:rPr>
          <w:lang w:val="pl-PL"/>
        </w:rPr>
        <w:t>,</w:t>
      </w:r>
      <w:r w:rsidR="00282A62" w:rsidRPr="0085159D">
        <w:rPr>
          <w:lang w:val="pl-PL"/>
        </w:rPr>
        <w:t xml:space="preserve"> zawartych w </w:t>
      </w:r>
      <w:r w:rsidR="00783CD7">
        <w:rPr>
          <w:lang w:val="pl-PL"/>
        </w:rPr>
        <w:t>R</w:t>
      </w:r>
      <w:r w:rsidR="00282A62" w:rsidRPr="0085159D">
        <w:rPr>
          <w:lang w:val="pl-PL"/>
        </w:rPr>
        <w:t>aporcie</w:t>
      </w:r>
      <w:r w:rsidR="000F54F6">
        <w:rPr>
          <w:lang w:val="pl-PL"/>
        </w:rPr>
        <w:t>,</w:t>
      </w:r>
      <w:r w:rsidR="00282A62" w:rsidRPr="0085159D">
        <w:rPr>
          <w:lang w:val="pl-PL"/>
        </w:rPr>
        <w:t xml:space="preserve"> znalazł się postulat opracowania i przyjęcia Krajowej Strategii Edukacji Finansowej.</w:t>
      </w:r>
    </w:p>
    <w:p w14:paraId="3583C418" w14:textId="77777777" w:rsidR="00282A62" w:rsidRPr="0085159D" w:rsidRDefault="00282A62" w:rsidP="000B051F">
      <w:pPr>
        <w:pStyle w:val="Para0"/>
        <w:rPr>
          <w:lang w:val="pl-PL"/>
        </w:rPr>
      </w:pPr>
      <w:r w:rsidRPr="0085159D">
        <w:rPr>
          <w:lang w:val="pl-PL"/>
        </w:rPr>
        <w:t xml:space="preserve">Wskazanie to jest zgodne z </w:t>
      </w:r>
      <w:r w:rsidR="00E93B69" w:rsidRPr="0085159D">
        <w:rPr>
          <w:lang w:val="pl-PL"/>
        </w:rPr>
        <w:t xml:space="preserve">rekomendacją </w:t>
      </w:r>
      <w:r w:rsidRPr="0085159D">
        <w:rPr>
          <w:lang w:val="pl-PL"/>
        </w:rPr>
        <w:t xml:space="preserve">OECD </w:t>
      </w:r>
      <w:r w:rsidR="00E93B69" w:rsidRPr="0085159D">
        <w:rPr>
          <w:lang w:val="pl-PL"/>
        </w:rPr>
        <w:t xml:space="preserve">dot. </w:t>
      </w:r>
      <w:r w:rsidRPr="0085159D">
        <w:rPr>
          <w:lang w:val="pl-PL"/>
        </w:rPr>
        <w:t xml:space="preserve">kompetencji finansowych </w:t>
      </w:r>
      <w:sdt>
        <w:sdtPr>
          <w:rPr>
            <w:lang w:val="pl-PL"/>
          </w:rPr>
          <w:id w:val="183875012"/>
          <w:citation/>
        </w:sdtPr>
        <w:sdtEndPr/>
        <w:sdtContent>
          <w:r w:rsidRPr="0085159D">
            <w:rPr>
              <w:lang w:val="pl-PL"/>
            </w:rPr>
            <w:fldChar w:fldCharType="begin"/>
          </w:r>
          <w:r w:rsidRPr="0085159D">
            <w:rPr>
              <w:lang w:val="pl-PL"/>
            </w:rPr>
            <w:instrText xml:space="preserve">CITATION Mendeley_KgnJVBjRizqD0KFK1qRMww \l 2057 </w:instrText>
          </w:r>
          <w:r w:rsidRPr="0085159D">
            <w:rPr>
              <w:lang w:val="pl-PL"/>
            </w:rPr>
            <w:fldChar w:fldCharType="separate"/>
          </w:r>
          <w:r w:rsidRPr="0085159D">
            <w:rPr>
              <w:noProof/>
              <w:lang w:val="pl-PL"/>
            </w:rPr>
            <w:t>(OECD, 2020</w:t>
          </w:r>
          <w:r w:rsidRPr="0085159D">
            <w:rPr>
              <w:noProof/>
              <w:vertAlign w:val="subscript"/>
              <w:lang w:val="pl-PL"/>
            </w:rPr>
            <w:t>[9]</w:t>
          </w:r>
          <w:r w:rsidRPr="0085159D">
            <w:rPr>
              <w:noProof/>
              <w:lang w:val="pl-PL"/>
            </w:rPr>
            <w:t>)</w:t>
          </w:r>
          <w:r w:rsidRPr="0085159D">
            <w:rPr>
              <w:lang w:val="pl-PL"/>
            </w:rPr>
            <w:fldChar w:fldCharType="end"/>
          </w:r>
        </w:sdtContent>
      </w:sdt>
      <w:r w:rsidR="00A62A40">
        <w:rPr>
          <w:rStyle w:val="Odwoanieprzypisudolnego"/>
          <w:lang w:val="pl-PL"/>
        </w:rPr>
        <w:footnoteReference w:id="5"/>
      </w:r>
      <w:r w:rsidR="00EF12E6">
        <w:rPr>
          <w:lang w:val="pl-PL"/>
        </w:rPr>
        <w:t>, która</w:t>
      </w:r>
      <w:r w:rsidR="00E93B69" w:rsidRPr="0085159D">
        <w:rPr>
          <w:lang w:val="pl-PL"/>
        </w:rPr>
        <w:t xml:space="preserve"> </w:t>
      </w:r>
      <w:r w:rsidRPr="0085159D">
        <w:rPr>
          <w:lang w:val="pl-PL"/>
        </w:rPr>
        <w:t xml:space="preserve">m.in. zachęca państwa należące do OECD do ustanowienia i </w:t>
      </w:r>
      <w:r w:rsidR="00816AAA" w:rsidRPr="0085159D">
        <w:rPr>
          <w:lang w:val="pl-PL"/>
        </w:rPr>
        <w:t xml:space="preserve">realizacji </w:t>
      </w:r>
      <w:r w:rsidRPr="0085159D">
        <w:rPr>
          <w:lang w:val="pl-PL"/>
        </w:rPr>
        <w:t>ogólnokrajowych strategii na rzecz edukacji finansowej, charakteryzują</w:t>
      </w:r>
      <w:r w:rsidR="00EF12E6">
        <w:rPr>
          <w:lang w:val="pl-PL"/>
        </w:rPr>
        <w:t>ce</w:t>
      </w:r>
      <w:r w:rsidRPr="0085159D">
        <w:rPr>
          <w:lang w:val="pl-PL"/>
        </w:rPr>
        <w:t xml:space="preserve"> się trwałym skoordynowanym podejściem do zagadnień kompetencji finansowych.</w:t>
      </w:r>
    </w:p>
    <w:p w14:paraId="1B06A92F" w14:textId="77777777" w:rsidR="00282A62" w:rsidRPr="0085159D" w:rsidRDefault="00282A62" w:rsidP="000B051F">
      <w:pPr>
        <w:pStyle w:val="Para0"/>
        <w:rPr>
          <w:lang w:val="pl-PL"/>
        </w:rPr>
      </w:pPr>
      <w:r w:rsidRPr="0085159D">
        <w:rPr>
          <w:lang w:val="pl-PL"/>
        </w:rPr>
        <w:t xml:space="preserve">Potrzeba opracowania Krajowej Strategii Edukacji </w:t>
      </w:r>
      <w:r w:rsidR="00B636D8" w:rsidRPr="0085159D">
        <w:rPr>
          <w:lang w:val="pl-PL"/>
        </w:rPr>
        <w:t>Finansowej dla Polski</w:t>
      </w:r>
      <w:r w:rsidRPr="0085159D">
        <w:rPr>
          <w:lang w:val="pl-PL"/>
        </w:rPr>
        <w:t xml:space="preserve"> spotkała się z aprobatą polskich władz. </w:t>
      </w:r>
      <w:r w:rsidR="000F54F6">
        <w:rPr>
          <w:lang w:val="pl-PL"/>
        </w:rPr>
        <w:t xml:space="preserve">Ponadto </w:t>
      </w:r>
      <w:r w:rsidR="000F54F6" w:rsidRPr="0085159D">
        <w:rPr>
          <w:lang w:val="pl-PL"/>
        </w:rPr>
        <w:t xml:space="preserve">przyjęcie długoterminowej ogólnokrajowej strategii na rzecz edukacji finansowej zakłada </w:t>
      </w:r>
      <w:r w:rsidRPr="0085159D">
        <w:rPr>
          <w:lang w:val="pl-PL"/>
        </w:rPr>
        <w:t xml:space="preserve">Strategia Rozwoju Rynku Kapitałowego . W tym celu powołana została </w:t>
      </w:r>
      <w:r w:rsidR="00816AAA" w:rsidRPr="0085159D">
        <w:rPr>
          <w:lang w:val="pl-PL"/>
        </w:rPr>
        <w:t>k</w:t>
      </w:r>
      <w:r w:rsidRPr="0085159D">
        <w:rPr>
          <w:lang w:val="pl-PL"/>
        </w:rPr>
        <w:t xml:space="preserve">rajowa </w:t>
      </w:r>
      <w:r w:rsidR="00816AAA" w:rsidRPr="0085159D">
        <w:rPr>
          <w:lang w:val="pl-PL"/>
        </w:rPr>
        <w:t>g</w:t>
      </w:r>
      <w:r w:rsidRPr="0085159D">
        <w:rPr>
          <w:lang w:val="pl-PL"/>
        </w:rPr>
        <w:t xml:space="preserve">rupa </w:t>
      </w:r>
      <w:r w:rsidR="00816AAA" w:rsidRPr="0085159D">
        <w:rPr>
          <w:lang w:val="pl-PL"/>
        </w:rPr>
        <w:t>r</w:t>
      </w:r>
      <w:r w:rsidRPr="0085159D">
        <w:rPr>
          <w:lang w:val="pl-PL"/>
        </w:rPr>
        <w:t xml:space="preserve">obocza ds. </w:t>
      </w:r>
      <w:r w:rsidR="00816AAA" w:rsidRPr="0085159D">
        <w:rPr>
          <w:lang w:val="pl-PL"/>
        </w:rPr>
        <w:t>s</w:t>
      </w:r>
      <w:r w:rsidRPr="0085159D">
        <w:rPr>
          <w:lang w:val="pl-PL"/>
        </w:rPr>
        <w:t xml:space="preserve">trategii </w:t>
      </w:r>
      <w:r w:rsidR="00816AAA" w:rsidRPr="0085159D">
        <w:rPr>
          <w:lang w:val="pl-PL"/>
        </w:rPr>
        <w:t>e</w:t>
      </w:r>
      <w:r w:rsidRPr="0085159D">
        <w:rPr>
          <w:lang w:val="pl-PL"/>
        </w:rPr>
        <w:t xml:space="preserve">dukacji </w:t>
      </w:r>
      <w:r w:rsidR="00816AAA" w:rsidRPr="0085159D">
        <w:rPr>
          <w:lang w:val="pl-PL"/>
        </w:rPr>
        <w:t>f</w:t>
      </w:r>
      <w:r w:rsidRPr="0085159D">
        <w:rPr>
          <w:lang w:val="pl-PL"/>
        </w:rPr>
        <w:t>inansowej, złożona z przedstawicieli Ministerstwa Finansów, Ministerstwa Edukacji i Nauki, Narodowego Banku Polskiego, Komisji Nadzoru Finansowego, Urzędu Ochrony Konkurencji i</w:t>
      </w:r>
      <w:r w:rsidR="00DC330D">
        <w:rPr>
          <w:lang w:val="pl-PL"/>
        </w:rPr>
        <w:t> </w:t>
      </w:r>
      <w:r w:rsidRPr="0085159D">
        <w:rPr>
          <w:lang w:val="pl-PL"/>
        </w:rPr>
        <w:t xml:space="preserve">Konsumentów, Bankowego Funduszu Gwarancyjnego, Giełdy Papierów Wartościowych w Warszawie, Krajowego Depozytu Papierów Wartościowych i Rzecznika Finansowego. Krajowa </w:t>
      </w:r>
      <w:r w:rsidR="00816AAA" w:rsidRPr="0085159D">
        <w:rPr>
          <w:lang w:val="pl-PL"/>
        </w:rPr>
        <w:t>g</w:t>
      </w:r>
      <w:r w:rsidRPr="0085159D">
        <w:rPr>
          <w:lang w:val="pl-PL"/>
        </w:rPr>
        <w:t xml:space="preserve">rupa </w:t>
      </w:r>
      <w:r w:rsidR="00816AAA" w:rsidRPr="0085159D">
        <w:rPr>
          <w:lang w:val="pl-PL"/>
        </w:rPr>
        <w:t>r</w:t>
      </w:r>
      <w:r w:rsidRPr="0085159D">
        <w:rPr>
          <w:lang w:val="pl-PL"/>
        </w:rPr>
        <w:t xml:space="preserve">obocza ds. </w:t>
      </w:r>
      <w:r w:rsidR="00816AAA" w:rsidRPr="0085159D">
        <w:rPr>
          <w:lang w:val="pl-PL"/>
        </w:rPr>
        <w:t>s</w:t>
      </w:r>
      <w:r w:rsidRPr="0085159D">
        <w:rPr>
          <w:lang w:val="pl-PL"/>
        </w:rPr>
        <w:t xml:space="preserve">trategii </w:t>
      </w:r>
      <w:r w:rsidR="00816AAA" w:rsidRPr="0085159D">
        <w:rPr>
          <w:lang w:val="pl-PL"/>
        </w:rPr>
        <w:t>e</w:t>
      </w:r>
      <w:r w:rsidRPr="0085159D">
        <w:rPr>
          <w:lang w:val="pl-PL"/>
        </w:rPr>
        <w:t xml:space="preserve">dukacji </w:t>
      </w:r>
      <w:r w:rsidR="00816AAA" w:rsidRPr="0085159D">
        <w:rPr>
          <w:lang w:val="pl-PL"/>
        </w:rPr>
        <w:t>f</w:t>
      </w:r>
      <w:r w:rsidRPr="0085159D">
        <w:rPr>
          <w:lang w:val="pl-PL"/>
        </w:rPr>
        <w:t xml:space="preserve">inansowej kierowała opracowaniem </w:t>
      </w:r>
      <w:r w:rsidR="00137A2F">
        <w:rPr>
          <w:lang w:val="pl-PL"/>
        </w:rPr>
        <w:t xml:space="preserve">propozycji </w:t>
      </w:r>
      <w:r w:rsidRPr="0085159D">
        <w:rPr>
          <w:lang w:val="pl-PL"/>
        </w:rPr>
        <w:t>KSE</w:t>
      </w:r>
      <w:r w:rsidR="00B636D8" w:rsidRPr="0085159D">
        <w:rPr>
          <w:lang w:val="pl-PL"/>
        </w:rPr>
        <w:t>F dla Polski</w:t>
      </w:r>
      <w:r w:rsidRPr="0085159D">
        <w:rPr>
          <w:lang w:val="pl-PL"/>
        </w:rPr>
        <w:t xml:space="preserve">, korzystając z doradztwa merytorycznego OECD i wsparcia finansowego Komisji Europejskiej w ramach programu Dyrekcji Generalnej ds. Wspierania Reform Strukturalnych </w:t>
      </w:r>
      <w:r w:rsidR="00816AAA" w:rsidRPr="0085159D">
        <w:rPr>
          <w:lang w:val="pl-PL"/>
        </w:rPr>
        <w:t xml:space="preserve">Komisji Europejskiej </w:t>
      </w:r>
      <w:r w:rsidRPr="0085159D">
        <w:rPr>
          <w:lang w:val="pl-PL"/>
        </w:rPr>
        <w:t>o nazwie Instrument Wsparcia Technicznego.</w:t>
      </w:r>
    </w:p>
    <w:p w14:paraId="69952918" w14:textId="77777777" w:rsidR="00282A62" w:rsidRPr="0085159D" w:rsidRDefault="00816AAA" w:rsidP="000B051F">
      <w:pPr>
        <w:pStyle w:val="Para0"/>
        <w:rPr>
          <w:lang w:val="pl-PL"/>
        </w:rPr>
      </w:pPr>
      <w:r w:rsidRPr="0085159D">
        <w:rPr>
          <w:lang w:val="pl-PL"/>
        </w:rPr>
        <w:t xml:space="preserve">KSEF </w:t>
      </w:r>
      <w:r w:rsidR="00282A62" w:rsidRPr="0085159D">
        <w:rPr>
          <w:lang w:val="pl-PL"/>
        </w:rPr>
        <w:t xml:space="preserve">i jej pierwszy </w:t>
      </w:r>
      <w:r w:rsidRPr="0085159D">
        <w:rPr>
          <w:lang w:val="pl-PL"/>
        </w:rPr>
        <w:t xml:space="preserve">plan </w:t>
      </w:r>
      <w:r w:rsidR="00282A62" w:rsidRPr="0085159D">
        <w:rPr>
          <w:lang w:val="pl-PL"/>
        </w:rPr>
        <w:t>wdr</w:t>
      </w:r>
      <w:r w:rsidRPr="0085159D">
        <w:rPr>
          <w:lang w:val="pl-PL"/>
        </w:rPr>
        <w:t>a</w:t>
      </w:r>
      <w:r w:rsidR="00282A62" w:rsidRPr="0085159D">
        <w:rPr>
          <w:lang w:val="pl-PL"/>
        </w:rPr>
        <w:t>ż</w:t>
      </w:r>
      <w:r w:rsidRPr="0085159D">
        <w:rPr>
          <w:lang w:val="pl-PL"/>
        </w:rPr>
        <w:t>a</w:t>
      </w:r>
      <w:r w:rsidR="00282A62" w:rsidRPr="0085159D">
        <w:rPr>
          <w:lang w:val="pl-PL"/>
        </w:rPr>
        <w:t>nia</w:t>
      </w:r>
      <w:r w:rsidR="00892E00">
        <w:rPr>
          <w:lang w:val="pl-PL"/>
        </w:rPr>
        <w:t xml:space="preserve"> </w:t>
      </w:r>
      <w:r w:rsidR="00282A62" w:rsidRPr="0085159D">
        <w:rPr>
          <w:lang w:val="pl-PL"/>
        </w:rPr>
        <w:t>odpowiada</w:t>
      </w:r>
      <w:r w:rsidR="00137A2F">
        <w:rPr>
          <w:lang w:val="pl-PL"/>
        </w:rPr>
        <w:t>ją</w:t>
      </w:r>
      <w:r w:rsidR="00282A62" w:rsidRPr="0085159D">
        <w:rPr>
          <w:lang w:val="pl-PL"/>
        </w:rPr>
        <w:t xml:space="preserve"> potrzebom mieszkańców Polski w zakresie poprawy kompetencji finansowych oraz usuwania luk i pokonywania wyzwań w obszarze edukacji finansowej zidentyfikowanych w ramach działań przygotowawczych </w:t>
      </w:r>
      <w:r w:rsidR="000F54F6">
        <w:rPr>
          <w:lang w:val="pl-PL"/>
        </w:rPr>
        <w:t>do opracowania Strategii</w:t>
      </w:r>
      <w:r w:rsidR="00282A62" w:rsidRPr="0085159D">
        <w:rPr>
          <w:lang w:val="pl-PL"/>
        </w:rPr>
        <w:t>.</w:t>
      </w:r>
    </w:p>
    <w:p w14:paraId="1A566054" w14:textId="77777777" w:rsidR="00282A62" w:rsidRPr="0085159D" w:rsidRDefault="008A21D5" w:rsidP="000B051F">
      <w:pPr>
        <w:pStyle w:val="Nagwek2"/>
        <w:rPr>
          <w:lang w:val="pl-PL"/>
        </w:rPr>
      </w:pPr>
      <w:bookmarkStart w:id="12" w:name="_Toc131520809"/>
      <w:r w:rsidRPr="0085159D">
        <w:rPr>
          <w:bCs/>
          <w:lang w:val="pl-PL"/>
        </w:rPr>
        <w:t>1.3. Komplementarność KSEF z innymi politykami i strategiami realizowanymi na poziomie krajowym i międzynarodowym</w:t>
      </w:r>
      <w:bookmarkEnd w:id="12"/>
    </w:p>
    <w:p w14:paraId="7EBA2B7D" w14:textId="77777777" w:rsidR="00282A62" w:rsidRPr="0085159D" w:rsidRDefault="00282A62" w:rsidP="000B051F">
      <w:pPr>
        <w:pStyle w:val="Para0"/>
        <w:rPr>
          <w:lang w:val="pl-PL"/>
        </w:rPr>
      </w:pPr>
      <w:r w:rsidRPr="0085159D">
        <w:rPr>
          <w:lang w:val="pl-PL"/>
        </w:rPr>
        <w:t xml:space="preserve">KSEF i jej </w:t>
      </w:r>
      <w:r w:rsidR="00137A2F">
        <w:rPr>
          <w:lang w:val="pl-PL"/>
        </w:rPr>
        <w:t xml:space="preserve">pierwszy </w:t>
      </w:r>
      <w:r w:rsidR="00816AAA" w:rsidRPr="0085159D">
        <w:rPr>
          <w:lang w:val="pl-PL"/>
        </w:rPr>
        <w:t xml:space="preserve">plan wdrażania </w:t>
      </w:r>
      <w:r w:rsidRPr="0085159D">
        <w:rPr>
          <w:lang w:val="pl-PL"/>
        </w:rPr>
        <w:t>wspiera</w:t>
      </w:r>
      <w:r w:rsidR="00137A2F">
        <w:rPr>
          <w:lang w:val="pl-PL"/>
        </w:rPr>
        <w:t>ją</w:t>
      </w:r>
      <w:r w:rsidRPr="0085159D">
        <w:rPr>
          <w:lang w:val="pl-PL"/>
        </w:rPr>
        <w:t xml:space="preserve"> i</w:t>
      </w:r>
      <w:r w:rsidR="001E5B9C">
        <w:rPr>
          <w:lang w:val="pl-PL"/>
        </w:rPr>
        <w:t> </w:t>
      </w:r>
      <w:r w:rsidRPr="0085159D">
        <w:rPr>
          <w:lang w:val="pl-PL"/>
        </w:rPr>
        <w:t>uzupełnia</w:t>
      </w:r>
      <w:r w:rsidR="00137A2F">
        <w:rPr>
          <w:lang w:val="pl-PL"/>
        </w:rPr>
        <w:t>ją</w:t>
      </w:r>
      <w:r w:rsidRPr="0085159D">
        <w:rPr>
          <w:lang w:val="pl-PL"/>
        </w:rPr>
        <w:t xml:space="preserve"> główne krajowe polityki i priorytety strategiczne zgodnie z priorytetami przyjętymi na szczeblu ogólnoeuropejskim oraz w myśl Agendy ONZ na rzecz zrównoważonego rozwoju 2030, co zostało omówione w kolejnych podrozdziałach.</w:t>
      </w:r>
    </w:p>
    <w:p w14:paraId="4723445C" w14:textId="77777777" w:rsidR="00282A62" w:rsidRPr="0085159D" w:rsidRDefault="00282A62" w:rsidP="000B051F">
      <w:pPr>
        <w:pStyle w:val="Nagwek3"/>
        <w:rPr>
          <w:lang w:val="pl-PL"/>
        </w:rPr>
      </w:pPr>
      <w:r w:rsidRPr="0085159D">
        <w:rPr>
          <w:bCs/>
          <w:iCs/>
          <w:lang w:val="pl-PL"/>
        </w:rPr>
        <w:t xml:space="preserve">Strategia </w:t>
      </w:r>
      <w:r w:rsidR="00816AAA" w:rsidRPr="0085159D">
        <w:rPr>
          <w:bCs/>
          <w:iCs/>
          <w:lang w:val="pl-PL"/>
        </w:rPr>
        <w:t xml:space="preserve">na rzecz </w:t>
      </w:r>
      <w:r w:rsidRPr="0085159D">
        <w:rPr>
          <w:bCs/>
          <w:iCs/>
          <w:lang w:val="pl-PL"/>
        </w:rPr>
        <w:t>Odpowiedzialnego Rozwoju</w:t>
      </w:r>
    </w:p>
    <w:p w14:paraId="2F025145" w14:textId="77777777" w:rsidR="00282A62" w:rsidRPr="0085159D" w:rsidRDefault="00282A62" w:rsidP="000B051F">
      <w:pPr>
        <w:pStyle w:val="Para0"/>
        <w:rPr>
          <w:lang w:val="pl-PL"/>
        </w:rPr>
      </w:pPr>
      <w:r w:rsidRPr="0085159D">
        <w:rPr>
          <w:lang w:val="pl-PL"/>
        </w:rPr>
        <w:t xml:space="preserve">Strategia </w:t>
      </w:r>
      <w:r w:rsidR="00816AAA" w:rsidRPr="0085159D">
        <w:rPr>
          <w:lang w:val="pl-PL"/>
        </w:rPr>
        <w:t xml:space="preserve">na rzecz </w:t>
      </w:r>
      <w:r w:rsidRPr="0085159D">
        <w:rPr>
          <w:lang w:val="pl-PL"/>
        </w:rPr>
        <w:t>Odpowiedzialnego Rozwoju (SOR), która została przyjęta przez Radę Ministrów 14</w:t>
      </w:r>
      <w:r w:rsidR="002B15CF">
        <w:rPr>
          <w:lang w:val="pl-PL"/>
        </w:rPr>
        <w:t> </w:t>
      </w:r>
      <w:r w:rsidR="00A606F5">
        <w:rPr>
          <w:lang w:val="pl-PL"/>
        </w:rPr>
        <w:t>lutego 2017 </w:t>
      </w:r>
      <w:r w:rsidRPr="0085159D">
        <w:rPr>
          <w:lang w:val="pl-PL"/>
        </w:rPr>
        <w:t xml:space="preserve">r., określa dla Polski ścieżkę odpowiedzialnego oraz społecznie i terytorialnie zrównoważonego rozwoju do 2030 r. </w:t>
      </w:r>
      <w:r w:rsidR="004D7BDA">
        <w:rPr>
          <w:lang w:val="pl-PL"/>
        </w:rPr>
        <w:t>W</w:t>
      </w:r>
      <w:r w:rsidRPr="0085159D">
        <w:rPr>
          <w:lang w:val="pl-PL"/>
        </w:rPr>
        <w:t xml:space="preserve"> gron</w:t>
      </w:r>
      <w:r w:rsidR="004D7BDA">
        <w:rPr>
          <w:lang w:val="pl-PL"/>
        </w:rPr>
        <w:t>ie</w:t>
      </w:r>
      <w:r w:rsidRPr="0085159D">
        <w:rPr>
          <w:lang w:val="pl-PL"/>
        </w:rPr>
        <w:t xml:space="preserve"> zagadnień wymienionych jako kluczowe dla realizacji SOR </w:t>
      </w:r>
      <w:r w:rsidR="004D7BDA">
        <w:rPr>
          <w:lang w:val="pl-PL"/>
        </w:rPr>
        <w:t xml:space="preserve">jest </w:t>
      </w:r>
      <w:r w:rsidRPr="0085159D">
        <w:rPr>
          <w:lang w:val="pl-PL"/>
        </w:rPr>
        <w:t>stworzeni</w:t>
      </w:r>
      <w:r w:rsidR="004D7BDA">
        <w:rPr>
          <w:lang w:val="pl-PL"/>
        </w:rPr>
        <w:t>e</w:t>
      </w:r>
      <w:r w:rsidRPr="0085159D">
        <w:rPr>
          <w:lang w:val="pl-PL"/>
        </w:rPr>
        <w:t xml:space="preserve"> warunków, które pozwoliłyby oprzeć rozwój Polski na oszczędnościach i</w:t>
      </w:r>
      <w:r w:rsidR="00E24605">
        <w:rPr>
          <w:lang w:val="pl-PL"/>
        </w:rPr>
        <w:t> </w:t>
      </w:r>
      <w:r w:rsidRPr="0085159D">
        <w:rPr>
          <w:lang w:val="pl-PL"/>
        </w:rPr>
        <w:t>inwestycjach jej własnych obywateli. W SOR szczególną uwagę zwrócono na fakt, że polską gospodarkę charakteryzują niskie stopy oszczędności i inwestycji gospodarstw domowych. SOR stawia sobie za cel rozwój rynku finansowego</w:t>
      </w:r>
      <w:r w:rsidR="004D7BDA">
        <w:rPr>
          <w:lang w:val="pl-PL"/>
        </w:rPr>
        <w:t>,</w:t>
      </w:r>
      <w:r w:rsidRPr="0085159D">
        <w:rPr>
          <w:lang w:val="pl-PL"/>
        </w:rPr>
        <w:t xml:space="preserve"> </w:t>
      </w:r>
      <w:r w:rsidR="00BD45CA" w:rsidRPr="0085159D">
        <w:rPr>
          <w:lang w:val="pl-PL"/>
        </w:rPr>
        <w:t xml:space="preserve">poprzez </w:t>
      </w:r>
      <w:r w:rsidRPr="0085159D">
        <w:rPr>
          <w:lang w:val="pl-PL"/>
        </w:rPr>
        <w:t>zmiany regulacyjne i instytucjonalne, a także uznaje, że równie ważne jest „budowanie kultury oszczędzania” i zwiększanie zrozumienia przez Polaków korzyści płynących z</w:t>
      </w:r>
      <w:r w:rsidR="00E24605">
        <w:rPr>
          <w:lang w:val="pl-PL"/>
        </w:rPr>
        <w:t> </w:t>
      </w:r>
      <w:r w:rsidRPr="0085159D">
        <w:rPr>
          <w:lang w:val="pl-PL"/>
        </w:rPr>
        <w:t xml:space="preserve">długoterminowego inwestowania </w:t>
      </w:r>
      <w:sdt>
        <w:sdtPr>
          <w:rPr>
            <w:lang w:val="pl-PL"/>
          </w:rPr>
          <w:id w:val="-1425807447"/>
          <w:citation/>
        </w:sdtPr>
        <w:sdtEndPr/>
        <w:sdtContent>
          <w:r w:rsidRPr="0085159D">
            <w:rPr>
              <w:lang w:val="pl-PL"/>
            </w:rPr>
            <w:fldChar w:fldCharType="begin"/>
          </w:r>
          <w:r w:rsidRPr="0085159D">
            <w:rPr>
              <w:lang w:val="pl-PL"/>
            </w:rPr>
            <w:instrText xml:space="preserve"> CITATION Mendeley_2oQj8irMJzW_OsYndM8_ew \l 2057 </w:instrText>
          </w:r>
          <w:r w:rsidRPr="0085159D">
            <w:rPr>
              <w:lang w:val="pl-PL"/>
            </w:rPr>
            <w:fldChar w:fldCharType="separate"/>
          </w:r>
          <w:r w:rsidRPr="0085159D">
            <w:rPr>
              <w:noProof/>
              <w:lang w:val="pl-PL"/>
            </w:rPr>
            <w:t>(Rząd RP, 2017</w:t>
          </w:r>
          <w:r w:rsidRPr="0085159D">
            <w:rPr>
              <w:noProof/>
              <w:vertAlign w:val="subscript"/>
              <w:lang w:val="pl-PL"/>
            </w:rPr>
            <w:t>[10]</w:t>
          </w:r>
          <w:r w:rsidRPr="0085159D">
            <w:rPr>
              <w:noProof/>
              <w:lang w:val="pl-PL"/>
            </w:rPr>
            <w:t>)</w:t>
          </w:r>
          <w:r w:rsidRPr="0085159D">
            <w:rPr>
              <w:lang w:val="pl-PL"/>
            </w:rPr>
            <w:fldChar w:fldCharType="end"/>
          </w:r>
        </w:sdtContent>
      </w:sdt>
      <w:r w:rsidRPr="0085159D">
        <w:rPr>
          <w:lang w:val="pl-PL"/>
        </w:rPr>
        <w:t>. Edukacja finansowa może się przyczynić do poprawy zrozumienia przez Polaków znaczenia krótko- i długoterminowego oszczędzania oraz do wzrostu ich zaufania do inwestowania na rynkach finansowych.</w:t>
      </w:r>
    </w:p>
    <w:p w14:paraId="06F4815D" w14:textId="77777777" w:rsidR="00282A62" w:rsidRPr="0085159D" w:rsidRDefault="00282A62" w:rsidP="000B051F">
      <w:pPr>
        <w:pStyle w:val="Nagwek3"/>
        <w:rPr>
          <w:lang w:val="pl-PL"/>
        </w:rPr>
      </w:pPr>
      <w:r w:rsidRPr="0085159D">
        <w:rPr>
          <w:bCs/>
          <w:iCs/>
          <w:lang w:val="pl-PL"/>
        </w:rPr>
        <w:lastRenderedPageBreak/>
        <w:t>Strategia Rozwoju Rynku Kapitałowego</w:t>
      </w:r>
    </w:p>
    <w:p w14:paraId="6D137039" w14:textId="77777777" w:rsidR="00282A62" w:rsidRPr="0085159D" w:rsidRDefault="00282A62" w:rsidP="000B051F">
      <w:pPr>
        <w:pStyle w:val="Para0"/>
        <w:rPr>
          <w:lang w:val="pl-PL"/>
        </w:rPr>
      </w:pPr>
      <w:r w:rsidRPr="0085159D">
        <w:rPr>
          <w:lang w:val="pl-PL"/>
        </w:rPr>
        <w:t>Strategia Rozwoju Rynku Kapitałowego (SRRK) została opracowana i przyjęta przez Radę Ministrów 1</w:t>
      </w:r>
      <w:r w:rsidR="006B5128">
        <w:rPr>
          <w:lang w:val="pl-PL"/>
        </w:rPr>
        <w:t> </w:t>
      </w:r>
      <w:r w:rsidRPr="0085159D">
        <w:rPr>
          <w:lang w:val="pl-PL"/>
        </w:rPr>
        <w:t xml:space="preserve">października 2019 r. w celu wsparcia realizacji SOR </w:t>
      </w:r>
      <w:r w:rsidR="004D7BDA">
        <w:rPr>
          <w:lang w:val="pl-PL"/>
        </w:rPr>
        <w:t>oraz</w:t>
      </w:r>
      <w:r w:rsidRPr="0085159D">
        <w:rPr>
          <w:lang w:val="pl-PL"/>
        </w:rPr>
        <w:t xml:space="preserve"> rozwoju rynku kapitałowego.</w:t>
      </w:r>
    </w:p>
    <w:p w14:paraId="1DC537B1" w14:textId="77777777" w:rsidR="00282A62" w:rsidRPr="0085159D" w:rsidRDefault="00282A62" w:rsidP="000B051F">
      <w:pPr>
        <w:pStyle w:val="Para0"/>
        <w:rPr>
          <w:lang w:val="pl-PL"/>
        </w:rPr>
      </w:pPr>
      <w:r w:rsidRPr="0085159D">
        <w:rPr>
          <w:lang w:val="pl-PL"/>
        </w:rPr>
        <w:t>SRRK podkreśla, że rozwój rynku kapitałowego obejmuje odpowiednią opiekę nad inwestorami detalicznymi i objęcie ich skuteczną ochroną, ponieważ to przede wszystkim poczucie bezpieczeństwa wśród inwestorów decyduje o poziomie zaufania do tego rynku. Poprawa zaufania do rynku</w:t>
      </w:r>
      <w:r w:rsidR="00A24C91">
        <w:rPr>
          <w:lang w:val="pl-PL"/>
        </w:rPr>
        <w:t xml:space="preserve"> kapitałowego</w:t>
      </w:r>
      <w:r w:rsidRPr="0085159D">
        <w:rPr>
          <w:lang w:val="pl-PL"/>
        </w:rPr>
        <w:t xml:space="preserve"> została sformułowana jako jedna z czterech horyzontalnych zasad skuteczne</w:t>
      </w:r>
      <w:r w:rsidR="00BD45CA" w:rsidRPr="0085159D">
        <w:rPr>
          <w:lang w:val="pl-PL"/>
        </w:rPr>
        <w:t xml:space="preserve">j realizacji </w:t>
      </w:r>
      <w:r w:rsidRPr="0085159D">
        <w:rPr>
          <w:lang w:val="pl-PL"/>
        </w:rPr>
        <w:t>SRRK.</w:t>
      </w:r>
    </w:p>
    <w:p w14:paraId="31F633E1" w14:textId="77777777" w:rsidR="00282A62" w:rsidRPr="0085159D" w:rsidRDefault="00282A62" w:rsidP="000B051F">
      <w:pPr>
        <w:pStyle w:val="Para0"/>
        <w:rPr>
          <w:lang w:val="pl-PL"/>
        </w:rPr>
      </w:pPr>
      <w:r w:rsidRPr="0085159D">
        <w:rPr>
          <w:lang w:val="pl-PL"/>
        </w:rPr>
        <w:t>Do grona 20 najważniejszych zidentyfikowanych przez SRRK barier stojących na drodze rozwoju rynku kapitałowego w Polsce należą trzy przeszkody istotne dla KSEF oraz zbieżne z barierami, o których mowa we wspomnianym wyżej raporcie OECD:</w:t>
      </w:r>
    </w:p>
    <w:p w14:paraId="4D310984" w14:textId="77777777" w:rsidR="00282A62" w:rsidRPr="0085159D" w:rsidRDefault="00282A62" w:rsidP="000B051F">
      <w:pPr>
        <w:pStyle w:val="BulletedList"/>
        <w:rPr>
          <w:lang w:val="pl-PL"/>
        </w:rPr>
      </w:pPr>
      <w:r w:rsidRPr="0085159D">
        <w:rPr>
          <w:lang w:val="pl-PL"/>
        </w:rPr>
        <w:t>niski poziom oszczędności i inwestycji, zwłaszcza w sektorze detalicznym</w:t>
      </w:r>
      <w:r w:rsidR="00E24605">
        <w:rPr>
          <w:lang w:val="pl-PL"/>
        </w:rPr>
        <w:t>,</w:t>
      </w:r>
    </w:p>
    <w:p w14:paraId="6D46F16E" w14:textId="77777777" w:rsidR="00282A62" w:rsidRPr="0085159D" w:rsidRDefault="00282A62" w:rsidP="000B051F">
      <w:pPr>
        <w:pStyle w:val="BulletedList"/>
        <w:rPr>
          <w:lang w:val="pl-PL"/>
        </w:rPr>
      </w:pPr>
      <w:r w:rsidRPr="0085159D">
        <w:rPr>
          <w:lang w:val="pl-PL"/>
        </w:rPr>
        <w:t xml:space="preserve">brak wymiernych celów i planów działania zmierzających do </w:t>
      </w:r>
      <w:r w:rsidR="00262D62" w:rsidRPr="0085159D">
        <w:rPr>
          <w:lang w:val="pl-PL"/>
        </w:rPr>
        <w:t xml:space="preserve">włączenia </w:t>
      </w:r>
      <w:r w:rsidRPr="0085159D">
        <w:rPr>
          <w:lang w:val="pl-PL"/>
        </w:rPr>
        <w:t>finansowe</w:t>
      </w:r>
      <w:r w:rsidR="00262D62" w:rsidRPr="0085159D">
        <w:rPr>
          <w:lang w:val="pl-PL"/>
        </w:rPr>
        <w:t xml:space="preserve">go </w:t>
      </w:r>
      <w:r w:rsidRPr="0085159D">
        <w:rPr>
          <w:lang w:val="pl-PL"/>
        </w:rPr>
        <w:t>inwestorów indywidualnych</w:t>
      </w:r>
      <w:r w:rsidR="00E24605">
        <w:rPr>
          <w:lang w:val="pl-PL"/>
        </w:rPr>
        <w:t>,</w:t>
      </w:r>
    </w:p>
    <w:p w14:paraId="55A8F90D" w14:textId="77777777" w:rsidR="00282A62" w:rsidRPr="0085159D" w:rsidRDefault="00282A62" w:rsidP="000B051F">
      <w:pPr>
        <w:pStyle w:val="BulletedList"/>
        <w:rPr>
          <w:lang w:val="pl-PL"/>
        </w:rPr>
      </w:pPr>
      <w:r w:rsidRPr="0085159D">
        <w:rPr>
          <w:lang w:val="pl-PL"/>
        </w:rPr>
        <w:t>niewystarczający poziom edukacji finansowej społeczeństwa</w:t>
      </w:r>
      <w:r w:rsidR="00E24605">
        <w:rPr>
          <w:lang w:val="pl-PL"/>
        </w:rPr>
        <w:t>.</w:t>
      </w:r>
    </w:p>
    <w:p w14:paraId="4E675DBC" w14:textId="77777777" w:rsidR="00282A62" w:rsidRPr="0085159D" w:rsidRDefault="00282A62" w:rsidP="000B051F">
      <w:pPr>
        <w:pStyle w:val="Para0"/>
        <w:rPr>
          <w:lang w:val="pl-PL"/>
        </w:rPr>
      </w:pPr>
      <w:r w:rsidRPr="0085159D">
        <w:rPr>
          <w:lang w:val="pl-PL"/>
        </w:rPr>
        <w:t xml:space="preserve">W związku z tym SRRK ma na celu między innymi przeciwdziałanie </w:t>
      </w:r>
      <w:r w:rsidR="00BD45CA" w:rsidRPr="0085159D">
        <w:rPr>
          <w:lang w:val="pl-PL"/>
        </w:rPr>
        <w:t xml:space="preserve">ograniczonemu </w:t>
      </w:r>
      <w:r w:rsidRPr="0085159D">
        <w:rPr>
          <w:lang w:val="pl-PL"/>
        </w:rPr>
        <w:t xml:space="preserve">udziałowi inwestorów detalicznych w rynku kapitałowym, pobudzanie zainteresowania inwestycjami długoterminowymi w tej grupie osób oraz podnoszenie znajomości zagadnień finansowych wśród mieszkańców Polski. Ponadto SRRK zawiera propozycje mające na celu podniesienie poziomu kompetencji finansowych polskiego społeczeństwa. W tym kontekście chodzi na przykład o przyjęcie długoterminowej ogólnokrajowej strategii na rzecz edukacji finansowej oraz o wprowadzenie obowiązkowych zajęć z edukacji finansowej do programów szkolnych. </w:t>
      </w:r>
      <w:r w:rsidR="008A334B">
        <w:rPr>
          <w:lang w:val="pl-PL"/>
        </w:rPr>
        <w:t xml:space="preserve">Celem </w:t>
      </w:r>
      <w:r w:rsidRPr="008A334B">
        <w:rPr>
          <w:lang w:val="pl-PL"/>
        </w:rPr>
        <w:t xml:space="preserve">KSEF </w:t>
      </w:r>
      <w:r w:rsidR="00A24C91">
        <w:rPr>
          <w:lang w:val="pl-PL"/>
        </w:rPr>
        <w:t xml:space="preserve">jest </w:t>
      </w:r>
      <w:r w:rsidR="00BD45CA" w:rsidRPr="0085159D">
        <w:rPr>
          <w:lang w:val="pl-PL"/>
        </w:rPr>
        <w:t xml:space="preserve">stawienie czoła tym </w:t>
      </w:r>
      <w:r w:rsidRPr="0085159D">
        <w:rPr>
          <w:lang w:val="pl-PL"/>
        </w:rPr>
        <w:t>wyzwani</w:t>
      </w:r>
      <w:r w:rsidR="00BD45CA" w:rsidRPr="0085159D">
        <w:rPr>
          <w:lang w:val="pl-PL"/>
        </w:rPr>
        <w:t>om</w:t>
      </w:r>
      <w:r w:rsidRPr="0085159D">
        <w:rPr>
          <w:lang w:val="pl-PL"/>
        </w:rPr>
        <w:t xml:space="preserve"> oraz realizację wspomnianych kierunków </w:t>
      </w:r>
      <w:r w:rsidR="00A24C91">
        <w:rPr>
          <w:lang w:val="pl-PL"/>
        </w:rPr>
        <w:t xml:space="preserve">w niej </w:t>
      </w:r>
      <w:r w:rsidRPr="0085159D">
        <w:rPr>
          <w:lang w:val="pl-PL"/>
        </w:rPr>
        <w:t>określonych.</w:t>
      </w:r>
    </w:p>
    <w:p w14:paraId="6E83D25B" w14:textId="77777777" w:rsidR="00282A62" w:rsidRPr="0085159D" w:rsidRDefault="00282A62" w:rsidP="000B051F">
      <w:pPr>
        <w:pStyle w:val="Para0"/>
        <w:rPr>
          <w:lang w:val="pl-PL"/>
        </w:rPr>
      </w:pPr>
      <w:r w:rsidRPr="0085159D">
        <w:rPr>
          <w:lang w:val="pl-PL"/>
        </w:rPr>
        <w:t>SRRK wskazuje również na rosnące znaczenie zrównoważon</w:t>
      </w:r>
      <w:r w:rsidR="00BD45CA" w:rsidRPr="0085159D">
        <w:rPr>
          <w:lang w:val="pl-PL"/>
        </w:rPr>
        <w:t xml:space="preserve">ego </w:t>
      </w:r>
      <w:r w:rsidRPr="0085159D">
        <w:rPr>
          <w:lang w:val="pl-PL"/>
        </w:rPr>
        <w:t>finans</w:t>
      </w:r>
      <w:r w:rsidR="00BD45CA" w:rsidRPr="0085159D">
        <w:rPr>
          <w:lang w:val="pl-PL"/>
        </w:rPr>
        <w:t>owania</w:t>
      </w:r>
      <w:r w:rsidRPr="0085159D">
        <w:rPr>
          <w:lang w:val="pl-PL"/>
        </w:rPr>
        <w:t xml:space="preserve"> jako sposobu na przejście </w:t>
      </w:r>
      <w:r w:rsidR="00BD45CA" w:rsidRPr="0085159D">
        <w:rPr>
          <w:lang w:val="pl-PL"/>
        </w:rPr>
        <w:t>na</w:t>
      </w:r>
      <w:r w:rsidR="00892E00">
        <w:rPr>
          <w:lang w:val="pl-PL"/>
        </w:rPr>
        <w:t xml:space="preserve"> </w:t>
      </w:r>
      <w:r w:rsidRPr="0085159D">
        <w:rPr>
          <w:lang w:val="pl-PL"/>
        </w:rPr>
        <w:t>bardziej ekologiczn</w:t>
      </w:r>
      <w:r w:rsidR="00BD45CA" w:rsidRPr="0085159D">
        <w:rPr>
          <w:lang w:val="pl-PL"/>
        </w:rPr>
        <w:t>ą</w:t>
      </w:r>
      <w:r w:rsidRPr="0085159D">
        <w:rPr>
          <w:lang w:val="pl-PL"/>
        </w:rPr>
        <w:t xml:space="preserve"> gospodark</w:t>
      </w:r>
      <w:r w:rsidR="00BD45CA" w:rsidRPr="0085159D">
        <w:rPr>
          <w:lang w:val="pl-PL"/>
        </w:rPr>
        <w:t>ę</w:t>
      </w:r>
      <w:r w:rsidRPr="0085159D">
        <w:rPr>
          <w:lang w:val="pl-PL"/>
        </w:rPr>
        <w:t xml:space="preserve">. W tym </w:t>
      </w:r>
      <w:r w:rsidR="00BD45CA" w:rsidRPr="0085159D">
        <w:rPr>
          <w:lang w:val="pl-PL"/>
        </w:rPr>
        <w:t xml:space="preserve">kontekście w </w:t>
      </w:r>
      <w:r w:rsidRPr="0085159D">
        <w:rPr>
          <w:lang w:val="pl-PL"/>
        </w:rPr>
        <w:t>SRRK uzna</w:t>
      </w:r>
      <w:r w:rsidR="00BD45CA" w:rsidRPr="0085159D">
        <w:rPr>
          <w:lang w:val="pl-PL"/>
        </w:rPr>
        <w:t>no</w:t>
      </w:r>
      <w:r w:rsidRPr="0085159D">
        <w:rPr>
          <w:lang w:val="pl-PL"/>
        </w:rPr>
        <w:t>, że podnoszenie poziomu świadomości i edukacji zarówno społeczeństwa jako całości, jak i poszczególnych inwestorów w zakresie zrównoważon</w:t>
      </w:r>
      <w:r w:rsidR="00BD45CA" w:rsidRPr="0085159D">
        <w:rPr>
          <w:lang w:val="pl-PL"/>
        </w:rPr>
        <w:t xml:space="preserve">ego </w:t>
      </w:r>
      <w:r w:rsidRPr="0085159D">
        <w:rPr>
          <w:lang w:val="pl-PL"/>
        </w:rPr>
        <w:t>finans</w:t>
      </w:r>
      <w:r w:rsidR="00BD45CA" w:rsidRPr="0085159D">
        <w:rPr>
          <w:lang w:val="pl-PL"/>
        </w:rPr>
        <w:t>owania</w:t>
      </w:r>
      <w:r w:rsidRPr="0085159D">
        <w:rPr>
          <w:lang w:val="pl-PL"/>
        </w:rPr>
        <w:t xml:space="preserve"> stanowi podstawowy warunek rozwoju rynku </w:t>
      </w:r>
      <w:r w:rsidR="00BD45CA" w:rsidRPr="0085159D">
        <w:rPr>
          <w:lang w:val="pl-PL"/>
        </w:rPr>
        <w:t>w tym zakresie</w:t>
      </w:r>
      <w:r w:rsidRPr="0085159D">
        <w:rPr>
          <w:lang w:val="pl-PL"/>
        </w:rPr>
        <w:t xml:space="preserve">. W obszarze edukacji inwestorów indywidualnych </w:t>
      </w:r>
      <w:r w:rsidR="00243FC1" w:rsidRPr="0085159D">
        <w:rPr>
          <w:lang w:val="pl-PL"/>
        </w:rPr>
        <w:t xml:space="preserve">w </w:t>
      </w:r>
      <w:r w:rsidRPr="0085159D">
        <w:rPr>
          <w:lang w:val="pl-PL"/>
        </w:rPr>
        <w:t xml:space="preserve">SRRK proponuje </w:t>
      </w:r>
      <w:r w:rsidR="00243FC1" w:rsidRPr="0085159D">
        <w:rPr>
          <w:lang w:val="pl-PL"/>
        </w:rPr>
        <w:t xml:space="preserve">się </w:t>
      </w:r>
      <w:r w:rsidRPr="0085159D">
        <w:rPr>
          <w:lang w:val="pl-PL"/>
        </w:rPr>
        <w:t>podjęcie dwutorowych działań edukacyjno-promocyjnych z zakresu zrównoważonych inwestycji i produktów, skierowanych do przedstawicieli instytucji rynku finansowego oraz potencjalnych inwestorów indywidualnych, we współpracy z</w:t>
      </w:r>
      <w:r w:rsidR="001E5B9C">
        <w:rPr>
          <w:lang w:val="pl-PL"/>
        </w:rPr>
        <w:t> </w:t>
      </w:r>
      <w:r w:rsidRPr="0085159D">
        <w:rPr>
          <w:lang w:val="pl-PL"/>
        </w:rPr>
        <w:t xml:space="preserve">Ministerstwem </w:t>
      </w:r>
      <w:r w:rsidR="00A30764">
        <w:rPr>
          <w:lang w:val="pl-PL"/>
        </w:rPr>
        <w:t xml:space="preserve">Klimatu i </w:t>
      </w:r>
      <w:r w:rsidRPr="0085159D">
        <w:rPr>
          <w:lang w:val="pl-PL"/>
        </w:rPr>
        <w:t xml:space="preserve">Środowiska </w:t>
      </w:r>
      <w:r w:rsidR="00A30764">
        <w:rPr>
          <w:lang w:val="pl-PL"/>
        </w:rPr>
        <w:t>oraz z</w:t>
      </w:r>
      <w:r w:rsidRPr="0085159D">
        <w:rPr>
          <w:lang w:val="pl-PL"/>
        </w:rPr>
        <w:t xml:space="preserve"> UKNF. Dzięki uznaniu znaczenia podnoszenia poziomu świadomości konsumentów w zakresie własnych preferencji dotyczących zrównoważonego rozwoju i</w:t>
      </w:r>
      <w:r w:rsidR="00A30764">
        <w:rPr>
          <w:lang w:val="pl-PL"/>
        </w:rPr>
        <w:t> </w:t>
      </w:r>
      <w:r w:rsidRPr="0085159D">
        <w:rPr>
          <w:lang w:val="pl-PL"/>
        </w:rPr>
        <w:t xml:space="preserve">zrównoważonych produktów finansowych </w:t>
      </w:r>
      <w:r w:rsidR="00CF6580">
        <w:rPr>
          <w:lang w:val="pl-PL"/>
        </w:rPr>
        <w:t>KSEF</w:t>
      </w:r>
      <w:r w:rsidRPr="00A30764">
        <w:rPr>
          <w:lang w:val="pl-PL"/>
        </w:rPr>
        <w:t xml:space="preserve"> przyczyni</w:t>
      </w:r>
      <w:r w:rsidRPr="0085159D">
        <w:rPr>
          <w:lang w:val="pl-PL"/>
        </w:rPr>
        <w:t xml:space="preserve"> się do realizacji celów SRRK w odniesieniu do zrównoważon</w:t>
      </w:r>
      <w:r w:rsidR="00BD45CA" w:rsidRPr="0085159D">
        <w:rPr>
          <w:lang w:val="pl-PL"/>
        </w:rPr>
        <w:t>ego</w:t>
      </w:r>
      <w:r w:rsidRPr="0085159D">
        <w:rPr>
          <w:lang w:val="pl-PL"/>
        </w:rPr>
        <w:t xml:space="preserve"> finans</w:t>
      </w:r>
      <w:r w:rsidR="00BD45CA" w:rsidRPr="0085159D">
        <w:rPr>
          <w:lang w:val="pl-PL"/>
        </w:rPr>
        <w:t>owania</w:t>
      </w:r>
      <w:r w:rsidRPr="0085159D">
        <w:rPr>
          <w:lang w:val="pl-PL"/>
        </w:rPr>
        <w:t>.</w:t>
      </w:r>
    </w:p>
    <w:p w14:paraId="5229DDD3" w14:textId="77777777" w:rsidR="00282A62" w:rsidRPr="0085159D" w:rsidRDefault="00282A62" w:rsidP="000B051F">
      <w:pPr>
        <w:pStyle w:val="Nagwek3"/>
        <w:rPr>
          <w:lang w:val="pl-PL"/>
        </w:rPr>
      </w:pPr>
      <w:r w:rsidRPr="0085159D">
        <w:rPr>
          <w:bCs/>
          <w:iCs/>
          <w:lang w:val="pl-PL"/>
        </w:rPr>
        <w:t>Narodowa Strategia Bezpieczeństwa Obrotu Gotówkowego</w:t>
      </w:r>
    </w:p>
    <w:p w14:paraId="2B2FCFBB" w14:textId="50F8CA12" w:rsidR="00282A62" w:rsidRPr="0085159D" w:rsidRDefault="00282A62" w:rsidP="000B051F">
      <w:pPr>
        <w:pStyle w:val="Para0"/>
        <w:rPr>
          <w:lang w:val="pl-PL"/>
        </w:rPr>
      </w:pPr>
      <w:r w:rsidRPr="0085159D">
        <w:rPr>
          <w:lang w:val="pl-PL"/>
        </w:rPr>
        <w:t>Narodowa Strategia Bezpieczeństwa Obrotu Gotówkowego</w:t>
      </w:r>
      <w:r w:rsidR="00A30764">
        <w:rPr>
          <w:lang w:val="pl-PL"/>
        </w:rPr>
        <w:t xml:space="preserve"> </w:t>
      </w:r>
      <w:r w:rsidRPr="0085159D">
        <w:rPr>
          <w:lang w:val="pl-PL"/>
        </w:rPr>
        <w:t>została opracowana w 2021</w:t>
      </w:r>
      <w:r w:rsidR="00A30764">
        <w:rPr>
          <w:lang w:val="pl-PL"/>
        </w:rPr>
        <w:t> </w:t>
      </w:r>
      <w:r w:rsidRPr="0085159D">
        <w:rPr>
          <w:lang w:val="pl-PL"/>
        </w:rPr>
        <w:t xml:space="preserve">r. przez międzysektorową Radę do spraw obrotu gotówkowego (organ opiniodawczo-doradczy przy Zarządzie Narodowego Banku Polskiego). </w:t>
      </w:r>
      <w:r w:rsidR="0095333B" w:rsidRPr="0085159D">
        <w:rPr>
          <w:lang w:val="pl-PL"/>
        </w:rPr>
        <w:t>M</w:t>
      </w:r>
      <w:r w:rsidRPr="0085159D">
        <w:rPr>
          <w:lang w:val="pl-PL"/>
        </w:rPr>
        <w:t xml:space="preserve">isją </w:t>
      </w:r>
      <w:r w:rsidR="00DA07DE">
        <w:rPr>
          <w:lang w:val="pl-PL"/>
        </w:rPr>
        <w:t xml:space="preserve">tej strategii </w:t>
      </w:r>
      <w:r w:rsidRPr="0085159D">
        <w:rPr>
          <w:lang w:val="pl-PL"/>
        </w:rPr>
        <w:t>jest „</w:t>
      </w:r>
      <w:r w:rsidR="0095333B" w:rsidRPr="0085159D">
        <w:rPr>
          <w:lang w:val="pl-PL"/>
        </w:rPr>
        <w:t xml:space="preserve">wspieranie </w:t>
      </w:r>
      <w:r w:rsidRPr="0085159D">
        <w:rPr>
          <w:lang w:val="pl-PL"/>
        </w:rPr>
        <w:t xml:space="preserve">dalszego zrównoważonego rozwoju rynku obrotu gotówkowego przy zachowaniu wysokiego poziomu bezpieczeństwa obrotu gotówkowego”. </w:t>
      </w:r>
      <w:r w:rsidR="00A30764">
        <w:rPr>
          <w:lang w:val="pl-PL"/>
        </w:rPr>
        <w:t xml:space="preserve">Wyżej wymieniona międzysektorowa </w:t>
      </w:r>
      <w:r w:rsidRPr="0085159D">
        <w:rPr>
          <w:lang w:val="pl-PL"/>
        </w:rPr>
        <w:t xml:space="preserve">Rada stawia sobie za cel podniesienie świadomości społecznej </w:t>
      </w:r>
      <w:r w:rsidR="00243FC1" w:rsidRPr="0085159D">
        <w:rPr>
          <w:lang w:val="pl-PL"/>
        </w:rPr>
        <w:t xml:space="preserve">w kwestii </w:t>
      </w:r>
      <w:r w:rsidRPr="0085159D">
        <w:rPr>
          <w:lang w:val="pl-PL"/>
        </w:rPr>
        <w:t xml:space="preserve">roli gotówki oraz wzmocnienie zaufania do polskiej waluty jako bezpiecznej formy płatności. </w:t>
      </w:r>
      <w:r w:rsidRPr="00A30764">
        <w:rPr>
          <w:lang w:val="pl-PL"/>
        </w:rPr>
        <w:t>KSEF będzie wspiera</w:t>
      </w:r>
      <w:r w:rsidR="00243FC1" w:rsidRPr="00A30764">
        <w:rPr>
          <w:lang w:val="pl-PL"/>
        </w:rPr>
        <w:t>ła</w:t>
      </w:r>
      <w:r w:rsidRPr="00A30764">
        <w:rPr>
          <w:lang w:val="pl-PL"/>
        </w:rPr>
        <w:t xml:space="preserve"> i uzupełnia</w:t>
      </w:r>
      <w:r w:rsidR="00243FC1" w:rsidRPr="00A30764">
        <w:rPr>
          <w:lang w:val="pl-PL"/>
        </w:rPr>
        <w:t>ła</w:t>
      </w:r>
      <w:r w:rsidRPr="0085159D">
        <w:rPr>
          <w:lang w:val="pl-PL"/>
        </w:rPr>
        <w:t xml:space="preserve"> cele Narodowej Strategii Bezpieczeństwa Obrotu Gotówkowego, skupiając się na zapewnieniu, by mieszkańcy Polski byli świadomi swobody wyboru instrumentów płatniczych i ich roli transakcyjnej oraz wiedzieli, jak bezpiecznie z nich korzystać.</w:t>
      </w:r>
    </w:p>
    <w:p w14:paraId="6440F7DF" w14:textId="77777777" w:rsidR="00282A62" w:rsidRPr="0085159D" w:rsidRDefault="00282A62" w:rsidP="000B051F">
      <w:pPr>
        <w:pStyle w:val="Nagwek3"/>
        <w:rPr>
          <w:lang w:val="pl-PL"/>
        </w:rPr>
      </w:pPr>
      <w:r w:rsidRPr="0085159D">
        <w:rPr>
          <w:bCs/>
          <w:iCs/>
          <w:lang w:val="pl-PL"/>
        </w:rPr>
        <w:lastRenderedPageBreak/>
        <w:t>Priorytety UE i Agenda ONZ na rzecz realizacji Celów Zrównoważonego Rozwoju 2030</w:t>
      </w:r>
    </w:p>
    <w:p w14:paraId="2B721608" w14:textId="77777777" w:rsidR="00282A62" w:rsidRPr="0085159D" w:rsidRDefault="00282A62" w:rsidP="000B051F">
      <w:pPr>
        <w:pStyle w:val="Para0"/>
        <w:rPr>
          <w:lang w:val="pl-PL"/>
        </w:rPr>
      </w:pPr>
      <w:r w:rsidRPr="00A30764">
        <w:rPr>
          <w:lang w:val="pl-PL"/>
        </w:rPr>
        <w:t>KSEF będzie wspiera</w:t>
      </w:r>
      <w:r w:rsidR="00243FC1" w:rsidRPr="00A30764">
        <w:rPr>
          <w:lang w:val="pl-PL"/>
        </w:rPr>
        <w:t>ła</w:t>
      </w:r>
      <w:r w:rsidRPr="00A30764">
        <w:rPr>
          <w:lang w:val="pl-PL"/>
        </w:rPr>
        <w:t xml:space="preserve"> realizację</w:t>
      </w:r>
      <w:r w:rsidRPr="0085159D">
        <w:rPr>
          <w:lang w:val="pl-PL"/>
        </w:rPr>
        <w:t xml:space="preserve"> odpowiednich priorytetów Unii Europejskiej (UE) w</w:t>
      </w:r>
      <w:r w:rsidR="00DC330D">
        <w:rPr>
          <w:lang w:val="pl-PL"/>
        </w:rPr>
        <w:t> </w:t>
      </w:r>
      <w:r w:rsidRPr="0085159D">
        <w:rPr>
          <w:lang w:val="pl-PL"/>
        </w:rPr>
        <w:t xml:space="preserve">zakresie stabilności finansowej i dostępu do finansowania. </w:t>
      </w:r>
      <w:r w:rsidR="0082335A">
        <w:rPr>
          <w:lang w:val="pl-PL"/>
        </w:rPr>
        <w:t>W</w:t>
      </w:r>
      <w:r w:rsidRPr="0085159D">
        <w:rPr>
          <w:lang w:val="pl-PL"/>
        </w:rPr>
        <w:t>yższy poziom kompetencji finansowych Polaków przyczyni się do sprawniejszego funkcjonowania rynku finansowego. Konsumenci dysponujący znajomością zagadnień finansowych mogą bowiem swobodnie wybierać produkty finansowe dostosowane do swojego profilu ryzyka i potrzeb. Kompetencje w tym obszarze również przyczyni</w:t>
      </w:r>
      <w:r w:rsidR="0082335A">
        <w:rPr>
          <w:lang w:val="pl-PL"/>
        </w:rPr>
        <w:t>ą się</w:t>
      </w:r>
      <w:r w:rsidRPr="0085159D">
        <w:rPr>
          <w:lang w:val="pl-PL"/>
        </w:rPr>
        <w:t xml:space="preserve"> do zwiększenia stopnia </w:t>
      </w:r>
      <w:r w:rsidR="00B7516A" w:rsidRPr="0085159D">
        <w:rPr>
          <w:lang w:val="pl-PL"/>
        </w:rPr>
        <w:t>włączenia finansowego</w:t>
      </w:r>
      <w:r w:rsidRPr="0085159D">
        <w:rPr>
          <w:lang w:val="pl-PL"/>
        </w:rPr>
        <w:t>.</w:t>
      </w:r>
    </w:p>
    <w:p w14:paraId="52C3F996" w14:textId="77777777" w:rsidR="00282A62" w:rsidRDefault="00282A62" w:rsidP="000B051F">
      <w:pPr>
        <w:pStyle w:val="Para0"/>
        <w:rPr>
          <w:lang w:val="pl-PL"/>
        </w:rPr>
      </w:pPr>
      <w:r w:rsidRPr="0085159D">
        <w:rPr>
          <w:lang w:val="pl-PL"/>
        </w:rPr>
        <w:t xml:space="preserve">Agenda ONZ na rzecz realizacji Celów Zrównoważonego Rozwoju 2030 określa cele, do których powinny dążyć państwa członkowskie Organizacji Narodów Zjednoczonych, starając się wyeliminować ubóstwo we wszystkich jego formach, osiągając przy tym szereg celów gospodarczych, społecznych i środowiskowych. SOR ma na celu spełnienie oczekiwań sformułowanych wobec Polski w Agendzie 2030 </w:t>
      </w:r>
      <w:sdt>
        <w:sdtPr>
          <w:rPr>
            <w:lang w:val="pl-PL"/>
          </w:rPr>
          <w:id w:val="-1542130590"/>
          <w:citation/>
        </w:sdtPr>
        <w:sdtEndPr/>
        <w:sdtContent>
          <w:r w:rsidRPr="0085159D">
            <w:rPr>
              <w:lang w:val="pl-PL"/>
            </w:rPr>
            <w:fldChar w:fldCharType="begin"/>
          </w:r>
          <w:r w:rsidRPr="0085159D">
            <w:rPr>
              <w:lang w:val="pl-PL"/>
            </w:rPr>
            <w:instrText xml:space="preserve"> CITATION Mendeley_2oQj8irMJzW_OsYndM8_ew \l 2057 </w:instrText>
          </w:r>
          <w:r w:rsidRPr="0085159D">
            <w:rPr>
              <w:lang w:val="pl-PL"/>
            </w:rPr>
            <w:fldChar w:fldCharType="separate"/>
          </w:r>
          <w:r w:rsidRPr="0085159D">
            <w:rPr>
              <w:noProof/>
              <w:lang w:val="pl-PL"/>
            </w:rPr>
            <w:t>(Rząd RP, 2017</w:t>
          </w:r>
          <w:r w:rsidRPr="0085159D">
            <w:rPr>
              <w:noProof/>
              <w:vertAlign w:val="subscript"/>
              <w:lang w:val="pl-PL"/>
            </w:rPr>
            <w:t>[10]</w:t>
          </w:r>
          <w:r w:rsidRPr="0085159D">
            <w:rPr>
              <w:noProof/>
              <w:lang w:val="pl-PL"/>
            </w:rPr>
            <w:t>)</w:t>
          </w:r>
          <w:r w:rsidRPr="0085159D">
            <w:rPr>
              <w:lang w:val="pl-PL"/>
            </w:rPr>
            <w:fldChar w:fldCharType="end"/>
          </w:r>
        </w:sdtContent>
      </w:sdt>
      <w:r w:rsidRPr="0085159D">
        <w:rPr>
          <w:lang w:val="pl-PL"/>
        </w:rPr>
        <w:t xml:space="preserve">. Wspierając cele nakreślone w SOR, KSEF przyczyni się również do realizacji </w:t>
      </w:r>
      <w:r w:rsidR="00B7516A" w:rsidRPr="0085159D">
        <w:rPr>
          <w:lang w:val="pl-PL"/>
        </w:rPr>
        <w:t xml:space="preserve">celów zrównoważonego rozwoju </w:t>
      </w:r>
      <w:r w:rsidRPr="0085159D">
        <w:rPr>
          <w:lang w:val="pl-PL"/>
        </w:rPr>
        <w:t>w Polsce.</w:t>
      </w:r>
    </w:p>
    <w:p w14:paraId="434AD0AD" w14:textId="77777777" w:rsidR="0082335A" w:rsidRDefault="0082335A" w:rsidP="000B051F">
      <w:pPr>
        <w:pStyle w:val="Para0"/>
        <w:rPr>
          <w:lang w:val="pl-PL"/>
        </w:rPr>
      </w:pPr>
    </w:p>
    <w:p w14:paraId="283446E1" w14:textId="77777777" w:rsidR="00282A62" w:rsidRPr="0085159D" w:rsidRDefault="00282A62" w:rsidP="000626C2">
      <w:pPr>
        <w:pStyle w:val="Nagwek1"/>
        <w:framePr w:wrap="notBeside" w:x="1509" w:y="42"/>
        <w:ind w:right="1990"/>
        <w:rPr>
          <w:lang w:val="pl-PL"/>
        </w:rPr>
      </w:pPr>
      <w:bookmarkStart w:id="13" w:name="_Toc131520810"/>
      <w:r w:rsidRPr="0085159D">
        <w:rPr>
          <w:lang w:val="pl-PL"/>
        </w:rPr>
        <w:lastRenderedPageBreak/>
        <w:t xml:space="preserve">Część II: Krajowa Strategia Edukacji </w:t>
      </w:r>
      <w:r w:rsidRPr="00F12B2A">
        <w:rPr>
          <w:lang w:val="pl-PL"/>
        </w:rPr>
        <w:t>Finansowej</w:t>
      </w:r>
      <w:bookmarkEnd w:id="13"/>
    </w:p>
    <w:p w14:paraId="788FEAE5" w14:textId="77777777" w:rsidR="00282A62" w:rsidRPr="0085159D" w:rsidRDefault="00282A62" w:rsidP="000B051F">
      <w:pPr>
        <w:pStyle w:val="Para0"/>
        <w:rPr>
          <w:lang w:val="pl-PL"/>
        </w:rPr>
      </w:pPr>
      <w:r w:rsidRPr="0085159D">
        <w:rPr>
          <w:lang w:val="pl-PL"/>
        </w:rPr>
        <w:t xml:space="preserve">Krajowa Strategia Edukacji Finansowej jest pierwszą tego typu inicjatywą w Polsce. </w:t>
      </w:r>
      <w:r w:rsidR="00F874F2" w:rsidRPr="0085159D">
        <w:rPr>
          <w:lang w:val="pl-PL"/>
        </w:rPr>
        <w:t xml:space="preserve">Ma ona </w:t>
      </w:r>
      <w:r w:rsidR="0082335A">
        <w:rPr>
          <w:lang w:val="pl-PL"/>
        </w:rPr>
        <w:t xml:space="preserve">na </w:t>
      </w:r>
      <w:r w:rsidR="00F874F2" w:rsidRPr="0085159D">
        <w:rPr>
          <w:lang w:val="pl-PL"/>
        </w:rPr>
        <w:t>cel</w:t>
      </w:r>
      <w:r w:rsidR="0082335A">
        <w:rPr>
          <w:lang w:val="pl-PL"/>
        </w:rPr>
        <w:t>u</w:t>
      </w:r>
      <w:r w:rsidR="00F874F2" w:rsidRPr="0085159D">
        <w:rPr>
          <w:lang w:val="pl-PL"/>
        </w:rPr>
        <w:t xml:space="preserve"> zgromadzeni</w:t>
      </w:r>
      <w:r w:rsidR="0082335A">
        <w:rPr>
          <w:lang w:val="pl-PL"/>
        </w:rPr>
        <w:t>e</w:t>
      </w:r>
      <w:r w:rsidR="00F874F2" w:rsidRPr="0085159D">
        <w:rPr>
          <w:lang w:val="pl-PL"/>
        </w:rPr>
        <w:t xml:space="preserve">, w skoordynowany sposób, istotnych interesariuszy edukacji finansowej </w:t>
      </w:r>
      <w:r w:rsidR="0082335A">
        <w:rPr>
          <w:lang w:val="pl-PL"/>
        </w:rPr>
        <w:t xml:space="preserve">i </w:t>
      </w:r>
      <w:r w:rsidRPr="008D7257">
        <w:rPr>
          <w:lang w:val="pl-PL"/>
        </w:rPr>
        <w:t>wypracowanie jednolitego</w:t>
      </w:r>
      <w:r w:rsidRPr="0082335A">
        <w:rPr>
          <w:lang w:val="pl-PL"/>
        </w:rPr>
        <w:t xml:space="preserve"> pojmowania znaczenia edukacji finansowej oraz jej zakładanych osiągnięć w</w:t>
      </w:r>
      <w:r w:rsidRPr="0085159D">
        <w:rPr>
          <w:lang w:val="pl-PL"/>
        </w:rPr>
        <w:t xml:space="preserve"> perspektywie krótko- i długoterminowej. </w:t>
      </w:r>
      <w:r w:rsidR="0082335A">
        <w:rPr>
          <w:lang w:val="pl-PL"/>
        </w:rPr>
        <w:t>KSEF w</w:t>
      </w:r>
      <w:r w:rsidRPr="0085159D">
        <w:rPr>
          <w:lang w:val="pl-PL"/>
        </w:rPr>
        <w:t xml:space="preserve">yznacza </w:t>
      </w:r>
      <w:r w:rsidR="00835022" w:rsidRPr="0085159D">
        <w:rPr>
          <w:lang w:val="pl-PL"/>
        </w:rPr>
        <w:t>także</w:t>
      </w:r>
      <w:r w:rsidR="0082335A">
        <w:rPr>
          <w:lang w:val="pl-PL"/>
        </w:rPr>
        <w:t xml:space="preserve"> strategiczne kierun</w:t>
      </w:r>
      <w:r w:rsidRPr="0085159D">
        <w:rPr>
          <w:lang w:val="pl-PL"/>
        </w:rPr>
        <w:t>k</w:t>
      </w:r>
      <w:r w:rsidR="008D7257">
        <w:rPr>
          <w:lang w:val="pl-PL"/>
        </w:rPr>
        <w:t>i</w:t>
      </w:r>
      <w:r w:rsidRPr="0085159D">
        <w:rPr>
          <w:lang w:val="pl-PL"/>
        </w:rPr>
        <w:t xml:space="preserve"> działań w</w:t>
      </w:r>
      <w:r w:rsidR="001E5B9C">
        <w:rPr>
          <w:lang w:val="pl-PL"/>
        </w:rPr>
        <w:t> </w:t>
      </w:r>
      <w:r w:rsidRPr="0085159D">
        <w:rPr>
          <w:lang w:val="pl-PL"/>
        </w:rPr>
        <w:t>obszarze edukacji finansowej, które mogą przynieść korzyści całemu polskiemu społeczeństwu. Opracowując i przyjmując</w:t>
      </w:r>
      <w:r w:rsidR="008D7257">
        <w:rPr>
          <w:lang w:val="pl-PL"/>
        </w:rPr>
        <w:t xml:space="preserve"> Strategię</w:t>
      </w:r>
      <w:r w:rsidRPr="0085159D">
        <w:rPr>
          <w:lang w:val="pl-PL"/>
        </w:rPr>
        <w:t>, Polska dołącza do ponad 6</w:t>
      </w:r>
      <w:r w:rsidR="008D7257">
        <w:rPr>
          <w:lang w:val="pl-PL"/>
        </w:rPr>
        <w:t>0</w:t>
      </w:r>
      <w:r w:rsidRPr="0085159D">
        <w:rPr>
          <w:lang w:val="pl-PL"/>
        </w:rPr>
        <w:t xml:space="preserve"> krajów i gospodarek świata, które </w:t>
      </w:r>
      <w:r w:rsidR="0095333B" w:rsidRPr="0085159D">
        <w:rPr>
          <w:lang w:val="pl-PL"/>
        </w:rPr>
        <w:t xml:space="preserve">realizują </w:t>
      </w:r>
      <w:r w:rsidRPr="0085159D">
        <w:rPr>
          <w:lang w:val="pl-PL"/>
        </w:rPr>
        <w:t>własne ogólnokrajowe strategie na rzecz edukacji finansowej.</w:t>
      </w:r>
    </w:p>
    <w:p w14:paraId="44334622" w14:textId="77777777" w:rsidR="00282A62" w:rsidRPr="0085159D" w:rsidRDefault="008A21D5" w:rsidP="000B051F">
      <w:pPr>
        <w:pStyle w:val="Nagwek2"/>
        <w:rPr>
          <w:lang w:val="pl-PL"/>
        </w:rPr>
      </w:pPr>
      <w:bookmarkStart w:id="14" w:name="_Toc131520811"/>
      <w:r w:rsidRPr="0085159D">
        <w:rPr>
          <w:bCs/>
          <w:lang w:val="pl-PL"/>
        </w:rPr>
        <w:t xml:space="preserve">2.1. </w:t>
      </w:r>
      <w:r w:rsidR="007E70B7">
        <w:rPr>
          <w:bCs/>
          <w:lang w:val="pl-PL"/>
        </w:rPr>
        <w:t xml:space="preserve">Definicje </w:t>
      </w:r>
      <w:r w:rsidRPr="0085159D">
        <w:rPr>
          <w:bCs/>
          <w:lang w:val="pl-PL"/>
        </w:rPr>
        <w:t>edukacji finansowej i związanych z nią pojęć</w:t>
      </w:r>
      <w:bookmarkEnd w:id="14"/>
    </w:p>
    <w:p w14:paraId="7E165266" w14:textId="77777777" w:rsidR="00282A62" w:rsidRPr="0085159D" w:rsidRDefault="00282A62" w:rsidP="000B051F">
      <w:pPr>
        <w:pStyle w:val="Para0"/>
        <w:rPr>
          <w:rStyle w:val="Odwoaniedokomentarza"/>
          <w:color w:val="auto"/>
          <w:lang w:val="pl-PL"/>
        </w:rPr>
      </w:pPr>
      <w:r w:rsidRPr="0085159D">
        <w:rPr>
          <w:lang w:val="pl-PL"/>
        </w:rPr>
        <w:t xml:space="preserve">Na potrzeby KSEF i </w:t>
      </w:r>
      <w:r w:rsidR="008D7257">
        <w:rPr>
          <w:lang w:val="pl-PL"/>
        </w:rPr>
        <w:t xml:space="preserve">pierwszego </w:t>
      </w:r>
      <w:r w:rsidR="001F7A7B" w:rsidRPr="0085159D">
        <w:rPr>
          <w:lang w:val="pl-PL"/>
        </w:rPr>
        <w:t xml:space="preserve">planu </w:t>
      </w:r>
      <w:r w:rsidRPr="0085159D">
        <w:rPr>
          <w:lang w:val="pl-PL"/>
        </w:rPr>
        <w:t>jej wdr</w:t>
      </w:r>
      <w:r w:rsidR="001F7A7B" w:rsidRPr="0085159D">
        <w:rPr>
          <w:lang w:val="pl-PL"/>
        </w:rPr>
        <w:t>a</w:t>
      </w:r>
      <w:r w:rsidRPr="0085159D">
        <w:rPr>
          <w:lang w:val="pl-PL"/>
        </w:rPr>
        <w:t>ż</w:t>
      </w:r>
      <w:r w:rsidR="001F7A7B" w:rsidRPr="0085159D">
        <w:rPr>
          <w:lang w:val="pl-PL"/>
        </w:rPr>
        <w:t>a</w:t>
      </w:r>
      <w:r w:rsidRPr="0085159D">
        <w:rPr>
          <w:lang w:val="pl-PL"/>
        </w:rPr>
        <w:t xml:space="preserve">nia </w:t>
      </w:r>
      <w:r w:rsidR="000F54F6">
        <w:rPr>
          <w:lang w:val="pl-PL"/>
        </w:rPr>
        <w:t>przyj</w:t>
      </w:r>
      <w:r w:rsidR="00FF4B39">
        <w:rPr>
          <w:lang w:val="pl-PL"/>
        </w:rPr>
        <w:t>ęto</w:t>
      </w:r>
      <w:r w:rsidR="000F54F6">
        <w:rPr>
          <w:lang w:val="pl-PL"/>
        </w:rPr>
        <w:t xml:space="preserve"> </w:t>
      </w:r>
      <w:r w:rsidRPr="0085159D">
        <w:rPr>
          <w:lang w:val="pl-PL"/>
        </w:rPr>
        <w:t xml:space="preserve">następujące definicje kompetencji finansowych i edukacji finansowej, które zostały pierwotnie opracowane przez OECD </w:t>
      </w:r>
      <w:sdt>
        <w:sdtPr>
          <w:rPr>
            <w:lang w:val="pl-PL"/>
          </w:rPr>
          <w:id w:val="1163043140"/>
          <w:citation/>
        </w:sdtPr>
        <w:sdtEndPr/>
        <w:sdtContent>
          <w:r w:rsidRPr="0085159D">
            <w:rPr>
              <w:lang w:val="pl-PL"/>
            </w:rPr>
            <w:fldChar w:fldCharType="begin"/>
          </w:r>
          <w:r w:rsidRPr="0085159D">
            <w:rPr>
              <w:noProof/>
              <w:lang w:val="pl-PL"/>
            </w:rPr>
            <w:instrText xml:space="preserve">CITATION Mendeley_KgnJVBjRizqD0KFK1qRMww \m Mendeley_I3lDmXM2qz2oyEvhRtQ85g \n  \l 2057 </w:instrText>
          </w:r>
          <w:r w:rsidRPr="0085159D">
            <w:rPr>
              <w:lang w:val="pl-PL"/>
            </w:rPr>
            <w:fldChar w:fldCharType="separate"/>
          </w:r>
          <w:bookmarkStart w:id="15" w:name="Mendeley_I3lDmXM2qz2oyEvhRtQ85g_10"/>
          <w:bookmarkStart w:id="16" w:name="Mendeley_I3lDmXM2qz2oyEvhRtQ85g_11"/>
          <w:r w:rsidRPr="0085159D">
            <w:rPr>
              <w:noProof/>
              <w:lang w:val="pl-PL"/>
            </w:rPr>
            <w:t>(OECD, 2020</w:t>
          </w:r>
          <w:r w:rsidRPr="0085159D">
            <w:rPr>
              <w:noProof/>
              <w:vertAlign w:val="subscript"/>
              <w:lang w:val="pl-PL"/>
            </w:rPr>
            <w:t>[9]</w:t>
          </w:r>
          <w:r w:rsidRPr="0085159D">
            <w:rPr>
              <w:noProof/>
              <w:lang w:val="pl-PL"/>
            </w:rPr>
            <w:t>; 2012</w:t>
          </w:r>
          <w:r w:rsidRPr="0085159D">
            <w:rPr>
              <w:noProof/>
              <w:vertAlign w:val="subscript"/>
              <w:lang w:val="pl-PL"/>
            </w:rPr>
            <w:t>[11]</w:t>
          </w:r>
          <w:r w:rsidRPr="0085159D">
            <w:rPr>
              <w:noProof/>
              <w:lang w:val="pl-PL"/>
            </w:rPr>
            <w:t>)</w:t>
          </w:r>
          <w:bookmarkEnd w:id="15"/>
          <w:bookmarkEnd w:id="16"/>
          <w:r w:rsidRPr="0085159D">
            <w:rPr>
              <w:lang w:val="pl-PL"/>
            </w:rPr>
            <w:fldChar w:fldCharType="end"/>
          </w:r>
        </w:sdtContent>
      </w:sdt>
      <w:r w:rsidRPr="0085159D">
        <w:rPr>
          <w:lang w:val="pl-PL"/>
        </w:rPr>
        <w:t>:</w:t>
      </w:r>
    </w:p>
    <w:p w14:paraId="39642145" w14:textId="736CE310" w:rsidR="00282A62" w:rsidRPr="0085159D" w:rsidRDefault="00282A62" w:rsidP="000B051F">
      <w:pPr>
        <w:pStyle w:val="Cytat"/>
        <w:rPr>
          <w:lang w:val="pl-PL"/>
        </w:rPr>
      </w:pPr>
      <w:r w:rsidRPr="0085159D">
        <w:rPr>
          <w:b/>
          <w:bCs/>
          <w:lang w:val="pl-PL"/>
        </w:rPr>
        <w:t>Kompetencje finansowe</w:t>
      </w:r>
      <w:r w:rsidR="00835022" w:rsidRPr="0085159D">
        <w:rPr>
          <w:b/>
          <w:bCs/>
          <w:lang w:val="pl-PL"/>
        </w:rPr>
        <w:t xml:space="preserve"> (ang. </w:t>
      </w:r>
      <w:proofErr w:type="spellStart"/>
      <w:r w:rsidR="00835022" w:rsidRPr="0085159D">
        <w:rPr>
          <w:b/>
          <w:bCs/>
          <w:i w:val="0"/>
          <w:iCs w:val="0"/>
          <w:lang w:val="pl-PL"/>
        </w:rPr>
        <w:t>financial</w:t>
      </w:r>
      <w:proofErr w:type="spellEnd"/>
      <w:r w:rsidR="00835022" w:rsidRPr="0085159D">
        <w:rPr>
          <w:b/>
          <w:bCs/>
          <w:i w:val="0"/>
          <w:iCs w:val="0"/>
          <w:lang w:val="pl-PL"/>
        </w:rPr>
        <w:t xml:space="preserve"> </w:t>
      </w:r>
      <w:proofErr w:type="spellStart"/>
      <w:r w:rsidR="00835022" w:rsidRPr="0085159D">
        <w:rPr>
          <w:b/>
          <w:bCs/>
          <w:i w:val="0"/>
          <w:iCs w:val="0"/>
          <w:lang w:val="pl-PL"/>
        </w:rPr>
        <w:t>literacy</w:t>
      </w:r>
      <w:proofErr w:type="spellEnd"/>
      <w:r w:rsidR="00835022" w:rsidRPr="0085159D">
        <w:rPr>
          <w:b/>
          <w:bCs/>
          <w:lang w:val="pl-PL"/>
        </w:rPr>
        <w:t>)</w:t>
      </w:r>
      <w:r w:rsidRPr="0085159D">
        <w:rPr>
          <w:lang w:val="pl-PL"/>
        </w:rPr>
        <w:t xml:space="preserve"> definiowane są jako „połączenie świadomości finansowej, wiedzy, umiejętności, postaw i zachowań niezbędnych do podejmowania racjonalnych decyzji finansowych</w:t>
      </w:r>
      <w:r w:rsidR="001F7A7B" w:rsidRPr="0085159D">
        <w:rPr>
          <w:lang w:val="pl-PL"/>
        </w:rPr>
        <w:t xml:space="preserve"> w</w:t>
      </w:r>
      <w:r w:rsidR="001E5B9C">
        <w:rPr>
          <w:lang w:val="pl-PL"/>
        </w:rPr>
        <w:t> </w:t>
      </w:r>
      <w:r w:rsidR="001F7A7B" w:rsidRPr="0085159D">
        <w:rPr>
          <w:lang w:val="pl-PL"/>
        </w:rPr>
        <w:t xml:space="preserve">celu </w:t>
      </w:r>
      <w:r w:rsidRPr="0085159D">
        <w:rPr>
          <w:lang w:val="pl-PL"/>
        </w:rPr>
        <w:t>osiągnięcia dobro</w:t>
      </w:r>
      <w:r w:rsidR="001F7A7B" w:rsidRPr="0085159D">
        <w:rPr>
          <w:lang w:val="pl-PL"/>
        </w:rPr>
        <w:t>stanu</w:t>
      </w:r>
      <w:r w:rsidRPr="0085159D">
        <w:rPr>
          <w:lang w:val="pl-PL"/>
        </w:rPr>
        <w:t xml:space="preserve"> finansowego”</w:t>
      </w:r>
      <w:r w:rsidR="00DB100A">
        <w:rPr>
          <w:lang w:val="pl-PL"/>
        </w:rPr>
        <w:t>.</w:t>
      </w:r>
    </w:p>
    <w:p w14:paraId="515D249D" w14:textId="334FC470" w:rsidR="00282A62" w:rsidRPr="0085159D" w:rsidRDefault="00282A62" w:rsidP="000B051F">
      <w:pPr>
        <w:pStyle w:val="Cytat"/>
        <w:rPr>
          <w:rStyle w:val="Odwoanieprzypisukocowego"/>
          <w:lang w:val="pl-PL"/>
        </w:rPr>
      </w:pPr>
      <w:r w:rsidRPr="0085159D">
        <w:rPr>
          <w:b/>
          <w:bCs/>
          <w:lang w:val="pl-PL"/>
        </w:rPr>
        <w:t>Edukacja finansowa</w:t>
      </w:r>
      <w:r w:rsidRPr="0085159D">
        <w:rPr>
          <w:lang w:val="pl-PL"/>
        </w:rPr>
        <w:t xml:space="preserve"> definiowana jest jako „proces, w któr</w:t>
      </w:r>
      <w:r w:rsidR="001F7A7B" w:rsidRPr="0085159D">
        <w:rPr>
          <w:lang w:val="pl-PL"/>
        </w:rPr>
        <w:t>ym</w:t>
      </w:r>
      <w:r w:rsidRPr="0085159D">
        <w:rPr>
          <w:lang w:val="pl-PL"/>
        </w:rPr>
        <w:t xml:space="preserve"> konsumenci i/lub inwestorzy finansowi </w:t>
      </w:r>
      <w:r w:rsidR="001F7A7B" w:rsidRPr="0085159D">
        <w:rPr>
          <w:lang w:val="pl-PL"/>
        </w:rPr>
        <w:t xml:space="preserve">zwiększają swoje kompetencje w zakresie rozumienia </w:t>
      </w:r>
      <w:r w:rsidRPr="0085159D">
        <w:rPr>
          <w:lang w:val="pl-PL"/>
        </w:rPr>
        <w:t>produktów</w:t>
      </w:r>
      <w:r w:rsidR="008D7257">
        <w:rPr>
          <w:lang w:val="pl-PL"/>
        </w:rPr>
        <w:t xml:space="preserve"> i</w:t>
      </w:r>
      <w:r w:rsidRPr="0085159D">
        <w:rPr>
          <w:lang w:val="pl-PL"/>
        </w:rPr>
        <w:t xml:space="preserve"> pojęć z zakresu finansów </w:t>
      </w:r>
      <w:r w:rsidR="008D7257">
        <w:rPr>
          <w:lang w:val="pl-PL"/>
        </w:rPr>
        <w:t>oraz</w:t>
      </w:r>
      <w:r w:rsidR="001F7A7B" w:rsidRPr="0085159D">
        <w:rPr>
          <w:lang w:val="pl-PL"/>
        </w:rPr>
        <w:t xml:space="preserve"> zagrożeń finansowych</w:t>
      </w:r>
      <w:r w:rsidRPr="0085159D">
        <w:rPr>
          <w:lang w:val="pl-PL"/>
        </w:rPr>
        <w:t xml:space="preserve">, a także, </w:t>
      </w:r>
      <w:r w:rsidR="001F7A7B" w:rsidRPr="0085159D">
        <w:rPr>
          <w:lang w:val="pl-PL"/>
        </w:rPr>
        <w:t xml:space="preserve">poprzez </w:t>
      </w:r>
      <w:r w:rsidRPr="0085159D">
        <w:rPr>
          <w:lang w:val="pl-PL"/>
        </w:rPr>
        <w:t>informacj</w:t>
      </w:r>
      <w:r w:rsidR="001F7A7B" w:rsidRPr="0085159D">
        <w:rPr>
          <w:lang w:val="pl-PL"/>
        </w:rPr>
        <w:t>e</w:t>
      </w:r>
      <w:r w:rsidRPr="0085159D">
        <w:rPr>
          <w:lang w:val="pl-PL"/>
        </w:rPr>
        <w:t xml:space="preserve">, </w:t>
      </w:r>
      <w:r w:rsidR="001F7A7B" w:rsidRPr="0085159D">
        <w:rPr>
          <w:lang w:val="pl-PL"/>
        </w:rPr>
        <w:t xml:space="preserve">wskazówki lub </w:t>
      </w:r>
      <w:r w:rsidRPr="0085159D">
        <w:rPr>
          <w:lang w:val="pl-PL"/>
        </w:rPr>
        <w:t>obiektywn</w:t>
      </w:r>
      <w:r w:rsidR="001F7A7B" w:rsidRPr="0085159D">
        <w:rPr>
          <w:lang w:val="pl-PL"/>
        </w:rPr>
        <w:t>e</w:t>
      </w:r>
      <w:r w:rsidRPr="0085159D">
        <w:rPr>
          <w:lang w:val="pl-PL"/>
        </w:rPr>
        <w:t xml:space="preserve"> porad</w:t>
      </w:r>
      <w:r w:rsidR="001F7A7B" w:rsidRPr="0085159D">
        <w:rPr>
          <w:lang w:val="pl-PL"/>
        </w:rPr>
        <w:t>y</w:t>
      </w:r>
      <w:r w:rsidRPr="0085159D">
        <w:rPr>
          <w:lang w:val="pl-PL"/>
        </w:rPr>
        <w:t xml:space="preserve">, rozwijają </w:t>
      </w:r>
      <w:r w:rsidR="001F7A7B" w:rsidRPr="0085159D">
        <w:rPr>
          <w:lang w:val="pl-PL"/>
        </w:rPr>
        <w:t xml:space="preserve">swoje </w:t>
      </w:r>
      <w:r w:rsidRPr="0085159D">
        <w:rPr>
          <w:lang w:val="pl-PL"/>
        </w:rPr>
        <w:t>umiejętności i</w:t>
      </w:r>
      <w:r w:rsidR="001E5B9C">
        <w:rPr>
          <w:lang w:val="pl-PL"/>
        </w:rPr>
        <w:t> </w:t>
      </w:r>
      <w:r w:rsidR="001F7A7B" w:rsidRPr="0085159D">
        <w:rPr>
          <w:lang w:val="pl-PL"/>
        </w:rPr>
        <w:t xml:space="preserve">poczucie </w:t>
      </w:r>
      <w:r w:rsidRPr="0085159D">
        <w:rPr>
          <w:lang w:val="pl-PL"/>
        </w:rPr>
        <w:t>pewnoś</w:t>
      </w:r>
      <w:r w:rsidR="001F7A7B" w:rsidRPr="0085159D">
        <w:rPr>
          <w:lang w:val="pl-PL"/>
        </w:rPr>
        <w:t>ci</w:t>
      </w:r>
      <w:r w:rsidRPr="0085159D">
        <w:rPr>
          <w:lang w:val="pl-PL"/>
        </w:rPr>
        <w:t xml:space="preserve"> siebie, </w:t>
      </w:r>
      <w:r w:rsidR="001F7A7B" w:rsidRPr="0085159D">
        <w:rPr>
          <w:lang w:val="pl-PL"/>
        </w:rPr>
        <w:t xml:space="preserve">aby </w:t>
      </w:r>
      <w:r w:rsidRPr="0085159D">
        <w:rPr>
          <w:lang w:val="pl-PL"/>
        </w:rPr>
        <w:t xml:space="preserve">stać się bardziej świadomymi </w:t>
      </w:r>
      <w:r w:rsidR="001F7A7B" w:rsidRPr="0085159D">
        <w:rPr>
          <w:lang w:val="pl-PL"/>
        </w:rPr>
        <w:t xml:space="preserve">zagrożeń </w:t>
      </w:r>
      <w:r w:rsidRPr="0085159D">
        <w:rPr>
          <w:lang w:val="pl-PL"/>
        </w:rPr>
        <w:t xml:space="preserve">i możliwości finansowych, dokonywać </w:t>
      </w:r>
      <w:r w:rsidR="001F7A7B" w:rsidRPr="0085159D">
        <w:rPr>
          <w:lang w:val="pl-PL"/>
        </w:rPr>
        <w:t xml:space="preserve">odpowiedzialnych </w:t>
      </w:r>
      <w:r w:rsidRPr="0085159D">
        <w:rPr>
          <w:lang w:val="pl-PL"/>
        </w:rPr>
        <w:t xml:space="preserve">wyborów, wiedzieć, </w:t>
      </w:r>
      <w:r w:rsidR="00835022" w:rsidRPr="0085159D">
        <w:rPr>
          <w:lang w:val="pl-PL"/>
        </w:rPr>
        <w:t xml:space="preserve">gdzie </w:t>
      </w:r>
      <w:r w:rsidRPr="0085159D">
        <w:rPr>
          <w:lang w:val="pl-PL"/>
        </w:rPr>
        <w:t>zwrócić się o pomoc,</w:t>
      </w:r>
      <w:r w:rsidR="001F7A7B" w:rsidRPr="0085159D">
        <w:rPr>
          <w:lang w:val="pl-PL"/>
        </w:rPr>
        <w:t xml:space="preserve"> </w:t>
      </w:r>
      <w:r w:rsidR="008D7257">
        <w:rPr>
          <w:lang w:val="pl-PL"/>
        </w:rPr>
        <w:t>oraz</w:t>
      </w:r>
      <w:r w:rsidRPr="0085159D">
        <w:rPr>
          <w:lang w:val="pl-PL"/>
        </w:rPr>
        <w:t xml:space="preserve"> podejmować inne skuteczne działania w celu poprawy </w:t>
      </w:r>
      <w:r w:rsidR="001F7A7B" w:rsidRPr="0085159D">
        <w:rPr>
          <w:lang w:val="pl-PL"/>
        </w:rPr>
        <w:t xml:space="preserve">swojej sytuacji </w:t>
      </w:r>
      <w:r w:rsidRPr="0085159D">
        <w:rPr>
          <w:lang w:val="pl-PL"/>
        </w:rPr>
        <w:t>finansowe</w:t>
      </w:r>
      <w:r w:rsidR="001F7A7B" w:rsidRPr="0085159D">
        <w:rPr>
          <w:lang w:val="pl-PL"/>
        </w:rPr>
        <w:t>j</w:t>
      </w:r>
      <w:r w:rsidRPr="0085159D">
        <w:rPr>
          <w:lang w:val="pl-PL"/>
        </w:rPr>
        <w:t>”</w:t>
      </w:r>
      <w:r w:rsidR="00DB100A">
        <w:rPr>
          <w:lang w:val="pl-PL"/>
        </w:rPr>
        <w:t>.</w:t>
      </w:r>
    </w:p>
    <w:p w14:paraId="7D527EFC" w14:textId="77777777" w:rsidR="00282A62" w:rsidRPr="0085159D" w:rsidRDefault="004E5FC1" w:rsidP="000B051F">
      <w:pPr>
        <w:pStyle w:val="Para0"/>
        <w:rPr>
          <w:lang w:val="pl-PL"/>
        </w:rPr>
      </w:pPr>
      <w:r w:rsidRPr="0085159D">
        <w:rPr>
          <w:lang w:val="pl-PL"/>
        </w:rPr>
        <w:t>E</w:t>
      </w:r>
      <w:r w:rsidR="00282A62" w:rsidRPr="0085159D">
        <w:rPr>
          <w:lang w:val="pl-PL"/>
        </w:rPr>
        <w:t xml:space="preserve">dukacja finansowa jest </w:t>
      </w:r>
      <w:r w:rsidRPr="0085159D">
        <w:rPr>
          <w:lang w:val="pl-PL"/>
        </w:rPr>
        <w:t xml:space="preserve">zatem </w:t>
      </w:r>
      <w:r w:rsidR="00282A62" w:rsidRPr="0085159D">
        <w:rPr>
          <w:lang w:val="pl-PL"/>
        </w:rPr>
        <w:t xml:space="preserve">procesem nakierowanym </w:t>
      </w:r>
      <w:r w:rsidR="00282A62" w:rsidRPr="000626C2">
        <w:rPr>
          <w:lang w:val="pl-PL"/>
        </w:rPr>
        <w:t xml:space="preserve">na </w:t>
      </w:r>
      <w:r w:rsidR="00282A62" w:rsidRPr="000626C2">
        <w:rPr>
          <w:bCs/>
          <w:lang w:val="pl-PL"/>
        </w:rPr>
        <w:t>indywidualne osoby</w:t>
      </w:r>
      <w:r w:rsidR="00282A62" w:rsidRPr="0085159D">
        <w:rPr>
          <w:lang w:val="pl-PL"/>
        </w:rPr>
        <w:t>. Co za tym idzie, biorąc pod uwagę, że gospodarstwa domowe składają się zazwyczaj z dwóch lub więcej osób mieszkających w</w:t>
      </w:r>
      <w:r w:rsidR="001E5B9C">
        <w:rPr>
          <w:lang w:val="pl-PL"/>
        </w:rPr>
        <w:t> </w:t>
      </w:r>
      <w:r w:rsidR="00282A62" w:rsidRPr="0085159D">
        <w:rPr>
          <w:lang w:val="pl-PL"/>
        </w:rPr>
        <w:t>tym samym lokalu, beneficjentami edukacji finansowej są również gospodarstwa domowe.</w:t>
      </w:r>
    </w:p>
    <w:p w14:paraId="60DE9596" w14:textId="77777777" w:rsidR="00282A62" w:rsidRPr="0085159D" w:rsidRDefault="00726150" w:rsidP="00D57D08">
      <w:pPr>
        <w:pStyle w:val="Para0"/>
        <w:rPr>
          <w:lang w:val="pl-PL"/>
        </w:rPr>
      </w:pPr>
      <w:r>
        <w:rPr>
          <w:lang w:val="pl-PL"/>
        </w:rPr>
        <w:t xml:space="preserve">Należy </w:t>
      </w:r>
      <w:r w:rsidR="00282A62" w:rsidRPr="0085159D">
        <w:rPr>
          <w:lang w:val="pl-PL"/>
        </w:rPr>
        <w:t xml:space="preserve">również </w:t>
      </w:r>
      <w:r>
        <w:rPr>
          <w:lang w:val="pl-PL"/>
        </w:rPr>
        <w:t xml:space="preserve">wyjaśnić </w:t>
      </w:r>
      <w:r w:rsidR="00282A62" w:rsidRPr="0085159D">
        <w:rPr>
          <w:lang w:val="pl-PL"/>
        </w:rPr>
        <w:t xml:space="preserve">inne pojęcia związane z </w:t>
      </w:r>
      <w:r w:rsidR="00287F4D" w:rsidRPr="0085159D">
        <w:rPr>
          <w:lang w:val="pl-PL"/>
        </w:rPr>
        <w:t>kompetencjami</w:t>
      </w:r>
      <w:r w:rsidR="00282A62" w:rsidRPr="0085159D">
        <w:rPr>
          <w:lang w:val="pl-PL"/>
        </w:rPr>
        <w:t xml:space="preserve"> finansowymi oraz edukacją finansową, takie jak „edukacja ekonomiczna” czy „edukacja w zakresie przedsiębiorczości”</w:t>
      </w:r>
      <w:r>
        <w:rPr>
          <w:lang w:val="pl-PL"/>
        </w:rPr>
        <w:t>.</w:t>
      </w:r>
      <w:r w:rsidR="00282A62" w:rsidRPr="0085159D">
        <w:rPr>
          <w:lang w:val="pl-PL"/>
        </w:rPr>
        <w:t xml:space="preserve"> </w:t>
      </w:r>
      <w:r>
        <w:rPr>
          <w:lang w:val="pl-PL"/>
        </w:rPr>
        <w:t>W</w:t>
      </w:r>
      <w:r w:rsidR="00282A62" w:rsidRPr="0085159D">
        <w:rPr>
          <w:lang w:val="pl-PL"/>
        </w:rPr>
        <w:t>iele inicjatyw i</w:t>
      </w:r>
      <w:r w:rsidR="00B84729">
        <w:rPr>
          <w:lang w:val="pl-PL"/>
        </w:rPr>
        <w:t> </w:t>
      </w:r>
      <w:r w:rsidR="00282A62" w:rsidRPr="0085159D">
        <w:rPr>
          <w:lang w:val="pl-PL"/>
        </w:rPr>
        <w:t xml:space="preserve">programów </w:t>
      </w:r>
      <w:r w:rsidR="00E24605" w:rsidRPr="0085159D">
        <w:rPr>
          <w:lang w:val="pl-PL"/>
        </w:rPr>
        <w:t xml:space="preserve">obecnie </w:t>
      </w:r>
      <w:r w:rsidR="00282A62" w:rsidRPr="0085159D">
        <w:rPr>
          <w:lang w:val="pl-PL"/>
        </w:rPr>
        <w:t>realizowanych często łączy te uzupełniające się tematy.</w:t>
      </w:r>
    </w:p>
    <w:p w14:paraId="561D8810" w14:textId="77777777" w:rsidR="00282A62" w:rsidRPr="0085159D" w:rsidRDefault="00282A62" w:rsidP="000B051F">
      <w:pPr>
        <w:pStyle w:val="Para0"/>
        <w:rPr>
          <w:lang w:val="pl-PL"/>
        </w:rPr>
      </w:pPr>
      <w:r w:rsidRPr="0085159D">
        <w:rPr>
          <w:lang w:val="pl-PL"/>
        </w:rPr>
        <w:t xml:space="preserve">W polskich realiach </w:t>
      </w:r>
      <w:r w:rsidRPr="0085159D">
        <w:rPr>
          <w:b/>
          <w:bCs/>
          <w:i/>
          <w:iCs/>
          <w:lang w:val="pl-PL"/>
        </w:rPr>
        <w:t>edukacja ekonomiczna</w:t>
      </w:r>
      <w:r w:rsidRPr="0085159D">
        <w:rPr>
          <w:lang w:val="pl-PL"/>
        </w:rPr>
        <w:t xml:space="preserve"> obejmuje działania nakierowane na podnoszenie świadomości zasad funkcjonowania rynku finansowego</w:t>
      </w:r>
      <w:r w:rsidR="00726150">
        <w:rPr>
          <w:lang w:val="pl-PL"/>
        </w:rPr>
        <w:t>,</w:t>
      </w:r>
      <w:r w:rsidRPr="0085159D">
        <w:rPr>
          <w:lang w:val="pl-PL"/>
        </w:rPr>
        <w:t xml:space="preserve"> </w:t>
      </w:r>
      <w:r w:rsidR="00726150">
        <w:rPr>
          <w:lang w:val="pl-PL"/>
        </w:rPr>
        <w:t xml:space="preserve">znajomości </w:t>
      </w:r>
      <w:r w:rsidRPr="0085159D">
        <w:rPr>
          <w:lang w:val="pl-PL"/>
        </w:rPr>
        <w:t>zagadnień ekonomicznych w</w:t>
      </w:r>
      <w:r w:rsidR="00A76B1A">
        <w:rPr>
          <w:lang w:val="pl-PL"/>
        </w:rPr>
        <w:t> </w:t>
      </w:r>
      <w:r w:rsidRPr="0085159D">
        <w:rPr>
          <w:lang w:val="pl-PL"/>
        </w:rPr>
        <w:t>społeczeństwie</w:t>
      </w:r>
      <w:r w:rsidR="00726150">
        <w:rPr>
          <w:lang w:val="pl-PL"/>
        </w:rPr>
        <w:t>,</w:t>
      </w:r>
      <w:r w:rsidRPr="0085159D">
        <w:rPr>
          <w:lang w:val="pl-PL"/>
        </w:rPr>
        <w:t xml:space="preserve"> kształtowanie postaw sprzyjających rozwojowi przedsiębiorczości</w:t>
      </w:r>
      <w:r w:rsidR="00726150">
        <w:rPr>
          <w:lang w:val="pl-PL"/>
        </w:rPr>
        <w:t>,</w:t>
      </w:r>
      <w:r w:rsidRPr="0085159D">
        <w:rPr>
          <w:lang w:val="pl-PL"/>
        </w:rPr>
        <w:t xml:space="preserve"> przeciwdziałanie wykluczeniu finansowemu i kształtowanie odpowiedzialności w podejmowaniu decyzji finansowych, w tym m.in. zarządzaniu budżetem domowym </w:t>
      </w:r>
      <w:r w:rsidR="00726150">
        <w:rPr>
          <w:lang w:val="pl-PL"/>
        </w:rPr>
        <w:t>oraz</w:t>
      </w:r>
      <w:r w:rsidRPr="0085159D">
        <w:rPr>
          <w:lang w:val="pl-PL"/>
        </w:rPr>
        <w:t xml:space="preserve"> korzystaniu z usług finansowych </w:t>
      </w:r>
      <w:sdt>
        <w:sdtPr>
          <w:rPr>
            <w:lang w:val="pl-PL"/>
          </w:rPr>
          <w:id w:val="1211684837"/>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w:t>
      </w:r>
    </w:p>
    <w:p w14:paraId="45F9AF38" w14:textId="77777777" w:rsidR="00282A62" w:rsidRPr="0085159D" w:rsidRDefault="00282A62" w:rsidP="000B051F">
      <w:pPr>
        <w:pStyle w:val="Para0"/>
        <w:rPr>
          <w:lang w:val="pl-PL"/>
        </w:rPr>
      </w:pPr>
      <w:r w:rsidRPr="0085159D">
        <w:rPr>
          <w:lang w:val="pl-PL"/>
        </w:rPr>
        <w:t xml:space="preserve">W kontekście UE </w:t>
      </w:r>
      <w:r w:rsidRPr="003B4072">
        <w:rPr>
          <w:lang w:val="pl-PL"/>
        </w:rPr>
        <w:t>przedsiębiorczoś</w:t>
      </w:r>
      <w:r w:rsidR="004E5FC1" w:rsidRPr="003B4072">
        <w:rPr>
          <w:lang w:val="pl-PL"/>
        </w:rPr>
        <w:t>ć</w:t>
      </w:r>
      <w:r w:rsidRPr="0085159D">
        <w:rPr>
          <w:lang w:val="pl-PL"/>
        </w:rPr>
        <w:t xml:space="preserve"> definiowana jest jako „zdolnoś</w:t>
      </w:r>
      <w:r w:rsidR="004E5FC1" w:rsidRPr="0085159D">
        <w:rPr>
          <w:lang w:val="pl-PL"/>
        </w:rPr>
        <w:t>ć</w:t>
      </w:r>
      <w:r w:rsidRPr="0085159D">
        <w:rPr>
          <w:lang w:val="pl-PL"/>
        </w:rPr>
        <w:t xml:space="preserve"> do wykorzystywania szans i pomysłów oraz przekształcania ich w wartość dla innych. Tworzona wartość może mieć charakter finansowy, kulturowy lub społeczny” </w:t>
      </w:r>
      <w:sdt>
        <w:sdtPr>
          <w:rPr>
            <w:lang w:val="pl-PL"/>
          </w:rPr>
          <w:id w:val="943652456"/>
          <w:citation/>
        </w:sdtPr>
        <w:sdtEndPr/>
        <w:sdtContent>
          <w:r w:rsidRPr="0085159D">
            <w:rPr>
              <w:lang w:val="pl-PL"/>
            </w:rPr>
            <w:fldChar w:fldCharType="begin"/>
          </w:r>
          <w:r w:rsidRPr="0085159D">
            <w:rPr>
              <w:noProof/>
              <w:lang w:val="pl-PL"/>
            </w:rPr>
            <w:instrText xml:space="preserve">CITATION Mendeley_YJeB4AA9jDW272w2rgRhhw \m Mendeley_q_fE4ein_TKxPFA0OhPcKw \l 2057 </w:instrText>
          </w:r>
          <w:r w:rsidRPr="0085159D">
            <w:rPr>
              <w:lang w:val="pl-PL"/>
            </w:rPr>
            <w:fldChar w:fldCharType="separate"/>
          </w:r>
          <w:bookmarkStart w:id="17" w:name="Mendeley_q_fE4ein_TKxPFA0OhPcKw_13"/>
          <w:bookmarkStart w:id="18" w:name="Mendeley_q_fE4ein_TKxPFA0OhPcKw_12"/>
          <w:r w:rsidRPr="0085159D">
            <w:rPr>
              <w:noProof/>
              <w:lang w:val="pl-PL"/>
            </w:rPr>
            <w:t>(</w:t>
          </w:r>
          <w:bookmarkStart w:id="19" w:name="Mendeley_YJeB4AA9jDW272w2rgRhhw_12"/>
          <w:r w:rsidRPr="0085159D">
            <w:rPr>
              <w:noProof/>
              <w:lang w:val="pl-PL"/>
            </w:rPr>
            <w:t>Young Enterprise Denmark, 2011</w:t>
          </w:r>
          <w:r w:rsidRPr="0085159D">
            <w:rPr>
              <w:noProof/>
              <w:vertAlign w:val="subscript"/>
              <w:lang w:val="pl-PL"/>
            </w:rPr>
            <w:t>[12]</w:t>
          </w:r>
          <w:r w:rsidRPr="0085159D">
            <w:rPr>
              <w:noProof/>
              <w:lang w:val="pl-PL"/>
            </w:rPr>
            <w:t xml:space="preserve">; </w:t>
          </w:r>
          <w:bookmarkEnd w:id="19"/>
          <w:r w:rsidRPr="0085159D">
            <w:rPr>
              <w:noProof/>
              <w:lang w:val="pl-PL"/>
            </w:rPr>
            <w:t xml:space="preserve">Komisja Europejska, Dyrekcja Generalna </w:t>
          </w:r>
          <w:r w:rsidRPr="0085159D">
            <w:rPr>
              <w:noProof/>
              <w:lang w:val="pl-PL"/>
            </w:rPr>
            <w:lastRenderedPageBreak/>
            <w:t>ds. Edukacji, Młodzieży, Sportu i Kultury, 2019</w:t>
          </w:r>
          <w:r w:rsidRPr="0085159D">
            <w:rPr>
              <w:noProof/>
              <w:vertAlign w:val="subscript"/>
              <w:lang w:val="pl-PL"/>
            </w:rPr>
            <w:t>[13]</w:t>
          </w:r>
          <w:r w:rsidRPr="0085159D">
            <w:rPr>
              <w:noProof/>
              <w:lang w:val="pl-PL"/>
            </w:rPr>
            <w:t>)</w:t>
          </w:r>
          <w:bookmarkEnd w:id="17"/>
          <w:bookmarkEnd w:id="18"/>
          <w:r w:rsidRPr="0085159D">
            <w:rPr>
              <w:lang w:val="pl-PL"/>
            </w:rPr>
            <w:fldChar w:fldCharType="end"/>
          </w:r>
        </w:sdtContent>
      </w:sdt>
      <w:r w:rsidRPr="0085159D">
        <w:rPr>
          <w:lang w:val="pl-PL"/>
        </w:rPr>
        <w:t>.</w:t>
      </w:r>
      <w:r w:rsidRPr="0085159D">
        <w:rPr>
          <w:b/>
          <w:bCs/>
          <w:i/>
          <w:iCs/>
          <w:lang w:val="pl-PL"/>
        </w:rPr>
        <w:t xml:space="preserve"> </w:t>
      </w:r>
      <w:r w:rsidRPr="0085159D">
        <w:rPr>
          <w:lang w:val="pl-PL"/>
        </w:rPr>
        <w:t xml:space="preserve">Przedsiębiorczość definiowana jest przez UE jako konkretna „umiejętność”. Całościowe efekty </w:t>
      </w:r>
      <w:r w:rsidRPr="0085159D">
        <w:rPr>
          <w:b/>
          <w:bCs/>
          <w:i/>
          <w:iCs/>
          <w:lang w:val="pl-PL"/>
        </w:rPr>
        <w:t>edukacji w zakresie przedsiębiorczości</w:t>
      </w:r>
      <w:r w:rsidRPr="0085159D">
        <w:rPr>
          <w:lang w:val="pl-PL"/>
        </w:rPr>
        <w:t xml:space="preserve"> zostały również zdefiniowane przez Komisję Europejską w publikacji „</w:t>
      </w:r>
      <w:r w:rsidR="00843A1D" w:rsidRPr="0085159D">
        <w:rPr>
          <w:lang w:val="pl-PL"/>
        </w:rPr>
        <w:t xml:space="preserve">The </w:t>
      </w:r>
      <w:proofErr w:type="spellStart"/>
      <w:r w:rsidR="00907352" w:rsidRPr="0085159D">
        <w:rPr>
          <w:lang w:val="pl-PL"/>
        </w:rPr>
        <w:t>Entrepreneurship</w:t>
      </w:r>
      <w:proofErr w:type="spellEnd"/>
      <w:r w:rsidR="00907352" w:rsidRPr="0085159D">
        <w:rPr>
          <w:lang w:val="pl-PL"/>
        </w:rPr>
        <w:t xml:space="preserve"> </w:t>
      </w:r>
      <w:proofErr w:type="spellStart"/>
      <w:r w:rsidR="00907352" w:rsidRPr="0085159D">
        <w:rPr>
          <w:lang w:val="pl-PL"/>
        </w:rPr>
        <w:t>Competence</w:t>
      </w:r>
      <w:proofErr w:type="spellEnd"/>
      <w:r w:rsidR="00907352" w:rsidRPr="0085159D">
        <w:rPr>
          <w:lang w:val="pl-PL"/>
        </w:rPr>
        <w:t xml:space="preserve"> Framework” </w:t>
      </w:r>
      <w:r w:rsidR="00726150">
        <w:rPr>
          <w:lang w:val="pl-PL"/>
        </w:rPr>
        <w:t>(</w:t>
      </w:r>
      <w:r w:rsidR="000F54F6">
        <w:rPr>
          <w:lang w:val="pl-PL"/>
        </w:rPr>
        <w:t xml:space="preserve">Ramy </w:t>
      </w:r>
      <w:r w:rsidRPr="0085159D">
        <w:rPr>
          <w:lang w:val="pl-PL"/>
        </w:rPr>
        <w:t>kompetencji w zakresie przedsiębiorczości</w:t>
      </w:r>
      <w:r w:rsidR="003B4072">
        <w:rPr>
          <w:lang w:val="pl-PL"/>
        </w:rPr>
        <w:t>)</w:t>
      </w:r>
      <w:sdt>
        <w:sdtPr>
          <w:rPr>
            <w:lang w:val="pl-PL"/>
          </w:rPr>
          <w:id w:val="-937134454"/>
          <w:citation/>
        </w:sdtPr>
        <w:sdtEndPr/>
        <w:sdtContent>
          <w:r w:rsidR="00907352" w:rsidRPr="0085159D">
            <w:rPr>
              <w:lang w:val="pl-PL"/>
            </w:rPr>
            <w:fldChar w:fldCharType="begin"/>
          </w:r>
          <w:r w:rsidR="00907352" w:rsidRPr="0085159D">
            <w:rPr>
              <w:lang w:val="pl-PL"/>
            </w:rPr>
            <w:instrText xml:space="preserve"> CITATION Mendeley_NIZ62b7hVz6SKhLtwVJsUw \l 2057 </w:instrText>
          </w:r>
          <w:r w:rsidR="00907352" w:rsidRPr="0085159D">
            <w:rPr>
              <w:lang w:val="pl-PL"/>
            </w:rPr>
            <w:fldChar w:fldCharType="separate"/>
          </w:r>
          <w:r w:rsidR="00907352" w:rsidRPr="0085159D">
            <w:rPr>
              <w:noProof/>
              <w:lang w:val="pl-PL"/>
            </w:rPr>
            <w:t xml:space="preserve"> (Komisja Europejska, 2016</w:t>
          </w:r>
          <w:r w:rsidR="00907352" w:rsidRPr="0085159D">
            <w:rPr>
              <w:noProof/>
              <w:vertAlign w:val="subscript"/>
              <w:lang w:val="pl-PL"/>
            </w:rPr>
            <w:t>[14]</w:t>
          </w:r>
          <w:r w:rsidR="00907352" w:rsidRPr="0085159D">
            <w:rPr>
              <w:noProof/>
              <w:lang w:val="pl-PL"/>
            </w:rPr>
            <w:t>)</w:t>
          </w:r>
          <w:r w:rsidR="00907352" w:rsidRPr="0085159D">
            <w:rPr>
              <w:lang w:val="pl-PL"/>
            </w:rPr>
            <w:fldChar w:fldCharType="end"/>
          </w:r>
        </w:sdtContent>
      </w:sdt>
      <w:r w:rsidRPr="0085159D">
        <w:rPr>
          <w:lang w:val="pl-PL"/>
        </w:rPr>
        <w:t xml:space="preserve">. </w:t>
      </w:r>
      <w:r w:rsidR="000F54F6">
        <w:rPr>
          <w:lang w:val="pl-PL"/>
        </w:rPr>
        <w:t xml:space="preserve">Ramy </w:t>
      </w:r>
      <w:r w:rsidRPr="0085159D">
        <w:rPr>
          <w:lang w:val="pl-PL"/>
        </w:rPr>
        <w:t>t</w:t>
      </w:r>
      <w:r w:rsidR="000F54F6">
        <w:rPr>
          <w:lang w:val="pl-PL"/>
        </w:rPr>
        <w:t>e</w:t>
      </w:r>
      <w:r w:rsidRPr="0085159D">
        <w:rPr>
          <w:lang w:val="pl-PL"/>
        </w:rPr>
        <w:t xml:space="preserve"> powinn</w:t>
      </w:r>
      <w:r w:rsidR="000F54F6">
        <w:rPr>
          <w:lang w:val="pl-PL"/>
        </w:rPr>
        <w:t>y</w:t>
      </w:r>
      <w:r w:rsidRPr="0085159D">
        <w:rPr>
          <w:lang w:val="pl-PL"/>
        </w:rPr>
        <w:t xml:space="preserve"> być traktowan</w:t>
      </w:r>
      <w:r w:rsidR="000F54F6">
        <w:rPr>
          <w:lang w:val="pl-PL"/>
        </w:rPr>
        <w:t>e</w:t>
      </w:r>
      <w:r w:rsidRPr="0085159D">
        <w:rPr>
          <w:lang w:val="pl-PL"/>
        </w:rPr>
        <w:t xml:space="preserve"> jako punkt odniesienia przy każdej inicjatywie, której celem jest wspieranie edukacji w zakresie przedsiębiorczości</w:t>
      </w:r>
      <w:sdt>
        <w:sdtPr>
          <w:rPr>
            <w:lang w:val="pl-PL"/>
          </w:rPr>
          <w:id w:val="-1229073131"/>
          <w:citation/>
        </w:sdtPr>
        <w:sdtEndPr/>
        <w:sdtContent>
          <w:r w:rsidRPr="0085159D">
            <w:rPr>
              <w:lang w:val="pl-PL"/>
            </w:rPr>
            <w:fldChar w:fldCharType="begin"/>
          </w:r>
          <w:r w:rsidRPr="0085159D">
            <w:rPr>
              <w:lang w:val="pl-PL"/>
            </w:rPr>
            <w:instrText xml:space="preserve"> CITATION Mendeley_NIZ62b7hVz6SKhLtwVJsUw \l 2057 </w:instrText>
          </w:r>
          <w:r w:rsidRPr="0085159D">
            <w:rPr>
              <w:lang w:val="pl-PL"/>
            </w:rPr>
            <w:fldChar w:fldCharType="separate"/>
          </w:r>
          <w:r w:rsidRPr="0085159D">
            <w:rPr>
              <w:noProof/>
              <w:lang w:val="pl-PL"/>
            </w:rPr>
            <w:t xml:space="preserve"> (Komisja Europejska, 2016</w:t>
          </w:r>
          <w:r w:rsidRPr="0085159D">
            <w:rPr>
              <w:noProof/>
              <w:vertAlign w:val="subscript"/>
              <w:lang w:val="pl-PL"/>
            </w:rPr>
            <w:t>[14]</w:t>
          </w:r>
          <w:r w:rsidRPr="0085159D">
            <w:rPr>
              <w:noProof/>
              <w:lang w:val="pl-PL"/>
            </w:rPr>
            <w:t>)</w:t>
          </w:r>
          <w:r w:rsidRPr="0085159D">
            <w:rPr>
              <w:lang w:val="pl-PL"/>
            </w:rPr>
            <w:fldChar w:fldCharType="end"/>
          </w:r>
        </w:sdtContent>
      </w:sdt>
      <w:r w:rsidRPr="0085159D">
        <w:rPr>
          <w:lang w:val="pl-PL"/>
        </w:rPr>
        <w:t>.</w:t>
      </w:r>
    </w:p>
    <w:p w14:paraId="16C3D648" w14:textId="2B16EDE2" w:rsidR="00282A62" w:rsidRPr="0085159D" w:rsidRDefault="00282A62" w:rsidP="000B051F">
      <w:pPr>
        <w:pStyle w:val="Para0"/>
        <w:rPr>
          <w:lang w:val="pl-PL"/>
        </w:rPr>
      </w:pPr>
      <w:r w:rsidRPr="0085159D">
        <w:rPr>
          <w:lang w:val="pl-PL"/>
        </w:rPr>
        <w:t xml:space="preserve">Te trzy pojęcia </w:t>
      </w:r>
      <w:r w:rsidR="00DB100A">
        <w:rPr>
          <w:lang w:val="pl-PL"/>
        </w:rPr>
        <w:t>–</w:t>
      </w:r>
      <w:r w:rsidR="003B4072">
        <w:rPr>
          <w:lang w:val="pl-PL"/>
        </w:rPr>
        <w:t xml:space="preserve"> </w:t>
      </w:r>
      <w:r w:rsidRPr="0085159D">
        <w:rPr>
          <w:lang w:val="pl-PL"/>
        </w:rPr>
        <w:t>edukacja finansowa, edukacja ekonomiczna i edukacja w zakresie przedsiębiorczości</w:t>
      </w:r>
      <w:r w:rsidR="003B4072">
        <w:rPr>
          <w:lang w:val="pl-PL"/>
        </w:rPr>
        <w:t xml:space="preserve"> - są ze sobą powiązane </w:t>
      </w:r>
      <w:r w:rsidRPr="0085159D">
        <w:rPr>
          <w:lang w:val="pl-PL"/>
        </w:rPr>
        <w:t>i często wzajemnie</w:t>
      </w:r>
      <w:r w:rsidR="003B4072">
        <w:rPr>
          <w:lang w:val="pl-PL"/>
        </w:rPr>
        <w:t xml:space="preserve"> się</w:t>
      </w:r>
      <w:r w:rsidRPr="0085159D">
        <w:rPr>
          <w:lang w:val="pl-PL"/>
        </w:rPr>
        <w:t xml:space="preserve"> wzmacniają. </w:t>
      </w:r>
      <w:r w:rsidR="003B4072">
        <w:rPr>
          <w:lang w:val="pl-PL"/>
        </w:rPr>
        <w:t>E</w:t>
      </w:r>
      <w:r w:rsidRPr="0085159D">
        <w:rPr>
          <w:lang w:val="pl-PL"/>
        </w:rPr>
        <w:t>dukacja finansowa pomaga przedsiębiorc</w:t>
      </w:r>
      <w:r w:rsidR="00025999" w:rsidRPr="0085159D">
        <w:rPr>
          <w:lang w:val="pl-PL"/>
        </w:rPr>
        <w:t>om</w:t>
      </w:r>
      <w:r w:rsidRPr="0085159D">
        <w:rPr>
          <w:lang w:val="pl-PL"/>
        </w:rPr>
        <w:t xml:space="preserve"> w tworzeni</w:t>
      </w:r>
      <w:r w:rsidR="003B4072">
        <w:rPr>
          <w:lang w:val="pl-PL"/>
        </w:rPr>
        <w:t>u</w:t>
      </w:r>
      <w:r w:rsidRPr="0085159D">
        <w:rPr>
          <w:lang w:val="pl-PL"/>
        </w:rPr>
        <w:t xml:space="preserve"> odnoszących sukcesy</w:t>
      </w:r>
      <w:r w:rsidR="003B4072">
        <w:rPr>
          <w:lang w:val="pl-PL"/>
        </w:rPr>
        <w:t xml:space="preserve"> i</w:t>
      </w:r>
      <w:r w:rsidRPr="0085159D">
        <w:rPr>
          <w:lang w:val="pl-PL"/>
        </w:rPr>
        <w:t xml:space="preserve"> rentownych biznesów</w:t>
      </w:r>
      <w:r w:rsidR="00CF6580">
        <w:rPr>
          <w:lang w:val="pl-PL"/>
        </w:rPr>
        <w:t>,</w:t>
      </w:r>
      <w:r w:rsidRPr="0085159D">
        <w:rPr>
          <w:lang w:val="pl-PL"/>
        </w:rPr>
        <w:t xml:space="preserve"> poprzez dostarczanie wiedzy, </w:t>
      </w:r>
      <w:r w:rsidR="00427182">
        <w:rPr>
          <w:lang w:val="pl-PL"/>
        </w:rPr>
        <w:t xml:space="preserve">kształtowanie </w:t>
      </w:r>
      <w:r w:rsidRPr="0085159D">
        <w:rPr>
          <w:lang w:val="pl-PL"/>
        </w:rPr>
        <w:t>umiejętności i zachowań niezbędnych do podejmowania decyzji finansowych zarówno w życiu prywatnym, jak i w ramach działalności gospodarczej. Edukacja ekonomiczna zapewni</w:t>
      </w:r>
      <w:r w:rsidR="00427182">
        <w:rPr>
          <w:lang w:val="pl-PL"/>
        </w:rPr>
        <w:t>a</w:t>
      </w:r>
      <w:r w:rsidRPr="0085159D">
        <w:rPr>
          <w:lang w:val="pl-PL"/>
        </w:rPr>
        <w:t xml:space="preserve"> zrozumienie kontekstu, w</w:t>
      </w:r>
      <w:r w:rsidR="00A76B1A">
        <w:rPr>
          <w:lang w:val="pl-PL"/>
        </w:rPr>
        <w:t> </w:t>
      </w:r>
      <w:r w:rsidRPr="0085159D">
        <w:rPr>
          <w:lang w:val="pl-PL"/>
        </w:rPr>
        <w:t xml:space="preserve">jakim od indywidualnych osób oczekuje się dokonywania osobistych wyborów finansowych, co ostatecznie może prowadzić do poprawy sytuacji konsumentów i całego społeczeństwa. Istnieje wiele przykładów na powiązania między edukacją finansową, ekonomiczną oraz w zakresie przedsiębiorczości. Chociaż komplementarność ta jest </w:t>
      </w:r>
      <w:r w:rsidR="00025999" w:rsidRPr="0085159D">
        <w:rPr>
          <w:lang w:val="pl-PL"/>
        </w:rPr>
        <w:t xml:space="preserve">silna </w:t>
      </w:r>
      <w:r w:rsidRPr="0085159D">
        <w:rPr>
          <w:lang w:val="pl-PL"/>
        </w:rPr>
        <w:t xml:space="preserve">i znacząca, </w:t>
      </w:r>
      <w:r w:rsidR="00427182">
        <w:rPr>
          <w:lang w:val="pl-PL"/>
        </w:rPr>
        <w:t xml:space="preserve">to jednak </w:t>
      </w:r>
      <w:r w:rsidRPr="0085159D">
        <w:rPr>
          <w:lang w:val="pl-PL"/>
        </w:rPr>
        <w:t xml:space="preserve">te trzy </w:t>
      </w:r>
      <w:r w:rsidR="00427182">
        <w:rPr>
          <w:lang w:val="pl-PL"/>
        </w:rPr>
        <w:t xml:space="preserve">obszary </w:t>
      </w:r>
      <w:r w:rsidRPr="0085159D">
        <w:rPr>
          <w:lang w:val="pl-PL"/>
        </w:rPr>
        <w:t>edukacji są rozdzielne</w:t>
      </w:r>
      <w:r w:rsidR="00427182">
        <w:rPr>
          <w:lang w:val="pl-PL"/>
        </w:rPr>
        <w:t xml:space="preserve"> </w:t>
      </w:r>
      <w:r w:rsidR="00DB100A">
        <w:rPr>
          <w:lang w:val="pl-PL"/>
        </w:rPr>
        <w:t>–</w:t>
      </w:r>
      <w:r w:rsidRPr="0085159D">
        <w:rPr>
          <w:lang w:val="pl-PL"/>
        </w:rPr>
        <w:t xml:space="preserve"> często wspierają różne cele polityki edukacyjnej oraz wymagają </w:t>
      </w:r>
      <w:r w:rsidR="00427182">
        <w:rPr>
          <w:lang w:val="pl-PL"/>
        </w:rPr>
        <w:t>inaczej</w:t>
      </w:r>
      <w:r w:rsidRPr="0085159D">
        <w:rPr>
          <w:lang w:val="pl-PL"/>
        </w:rPr>
        <w:t xml:space="preserve"> ukierunkowanej uwagi oraz </w:t>
      </w:r>
      <w:r w:rsidR="00427182">
        <w:rPr>
          <w:lang w:val="pl-PL"/>
        </w:rPr>
        <w:t xml:space="preserve">różnych </w:t>
      </w:r>
      <w:r w:rsidRPr="0085159D">
        <w:rPr>
          <w:lang w:val="pl-PL"/>
        </w:rPr>
        <w:t>zasobów. Edukacja ekonomiczna i edukacja w zakresie przedsiębiorczości mogą przyczynić się do ogólnej wizji oraz celów niniejszej Strategii</w:t>
      </w:r>
      <w:r w:rsidR="00E674CA">
        <w:rPr>
          <w:lang w:val="pl-PL"/>
        </w:rPr>
        <w:t>. Jednakże</w:t>
      </w:r>
      <w:r w:rsidRPr="0085159D">
        <w:rPr>
          <w:lang w:val="pl-PL"/>
        </w:rPr>
        <w:t xml:space="preserve"> Strategia będzie koncentrowa</w:t>
      </w:r>
      <w:r w:rsidR="00025999" w:rsidRPr="0085159D">
        <w:rPr>
          <w:lang w:val="pl-PL"/>
        </w:rPr>
        <w:t>ła</w:t>
      </w:r>
      <w:r w:rsidRPr="0085159D">
        <w:rPr>
          <w:lang w:val="pl-PL"/>
        </w:rPr>
        <w:t xml:space="preserve"> się na edukacji finansowej </w:t>
      </w:r>
      <w:r w:rsidR="00025999" w:rsidRPr="0085159D">
        <w:rPr>
          <w:lang w:val="pl-PL"/>
        </w:rPr>
        <w:t xml:space="preserve">rozumianej </w:t>
      </w:r>
      <w:r w:rsidRPr="0085159D">
        <w:rPr>
          <w:lang w:val="pl-PL"/>
        </w:rPr>
        <w:t xml:space="preserve">jako edukacja w zakresie finansów osobistych, która ma na celu wspieranie indywidualnej odporności finansowej i </w:t>
      </w:r>
      <w:r w:rsidR="000B051F" w:rsidRPr="0085159D">
        <w:rPr>
          <w:lang w:val="pl-PL"/>
        </w:rPr>
        <w:t xml:space="preserve">dobrostanu </w:t>
      </w:r>
      <w:r w:rsidRPr="0085159D">
        <w:rPr>
          <w:lang w:val="pl-PL"/>
        </w:rPr>
        <w:t>finansowego.</w:t>
      </w:r>
    </w:p>
    <w:p w14:paraId="720040F3" w14:textId="77777777" w:rsidR="00282A62" w:rsidRPr="0085159D" w:rsidRDefault="00282A62" w:rsidP="000B051F">
      <w:pPr>
        <w:pStyle w:val="Para0"/>
        <w:rPr>
          <w:lang w:val="pl-PL"/>
        </w:rPr>
      </w:pPr>
      <w:r w:rsidRPr="0085159D">
        <w:rPr>
          <w:lang w:val="pl-PL"/>
        </w:rPr>
        <w:t xml:space="preserve">Zarówno w Polsce, jak i wielu </w:t>
      </w:r>
      <w:r w:rsidR="00427182">
        <w:rPr>
          <w:lang w:val="pl-PL"/>
        </w:rPr>
        <w:t xml:space="preserve">innych </w:t>
      </w:r>
      <w:r w:rsidRPr="0085159D">
        <w:rPr>
          <w:lang w:val="pl-PL"/>
        </w:rPr>
        <w:t xml:space="preserve">krajach, cyfryzacja branży finansowej przynosi </w:t>
      </w:r>
      <w:r w:rsidR="00025999" w:rsidRPr="0085159D">
        <w:rPr>
          <w:lang w:val="pl-PL"/>
        </w:rPr>
        <w:t xml:space="preserve">konsumentom </w:t>
      </w:r>
      <w:r w:rsidRPr="0085159D">
        <w:rPr>
          <w:lang w:val="pl-PL"/>
        </w:rPr>
        <w:t xml:space="preserve">nowe korzyści, ale również generuje nowe </w:t>
      </w:r>
      <w:r w:rsidR="00025999" w:rsidRPr="0085159D">
        <w:rPr>
          <w:lang w:val="pl-PL"/>
        </w:rPr>
        <w:t>zagrożenia</w:t>
      </w:r>
      <w:r w:rsidRPr="0085159D">
        <w:rPr>
          <w:lang w:val="pl-PL"/>
        </w:rPr>
        <w:t xml:space="preserve">. A zatem osoba </w:t>
      </w:r>
      <w:r w:rsidR="006C646C" w:rsidRPr="0085159D">
        <w:rPr>
          <w:lang w:val="pl-PL"/>
        </w:rPr>
        <w:t xml:space="preserve">mająca odpowiednie kompetencje finansowe </w:t>
      </w:r>
      <w:r w:rsidRPr="0085159D">
        <w:rPr>
          <w:lang w:val="pl-PL"/>
        </w:rPr>
        <w:t>powinna umieć wykorzystać możliwości, jakie niosą ze sobą innowacje</w:t>
      </w:r>
      <w:r w:rsidR="00427182">
        <w:rPr>
          <w:lang w:val="pl-PL"/>
        </w:rPr>
        <w:t xml:space="preserve"> cyfrowe</w:t>
      </w:r>
      <w:r w:rsidRPr="0085159D">
        <w:rPr>
          <w:lang w:val="pl-PL"/>
        </w:rPr>
        <w:t xml:space="preserve"> w sektorze finansowym. Jednocześnie powinna być w stanie ochronić siebie przed zagrożeniami </w:t>
      </w:r>
      <w:r w:rsidR="00427182">
        <w:rPr>
          <w:lang w:val="pl-PL"/>
        </w:rPr>
        <w:t xml:space="preserve">z nich </w:t>
      </w:r>
      <w:r w:rsidRPr="0085159D">
        <w:rPr>
          <w:lang w:val="pl-PL"/>
        </w:rPr>
        <w:t>wynikającymi. Dostęp do urządzeń cyfrowych i Internetu, które są kluczowymi narzędziami poszerzania dostępności cyfrowych usług finansowych, jest w Polsce dobry. Niniejsza Strategia uwzględnia obecny kontekst rosnącej</w:t>
      </w:r>
      <w:r w:rsidR="00892E00">
        <w:rPr>
          <w:lang w:val="pl-PL"/>
        </w:rPr>
        <w:t xml:space="preserve"> </w:t>
      </w:r>
      <w:r w:rsidRPr="0085159D">
        <w:rPr>
          <w:lang w:val="pl-PL"/>
        </w:rPr>
        <w:t xml:space="preserve">cyfryzacji </w:t>
      </w:r>
      <w:r w:rsidR="00025999" w:rsidRPr="0085159D">
        <w:rPr>
          <w:lang w:val="pl-PL"/>
        </w:rPr>
        <w:t>w</w:t>
      </w:r>
      <w:r w:rsidR="001E5B9C">
        <w:rPr>
          <w:lang w:val="pl-PL"/>
        </w:rPr>
        <w:t> </w:t>
      </w:r>
      <w:r w:rsidR="00025999" w:rsidRPr="0085159D">
        <w:rPr>
          <w:lang w:val="pl-PL"/>
        </w:rPr>
        <w:t xml:space="preserve">Polsce </w:t>
      </w:r>
      <w:r w:rsidRPr="0085159D">
        <w:rPr>
          <w:lang w:val="pl-PL"/>
        </w:rPr>
        <w:t>i bierze pod uwagę znaczenie podnoszenia cyfrowych kompetencji finansowych. W związku z</w:t>
      </w:r>
      <w:r w:rsidR="001E5B9C">
        <w:rPr>
          <w:lang w:val="pl-PL"/>
        </w:rPr>
        <w:t> </w:t>
      </w:r>
      <w:r w:rsidRPr="0085159D">
        <w:rPr>
          <w:lang w:val="pl-PL"/>
        </w:rPr>
        <w:t>tym, przyj</w:t>
      </w:r>
      <w:r w:rsidR="00E674CA">
        <w:rPr>
          <w:lang w:val="pl-PL"/>
        </w:rPr>
        <w:t>ęto</w:t>
      </w:r>
      <w:r w:rsidRPr="0085159D">
        <w:rPr>
          <w:lang w:val="pl-PL"/>
        </w:rPr>
        <w:t xml:space="preserve"> następującą definicję cyfrowych kompetencji finansowych, pierwotnie opracowaną przez OECD:</w:t>
      </w:r>
    </w:p>
    <w:p w14:paraId="0EC89E58" w14:textId="77777777" w:rsidR="00282A62" w:rsidRPr="0085159D" w:rsidRDefault="00282A62" w:rsidP="000B051F">
      <w:pPr>
        <w:pStyle w:val="Cytat"/>
        <w:rPr>
          <w:lang w:val="pl-PL"/>
        </w:rPr>
      </w:pPr>
      <w:r w:rsidRPr="0085159D">
        <w:rPr>
          <w:b/>
          <w:bCs/>
          <w:lang w:val="pl-PL"/>
        </w:rPr>
        <w:t xml:space="preserve">Cyfrowe kompetencje finansowe </w:t>
      </w:r>
      <w:r w:rsidRPr="0085159D">
        <w:rPr>
          <w:lang w:val="pl-PL"/>
        </w:rPr>
        <w:t xml:space="preserve">definiuje się jako „połączenie wiedzy, umiejętności, postaw i zachowań niezbędnych do </w:t>
      </w:r>
      <w:r w:rsidR="00823C21" w:rsidRPr="0085159D">
        <w:rPr>
          <w:lang w:val="pl-PL"/>
        </w:rPr>
        <w:t>poszerzania</w:t>
      </w:r>
      <w:r w:rsidR="00335F73" w:rsidRPr="0085159D">
        <w:rPr>
          <w:lang w:val="pl-PL"/>
        </w:rPr>
        <w:t xml:space="preserve"> </w:t>
      </w:r>
      <w:r w:rsidRPr="0085159D">
        <w:rPr>
          <w:lang w:val="pl-PL"/>
        </w:rPr>
        <w:t xml:space="preserve">świadomości </w:t>
      </w:r>
      <w:r w:rsidR="00335F73" w:rsidRPr="0085159D">
        <w:rPr>
          <w:lang w:val="pl-PL"/>
        </w:rPr>
        <w:t xml:space="preserve">w zakresie </w:t>
      </w:r>
      <w:r w:rsidRPr="0085159D">
        <w:rPr>
          <w:lang w:val="pl-PL"/>
        </w:rPr>
        <w:t xml:space="preserve">cyfrowych usług i technologii finansowych oraz do bezpiecznego ich wykorzystania w celu </w:t>
      </w:r>
      <w:r w:rsidR="00335F73" w:rsidRPr="0085159D">
        <w:rPr>
          <w:lang w:val="pl-PL"/>
        </w:rPr>
        <w:t xml:space="preserve">osiągnięcia dobrostanu </w:t>
      </w:r>
      <w:r w:rsidRPr="0085159D">
        <w:rPr>
          <w:lang w:val="pl-PL"/>
        </w:rPr>
        <w:t xml:space="preserve">finansowego” </w:t>
      </w:r>
      <w:sdt>
        <w:sdtPr>
          <w:rPr>
            <w:lang w:val="pl-PL"/>
          </w:rPr>
          <w:id w:val="1840884347"/>
          <w:citation/>
        </w:sdtPr>
        <w:sdtEndPr/>
        <w:sdtContent>
          <w:r w:rsidRPr="0085159D">
            <w:rPr>
              <w:lang w:val="pl-PL"/>
            </w:rPr>
            <w:fldChar w:fldCharType="begin"/>
          </w:r>
          <w:r w:rsidRPr="0085159D">
            <w:rPr>
              <w:lang w:val="pl-PL"/>
            </w:rPr>
            <w:instrText xml:space="preserve"> CITATION Mendeley_jUH2Emt6TT2fusqiyeRsBg \l 2057 </w:instrText>
          </w:r>
          <w:r w:rsidRPr="0085159D">
            <w:rPr>
              <w:lang w:val="pl-PL"/>
            </w:rPr>
            <w:fldChar w:fldCharType="separate"/>
          </w:r>
          <w:r w:rsidRPr="0085159D">
            <w:rPr>
              <w:noProof/>
              <w:lang w:val="pl-PL"/>
            </w:rPr>
            <w:t>(</w:t>
          </w:r>
          <w:bookmarkStart w:id="20" w:name="Mendeley_jUH2Emt6TT2fusqiyeRsBg_15"/>
          <w:r w:rsidRPr="0085159D">
            <w:rPr>
              <w:noProof/>
              <w:lang w:val="pl-PL"/>
            </w:rPr>
            <w:t>OECD, 2022</w:t>
          </w:r>
          <w:r w:rsidRPr="0085159D">
            <w:rPr>
              <w:noProof/>
              <w:vertAlign w:val="subscript"/>
              <w:lang w:val="pl-PL"/>
            </w:rPr>
            <w:t>[15]</w:t>
          </w:r>
          <w:r w:rsidRPr="0085159D">
            <w:rPr>
              <w:noProof/>
              <w:lang w:val="pl-PL"/>
            </w:rPr>
            <w:t>)</w:t>
          </w:r>
          <w:bookmarkEnd w:id="20"/>
          <w:r w:rsidRPr="0085159D">
            <w:rPr>
              <w:lang w:val="pl-PL"/>
            </w:rPr>
            <w:fldChar w:fldCharType="end"/>
          </w:r>
        </w:sdtContent>
      </w:sdt>
      <w:r w:rsidRPr="0085159D">
        <w:rPr>
          <w:lang w:val="pl-PL"/>
        </w:rPr>
        <w:t>.</w:t>
      </w:r>
    </w:p>
    <w:p w14:paraId="416F5762" w14:textId="77777777" w:rsidR="00282A62" w:rsidRPr="0085159D" w:rsidRDefault="008A21D5" w:rsidP="000B051F">
      <w:pPr>
        <w:pStyle w:val="Nagwek2"/>
        <w:rPr>
          <w:lang w:val="pl-PL"/>
        </w:rPr>
      </w:pPr>
      <w:bookmarkStart w:id="21" w:name="_Toc131520812"/>
      <w:r w:rsidRPr="0085159D">
        <w:rPr>
          <w:bCs/>
          <w:lang w:val="pl-PL"/>
        </w:rPr>
        <w:t xml:space="preserve">2.2. </w:t>
      </w:r>
      <w:r w:rsidR="007E70B7">
        <w:rPr>
          <w:bCs/>
          <w:lang w:val="pl-PL"/>
        </w:rPr>
        <w:t>Wizja Krajowej Strategii Edukacji F</w:t>
      </w:r>
      <w:bookmarkEnd w:id="21"/>
      <w:r w:rsidR="007E70B7">
        <w:rPr>
          <w:bCs/>
          <w:lang w:val="pl-PL"/>
        </w:rPr>
        <w:t>inansowej</w:t>
      </w:r>
    </w:p>
    <w:p w14:paraId="67781407" w14:textId="77777777" w:rsidR="00282A62" w:rsidRPr="0085159D" w:rsidRDefault="00282A62" w:rsidP="000B051F">
      <w:pPr>
        <w:pStyle w:val="Para0"/>
        <w:rPr>
          <w:lang w:val="pl-PL"/>
        </w:rPr>
      </w:pPr>
      <w:bookmarkStart w:id="22" w:name="_Hlk151630883"/>
      <w:r w:rsidRPr="0085159D">
        <w:rPr>
          <w:lang w:val="pl-PL"/>
        </w:rPr>
        <w:t xml:space="preserve">Wizja określa oczekiwany długofalowy efekt KSEF oraz </w:t>
      </w:r>
      <w:r w:rsidR="00335F73" w:rsidRPr="0085159D">
        <w:rPr>
          <w:lang w:val="pl-PL"/>
        </w:rPr>
        <w:t xml:space="preserve">planów </w:t>
      </w:r>
      <w:r w:rsidRPr="0085159D">
        <w:rPr>
          <w:lang w:val="pl-PL"/>
        </w:rPr>
        <w:t xml:space="preserve">jej </w:t>
      </w:r>
      <w:r w:rsidR="00335F73" w:rsidRPr="0085159D">
        <w:rPr>
          <w:lang w:val="pl-PL"/>
        </w:rPr>
        <w:t>wdrażania</w:t>
      </w:r>
      <w:r w:rsidRPr="0085159D">
        <w:rPr>
          <w:lang w:val="pl-PL"/>
        </w:rPr>
        <w:t xml:space="preserve">. Skuteczna realizacja działań opisanych w </w:t>
      </w:r>
      <w:r w:rsidR="00335F73" w:rsidRPr="0085159D">
        <w:rPr>
          <w:lang w:val="pl-PL"/>
        </w:rPr>
        <w:t>planach wdrażania</w:t>
      </w:r>
      <w:r w:rsidRPr="0085159D">
        <w:rPr>
          <w:lang w:val="pl-PL"/>
        </w:rPr>
        <w:t>, wspierających zidentyfikowane cele strategiczne</w:t>
      </w:r>
      <w:r w:rsidR="00A76B1A">
        <w:rPr>
          <w:lang w:val="pl-PL"/>
        </w:rPr>
        <w:t xml:space="preserve"> Strategii</w:t>
      </w:r>
      <w:r w:rsidRPr="0085159D">
        <w:rPr>
          <w:lang w:val="pl-PL"/>
        </w:rPr>
        <w:t xml:space="preserve">, doprowadzi </w:t>
      </w:r>
      <w:r w:rsidR="00335F73" w:rsidRPr="0085159D">
        <w:rPr>
          <w:lang w:val="pl-PL"/>
        </w:rPr>
        <w:t>w</w:t>
      </w:r>
      <w:r w:rsidR="00A76B1A">
        <w:rPr>
          <w:lang w:val="pl-PL"/>
        </w:rPr>
        <w:t> </w:t>
      </w:r>
      <w:r w:rsidR="00335F73" w:rsidRPr="0085159D">
        <w:rPr>
          <w:lang w:val="pl-PL"/>
        </w:rPr>
        <w:t xml:space="preserve">dłuższej perspektywie </w:t>
      </w:r>
      <w:r w:rsidRPr="0085159D">
        <w:rPr>
          <w:lang w:val="pl-PL"/>
        </w:rPr>
        <w:t>do osiągnięcia następujących oczekiwanych rezultatów:</w:t>
      </w:r>
    </w:p>
    <w:p w14:paraId="04A5510D" w14:textId="77777777" w:rsidR="00282A62" w:rsidRPr="0085159D" w:rsidRDefault="00282A62" w:rsidP="000B051F">
      <w:pPr>
        <w:pStyle w:val="Cytat"/>
        <w:rPr>
          <w:lang w:val="pl-PL"/>
        </w:rPr>
      </w:pPr>
      <w:r w:rsidRPr="0085159D">
        <w:rPr>
          <w:lang w:val="pl-PL"/>
        </w:rPr>
        <w:t xml:space="preserve">Mieszkańcy Polski </w:t>
      </w:r>
      <w:r w:rsidR="00335F73" w:rsidRPr="0085159D">
        <w:rPr>
          <w:lang w:val="pl-PL"/>
        </w:rPr>
        <w:t xml:space="preserve">posiadają </w:t>
      </w:r>
      <w:r w:rsidRPr="0085159D">
        <w:rPr>
          <w:lang w:val="pl-PL"/>
        </w:rPr>
        <w:t xml:space="preserve">niezbędne kompetencje finansowe, które </w:t>
      </w:r>
      <w:r w:rsidR="006C646C" w:rsidRPr="0085159D">
        <w:rPr>
          <w:lang w:val="pl-PL"/>
        </w:rPr>
        <w:t>pomagają</w:t>
      </w:r>
      <w:r w:rsidR="00892E00">
        <w:rPr>
          <w:lang w:val="pl-PL"/>
        </w:rPr>
        <w:t xml:space="preserve"> </w:t>
      </w:r>
      <w:r w:rsidRPr="0085159D">
        <w:rPr>
          <w:lang w:val="pl-PL"/>
        </w:rPr>
        <w:t xml:space="preserve">im poprawić ogólną odporność finansową oraz </w:t>
      </w:r>
      <w:r w:rsidR="006C646C" w:rsidRPr="0085159D">
        <w:rPr>
          <w:lang w:val="pl-PL"/>
        </w:rPr>
        <w:t xml:space="preserve">dobrostan </w:t>
      </w:r>
      <w:r w:rsidRPr="0085159D">
        <w:rPr>
          <w:lang w:val="pl-PL"/>
        </w:rPr>
        <w:t>finansowy.</w:t>
      </w:r>
    </w:p>
    <w:p w14:paraId="5523008A" w14:textId="77777777" w:rsidR="00282A62" w:rsidRPr="0085159D" w:rsidRDefault="00282A62" w:rsidP="000B051F">
      <w:pPr>
        <w:pStyle w:val="Cytat"/>
        <w:rPr>
          <w:lang w:val="pl-PL"/>
        </w:rPr>
      </w:pPr>
      <w:r w:rsidRPr="0085159D">
        <w:rPr>
          <w:lang w:val="pl-PL"/>
        </w:rPr>
        <w:t xml:space="preserve">Społeczeństwo posiadające </w:t>
      </w:r>
      <w:r w:rsidR="001309BF" w:rsidRPr="0085159D">
        <w:rPr>
          <w:lang w:val="pl-PL"/>
        </w:rPr>
        <w:t xml:space="preserve">kompetencje finansowe </w:t>
      </w:r>
      <w:r w:rsidRPr="0085159D">
        <w:rPr>
          <w:lang w:val="pl-PL"/>
        </w:rPr>
        <w:t>przyczyni się do integracyjnego i zrównoważonego rozwoju polskiej gospodarki.</w:t>
      </w:r>
    </w:p>
    <w:bookmarkEnd w:id="22"/>
    <w:p w14:paraId="3AD89D67" w14:textId="77777777" w:rsidR="00282A62" w:rsidRPr="0085159D" w:rsidRDefault="00282A62" w:rsidP="000B051F">
      <w:pPr>
        <w:pStyle w:val="Para0"/>
        <w:rPr>
          <w:lang w:val="pl-PL"/>
        </w:rPr>
      </w:pPr>
      <w:r w:rsidRPr="0085159D">
        <w:rPr>
          <w:lang w:val="pl-PL"/>
        </w:rPr>
        <w:t xml:space="preserve">KSEF zapewnia ramy koordynacji </w:t>
      </w:r>
      <w:r w:rsidR="00E674CA">
        <w:rPr>
          <w:lang w:val="pl-PL"/>
        </w:rPr>
        <w:t xml:space="preserve">współpracy </w:t>
      </w:r>
      <w:r w:rsidRPr="0085159D">
        <w:rPr>
          <w:lang w:val="pl-PL"/>
        </w:rPr>
        <w:t>interesariuszy</w:t>
      </w:r>
      <w:r w:rsidR="00A76B1A">
        <w:rPr>
          <w:lang w:val="pl-PL"/>
        </w:rPr>
        <w:t xml:space="preserve"> edukacji finansowej w Polsce</w:t>
      </w:r>
      <w:r w:rsidRPr="0085159D">
        <w:rPr>
          <w:lang w:val="pl-PL"/>
        </w:rPr>
        <w:t>, realizacji działań i</w:t>
      </w:r>
      <w:r w:rsidR="001E5B9C">
        <w:rPr>
          <w:lang w:val="pl-PL"/>
        </w:rPr>
        <w:t> </w:t>
      </w:r>
      <w:r w:rsidR="00CB5576" w:rsidRPr="0085159D">
        <w:rPr>
          <w:lang w:val="pl-PL"/>
        </w:rPr>
        <w:t xml:space="preserve">monitorowania </w:t>
      </w:r>
      <w:r w:rsidRPr="0085159D">
        <w:rPr>
          <w:lang w:val="pl-PL"/>
        </w:rPr>
        <w:t>osiągan</w:t>
      </w:r>
      <w:r w:rsidR="00CB5576" w:rsidRPr="0085159D">
        <w:rPr>
          <w:lang w:val="pl-PL"/>
        </w:rPr>
        <w:t>ych</w:t>
      </w:r>
      <w:r w:rsidRPr="0085159D">
        <w:rPr>
          <w:lang w:val="pl-PL"/>
        </w:rPr>
        <w:t xml:space="preserve"> celów. </w:t>
      </w:r>
      <w:r w:rsidR="006C646C" w:rsidRPr="0085159D">
        <w:rPr>
          <w:lang w:val="pl-PL"/>
        </w:rPr>
        <w:t>Oczekuje się, że w</w:t>
      </w:r>
      <w:r w:rsidRPr="0085159D">
        <w:rPr>
          <w:lang w:val="pl-PL"/>
        </w:rPr>
        <w:t xml:space="preserve"> </w:t>
      </w:r>
      <w:r w:rsidR="006C646C" w:rsidRPr="0085159D">
        <w:rPr>
          <w:lang w:val="pl-PL"/>
        </w:rPr>
        <w:t xml:space="preserve">efekcie </w:t>
      </w:r>
      <w:r w:rsidRPr="0085159D">
        <w:rPr>
          <w:lang w:val="pl-PL"/>
        </w:rPr>
        <w:t xml:space="preserve">działań </w:t>
      </w:r>
      <w:r w:rsidR="006C646C" w:rsidRPr="0085159D">
        <w:rPr>
          <w:lang w:val="pl-PL"/>
        </w:rPr>
        <w:t xml:space="preserve">przeprowadzonych </w:t>
      </w:r>
      <w:r w:rsidRPr="0085159D">
        <w:rPr>
          <w:lang w:val="pl-PL"/>
        </w:rPr>
        <w:t>w</w:t>
      </w:r>
      <w:r w:rsidR="00DC330D">
        <w:rPr>
          <w:lang w:val="pl-PL"/>
        </w:rPr>
        <w:t> </w:t>
      </w:r>
      <w:r w:rsidRPr="0085159D">
        <w:rPr>
          <w:lang w:val="pl-PL"/>
        </w:rPr>
        <w:t xml:space="preserve">ramach </w:t>
      </w:r>
      <w:r w:rsidR="006C646C" w:rsidRPr="0085159D">
        <w:rPr>
          <w:lang w:val="pl-PL"/>
        </w:rPr>
        <w:t xml:space="preserve">realizacji </w:t>
      </w:r>
      <w:r w:rsidR="00A76B1A">
        <w:rPr>
          <w:lang w:val="pl-PL"/>
        </w:rPr>
        <w:t xml:space="preserve">Strategii </w:t>
      </w:r>
      <w:r w:rsidRPr="0085159D">
        <w:rPr>
          <w:lang w:val="pl-PL"/>
        </w:rPr>
        <w:t xml:space="preserve">mieszkańcy Polski będą posiadać kompetencje finansowe </w:t>
      </w:r>
      <w:r w:rsidR="006C646C" w:rsidRPr="0085159D">
        <w:rPr>
          <w:lang w:val="pl-PL"/>
        </w:rPr>
        <w:t xml:space="preserve">niezbędne </w:t>
      </w:r>
      <w:r w:rsidRPr="0085159D">
        <w:rPr>
          <w:lang w:val="pl-PL"/>
        </w:rPr>
        <w:t>do:</w:t>
      </w:r>
    </w:p>
    <w:p w14:paraId="231B4825" w14:textId="77777777" w:rsidR="00282A62" w:rsidRPr="0085159D" w:rsidRDefault="00282A62" w:rsidP="000B051F">
      <w:pPr>
        <w:pStyle w:val="BulletedList"/>
        <w:rPr>
          <w:lang w:val="pl-PL"/>
        </w:rPr>
      </w:pPr>
      <w:r w:rsidRPr="0085159D">
        <w:rPr>
          <w:lang w:val="pl-PL"/>
        </w:rPr>
        <w:lastRenderedPageBreak/>
        <w:t xml:space="preserve">poprawy własnej odporności finansowej oraz zdolności ochrony przed </w:t>
      </w:r>
      <w:r w:rsidR="00A76B1A">
        <w:rPr>
          <w:lang w:val="pl-PL"/>
        </w:rPr>
        <w:t xml:space="preserve">kłopotami </w:t>
      </w:r>
      <w:r w:rsidRPr="0085159D">
        <w:rPr>
          <w:lang w:val="pl-PL"/>
        </w:rPr>
        <w:t>finansowymi, stawiania im czoła, radzenia sobie z nimi i wychodzenia</w:t>
      </w:r>
      <w:r w:rsidR="00CB5576" w:rsidRPr="0085159D">
        <w:rPr>
          <w:lang w:val="pl-PL"/>
        </w:rPr>
        <w:t xml:space="preserve"> z nich</w:t>
      </w:r>
      <w:r w:rsidRPr="0085159D">
        <w:rPr>
          <w:lang w:val="pl-PL"/>
        </w:rPr>
        <w:t>, oraz</w:t>
      </w:r>
    </w:p>
    <w:p w14:paraId="68AB711B" w14:textId="77777777" w:rsidR="00282A62" w:rsidRPr="0085159D" w:rsidRDefault="00A76B1A" w:rsidP="000B051F">
      <w:pPr>
        <w:pStyle w:val="BulletedList"/>
        <w:rPr>
          <w:lang w:val="pl-PL"/>
        </w:rPr>
      </w:pPr>
      <w:r>
        <w:rPr>
          <w:lang w:val="pl-PL"/>
        </w:rPr>
        <w:t xml:space="preserve">poprawy </w:t>
      </w:r>
      <w:r w:rsidR="00CB5576" w:rsidRPr="0085159D">
        <w:rPr>
          <w:lang w:val="pl-PL"/>
        </w:rPr>
        <w:t xml:space="preserve">dobrostanu </w:t>
      </w:r>
      <w:r w:rsidR="00282A62" w:rsidRPr="0085159D">
        <w:rPr>
          <w:lang w:val="pl-PL"/>
        </w:rPr>
        <w:t>finansowego poprzez zdolność kontrolowania własnych finansów i osiągania krótko- i długoterminowych celów finansowych.</w:t>
      </w:r>
    </w:p>
    <w:p w14:paraId="141F0575" w14:textId="77777777" w:rsidR="00282A62" w:rsidRPr="0085159D" w:rsidRDefault="00CB5576" w:rsidP="000B051F">
      <w:pPr>
        <w:pStyle w:val="Para0"/>
        <w:rPr>
          <w:lang w:val="pl-PL"/>
        </w:rPr>
      </w:pPr>
      <w:r w:rsidRPr="0085159D">
        <w:rPr>
          <w:lang w:val="pl-PL"/>
        </w:rPr>
        <w:t>Zgodnie z t</w:t>
      </w:r>
      <w:r w:rsidR="00E674CA">
        <w:rPr>
          <w:lang w:val="pl-PL"/>
        </w:rPr>
        <w:t>ą</w:t>
      </w:r>
      <w:r w:rsidRPr="0085159D">
        <w:rPr>
          <w:lang w:val="pl-PL"/>
        </w:rPr>
        <w:t xml:space="preserve"> wizją </w:t>
      </w:r>
      <w:r w:rsidR="00282A62" w:rsidRPr="0085159D">
        <w:rPr>
          <w:lang w:val="pl-PL"/>
        </w:rPr>
        <w:t xml:space="preserve">odporność finansowa i </w:t>
      </w:r>
      <w:r w:rsidRPr="0085159D">
        <w:rPr>
          <w:lang w:val="pl-PL"/>
        </w:rPr>
        <w:t xml:space="preserve">dobrostan </w:t>
      </w:r>
      <w:r w:rsidR="00282A62" w:rsidRPr="0085159D">
        <w:rPr>
          <w:lang w:val="pl-PL"/>
        </w:rPr>
        <w:t xml:space="preserve">finansowy są </w:t>
      </w:r>
      <w:r w:rsidR="002B5B6C">
        <w:rPr>
          <w:lang w:val="pl-PL"/>
        </w:rPr>
        <w:t xml:space="preserve">oczekiwanymi </w:t>
      </w:r>
      <w:r w:rsidR="00282A62" w:rsidRPr="0085159D">
        <w:rPr>
          <w:lang w:val="pl-PL"/>
        </w:rPr>
        <w:t>rezultatami edukacji finansowej</w:t>
      </w:r>
      <w:r w:rsidR="002B5B6C">
        <w:rPr>
          <w:lang w:val="pl-PL"/>
        </w:rPr>
        <w:t>.</w:t>
      </w:r>
      <w:r w:rsidR="00282A62" w:rsidRPr="0085159D">
        <w:rPr>
          <w:lang w:val="pl-PL"/>
        </w:rPr>
        <w:t xml:space="preserve"> </w:t>
      </w:r>
      <w:r w:rsidR="002B5B6C">
        <w:rPr>
          <w:lang w:val="pl-PL"/>
        </w:rPr>
        <w:t>M</w:t>
      </w:r>
      <w:r w:rsidR="00282A62" w:rsidRPr="0085159D">
        <w:rPr>
          <w:lang w:val="pl-PL"/>
        </w:rPr>
        <w:t>ożna je poprawić w krótkim okresie (np</w:t>
      </w:r>
      <w:r w:rsidR="002B5B6C">
        <w:rPr>
          <w:lang w:val="pl-PL"/>
        </w:rPr>
        <w:t>.</w:t>
      </w:r>
      <w:r w:rsidR="00282A62" w:rsidRPr="0085159D">
        <w:rPr>
          <w:lang w:val="pl-PL"/>
        </w:rPr>
        <w:t xml:space="preserve"> poprzez </w:t>
      </w:r>
      <w:r w:rsidRPr="0085159D">
        <w:rPr>
          <w:lang w:val="pl-PL"/>
        </w:rPr>
        <w:t xml:space="preserve">obniżenie </w:t>
      </w:r>
      <w:r w:rsidR="00282A62" w:rsidRPr="0085159D">
        <w:rPr>
          <w:lang w:val="pl-PL"/>
        </w:rPr>
        <w:t>ogólnego poziomu zadłużenia danej osoby lub zgromadzenie oszczędności</w:t>
      </w:r>
      <w:r w:rsidR="00EC6387" w:rsidRPr="0085159D">
        <w:rPr>
          <w:lang w:val="pl-PL"/>
        </w:rPr>
        <w:t xml:space="preserve"> na wypadek sytuacji kryzysowych</w:t>
      </w:r>
      <w:r w:rsidR="00282A62" w:rsidRPr="0085159D">
        <w:rPr>
          <w:lang w:val="pl-PL"/>
        </w:rPr>
        <w:t>) oraz w</w:t>
      </w:r>
      <w:r w:rsidR="001E5B9C">
        <w:rPr>
          <w:lang w:val="pl-PL"/>
        </w:rPr>
        <w:t> </w:t>
      </w:r>
      <w:r w:rsidR="00282A62" w:rsidRPr="0085159D">
        <w:rPr>
          <w:lang w:val="pl-PL"/>
        </w:rPr>
        <w:t>dłuższej perspektywie (</w:t>
      </w:r>
      <w:r w:rsidR="002B5B6C">
        <w:rPr>
          <w:lang w:val="pl-PL"/>
        </w:rPr>
        <w:t xml:space="preserve">np. </w:t>
      </w:r>
      <w:r w:rsidR="00282A62" w:rsidRPr="0085159D">
        <w:rPr>
          <w:lang w:val="pl-PL"/>
        </w:rPr>
        <w:t>poprzez zapewnienie dobro</w:t>
      </w:r>
      <w:r w:rsidR="00EC6387" w:rsidRPr="0085159D">
        <w:rPr>
          <w:lang w:val="pl-PL"/>
        </w:rPr>
        <w:t>stanu</w:t>
      </w:r>
      <w:r w:rsidR="00282A62" w:rsidRPr="0085159D">
        <w:rPr>
          <w:lang w:val="pl-PL"/>
        </w:rPr>
        <w:t xml:space="preserve"> finansowego na starość). Celem KSEF jest zapewnienie konsumentom </w:t>
      </w:r>
      <w:r w:rsidR="00282A62" w:rsidRPr="002B5B6C">
        <w:rPr>
          <w:iCs/>
          <w:lang w:val="pl-PL"/>
        </w:rPr>
        <w:t>niezbędnych kompetencji finansowych</w:t>
      </w:r>
      <w:r w:rsidR="00282A62" w:rsidRPr="0085159D">
        <w:rPr>
          <w:lang w:val="pl-PL"/>
        </w:rPr>
        <w:t xml:space="preserve"> do poprawy własnej odporności finansowej </w:t>
      </w:r>
      <w:r w:rsidR="002B5B6C">
        <w:rPr>
          <w:lang w:val="pl-PL"/>
        </w:rPr>
        <w:t xml:space="preserve">i </w:t>
      </w:r>
      <w:r w:rsidR="00EC6387" w:rsidRPr="0085159D">
        <w:rPr>
          <w:lang w:val="pl-PL"/>
        </w:rPr>
        <w:t xml:space="preserve">dobrostanu </w:t>
      </w:r>
      <w:r w:rsidR="00282A62" w:rsidRPr="0085159D">
        <w:rPr>
          <w:lang w:val="pl-PL"/>
        </w:rPr>
        <w:t>finansowego. Przez kompetencje finansowe należy rozumieć te aspekty wiedzy finansowej, zachowań, umiejętności i postaw, które stanowią podstawę rozsądnych decyzji finansowych</w:t>
      </w:r>
      <w:sdt>
        <w:sdtPr>
          <w:rPr>
            <w:lang w:val="pl-PL"/>
          </w:rPr>
          <w:id w:val="-282658900"/>
          <w:citation/>
        </w:sdtPr>
        <w:sdtEndPr/>
        <w:sdtContent>
          <w:r w:rsidR="00282A62" w:rsidRPr="0085159D">
            <w:rPr>
              <w:lang w:val="pl-PL"/>
            </w:rPr>
            <w:fldChar w:fldCharType="begin"/>
          </w:r>
          <w:r w:rsidR="00282A62" w:rsidRPr="0085159D">
            <w:rPr>
              <w:lang w:val="pl-PL"/>
            </w:rPr>
            <w:instrText xml:space="preserve">CITATION Mendeley_tyOtdsgKyjiCnRR1lUtuDA \l 2057 </w:instrText>
          </w:r>
          <w:r w:rsidR="00282A62" w:rsidRPr="0085159D">
            <w:rPr>
              <w:lang w:val="pl-PL"/>
            </w:rPr>
            <w:fldChar w:fldCharType="separate"/>
          </w:r>
          <w:r w:rsidR="00282A62" w:rsidRPr="0085159D">
            <w:rPr>
              <w:noProof/>
              <w:lang w:val="pl-PL"/>
            </w:rPr>
            <w:t xml:space="preserve"> (</w:t>
          </w:r>
          <w:bookmarkStart w:id="23" w:name="Mendeley_tyOtdsgKyjiCnRR1lUtuDA_16"/>
          <w:r w:rsidR="00282A62" w:rsidRPr="0085159D">
            <w:rPr>
              <w:noProof/>
              <w:lang w:val="pl-PL"/>
            </w:rPr>
            <w:t>OECD, 2017</w:t>
          </w:r>
          <w:r w:rsidR="00282A62" w:rsidRPr="0085159D">
            <w:rPr>
              <w:noProof/>
              <w:vertAlign w:val="subscript"/>
              <w:lang w:val="pl-PL"/>
            </w:rPr>
            <w:t>[16]</w:t>
          </w:r>
          <w:r w:rsidR="00282A62" w:rsidRPr="0085159D">
            <w:rPr>
              <w:noProof/>
              <w:lang w:val="pl-PL"/>
            </w:rPr>
            <w:t>)</w:t>
          </w:r>
          <w:bookmarkEnd w:id="23"/>
          <w:r w:rsidR="00282A62" w:rsidRPr="0085159D">
            <w:rPr>
              <w:lang w:val="pl-PL"/>
            </w:rPr>
            <w:fldChar w:fldCharType="end"/>
          </w:r>
        </w:sdtContent>
      </w:sdt>
      <w:r w:rsidR="00282A62" w:rsidRPr="0085159D">
        <w:rPr>
          <w:lang w:val="pl-PL"/>
        </w:rPr>
        <w:t>. Są to podstawowe kompetencje w zakresie znajomości zagadnień finansowych, które mogą przynieść korzyści danej osobie.</w:t>
      </w:r>
    </w:p>
    <w:p w14:paraId="05211B85" w14:textId="77777777" w:rsidR="00282A62" w:rsidRPr="0085159D" w:rsidRDefault="00282A62" w:rsidP="000B051F">
      <w:pPr>
        <w:pStyle w:val="Para0"/>
        <w:rPr>
          <w:lang w:val="pl-PL"/>
        </w:rPr>
      </w:pPr>
      <w:r w:rsidRPr="0085159D">
        <w:rPr>
          <w:lang w:val="pl-PL"/>
        </w:rPr>
        <w:t xml:space="preserve">Jednak odporność finansowa i </w:t>
      </w:r>
      <w:r w:rsidR="00EC6387" w:rsidRPr="0085159D">
        <w:rPr>
          <w:lang w:val="pl-PL"/>
        </w:rPr>
        <w:t xml:space="preserve">dobrostan </w:t>
      </w:r>
      <w:r w:rsidRPr="0085159D">
        <w:rPr>
          <w:lang w:val="pl-PL"/>
        </w:rPr>
        <w:t xml:space="preserve">finansowy rzadko zależą wyłącznie od indywidualnych wyborów osobistych, ale są również konsekwencją systemu społecznego, gospodarczego i finansowego. Zależą również od innych obowiązujących w kraju </w:t>
      </w:r>
      <w:r w:rsidR="00EC6387" w:rsidRPr="0085159D">
        <w:rPr>
          <w:lang w:val="pl-PL"/>
        </w:rPr>
        <w:t>polityk publicznych</w:t>
      </w:r>
      <w:r w:rsidRPr="0085159D">
        <w:rPr>
          <w:lang w:val="pl-PL"/>
        </w:rPr>
        <w:t xml:space="preserve">, </w:t>
      </w:r>
      <w:r w:rsidR="002B5B6C">
        <w:rPr>
          <w:lang w:val="pl-PL"/>
        </w:rPr>
        <w:t xml:space="preserve">np. </w:t>
      </w:r>
      <w:r w:rsidRPr="0085159D">
        <w:rPr>
          <w:lang w:val="pl-PL"/>
        </w:rPr>
        <w:t>takich jak ochron</w:t>
      </w:r>
      <w:r w:rsidR="001316AC" w:rsidRPr="0085159D">
        <w:rPr>
          <w:lang w:val="pl-PL"/>
        </w:rPr>
        <w:t>a</w:t>
      </w:r>
      <w:r w:rsidRPr="0085159D">
        <w:rPr>
          <w:lang w:val="pl-PL"/>
        </w:rPr>
        <w:t xml:space="preserve"> konsumentów na rynku finansowym. Dlatego Strategia realizowana </w:t>
      </w:r>
      <w:r w:rsidR="006C646C" w:rsidRPr="0085159D">
        <w:rPr>
          <w:lang w:val="pl-PL"/>
        </w:rPr>
        <w:t xml:space="preserve">będzie </w:t>
      </w:r>
      <w:r w:rsidRPr="0085159D">
        <w:rPr>
          <w:lang w:val="pl-PL"/>
        </w:rPr>
        <w:t xml:space="preserve">równolegle </w:t>
      </w:r>
      <w:r w:rsidR="00EC6387" w:rsidRPr="0085159D">
        <w:rPr>
          <w:lang w:val="pl-PL"/>
        </w:rPr>
        <w:t xml:space="preserve">do działań </w:t>
      </w:r>
      <w:r w:rsidRPr="0085159D">
        <w:rPr>
          <w:lang w:val="pl-PL"/>
        </w:rPr>
        <w:t>mając</w:t>
      </w:r>
      <w:r w:rsidR="00EC6387" w:rsidRPr="0085159D">
        <w:rPr>
          <w:lang w:val="pl-PL"/>
        </w:rPr>
        <w:t>ych</w:t>
      </w:r>
      <w:r w:rsidRPr="0085159D">
        <w:rPr>
          <w:lang w:val="pl-PL"/>
        </w:rPr>
        <w:t xml:space="preserve"> na celu utrzymanie bezpieczeństwa, </w:t>
      </w:r>
      <w:r w:rsidR="006C646C" w:rsidRPr="0085159D">
        <w:rPr>
          <w:lang w:val="pl-PL"/>
        </w:rPr>
        <w:t xml:space="preserve">włączającego </w:t>
      </w:r>
      <w:r w:rsidRPr="0085159D">
        <w:rPr>
          <w:lang w:val="pl-PL"/>
        </w:rPr>
        <w:t>charakteru i odporności systemu finansowego, taki</w:t>
      </w:r>
      <w:r w:rsidR="006C646C" w:rsidRPr="0085159D">
        <w:rPr>
          <w:lang w:val="pl-PL"/>
        </w:rPr>
        <w:t>ch</w:t>
      </w:r>
      <w:r w:rsidRPr="0085159D">
        <w:rPr>
          <w:lang w:val="pl-PL"/>
        </w:rPr>
        <w:t xml:space="preserve"> jak </w:t>
      </w:r>
      <w:r w:rsidR="00EC6387" w:rsidRPr="0085159D">
        <w:rPr>
          <w:lang w:val="pl-PL"/>
        </w:rPr>
        <w:t xml:space="preserve">włączenie </w:t>
      </w:r>
      <w:r w:rsidRPr="0085159D">
        <w:rPr>
          <w:lang w:val="pl-PL"/>
        </w:rPr>
        <w:t>finansow</w:t>
      </w:r>
      <w:r w:rsidR="00EC6387" w:rsidRPr="0085159D">
        <w:rPr>
          <w:lang w:val="pl-PL"/>
        </w:rPr>
        <w:t>e</w:t>
      </w:r>
      <w:r w:rsidRPr="0085159D">
        <w:rPr>
          <w:lang w:val="pl-PL"/>
        </w:rPr>
        <w:t xml:space="preserve"> oraz zasady i praktyki w zakresie ochrony konsumentów finansowych</w:t>
      </w:r>
      <w:r w:rsidR="00907352" w:rsidRPr="0085159D">
        <w:rPr>
          <w:lang w:val="pl-PL"/>
        </w:rPr>
        <w:t xml:space="preserve">, oraz </w:t>
      </w:r>
      <w:r w:rsidR="006C646C" w:rsidRPr="0085159D">
        <w:rPr>
          <w:lang w:val="pl-PL"/>
        </w:rPr>
        <w:t xml:space="preserve">będzie </w:t>
      </w:r>
      <w:r w:rsidRPr="0085159D">
        <w:rPr>
          <w:lang w:val="pl-PL"/>
        </w:rPr>
        <w:t>przez nie wspierana</w:t>
      </w:r>
      <w:r w:rsidR="00A62A40">
        <w:rPr>
          <w:rStyle w:val="Odwoanieprzypisudolnego"/>
          <w:lang w:val="pl-PL"/>
        </w:rPr>
        <w:footnoteReference w:id="6"/>
      </w:r>
      <w:r w:rsidR="00287F4D" w:rsidRPr="0085159D">
        <w:rPr>
          <w:lang w:val="pl-PL"/>
        </w:rPr>
        <w:t>.</w:t>
      </w:r>
    </w:p>
    <w:p w14:paraId="622971C4" w14:textId="77777777" w:rsidR="00282A62" w:rsidRPr="0085159D" w:rsidRDefault="00282A62" w:rsidP="000B051F">
      <w:pPr>
        <w:pStyle w:val="Para0"/>
        <w:rPr>
          <w:lang w:val="pl-PL"/>
        </w:rPr>
      </w:pPr>
      <w:r w:rsidRPr="0085159D">
        <w:rPr>
          <w:lang w:val="pl-PL"/>
        </w:rPr>
        <w:t xml:space="preserve">Oczekuje się, że oprócz korzyści dla osób indywidualnych i gospodarstw domowych wyższy poziom kompetencji finansowych w Polsce przyniesie również pozytywne efekty na poziomie ogólnospołecznym. Należy oczekiwać, że społeczeństwo posiadające </w:t>
      </w:r>
      <w:r w:rsidR="009D4EB5">
        <w:rPr>
          <w:lang w:val="pl-PL"/>
        </w:rPr>
        <w:t xml:space="preserve">wyższe </w:t>
      </w:r>
      <w:r w:rsidRPr="0085159D">
        <w:rPr>
          <w:lang w:val="pl-PL"/>
        </w:rPr>
        <w:t xml:space="preserve">kompetencje finansowe będzie również </w:t>
      </w:r>
      <w:r w:rsidR="009D4EB5">
        <w:rPr>
          <w:lang w:val="pl-PL"/>
        </w:rPr>
        <w:t xml:space="preserve">lepiej </w:t>
      </w:r>
      <w:r w:rsidRPr="0085159D">
        <w:rPr>
          <w:lang w:val="pl-PL"/>
        </w:rPr>
        <w:t xml:space="preserve">rozumieć kluczowe krajowe, europejskie i międzynarodowe </w:t>
      </w:r>
      <w:r w:rsidR="004002F6">
        <w:rPr>
          <w:lang w:val="pl-PL"/>
        </w:rPr>
        <w:t>działania</w:t>
      </w:r>
      <w:r w:rsidR="004002F6" w:rsidRPr="0085159D">
        <w:rPr>
          <w:lang w:val="pl-PL"/>
        </w:rPr>
        <w:t xml:space="preserve"> </w:t>
      </w:r>
      <w:r w:rsidRPr="0085159D">
        <w:rPr>
          <w:lang w:val="pl-PL"/>
        </w:rPr>
        <w:t xml:space="preserve">na rzecz wspierania </w:t>
      </w:r>
      <w:r w:rsidR="001316AC" w:rsidRPr="0085159D">
        <w:rPr>
          <w:lang w:val="pl-PL"/>
        </w:rPr>
        <w:t xml:space="preserve">włączającego </w:t>
      </w:r>
      <w:r w:rsidRPr="0085159D">
        <w:rPr>
          <w:lang w:val="pl-PL"/>
        </w:rPr>
        <w:t>i</w:t>
      </w:r>
      <w:r w:rsidR="001E5B9C">
        <w:rPr>
          <w:lang w:val="pl-PL"/>
        </w:rPr>
        <w:t> </w:t>
      </w:r>
      <w:r w:rsidRPr="0085159D">
        <w:rPr>
          <w:lang w:val="pl-PL"/>
        </w:rPr>
        <w:t xml:space="preserve">zrównoważonego rozwoju polskiej gospodarki i społeczeństwa </w:t>
      </w:r>
      <w:r w:rsidR="00907352" w:rsidRPr="0085159D">
        <w:rPr>
          <w:lang w:val="pl-PL"/>
        </w:rPr>
        <w:t xml:space="preserve">oraz </w:t>
      </w:r>
      <w:r w:rsidR="00EC6387" w:rsidRPr="0085159D">
        <w:rPr>
          <w:lang w:val="pl-PL"/>
        </w:rPr>
        <w:t xml:space="preserve">będzie </w:t>
      </w:r>
      <w:r w:rsidR="00907352" w:rsidRPr="0085159D">
        <w:rPr>
          <w:lang w:val="pl-PL"/>
        </w:rPr>
        <w:t xml:space="preserve">się </w:t>
      </w:r>
      <w:r w:rsidRPr="0085159D">
        <w:rPr>
          <w:lang w:val="pl-PL"/>
        </w:rPr>
        <w:t>przyczyniać do ich realizacji.</w:t>
      </w:r>
    </w:p>
    <w:p w14:paraId="6AFE4BBC" w14:textId="77777777" w:rsidR="00282A62" w:rsidRPr="0085159D" w:rsidRDefault="008A21D5" w:rsidP="000B051F">
      <w:pPr>
        <w:pStyle w:val="Nagwek2"/>
        <w:rPr>
          <w:lang w:val="pl-PL"/>
        </w:rPr>
      </w:pPr>
      <w:bookmarkStart w:id="24" w:name="_Toc131520813"/>
      <w:r w:rsidRPr="0085159D">
        <w:rPr>
          <w:bCs/>
          <w:lang w:val="pl-PL"/>
        </w:rPr>
        <w:t>2.3 Kluczowe priorytety Krajowej Strategii Edukacji Finansowej</w:t>
      </w:r>
      <w:bookmarkEnd w:id="24"/>
    </w:p>
    <w:p w14:paraId="38AC5BD7" w14:textId="77777777" w:rsidR="00282A62" w:rsidRPr="0085159D" w:rsidRDefault="00012B81" w:rsidP="000B051F">
      <w:pPr>
        <w:pStyle w:val="Para0"/>
        <w:rPr>
          <w:lang w:val="pl-PL"/>
        </w:rPr>
      </w:pPr>
      <w:r w:rsidRPr="0085159D">
        <w:rPr>
          <w:lang w:val="pl-PL"/>
        </w:rPr>
        <w:t xml:space="preserve">Na potrzeby </w:t>
      </w:r>
      <w:r w:rsidR="00282A62" w:rsidRPr="0085159D">
        <w:rPr>
          <w:lang w:val="pl-PL"/>
        </w:rPr>
        <w:t xml:space="preserve">realizacji wizji, KSEF </w:t>
      </w:r>
      <w:r w:rsidRPr="0085159D">
        <w:rPr>
          <w:lang w:val="pl-PL"/>
        </w:rPr>
        <w:t xml:space="preserve">wskazuje </w:t>
      </w:r>
      <w:r w:rsidR="00282A62" w:rsidRPr="0085159D">
        <w:rPr>
          <w:lang w:val="pl-PL"/>
        </w:rPr>
        <w:t xml:space="preserve">szereg kluczowych priorytetów. </w:t>
      </w:r>
      <w:r w:rsidR="00053032">
        <w:rPr>
          <w:lang w:val="pl-PL"/>
        </w:rPr>
        <w:t xml:space="preserve">Będą </w:t>
      </w:r>
      <w:r w:rsidR="00282A62" w:rsidRPr="0085159D">
        <w:rPr>
          <w:lang w:val="pl-PL"/>
        </w:rPr>
        <w:t xml:space="preserve">one </w:t>
      </w:r>
      <w:r w:rsidR="00053032">
        <w:rPr>
          <w:lang w:val="pl-PL"/>
        </w:rPr>
        <w:t xml:space="preserve">realizowane </w:t>
      </w:r>
      <w:r w:rsidR="00282A62" w:rsidRPr="0085159D">
        <w:rPr>
          <w:lang w:val="pl-PL"/>
        </w:rPr>
        <w:t xml:space="preserve">poprzez działania opisane w </w:t>
      </w:r>
      <w:r w:rsidRPr="0085159D">
        <w:rPr>
          <w:lang w:val="pl-PL"/>
        </w:rPr>
        <w:t xml:space="preserve">planie wdrażania </w:t>
      </w:r>
      <w:r w:rsidR="00282A62" w:rsidRPr="0085159D">
        <w:rPr>
          <w:lang w:val="pl-PL"/>
        </w:rPr>
        <w:t xml:space="preserve">oraz poprzez skoordynowane wysiłki interesariuszy działających na polu edukacji finansowej, którzy zgodzili się wziąć udział w realizacji KSEF. </w:t>
      </w:r>
      <w:r w:rsidR="00053032">
        <w:rPr>
          <w:lang w:val="pl-PL"/>
        </w:rPr>
        <w:t>Kluczowe p</w:t>
      </w:r>
      <w:r w:rsidR="00282A62" w:rsidRPr="0085159D">
        <w:rPr>
          <w:lang w:val="pl-PL"/>
        </w:rPr>
        <w:t xml:space="preserve">riorytety </w:t>
      </w:r>
      <w:r w:rsidR="00053032">
        <w:rPr>
          <w:lang w:val="pl-PL"/>
        </w:rPr>
        <w:t xml:space="preserve">Strategii </w:t>
      </w:r>
      <w:r w:rsidR="00282A62" w:rsidRPr="0085159D">
        <w:rPr>
          <w:lang w:val="pl-PL"/>
        </w:rPr>
        <w:t xml:space="preserve">stanowią cele długoterminowe i wyznaczają kierunek działań, które będą podejmowane dla osiągnięcia tych celów. Kluczowe priorytety są szerokie i </w:t>
      </w:r>
      <w:r w:rsidR="00053032">
        <w:rPr>
          <w:lang w:val="pl-PL"/>
        </w:rPr>
        <w:t xml:space="preserve">zostały </w:t>
      </w:r>
      <w:r w:rsidR="00282A62" w:rsidRPr="0085159D">
        <w:rPr>
          <w:lang w:val="pl-PL"/>
        </w:rPr>
        <w:t>podzielone na dwa rodzaje:</w:t>
      </w:r>
    </w:p>
    <w:p w14:paraId="474C1A5A" w14:textId="77777777" w:rsidR="00282A62" w:rsidRPr="0085159D" w:rsidRDefault="00282A62" w:rsidP="000B051F">
      <w:pPr>
        <w:pStyle w:val="BulletedList"/>
        <w:rPr>
          <w:lang w:val="pl-PL"/>
        </w:rPr>
      </w:pPr>
      <w:r w:rsidRPr="0085159D">
        <w:rPr>
          <w:lang w:val="pl-PL"/>
        </w:rPr>
        <w:t>Priorytety, które odpowiadają na pytanie „co</w:t>
      </w:r>
      <w:r w:rsidR="00053032">
        <w:rPr>
          <w:lang w:val="pl-PL"/>
        </w:rPr>
        <w:t xml:space="preserve"> Strategia zamierza osiągnąć</w:t>
      </w:r>
      <w:r w:rsidRPr="0085159D">
        <w:rPr>
          <w:lang w:val="pl-PL"/>
        </w:rPr>
        <w:t>”, w odniesieniu do pożądanych zmian w wiedzy, postawach i zachowaniach ludzi</w:t>
      </w:r>
      <w:r w:rsidR="00053032">
        <w:rPr>
          <w:lang w:val="pl-PL"/>
        </w:rPr>
        <w:t xml:space="preserve"> (</w:t>
      </w:r>
      <w:r w:rsidRPr="0085159D">
        <w:rPr>
          <w:lang w:val="pl-PL"/>
        </w:rPr>
        <w:t>priorytety od 1 do 4</w:t>
      </w:r>
      <w:r w:rsidR="00012B81" w:rsidRPr="0085159D">
        <w:rPr>
          <w:lang w:val="pl-PL"/>
        </w:rPr>
        <w:t xml:space="preserve"> wskazane</w:t>
      </w:r>
      <w:r w:rsidRPr="0085159D">
        <w:rPr>
          <w:lang w:val="pl-PL"/>
        </w:rPr>
        <w:t xml:space="preserve"> poniżej</w:t>
      </w:r>
      <w:r w:rsidR="00053032">
        <w:rPr>
          <w:lang w:val="pl-PL"/>
        </w:rPr>
        <w:t>)</w:t>
      </w:r>
      <w:r w:rsidRPr="0085159D">
        <w:rPr>
          <w:lang w:val="pl-PL"/>
        </w:rPr>
        <w:t xml:space="preserve">. </w:t>
      </w:r>
      <w:r w:rsidR="00053032">
        <w:rPr>
          <w:lang w:val="pl-PL"/>
        </w:rPr>
        <w:t>Z</w:t>
      </w:r>
      <w:r w:rsidRPr="0085159D">
        <w:rPr>
          <w:lang w:val="pl-PL"/>
        </w:rPr>
        <w:t xml:space="preserve">miany te mogą wymagać czasu </w:t>
      </w:r>
      <w:r w:rsidR="007F20A8">
        <w:rPr>
          <w:lang w:val="pl-PL"/>
        </w:rPr>
        <w:t>oraz</w:t>
      </w:r>
      <w:r w:rsidRPr="0085159D">
        <w:rPr>
          <w:lang w:val="pl-PL"/>
        </w:rPr>
        <w:t xml:space="preserve"> wsparcia różnego rodzaju ciągłych i </w:t>
      </w:r>
      <w:r w:rsidR="00012B81" w:rsidRPr="0085159D">
        <w:rPr>
          <w:lang w:val="pl-PL"/>
        </w:rPr>
        <w:t xml:space="preserve">odpowiednio </w:t>
      </w:r>
      <w:r w:rsidRPr="0085159D">
        <w:rPr>
          <w:lang w:val="pl-PL"/>
        </w:rPr>
        <w:t>dostosowanych działań.</w:t>
      </w:r>
    </w:p>
    <w:p w14:paraId="4D9BC0F7" w14:textId="77777777" w:rsidR="00282A62" w:rsidRPr="0085159D" w:rsidRDefault="00282A62" w:rsidP="000B051F">
      <w:pPr>
        <w:pStyle w:val="BulletedList"/>
        <w:rPr>
          <w:lang w:val="pl-PL"/>
        </w:rPr>
      </w:pPr>
      <w:r w:rsidRPr="0085159D">
        <w:rPr>
          <w:lang w:val="pl-PL"/>
        </w:rPr>
        <w:t>Priorytety, które odpowiadają na pytanie „jak</w:t>
      </w:r>
      <w:r w:rsidR="007F20A8">
        <w:rPr>
          <w:lang w:val="pl-PL"/>
        </w:rPr>
        <w:t xml:space="preserve"> Strategia osiągnie swoje cele</w:t>
      </w:r>
      <w:r w:rsidRPr="0085159D">
        <w:rPr>
          <w:lang w:val="pl-PL"/>
        </w:rPr>
        <w:t>”, w odniesieniu do tego, jak przewidziane w Strategii programy edukacji finansowej powinny być zaprojektowane i</w:t>
      </w:r>
      <w:r w:rsidR="007F20A8">
        <w:rPr>
          <w:lang w:val="pl-PL"/>
        </w:rPr>
        <w:t> </w:t>
      </w:r>
      <w:r w:rsidRPr="0085159D">
        <w:rPr>
          <w:lang w:val="pl-PL"/>
        </w:rPr>
        <w:t>wprowadz</w:t>
      </w:r>
      <w:r w:rsidR="007F20A8">
        <w:rPr>
          <w:lang w:val="pl-PL"/>
        </w:rPr>
        <w:t>a</w:t>
      </w:r>
      <w:r w:rsidRPr="0085159D">
        <w:rPr>
          <w:lang w:val="pl-PL"/>
        </w:rPr>
        <w:t>ne, aby pożądane zmiany w wiedzy, postawach i zachowaniach ludzi zostały osiągnięte</w:t>
      </w:r>
      <w:r w:rsidR="007F20A8">
        <w:rPr>
          <w:lang w:val="pl-PL"/>
        </w:rPr>
        <w:t xml:space="preserve"> (</w:t>
      </w:r>
      <w:r w:rsidRPr="0085159D">
        <w:rPr>
          <w:lang w:val="pl-PL"/>
        </w:rPr>
        <w:t>priorytety od 5 do 7</w:t>
      </w:r>
      <w:r w:rsidR="007F20A8">
        <w:rPr>
          <w:lang w:val="pl-PL"/>
        </w:rPr>
        <w:t xml:space="preserve"> wskazane niżej). O</w:t>
      </w:r>
      <w:r w:rsidRPr="0085159D">
        <w:rPr>
          <w:lang w:val="pl-PL"/>
        </w:rPr>
        <w:t xml:space="preserve">kreślają </w:t>
      </w:r>
      <w:r w:rsidR="007F20A8">
        <w:rPr>
          <w:lang w:val="pl-PL"/>
        </w:rPr>
        <w:t xml:space="preserve">one </w:t>
      </w:r>
      <w:r w:rsidRPr="0085159D">
        <w:rPr>
          <w:lang w:val="pl-PL"/>
        </w:rPr>
        <w:t>zasady, jakimi powinny kierować się wprowadzane w Polsce programy edukacji finansowej.</w:t>
      </w:r>
    </w:p>
    <w:p w14:paraId="6B46AE80" w14:textId="77777777" w:rsidR="00282A62" w:rsidRPr="0085159D" w:rsidRDefault="006C646C" w:rsidP="000B051F">
      <w:pPr>
        <w:pStyle w:val="Para0"/>
        <w:rPr>
          <w:lang w:val="pl-PL"/>
        </w:rPr>
      </w:pPr>
      <w:r w:rsidRPr="0085159D">
        <w:rPr>
          <w:lang w:val="pl-PL"/>
        </w:rPr>
        <w:lastRenderedPageBreak/>
        <w:t>Priorytety k</w:t>
      </w:r>
      <w:r w:rsidR="00282A62" w:rsidRPr="0085159D">
        <w:rPr>
          <w:lang w:val="pl-PL"/>
        </w:rPr>
        <w:t xml:space="preserve">luczowe </w:t>
      </w:r>
      <w:r w:rsidR="007F20A8">
        <w:rPr>
          <w:lang w:val="pl-PL"/>
        </w:rPr>
        <w:t xml:space="preserve">będą </w:t>
      </w:r>
      <w:r w:rsidR="00282A62" w:rsidRPr="0085159D">
        <w:rPr>
          <w:lang w:val="pl-PL"/>
        </w:rPr>
        <w:t xml:space="preserve">wspierane i wdrażane poprzez działania </w:t>
      </w:r>
      <w:r w:rsidR="007F20A8">
        <w:rPr>
          <w:lang w:val="pl-PL"/>
        </w:rPr>
        <w:t xml:space="preserve">określone w kolejnych planach wdrażania </w:t>
      </w:r>
      <w:r w:rsidR="00282A62" w:rsidRPr="0085159D">
        <w:rPr>
          <w:lang w:val="pl-PL"/>
        </w:rPr>
        <w:t xml:space="preserve">(zob. </w:t>
      </w:r>
      <w:r w:rsidR="00012B81" w:rsidRPr="0085159D">
        <w:rPr>
          <w:lang w:val="pl-PL"/>
        </w:rPr>
        <w:t>c</w:t>
      </w:r>
      <w:r w:rsidR="00282A62" w:rsidRPr="0085159D">
        <w:rPr>
          <w:lang w:val="pl-PL"/>
        </w:rPr>
        <w:t xml:space="preserve">zęść III, </w:t>
      </w:r>
      <w:r w:rsidR="005C682D">
        <w:rPr>
          <w:lang w:val="pl-PL"/>
        </w:rPr>
        <w:t>„P</w:t>
      </w:r>
      <w:r w:rsidR="007F20A8">
        <w:rPr>
          <w:lang w:val="pl-PL"/>
        </w:rPr>
        <w:t xml:space="preserve">ierwszy </w:t>
      </w:r>
      <w:r w:rsidR="00012B81" w:rsidRPr="0085159D">
        <w:rPr>
          <w:lang w:val="pl-PL"/>
        </w:rPr>
        <w:t>plan wdrażania</w:t>
      </w:r>
      <w:r w:rsidR="005C682D">
        <w:rPr>
          <w:lang w:val="pl-PL"/>
        </w:rPr>
        <w:t>”</w:t>
      </w:r>
      <w:r w:rsidR="00282A62" w:rsidRPr="0085159D">
        <w:rPr>
          <w:lang w:val="pl-PL"/>
        </w:rPr>
        <w:t xml:space="preserve">). Działania </w:t>
      </w:r>
      <w:r w:rsidR="007F20A8">
        <w:rPr>
          <w:lang w:val="pl-PL"/>
        </w:rPr>
        <w:t xml:space="preserve">te </w:t>
      </w:r>
      <w:r w:rsidR="00282A62" w:rsidRPr="0085159D">
        <w:rPr>
          <w:lang w:val="pl-PL"/>
        </w:rPr>
        <w:t xml:space="preserve">to czynności </w:t>
      </w:r>
      <w:r w:rsidR="00D53CFA" w:rsidRPr="0085159D">
        <w:rPr>
          <w:lang w:val="pl-PL"/>
        </w:rPr>
        <w:t xml:space="preserve">wykonywane </w:t>
      </w:r>
      <w:r w:rsidR="00282A62" w:rsidRPr="0085159D">
        <w:rPr>
          <w:lang w:val="pl-PL"/>
        </w:rPr>
        <w:t>przez interesariuszy aktywnych na polu edukacji finansowej, które są skupione na konkretnych celach</w:t>
      </w:r>
      <w:r w:rsidR="007F20A8">
        <w:rPr>
          <w:lang w:val="pl-PL"/>
        </w:rPr>
        <w:t>.</w:t>
      </w:r>
      <w:r w:rsidR="00282A62" w:rsidRPr="0085159D">
        <w:rPr>
          <w:lang w:val="pl-PL"/>
        </w:rPr>
        <w:t xml:space="preserve"> W </w:t>
      </w:r>
      <w:r w:rsidR="005C682D" w:rsidRPr="0085159D">
        <w:rPr>
          <w:lang w:val="pl-PL"/>
        </w:rPr>
        <w:t>części III niniejszego dokumentu (</w:t>
      </w:r>
      <w:r w:rsidR="005C682D">
        <w:rPr>
          <w:lang w:val="pl-PL"/>
        </w:rPr>
        <w:t xml:space="preserve">pierwszy </w:t>
      </w:r>
      <w:r w:rsidR="005C682D" w:rsidRPr="0085159D">
        <w:rPr>
          <w:lang w:val="pl-PL"/>
        </w:rPr>
        <w:t>plan wdrażania)</w:t>
      </w:r>
      <w:r w:rsidR="005C682D">
        <w:rPr>
          <w:lang w:val="pl-PL"/>
        </w:rPr>
        <w:t xml:space="preserve"> </w:t>
      </w:r>
      <w:r w:rsidR="00282A62" w:rsidRPr="0085159D">
        <w:rPr>
          <w:lang w:val="pl-PL"/>
        </w:rPr>
        <w:t xml:space="preserve">zostały opisane </w:t>
      </w:r>
      <w:r w:rsidR="005C682D" w:rsidRPr="0085159D">
        <w:rPr>
          <w:lang w:val="pl-PL"/>
        </w:rPr>
        <w:t xml:space="preserve">działania </w:t>
      </w:r>
      <w:r w:rsidR="005C682D">
        <w:rPr>
          <w:lang w:val="pl-PL"/>
        </w:rPr>
        <w:t>przewidziane do realizacji w ciągu pierwszych trzech lat wdrażania Strategii.</w:t>
      </w:r>
      <w:r w:rsidR="00282A62" w:rsidRPr="0085159D">
        <w:rPr>
          <w:lang w:val="pl-PL"/>
        </w:rPr>
        <w:t xml:space="preserve"> </w:t>
      </w:r>
      <w:r w:rsidR="005C682D">
        <w:rPr>
          <w:lang w:val="pl-PL"/>
        </w:rPr>
        <w:t xml:space="preserve">Pierwszy plan wdrażania </w:t>
      </w:r>
      <w:r w:rsidR="00282A62" w:rsidRPr="0085159D">
        <w:rPr>
          <w:lang w:val="pl-PL"/>
        </w:rPr>
        <w:t xml:space="preserve">określa konkretne działania do podjęcia przez interesariuszy, kluczowe wskaźniki efektywności oraz ramy czasowe </w:t>
      </w:r>
      <w:r w:rsidR="00D53CFA" w:rsidRPr="0085159D">
        <w:rPr>
          <w:lang w:val="pl-PL"/>
        </w:rPr>
        <w:t>realizacji</w:t>
      </w:r>
      <w:r w:rsidR="00282A62" w:rsidRPr="0085159D">
        <w:rPr>
          <w:lang w:val="pl-PL"/>
        </w:rPr>
        <w:t>. Działania podlega</w:t>
      </w:r>
      <w:r w:rsidR="005C682D">
        <w:rPr>
          <w:lang w:val="pl-PL"/>
        </w:rPr>
        <w:t>ć będą</w:t>
      </w:r>
      <w:r w:rsidR="00282A62" w:rsidRPr="0085159D">
        <w:rPr>
          <w:lang w:val="pl-PL"/>
        </w:rPr>
        <w:t xml:space="preserve"> regularnemu monitorowaniu i </w:t>
      </w:r>
      <w:r w:rsidR="00D53CFA" w:rsidRPr="0085159D">
        <w:rPr>
          <w:lang w:val="pl-PL"/>
        </w:rPr>
        <w:t>ewaluacji</w:t>
      </w:r>
      <w:r w:rsidR="00907352" w:rsidRPr="0085159D">
        <w:rPr>
          <w:lang w:val="pl-PL"/>
        </w:rPr>
        <w:t xml:space="preserve">, w związku z czym </w:t>
      </w:r>
      <w:r w:rsidR="005C682D">
        <w:rPr>
          <w:lang w:val="pl-PL"/>
        </w:rPr>
        <w:t xml:space="preserve">mogą </w:t>
      </w:r>
      <w:r w:rsidR="00282A62" w:rsidRPr="0085159D">
        <w:rPr>
          <w:lang w:val="pl-PL"/>
        </w:rPr>
        <w:t xml:space="preserve">ulegać zmianom częściej niż sama Strategia (zob. punkt </w:t>
      </w:r>
      <w:r w:rsidR="00D53CFA" w:rsidRPr="0085159D">
        <w:rPr>
          <w:lang w:val="pl-PL"/>
        </w:rPr>
        <w:t>„</w:t>
      </w:r>
      <w:r w:rsidR="00282A62" w:rsidRPr="0085159D">
        <w:rPr>
          <w:lang w:val="pl-PL"/>
        </w:rPr>
        <w:t>Monitor</w:t>
      </w:r>
      <w:r w:rsidR="00D860F3">
        <w:rPr>
          <w:lang w:val="pl-PL"/>
        </w:rPr>
        <w:t>ing</w:t>
      </w:r>
      <w:r w:rsidR="00282A62" w:rsidRPr="0085159D">
        <w:rPr>
          <w:lang w:val="pl-PL"/>
        </w:rPr>
        <w:t xml:space="preserve"> i </w:t>
      </w:r>
      <w:r w:rsidR="00D53CFA" w:rsidRPr="0085159D">
        <w:rPr>
          <w:lang w:val="pl-PL"/>
        </w:rPr>
        <w:t>ewaluacja”</w:t>
      </w:r>
      <w:r w:rsidR="00282A62" w:rsidRPr="0085159D">
        <w:rPr>
          <w:lang w:val="pl-PL"/>
        </w:rPr>
        <w:t>).</w:t>
      </w:r>
    </w:p>
    <w:p w14:paraId="11A15E7D" w14:textId="77777777" w:rsidR="00282A62" w:rsidRPr="0085159D" w:rsidRDefault="00282A62" w:rsidP="000B051F">
      <w:pPr>
        <w:pStyle w:val="Para0"/>
        <w:rPr>
          <w:lang w:val="pl-PL"/>
        </w:rPr>
      </w:pPr>
      <w:r w:rsidRPr="0085159D">
        <w:rPr>
          <w:lang w:val="pl-PL"/>
        </w:rPr>
        <w:t xml:space="preserve">Siedem priorytetów </w:t>
      </w:r>
      <w:r w:rsidR="006C646C" w:rsidRPr="0085159D">
        <w:rPr>
          <w:lang w:val="pl-PL"/>
        </w:rPr>
        <w:t xml:space="preserve">kluczowych </w:t>
      </w:r>
      <w:r w:rsidRPr="0085159D">
        <w:rPr>
          <w:lang w:val="pl-PL"/>
        </w:rPr>
        <w:t>opisanych w tym rozdziale zostało wybranych na podstawie analizy i</w:t>
      </w:r>
      <w:r w:rsidR="001E5B9C">
        <w:rPr>
          <w:lang w:val="pl-PL"/>
        </w:rPr>
        <w:t> </w:t>
      </w:r>
      <w:r w:rsidR="00D53CFA" w:rsidRPr="0085159D">
        <w:rPr>
          <w:lang w:val="pl-PL"/>
        </w:rPr>
        <w:t xml:space="preserve">danych </w:t>
      </w:r>
      <w:r w:rsidRPr="0085159D">
        <w:rPr>
          <w:lang w:val="pl-PL"/>
        </w:rPr>
        <w:t xml:space="preserve">opisanych w </w:t>
      </w:r>
      <w:r w:rsidR="005C682D">
        <w:rPr>
          <w:lang w:val="pl-PL"/>
        </w:rPr>
        <w:t>r</w:t>
      </w:r>
      <w:r w:rsidRPr="0085159D">
        <w:rPr>
          <w:lang w:val="pl-PL"/>
        </w:rPr>
        <w:t xml:space="preserve">aporcie „Znajomość zagadnień finansowych w Polsce: Znaczenie, dowody i oferta edukacyjna” </w:t>
      </w:r>
      <w:sdt>
        <w:sdtPr>
          <w:rPr>
            <w:lang w:val="pl-PL"/>
          </w:rPr>
          <w:id w:val="-1224134592"/>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 xml:space="preserve">, dyskusji pomiędzy członkami </w:t>
      </w:r>
      <w:r w:rsidR="00D53CFA" w:rsidRPr="0085159D">
        <w:rPr>
          <w:lang w:val="pl-PL"/>
        </w:rPr>
        <w:t>k</w:t>
      </w:r>
      <w:r w:rsidRPr="0085159D">
        <w:rPr>
          <w:lang w:val="pl-PL"/>
        </w:rPr>
        <w:t xml:space="preserve">rajowej </w:t>
      </w:r>
      <w:r w:rsidR="00D53CFA" w:rsidRPr="0085159D">
        <w:rPr>
          <w:lang w:val="pl-PL"/>
        </w:rPr>
        <w:t>g</w:t>
      </w:r>
      <w:r w:rsidRPr="0085159D">
        <w:rPr>
          <w:lang w:val="pl-PL"/>
        </w:rPr>
        <w:t xml:space="preserve">rupy </w:t>
      </w:r>
      <w:r w:rsidR="00D53CFA" w:rsidRPr="0085159D">
        <w:rPr>
          <w:lang w:val="pl-PL"/>
        </w:rPr>
        <w:t>r</w:t>
      </w:r>
      <w:r w:rsidRPr="0085159D">
        <w:rPr>
          <w:lang w:val="pl-PL"/>
        </w:rPr>
        <w:t xml:space="preserve">oboczej oraz </w:t>
      </w:r>
      <w:r w:rsidR="007C25CC">
        <w:rPr>
          <w:lang w:val="pl-PL"/>
        </w:rPr>
        <w:t xml:space="preserve">konsultacji </w:t>
      </w:r>
      <w:r w:rsidRPr="0085159D">
        <w:rPr>
          <w:lang w:val="pl-PL"/>
        </w:rPr>
        <w:t>z</w:t>
      </w:r>
      <w:r w:rsidR="007C25CC">
        <w:rPr>
          <w:lang w:val="pl-PL"/>
        </w:rPr>
        <w:t> </w:t>
      </w:r>
      <w:r w:rsidRPr="0085159D">
        <w:rPr>
          <w:lang w:val="pl-PL"/>
        </w:rPr>
        <w:t>szerokim gronem interesariuszy aktywnych na polu edukacji finansowej. Mają one również charakter</w:t>
      </w:r>
      <w:r w:rsidR="00D53CFA" w:rsidRPr="0085159D">
        <w:rPr>
          <w:lang w:val="pl-PL"/>
        </w:rPr>
        <w:t xml:space="preserve"> strategiczny</w:t>
      </w:r>
      <w:r w:rsidRPr="0085159D">
        <w:rPr>
          <w:lang w:val="pl-PL"/>
        </w:rPr>
        <w:t xml:space="preserve">, </w:t>
      </w:r>
      <w:r w:rsidR="00D93FAD">
        <w:rPr>
          <w:lang w:val="pl-PL"/>
        </w:rPr>
        <w:t>w zakresie w jakim</w:t>
      </w:r>
      <w:r w:rsidRPr="0085159D">
        <w:rPr>
          <w:lang w:val="pl-PL"/>
        </w:rPr>
        <w:t xml:space="preserve"> wspierają kluczowe </w:t>
      </w:r>
      <w:r w:rsidR="006C646C" w:rsidRPr="0085159D">
        <w:rPr>
          <w:lang w:val="pl-PL"/>
        </w:rPr>
        <w:t xml:space="preserve">polityki </w:t>
      </w:r>
      <w:r w:rsidRPr="0085159D">
        <w:rPr>
          <w:lang w:val="pl-PL"/>
        </w:rPr>
        <w:t xml:space="preserve">krajowe opisane w części I. Poniżej </w:t>
      </w:r>
      <w:r w:rsidR="006C646C" w:rsidRPr="0085159D">
        <w:rPr>
          <w:lang w:val="pl-PL"/>
        </w:rPr>
        <w:t xml:space="preserve">przedstawiono </w:t>
      </w:r>
      <w:r w:rsidRPr="0085159D">
        <w:rPr>
          <w:lang w:val="pl-PL"/>
        </w:rPr>
        <w:t xml:space="preserve">uzasadnienie dla każdego priorytetu. Szczegóły ich </w:t>
      </w:r>
      <w:r w:rsidR="0013171A" w:rsidRPr="0085159D">
        <w:rPr>
          <w:lang w:val="pl-PL"/>
        </w:rPr>
        <w:t>wdrażania</w:t>
      </w:r>
      <w:r w:rsidR="00D53CFA" w:rsidRPr="0085159D">
        <w:rPr>
          <w:lang w:val="pl-PL"/>
        </w:rPr>
        <w:t xml:space="preserve"> </w:t>
      </w:r>
      <w:r w:rsidRPr="0085159D">
        <w:rPr>
          <w:lang w:val="pl-PL"/>
        </w:rPr>
        <w:t xml:space="preserve">poprzez poszczególne działania zostały przedstawione w </w:t>
      </w:r>
      <w:r w:rsidR="00D53CFA" w:rsidRPr="0085159D">
        <w:rPr>
          <w:lang w:val="pl-PL"/>
        </w:rPr>
        <w:t>c</w:t>
      </w:r>
      <w:r w:rsidRPr="0085159D">
        <w:rPr>
          <w:lang w:val="pl-PL"/>
        </w:rPr>
        <w:t>zęści III.</w:t>
      </w:r>
    </w:p>
    <w:p w14:paraId="76B289CB" w14:textId="7BBB40A1" w:rsidR="00282A62" w:rsidRPr="0085159D" w:rsidRDefault="00282A62" w:rsidP="000B051F">
      <w:pPr>
        <w:pStyle w:val="Legenda"/>
        <w:rPr>
          <w:lang w:val="pl-PL"/>
        </w:rPr>
      </w:pPr>
      <w:bookmarkStart w:id="25" w:name="_Toc131521221"/>
      <w:r w:rsidRPr="0085159D">
        <w:rPr>
          <w:bCs/>
          <w:iCs w:val="0"/>
          <w:lang w:val="pl-PL"/>
        </w:rPr>
        <w:t xml:space="preserve">Wykres </w:t>
      </w:r>
      <w:r w:rsidRPr="0085159D">
        <w:rPr>
          <w:bCs/>
          <w:iCs w:val="0"/>
          <w:noProof/>
          <w:lang w:val="pl-PL"/>
        </w:rPr>
        <w:fldChar w:fldCharType="begin"/>
      </w:r>
      <w:r w:rsidRPr="0085159D">
        <w:rPr>
          <w:bCs/>
          <w:iCs w:val="0"/>
          <w:noProof/>
          <w:lang w:val="pl-PL"/>
        </w:rPr>
        <w:instrText xml:space="preserve"> SEQ Figure \* ARABIC \s 1 </w:instrText>
      </w:r>
      <w:r w:rsidRPr="0085159D">
        <w:rPr>
          <w:bCs/>
          <w:iCs w:val="0"/>
          <w:noProof/>
          <w:lang w:val="pl-PL"/>
        </w:rPr>
        <w:fldChar w:fldCharType="separate"/>
      </w:r>
      <w:r w:rsidR="001C3129">
        <w:rPr>
          <w:bCs/>
          <w:iCs w:val="0"/>
          <w:noProof/>
          <w:lang w:val="pl-PL"/>
        </w:rPr>
        <w:t>1</w:t>
      </w:r>
      <w:r w:rsidRPr="0085159D">
        <w:rPr>
          <w:bCs/>
          <w:iCs w:val="0"/>
          <w:noProof/>
          <w:lang w:val="pl-PL"/>
        </w:rPr>
        <w:fldChar w:fldCharType="end"/>
      </w:r>
      <w:r w:rsidRPr="0085159D">
        <w:rPr>
          <w:bCs/>
          <w:iCs w:val="0"/>
          <w:lang w:val="pl-PL"/>
        </w:rPr>
        <w:t xml:space="preserve">. </w:t>
      </w:r>
      <w:r w:rsidR="007C25CC">
        <w:rPr>
          <w:bCs/>
          <w:iCs w:val="0"/>
          <w:lang w:val="pl-PL"/>
        </w:rPr>
        <w:t xml:space="preserve">Wizja </w:t>
      </w:r>
      <w:r w:rsidRPr="0085159D">
        <w:rPr>
          <w:bCs/>
          <w:iCs w:val="0"/>
          <w:lang w:val="pl-PL"/>
        </w:rPr>
        <w:t xml:space="preserve">i </w:t>
      </w:r>
      <w:r w:rsidR="00AC41C0" w:rsidRPr="0085159D">
        <w:rPr>
          <w:bCs/>
          <w:iCs w:val="0"/>
          <w:lang w:val="pl-PL"/>
        </w:rPr>
        <w:t>kluczow</w:t>
      </w:r>
      <w:r w:rsidR="00AC41C0">
        <w:rPr>
          <w:bCs/>
          <w:iCs w:val="0"/>
          <w:lang w:val="pl-PL"/>
        </w:rPr>
        <w:t xml:space="preserve">e </w:t>
      </w:r>
      <w:r w:rsidRPr="0085159D">
        <w:rPr>
          <w:bCs/>
          <w:iCs w:val="0"/>
          <w:lang w:val="pl-PL"/>
        </w:rPr>
        <w:t>priorytet</w:t>
      </w:r>
      <w:r w:rsidR="007C25CC">
        <w:rPr>
          <w:bCs/>
          <w:iCs w:val="0"/>
          <w:lang w:val="pl-PL"/>
        </w:rPr>
        <w:t>y</w:t>
      </w:r>
      <w:bookmarkEnd w:id="25"/>
      <w:r w:rsidR="006C646C" w:rsidRPr="0085159D">
        <w:rPr>
          <w:bCs/>
          <w:iCs w:val="0"/>
          <w:lang w:val="pl-PL"/>
        </w:rPr>
        <w:t xml:space="preserve"> </w:t>
      </w:r>
      <w:r w:rsidR="007C25CC">
        <w:rPr>
          <w:bCs/>
          <w:iCs w:val="0"/>
          <w:lang w:val="pl-PL"/>
        </w:rPr>
        <w:t>KSEF</w:t>
      </w:r>
    </w:p>
    <w:p w14:paraId="3A5D2D47" w14:textId="77777777" w:rsidR="00282A62" w:rsidRPr="0085159D" w:rsidRDefault="002C39A7" w:rsidP="000B051F">
      <w:pPr>
        <w:pStyle w:val="Figure"/>
        <w:widowControl/>
        <w:rPr>
          <w:lang w:val="pl-PL"/>
        </w:rPr>
      </w:pPr>
      <w:r>
        <w:rPr>
          <w:noProof/>
          <w:lang w:val="pl-PL" w:eastAsia="pl-PL"/>
        </w:rPr>
        <w:drawing>
          <wp:inline distT="0" distB="0" distL="0" distR="0" wp14:anchorId="7E304AE0" wp14:editId="1DB58184">
            <wp:extent cx="5899150" cy="4425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9150" cy="4425950"/>
                    </a:xfrm>
                    <a:prstGeom prst="rect">
                      <a:avLst/>
                    </a:prstGeom>
                    <a:noFill/>
                    <a:ln>
                      <a:noFill/>
                    </a:ln>
                  </pic:spPr>
                </pic:pic>
              </a:graphicData>
            </a:graphic>
          </wp:inline>
        </w:drawing>
      </w:r>
    </w:p>
    <w:p w14:paraId="239ED270" w14:textId="77777777" w:rsidR="00282A62" w:rsidRPr="0085159D" w:rsidRDefault="00282A62" w:rsidP="000B051F">
      <w:pPr>
        <w:pStyle w:val="Nagwek3"/>
        <w:rPr>
          <w:lang w:val="pl-PL"/>
        </w:rPr>
      </w:pPr>
      <w:r w:rsidRPr="0085159D">
        <w:rPr>
          <w:bCs/>
          <w:iCs/>
          <w:lang w:val="pl-PL"/>
        </w:rPr>
        <w:lastRenderedPageBreak/>
        <w:t>Priorytety odpowiadające na pytanie, „co Strategia zamierza osiągnąć</w:t>
      </w:r>
      <w:r w:rsidR="006F2A23">
        <w:rPr>
          <w:bCs/>
          <w:iCs/>
          <w:lang w:val="pl-PL"/>
        </w:rPr>
        <w:t>”</w:t>
      </w:r>
    </w:p>
    <w:p w14:paraId="1EFBDDC5" w14:textId="77777777" w:rsidR="00282A62" w:rsidRPr="0085159D" w:rsidRDefault="00282A62" w:rsidP="000B051F">
      <w:pPr>
        <w:pStyle w:val="Para0"/>
        <w:rPr>
          <w:lang w:val="pl-PL"/>
        </w:rPr>
      </w:pPr>
      <w:r w:rsidRPr="0085159D">
        <w:rPr>
          <w:lang w:val="pl-PL"/>
        </w:rPr>
        <w:t xml:space="preserve">W celu wsparcia mieszkańców Polski w poprawie ich odporności finansowej i </w:t>
      </w:r>
      <w:r w:rsidR="00813D75" w:rsidRPr="0085159D">
        <w:rPr>
          <w:lang w:val="pl-PL"/>
        </w:rPr>
        <w:t xml:space="preserve">dobrostanu </w:t>
      </w:r>
      <w:r w:rsidRPr="0085159D">
        <w:rPr>
          <w:lang w:val="pl-PL"/>
        </w:rPr>
        <w:t xml:space="preserve">finansowego </w:t>
      </w:r>
      <w:r w:rsidRPr="006F2A23">
        <w:rPr>
          <w:lang w:val="pl-PL"/>
        </w:rPr>
        <w:t>KSEF skupi</w:t>
      </w:r>
      <w:r w:rsidR="006F2A23" w:rsidRPr="00711AEB">
        <w:rPr>
          <w:lang w:val="pl-PL"/>
        </w:rPr>
        <w:t>a</w:t>
      </w:r>
      <w:r w:rsidRPr="006F2A23">
        <w:rPr>
          <w:lang w:val="pl-PL"/>
        </w:rPr>
        <w:t xml:space="preserve"> się</w:t>
      </w:r>
      <w:r w:rsidRPr="0085159D">
        <w:rPr>
          <w:lang w:val="pl-PL"/>
        </w:rPr>
        <w:t xml:space="preserve"> na wspieraniu </w:t>
      </w:r>
      <w:r w:rsidR="006F2A23">
        <w:rPr>
          <w:lang w:val="pl-PL"/>
        </w:rPr>
        <w:t xml:space="preserve">podnoszenia </w:t>
      </w:r>
      <w:r w:rsidRPr="0085159D">
        <w:rPr>
          <w:lang w:val="pl-PL"/>
        </w:rPr>
        <w:t>kompetencji finansowych, które zaowocują pożądanymi zmianami w wiedzy, postawach i zachowaniach ludzi.</w:t>
      </w:r>
    </w:p>
    <w:p w14:paraId="3F778231" w14:textId="77777777" w:rsidR="00282A62" w:rsidRPr="0085159D" w:rsidRDefault="006F2A23" w:rsidP="000B051F">
      <w:pPr>
        <w:pStyle w:val="Para0"/>
        <w:rPr>
          <w:lang w:val="pl-PL"/>
        </w:rPr>
      </w:pPr>
      <w:r>
        <w:rPr>
          <w:lang w:val="pl-PL"/>
        </w:rPr>
        <w:t>B</w:t>
      </w:r>
      <w:r w:rsidR="00282A62" w:rsidRPr="0085159D">
        <w:rPr>
          <w:lang w:val="pl-PL"/>
        </w:rPr>
        <w:t xml:space="preserve">adania i analizy wskazują, że </w:t>
      </w:r>
      <w:r w:rsidR="00813D75" w:rsidRPr="0085159D">
        <w:rPr>
          <w:lang w:val="pl-PL"/>
        </w:rPr>
        <w:t xml:space="preserve">mieszkańcy </w:t>
      </w:r>
      <w:r w:rsidR="00282A62" w:rsidRPr="0085159D">
        <w:rPr>
          <w:lang w:val="pl-PL"/>
        </w:rPr>
        <w:t>Polski</w:t>
      </w:r>
      <w:r w:rsidR="00813D75" w:rsidRPr="0085159D">
        <w:rPr>
          <w:lang w:val="pl-PL"/>
        </w:rPr>
        <w:t xml:space="preserve"> odnieśliby </w:t>
      </w:r>
      <w:r w:rsidR="00282A62" w:rsidRPr="0085159D">
        <w:rPr>
          <w:lang w:val="pl-PL"/>
        </w:rPr>
        <w:t xml:space="preserve">korzyści z programów edukacji finansowej, które zwiększają wiedzę, </w:t>
      </w:r>
      <w:r>
        <w:rPr>
          <w:lang w:val="pl-PL"/>
        </w:rPr>
        <w:t xml:space="preserve">rozwijają </w:t>
      </w:r>
      <w:r w:rsidR="00282A62" w:rsidRPr="0085159D">
        <w:rPr>
          <w:lang w:val="pl-PL"/>
        </w:rPr>
        <w:t xml:space="preserve">umiejętności i kształtują właściwe nawyki w odniesieniu do </w:t>
      </w:r>
      <w:r w:rsidR="006C646C" w:rsidRPr="0085159D">
        <w:rPr>
          <w:lang w:val="pl-PL"/>
        </w:rPr>
        <w:t xml:space="preserve">planowania </w:t>
      </w:r>
      <w:r w:rsidR="00282A62" w:rsidRPr="0085159D">
        <w:rPr>
          <w:lang w:val="pl-PL"/>
        </w:rPr>
        <w:t>budżet</w:t>
      </w:r>
      <w:r w:rsidR="006C646C" w:rsidRPr="0085159D">
        <w:rPr>
          <w:lang w:val="pl-PL"/>
        </w:rPr>
        <w:t>u domowego</w:t>
      </w:r>
      <w:r w:rsidR="00282A62" w:rsidRPr="0085159D">
        <w:rPr>
          <w:lang w:val="pl-PL"/>
        </w:rPr>
        <w:t>, oszczędzania, inwestowania, chronienia finansów gospodarstw</w:t>
      </w:r>
      <w:r w:rsidR="00BA2081" w:rsidRPr="0085159D">
        <w:rPr>
          <w:lang w:val="pl-PL"/>
        </w:rPr>
        <w:t>a</w:t>
      </w:r>
      <w:r w:rsidR="00282A62" w:rsidRPr="0085159D">
        <w:rPr>
          <w:lang w:val="pl-PL"/>
        </w:rPr>
        <w:t xml:space="preserve"> </w:t>
      </w:r>
      <w:r w:rsidR="00BA2081" w:rsidRPr="0085159D">
        <w:rPr>
          <w:lang w:val="pl-PL"/>
        </w:rPr>
        <w:t xml:space="preserve">domowego </w:t>
      </w:r>
      <w:r w:rsidR="00282A62" w:rsidRPr="0085159D">
        <w:rPr>
          <w:lang w:val="pl-PL"/>
        </w:rPr>
        <w:t xml:space="preserve">przy pomocy odpowiedniego ubezpieczenia oraz unikania niepotrzebnego zadłużenia </w:t>
      </w:r>
      <w:sdt>
        <w:sdtPr>
          <w:rPr>
            <w:lang w:val="pl-PL"/>
          </w:rPr>
          <w:id w:val="951912674"/>
          <w:citation/>
        </w:sdtPr>
        <w:sdtEndPr/>
        <w:sdtContent>
          <w:r w:rsidR="00282A62" w:rsidRPr="0085159D">
            <w:rPr>
              <w:lang w:val="pl-PL"/>
            </w:rPr>
            <w:fldChar w:fldCharType="begin"/>
          </w:r>
          <w:r w:rsidR="00282A62" w:rsidRPr="0085159D">
            <w:rPr>
              <w:lang w:val="pl-PL"/>
            </w:rPr>
            <w:instrText xml:space="preserve"> CITATION Mendeley_HL1LB5KKEzudIUMChZuI__A \l 2057 </w:instrText>
          </w:r>
          <w:r w:rsidR="00282A62" w:rsidRPr="0085159D">
            <w:rPr>
              <w:lang w:val="pl-PL"/>
            </w:rPr>
            <w:fldChar w:fldCharType="separate"/>
          </w:r>
          <w:r w:rsidR="00282A62" w:rsidRPr="0085159D">
            <w:rPr>
              <w:noProof/>
              <w:lang w:val="pl-PL"/>
            </w:rPr>
            <w:t>(OECD, 2022</w:t>
          </w:r>
          <w:r w:rsidR="00282A62" w:rsidRPr="0085159D">
            <w:rPr>
              <w:noProof/>
              <w:vertAlign w:val="subscript"/>
              <w:lang w:val="pl-PL"/>
            </w:rPr>
            <w:t>[3]</w:t>
          </w:r>
          <w:r w:rsidR="00282A62" w:rsidRPr="0085159D">
            <w:rPr>
              <w:noProof/>
              <w:lang w:val="pl-PL"/>
            </w:rPr>
            <w:t>)</w:t>
          </w:r>
          <w:r w:rsidR="00282A62" w:rsidRPr="0085159D">
            <w:rPr>
              <w:lang w:val="pl-PL"/>
            </w:rPr>
            <w:fldChar w:fldCharType="end"/>
          </w:r>
        </w:sdtContent>
      </w:sdt>
      <w:r w:rsidR="00282A62" w:rsidRPr="0085159D">
        <w:rPr>
          <w:lang w:val="pl-PL"/>
        </w:rPr>
        <w:t>. Ponadto konsumenci w Polsce odnieśliby korzyści z lepszego rozumienia, jak funkcjonują systemy finansowe i socjalne, oraz gdyby znali swoje prawa przy zakupie i korzystaniu z produktów finansowych, a także byli świadomi potencjalnych zagrożeń związanych z oszustwami finansowymi. W</w:t>
      </w:r>
      <w:r w:rsidR="0093398D">
        <w:rPr>
          <w:lang w:val="pl-PL"/>
        </w:rPr>
        <w:t> </w:t>
      </w:r>
      <w:r w:rsidR="00282A62" w:rsidRPr="0085159D">
        <w:rPr>
          <w:lang w:val="pl-PL"/>
        </w:rPr>
        <w:t>odniesieniu do inwestowania konsumenci powinni rozumieć, jaka jest realna stopa zwrotu z danej inwestycji oraz jak rozpoznać instrumenty inwestycyjne, których celem jest dokonanie oszustwa. I</w:t>
      </w:r>
      <w:r w:rsidR="0093398D">
        <w:rPr>
          <w:lang w:val="pl-PL"/>
        </w:rPr>
        <w:t> </w:t>
      </w:r>
      <w:r w:rsidR="00282A62" w:rsidRPr="0085159D">
        <w:rPr>
          <w:lang w:val="pl-PL"/>
        </w:rPr>
        <w:t xml:space="preserve">wreszcie, biorąc pod uwagę postępującą cyfryzację systemu finansowego, konsumenci powinni być świadomi potencjalnych zagrożeń w zakresie cyberbezpieczeństwa i oszustw w Internecie, a także wiedzieć, jak bezpiecznie poruszać się w sieci. Podnosząc </w:t>
      </w:r>
      <w:r w:rsidR="00711AEB">
        <w:rPr>
          <w:lang w:val="pl-PL"/>
        </w:rPr>
        <w:t>ww.</w:t>
      </w:r>
      <w:r w:rsidR="00282A62" w:rsidRPr="0085159D">
        <w:rPr>
          <w:lang w:val="pl-PL"/>
        </w:rPr>
        <w:t xml:space="preserve"> kompetencje finansowe mieszkańców Polski, </w:t>
      </w:r>
      <w:r w:rsidR="00282A62" w:rsidRPr="00711AEB">
        <w:rPr>
          <w:lang w:val="pl-PL"/>
        </w:rPr>
        <w:t>KSEF wesprze</w:t>
      </w:r>
      <w:r w:rsidR="00282A62" w:rsidRPr="0085159D">
        <w:rPr>
          <w:lang w:val="pl-PL"/>
        </w:rPr>
        <w:t xml:space="preserve"> ich w</w:t>
      </w:r>
      <w:r w:rsidR="00711AEB">
        <w:rPr>
          <w:lang w:val="pl-PL"/>
        </w:rPr>
        <w:t> </w:t>
      </w:r>
      <w:r w:rsidR="00282A62" w:rsidRPr="0085159D">
        <w:rPr>
          <w:lang w:val="pl-PL"/>
        </w:rPr>
        <w:t xml:space="preserve">poprawie odporności finansowej i </w:t>
      </w:r>
      <w:r w:rsidR="00813D75" w:rsidRPr="0085159D">
        <w:rPr>
          <w:lang w:val="pl-PL"/>
        </w:rPr>
        <w:t xml:space="preserve">dobrostanu </w:t>
      </w:r>
      <w:r w:rsidR="00282A62" w:rsidRPr="0085159D">
        <w:rPr>
          <w:lang w:val="pl-PL"/>
        </w:rPr>
        <w:t>finansowego.</w:t>
      </w:r>
    </w:p>
    <w:p w14:paraId="66CA7168" w14:textId="77777777" w:rsidR="00282A62" w:rsidRPr="0085159D" w:rsidRDefault="00282A62" w:rsidP="000B051F">
      <w:pPr>
        <w:pStyle w:val="Para0"/>
        <w:rPr>
          <w:lang w:val="pl-PL"/>
        </w:rPr>
      </w:pPr>
      <w:r w:rsidRPr="0085159D">
        <w:rPr>
          <w:lang w:val="pl-PL"/>
        </w:rPr>
        <w:t xml:space="preserve">Ponadto edukacja finansowa może odegrać trzy ważne role w odniesieniu do sytuacji finansowej </w:t>
      </w:r>
      <w:r w:rsidR="00BA2081" w:rsidRPr="0085159D">
        <w:rPr>
          <w:lang w:val="pl-PL"/>
        </w:rPr>
        <w:t>mieszkańców Polski</w:t>
      </w:r>
      <w:r w:rsidRPr="0085159D">
        <w:rPr>
          <w:lang w:val="pl-PL"/>
        </w:rPr>
        <w:t>:</w:t>
      </w:r>
    </w:p>
    <w:p w14:paraId="7F6D9A4A" w14:textId="77777777" w:rsidR="00282A62" w:rsidRPr="0085159D" w:rsidRDefault="0072201C" w:rsidP="000B051F">
      <w:pPr>
        <w:pStyle w:val="BulletedList"/>
        <w:rPr>
          <w:lang w:val="pl-PL"/>
        </w:rPr>
      </w:pPr>
      <w:r w:rsidRPr="0085159D">
        <w:rPr>
          <w:lang w:val="pl-PL"/>
        </w:rPr>
        <w:t>r</w:t>
      </w:r>
      <w:r w:rsidR="00282A62" w:rsidRPr="0085159D">
        <w:rPr>
          <w:lang w:val="pl-PL"/>
        </w:rPr>
        <w:t xml:space="preserve">olę prewencyjną, ponieważ wspiera konsumentów w podejmowaniu decyzji finansowych, które leżą w ich najlepszym interesie, zwiększa ich odporność finansową i zapobiega </w:t>
      </w:r>
      <w:r w:rsidR="00711AEB">
        <w:rPr>
          <w:lang w:val="pl-PL"/>
        </w:rPr>
        <w:t xml:space="preserve">problemom </w:t>
      </w:r>
      <w:r w:rsidR="00282A62" w:rsidRPr="0085159D">
        <w:rPr>
          <w:lang w:val="pl-PL"/>
        </w:rPr>
        <w:t>finansowym</w:t>
      </w:r>
      <w:r w:rsidRPr="0085159D">
        <w:rPr>
          <w:lang w:val="pl-PL"/>
        </w:rPr>
        <w:t>;</w:t>
      </w:r>
    </w:p>
    <w:p w14:paraId="2AC4FE39" w14:textId="77777777" w:rsidR="00282A62" w:rsidRPr="0085159D" w:rsidRDefault="0072201C" w:rsidP="000B051F">
      <w:pPr>
        <w:pStyle w:val="BulletedList"/>
        <w:rPr>
          <w:lang w:val="pl-PL"/>
        </w:rPr>
      </w:pPr>
      <w:r w:rsidRPr="0085159D">
        <w:rPr>
          <w:lang w:val="pl-PL"/>
        </w:rPr>
        <w:t>r</w:t>
      </w:r>
      <w:r w:rsidR="00282A62" w:rsidRPr="0085159D">
        <w:rPr>
          <w:lang w:val="pl-PL"/>
        </w:rPr>
        <w:t>olę zaradczą, ponieważ może wspierać osoby doświadczające problemów finansowych w ich rozwiązaniu</w:t>
      </w:r>
      <w:r w:rsidR="00711AEB">
        <w:rPr>
          <w:lang w:val="pl-PL"/>
        </w:rPr>
        <w:t xml:space="preserve"> </w:t>
      </w:r>
      <w:r w:rsidR="00711AEB" w:rsidRPr="0085159D">
        <w:rPr>
          <w:lang w:val="pl-PL"/>
        </w:rPr>
        <w:t>(np.</w:t>
      </w:r>
      <w:r w:rsidR="00711AEB">
        <w:rPr>
          <w:lang w:val="pl-PL"/>
        </w:rPr>
        <w:t> </w:t>
      </w:r>
      <w:r w:rsidR="00711AEB" w:rsidRPr="0085159D">
        <w:rPr>
          <w:lang w:val="pl-PL"/>
        </w:rPr>
        <w:t>osoby nadmiernie zadłużone)</w:t>
      </w:r>
      <w:r w:rsidRPr="0085159D">
        <w:rPr>
          <w:lang w:val="pl-PL"/>
        </w:rPr>
        <w:t>;</w:t>
      </w:r>
    </w:p>
    <w:p w14:paraId="62599590" w14:textId="77777777" w:rsidR="00282A62" w:rsidRPr="0085159D" w:rsidRDefault="0072201C" w:rsidP="000B051F">
      <w:pPr>
        <w:pStyle w:val="BulletedList"/>
        <w:rPr>
          <w:lang w:val="pl-PL"/>
        </w:rPr>
      </w:pPr>
      <w:r w:rsidRPr="0085159D">
        <w:rPr>
          <w:lang w:val="pl-PL"/>
        </w:rPr>
        <w:t>r</w:t>
      </w:r>
      <w:r w:rsidR="00282A62" w:rsidRPr="0085159D">
        <w:rPr>
          <w:lang w:val="pl-PL"/>
        </w:rPr>
        <w:t xml:space="preserve">olę naprawczą, ważną zwłaszcza dla tych, którzy doświadczyli trudności finansowych, ale powracają </w:t>
      </w:r>
      <w:r w:rsidRPr="0085159D">
        <w:rPr>
          <w:lang w:val="pl-PL"/>
        </w:rPr>
        <w:t xml:space="preserve">do </w:t>
      </w:r>
      <w:r w:rsidR="00282A62" w:rsidRPr="0085159D">
        <w:rPr>
          <w:lang w:val="pl-PL"/>
        </w:rPr>
        <w:t>systemu finansowego.</w:t>
      </w:r>
    </w:p>
    <w:p w14:paraId="21CBB2BF" w14:textId="77777777" w:rsidR="00282A62" w:rsidRPr="0085159D" w:rsidRDefault="00282A62" w:rsidP="000B051F">
      <w:pPr>
        <w:pStyle w:val="Para0"/>
        <w:rPr>
          <w:lang w:val="pl-PL"/>
        </w:rPr>
      </w:pPr>
      <w:r w:rsidRPr="0085159D">
        <w:rPr>
          <w:lang w:val="pl-PL"/>
        </w:rPr>
        <w:t>Te trzy role są również zawarte w określonych niżej priorytetach.</w:t>
      </w:r>
    </w:p>
    <w:p w14:paraId="1E94FF6A" w14:textId="77777777" w:rsidR="00282A62" w:rsidRPr="0085159D" w:rsidRDefault="00282A62" w:rsidP="000B051F">
      <w:pPr>
        <w:pStyle w:val="Nagwek4"/>
        <w:rPr>
          <w:lang w:val="pl-PL"/>
        </w:rPr>
      </w:pPr>
      <w:r w:rsidRPr="0085159D">
        <w:rPr>
          <w:lang w:val="pl-PL"/>
        </w:rPr>
        <w:t xml:space="preserve">1. Zwiększenie i utrzymanie odporności finansowej i </w:t>
      </w:r>
      <w:r w:rsidR="0072201C" w:rsidRPr="0085159D">
        <w:rPr>
          <w:lang w:val="pl-PL"/>
        </w:rPr>
        <w:t xml:space="preserve">dobrostanu </w:t>
      </w:r>
      <w:r w:rsidRPr="0085159D">
        <w:rPr>
          <w:lang w:val="pl-PL"/>
        </w:rPr>
        <w:t>finansowego mieszkańców Polski poprzez odpowiedzialne planowanie finansów osobistych, unikanie nadmiernego zadłużenia i doskonalenie umiejętności zarządzania ryzykiem</w:t>
      </w:r>
    </w:p>
    <w:p w14:paraId="5517378F" w14:textId="77777777" w:rsidR="00282A62" w:rsidRPr="0085159D" w:rsidRDefault="00282A62" w:rsidP="000B051F">
      <w:pPr>
        <w:pStyle w:val="Para0"/>
        <w:rPr>
          <w:lang w:val="pl-PL"/>
        </w:rPr>
      </w:pPr>
      <w:r w:rsidRPr="0085159D">
        <w:rPr>
          <w:lang w:val="pl-PL"/>
        </w:rPr>
        <w:t>Poczucie finansowego bezpieczeństwa oraz posiadania kontroli nad stanem finansów osobistych może zmniejszyć poziom stresu związanego z sytuacją finansową i przyczynić się do osiągnięcia</w:t>
      </w:r>
      <w:r w:rsidR="0072201C" w:rsidRPr="0085159D">
        <w:rPr>
          <w:lang w:val="pl-PL"/>
        </w:rPr>
        <w:t xml:space="preserve"> dobrostanu</w:t>
      </w:r>
      <w:r w:rsidRPr="0085159D">
        <w:rPr>
          <w:lang w:val="pl-PL"/>
        </w:rPr>
        <w:t xml:space="preserve"> finansowego. Można to osiągnąć na przykład poprzez staranne sporządzenie osobistego planu finansowego, unikanie niepotrzebnego zadłużania się, stawianie czoła nieoczekiwanym wydatkom bez zaciągania pożyczek czy posiadanie odpowiedniego ubezpieczenia.</w:t>
      </w:r>
    </w:p>
    <w:p w14:paraId="76BB4FAC" w14:textId="77777777" w:rsidR="00282A62" w:rsidRPr="0085159D" w:rsidRDefault="00282A62" w:rsidP="000B051F">
      <w:pPr>
        <w:pStyle w:val="Para0"/>
        <w:rPr>
          <w:lang w:val="pl-PL"/>
        </w:rPr>
      </w:pPr>
      <w:r w:rsidRPr="0085159D">
        <w:rPr>
          <w:lang w:val="pl-PL"/>
        </w:rPr>
        <w:t xml:space="preserve">Jak wynika z Międzynarodowego badania kompetencji finansowych osób dorosłych OECD/INFE 2020 </w:t>
      </w:r>
      <w:sdt>
        <w:sdtPr>
          <w:rPr>
            <w:lang w:val="pl-PL"/>
          </w:rPr>
          <w:id w:val="-1722515173"/>
          <w:citation/>
        </w:sdtPr>
        <w:sdtEndPr/>
        <w:sdtContent>
          <w:r w:rsidRPr="0085159D">
            <w:rPr>
              <w:lang w:val="pl-PL"/>
            </w:rPr>
            <w:fldChar w:fldCharType="begin"/>
          </w:r>
          <w:r w:rsidRPr="0085159D">
            <w:rPr>
              <w:lang w:val="pl-PL"/>
            </w:rPr>
            <w:instrText xml:space="preserve"> CITATION Mendeley_8lCJr_J5ljC5UalIEA3Gvw \l 2057 </w:instrText>
          </w:r>
          <w:r w:rsidRPr="0085159D">
            <w:rPr>
              <w:lang w:val="pl-PL"/>
            </w:rPr>
            <w:fldChar w:fldCharType="separate"/>
          </w:r>
          <w:r w:rsidRPr="0085159D">
            <w:rPr>
              <w:noProof/>
              <w:lang w:val="pl-PL"/>
            </w:rPr>
            <w:t>(OECD, 2020</w:t>
          </w:r>
          <w:r w:rsidRPr="0085159D">
            <w:rPr>
              <w:noProof/>
              <w:vertAlign w:val="subscript"/>
              <w:lang w:val="pl-PL"/>
            </w:rPr>
            <w:t>[5]</w:t>
          </w:r>
          <w:r w:rsidRPr="0085159D">
            <w:rPr>
              <w:noProof/>
              <w:lang w:val="pl-PL"/>
            </w:rPr>
            <w:t>)</w:t>
          </w:r>
          <w:r w:rsidRPr="0085159D">
            <w:rPr>
              <w:lang w:val="pl-PL"/>
            </w:rPr>
            <w:fldChar w:fldCharType="end"/>
          </w:r>
        </w:sdtContent>
      </w:sdt>
      <w:r w:rsidRPr="0085159D">
        <w:rPr>
          <w:lang w:val="pl-PL"/>
        </w:rPr>
        <w:t xml:space="preserve">, większość Polaków (93,7%) podejmuje decyzje finansowe każdego dnia. Jednocześnie, 71,4% planuje zarządzanie swoimi dochodami i wydatkami, a 59,4% uważnie monitoruje </w:t>
      </w:r>
      <w:r w:rsidR="0072201C" w:rsidRPr="0085159D">
        <w:rPr>
          <w:lang w:val="pl-PL"/>
        </w:rPr>
        <w:t xml:space="preserve">swoje </w:t>
      </w:r>
      <w:r w:rsidRPr="0085159D">
        <w:rPr>
          <w:lang w:val="pl-PL"/>
        </w:rPr>
        <w:t>sprawy finansowe. Ponad 40% Polaków potrafi podjąć decyzję dotyczącą zakupu jakiegoś dobra w sposób impulsywny (bez starannego zastanowienia</w:t>
      </w:r>
      <w:r w:rsidR="00BA2081" w:rsidRPr="0085159D">
        <w:rPr>
          <w:lang w:val="pl-PL"/>
        </w:rPr>
        <w:t>,</w:t>
      </w:r>
      <w:r w:rsidRPr="0085159D">
        <w:rPr>
          <w:lang w:val="pl-PL"/>
        </w:rPr>
        <w:t xml:space="preserve"> czy ich na to stać</w:t>
      </w:r>
      <w:r w:rsidR="00BA2081" w:rsidRPr="0085159D">
        <w:rPr>
          <w:lang w:val="pl-PL"/>
        </w:rPr>
        <w:t>,</w:t>
      </w:r>
      <w:r w:rsidRPr="0085159D">
        <w:rPr>
          <w:lang w:val="pl-PL"/>
        </w:rPr>
        <w:t xml:space="preserve"> czy nie), a 25% nie płaci w terminie swoich rachunków. Posiadanie celów finansowych może motywować do ich osiągnięcia oraz do sporządzenia planu finansowego prowadzącego do </w:t>
      </w:r>
      <w:r w:rsidR="00941214">
        <w:rPr>
          <w:lang w:val="pl-PL"/>
        </w:rPr>
        <w:t xml:space="preserve">ich </w:t>
      </w:r>
      <w:r w:rsidRPr="0085159D">
        <w:rPr>
          <w:lang w:val="pl-PL"/>
        </w:rPr>
        <w:t>realizacji. Jednakże w Polsce 41,2% osób posiada długoterminowy cel finansowy, a 52,7% z nich deklaruje oszczędzanie lub inwestowanie pieniędzy w celu jego realizacji. Odpowiednio dopasowana edukacja finansowa mo</w:t>
      </w:r>
      <w:r w:rsidR="00941214">
        <w:rPr>
          <w:lang w:val="pl-PL"/>
        </w:rPr>
        <w:t>że</w:t>
      </w:r>
      <w:r w:rsidRPr="0085159D">
        <w:rPr>
          <w:lang w:val="pl-PL"/>
        </w:rPr>
        <w:t xml:space="preserve"> podnieść świadomość na temat tego, jak ważne jest planowanie wydatków w osiąga</w:t>
      </w:r>
      <w:r w:rsidR="00941214">
        <w:rPr>
          <w:lang w:val="pl-PL"/>
        </w:rPr>
        <w:t>niu</w:t>
      </w:r>
      <w:r w:rsidRPr="0085159D">
        <w:rPr>
          <w:lang w:val="pl-PL"/>
        </w:rPr>
        <w:t xml:space="preserve"> krótko- i długoterminowych celów.</w:t>
      </w:r>
    </w:p>
    <w:p w14:paraId="0AEC7AD0" w14:textId="77777777" w:rsidR="00282A62" w:rsidRPr="0085159D" w:rsidRDefault="00282A62" w:rsidP="000B051F">
      <w:pPr>
        <w:pStyle w:val="Para0"/>
        <w:rPr>
          <w:lang w:val="pl-PL"/>
        </w:rPr>
      </w:pPr>
      <w:r w:rsidRPr="0085159D">
        <w:rPr>
          <w:lang w:val="pl-PL"/>
        </w:rPr>
        <w:lastRenderedPageBreak/>
        <w:t>W przypadku utraty swojego głównego źródła utrzymania ponad trzy czwarte Polaków miałoby problem z</w:t>
      </w:r>
      <w:r w:rsidR="001E5B9C">
        <w:rPr>
          <w:lang w:val="pl-PL"/>
        </w:rPr>
        <w:t> </w:t>
      </w:r>
      <w:r w:rsidRPr="0085159D">
        <w:rPr>
          <w:lang w:val="pl-PL"/>
        </w:rPr>
        <w:t xml:space="preserve">pokrywaniem kosztów utrzymania przez co najmniej sześć miesięcy, bez pożyczania pieniędzy lub zmiany miejsca zamieszkania. W marcu 2022 r. 43% Polaków twierdziło, że nie posiada w ogóle żadnej poduszki finansowej </w:t>
      </w:r>
      <w:sdt>
        <w:sdtPr>
          <w:rPr>
            <w:lang w:val="pl-PL"/>
          </w:rPr>
          <w:id w:val="220567445"/>
          <w:citation/>
        </w:sdtPr>
        <w:sdtEndPr/>
        <w:sdtContent>
          <w:r w:rsidRPr="0085159D">
            <w:rPr>
              <w:lang w:val="pl-PL"/>
            </w:rPr>
            <w:fldChar w:fldCharType="begin"/>
          </w:r>
          <w:r w:rsidRPr="0085159D">
            <w:rPr>
              <w:lang w:val="pl-PL"/>
            </w:rPr>
            <w:instrText xml:space="preserve"> CITATION Mendeley_kEfi1_LvoziolF6vXet3hg \l 2057 </w:instrText>
          </w:r>
          <w:r w:rsidRPr="0085159D">
            <w:rPr>
              <w:lang w:val="pl-PL"/>
            </w:rPr>
            <w:fldChar w:fldCharType="separate"/>
          </w:r>
          <w:bookmarkStart w:id="26" w:name="Mendeley_kEfi1_LvoziolF6vXet3hg_17"/>
          <w:r w:rsidRPr="0085159D">
            <w:rPr>
              <w:noProof/>
              <w:lang w:val="pl-PL"/>
            </w:rPr>
            <w:t>(Krajowy Rejestr Długów Biuro Informacji Gospodarczej, 2022</w:t>
          </w:r>
          <w:r w:rsidRPr="0085159D">
            <w:rPr>
              <w:noProof/>
              <w:vertAlign w:val="subscript"/>
              <w:lang w:val="pl-PL"/>
            </w:rPr>
            <w:t>[17]</w:t>
          </w:r>
          <w:r w:rsidRPr="0085159D">
            <w:rPr>
              <w:noProof/>
              <w:lang w:val="pl-PL"/>
            </w:rPr>
            <w:t>)</w:t>
          </w:r>
          <w:bookmarkEnd w:id="26"/>
          <w:r w:rsidRPr="0085159D">
            <w:rPr>
              <w:lang w:val="pl-PL"/>
            </w:rPr>
            <w:fldChar w:fldCharType="end"/>
          </w:r>
        </w:sdtContent>
      </w:sdt>
      <w:r w:rsidRPr="0085159D">
        <w:rPr>
          <w:lang w:val="pl-PL"/>
        </w:rPr>
        <w:t>. W 2020 r. około jednej czwartej gospodarstw domowych (28%) posiadało jakąś formę zadłużenia. Spośród nich 47,5% gospodarstw domowych uważało zadłużenie za obciążenie, mimo iż terminowo regulowało spłaty</w:t>
      </w:r>
      <w:r w:rsidR="007A2AF3">
        <w:rPr>
          <w:lang w:val="pl-PL"/>
        </w:rPr>
        <w:t>.</w:t>
      </w:r>
      <w:r w:rsidRPr="0085159D">
        <w:rPr>
          <w:lang w:val="pl-PL"/>
        </w:rPr>
        <w:t xml:space="preserve"> </w:t>
      </w:r>
      <w:r w:rsidR="009D559F">
        <w:rPr>
          <w:lang w:val="pl-PL"/>
        </w:rPr>
        <w:t>D</w:t>
      </w:r>
      <w:r w:rsidRPr="0085159D">
        <w:rPr>
          <w:lang w:val="pl-PL"/>
        </w:rPr>
        <w:t xml:space="preserve">la pozostałych 52,5% gospodarstw domowych zadłużenie było dużym obciążeniem, nawet do takiego stopnia, że terminowe regulowanie spłat nie zawsze było możliwe, lub w ogóle nie były w stanie go spłacić </w:t>
      </w:r>
      <w:sdt>
        <w:sdtPr>
          <w:rPr>
            <w:lang w:val="pl-PL"/>
          </w:rPr>
          <w:id w:val="968395787"/>
          <w:citation/>
        </w:sdtPr>
        <w:sdtEndPr/>
        <w:sdtContent>
          <w:r w:rsidRPr="0085159D">
            <w:rPr>
              <w:lang w:val="pl-PL"/>
            </w:rPr>
            <w:fldChar w:fldCharType="begin"/>
          </w:r>
          <w:r w:rsidRPr="0085159D">
            <w:rPr>
              <w:lang w:val="pl-PL"/>
            </w:rPr>
            <w:instrText xml:space="preserve">CITATION Mendeley_woYa5cRGPziuMRpt0mK9sg \l 2057 </w:instrText>
          </w:r>
          <w:r w:rsidRPr="0085159D">
            <w:rPr>
              <w:lang w:val="pl-PL"/>
            </w:rPr>
            <w:fldChar w:fldCharType="separate"/>
          </w:r>
          <w:r w:rsidRPr="0085159D">
            <w:rPr>
              <w:noProof/>
              <w:lang w:val="pl-PL"/>
            </w:rPr>
            <w:t>(GUS, 2021</w:t>
          </w:r>
          <w:r w:rsidRPr="0085159D">
            <w:rPr>
              <w:noProof/>
              <w:vertAlign w:val="subscript"/>
              <w:lang w:val="pl-PL"/>
            </w:rPr>
            <w:t>[18]</w:t>
          </w:r>
          <w:r w:rsidRPr="0085159D">
            <w:rPr>
              <w:noProof/>
              <w:lang w:val="pl-PL"/>
            </w:rPr>
            <w:t>)</w:t>
          </w:r>
          <w:r w:rsidRPr="0085159D">
            <w:rPr>
              <w:lang w:val="pl-PL"/>
            </w:rPr>
            <w:fldChar w:fldCharType="end"/>
          </w:r>
        </w:sdtContent>
      </w:sdt>
      <w:r w:rsidRPr="0085159D">
        <w:rPr>
          <w:lang w:val="pl-PL"/>
        </w:rPr>
        <w:t xml:space="preserve">. Według danych </w:t>
      </w:r>
      <w:proofErr w:type="spellStart"/>
      <w:r w:rsidRPr="0085159D">
        <w:rPr>
          <w:lang w:val="pl-PL"/>
        </w:rPr>
        <w:t>Eurofound</w:t>
      </w:r>
      <w:proofErr w:type="spellEnd"/>
      <w:r w:rsidRPr="0085159D">
        <w:rPr>
          <w:lang w:val="pl-PL"/>
        </w:rPr>
        <w:t xml:space="preserve"> w 2020 roku około 20% gospodarstw domowych w</w:t>
      </w:r>
      <w:r w:rsidR="001E5B9C">
        <w:rPr>
          <w:lang w:val="pl-PL"/>
        </w:rPr>
        <w:t> </w:t>
      </w:r>
      <w:r w:rsidRPr="0085159D">
        <w:rPr>
          <w:lang w:val="pl-PL"/>
        </w:rPr>
        <w:t xml:space="preserve">Polsce było zagrożonych nadmiernym zadłużeniem </w:t>
      </w:r>
      <w:sdt>
        <w:sdtPr>
          <w:rPr>
            <w:lang w:val="pl-PL"/>
          </w:rPr>
          <w:id w:val="1691256764"/>
          <w:citation/>
        </w:sdtPr>
        <w:sdtEndPr/>
        <w:sdtContent>
          <w:r w:rsidRPr="0085159D">
            <w:rPr>
              <w:lang w:val="pl-PL"/>
            </w:rPr>
            <w:fldChar w:fldCharType="begin"/>
          </w:r>
          <w:r w:rsidRPr="0085159D">
            <w:rPr>
              <w:lang w:val="pl-PL"/>
            </w:rPr>
            <w:instrText xml:space="preserve"> CITATION Mendeley_hqBJyXW93jmGPE__H8Cp6Gw \l 2057 </w:instrText>
          </w:r>
          <w:r w:rsidRPr="0085159D">
            <w:rPr>
              <w:lang w:val="pl-PL"/>
            </w:rPr>
            <w:fldChar w:fldCharType="separate"/>
          </w:r>
          <w:r w:rsidRPr="0085159D">
            <w:rPr>
              <w:noProof/>
              <w:lang w:val="pl-PL"/>
            </w:rPr>
            <w:t>(</w:t>
          </w:r>
          <w:bookmarkStart w:id="27" w:name="Mendeley_hqBJyXW93jmGPE__H8Cp6Gw_6"/>
          <w:r w:rsidRPr="0085159D">
            <w:rPr>
              <w:noProof/>
              <w:lang w:val="pl-PL"/>
            </w:rPr>
            <w:t>Eurofound, 2020</w:t>
          </w:r>
          <w:r w:rsidRPr="0085159D">
            <w:rPr>
              <w:noProof/>
              <w:vertAlign w:val="subscript"/>
              <w:lang w:val="pl-PL"/>
            </w:rPr>
            <w:t>[6]</w:t>
          </w:r>
          <w:r w:rsidRPr="0085159D">
            <w:rPr>
              <w:noProof/>
              <w:lang w:val="pl-PL"/>
            </w:rPr>
            <w:t>)</w:t>
          </w:r>
          <w:bookmarkEnd w:id="27"/>
          <w:r w:rsidRPr="0085159D">
            <w:rPr>
              <w:lang w:val="pl-PL"/>
            </w:rPr>
            <w:fldChar w:fldCharType="end"/>
          </w:r>
        </w:sdtContent>
      </w:sdt>
      <w:r w:rsidRPr="0085159D">
        <w:rPr>
          <w:lang w:val="pl-PL"/>
        </w:rPr>
        <w:t xml:space="preserve">. </w:t>
      </w:r>
      <w:r w:rsidR="0072201C" w:rsidRPr="0085159D">
        <w:rPr>
          <w:lang w:val="pl-PL"/>
        </w:rPr>
        <w:t xml:space="preserve">W sumie </w:t>
      </w:r>
      <w:r w:rsidRPr="0085159D">
        <w:rPr>
          <w:lang w:val="pl-PL"/>
        </w:rPr>
        <w:t xml:space="preserve">66,1% Polaków uważa, że </w:t>
      </w:r>
      <w:r w:rsidR="00BA2081" w:rsidRPr="0085159D">
        <w:rPr>
          <w:lang w:val="pl-PL"/>
        </w:rPr>
        <w:t>finansowo ledwo daje sobie radę</w:t>
      </w:r>
      <w:r w:rsidRPr="0085159D">
        <w:rPr>
          <w:lang w:val="pl-PL"/>
        </w:rPr>
        <w:t>, 46,2% uważa, że finanse kontrolują ich życie, a 36,9% martwi się, czy pokryje swoje normalne wydatki na życie. Takie dane wskazują, że Polacy mogą skorzystać na ukierunkowanych programach edukacji finansowej, które pomogą im lepiej zarządzać swoimi finansami i</w:t>
      </w:r>
      <w:r w:rsidR="00D75444">
        <w:rPr>
          <w:lang w:val="pl-PL"/>
        </w:rPr>
        <w:t> </w:t>
      </w:r>
      <w:r w:rsidRPr="0085159D">
        <w:rPr>
          <w:lang w:val="pl-PL"/>
        </w:rPr>
        <w:t xml:space="preserve">unikać </w:t>
      </w:r>
      <w:r w:rsidR="009D559F">
        <w:rPr>
          <w:lang w:val="pl-PL"/>
        </w:rPr>
        <w:t xml:space="preserve">nadmiernego </w:t>
      </w:r>
      <w:r w:rsidRPr="0085159D">
        <w:rPr>
          <w:lang w:val="pl-PL"/>
        </w:rPr>
        <w:t>zadłużenia. Edukacj</w:t>
      </w:r>
      <w:r w:rsidR="00772294">
        <w:rPr>
          <w:lang w:val="pl-PL"/>
        </w:rPr>
        <w:t>a</w:t>
      </w:r>
      <w:r w:rsidRPr="0085159D">
        <w:rPr>
          <w:lang w:val="pl-PL"/>
        </w:rPr>
        <w:t xml:space="preserve"> finansow</w:t>
      </w:r>
      <w:r w:rsidR="00772294">
        <w:rPr>
          <w:lang w:val="pl-PL"/>
        </w:rPr>
        <w:t>a</w:t>
      </w:r>
      <w:r w:rsidRPr="0085159D">
        <w:rPr>
          <w:lang w:val="pl-PL"/>
        </w:rPr>
        <w:t xml:space="preserve"> </w:t>
      </w:r>
      <w:r w:rsidR="00772294">
        <w:rPr>
          <w:lang w:val="pl-PL"/>
        </w:rPr>
        <w:t xml:space="preserve">służy </w:t>
      </w:r>
      <w:r w:rsidRPr="0085159D">
        <w:rPr>
          <w:lang w:val="pl-PL"/>
        </w:rPr>
        <w:t>do podnoszenia świadomości na temat praw konsumentów, potencjalnych pułapek w procesie udzielania pożyczek czy kredytów, ryzyka związan</w:t>
      </w:r>
      <w:r w:rsidR="00BE0005">
        <w:rPr>
          <w:lang w:val="pl-PL"/>
        </w:rPr>
        <w:t>ego z </w:t>
      </w:r>
      <w:r w:rsidRPr="0085159D">
        <w:rPr>
          <w:lang w:val="pl-PL"/>
        </w:rPr>
        <w:t xml:space="preserve">kosztownymi kredytami konsumenckimi i innymi formami kredytu oraz do wspierania </w:t>
      </w:r>
      <w:r w:rsidR="00BA2081" w:rsidRPr="0085159D">
        <w:rPr>
          <w:lang w:val="pl-PL"/>
        </w:rPr>
        <w:t>planowania</w:t>
      </w:r>
      <w:r w:rsidR="00AE1CEF" w:rsidRPr="0085159D">
        <w:rPr>
          <w:lang w:val="pl-PL"/>
        </w:rPr>
        <w:t xml:space="preserve"> budżetu domowego</w:t>
      </w:r>
      <w:r w:rsidR="00BA2081" w:rsidRPr="0085159D">
        <w:rPr>
          <w:lang w:val="pl-PL"/>
        </w:rPr>
        <w:t xml:space="preserve"> </w:t>
      </w:r>
      <w:r w:rsidRPr="0085159D">
        <w:rPr>
          <w:lang w:val="pl-PL"/>
        </w:rPr>
        <w:t>i oszczędzania jako „alternatywy” dla kredytu.</w:t>
      </w:r>
    </w:p>
    <w:p w14:paraId="2D3044D2" w14:textId="77777777" w:rsidR="00282A62" w:rsidRPr="0085159D" w:rsidRDefault="00282A62" w:rsidP="000B051F">
      <w:pPr>
        <w:pStyle w:val="Para0"/>
        <w:rPr>
          <w:lang w:val="pl-PL"/>
        </w:rPr>
      </w:pPr>
      <w:r w:rsidRPr="0085159D">
        <w:rPr>
          <w:lang w:val="pl-PL"/>
        </w:rPr>
        <w:t>Edukacja finansowa mo</w:t>
      </w:r>
      <w:r w:rsidR="00772294">
        <w:rPr>
          <w:lang w:val="pl-PL"/>
        </w:rPr>
        <w:t>że</w:t>
      </w:r>
      <w:r w:rsidRPr="0085159D">
        <w:rPr>
          <w:lang w:val="pl-PL"/>
        </w:rPr>
        <w:t xml:space="preserve"> również wspierać Polaków</w:t>
      </w:r>
      <w:r w:rsidR="00772294" w:rsidRPr="00772294">
        <w:rPr>
          <w:lang w:val="pl-PL"/>
        </w:rPr>
        <w:t xml:space="preserve"> </w:t>
      </w:r>
      <w:r w:rsidR="00772294" w:rsidRPr="0085159D">
        <w:rPr>
          <w:lang w:val="pl-PL"/>
        </w:rPr>
        <w:t>w obszarach zarządzania ryzykiem oraz ubezpieczeń</w:t>
      </w:r>
      <w:r w:rsidRPr="0085159D">
        <w:rPr>
          <w:lang w:val="pl-PL"/>
        </w:rPr>
        <w:t xml:space="preserve">, zwłaszcza tych najbardziej </w:t>
      </w:r>
      <w:r w:rsidR="0072201C" w:rsidRPr="0085159D">
        <w:rPr>
          <w:lang w:val="pl-PL"/>
        </w:rPr>
        <w:t>narażonych na ryzyko finansowe</w:t>
      </w:r>
      <w:r w:rsidRPr="0085159D">
        <w:rPr>
          <w:lang w:val="pl-PL"/>
        </w:rPr>
        <w:t xml:space="preserve"> </w:t>
      </w:r>
      <w:sdt>
        <w:sdtPr>
          <w:rPr>
            <w:lang w:val="pl-PL"/>
          </w:rPr>
          <w:id w:val="-62416410"/>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w:t>
      </w:r>
    </w:p>
    <w:p w14:paraId="2FCCFC2A" w14:textId="77777777" w:rsidR="00282A62" w:rsidRPr="0085159D" w:rsidRDefault="00282A62" w:rsidP="000B051F">
      <w:pPr>
        <w:pStyle w:val="Para0"/>
        <w:rPr>
          <w:lang w:val="pl-PL"/>
        </w:rPr>
      </w:pPr>
      <w:r w:rsidRPr="0085159D">
        <w:rPr>
          <w:lang w:val="pl-PL"/>
        </w:rPr>
        <w:t xml:space="preserve">I wreszcie, biorąc pod uwagę postępującą cyfryzację systemu finansowego w Polsce, </w:t>
      </w:r>
      <w:r w:rsidR="00BA2081" w:rsidRPr="0085159D">
        <w:rPr>
          <w:lang w:val="pl-PL"/>
        </w:rPr>
        <w:t xml:space="preserve">aby </w:t>
      </w:r>
      <w:r w:rsidR="00772294">
        <w:rPr>
          <w:lang w:val="pl-PL"/>
        </w:rPr>
        <w:t>osiągnąć i</w:t>
      </w:r>
      <w:r w:rsidR="00D75444">
        <w:rPr>
          <w:lang w:val="pl-PL"/>
        </w:rPr>
        <w:t> </w:t>
      </w:r>
      <w:r w:rsidR="00BA2081" w:rsidRPr="0085159D">
        <w:rPr>
          <w:lang w:val="pl-PL"/>
        </w:rPr>
        <w:t>utrzymać swoj</w:t>
      </w:r>
      <w:r w:rsidR="00F8612D">
        <w:rPr>
          <w:lang w:val="pl-PL"/>
        </w:rPr>
        <w:t>ą</w:t>
      </w:r>
      <w:r w:rsidR="00BA2081" w:rsidRPr="0085159D">
        <w:rPr>
          <w:lang w:val="pl-PL"/>
        </w:rPr>
        <w:t xml:space="preserve"> odporność finansową i dobrostan finansowy, </w:t>
      </w:r>
      <w:r w:rsidRPr="0085159D">
        <w:rPr>
          <w:lang w:val="pl-PL"/>
        </w:rPr>
        <w:t xml:space="preserve">konsumenci powinni być świadomi potencjalnych zagrożeń w zakresie cyberbezpieczeństwa i oszustw w Internecie, a także wiedzieć, jak </w:t>
      </w:r>
      <w:r w:rsidR="00BA2081" w:rsidRPr="0085159D">
        <w:rPr>
          <w:lang w:val="pl-PL"/>
        </w:rPr>
        <w:t>się przed nimi chronić</w:t>
      </w:r>
      <w:r w:rsidRPr="0085159D">
        <w:rPr>
          <w:lang w:val="pl-PL"/>
        </w:rPr>
        <w:t>.</w:t>
      </w:r>
    </w:p>
    <w:p w14:paraId="65F2A2DC" w14:textId="77777777" w:rsidR="00282A62" w:rsidRPr="0085159D" w:rsidRDefault="00282A62" w:rsidP="000B051F">
      <w:pPr>
        <w:pStyle w:val="Nagwek4"/>
        <w:rPr>
          <w:lang w:val="pl-PL"/>
        </w:rPr>
      </w:pPr>
      <w:r w:rsidRPr="0085159D">
        <w:rPr>
          <w:lang w:val="pl-PL"/>
        </w:rPr>
        <w:t xml:space="preserve">2. Poprawa zdolności mieszkańców Polski do podejmowania długoterminowych decyzji finansowych oraz zabezpieczenia własnego </w:t>
      </w:r>
      <w:r w:rsidR="00BE1395" w:rsidRPr="0085159D">
        <w:rPr>
          <w:lang w:val="pl-PL"/>
        </w:rPr>
        <w:t xml:space="preserve">dobrostanu </w:t>
      </w:r>
      <w:r w:rsidRPr="0085159D">
        <w:rPr>
          <w:lang w:val="pl-PL"/>
        </w:rPr>
        <w:t>finansowego w długim okresie i</w:t>
      </w:r>
      <w:r w:rsidR="001E5B9C">
        <w:rPr>
          <w:lang w:val="pl-PL"/>
        </w:rPr>
        <w:t> </w:t>
      </w:r>
      <w:r w:rsidRPr="0085159D">
        <w:rPr>
          <w:lang w:val="pl-PL"/>
        </w:rPr>
        <w:t>na starość</w:t>
      </w:r>
    </w:p>
    <w:p w14:paraId="285EB654" w14:textId="77777777" w:rsidR="00282A62" w:rsidRPr="0085159D" w:rsidRDefault="00282A62" w:rsidP="000B051F">
      <w:pPr>
        <w:pStyle w:val="Para0"/>
        <w:rPr>
          <w:lang w:val="pl-PL"/>
        </w:rPr>
      </w:pPr>
      <w:r w:rsidRPr="0085159D">
        <w:rPr>
          <w:lang w:val="pl-PL"/>
        </w:rPr>
        <w:t>Niezbędne jest podnoszenie świadomości znaczenia posiadania wystarczających oszczędności na starość oraz doskonalenie umiejętności Polaków w zakresie długoterminowego oszczędzania. Kilka przeprowadzonych w Polsce badań wskazuje na fakt, ż</w:t>
      </w:r>
      <w:r w:rsidR="00FD66EC" w:rsidRPr="0085159D">
        <w:rPr>
          <w:lang w:val="pl-PL"/>
        </w:rPr>
        <w:t>e</w:t>
      </w:r>
      <w:r w:rsidRPr="0085159D">
        <w:rPr>
          <w:lang w:val="pl-PL"/>
        </w:rPr>
        <w:t xml:space="preserve"> ci, którzy aktywnie zarządzają swoimi </w:t>
      </w:r>
      <w:r w:rsidR="00020C48" w:rsidRPr="0085159D">
        <w:rPr>
          <w:lang w:val="pl-PL"/>
        </w:rPr>
        <w:t xml:space="preserve">zasobami </w:t>
      </w:r>
      <w:r w:rsidRPr="0085159D">
        <w:rPr>
          <w:lang w:val="pl-PL"/>
        </w:rPr>
        <w:t>emeryt</w:t>
      </w:r>
      <w:r w:rsidR="00020C48" w:rsidRPr="0085159D">
        <w:rPr>
          <w:lang w:val="pl-PL"/>
        </w:rPr>
        <w:t>alnymi</w:t>
      </w:r>
      <w:r w:rsidRPr="0085159D">
        <w:rPr>
          <w:lang w:val="pl-PL"/>
        </w:rPr>
        <w:t xml:space="preserve"> i </w:t>
      </w:r>
      <w:r w:rsidR="00020C48" w:rsidRPr="0085159D">
        <w:rPr>
          <w:lang w:val="pl-PL"/>
        </w:rPr>
        <w:t xml:space="preserve">mają </w:t>
      </w:r>
      <w:r w:rsidRPr="0085159D">
        <w:rPr>
          <w:lang w:val="pl-PL"/>
        </w:rPr>
        <w:t xml:space="preserve">plan </w:t>
      </w:r>
      <w:r w:rsidR="00020C48" w:rsidRPr="0085159D">
        <w:rPr>
          <w:lang w:val="pl-PL"/>
        </w:rPr>
        <w:t>na swoją emeryturę</w:t>
      </w:r>
      <w:r w:rsidRPr="0085159D">
        <w:rPr>
          <w:lang w:val="pl-PL"/>
        </w:rPr>
        <w:t xml:space="preserve">, wykazują najwyższy poziom wiedzy finansowej w obszarze </w:t>
      </w:r>
      <w:r w:rsidR="00020C48" w:rsidRPr="0085159D">
        <w:rPr>
          <w:lang w:val="pl-PL"/>
        </w:rPr>
        <w:t xml:space="preserve">inwestowania emerytalnego </w:t>
      </w:r>
      <w:sdt>
        <w:sdtPr>
          <w:rPr>
            <w:lang w:val="pl-PL"/>
          </w:rPr>
          <w:id w:val="28388773"/>
          <w:citation/>
        </w:sdtPr>
        <w:sdtEndPr/>
        <w:sdtContent>
          <w:r w:rsidRPr="0085159D">
            <w:rPr>
              <w:lang w:val="pl-PL"/>
            </w:rPr>
            <w:fldChar w:fldCharType="begin"/>
          </w:r>
          <w:r w:rsidRPr="0085159D">
            <w:rPr>
              <w:noProof/>
              <w:lang w:val="pl-PL"/>
            </w:rPr>
            <w:instrText xml:space="preserve"> CITATION Mendeley_j3qfmEs9MDqQHLppccRyQQ \l 2057 \m Mendeley_A6CjFYiIFjqQ6Ke1ppw1Zg </w:instrText>
          </w:r>
          <w:r w:rsidRPr="0085159D">
            <w:rPr>
              <w:lang w:val="pl-PL"/>
            </w:rPr>
            <w:fldChar w:fldCharType="separate"/>
          </w:r>
          <w:bookmarkStart w:id="28" w:name="Mendeley_A6CjFYiIFjqQ6Ke1ppw1Zg_20"/>
          <w:r w:rsidRPr="0085159D">
            <w:rPr>
              <w:noProof/>
              <w:lang w:val="pl-PL"/>
            </w:rPr>
            <w:t>(Zakład Ubezpieczeń Społecznych, 2016</w:t>
          </w:r>
          <w:r w:rsidRPr="0085159D">
            <w:rPr>
              <w:noProof/>
              <w:vertAlign w:val="subscript"/>
              <w:lang w:val="pl-PL"/>
            </w:rPr>
            <w:t>[19]</w:t>
          </w:r>
          <w:r w:rsidRPr="0085159D">
            <w:rPr>
              <w:noProof/>
              <w:lang w:val="pl-PL"/>
            </w:rPr>
            <w:t>; Solarz, 2019</w:t>
          </w:r>
          <w:r w:rsidRPr="0085159D">
            <w:rPr>
              <w:noProof/>
              <w:vertAlign w:val="subscript"/>
              <w:lang w:val="pl-PL"/>
            </w:rPr>
            <w:t>[20]</w:t>
          </w:r>
          <w:r w:rsidRPr="0085159D">
            <w:rPr>
              <w:noProof/>
              <w:lang w:val="pl-PL"/>
            </w:rPr>
            <w:t>)</w:t>
          </w:r>
          <w:bookmarkEnd w:id="28"/>
          <w:r w:rsidRPr="0085159D">
            <w:rPr>
              <w:lang w:val="pl-PL"/>
            </w:rPr>
            <w:fldChar w:fldCharType="end"/>
          </w:r>
        </w:sdtContent>
      </w:sdt>
      <w:r w:rsidRPr="0085159D">
        <w:rPr>
          <w:lang w:val="pl-PL"/>
        </w:rPr>
        <w:t>.</w:t>
      </w:r>
    </w:p>
    <w:p w14:paraId="54857747" w14:textId="77777777" w:rsidR="00282A62" w:rsidRPr="0085159D" w:rsidRDefault="00BE1395" w:rsidP="000B051F">
      <w:pPr>
        <w:pStyle w:val="Para0"/>
        <w:rPr>
          <w:lang w:val="pl-PL"/>
        </w:rPr>
      </w:pPr>
      <w:r w:rsidRPr="0085159D">
        <w:rPr>
          <w:lang w:val="pl-PL"/>
        </w:rPr>
        <w:t xml:space="preserve">Pewne </w:t>
      </w:r>
      <w:r w:rsidR="00282A62" w:rsidRPr="0085159D">
        <w:rPr>
          <w:lang w:val="pl-PL"/>
        </w:rPr>
        <w:t xml:space="preserve">czynniki wskazują na rosnące zagrożenie ubóstwem dochodowym osób starszych </w:t>
      </w:r>
      <w:sdt>
        <w:sdtPr>
          <w:rPr>
            <w:lang w:val="pl-PL"/>
          </w:rPr>
          <w:id w:val="-307253431"/>
          <w:citation/>
        </w:sdtPr>
        <w:sdtEndPr/>
        <w:sdtContent>
          <w:r w:rsidR="00282A62" w:rsidRPr="0085159D">
            <w:rPr>
              <w:lang w:val="pl-PL"/>
            </w:rPr>
            <w:fldChar w:fldCharType="begin"/>
          </w:r>
          <w:r w:rsidR="00282A62" w:rsidRPr="0085159D">
            <w:rPr>
              <w:lang w:val="pl-PL"/>
            </w:rPr>
            <w:instrText xml:space="preserve"> CITATION Kappa_b6d3dcfc \l 2057 </w:instrText>
          </w:r>
          <w:r w:rsidR="00282A62" w:rsidRPr="0085159D">
            <w:rPr>
              <w:lang w:val="pl-PL"/>
            </w:rPr>
            <w:fldChar w:fldCharType="separate"/>
          </w:r>
          <w:r w:rsidR="00282A62" w:rsidRPr="0085159D">
            <w:rPr>
              <w:noProof/>
              <w:lang w:val="pl-PL"/>
            </w:rPr>
            <w:t>(</w:t>
          </w:r>
          <w:bookmarkStart w:id="29" w:name="Kappa_b6d3dcfc_21"/>
          <w:r w:rsidR="00282A62" w:rsidRPr="0085159D">
            <w:rPr>
              <w:noProof/>
              <w:lang w:val="pl-PL"/>
            </w:rPr>
            <w:t>OECD, 2019</w:t>
          </w:r>
          <w:r w:rsidR="00282A62" w:rsidRPr="0085159D">
            <w:rPr>
              <w:noProof/>
              <w:vertAlign w:val="subscript"/>
              <w:lang w:val="pl-PL"/>
            </w:rPr>
            <w:t>[21]</w:t>
          </w:r>
          <w:r w:rsidR="00282A62" w:rsidRPr="0085159D">
            <w:rPr>
              <w:noProof/>
              <w:lang w:val="pl-PL"/>
            </w:rPr>
            <w:t>)</w:t>
          </w:r>
          <w:bookmarkEnd w:id="29"/>
          <w:r w:rsidR="00282A62" w:rsidRPr="0085159D">
            <w:rPr>
              <w:lang w:val="pl-PL"/>
            </w:rPr>
            <w:fldChar w:fldCharType="end"/>
          </w:r>
        </w:sdtContent>
      </w:sdt>
      <w:r w:rsidR="00282A62" w:rsidRPr="0085159D">
        <w:rPr>
          <w:lang w:val="pl-PL"/>
        </w:rPr>
        <w:t xml:space="preserve">. Prawie trzy czwarte Polaków obawia się, że na starość będzie im brakować pieniędzy </w:t>
      </w:r>
      <w:sdt>
        <w:sdtPr>
          <w:rPr>
            <w:lang w:val="pl-PL"/>
          </w:rPr>
          <w:id w:val="-220220236"/>
          <w:citation/>
        </w:sdtPr>
        <w:sdtEndPr/>
        <w:sdtContent>
          <w:r w:rsidR="00282A62" w:rsidRPr="0085159D">
            <w:rPr>
              <w:lang w:val="pl-PL"/>
            </w:rPr>
            <w:fldChar w:fldCharType="begin"/>
          </w:r>
          <w:r w:rsidR="00282A62" w:rsidRPr="0085159D">
            <w:rPr>
              <w:lang w:val="pl-PL"/>
            </w:rPr>
            <w:instrText xml:space="preserve">CITATION Mendeley_GN_iRXYc6T2zQoUS6HAyxg \l 2057 </w:instrText>
          </w:r>
          <w:r w:rsidR="00282A62" w:rsidRPr="0085159D">
            <w:rPr>
              <w:lang w:val="pl-PL"/>
            </w:rPr>
            <w:fldChar w:fldCharType="separate"/>
          </w:r>
          <w:r w:rsidR="00282A62" w:rsidRPr="0085159D">
            <w:rPr>
              <w:noProof/>
              <w:lang w:val="pl-PL"/>
            </w:rPr>
            <w:t>(Polska Izba Ubezpieczeń, 2021</w:t>
          </w:r>
          <w:r w:rsidR="00282A62" w:rsidRPr="0085159D">
            <w:rPr>
              <w:noProof/>
              <w:vertAlign w:val="subscript"/>
              <w:lang w:val="pl-PL"/>
            </w:rPr>
            <w:t>[22]</w:t>
          </w:r>
          <w:r w:rsidR="00282A62" w:rsidRPr="0085159D">
            <w:rPr>
              <w:noProof/>
              <w:lang w:val="pl-PL"/>
            </w:rPr>
            <w:t>)</w:t>
          </w:r>
          <w:r w:rsidR="00282A62" w:rsidRPr="0085159D">
            <w:rPr>
              <w:lang w:val="pl-PL"/>
            </w:rPr>
            <w:fldChar w:fldCharType="end"/>
          </w:r>
        </w:sdtContent>
      </w:sdt>
      <w:r w:rsidR="00282A62" w:rsidRPr="0085159D">
        <w:rPr>
          <w:lang w:val="pl-PL"/>
        </w:rPr>
        <w:t xml:space="preserve">, a prawie jedna trzecia wskazuje na zupełny brak pewności w obszarze planowania emerytury </w:t>
      </w:r>
      <w:sdt>
        <w:sdtPr>
          <w:rPr>
            <w:lang w:val="pl-PL"/>
          </w:rPr>
          <w:id w:val="-784576892"/>
          <w:citation/>
        </w:sdtPr>
        <w:sdtEndPr/>
        <w:sdtContent>
          <w:r w:rsidR="00282A62" w:rsidRPr="0085159D">
            <w:rPr>
              <w:lang w:val="pl-PL"/>
            </w:rPr>
            <w:fldChar w:fldCharType="begin"/>
          </w:r>
          <w:r w:rsidR="00282A62" w:rsidRPr="0085159D">
            <w:rPr>
              <w:lang w:val="pl-PL"/>
            </w:rPr>
            <w:instrText xml:space="preserve"> CITATION Mendeley_8lCJr_J5ljC5UalIEA3Gvw \l 2057 </w:instrText>
          </w:r>
          <w:r w:rsidR="00282A62" w:rsidRPr="0085159D">
            <w:rPr>
              <w:lang w:val="pl-PL"/>
            </w:rPr>
            <w:fldChar w:fldCharType="separate"/>
          </w:r>
          <w:r w:rsidR="00282A62" w:rsidRPr="0085159D">
            <w:rPr>
              <w:noProof/>
              <w:lang w:val="pl-PL"/>
            </w:rPr>
            <w:t>(OECD, 2020</w:t>
          </w:r>
          <w:r w:rsidR="00282A62" w:rsidRPr="0085159D">
            <w:rPr>
              <w:noProof/>
              <w:vertAlign w:val="subscript"/>
              <w:lang w:val="pl-PL"/>
            </w:rPr>
            <w:t>[5]</w:t>
          </w:r>
          <w:r w:rsidR="00282A62" w:rsidRPr="0085159D">
            <w:rPr>
              <w:noProof/>
              <w:lang w:val="pl-PL"/>
            </w:rPr>
            <w:t>)</w:t>
          </w:r>
          <w:r w:rsidR="00282A62" w:rsidRPr="0085159D">
            <w:rPr>
              <w:lang w:val="pl-PL"/>
            </w:rPr>
            <w:fldChar w:fldCharType="end"/>
          </w:r>
        </w:sdtContent>
      </w:sdt>
      <w:r w:rsidR="00282A62" w:rsidRPr="0085159D">
        <w:rPr>
          <w:lang w:val="pl-PL"/>
        </w:rPr>
        <w:t xml:space="preserve">. Młodzi ludzie </w:t>
      </w:r>
      <w:r w:rsidR="00020C48" w:rsidRPr="0085159D">
        <w:rPr>
          <w:lang w:val="pl-PL"/>
        </w:rPr>
        <w:t>wy</w:t>
      </w:r>
      <w:r w:rsidRPr="0085159D">
        <w:rPr>
          <w:lang w:val="pl-PL"/>
        </w:rPr>
        <w:t xml:space="preserve">kazują </w:t>
      </w:r>
      <w:r w:rsidR="00282A62" w:rsidRPr="0085159D">
        <w:rPr>
          <w:lang w:val="pl-PL"/>
        </w:rPr>
        <w:t>naj</w:t>
      </w:r>
      <w:r w:rsidRPr="0085159D">
        <w:rPr>
          <w:lang w:val="pl-PL"/>
        </w:rPr>
        <w:t>niższy</w:t>
      </w:r>
      <w:r w:rsidR="00282A62" w:rsidRPr="0085159D">
        <w:rPr>
          <w:lang w:val="pl-PL"/>
        </w:rPr>
        <w:t xml:space="preserve"> stopień pewności siebie w</w:t>
      </w:r>
      <w:r w:rsidR="008A1B56">
        <w:rPr>
          <w:lang w:val="pl-PL"/>
        </w:rPr>
        <w:t> </w:t>
      </w:r>
      <w:r w:rsidR="00282A62" w:rsidRPr="0085159D">
        <w:rPr>
          <w:lang w:val="pl-PL"/>
        </w:rPr>
        <w:t xml:space="preserve">kwestii planowania emerytury: około 33,7% młodych ludzi (w wieku od 18 do 30 lat) twierdzi, że nie ma </w:t>
      </w:r>
      <w:r w:rsidRPr="0085159D">
        <w:rPr>
          <w:lang w:val="pl-PL"/>
        </w:rPr>
        <w:t xml:space="preserve">poczucia </w:t>
      </w:r>
      <w:r w:rsidR="00282A62" w:rsidRPr="0085159D">
        <w:rPr>
          <w:lang w:val="pl-PL"/>
        </w:rPr>
        <w:t>pewności siebie w kwestii planowania swojej emerytury, podczas gdy, w przedziale wiekowym 60</w:t>
      </w:r>
      <w:r w:rsidR="000B051F" w:rsidRPr="0085159D">
        <w:rPr>
          <w:lang w:val="pl-PL"/>
        </w:rPr>
        <w:t>–</w:t>
      </w:r>
      <w:r w:rsidR="00282A62" w:rsidRPr="0085159D">
        <w:rPr>
          <w:lang w:val="pl-PL"/>
        </w:rPr>
        <w:t>79 lat, odsetek ten spada do 19,8</w:t>
      </w:r>
      <w:r w:rsidR="008A1B56">
        <w:rPr>
          <w:lang w:val="pl-PL"/>
        </w:rPr>
        <w:t>%</w:t>
      </w:r>
      <w:r w:rsidR="00282A62" w:rsidRPr="0085159D">
        <w:rPr>
          <w:lang w:val="pl-PL"/>
        </w:rPr>
        <w:t xml:space="preserve"> </w:t>
      </w:r>
      <w:sdt>
        <w:sdtPr>
          <w:rPr>
            <w:lang w:val="pl-PL"/>
          </w:rPr>
          <w:id w:val="365411985"/>
          <w:citation/>
        </w:sdtPr>
        <w:sdtEndPr/>
        <w:sdtContent>
          <w:r w:rsidR="00282A62" w:rsidRPr="0085159D">
            <w:rPr>
              <w:lang w:val="pl-PL"/>
            </w:rPr>
            <w:fldChar w:fldCharType="begin"/>
          </w:r>
          <w:r w:rsidR="00282A62" w:rsidRPr="0085159D">
            <w:rPr>
              <w:lang w:val="pl-PL"/>
            </w:rPr>
            <w:instrText xml:space="preserve"> CITATION Mendeley_8lCJr_J5ljC5UalIEA3Gvw \l 2057 </w:instrText>
          </w:r>
          <w:r w:rsidR="00282A62" w:rsidRPr="0085159D">
            <w:rPr>
              <w:lang w:val="pl-PL"/>
            </w:rPr>
            <w:fldChar w:fldCharType="separate"/>
          </w:r>
          <w:r w:rsidR="00282A62" w:rsidRPr="0085159D">
            <w:rPr>
              <w:noProof/>
              <w:lang w:val="pl-PL"/>
            </w:rPr>
            <w:t>(</w:t>
          </w:r>
          <w:bookmarkStart w:id="30" w:name="Mendeley_8lCJr_J5ljC5UalIEA3Gvw_5"/>
          <w:r w:rsidR="00282A62" w:rsidRPr="0085159D">
            <w:rPr>
              <w:noProof/>
              <w:lang w:val="pl-PL"/>
            </w:rPr>
            <w:t>OECD, 2020</w:t>
          </w:r>
          <w:r w:rsidR="00282A62" w:rsidRPr="0085159D">
            <w:rPr>
              <w:noProof/>
              <w:vertAlign w:val="subscript"/>
              <w:lang w:val="pl-PL"/>
            </w:rPr>
            <w:t>[5]</w:t>
          </w:r>
          <w:r w:rsidR="00282A62" w:rsidRPr="0085159D">
            <w:rPr>
              <w:noProof/>
              <w:lang w:val="pl-PL"/>
            </w:rPr>
            <w:t>)</w:t>
          </w:r>
          <w:bookmarkEnd w:id="30"/>
          <w:r w:rsidR="00282A62" w:rsidRPr="0085159D">
            <w:rPr>
              <w:lang w:val="pl-PL"/>
            </w:rPr>
            <w:fldChar w:fldCharType="end"/>
          </w:r>
        </w:sdtContent>
      </w:sdt>
      <w:r w:rsidR="00282A62" w:rsidRPr="0085159D">
        <w:rPr>
          <w:lang w:val="pl-PL"/>
        </w:rPr>
        <w:t xml:space="preserve">. Ograniczona jest również wiedza na temat zasad polskiego systemu emerytalnego </w:t>
      </w:r>
      <w:sdt>
        <w:sdtPr>
          <w:rPr>
            <w:lang w:val="pl-PL"/>
          </w:rPr>
          <w:id w:val="54052099"/>
          <w:citation/>
        </w:sdtPr>
        <w:sdtEndPr/>
        <w:sdtContent>
          <w:r w:rsidR="00282A62" w:rsidRPr="0085159D">
            <w:rPr>
              <w:lang w:val="pl-PL"/>
            </w:rPr>
            <w:fldChar w:fldCharType="begin"/>
          </w:r>
          <w:r w:rsidR="00282A62" w:rsidRPr="0085159D">
            <w:rPr>
              <w:lang w:val="pl-PL"/>
            </w:rPr>
            <w:instrText xml:space="preserve">CITATION Mendeley_j3qfmEs9MDqQHLppccRyQQ \l 2057 </w:instrText>
          </w:r>
          <w:r w:rsidR="00282A62" w:rsidRPr="0085159D">
            <w:rPr>
              <w:lang w:val="pl-PL"/>
            </w:rPr>
            <w:fldChar w:fldCharType="separate"/>
          </w:r>
          <w:r w:rsidR="00282A62" w:rsidRPr="0085159D">
            <w:rPr>
              <w:noProof/>
              <w:lang w:val="pl-PL"/>
            </w:rPr>
            <w:t>(Zakład Ubezpieczeń Społecznych, 2016</w:t>
          </w:r>
          <w:r w:rsidR="00282A62" w:rsidRPr="0085159D">
            <w:rPr>
              <w:noProof/>
              <w:vertAlign w:val="subscript"/>
              <w:lang w:val="pl-PL"/>
            </w:rPr>
            <w:t>[19]</w:t>
          </w:r>
          <w:r w:rsidR="00282A62" w:rsidRPr="0085159D">
            <w:rPr>
              <w:noProof/>
              <w:lang w:val="pl-PL"/>
            </w:rPr>
            <w:t>)</w:t>
          </w:r>
          <w:r w:rsidR="00282A62" w:rsidRPr="0085159D">
            <w:rPr>
              <w:lang w:val="pl-PL"/>
            </w:rPr>
            <w:fldChar w:fldCharType="end"/>
          </w:r>
        </w:sdtContent>
      </w:sdt>
      <w:r w:rsidR="00282A62" w:rsidRPr="0085159D">
        <w:rPr>
          <w:lang w:val="pl-PL"/>
        </w:rPr>
        <w:t xml:space="preserve">. Pomimo obaw o swoją przyszłość finansową prawie połowa Polaków deklaruje, że nie oszczędza na emeryturę </w:t>
      </w:r>
      <w:sdt>
        <w:sdtPr>
          <w:rPr>
            <w:lang w:val="pl-PL"/>
          </w:rPr>
          <w:id w:val="909513506"/>
          <w:citation/>
        </w:sdtPr>
        <w:sdtEndPr/>
        <w:sdtContent>
          <w:r w:rsidR="00282A62" w:rsidRPr="0085159D">
            <w:rPr>
              <w:lang w:val="pl-PL"/>
            </w:rPr>
            <w:fldChar w:fldCharType="begin"/>
          </w:r>
          <w:r w:rsidR="00282A62" w:rsidRPr="0085159D">
            <w:rPr>
              <w:lang w:val="pl-PL"/>
            </w:rPr>
            <w:instrText xml:space="preserve">CITATION Mendeley_GN_iRXYc6T2zQoUS6HAyxg \l 2057 </w:instrText>
          </w:r>
          <w:r w:rsidR="00282A62" w:rsidRPr="0085159D">
            <w:rPr>
              <w:lang w:val="pl-PL"/>
            </w:rPr>
            <w:fldChar w:fldCharType="separate"/>
          </w:r>
          <w:r w:rsidR="00282A62" w:rsidRPr="0085159D">
            <w:rPr>
              <w:noProof/>
              <w:lang w:val="pl-PL"/>
            </w:rPr>
            <w:t>(Polska Izba Ubezpieczeń, 2021</w:t>
          </w:r>
          <w:r w:rsidR="00282A62" w:rsidRPr="0085159D">
            <w:rPr>
              <w:noProof/>
              <w:vertAlign w:val="subscript"/>
              <w:lang w:val="pl-PL"/>
            </w:rPr>
            <w:t>[22]</w:t>
          </w:r>
          <w:r w:rsidR="00282A62" w:rsidRPr="0085159D">
            <w:rPr>
              <w:noProof/>
              <w:lang w:val="pl-PL"/>
            </w:rPr>
            <w:t>)</w:t>
          </w:r>
          <w:r w:rsidR="00282A62" w:rsidRPr="0085159D">
            <w:rPr>
              <w:lang w:val="pl-PL"/>
            </w:rPr>
            <w:fldChar w:fldCharType="end"/>
          </w:r>
        </w:sdtContent>
      </w:sdt>
      <w:r w:rsidR="00282A62" w:rsidRPr="0085159D">
        <w:rPr>
          <w:lang w:val="pl-PL"/>
        </w:rPr>
        <w:t>.</w:t>
      </w:r>
    </w:p>
    <w:p w14:paraId="1F3DB291" w14:textId="702E17CE" w:rsidR="00282A62" w:rsidRPr="0085159D" w:rsidRDefault="00282A62" w:rsidP="000B051F">
      <w:pPr>
        <w:pStyle w:val="Para0"/>
        <w:rPr>
          <w:lang w:val="pl-PL"/>
        </w:rPr>
      </w:pPr>
      <w:r w:rsidRPr="0085159D">
        <w:rPr>
          <w:lang w:val="pl-PL"/>
        </w:rPr>
        <w:t xml:space="preserve">Poprawa świadomości znaczenia długoterminowego planowania i lepsze zrozumienie zmian wprowadzanych w systemie emerytalnym może przyczynić się do wzrostu zainteresowania </w:t>
      </w:r>
      <w:r w:rsidRPr="0085159D">
        <w:rPr>
          <w:szCs w:val="20"/>
          <w:lang w:val="pl-PL"/>
        </w:rPr>
        <w:t>dobrowolnymi programami emerytalnymi, takimi jak Pracownicze Plany Kapitałowe, Pracownicze Programy Emerytalne, Indywidualne Konta Emerytalne, Indywidualne Konta Zabezpieczenia Emerytalnego</w:t>
      </w:r>
      <w:r w:rsidR="00020C48" w:rsidRPr="0085159D">
        <w:rPr>
          <w:szCs w:val="20"/>
          <w:lang w:val="pl-PL"/>
        </w:rPr>
        <w:t>,</w:t>
      </w:r>
      <w:r w:rsidRPr="0085159D">
        <w:rPr>
          <w:szCs w:val="20"/>
          <w:lang w:val="pl-PL"/>
        </w:rPr>
        <w:t xml:space="preserve"> </w:t>
      </w:r>
      <w:r w:rsidR="00E538AB" w:rsidRPr="00E538AB">
        <w:rPr>
          <w:szCs w:val="20"/>
          <w:lang w:val="pl-PL"/>
        </w:rPr>
        <w:t>Ogólnoeuropejskie Indywidualne Produkty Emerytalne</w:t>
      </w:r>
      <w:r w:rsidR="00E538AB">
        <w:rPr>
          <w:szCs w:val="20"/>
          <w:lang w:val="pl-PL"/>
        </w:rPr>
        <w:t>.</w:t>
      </w:r>
      <w:r w:rsidR="00E538AB" w:rsidRPr="00E538AB">
        <w:rPr>
          <w:szCs w:val="20"/>
          <w:lang w:val="pl-PL"/>
        </w:rPr>
        <w:t xml:space="preserve"> </w:t>
      </w:r>
      <w:r w:rsidRPr="0085159D">
        <w:rPr>
          <w:szCs w:val="20"/>
          <w:lang w:val="pl-PL"/>
        </w:rPr>
        <w:t xml:space="preserve">oraz </w:t>
      </w:r>
      <w:r w:rsidRPr="0085159D">
        <w:rPr>
          <w:lang w:val="pl-PL"/>
        </w:rPr>
        <w:t xml:space="preserve">może zmniejszać ryzyko ubóstwa na starość </w:t>
      </w:r>
      <w:sdt>
        <w:sdtPr>
          <w:rPr>
            <w:lang w:val="pl-PL"/>
          </w:rPr>
          <w:id w:val="-972206858"/>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w:t>
      </w:r>
    </w:p>
    <w:p w14:paraId="1CF81B00" w14:textId="77777777" w:rsidR="00282A62" w:rsidRPr="0085159D" w:rsidRDefault="00282A62" w:rsidP="000B051F">
      <w:pPr>
        <w:pStyle w:val="Para0"/>
        <w:rPr>
          <w:lang w:val="pl-PL"/>
        </w:rPr>
      </w:pPr>
      <w:r w:rsidRPr="0085159D">
        <w:rPr>
          <w:lang w:val="pl-PL"/>
        </w:rPr>
        <w:lastRenderedPageBreak/>
        <w:t xml:space="preserve">Ponadto, jak podkreślono w </w:t>
      </w:r>
      <w:r w:rsidR="00BE1395" w:rsidRPr="0085159D">
        <w:rPr>
          <w:lang w:val="pl-PL"/>
        </w:rPr>
        <w:t xml:space="preserve">części </w:t>
      </w:r>
      <w:r w:rsidRPr="0085159D">
        <w:rPr>
          <w:lang w:val="pl-PL"/>
        </w:rPr>
        <w:t>I, SRRK wskazuje na rosnące znaczenie zrównoważon</w:t>
      </w:r>
      <w:r w:rsidR="00BE1395" w:rsidRPr="0085159D">
        <w:rPr>
          <w:lang w:val="pl-PL"/>
        </w:rPr>
        <w:t>ego</w:t>
      </w:r>
      <w:r w:rsidRPr="0085159D">
        <w:rPr>
          <w:lang w:val="pl-PL"/>
        </w:rPr>
        <w:t xml:space="preserve"> finans</w:t>
      </w:r>
      <w:r w:rsidR="00BE1395" w:rsidRPr="0085159D">
        <w:rPr>
          <w:lang w:val="pl-PL"/>
        </w:rPr>
        <w:t>owania</w:t>
      </w:r>
      <w:r w:rsidRPr="0085159D">
        <w:rPr>
          <w:lang w:val="pl-PL"/>
        </w:rPr>
        <w:t xml:space="preserve"> jako sposobu na przejście </w:t>
      </w:r>
      <w:r w:rsidR="00BE1395" w:rsidRPr="0085159D">
        <w:rPr>
          <w:lang w:val="pl-PL"/>
        </w:rPr>
        <w:t xml:space="preserve">na </w:t>
      </w:r>
      <w:r w:rsidRPr="0085159D">
        <w:rPr>
          <w:lang w:val="pl-PL"/>
        </w:rPr>
        <w:t>bardziej ekologiczn</w:t>
      </w:r>
      <w:r w:rsidR="00BE1395" w:rsidRPr="0085159D">
        <w:rPr>
          <w:lang w:val="pl-PL"/>
        </w:rPr>
        <w:t>ą</w:t>
      </w:r>
      <w:r w:rsidRPr="0085159D">
        <w:rPr>
          <w:lang w:val="pl-PL"/>
        </w:rPr>
        <w:t xml:space="preserve"> gospodark</w:t>
      </w:r>
      <w:r w:rsidR="00BE1395" w:rsidRPr="0085159D">
        <w:rPr>
          <w:lang w:val="pl-PL"/>
        </w:rPr>
        <w:t>ę</w:t>
      </w:r>
      <w:r w:rsidRPr="0085159D">
        <w:rPr>
          <w:lang w:val="pl-PL"/>
        </w:rPr>
        <w:t xml:space="preserve"> i uznaje, że ważne jest zwiększanie świadomości i edukacji społeczeństwa w zakresie zrównoważon</w:t>
      </w:r>
      <w:r w:rsidR="00BE1395" w:rsidRPr="0085159D">
        <w:rPr>
          <w:lang w:val="pl-PL"/>
        </w:rPr>
        <w:t>ego</w:t>
      </w:r>
      <w:r w:rsidRPr="0085159D">
        <w:rPr>
          <w:lang w:val="pl-PL"/>
        </w:rPr>
        <w:t xml:space="preserve"> finans</w:t>
      </w:r>
      <w:r w:rsidR="00BE1395" w:rsidRPr="0085159D">
        <w:rPr>
          <w:lang w:val="pl-PL"/>
        </w:rPr>
        <w:t>owania</w:t>
      </w:r>
      <w:r w:rsidRPr="0085159D">
        <w:rPr>
          <w:lang w:val="pl-PL"/>
        </w:rPr>
        <w:t>. Prywatne plany oszczędzania na emeryturę to ważne długoterminowe inwestycje, które mogą mieć różne cechy zrównoważonego rozwoju. Osoby indywidualne powinny mieć świadomość, w</w:t>
      </w:r>
      <w:r w:rsidR="001E5B9C">
        <w:rPr>
          <w:lang w:val="pl-PL"/>
        </w:rPr>
        <w:t> </w:t>
      </w:r>
      <w:r w:rsidRPr="0085159D">
        <w:rPr>
          <w:lang w:val="pl-PL"/>
        </w:rPr>
        <w:t xml:space="preserve">jakim stopniu dany produkt emerytalny odpowiada ich preferencjom w zakresie zrównoważonego rozwoju, i w razie potrzeby czuć się pewnie w zadawaniu pytań lub domaganiu się </w:t>
      </w:r>
      <w:r w:rsidR="00BE1395" w:rsidRPr="0085159D">
        <w:rPr>
          <w:lang w:val="pl-PL"/>
        </w:rPr>
        <w:t>dodatkowych</w:t>
      </w:r>
      <w:r w:rsidR="00215E64">
        <w:rPr>
          <w:lang w:val="pl-PL"/>
        </w:rPr>
        <w:t xml:space="preserve"> informacji, a także w dokonywaniu</w:t>
      </w:r>
      <w:r w:rsidR="00BE1395" w:rsidRPr="0085159D">
        <w:rPr>
          <w:lang w:val="pl-PL"/>
        </w:rPr>
        <w:t xml:space="preserve"> </w:t>
      </w:r>
      <w:r w:rsidRPr="0085159D">
        <w:rPr>
          <w:lang w:val="pl-PL"/>
        </w:rPr>
        <w:t xml:space="preserve">lepszych </w:t>
      </w:r>
      <w:r w:rsidR="00BE1395" w:rsidRPr="0085159D">
        <w:rPr>
          <w:lang w:val="pl-PL"/>
        </w:rPr>
        <w:t>wyborów</w:t>
      </w:r>
      <w:r w:rsidRPr="0085159D">
        <w:rPr>
          <w:lang w:val="pl-PL"/>
        </w:rPr>
        <w:t>.</w:t>
      </w:r>
    </w:p>
    <w:p w14:paraId="75309CEC" w14:textId="77777777" w:rsidR="00282A62" w:rsidRPr="0085159D" w:rsidRDefault="00282A62" w:rsidP="000B051F">
      <w:pPr>
        <w:pStyle w:val="Nagwek4"/>
        <w:rPr>
          <w:lang w:val="pl-PL"/>
        </w:rPr>
      </w:pPr>
      <w:r w:rsidRPr="0085159D">
        <w:rPr>
          <w:lang w:val="pl-PL"/>
        </w:rPr>
        <w:t>3. Poprawa zrozumienia i zdolności mieszkańców Polski do korzystania z możliwości związanych z inwestycjami na rynku finansowym, przy jednoczesnym zarządzaniu ryzykiem</w:t>
      </w:r>
    </w:p>
    <w:p w14:paraId="65010657" w14:textId="77777777" w:rsidR="00282A62" w:rsidRPr="0085159D" w:rsidRDefault="00282A62" w:rsidP="000B051F">
      <w:pPr>
        <w:pStyle w:val="Para0"/>
        <w:rPr>
          <w:rStyle w:val="Odwoanieprzypisukocowego"/>
          <w:lang w:val="pl-PL"/>
        </w:rPr>
      </w:pPr>
      <w:r w:rsidRPr="0085159D">
        <w:rPr>
          <w:lang w:val="pl-PL"/>
        </w:rPr>
        <w:t xml:space="preserve">Oszczędności Polaków są na niskim poziomie, a ich udział w rynku kapitałowym </w:t>
      </w:r>
      <w:r w:rsidR="00BE1395" w:rsidRPr="0085159D">
        <w:rPr>
          <w:lang w:val="pl-PL"/>
        </w:rPr>
        <w:t xml:space="preserve">– </w:t>
      </w:r>
      <w:r w:rsidRPr="0085159D">
        <w:rPr>
          <w:lang w:val="pl-PL"/>
        </w:rPr>
        <w:t xml:space="preserve">na jeszcze niższym. </w:t>
      </w:r>
      <w:r w:rsidR="00BE1395" w:rsidRPr="0085159D">
        <w:rPr>
          <w:lang w:val="pl-PL"/>
        </w:rPr>
        <w:t>W</w:t>
      </w:r>
      <w:r w:rsidR="00545FC9">
        <w:rPr>
          <w:lang w:val="pl-PL"/>
        </w:rPr>
        <w:t> </w:t>
      </w:r>
      <w:r w:rsidRPr="0085159D">
        <w:rPr>
          <w:lang w:val="pl-PL"/>
        </w:rPr>
        <w:t>Strategi</w:t>
      </w:r>
      <w:r w:rsidR="00BE1395" w:rsidRPr="0085159D">
        <w:rPr>
          <w:lang w:val="pl-PL"/>
        </w:rPr>
        <w:t>i na rzecz</w:t>
      </w:r>
      <w:r w:rsidRPr="0085159D">
        <w:rPr>
          <w:lang w:val="pl-PL"/>
        </w:rPr>
        <w:t xml:space="preserve"> </w:t>
      </w:r>
      <w:r w:rsidR="00BE1395" w:rsidRPr="0085159D">
        <w:rPr>
          <w:lang w:val="pl-PL"/>
        </w:rPr>
        <w:t>O</w:t>
      </w:r>
      <w:r w:rsidRPr="0085159D">
        <w:rPr>
          <w:lang w:val="pl-PL"/>
        </w:rPr>
        <w:t xml:space="preserve">dpowiedzialnego </w:t>
      </w:r>
      <w:r w:rsidR="00BE1395" w:rsidRPr="0085159D">
        <w:rPr>
          <w:lang w:val="pl-PL"/>
        </w:rPr>
        <w:t>R</w:t>
      </w:r>
      <w:r w:rsidR="00CF6580">
        <w:rPr>
          <w:lang w:val="pl-PL"/>
        </w:rPr>
        <w:t>ozwoju</w:t>
      </w:r>
      <w:r w:rsidRPr="0085159D">
        <w:rPr>
          <w:lang w:val="pl-PL"/>
        </w:rPr>
        <w:t xml:space="preserve"> uznaje </w:t>
      </w:r>
      <w:r w:rsidR="00BE1395" w:rsidRPr="0085159D">
        <w:rPr>
          <w:lang w:val="pl-PL"/>
        </w:rPr>
        <w:t xml:space="preserve">się </w:t>
      </w:r>
      <w:r w:rsidRPr="0085159D">
        <w:rPr>
          <w:lang w:val="pl-PL"/>
        </w:rPr>
        <w:t xml:space="preserve">niski poziom oszczędności </w:t>
      </w:r>
      <w:r w:rsidR="00BE1395" w:rsidRPr="0085159D">
        <w:rPr>
          <w:lang w:val="pl-PL"/>
        </w:rPr>
        <w:t xml:space="preserve">prywatnych </w:t>
      </w:r>
      <w:r w:rsidRPr="0085159D">
        <w:rPr>
          <w:lang w:val="pl-PL"/>
        </w:rPr>
        <w:t xml:space="preserve">za jeden z czynników negatywnie wpływających na perspektywy stabilnego rozwoju Polski. SOR stawia sobie za cel rozwój rynku finansowego w oparciu o zmiany regulacyjne i instytucjonalne, ale także uznaje, że równie ważne jest „budowanie kultury oszczędzania” i zwiększanie zrozumienia przez Polaków korzyści płynących z inwestowania </w:t>
      </w:r>
      <w:sdt>
        <w:sdtPr>
          <w:rPr>
            <w:lang w:val="pl-PL"/>
          </w:rPr>
          <w:id w:val="-1142648780"/>
          <w:citation/>
        </w:sdtPr>
        <w:sdtEndPr/>
        <w:sdtContent>
          <w:r w:rsidRPr="0085159D">
            <w:rPr>
              <w:lang w:val="pl-PL"/>
            </w:rPr>
            <w:fldChar w:fldCharType="begin"/>
          </w:r>
          <w:r w:rsidRPr="0085159D">
            <w:rPr>
              <w:lang w:val="pl-PL"/>
            </w:rPr>
            <w:instrText xml:space="preserve"> CITATION Mendeley_2oQj8irMJzW_OsYndM8_ew \l 2057 </w:instrText>
          </w:r>
          <w:r w:rsidRPr="0085159D">
            <w:rPr>
              <w:lang w:val="pl-PL"/>
            </w:rPr>
            <w:fldChar w:fldCharType="separate"/>
          </w:r>
          <w:r w:rsidRPr="0085159D">
            <w:rPr>
              <w:noProof/>
              <w:lang w:val="pl-PL"/>
            </w:rPr>
            <w:t>(</w:t>
          </w:r>
          <w:bookmarkStart w:id="31" w:name="Mendeley_2oQj8irMJzW_OsYndM8_ew_10"/>
          <w:r w:rsidRPr="0085159D">
            <w:rPr>
              <w:noProof/>
              <w:lang w:val="pl-PL"/>
            </w:rPr>
            <w:t>Rząd RP, 2017</w:t>
          </w:r>
          <w:r w:rsidRPr="0085159D">
            <w:rPr>
              <w:noProof/>
              <w:vertAlign w:val="subscript"/>
              <w:lang w:val="pl-PL"/>
            </w:rPr>
            <w:t>[10]</w:t>
          </w:r>
          <w:r w:rsidRPr="0085159D">
            <w:rPr>
              <w:noProof/>
              <w:lang w:val="pl-PL"/>
            </w:rPr>
            <w:t>)</w:t>
          </w:r>
          <w:bookmarkEnd w:id="31"/>
          <w:r w:rsidRPr="0085159D">
            <w:rPr>
              <w:lang w:val="pl-PL"/>
            </w:rPr>
            <w:fldChar w:fldCharType="end"/>
          </w:r>
        </w:sdtContent>
      </w:sdt>
      <w:r w:rsidRPr="0085159D">
        <w:rPr>
          <w:lang w:val="pl-PL"/>
        </w:rPr>
        <w:t>.</w:t>
      </w:r>
    </w:p>
    <w:p w14:paraId="735D1424" w14:textId="77777777" w:rsidR="00282A62" w:rsidRPr="0085159D" w:rsidRDefault="00282A62" w:rsidP="000B051F">
      <w:pPr>
        <w:pStyle w:val="Para0"/>
        <w:rPr>
          <w:lang w:val="pl-PL"/>
        </w:rPr>
      </w:pPr>
      <w:r w:rsidRPr="0085159D">
        <w:rPr>
          <w:lang w:val="pl-PL"/>
        </w:rPr>
        <w:t>Mimo</w:t>
      </w:r>
      <w:r w:rsidR="008A1B56">
        <w:rPr>
          <w:lang w:val="pl-PL"/>
        </w:rPr>
        <w:t>,</w:t>
      </w:r>
      <w:r w:rsidRPr="0085159D">
        <w:rPr>
          <w:lang w:val="pl-PL"/>
        </w:rPr>
        <w:t xml:space="preserve"> ż</w:t>
      </w:r>
      <w:r w:rsidR="008A1B56">
        <w:rPr>
          <w:lang w:val="pl-PL"/>
        </w:rPr>
        <w:t>e</w:t>
      </w:r>
      <w:r w:rsidRPr="0085159D">
        <w:rPr>
          <w:lang w:val="pl-PL"/>
        </w:rPr>
        <w:t xml:space="preserve"> prawie 80% gospodarstw domowych deklaruje oszczędzanie </w:t>
      </w:r>
      <w:sdt>
        <w:sdtPr>
          <w:rPr>
            <w:lang w:val="pl-PL"/>
          </w:rPr>
          <w:id w:val="732592835"/>
          <w:citation/>
        </w:sdtPr>
        <w:sdtEndPr/>
        <w:sdtContent>
          <w:r w:rsidRPr="0085159D">
            <w:rPr>
              <w:lang w:val="pl-PL"/>
            </w:rPr>
            <w:fldChar w:fldCharType="begin"/>
          </w:r>
          <w:r w:rsidRPr="0085159D">
            <w:rPr>
              <w:lang w:val="pl-PL"/>
            </w:rPr>
            <w:instrText xml:space="preserve">CITATION Mendeley_woYa5cRGPziuMRpt0mK9sg \l 2057 </w:instrText>
          </w:r>
          <w:r w:rsidRPr="0085159D">
            <w:rPr>
              <w:lang w:val="pl-PL"/>
            </w:rPr>
            <w:fldChar w:fldCharType="separate"/>
          </w:r>
          <w:r w:rsidRPr="0085159D">
            <w:rPr>
              <w:noProof/>
              <w:lang w:val="pl-PL"/>
            </w:rPr>
            <w:t>(GUS, 2021</w:t>
          </w:r>
          <w:r w:rsidRPr="0085159D">
            <w:rPr>
              <w:noProof/>
              <w:vertAlign w:val="subscript"/>
              <w:lang w:val="pl-PL"/>
            </w:rPr>
            <w:t>[18]</w:t>
          </w:r>
          <w:r w:rsidRPr="0085159D">
            <w:rPr>
              <w:noProof/>
              <w:lang w:val="pl-PL"/>
            </w:rPr>
            <w:t>)</w:t>
          </w:r>
          <w:r w:rsidRPr="0085159D">
            <w:rPr>
              <w:lang w:val="pl-PL"/>
            </w:rPr>
            <w:fldChar w:fldCharType="end"/>
          </w:r>
        </w:sdtContent>
      </w:sdt>
      <w:r w:rsidRPr="0085159D">
        <w:rPr>
          <w:lang w:val="pl-PL"/>
        </w:rPr>
        <w:t xml:space="preserve">, większość tych oszczędności jest utrzymywana w gotówce lub na lokatach bankowych </w:t>
      </w:r>
      <w:sdt>
        <w:sdtPr>
          <w:rPr>
            <w:lang w:val="pl-PL"/>
          </w:rPr>
          <w:id w:val="1586722958"/>
          <w:citation/>
        </w:sdtPr>
        <w:sdtEndPr/>
        <w:sdtContent>
          <w:r w:rsidRPr="0085159D">
            <w:rPr>
              <w:lang w:val="pl-PL"/>
            </w:rPr>
            <w:fldChar w:fldCharType="begin"/>
          </w:r>
          <w:r w:rsidRPr="0085159D">
            <w:rPr>
              <w:lang w:val="pl-PL"/>
            </w:rPr>
            <w:instrText xml:space="preserve">CITATION Mendeley_EwZHIRDmWDut_hPNiW__JSQ \l 2057 </w:instrText>
          </w:r>
          <w:r w:rsidRPr="0085159D">
            <w:rPr>
              <w:lang w:val="pl-PL"/>
            </w:rPr>
            <w:fldChar w:fldCharType="separate"/>
          </w:r>
          <w:r w:rsidRPr="0085159D">
            <w:rPr>
              <w:noProof/>
              <w:lang w:val="pl-PL"/>
            </w:rPr>
            <w:t>(</w:t>
          </w:r>
          <w:bookmarkStart w:id="32" w:name="Mendeley_EwZHIRDmWDut_hPNiW__JSQ_23"/>
          <w:r w:rsidRPr="0085159D">
            <w:rPr>
              <w:noProof/>
              <w:lang w:val="pl-PL"/>
            </w:rPr>
            <w:t>Narodowy Bank Polski, 2020</w:t>
          </w:r>
          <w:r w:rsidRPr="0085159D">
            <w:rPr>
              <w:noProof/>
              <w:vertAlign w:val="subscript"/>
              <w:lang w:val="pl-PL"/>
            </w:rPr>
            <w:t>[23]</w:t>
          </w:r>
          <w:r w:rsidRPr="0085159D">
            <w:rPr>
              <w:noProof/>
              <w:lang w:val="pl-PL"/>
            </w:rPr>
            <w:t>)</w:t>
          </w:r>
          <w:bookmarkEnd w:id="32"/>
          <w:r w:rsidRPr="0085159D">
            <w:rPr>
              <w:lang w:val="pl-PL"/>
            </w:rPr>
            <w:fldChar w:fldCharType="end"/>
          </w:r>
        </w:sdtContent>
      </w:sdt>
      <w:r w:rsidRPr="0085159D">
        <w:rPr>
          <w:lang w:val="pl-PL"/>
        </w:rPr>
        <w:t>.</w:t>
      </w:r>
    </w:p>
    <w:p w14:paraId="54DA8F6E" w14:textId="77777777" w:rsidR="00282A62" w:rsidRPr="0085159D" w:rsidRDefault="00282A62" w:rsidP="000B051F">
      <w:pPr>
        <w:pStyle w:val="Para0"/>
        <w:rPr>
          <w:lang w:val="pl-PL"/>
        </w:rPr>
      </w:pPr>
      <w:r w:rsidRPr="0085159D">
        <w:rPr>
          <w:lang w:val="pl-PL"/>
        </w:rPr>
        <w:t>Tylko 8% Polaków inwestuje na rynku kapitałowym</w:t>
      </w:r>
      <w:r w:rsidR="00843A1D" w:rsidRPr="0085159D">
        <w:rPr>
          <w:lang w:val="pl-PL"/>
        </w:rPr>
        <w:t xml:space="preserve"> (Fundacja </w:t>
      </w:r>
      <w:proofErr w:type="spellStart"/>
      <w:r w:rsidR="00843A1D" w:rsidRPr="0085159D">
        <w:rPr>
          <w:lang w:val="pl-PL"/>
        </w:rPr>
        <w:t>Think</w:t>
      </w:r>
      <w:proofErr w:type="spellEnd"/>
      <w:r w:rsidR="00843A1D" w:rsidRPr="0085159D">
        <w:rPr>
          <w:lang w:val="pl-PL"/>
        </w:rPr>
        <w:t xml:space="preserve">!, Fundacja </w:t>
      </w:r>
      <w:proofErr w:type="spellStart"/>
      <w:r w:rsidR="00843A1D" w:rsidRPr="0085159D">
        <w:rPr>
          <w:lang w:val="pl-PL"/>
        </w:rPr>
        <w:t>Citi</w:t>
      </w:r>
      <w:proofErr w:type="spellEnd"/>
      <w:r w:rsidR="00843A1D" w:rsidRPr="0085159D">
        <w:rPr>
          <w:lang w:val="pl-PL"/>
        </w:rPr>
        <w:t xml:space="preserve"> Handlowy im. Leopolda Kronenberga i Uniwersytet Warszawski, 2022</w:t>
      </w:r>
      <w:r w:rsidR="00843A1D" w:rsidRPr="0085159D">
        <w:rPr>
          <w:vertAlign w:val="subscript"/>
          <w:lang w:val="pl-PL"/>
        </w:rPr>
        <w:t>[24]</w:t>
      </w:r>
      <w:r w:rsidR="00843A1D" w:rsidRPr="0085159D">
        <w:rPr>
          <w:lang w:val="pl-PL"/>
        </w:rPr>
        <w:t>).</w:t>
      </w:r>
      <w:r w:rsidR="0085159D">
        <w:rPr>
          <w:lang w:val="pl-PL"/>
        </w:rPr>
        <w:t xml:space="preserve"> </w:t>
      </w:r>
      <w:r w:rsidRPr="0085159D">
        <w:rPr>
          <w:lang w:val="pl-PL"/>
        </w:rPr>
        <w:t xml:space="preserve">Badanie kompetencji finansowych osób dorosłych OECD/INFE 2020 pokazuje, że zaledwie 0,7% respondentów posiada rachunek inwestycyjny, 1,1% posiada akcje i udziały, a 0,8% posiada obligacje </w:t>
      </w:r>
      <w:sdt>
        <w:sdtPr>
          <w:rPr>
            <w:lang w:val="pl-PL"/>
          </w:rPr>
          <w:id w:val="1533380775"/>
          <w:citation/>
        </w:sdtPr>
        <w:sdtEndPr/>
        <w:sdtContent>
          <w:r w:rsidRPr="0085159D">
            <w:rPr>
              <w:lang w:val="pl-PL"/>
            </w:rPr>
            <w:fldChar w:fldCharType="begin"/>
          </w:r>
          <w:r w:rsidRPr="0085159D">
            <w:rPr>
              <w:lang w:val="pl-PL"/>
            </w:rPr>
            <w:instrText xml:space="preserve"> CITATION Mendeley_8lCJr_J5ljC5UalIEA3Gvw \l 2057 </w:instrText>
          </w:r>
          <w:r w:rsidRPr="0085159D">
            <w:rPr>
              <w:lang w:val="pl-PL"/>
            </w:rPr>
            <w:fldChar w:fldCharType="separate"/>
          </w:r>
          <w:r w:rsidRPr="0085159D">
            <w:rPr>
              <w:noProof/>
              <w:lang w:val="pl-PL"/>
            </w:rPr>
            <w:t>(OECD, 2020</w:t>
          </w:r>
          <w:r w:rsidRPr="0085159D">
            <w:rPr>
              <w:noProof/>
              <w:vertAlign w:val="subscript"/>
              <w:lang w:val="pl-PL"/>
            </w:rPr>
            <w:t>[5]</w:t>
          </w:r>
          <w:r w:rsidRPr="0085159D">
            <w:rPr>
              <w:noProof/>
              <w:lang w:val="pl-PL"/>
            </w:rPr>
            <w:t>)</w:t>
          </w:r>
          <w:r w:rsidRPr="0085159D">
            <w:rPr>
              <w:lang w:val="pl-PL"/>
            </w:rPr>
            <w:fldChar w:fldCharType="end"/>
          </w:r>
        </w:sdtContent>
      </w:sdt>
      <w:r w:rsidRPr="0085159D">
        <w:rPr>
          <w:lang w:val="pl-PL"/>
        </w:rPr>
        <w:t xml:space="preserve">. Generalnie Polacy wiedzą, czym są akcje, ale 62% uważa, że nie ma wystarczającej wiedzy, by móc inwestować na rynku finansowym </w:t>
      </w:r>
      <w:sdt>
        <w:sdtPr>
          <w:rPr>
            <w:lang w:val="pl-PL"/>
          </w:rPr>
          <w:id w:val="160592253"/>
          <w:citation/>
        </w:sdtPr>
        <w:sdtEndPr/>
        <w:sdtContent>
          <w:r w:rsidRPr="0085159D">
            <w:rPr>
              <w:lang w:val="pl-PL"/>
            </w:rPr>
            <w:fldChar w:fldCharType="begin"/>
          </w:r>
          <w:r w:rsidRPr="0085159D">
            <w:rPr>
              <w:lang w:val="pl-PL"/>
            </w:rPr>
            <w:instrText xml:space="preserve"> CITATION Mendeley_ZwqRyr7PJTKw9Hg__VaRsg \l 2057 </w:instrText>
          </w:r>
          <w:r w:rsidRPr="0085159D">
            <w:rPr>
              <w:lang w:val="pl-PL"/>
            </w:rPr>
            <w:fldChar w:fldCharType="separate"/>
          </w:r>
          <w:r w:rsidRPr="0085159D">
            <w:rPr>
              <w:noProof/>
              <w:lang w:val="pl-PL"/>
            </w:rPr>
            <w:t>(Fundacja Warszawski Instytut Bankowości i Fundacja Giełdy Papierów Wartościowych w Warszawie, 2021</w:t>
          </w:r>
          <w:r w:rsidRPr="0085159D">
            <w:rPr>
              <w:noProof/>
              <w:vertAlign w:val="subscript"/>
              <w:lang w:val="pl-PL"/>
            </w:rPr>
            <w:t>[8]</w:t>
          </w:r>
          <w:r w:rsidRPr="0085159D">
            <w:rPr>
              <w:noProof/>
              <w:lang w:val="pl-PL"/>
            </w:rPr>
            <w:t>)</w:t>
          </w:r>
          <w:r w:rsidRPr="0085159D">
            <w:rPr>
              <w:lang w:val="pl-PL"/>
            </w:rPr>
            <w:fldChar w:fldCharType="end"/>
          </w:r>
        </w:sdtContent>
      </w:sdt>
      <w:r w:rsidRPr="0085159D">
        <w:rPr>
          <w:lang w:val="pl-PL"/>
        </w:rPr>
        <w:t xml:space="preserve">. Ponad 40% inwestujących na rynku kapitałowym robi to w celu zróżnicowania swoich dochodów, a 25% postrzega to jako formę oszczędności emerytalnych </w:t>
      </w:r>
      <w:sdt>
        <w:sdtPr>
          <w:rPr>
            <w:lang w:val="pl-PL"/>
          </w:rPr>
          <w:id w:val="228131877"/>
          <w:citation/>
        </w:sdtPr>
        <w:sdtEndPr/>
        <w:sdtContent>
          <w:r w:rsidRPr="0085159D">
            <w:rPr>
              <w:lang w:val="pl-PL"/>
            </w:rPr>
            <w:fldChar w:fldCharType="begin"/>
          </w:r>
          <w:r w:rsidRPr="0085159D">
            <w:rPr>
              <w:lang w:val="pl-PL"/>
            </w:rPr>
            <w:instrText xml:space="preserve">CITATION Mendeley_ALI4g36UOD__7kK_5OKk3jQ \l 2057 </w:instrText>
          </w:r>
          <w:r w:rsidRPr="0085159D">
            <w:rPr>
              <w:lang w:val="pl-PL"/>
            </w:rPr>
            <w:fldChar w:fldCharType="separate"/>
          </w:r>
          <w:r w:rsidRPr="0085159D">
            <w:rPr>
              <w:noProof/>
              <w:lang w:val="pl-PL"/>
            </w:rPr>
            <w:t>(</w:t>
          </w:r>
          <w:bookmarkStart w:id="33" w:name="Mendeley_ALI4g36UOD__7kK_5OKk3jQ_25"/>
          <w:r w:rsidRPr="0085159D">
            <w:rPr>
              <w:noProof/>
              <w:lang w:val="pl-PL"/>
            </w:rPr>
            <w:t>Stowarzyszenie Inwestorów Indywidualnych, 2021</w:t>
          </w:r>
          <w:r w:rsidRPr="0085159D">
            <w:rPr>
              <w:noProof/>
              <w:vertAlign w:val="subscript"/>
              <w:lang w:val="pl-PL"/>
            </w:rPr>
            <w:t>[25]</w:t>
          </w:r>
          <w:r w:rsidRPr="0085159D">
            <w:rPr>
              <w:noProof/>
              <w:lang w:val="pl-PL"/>
            </w:rPr>
            <w:t>)</w:t>
          </w:r>
          <w:bookmarkEnd w:id="33"/>
          <w:r w:rsidRPr="0085159D">
            <w:rPr>
              <w:lang w:val="pl-PL"/>
            </w:rPr>
            <w:fldChar w:fldCharType="end"/>
          </w:r>
        </w:sdtContent>
      </w:sdt>
      <w:r w:rsidRPr="0085159D">
        <w:rPr>
          <w:lang w:val="pl-PL"/>
        </w:rPr>
        <w:t xml:space="preserve">. Dla Polaków głównym źródłem informacji o inwestycjach pozostaje Internet, który jest dla nich przytłaczający ze względu na dużą liczbę źródeł, ilość informacji i specjalistyczny język </w:t>
      </w:r>
      <w:sdt>
        <w:sdtPr>
          <w:rPr>
            <w:lang w:val="pl-PL"/>
          </w:rPr>
          <w:id w:val="815454023"/>
          <w:citation/>
        </w:sdtPr>
        <w:sdtEndPr/>
        <w:sdtContent>
          <w:r w:rsidRPr="0085159D">
            <w:rPr>
              <w:lang w:val="pl-PL"/>
            </w:rPr>
            <w:fldChar w:fldCharType="begin"/>
          </w:r>
          <w:r w:rsidRPr="0085159D">
            <w:rPr>
              <w:lang w:val="pl-PL"/>
            </w:rPr>
            <w:instrText xml:space="preserve">CITATION Mendeley_JBKOyUjppDOnBQsonJWvuQ \l 2057 </w:instrText>
          </w:r>
          <w:r w:rsidRPr="0085159D">
            <w:rPr>
              <w:lang w:val="pl-PL"/>
            </w:rPr>
            <w:fldChar w:fldCharType="separate"/>
          </w:r>
          <w:r w:rsidRPr="0085159D">
            <w:rPr>
              <w:noProof/>
              <w:lang w:val="pl-PL"/>
            </w:rPr>
            <w:t>(Izba Zarządzających Funduszami i Aktywami, 2021</w:t>
          </w:r>
          <w:r w:rsidRPr="0085159D">
            <w:rPr>
              <w:noProof/>
              <w:vertAlign w:val="subscript"/>
              <w:lang w:val="pl-PL"/>
            </w:rPr>
            <w:t>[26]</w:t>
          </w:r>
          <w:r w:rsidRPr="0085159D">
            <w:rPr>
              <w:noProof/>
              <w:lang w:val="pl-PL"/>
            </w:rPr>
            <w:t>)</w:t>
          </w:r>
          <w:r w:rsidRPr="0085159D">
            <w:rPr>
              <w:lang w:val="pl-PL"/>
            </w:rPr>
            <w:fldChar w:fldCharType="end"/>
          </w:r>
        </w:sdtContent>
      </w:sdt>
      <w:r w:rsidRPr="0085159D">
        <w:rPr>
          <w:lang w:val="pl-PL"/>
        </w:rPr>
        <w:t>. Bariery te powodują, że większość Polaków nie może korzystać z możliwości związanych z inwestycjami na rynku finansowym.</w:t>
      </w:r>
    </w:p>
    <w:p w14:paraId="5FBD4D98" w14:textId="77777777" w:rsidR="00282A62" w:rsidRPr="0085159D" w:rsidRDefault="00282A62" w:rsidP="000B051F">
      <w:pPr>
        <w:pStyle w:val="Para0"/>
        <w:rPr>
          <w:lang w:val="pl-PL"/>
        </w:rPr>
      </w:pPr>
      <w:r w:rsidRPr="0085159D">
        <w:rPr>
          <w:lang w:val="pl-PL"/>
        </w:rPr>
        <w:t>Zgodnie z oczekiwaniami wyrażonymi w SOR, programy edukacji fina</w:t>
      </w:r>
      <w:r w:rsidR="00BE0005">
        <w:rPr>
          <w:lang w:val="pl-PL"/>
        </w:rPr>
        <w:t>nsowej dotyczące inwestowania i </w:t>
      </w:r>
      <w:r w:rsidRPr="0085159D">
        <w:rPr>
          <w:lang w:val="pl-PL"/>
        </w:rPr>
        <w:t>zarządzania ryzykiem mogą wspierać Polaków w maksymalizacji zysków i zarządzaniu ryzykiem, jednocześnie przyczyniając się do dalszego rozwoju lokalnego rynku kapitałowego. Ten priorytet może się również przyczynić do realizacji SRRK. Może o</w:t>
      </w:r>
      <w:r w:rsidR="00F77250">
        <w:rPr>
          <w:lang w:val="pl-PL"/>
        </w:rPr>
        <w:t>n</w:t>
      </w:r>
      <w:r w:rsidRPr="0085159D">
        <w:rPr>
          <w:lang w:val="pl-PL"/>
        </w:rPr>
        <w:t xml:space="preserve"> również obej</w:t>
      </w:r>
      <w:r w:rsidR="00BE0005">
        <w:rPr>
          <w:lang w:val="pl-PL"/>
        </w:rPr>
        <w:t>mować podnoszenie świadomości i </w:t>
      </w:r>
      <w:r w:rsidRPr="0085159D">
        <w:rPr>
          <w:lang w:val="pl-PL"/>
        </w:rPr>
        <w:t xml:space="preserve">zrozumienia w zakresie zrównoważonych inwestycji i produktów, dzięki czemu </w:t>
      </w:r>
      <w:r w:rsidR="00F77250">
        <w:rPr>
          <w:lang w:val="pl-PL"/>
        </w:rPr>
        <w:t xml:space="preserve">inwestorzy </w:t>
      </w:r>
      <w:r w:rsidRPr="0085159D">
        <w:rPr>
          <w:lang w:val="pl-PL"/>
        </w:rPr>
        <w:t>będą mogli dostosować swoje preferencje w zakresie zrównoważonego rozwoju do odpowiednich produktów inwestycyjnych i wspierać zieloną transformację Polski.</w:t>
      </w:r>
    </w:p>
    <w:p w14:paraId="7C56A9DD" w14:textId="77777777" w:rsidR="00282A62" w:rsidRPr="0085159D" w:rsidRDefault="00282A62" w:rsidP="000B051F">
      <w:pPr>
        <w:pStyle w:val="Nagwek4"/>
        <w:rPr>
          <w:lang w:val="pl-PL"/>
        </w:rPr>
      </w:pPr>
      <w:r w:rsidRPr="0085159D">
        <w:rPr>
          <w:lang w:val="pl-PL"/>
        </w:rPr>
        <w:t>4. </w:t>
      </w:r>
      <w:bookmarkStart w:id="34" w:name="_Hlk128673167"/>
      <w:r w:rsidRPr="0085159D">
        <w:rPr>
          <w:lang w:val="pl-PL"/>
        </w:rPr>
        <w:t xml:space="preserve">Podnoszenie świadomości </w:t>
      </w:r>
      <w:r w:rsidR="00BE1395" w:rsidRPr="0085159D">
        <w:rPr>
          <w:lang w:val="pl-PL"/>
        </w:rPr>
        <w:t xml:space="preserve">w kwestii </w:t>
      </w:r>
      <w:r w:rsidRPr="0085159D">
        <w:rPr>
          <w:lang w:val="pl-PL"/>
        </w:rPr>
        <w:t xml:space="preserve">znaczenia edukacji finansowej dla mieszkańców Polski oraz ich wiedzy o tym, gdzie znaleźć rzetelne i </w:t>
      </w:r>
      <w:r w:rsidR="00BE1395" w:rsidRPr="0085159D">
        <w:rPr>
          <w:lang w:val="pl-PL"/>
        </w:rPr>
        <w:t xml:space="preserve">obiektywne </w:t>
      </w:r>
      <w:r w:rsidRPr="0085159D">
        <w:rPr>
          <w:lang w:val="pl-PL"/>
        </w:rPr>
        <w:t>informacje finansowe, edukację lub pomoc</w:t>
      </w:r>
      <w:bookmarkEnd w:id="34"/>
    </w:p>
    <w:p w14:paraId="23BF87D6" w14:textId="77777777" w:rsidR="00282A62" w:rsidRPr="0085159D" w:rsidRDefault="00282A62" w:rsidP="000B051F">
      <w:pPr>
        <w:pStyle w:val="Para0"/>
        <w:rPr>
          <w:lang w:val="pl-PL"/>
        </w:rPr>
      </w:pPr>
      <w:r w:rsidRPr="0085159D">
        <w:rPr>
          <w:lang w:val="pl-PL"/>
        </w:rPr>
        <w:t xml:space="preserve">Poziom </w:t>
      </w:r>
      <w:r w:rsidR="004058EF" w:rsidRPr="0085159D">
        <w:rPr>
          <w:lang w:val="pl-PL"/>
        </w:rPr>
        <w:t>kompetencji</w:t>
      </w:r>
      <w:r w:rsidR="00BE1395" w:rsidRPr="0085159D">
        <w:rPr>
          <w:lang w:val="pl-PL"/>
        </w:rPr>
        <w:t xml:space="preserve"> </w:t>
      </w:r>
      <w:r w:rsidRPr="0085159D">
        <w:rPr>
          <w:lang w:val="pl-PL"/>
        </w:rPr>
        <w:t xml:space="preserve">finansowych w polskim społeczeństwie jest niski. Większość Polaków </w:t>
      </w:r>
      <w:r w:rsidR="00BE1395" w:rsidRPr="0085159D">
        <w:rPr>
          <w:lang w:val="pl-PL"/>
        </w:rPr>
        <w:t>przyznaje</w:t>
      </w:r>
      <w:r w:rsidRPr="0085159D">
        <w:rPr>
          <w:lang w:val="pl-PL"/>
        </w:rPr>
        <w:t>, że edukacja finansowa jest niezbędna w codziennym życiu, ale mniej niż 10% uważa, że ich wiedza finansowa jest na wysokim poziomie. Polacy przyznają</w:t>
      </w:r>
      <w:r w:rsidR="00BE1395" w:rsidRPr="0085159D">
        <w:rPr>
          <w:lang w:val="pl-PL"/>
        </w:rPr>
        <w:t xml:space="preserve"> także</w:t>
      </w:r>
      <w:r w:rsidRPr="0085159D">
        <w:rPr>
          <w:lang w:val="pl-PL"/>
        </w:rPr>
        <w:t xml:space="preserve">, że szkoła i rodzina stanowią dwa najważniejsze źródła edukacji finansowej ich dzieci. Jednocześnie jedynie połowa rodziców rozmawia </w:t>
      </w:r>
      <w:r w:rsidRPr="0085159D">
        <w:rPr>
          <w:lang w:val="pl-PL"/>
        </w:rPr>
        <w:lastRenderedPageBreak/>
        <w:t>z</w:t>
      </w:r>
      <w:r w:rsidR="00F77250">
        <w:rPr>
          <w:lang w:val="pl-PL"/>
        </w:rPr>
        <w:t> </w:t>
      </w:r>
      <w:r w:rsidRPr="0085159D">
        <w:rPr>
          <w:lang w:val="pl-PL"/>
        </w:rPr>
        <w:t xml:space="preserve">dziećmi o kwestiach związanych z pieniędzmi, zapewne z powodu </w:t>
      </w:r>
      <w:r w:rsidR="00BE1395" w:rsidRPr="0085159D">
        <w:rPr>
          <w:lang w:val="pl-PL"/>
        </w:rPr>
        <w:t xml:space="preserve">niskiego poczucia </w:t>
      </w:r>
      <w:r w:rsidRPr="0085159D">
        <w:rPr>
          <w:lang w:val="pl-PL"/>
        </w:rPr>
        <w:t>pewności siebie w</w:t>
      </w:r>
      <w:r w:rsidR="00F77250">
        <w:rPr>
          <w:lang w:val="pl-PL"/>
        </w:rPr>
        <w:t> </w:t>
      </w:r>
      <w:r w:rsidRPr="0085159D">
        <w:rPr>
          <w:lang w:val="pl-PL"/>
        </w:rPr>
        <w:t xml:space="preserve">obszarze finansów </w:t>
      </w:r>
      <w:sdt>
        <w:sdtPr>
          <w:rPr>
            <w:lang w:val="pl-PL"/>
          </w:rPr>
          <w:id w:val="1729952253"/>
          <w:citation/>
        </w:sdtPr>
        <w:sdtEndPr/>
        <w:sdtContent>
          <w:r w:rsidRPr="0085159D">
            <w:rPr>
              <w:lang w:val="pl-PL"/>
            </w:rPr>
            <w:fldChar w:fldCharType="begin"/>
          </w:r>
          <w:r w:rsidRPr="0085159D">
            <w:rPr>
              <w:noProof/>
              <w:lang w:val="pl-PL"/>
            </w:rPr>
            <w:instrText xml:space="preserve"> CITATION Mendeley_SHwBrEC8sjGzBrTIhDSUxg \l 2057 \m Mendeley__HdaosyQSTOGVr___JVNESA </w:instrText>
          </w:r>
          <w:r w:rsidRPr="0085159D">
            <w:rPr>
              <w:lang w:val="pl-PL"/>
            </w:rPr>
            <w:fldChar w:fldCharType="separate"/>
          </w:r>
          <w:bookmarkStart w:id="35" w:name="Mendeley__HdaosyQSTOGVr___JVNESA_27"/>
          <w:bookmarkStart w:id="36" w:name="Mendeley__HdaosyQSTOGVr___JVNESA_28"/>
          <w:bookmarkStart w:id="37" w:name="Mendeley__HdaosyQSTOGVr___JVNESA_21"/>
          <w:r w:rsidRPr="0085159D">
            <w:rPr>
              <w:noProof/>
              <w:lang w:val="pl-PL"/>
            </w:rPr>
            <w:t>(</w:t>
          </w:r>
          <w:bookmarkStart w:id="38" w:name="Mendeley_SHwBrEC8sjGzBrTIhDSUxg_1"/>
          <w:r w:rsidRPr="0085159D">
            <w:rPr>
              <w:noProof/>
              <w:lang w:val="pl-PL"/>
            </w:rPr>
            <w:t>NBP, 2020</w:t>
          </w:r>
          <w:r w:rsidRPr="0085159D">
            <w:rPr>
              <w:noProof/>
              <w:vertAlign w:val="subscript"/>
              <w:lang w:val="pl-PL"/>
            </w:rPr>
            <w:t>[1]</w:t>
          </w:r>
          <w:r w:rsidRPr="0085159D">
            <w:rPr>
              <w:noProof/>
              <w:lang w:val="pl-PL"/>
            </w:rPr>
            <w:t xml:space="preserve">; </w:t>
          </w:r>
          <w:bookmarkEnd w:id="38"/>
          <w:r w:rsidRPr="0085159D">
            <w:rPr>
              <w:noProof/>
              <w:lang w:val="pl-PL"/>
            </w:rPr>
            <w:t>NBP, 2018</w:t>
          </w:r>
          <w:r w:rsidRPr="0085159D">
            <w:rPr>
              <w:noProof/>
              <w:vertAlign w:val="subscript"/>
              <w:lang w:val="pl-PL"/>
            </w:rPr>
            <w:t>[27]</w:t>
          </w:r>
          <w:r w:rsidRPr="0085159D">
            <w:rPr>
              <w:noProof/>
              <w:lang w:val="pl-PL"/>
            </w:rPr>
            <w:t>)</w:t>
          </w:r>
          <w:bookmarkEnd w:id="35"/>
          <w:bookmarkEnd w:id="36"/>
          <w:bookmarkEnd w:id="37"/>
          <w:r w:rsidRPr="0085159D">
            <w:rPr>
              <w:lang w:val="pl-PL"/>
            </w:rPr>
            <w:fldChar w:fldCharType="end"/>
          </w:r>
        </w:sdtContent>
      </w:sdt>
      <w:r w:rsidRPr="0085159D">
        <w:rPr>
          <w:lang w:val="pl-PL"/>
        </w:rPr>
        <w:t>.</w:t>
      </w:r>
    </w:p>
    <w:p w14:paraId="05CADCA9" w14:textId="77777777" w:rsidR="00282A62" w:rsidRPr="0085159D" w:rsidRDefault="00282A62" w:rsidP="000B051F">
      <w:pPr>
        <w:pStyle w:val="Para0"/>
        <w:rPr>
          <w:lang w:val="pl-PL"/>
        </w:rPr>
      </w:pPr>
      <w:r w:rsidRPr="0085159D">
        <w:rPr>
          <w:lang w:val="pl-PL"/>
        </w:rPr>
        <w:t>Kilka publicznych instytucji w Polsce</w:t>
      </w:r>
      <w:r w:rsidR="000E0FFF">
        <w:rPr>
          <w:lang w:val="pl-PL"/>
        </w:rPr>
        <w:t xml:space="preserve"> wśród swoich kompetencji ma działania polegające na udzielaniu </w:t>
      </w:r>
      <w:r w:rsidRPr="0085159D">
        <w:rPr>
          <w:lang w:val="pl-PL"/>
        </w:rPr>
        <w:t>konsumentom informacji w</w:t>
      </w:r>
      <w:r w:rsidR="00545FC9">
        <w:rPr>
          <w:lang w:val="pl-PL"/>
        </w:rPr>
        <w:t> </w:t>
      </w:r>
      <w:r w:rsidRPr="0085159D">
        <w:rPr>
          <w:lang w:val="pl-PL"/>
        </w:rPr>
        <w:t>zakresie usług finansowych, rynku finansowego i obowiązujących na nim praw konsumentów (zob. punkt 3.2.1 w</w:t>
      </w:r>
      <w:r w:rsidR="00BE1395" w:rsidRPr="0085159D">
        <w:rPr>
          <w:lang w:val="pl-PL"/>
        </w:rPr>
        <w:t>:</w:t>
      </w:r>
      <w:r w:rsidRPr="0085159D">
        <w:rPr>
          <w:lang w:val="pl-PL"/>
        </w:rPr>
        <w:t xml:space="preserve"> </w:t>
      </w:r>
      <w:sdt>
        <w:sdtPr>
          <w:rPr>
            <w:lang w:val="pl-PL"/>
          </w:rPr>
          <w:id w:val="148950557"/>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 xml:space="preserve">. Ponadto interesariusze z sektora publicznego, prywatnego i obszaru społeczeństwa obywatelskiego </w:t>
      </w:r>
      <w:r w:rsidR="00BE1395" w:rsidRPr="0085159D">
        <w:rPr>
          <w:lang w:val="pl-PL"/>
        </w:rPr>
        <w:t xml:space="preserve">realizują </w:t>
      </w:r>
      <w:r w:rsidRPr="0085159D">
        <w:rPr>
          <w:lang w:val="pl-PL"/>
        </w:rPr>
        <w:t xml:space="preserve">inicjatywy dotyczące tematów interesujących konsumentów finansowych za pośrednictwem różnych kanałów, takich jak kampanie </w:t>
      </w:r>
      <w:r w:rsidR="00BE1395" w:rsidRPr="0085159D">
        <w:rPr>
          <w:lang w:val="pl-PL"/>
        </w:rPr>
        <w:t>informacyjne</w:t>
      </w:r>
      <w:r w:rsidRPr="0085159D">
        <w:rPr>
          <w:lang w:val="pl-PL"/>
        </w:rPr>
        <w:t>, telewizja, media społecznościowe, platformy e-learningowe, materiały drukowane i</w:t>
      </w:r>
      <w:r w:rsidR="00F77250">
        <w:rPr>
          <w:lang w:val="pl-PL"/>
        </w:rPr>
        <w:t> </w:t>
      </w:r>
      <w:r w:rsidRPr="0085159D">
        <w:rPr>
          <w:lang w:val="pl-PL"/>
        </w:rPr>
        <w:t xml:space="preserve">dedykowane konsumenckie strony internetowe </w:t>
      </w:r>
      <w:sdt>
        <w:sdtPr>
          <w:rPr>
            <w:lang w:val="pl-PL"/>
          </w:rPr>
          <w:id w:val="963397512"/>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 xml:space="preserve">. Wielość źródeł może być dla konsumentów przytłaczająca, a </w:t>
      </w:r>
      <w:r w:rsidR="00BE1395" w:rsidRPr="0085159D">
        <w:rPr>
          <w:lang w:val="pl-PL"/>
        </w:rPr>
        <w:t>znalezienie rzetelnych źródeł – kłopotliwe</w:t>
      </w:r>
      <w:r w:rsidRPr="0085159D">
        <w:rPr>
          <w:lang w:val="pl-PL"/>
        </w:rPr>
        <w:t>. Ma to zwłaszcza miejsce w</w:t>
      </w:r>
      <w:r w:rsidR="00F77250">
        <w:rPr>
          <w:lang w:val="pl-PL"/>
        </w:rPr>
        <w:t> </w:t>
      </w:r>
      <w:r w:rsidRPr="0085159D">
        <w:rPr>
          <w:lang w:val="pl-PL"/>
        </w:rPr>
        <w:t xml:space="preserve">przypadku złożonych kwestii finansowych, takich jak inwestowanie. Polacy wręcz deklarują, że głównymi barierami w zainteresowaniu się inwestycjami są duża liczba źródeł internetowych i branżowy żargon </w:t>
      </w:r>
      <w:sdt>
        <w:sdtPr>
          <w:rPr>
            <w:lang w:val="pl-PL"/>
          </w:rPr>
          <w:id w:val="1347596148"/>
          <w:citation/>
        </w:sdtPr>
        <w:sdtEndPr/>
        <w:sdtContent>
          <w:r w:rsidRPr="0085159D">
            <w:rPr>
              <w:lang w:val="pl-PL"/>
            </w:rPr>
            <w:fldChar w:fldCharType="begin"/>
          </w:r>
          <w:r w:rsidRPr="0085159D">
            <w:rPr>
              <w:lang w:val="pl-PL"/>
            </w:rPr>
            <w:instrText xml:space="preserve">CITATION Mendeley_JBKOyUjppDOnBQsonJWvuQ \l 2057 </w:instrText>
          </w:r>
          <w:r w:rsidRPr="0085159D">
            <w:rPr>
              <w:lang w:val="pl-PL"/>
            </w:rPr>
            <w:fldChar w:fldCharType="separate"/>
          </w:r>
          <w:r w:rsidRPr="0085159D">
            <w:rPr>
              <w:noProof/>
              <w:lang w:val="pl-PL"/>
            </w:rPr>
            <w:t>(</w:t>
          </w:r>
          <w:bookmarkStart w:id="39" w:name="Mendeley_JBKOyUjppDOnBQsonJWvuQ_26"/>
          <w:r w:rsidRPr="0085159D">
            <w:rPr>
              <w:noProof/>
              <w:lang w:val="pl-PL"/>
            </w:rPr>
            <w:t>Izba Zarządzających Aktywami i</w:t>
          </w:r>
          <w:r w:rsidR="008A1B56">
            <w:rPr>
              <w:noProof/>
              <w:lang w:val="pl-PL"/>
            </w:rPr>
            <w:t> </w:t>
          </w:r>
          <w:r w:rsidRPr="0085159D">
            <w:rPr>
              <w:noProof/>
              <w:lang w:val="pl-PL"/>
            </w:rPr>
            <w:t>Funduszami, 2021</w:t>
          </w:r>
          <w:r w:rsidRPr="0085159D">
            <w:rPr>
              <w:noProof/>
              <w:vertAlign w:val="subscript"/>
              <w:lang w:val="pl-PL"/>
            </w:rPr>
            <w:t>[26]</w:t>
          </w:r>
          <w:r w:rsidRPr="0085159D">
            <w:rPr>
              <w:noProof/>
              <w:lang w:val="pl-PL"/>
            </w:rPr>
            <w:t>)</w:t>
          </w:r>
          <w:bookmarkEnd w:id="39"/>
          <w:r w:rsidRPr="0085159D">
            <w:rPr>
              <w:lang w:val="pl-PL"/>
            </w:rPr>
            <w:fldChar w:fldCharType="end"/>
          </w:r>
        </w:sdtContent>
      </w:sdt>
      <w:r w:rsidRPr="0085159D">
        <w:rPr>
          <w:lang w:val="pl-PL"/>
        </w:rPr>
        <w:t>.</w:t>
      </w:r>
    </w:p>
    <w:p w14:paraId="527FF08C" w14:textId="77777777" w:rsidR="00282A62" w:rsidRPr="0085159D" w:rsidRDefault="00BE1395" w:rsidP="000B051F">
      <w:pPr>
        <w:pStyle w:val="Para0"/>
        <w:rPr>
          <w:lang w:val="pl-PL"/>
        </w:rPr>
      </w:pPr>
      <w:r w:rsidRPr="0085159D">
        <w:rPr>
          <w:lang w:val="pl-PL"/>
        </w:rPr>
        <w:t xml:space="preserve">Dostarczenie </w:t>
      </w:r>
      <w:r w:rsidR="00282A62" w:rsidRPr="0085159D">
        <w:rPr>
          <w:lang w:val="pl-PL"/>
        </w:rPr>
        <w:t xml:space="preserve">informacji </w:t>
      </w:r>
      <w:r w:rsidRPr="0085159D">
        <w:rPr>
          <w:lang w:val="pl-PL"/>
        </w:rPr>
        <w:t xml:space="preserve">istotnych dla konsumentów </w:t>
      </w:r>
      <w:r w:rsidR="00282A62" w:rsidRPr="0085159D">
        <w:rPr>
          <w:lang w:val="pl-PL"/>
        </w:rPr>
        <w:t xml:space="preserve">ma zasadnicze znaczenie, zwłaszcza jeżeli dostarczane są we właściwym momencie. Konsumenci powinni </w:t>
      </w:r>
      <w:r w:rsidRPr="0085159D">
        <w:rPr>
          <w:lang w:val="pl-PL"/>
        </w:rPr>
        <w:t xml:space="preserve">mieć </w:t>
      </w:r>
      <w:r w:rsidR="00282A62" w:rsidRPr="0085159D">
        <w:rPr>
          <w:lang w:val="pl-PL"/>
        </w:rPr>
        <w:t xml:space="preserve">dostęp do informacji finansowych wysokiej jakości, które są łatwe do zlokalizowania i zrozumienia. Bycie dobrze poinformowanym i pewność siebie w kwestii zrozumienia informacji może umożliwiać konsumentom podejmowanie odpowiednich działań, zwracanie się </w:t>
      </w:r>
      <w:r w:rsidRPr="0085159D">
        <w:rPr>
          <w:lang w:val="pl-PL"/>
        </w:rPr>
        <w:t xml:space="preserve">z prośbą </w:t>
      </w:r>
      <w:r w:rsidR="00282A62" w:rsidRPr="0085159D">
        <w:rPr>
          <w:lang w:val="pl-PL"/>
        </w:rPr>
        <w:t>o wyjaśnienia lub pomoc.</w:t>
      </w:r>
    </w:p>
    <w:p w14:paraId="113C0AB2" w14:textId="77777777" w:rsidR="00282A62" w:rsidRPr="0085159D" w:rsidRDefault="00282A62" w:rsidP="000B051F">
      <w:pPr>
        <w:pStyle w:val="Nagwek3"/>
        <w:rPr>
          <w:lang w:val="pl-PL"/>
        </w:rPr>
      </w:pPr>
      <w:r w:rsidRPr="0085159D">
        <w:rPr>
          <w:bCs/>
          <w:iCs/>
          <w:lang w:val="pl-PL"/>
        </w:rPr>
        <w:t>Priorytety odpowiadające na pytanie</w:t>
      </w:r>
      <w:r w:rsidR="00BE1395" w:rsidRPr="0085159D">
        <w:rPr>
          <w:bCs/>
          <w:iCs/>
          <w:lang w:val="pl-PL"/>
        </w:rPr>
        <w:t>,</w:t>
      </w:r>
      <w:r w:rsidRPr="0085159D">
        <w:rPr>
          <w:bCs/>
          <w:iCs/>
          <w:lang w:val="pl-PL"/>
        </w:rPr>
        <w:t xml:space="preserve"> „jak Strategia osiągnie swoje cele</w:t>
      </w:r>
      <w:r w:rsidR="008668B4">
        <w:rPr>
          <w:bCs/>
          <w:iCs/>
          <w:lang w:val="pl-PL"/>
        </w:rPr>
        <w:t>”</w:t>
      </w:r>
    </w:p>
    <w:p w14:paraId="47730E5A" w14:textId="7C2D632C" w:rsidR="00282A62" w:rsidRPr="0085159D" w:rsidRDefault="00282A62" w:rsidP="000B051F">
      <w:pPr>
        <w:pStyle w:val="Para0"/>
        <w:rPr>
          <w:lang w:val="pl-PL"/>
        </w:rPr>
      </w:pPr>
      <w:bookmarkStart w:id="40" w:name="_Hlk126155356"/>
      <w:r w:rsidRPr="0085159D">
        <w:rPr>
          <w:lang w:val="pl-PL"/>
        </w:rPr>
        <w:t xml:space="preserve">Powodzenie realizacji </w:t>
      </w:r>
      <w:r w:rsidR="008668B4">
        <w:rPr>
          <w:lang w:val="pl-PL"/>
        </w:rPr>
        <w:t xml:space="preserve">ww. </w:t>
      </w:r>
      <w:r w:rsidRPr="0085159D">
        <w:rPr>
          <w:lang w:val="pl-PL"/>
        </w:rPr>
        <w:t>kluczowych priorytetów</w:t>
      </w:r>
      <w:bookmarkEnd w:id="40"/>
      <w:r w:rsidRPr="0085159D">
        <w:rPr>
          <w:lang w:val="pl-PL"/>
        </w:rPr>
        <w:t xml:space="preserve"> </w:t>
      </w:r>
      <w:r w:rsidR="008668B4">
        <w:rPr>
          <w:lang w:val="pl-PL"/>
        </w:rPr>
        <w:t>(</w:t>
      </w:r>
      <w:r w:rsidRPr="0085159D">
        <w:rPr>
          <w:lang w:val="pl-PL"/>
        </w:rPr>
        <w:t>1</w:t>
      </w:r>
      <w:r w:rsidR="00BE1395" w:rsidRPr="0085159D">
        <w:rPr>
          <w:lang w:val="pl-PL"/>
        </w:rPr>
        <w:t>–</w:t>
      </w:r>
      <w:r w:rsidRPr="0085159D">
        <w:rPr>
          <w:lang w:val="pl-PL"/>
        </w:rPr>
        <w:t>4</w:t>
      </w:r>
      <w:r w:rsidR="008668B4">
        <w:rPr>
          <w:lang w:val="pl-PL"/>
        </w:rPr>
        <w:t>)</w:t>
      </w:r>
      <w:r w:rsidRPr="0085159D">
        <w:rPr>
          <w:lang w:val="pl-PL"/>
        </w:rPr>
        <w:t xml:space="preserve"> zależeć będzie od jakości i zasięgu realizowanych w</w:t>
      </w:r>
      <w:r w:rsidR="00545FC9">
        <w:rPr>
          <w:lang w:val="pl-PL"/>
        </w:rPr>
        <w:t> </w:t>
      </w:r>
      <w:r w:rsidRPr="0085159D">
        <w:rPr>
          <w:lang w:val="pl-PL"/>
        </w:rPr>
        <w:t>Polsce programów edukacji finansowej oraz od zaangażowania społeczności interesariuszy w rozwój inicjatyw edukacji finansowej.</w:t>
      </w:r>
    </w:p>
    <w:p w14:paraId="23FA7BAC" w14:textId="77777777" w:rsidR="00282A62" w:rsidRPr="0085159D" w:rsidRDefault="00282A62" w:rsidP="000B051F">
      <w:pPr>
        <w:pStyle w:val="Para0"/>
        <w:rPr>
          <w:lang w:val="pl-PL"/>
        </w:rPr>
      </w:pPr>
      <w:r w:rsidRPr="0085159D">
        <w:rPr>
          <w:lang w:val="pl-PL"/>
        </w:rPr>
        <w:t xml:space="preserve">Oczekuje się, że w procesie </w:t>
      </w:r>
      <w:r w:rsidR="00BE1395" w:rsidRPr="0085159D">
        <w:rPr>
          <w:lang w:val="pl-PL"/>
        </w:rPr>
        <w:t xml:space="preserve">realizacji </w:t>
      </w:r>
      <w:r w:rsidRPr="0085159D">
        <w:rPr>
          <w:lang w:val="pl-PL"/>
        </w:rPr>
        <w:t xml:space="preserve">nowych </w:t>
      </w:r>
      <w:r w:rsidR="00BE1395" w:rsidRPr="0085159D">
        <w:rPr>
          <w:lang w:val="pl-PL"/>
        </w:rPr>
        <w:t xml:space="preserve">lub </w:t>
      </w:r>
      <w:r w:rsidRPr="0085159D">
        <w:rPr>
          <w:lang w:val="pl-PL"/>
        </w:rPr>
        <w:t xml:space="preserve">już istniejących programów edukacji finansowej aktywni na tym polu w Polsce interesariusze będą, </w:t>
      </w:r>
      <w:r w:rsidR="00BE1395" w:rsidRPr="0085159D">
        <w:rPr>
          <w:lang w:val="pl-PL"/>
        </w:rPr>
        <w:t xml:space="preserve">na ile </w:t>
      </w:r>
      <w:r w:rsidRPr="0085159D">
        <w:rPr>
          <w:lang w:val="pl-PL"/>
        </w:rPr>
        <w:t xml:space="preserve">to możliwe, stosować zalecenia Strategii i jej </w:t>
      </w:r>
      <w:r w:rsidR="00BE1395" w:rsidRPr="0085159D">
        <w:rPr>
          <w:lang w:val="pl-PL"/>
        </w:rPr>
        <w:t>plan</w:t>
      </w:r>
      <w:r w:rsidR="008668B4">
        <w:rPr>
          <w:lang w:val="pl-PL"/>
        </w:rPr>
        <w:t>y</w:t>
      </w:r>
      <w:r w:rsidR="00BE1395" w:rsidRPr="0085159D">
        <w:rPr>
          <w:lang w:val="pl-PL"/>
        </w:rPr>
        <w:t xml:space="preserve"> wdrażania</w:t>
      </w:r>
      <w:r w:rsidRPr="0085159D">
        <w:rPr>
          <w:lang w:val="pl-PL"/>
        </w:rPr>
        <w:t xml:space="preserve">. Szczególnie istotne zalecenia dotyczą zaangażowania interesariuszy w proces edukacji finansowej, jakości programów edukacji finansowej oraz ich monitorowania i </w:t>
      </w:r>
      <w:r w:rsidR="00D60305" w:rsidRPr="0085159D">
        <w:rPr>
          <w:lang w:val="pl-PL"/>
        </w:rPr>
        <w:t>ewaluacji</w:t>
      </w:r>
      <w:r w:rsidRPr="0085159D">
        <w:rPr>
          <w:lang w:val="pl-PL"/>
        </w:rPr>
        <w:t>.</w:t>
      </w:r>
    </w:p>
    <w:p w14:paraId="5B673B51" w14:textId="77777777" w:rsidR="00282A62" w:rsidRPr="0085159D" w:rsidRDefault="00282A62" w:rsidP="000B051F">
      <w:pPr>
        <w:pStyle w:val="Nagwek4"/>
        <w:rPr>
          <w:lang w:val="pl-PL"/>
        </w:rPr>
      </w:pPr>
      <w:r w:rsidRPr="0085159D">
        <w:rPr>
          <w:lang w:val="pl-PL"/>
        </w:rPr>
        <w:t xml:space="preserve">5. Zapewnienie, </w:t>
      </w:r>
      <w:r w:rsidR="00BE1395" w:rsidRPr="0085159D">
        <w:rPr>
          <w:lang w:val="pl-PL"/>
        </w:rPr>
        <w:t xml:space="preserve">aby </w:t>
      </w:r>
      <w:r w:rsidRPr="0085159D">
        <w:rPr>
          <w:lang w:val="pl-PL"/>
        </w:rPr>
        <w:t xml:space="preserve">programy edukacji finansowej </w:t>
      </w:r>
      <w:r w:rsidR="00BE1395" w:rsidRPr="0085159D">
        <w:rPr>
          <w:lang w:val="pl-PL"/>
        </w:rPr>
        <w:t xml:space="preserve">były </w:t>
      </w:r>
      <w:r w:rsidRPr="0085159D">
        <w:rPr>
          <w:lang w:val="pl-PL"/>
        </w:rPr>
        <w:t>skoncentrowane na konsumencie</w:t>
      </w:r>
    </w:p>
    <w:p w14:paraId="225B775B" w14:textId="77777777" w:rsidR="00282A62" w:rsidRPr="0085159D" w:rsidRDefault="00282A62" w:rsidP="000B051F">
      <w:pPr>
        <w:pStyle w:val="Para0"/>
        <w:rPr>
          <w:lang w:val="pl-PL"/>
        </w:rPr>
      </w:pPr>
      <w:r w:rsidRPr="0085159D">
        <w:rPr>
          <w:lang w:val="pl-PL"/>
        </w:rPr>
        <w:t xml:space="preserve">Badanie </w:t>
      </w:r>
      <w:r w:rsidR="00BE1395" w:rsidRPr="0085159D">
        <w:rPr>
          <w:lang w:val="pl-PL"/>
        </w:rPr>
        <w:t xml:space="preserve">z wykorzystaniem kwestionariusza inwentaryzacyjnego </w:t>
      </w:r>
      <w:r w:rsidRPr="0085159D">
        <w:rPr>
          <w:lang w:val="pl-PL"/>
        </w:rPr>
        <w:t xml:space="preserve">przeprowadzone </w:t>
      </w:r>
      <w:r w:rsidR="00BE1395" w:rsidRPr="0085159D">
        <w:rPr>
          <w:lang w:val="pl-PL"/>
        </w:rPr>
        <w:t xml:space="preserve">od </w:t>
      </w:r>
      <w:r w:rsidRPr="0085159D">
        <w:rPr>
          <w:lang w:val="pl-PL"/>
        </w:rPr>
        <w:t>grud</w:t>
      </w:r>
      <w:r w:rsidR="00BE1395" w:rsidRPr="0085159D">
        <w:rPr>
          <w:lang w:val="pl-PL"/>
        </w:rPr>
        <w:t>nia</w:t>
      </w:r>
      <w:r w:rsidRPr="0085159D">
        <w:rPr>
          <w:lang w:val="pl-PL"/>
        </w:rPr>
        <w:t xml:space="preserve"> 2021</w:t>
      </w:r>
      <w:r w:rsidR="006D688D">
        <w:rPr>
          <w:lang w:val="pl-PL"/>
        </w:rPr>
        <w:t> </w:t>
      </w:r>
      <w:r w:rsidR="00BE1395" w:rsidRPr="0085159D">
        <w:rPr>
          <w:lang w:val="pl-PL"/>
        </w:rPr>
        <w:t xml:space="preserve">r. do </w:t>
      </w:r>
      <w:r w:rsidRPr="0085159D">
        <w:rPr>
          <w:lang w:val="pl-PL"/>
        </w:rPr>
        <w:t>stycz</w:t>
      </w:r>
      <w:r w:rsidR="00BE1395" w:rsidRPr="0085159D">
        <w:rPr>
          <w:lang w:val="pl-PL"/>
        </w:rPr>
        <w:t>nia</w:t>
      </w:r>
      <w:r w:rsidRPr="0085159D">
        <w:rPr>
          <w:lang w:val="pl-PL"/>
        </w:rPr>
        <w:t xml:space="preserve"> 2022</w:t>
      </w:r>
      <w:r w:rsidR="006D688D">
        <w:rPr>
          <w:lang w:val="pl-PL"/>
        </w:rPr>
        <w:t> </w:t>
      </w:r>
      <w:r w:rsidR="00BE1395" w:rsidRPr="0085159D">
        <w:rPr>
          <w:lang w:val="pl-PL"/>
        </w:rPr>
        <w:t xml:space="preserve">r. </w:t>
      </w:r>
      <w:r w:rsidRPr="0085159D">
        <w:rPr>
          <w:lang w:val="pl-PL"/>
        </w:rPr>
        <w:t xml:space="preserve">wykazało, że w Polsce istnieje już znacząca oferta programów edukacji finansowej </w:t>
      </w:r>
      <w:sdt>
        <w:sdtPr>
          <w:rPr>
            <w:lang w:val="pl-PL"/>
          </w:rPr>
          <w:id w:val="1191640628"/>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 xml:space="preserve">. Wydaje się jednak, że niekoniecznie odpowiada </w:t>
      </w:r>
      <w:r w:rsidR="006D688D">
        <w:rPr>
          <w:lang w:val="pl-PL"/>
        </w:rPr>
        <w:t xml:space="preserve">ona </w:t>
      </w:r>
      <w:r w:rsidRPr="0085159D">
        <w:rPr>
          <w:lang w:val="pl-PL"/>
        </w:rPr>
        <w:t>potrzebom Polaków w zakresie edukacji finansowej i ich nie zaspokaja. Zamiast skupiać się na rzeczywistych potrzebach konsumentów niektóre podmioty koncentrują się raczej na tematach związanych z ich obszarami specjalizacji lub działania.</w:t>
      </w:r>
    </w:p>
    <w:p w14:paraId="29FEAB3D" w14:textId="77777777" w:rsidR="00282A62" w:rsidRPr="0085159D" w:rsidRDefault="00282A62" w:rsidP="000B051F">
      <w:pPr>
        <w:pStyle w:val="Para0"/>
        <w:rPr>
          <w:lang w:val="pl-PL"/>
        </w:rPr>
      </w:pPr>
      <w:r w:rsidRPr="0085159D">
        <w:rPr>
          <w:lang w:val="pl-PL"/>
        </w:rPr>
        <w:t xml:space="preserve">Programy edukacji finansowej wprowadzane w ramach niniejszej Strategii, obok dostarczania informacji lub podnoszenia świadomości w konkretnych kwestiach, powinny koncentrować się na wspieraniu konsumentów w osiąganiu trwałej zmiany nawyków. Skoncentrowane na konsumentach programy edukacji finansowej </w:t>
      </w:r>
      <w:r w:rsidR="00BE1395" w:rsidRPr="0085159D">
        <w:rPr>
          <w:lang w:val="pl-PL"/>
        </w:rPr>
        <w:t xml:space="preserve">uwzględniają </w:t>
      </w:r>
      <w:r w:rsidRPr="0085159D">
        <w:rPr>
          <w:lang w:val="pl-PL"/>
        </w:rPr>
        <w:t>dane dotyczące indywidualnych zachowań i dostarczają odpowiednich rozwiązań dla poszczególnych osób, tak by dokonywa</w:t>
      </w:r>
      <w:r w:rsidR="00BE1395" w:rsidRPr="0085159D">
        <w:rPr>
          <w:lang w:val="pl-PL"/>
        </w:rPr>
        <w:t>li oni lepszych wyborów</w:t>
      </w:r>
      <w:r w:rsidRPr="0085159D">
        <w:rPr>
          <w:lang w:val="pl-PL"/>
        </w:rPr>
        <w:t xml:space="preserve">. </w:t>
      </w:r>
      <w:r w:rsidR="00BE1395" w:rsidRPr="0085159D">
        <w:rPr>
          <w:lang w:val="pl-PL"/>
        </w:rPr>
        <w:t xml:space="preserve">Z zebranych </w:t>
      </w:r>
      <w:r w:rsidRPr="0085159D">
        <w:rPr>
          <w:lang w:val="pl-PL"/>
        </w:rPr>
        <w:t>dan</w:t>
      </w:r>
      <w:r w:rsidR="00BE1395" w:rsidRPr="0085159D">
        <w:rPr>
          <w:lang w:val="pl-PL"/>
        </w:rPr>
        <w:t>ych wynika</w:t>
      </w:r>
      <w:r w:rsidRPr="0085159D">
        <w:rPr>
          <w:lang w:val="pl-PL"/>
        </w:rPr>
        <w:t xml:space="preserve">, że </w:t>
      </w:r>
      <w:r w:rsidR="004058EF" w:rsidRPr="0085159D">
        <w:rPr>
          <w:lang w:val="pl-PL"/>
        </w:rPr>
        <w:t>programy dostosowane do potrzeb</w:t>
      </w:r>
      <w:r w:rsidR="004058EF" w:rsidRPr="0085159D" w:rsidDel="004058EF">
        <w:rPr>
          <w:lang w:val="pl-PL"/>
        </w:rPr>
        <w:t xml:space="preserve"> </w:t>
      </w:r>
      <w:r w:rsidRPr="0085159D">
        <w:rPr>
          <w:lang w:val="pl-PL"/>
        </w:rPr>
        <w:t xml:space="preserve">konsumentów </w:t>
      </w:r>
      <w:r w:rsidR="006D688D" w:rsidRPr="0085159D">
        <w:rPr>
          <w:lang w:val="pl-PL"/>
        </w:rPr>
        <w:t xml:space="preserve">zachęcają </w:t>
      </w:r>
      <w:r w:rsidR="006D688D">
        <w:rPr>
          <w:lang w:val="pl-PL"/>
        </w:rPr>
        <w:t xml:space="preserve">ich </w:t>
      </w:r>
      <w:r w:rsidRPr="0085159D">
        <w:rPr>
          <w:lang w:val="pl-PL"/>
        </w:rPr>
        <w:t>do większego zaangażowania i wywierają na nich większy wpływ</w:t>
      </w:r>
      <w:r w:rsidR="00BE1395" w:rsidRPr="0085159D">
        <w:rPr>
          <w:lang w:val="pl-PL"/>
        </w:rPr>
        <w:t>.</w:t>
      </w:r>
      <w:r w:rsidRPr="0085159D">
        <w:rPr>
          <w:lang w:val="pl-PL"/>
        </w:rPr>
        <w:t xml:space="preserve"> </w:t>
      </w:r>
      <w:r w:rsidR="00BE1395" w:rsidRPr="0085159D">
        <w:rPr>
          <w:lang w:val="pl-PL"/>
        </w:rPr>
        <w:t>E</w:t>
      </w:r>
      <w:r w:rsidRPr="0085159D">
        <w:rPr>
          <w:lang w:val="pl-PL"/>
        </w:rPr>
        <w:t>dukacja finansowa jest skuteczniejsza, gdy programy edukacyjne odpowiadają na indywidualne potrzeby i zachowania. Istnieje również potrzeba w zakresie dostosowania kanałów dostarczania treści programów edukacji finansowej do potrzeb konsumentów.</w:t>
      </w:r>
    </w:p>
    <w:p w14:paraId="29FBFA16" w14:textId="77777777" w:rsidR="00282A62" w:rsidRPr="0085159D" w:rsidRDefault="00282A62" w:rsidP="000B051F">
      <w:pPr>
        <w:pStyle w:val="Nagwek4"/>
        <w:rPr>
          <w:lang w:val="pl-PL"/>
        </w:rPr>
      </w:pPr>
      <w:r w:rsidRPr="0085159D">
        <w:rPr>
          <w:lang w:val="pl-PL"/>
        </w:rPr>
        <w:lastRenderedPageBreak/>
        <w:t xml:space="preserve">6. Zapewnienie, </w:t>
      </w:r>
      <w:r w:rsidR="00BE1395" w:rsidRPr="0085159D">
        <w:rPr>
          <w:lang w:val="pl-PL"/>
        </w:rPr>
        <w:t xml:space="preserve">aby </w:t>
      </w:r>
      <w:r w:rsidRPr="0085159D">
        <w:rPr>
          <w:lang w:val="pl-PL"/>
        </w:rPr>
        <w:t xml:space="preserve">programy edukacji finansowej </w:t>
      </w:r>
      <w:r w:rsidR="00BE1395" w:rsidRPr="0085159D">
        <w:rPr>
          <w:lang w:val="pl-PL"/>
        </w:rPr>
        <w:t xml:space="preserve">były </w:t>
      </w:r>
      <w:r w:rsidRPr="0085159D">
        <w:rPr>
          <w:lang w:val="pl-PL"/>
        </w:rPr>
        <w:t xml:space="preserve">oparte na </w:t>
      </w:r>
      <w:r w:rsidR="00BE1395" w:rsidRPr="0085159D">
        <w:rPr>
          <w:lang w:val="pl-PL"/>
        </w:rPr>
        <w:t>dowodach</w:t>
      </w:r>
      <w:r w:rsidRPr="0085159D">
        <w:rPr>
          <w:lang w:val="pl-PL"/>
        </w:rPr>
        <w:t>, w tym wynikach monitor</w:t>
      </w:r>
      <w:r w:rsidR="00D860F3">
        <w:rPr>
          <w:lang w:val="pl-PL"/>
        </w:rPr>
        <w:t>ingu</w:t>
      </w:r>
      <w:r w:rsidRPr="0085159D">
        <w:rPr>
          <w:lang w:val="pl-PL"/>
        </w:rPr>
        <w:t xml:space="preserve"> i </w:t>
      </w:r>
      <w:r w:rsidR="00BE1395" w:rsidRPr="0085159D">
        <w:rPr>
          <w:lang w:val="pl-PL"/>
        </w:rPr>
        <w:t>ewaluacji</w:t>
      </w:r>
    </w:p>
    <w:p w14:paraId="42B5D6F0" w14:textId="77777777" w:rsidR="00282A62" w:rsidRPr="0085159D" w:rsidRDefault="00BE1395" w:rsidP="000B051F">
      <w:pPr>
        <w:pStyle w:val="Para0"/>
        <w:rPr>
          <w:lang w:val="pl-PL"/>
        </w:rPr>
      </w:pPr>
      <w:r w:rsidRPr="0085159D">
        <w:rPr>
          <w:lang w:val="pl-PL"/>
        </w:rPr>
        <w:t>Ważne jest z</w:t>
      </w:r>
      <w:r w:rsidR="00282A62" w:rsidRPr="0085159D">
        <w:rPr>
          <w:lang w:val="pl-PL"/>
        </w:rPr>
        <w:t xml:space="preserve">apewnienie, </w:t>
      </w:r>
      <w:r w:rsidRPr="0085159D">
        <w:rPr>
          <w:lang w:val="pl-PL"/>
        </w:rPr>
        <w:t xml:space="preserve">aby </w:t>
      </w:r>
      <w:r w:rsidR="00282A62" w:rsidRPr="0085159D">
        <w:rPr>
          <w:lang w:val="pl-PL"/>
        </w:rPr>
        <w:t>programy edukacji finansowej opiera</w:t>
      </w:r>
      <w:r w:rsidRPr="0085159D">
        <w:rPr>
          <w:lang w:val="pl-PL"/>
        </w:rPr>
        <w:t>ły</w:t>
      </w:r>
      <w:r w:rsidR="00282A62" w:rsidRPr="0085159D">
        <w:rPr>
          <w:lang w:val="pl-PL"/>
        </w:rPr>
        <w:t xml:space="preserve"> się na </w:t>
      </w:r>
      <w:r w:rsidRPr="0085159D">
        <w:rPr>
          <w:lang w:val="pl-PL"/>
        </w:rPr>
        <w:t>dowodach</w:t>
      </w:r>
      <w:r w:rsidR="00282A62" w:rsidRPr="0085159D">
        <w:rPr>
          <w:lang w:val="pl-PL"/>
        </w:rPr>
        <w:t xml:space="preserve">. Programy oparte na </w:t>
      </w:r>
      <w:r w:rsidR="00FD66EC" w:rsidRPr="0085159D">
        <w:rPr>
          <w:lang w:val="pl-PL"/>
        </w:rPr>
        <w:t xml:space="preserve">wiarygodnych danych </w:t>
      </w:r>
      <w:r w:rsidR="00282A62" w:rsidRPr="0085159D">
        <w:rPr>
          <w:lang w:val="pl-PL"/>
        </w:rPr>
        <w:t>uwzględniają czynniki kształtujące finansowe nawyki, postawy i</w:t>
      </w:r>
      <w:r w:rsidR="00545FC9">
        <w:rPr>
          <w:lang w:val="pl-PL"/>
        </w:rPr>
        <w:t> </w:t>
      </w:r>
      <w:r w:rsidR="00282A62" w:rsidRPr="0085159D">
        <w:rPr>
          <w:lang w:val="pl-PL"/>
        </w:rPr>
        <w:t>zachowania Polaków. Stawiają sobie za cel zrozumienie, dlaczego ludzie zachowują się w określony sposób</w:t>
      </w:r>
      <w:r w:rsidRPr="0085159D">
        <w:rPr>
          <w:lang w:val="pl-PL"/>
        </w:rPr>
        <w:t>,</w:t>
      </w:r>
      <w:r w:rsidR="00282A62" w:rsidRPr="0085159D">
        <w:rPr>
          <w:lang w:val="pl-PL"/>
        </w:rPr>
        <w:t xml:space="preserve"> </w:t>
      </w:r>
      <w:r w:rsidR="007E03FA">
        <w:rPr>
          <w:lang w:val="pl-PL"/>
        </w:rPr>
        <w:t>a także</w:t>
      </w:r>
      <w:r w:rsidR="00282A62" w:rsidRPr="0085159D">
        <w:rPr>
          <w:lang w:val="pl-PL"/>
        </w:rPr>
        <w:t xml:space="preserve"> dostarcz</w:t>
      </w:r>
      <w:r w:rsidR="00193F4B" w:rsidRPr="0085159D">
        <w:rPr>
          <w:lang w:val="pl-PL"/>
        </w:rPr>
        <w:t>enie</w:t>
      </w:r>
      <w:r w:rsidR="00282A62" w:rsidRPr="0085159D">
        <w:rPr>
          <w:lang w:val="pl-PL"/>
        </w:rPr>
        <w:t xml:space="preserve"> </w:t>
      </w:r>
      <w:r w:rsidR="004058EF" w:rsidRPr="0085159D">
        <w:rPr>
          <w:lang w:val="pl-PL"/>
        </w:rPr>
        <w:t>wskazówek</w:t>
      </w:r>
      <w:r w:rsidR="00282A62" w:rsidRPr="0085159D">
        <w:rPr>
          <w:lang w:val="pl-PL"/>
        </w:rPr>
        <w:t xml:space="preserve">, w jaki sposób ludzie mogą osiągnąć </w:t>
      </w:r>
      <w:r w:rsidRPr="0085159D">
        <w:rPr>
          <w:lang w:val="pl-PL"/>
        </w:rPr>
        <w:t xml:space="preserve">dobrostan </w:t>
      </w:r>
      <w:r w:rsidR="00282A62" w:rsidRPr="0085159D">
        <w:rPr>
          <w:lang w:val="pl-PL"/>
        </w:rPr>
        <w:t>finansowy poprzez edukację finansową.</w:t>
      </w:r>
    </w:p>
    <w:p w14:paraId="550390D3" w14:textId="77777777" w:rsidR="00282A62" w:rsidRPr="0085159D" w:rsidRDefault="00282A62" w:rsidP="000B051F">
      <w:pPr>
        <w:pStyle w:val="Para0"/>
        <w:rPr>
          <w:lang w:val="pl-PL"/>
        </w:rPr>
      </w:pPr>
      <w:r w:rsidRPr="0085159D">
        <w:rPr>
          <w:lang w:val="pl-PL"/>
        </w:rPr>
        <w:t xml:space="preserve">W procesie opracowywania i dostosowywania programów edukacji finansowej do potrzeb grup docelowych, </w:t>
      </w:r>
      <w:r w:rsidR="00835D01" w:rsidRPr="0085159D">
        <w:rPr>
          <w:lang w:val="pl-PL"/>
        </w:rPr>
        <w:t xml:space="preserve">zachęca się </w:t>
      </w:r>
      <w:r w:rsidR="00BE1395" w:rsidRPr="0085159D">
        <w:rPr>
          <w:lang w:val="pl-PL"/>
        </w:rPr>
        <w:t>i</w:t>
      </w:r>
      <w:r w:rsidRPr="0085159D">
        <w:rPr>
          <w:lang w:val="pl-PL"/>
        </w:rPr>
        <w:t xml:space="preserve">nteresariuszy edukacji finansowej do wykorzystywania danych dotyczących </w:t>
      </w:r>
      <w:r w:rsidR="00835D01" w:rsidRPr="0085159D">
        <w:rPr>
          <w:lang w:val="pl-PL"/>
        </w:rPr>
        <w:t xml:space="preserve">kompetencji </w:t>
      </w:r>
      <w:r w:rsidRPr="0085159D">
        <w:rPr>
          <w:lang w:val="pl-PL"/>
        </w:rPr>
        <w:t xml:space="preserve">finansowych, wyników badań ilościowych i jakościowych, a także obserwacji behawioralnych. Podmioty oferujące edukację finansową w Polsce posiadają bogate zbiory danych o kompetencjach finansowych </w:t>
      </w:r>
      <w:r w:rsidR="00BE1395" w:rsidRPr="0085159D">
        <w:rPr>
          <w:lang w:val="pl-PL"/>
        </w:rPr>
        <w:t xml:space="preserve">osób </w:t>
      </w:r>
      <w:r w:rsidRPr="0085159D">
        <w:rPr>
          <w:lang w:val="pl-PL"/>
        </w:rPr>
        <w:t xml:space="preserve">dorosłych </w:t>
      </w:r>
      <w:r w:rsidR="00BE1395" w:rsidRPr="0085159D">
        <w:rPr>
          <w:lang w:val="pl-PL"/>
        </w:rPr>
        <w:t>i młodzieży</w:t>
      </w:r>
      <w:r w:rsidRPr="0085159D">
        <w:rPr>
          <w:lang w:val="pl-PL"/>
        </w:rPr>
        <w:t xml:space="preserve">, które mogą być wykorzystywane przy tworzeniu odpowiednio dostosowanych programów edukacji finansowej. Dzięki </w:t>
      </w:r>
      <w:r w:rsidR="00BE1395" w:rsidRPr="0085159D">
        <w:rPr>
          <w:lang w:val="pl-PL"/>
        </w:rPr>
        <w:t xml:space="preserve">realizacji </w:t>
      </w:r>
      <w:r w:rsidRPr="0085159D">
        <w:rPr>
          <w:lang w:val="pl-PL"/>
        </w:rPr>
        <w:t xml:space="preserve">KSEF powstaną wysokiej jakości badania i dane o strategicznym znaczeniu, które będą regularnie aktualizowane i udostępniane wszystkim interesariuszom. </w:t>
      </w:r>
      <w:r w:rsidR="009814DC">
        <w:rPr>
          <w:lang w:val="pl-PL"/>
        </w:rPr>
        <w:t xml:space="preserve">Działania </w:t>
      </w:r>
      <w:r w:rsidR="007E03FA">
        <w:rPr>
          <w:lang w:val="pl-PL"/>
        </w:rPr>
        <w:t xml:space="preserve">realizowane </w:t>
      </w:r>
      <w:r w:rsidR="009814DC">
        <w:rPr>
          <w:lang w:val="pl-PL"/>
        </w:rPr>
        <w:t>w</w:t>
      </w:r>
      <w:r w:rsidR="007E03FA">
        <w:rPr>
          <w:lang w:val="pl-PL"/>
        </w:rPr>
        <w:t xml:space="preserve"> ramach</w:t>
      </w:r>
      <w:r w:rsidR="009814DC">
        <w:rPr>
          <w:lang w:val="pl-PL"/>
        </w:rPr>
        <w:t xml:space="preserve"> </w:t>
      </w:r>
      <w:r w:rsidRPr="0085159D">
        <w:rPr>
          <w:lang w:val="pl-PL"/>
        </w:rPr>
        <w:t>KSEF skupi</w:t>
      </w:r>
      <w:r w:rsidR="009814DC">
        <w:rPr>
          <w:lang w:val="pl-PL"/>
        </w:rPr>
        <w:t>ą</w:t>
      </w:r>
      <w:r w:rsidRPr="0085159D">
        <w:rPr>
          <w:lang w:val="pl-PL"/>
        </w:rPr>
        <w:t xml:space="preserve"> się na zacieśnianiu współpracy ze </w:t>
      </w:r>
      <w:r w:rsidR="00BE1395" w:rsidRPr="0085159D">
        <w:rPr>
          <w:lang w:val="pl-PL"/>
        </w:rPr>
        <w:t>środowiskiem akademickim</w:t>
      </w:r>
      <w:r w:rsidRPr="0085159D">
        <w:rPr>
          <w:lang w:val="pl-PL"/>
        </w:rPr>
        <w:t xml:space="preserve">, tak aby </w:t>
      </w:r>
      <w:r w:rsidR="00BE1395" w:rsidRPr="0085159D">
        <w:rPr>
          <w:lang w:val="pl-PL"/>
        </w:rPr>
        <w:t>mogł</w:t>
      </w:r>
      <w:r w:rsidR="007E03FA">
        <w:rPr>
          <w:lang w:val="pl-PL"/>
        </w:rPr>
        <w:t xml:space="preserve">a </w:t>
      </w:r>
      <w:r w:rsidR="00BE1395" w:rsidRPr="0085159D">
        <w:rPr>
          <w:lang w:val="pl-PL"/>
        </w:rPr>
        <w:t>o</w:t>
      </w:r>
      <w:r w:rsidR="007E03FA">
        <w:rPr>
          <w:lang w:val="pl-PL"/>
        </w:rPr>
        <w:t>na</w:t>
      </w:r>
      <w:r w:rsidR="00BE1395" w:rsidRPr="0085159D">
        <w:rPr>
          <w:lang w:val="pl-PL"/>
        </w:rPr>
        <w:t xml:space="preserve"> </w:t>
      </w:r>
      <w:r w:rsidRPr="0085159D">
        <w:rPr>
          <w:lang w:val="pl-PL"/>
        </w:rPr>
        <w:t xml:space="preserve">przyczynić się do gromadzenia danych wspierających zrozumienie potrzeb konsumentów, a tym samym </w:t>
      </w:r>
      <w:r w:rsidR="00BE1395" w:rsidRPr="0085159D">
        <w:rPr>
          <w:lang w:val="pl-PL"/>
        </w:rPr>
        <w:t xml:space="preserve">– </w:t>
      </w:r>
      <w:r w:rsidRPr="0085159D">
        <w:rPr>
          <w:lang w:val="pl-PL"/>
        </w:rPr>
        <w:t xml:space="preserve">wspomóc opracowanie </w:t>
      </w:r>
      <w:r w:rsidR="00BE1395" w:rsidRPr="0085159D">
        <w:rPr>
          <w:lang w:val="pl-PL"/>
        </w:rPr>
        <w:t xml:space="preserve">lepiej </w:t>
      </w:r>
      <w:r w:rsidRPr="0085159D">
        <w:rPr>
          <w:lang w:val="pl-PL"/>
        </w:rPr>
        <w:t>dostosowanych i</w:t>
      </w:r>
      <w:r w:rsidR="009C1452">
        <w:rPr>
          <w:lang w:val="pl-PL"/>
        </w:rPr>
        <w:t> </w:t>
      </w:r>
      <w:r w:rsidRPr="0085159D">
        <w:rPr>
          <w:lang w:val="pl-PL"/>
        </w:rPr>
        <w:t xml:space="preserve">skutecznych inicjatyw w zakresie edukacji finansowej. Ten priorytet </w:t>
      </w:r>
      <w:r w:rsidR="00BE1395" w:rsidRPr="0085159D">
        <w:rPr>
          <w:lang w:val="pl-PL"/>
        </w:rPr>
        <w:t xml:space="preserve">wpisuje się </w:t>
      </w:r>
      <w:r w:rsidR="00835D01" w:rsidRPr="0085159D">
        <w:rPr>
          <w:lang w:val="pl-PL"/>
        </w:rPr>
        <w:t xml:space="preserve">też </w:t>
      </w:r>
      <w:r w:rsidR="00BE1395" w:rsidRPr="0085159D">
        <w:rPr>
          <w:lang w:val="pl-PL"/>
        </w:rPr>
        <w:t>w p</w:t>
      </w:r>
      <w:r w:rsidRPr="0085159D">
        <w:rPr>
          <w:lang w:val="pl-PL"/>
        </w:rPr>
        <w:t>riorytet 5.</w:t>
      </w:r>
    </w:p>
    <w:p w14:paraId="04D7CE1D" w14:textId="77777777" w:rsidR="00282A62" w:rsidRPr="0085159D" w:rsidRDefault="00282A62" w:rsidP="000B051F">
      <w:pPr>
        <w:pStyle w:val="Para0"/>
        <w:rPr>
          <w:lang w:val="pl-PL"/>
        </w:rPr>
      </w:pPr>
      <w:r w:rsidRPr="0085159D">
        <w:rPr>
          <w:lang w:val="pl-PL"/>
        </w:rPr>
        <w:t>Kluczowe dane wspomagające rozw</w:t>
      </w:r>
      <w:r w:rsidR="00BE1395" w:rsidRPr="0085159D">
        <w:rPr>
          <w:lang w:val="pl-PL"/>
        </w:rPr>
        <w:t>ój</w:t>
      </w:r>
      <w:r w:rsidRPr="0085159D">
        <w:rPr>
          <w:lang w:val="pl-PL"/>
        </w:rPr>
        <w:t xml:space="preserve"> i realizacj</w:t>
      </w:r>
      <w:r w:rsidR="00BE1395" w:rsidRPr="0085159D">
        <w:rPr>
          <w:lang w:val="pl-PL"/>
        </w:rPr>
        <w:t>ę</w:t>
      </w:r>
      <w:r w:rsidRPr="0085159D">
        <w:rPr>
          <w:lang w:val="pl-PL"/>
        </w:rPr>
        <w:t xml:space="preserve"> edukacji finansowej mogą również pochodzić z wyników regularnego procesu monitorowania i </w:t>
      </w:r>
      <w:r w:rsidR="00D60305" w:rsidRPr="0085159D">
        <w:rPr>
          <w:lang w:val="pl-PL"/>
        </w:rPr>
        <w:t>ewaluacji</w:t>
      </w:r>
      <w:r w:rsidRPr="0085159D">
        <w:rPr>
          <w:lang w:val="pl-PL"/>
        </w:rPr>
        <w:t>. Mogą pomóc w zrozumieniu, które inicjatywy edukacji finansowej wspierają konsumentów oraz które programy i strategie są skuteczne w</w:t>
      </w:r>
      <w:r w:rsidR="00545FC9">
        <w:rPr>
          <w:lang w:val="pl-PL"/>
        </w:rPr>
        <w:t> </w:t>
      </w:r>
      <w:r w:rsidRPr="0085159D">
        <w:rPr>
          <w:lang w:val="pl-PL"/>
        </w:rPr>
        <w:t>promowaniu zmian w</w:t>
      </w:r>
      <w:r w:rsidR="009C1452">
        <w:rPr>
          <w:lang w:val="pl-PL"/>
        </w:rPr>
        <w:t> </w:t>
      </w:r>
      <w:r w:rsidRPr="0085159D">
        <w:rPr>
          <w:lang w:val="pl-PL"/>
        </w:rPr>
        <w:t>ich nawykach. W Polsce monitor</w:t>
      </w:r>
      <w:r w:rsidR="004058EF" w:rsidRPr="0085159D">
        <w:rPr>
          <w:lang w:val="pl-PL"/>
        </w:rPr>
        <w:t>ing</w:t>
      </w:r>
      <w:r w:rsidRPr="0085159D">
        <w:rPr>
          <w:lang w:val="pl-PL"/>
        </w:rPr>
        <w:t xml:space="preserve"> i ewaluacja programów edukacji finansowej ma</w:t>
      </w:r>
      <w:r w:rsidR="004058EF" w:rsidRPr="0085159D">
        <w:rPr>
          <w:lang w:val="pl-PL"/>
        </w:rPr>
        <w:t>ją</w:t>
      </w:r>
      <w:r w:rsidRPr="0085159D">
        <w:rPr>
          <w:lang w:val="pl-PL"/>
        </w:rPr>
        <w:t xml:space="preserve"> stosunkowo ograniczony</w:t>
      </w:r>
      <w:r w:rsidR="009C1452">
        <w:rPr>
          <w:lang w:val="pl-PL"/>
        </w:rPr>
        <w:t xml:space="preserve"> zakres</w:t>
      </w:r>
      <w:r w:rsidRPr="0085159D">
        <w:rPr>
          <w:lang w:val="pl-PL"/>
        </w:rPr>
        <w:t xml:space="preserve">. KSEF będzie dążyć do rozwiązania tego problemu poprzez opracowanie szczegółowych wytycznych i zapewnienie wsparcia w zakresie </w:t>
      </w:r>
      <w:r w:rsidR="00BE1395" w:rsidRPr="0085159D">
        <w:rPr>
          <w:lang w:val="pl-PL"/>
        </w:rPr>
        <w:t xml:space="preserve">ewaluacji </w:t>
      </w:r>
      <w:r w:rsidRPr="0085159D">
        <w:rPr>
          <w:lang w:val="pl-PL"/>
        </w:rPr>
        <w:t xml:space="preserve">programów strategicznych (zob. działania w </w:t>
      </w:r>
      <w:r w:rsidR="009C1452">
        <w:rPr>
          <w:lang w:val="pl-PL"/>
        </w:rPr>
        <w:t xml:space="preserve">pierwszym </w:t>
      </w:r>
      <w:r w:rsidR="00BE1395" w:rsidRPr="0085159D">
        <w:rPr>
          <w:lang w:val="pl-PL"/>
        </w:rPr>
        <w:t>planie wdrażania</w:t>
      </w:r>
      <w:r w:rsidRPr="0085159D">
        <w:rPr>
          <w:lang w:val="pl-PL"/>
        </w:rPr>
        <w:t xml:space="preserve"> oraz w punkcie poświęconym </w:t>
      </w:r>
      <w:r w:rsidR="00D860F3" w:rsidRPr="0085159D">
        <w:rPr>
          <w:lang w:val="pl-PL"/>
        </w:rPr>
        <w:t>monitori</w:t>
      </w:r>
      <w:r w:rsidR="00D860F3">
        <w:rPr>
          <w:lang w:val="pl-PL"/>
        </w:rPr>
        <w:t>ngowi</w:t>
      </w:r>
      <w:r w:rsidRPr="0085159D">
        <w:rPr>
          <w:lang w:val="pl-PL"/>
        </w:rPr>
        <w:t xml:space="preserve"> i</w:t>
      </w:r>
      <w:r w:rsidR="00545FC9">
        <w:rPr>
          <w:lang w:val="pl-PL"/>
        </w:rPr>
        <w:t> </w:t>
      </w:r>
      <w:r w:rsidR="00BE1395" w:rsidRPr="0085159D">
        <w:rPr>
          <w:lang w:val="pl-PL"/>
        </w:rPr>
        <w:t>ewaluacji</w:t>
      </w:r>
      <w:r w:rsidRPr="0085159D">
        <w:rPr>
          <w:lang w:val="pl-PL"/>
        </w:rPr>
        <w:t>).</w:t>
      </w:r>
    </w:p>
    <w:p w14:paraId="660AF1BE" w14:textId="77777777" w:rsidR="00282A62" w:rsidRPr="0085159D" w:rsidRDefault="00282A62" w:rsidP="000B051F">
      <w:pPr>
        <w:pStyle w:val="Nagwek4"/>
        <w:rPr>
          <w:lang w:val="pl-PL"/>
        </w:rPr>
      </w:pPr>
      <w:r w:rsidRPr="0085159D">
        <w:rPr>
          <w:lang w:val="pl-PL"/>
        </w:rPr>
        <w:t xml:space="preserve">7. Zapewnienie szerokiego i bezstronnego udziału </w:t>
      </w:r>
      <w:r w:rsidR="00BE1395" w:rsidRPr="0085159D">
        <w:rPr>
          <w:lang w:val="pl-PL"/>
        </w:rPr>
        <w:t xml:space="preserve">odpowiednich interesariuszy </w:t>
      </w:r>
      <w:r w:rsidRPr="0085159D">
        <w:rPr>
          <w:lang w:val="pl-PL"/>
        </w:rPr>
        <w:t>w</w:t>
      </w:r>
      <w:r w:rsidR="00545FC9">
        <w:rPr>
          <w:lang w:val="pl-PL"/>
        </w:rPr>
        <w:t> </w:t>
      </w:r>
      <w:r w:rsidRPr="0085159D">
        <w:rPr>
          <w:lang w:val="pl-PL"/>
        </w:rPr>
        <w:t>edukacji finansowej</w:t>
      </w:r>
    </w:p>
    <w:p w14:paraId="4CE9039A" w14:textId="77777777" w:rsidR="00282A62" w:rsidRPr="0085159D" w:rsidRDefault="00282A62" w:rsidP="000B051F">
      <w:pPr>
        <w:pStyle w:val="Para0"/>
        <w:rPr>
          <w:lang w:val="pl-PL"/>
        </w:rPr>
      </w:pPr>
      <w:r w:rsidRPr="0085159D">
        <w:rPr>
          <w:lang w:val="pl-PL"/>
        </w:rPr>
        <w:t>Priorytet ten ma na celu zapewnienie, aby środowisk</w:t>
      </w:r>
      <w:r w:rsidR="00835D01" w:rsidRPr="0085159D">
        <w:rPr>
          <w:lang w:val="pl-PL"/>
        </w:rPr>
        <w:t>o</w:t>
      </w:r>
      <w:r w:rsidRPr="0085159D">
        <w:rPr>
          <w:lang w:val="pl-PL"/>
        </w:rPr>
        <w:t xml:space="preserve"> edukacji finansowej w Polsce miał</w:t>
      </w:r>
      <w:r w:rsidR="00835D01" w:rsidRPr="0085159D">
        <w:rPr>
          <w:lang w:val="pl-PL"/>
        </w:rPr>
        <w:t>o</w:t>
      </w:r>
      <w:r w:rsidRPr="0085159D">
        <w:rPr>
          <w:lang w:val="pl-PL"/>
        </w:rPr>
        <w:t xml:space="preserve"> charakter </w:t>
      </w:r>
      <w:r w:rsidR="004058EF" w:rsidRPr="0085159D">
        <w:rPr>
          <w:lang w:val="pl-PL"/>
        </w:rPr>
        <w:t xml:space="preserve">włączający </w:t>
      </w:r>
      <w:r w:rsidRPr="0085159D">
        <w:rPr>
          <w:lang w:val="pl-PL"/>
        </w:rPr>
        <w:t>oraz aby szerokie grono dostawców edukacji finansowej angażowało się w</w:t>
      </w:r>
      <w:r w:rsidR="00382D25" w:rsidRPr="0085159D">
        <w:rPr>
          <w:lang w:val="pl-PL"/>
        </w:rPr>
        <w:t xml:space="preserve"> </w:t>
      </w:r>
      <w:r w:rsidR="00BE1395" w:rsidRPr="0085159D">
        <w:rPr>
          <w:lang w:val="pl-PL"/>
        </w:rPr>
        <w:t xml:space="preserve">realizację </w:t>
      </w:r>
      <w:r w:rsidRPr="0085159D">
        <w:rPr>
          <w:lang w:val="pl-PL"/>
        </w:rPr>
        <w:t>KSEF w</w:t>
      </w:r>
      <w:r w:rsidR="00545FC9">
        <w:rPr>
          <w:lang w:val="pl-PL"/>
        </w:rPr>
        <w:t> </w:t>
      </w:r>
      <w:r w:rsidRPr="0085159D">
        <w:rPr>
          <w:lang w:val="pl-PL"/>
        </w:rPr>
        <w:t xml:space="preserve">sposób przejrzysty, sprawiedliwy i bezstronny. W szczególności podkreśla on znaczenie bezstronności w opracowywaniu i </w:t>
      </w:r>
      <w:r w:rsidR="00BE1395" w:rsidRPr="0085159D">
        <w:rPr>
          <w:lang w:val="pl-PL"/>
        </w:rPr>
        <w:t xml:space="preserve">realizacji </w:t>
      </w:r>
      <w:r w:rsidRPr="0085159D">
        <w:rPr>
          <w:lang w:val="pl-PL"/>
        </w:rPr>
        <w:t>programów edukacji finansowej przez wszystkich interesariuszy.</w:t>
      </w:r>
    </w:p>
    <w:p w14:paraId="223C1545" w14:textId="7442897D" w:rsidR="00282A62" w:rsidRPr="0085159D" w:rsidRDefault="00282A62" w:rsidP="000B051F">
      <w:pPr>
        <w:pStyle w:val="Tekstkomentarza"/>
        <w:widowControl/>
        <w:spacing w:line="260" w:lineRule="atLeast"/>
        <w:rPr>
          <w:lang w:val="pl-PL"/>
        </w:rPr>
      </w:pPr>
      <w:r w:rsidRPr="0085159D">
        <w:rPr>
          <w:lang w:val="pl-PL"/>
        </w:rPr>
        <w:t>Zanim opracowana została KSEF, grupa organizacji społeczeństwa obywatelskiego opracowała zestaw konkretnych wytycznych. Odnoszą się one do zasad, którymi powinny kierować się organizacje i</w:t>
      </w:r>
      <w:r w:rsidR="00545FC9">
        <w:rPr>
          <w:lang w:val="pl-PL"/>
        </w:rPr>
        <w:t> </w:t>
      </w:r>
      <w:r w:rsidR="00D60305" w:rsidRPr="0085159D">
        <w:rPr>
          <w:lang w:val="pl-PL"/>
        </w:rPr>
        <w:t xml:space="preserve">edukatorzy </w:t>
      </w:r>
      <w:r w:rsidRPr="0085159D">
        <w:rPr>
          <w:lang w:val="pl-PL"/>
        </w:rPr>
        <w:t xml:space="preserve">przy opracowywaniu lub realizacji programów edukacji finansowej. Jednak ich zastosowanie i zasięg były ograniczone [zob. punkt 3.2.2 raportu „Znajomość zagadnień </w:t>
      </w:r>
      <w:r w:rsidR="0041258F" w:rsidRPr="0085159D">
        <w:rPr>
          <w:lang w:val="pl-PL"/>
        </w:rPr>
        <w:t>finansowych w Polsce:</w:t>
      </w:r>
      <w:r w:rsidR="00D60305" w:rsidRPr="0085159D">
        <w:rPr>
          <w:lang w:val="pl-PL"/>
        </w:rPr>
        <w:t xml:space="preserve"> </w:t>
      </w:r>
      <w:r w:rsidRPr="0085159D">
        <w:rPr>
          <w:lang w:val="pl-PL"/>
        </w:rPr>
        <w:t>Znaczenie, dowody i oferta edukacyjna</w:t>
      </w:r>
      <w:sdt>
        <w:sdtPr>
          <w:rPr>
            <w:lang w:val="pl-PL"/>
          </w:rPr>
          <w:id w:val="-1055011496"/>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 (OECD,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w:t>
      </w:r>
    </w:p>
    <w:p w14:paraId="7608C83D" w14:textId="77777777" w:rsidR="00282A62" w:rsidRPr="0085159D" w:rsidRDefault="00282A62" w:rsidP="0020685F">
      <w:pPr>
        <w:pStyle w:val="Tekstkomentarza"/>
        <w:widowControl/>
        <w:spacing w:before="120" w:line="260" w:lineRule="atLeast"/>
        <w:rPr>
          <w:color w:val="000000" w:themeColor="text1"/>
          <w:lang w:val="pl-PL"/>
        </w:rPr>
      </w:pPr>
      <w:r w:rsidRPr="0085159D">
        <w:rPr>
          <w:color w:val="000000" w:themeColor="text1"/>
          <w:lang w:val="pl-PL"/>
        </w:rPr>
        <w:t xml:space="preserve">W celu realizacji tego priorytetu opracowane zostaną kompleksowe i międzysektorowe wytyczne i kodeksy postępowania dotyczące zaangażowania interesariuszy w edukację finansową, </w:t>
      </w:r>
      <w:r w:rsidR="00D60305" w:rsidRPr="0085159D">
        <w:rPr>
          <w:color w:val="000000" w:themeColor="text1"/>
          <w:lang w:val="pl-PL"/>
        </w:rPr>
        <w:t>uwzględniające</w:t>
      </w:r>
      <w:r w:rsidRPr="0085159D">
        <w:rPr>
          <w:color w:val="000000" w:themeColor="text1"/>
          <w:lang w:val="pl-PL"/>
        </w:rPr>
        <w:t xml:space="preserve"> </w:t>
      </w:r>
      <w:r w:rsidR="004058EF" w:rsidRPr="0085159D">
        <w:rPr>
          <w:color w:val="000000" w:themeColor="text1"/>
          <w:lang w:val="pl-PL"/>
        </w:rPr>
        <w:t xml:space="preserve">konkretne </w:t>
      </w:r>
      <w:r w:rsidRPr="0085159D">
        <w:rPr>
          <w:color w:val="000000" w:themeColor="text1"/>
          <w:lang w:val="pl-PL"/>
        </w:rPr>
        <w:t xml:space="preserve">przykłady z Polski i praktyki międzynarodowe. Te nowe wytyczne będą rozwiązaniem systemowym, ogólnokrajowym, </w:t>
      </w:r>
      <w:r w:rsidR="004058EF" w:rsidRPr="0085159D">
        <w:rPr>
          <w:color w:val="000000" w:themeColor="text1"/>
          <w:lang w:val="pl-PL"/>
        </w:rPr>
        <w:t>włączającym</w:t>
      </w:r>
      <w:r w:rsidRPr="0085159D">
        <w:rPr>
          <w:color w:val="000000" w:themeColor="text1"/>
          <w:lang w:val="pl-PL"/>
        </w:rPr>
        <w:t xml:space="preserve">. Zostaną one opracowane we współpracy z odpowiednimi interesariuszami, w ramach pierwszego </w:t>
      </w:r>
      <w:r w:rsidR="00D60305" w:rsidRPr="0085159D">
        <w:rPr>
          <w:color w:val="000000" w:themeColor="text1"/>
          <w:lang w:val="pl-PL"/>
        </w:rPr>
        <w:t>planu wdrażania</w:t>
      </w:r>
      <w:r w:rsidRPr="0085159D">
        <w:rPr>
          <w:color w:val="000000" w:themeColor="text1"/>
          <w:lang w:val="pl-PL"/>
        </w:rPr>
        <w:t>.</w:t>
      </w:r>
      <w:r w:rsidR="00382D25" w:rsidRPr="0085159D">
        <w:rPr>
          <w:color w:val="000000" w:themeColor="text1"/>
          <w:lang w:val="pl-PL"/>
        </w:rPr>
        <w:t xml:space="preserve"> </w:t>
      </w:r>
      <w:r w:rsidRPr="0085159D">
        <w:rPr>
          <w:color w:val="000000" w:themeColor="text1"/>
          <w:lang w:val="pl-PL"/>
        </w:rPr>
        <w:t xml:space="preserve">Ich opracowanie jest kluczowe, ponieważ brak takich wytycznych czy kodeksów postępowania mógłby </w:t>
      </w:r>
      <w:r w:rsidR="00382D25" w:rsidRPr="0085159D">
        <w:rPr>
          <w:color w:val="000000" w:themeColor="text1"/>
          <w:lang w:val="pl-PL"/>
        </w:rPr>
        <w:t xml:space="preserve">skutkować </w:t>
      </w:r>
      <w:r w:rsidRPr="0085159D">
        <w:rPr>
          <w:color w:val="000000" w:themeColor="text1"/>
          <w:lang w:val="pl-PL"/>
        </w:rPr>
        <w:t xml:space="preserve">wykorzystaniem edukacji finansowej przez prywatne podmioty do promowania własnej działalności komercyjnej. </w:t>
      </w:r>
      <w:r w:rsidR="009C1452">
        <w:rPr>
          <w:color w:val="000000" w:themeColor="text1"/>
          <w:lang w:val="pl-PL"/>
        </w:rPr>
        <w:t>T</w:t>
      </w:r>
      <w:r w:rsidR="00D60305" w:rsidRPr="0085159D">
        <w:rPr>
          <w:color w:val="000000" w:themeColor="text1"/>
          <w:lang w:val="pl-PL"/>
        </w:rPr>
        <w:t xml:space="preserve">ego typu </w:t>
      </w:r>
      <w:r w:rsidRPr="0085159D">
        <w:rPr>
          <w:color w:val="000000" w:themeColor="text1"/>
          <w:lang w:val="pl-PL"/>
        </w:rPr>
        <w:t>nieetyczne i</w:t>
      </w:r>
      <w:r w:rsidR="009C1452">
        <w:rPr>
          <w:color w:val="000000" w:themeColor="text1"/>
          <w:lang w:val="pl-PL"/>
        </w:rPr>
        <w:t> </w:t>
      </w:r>
      <w:r w:rsidRPr="0085159D">
        <w:rPr>
          <w:color w:val="000000" w:themeColor="text1"/>
          <w:lang w:val="pl-PL"/>
        </w:rPr>
        <w:t>szkodliwe dla konsumentów</w:t>
      </w:r>
      <w:r w:rsidR="009C1452">
        <w:rPr>
          <w:color w:val="000000" w:themeColor="text1"/>
          <w:lang w:val="pl-PL"/>
        </w:rPr>
        <w:t xml:space="preserve"> praktyki</w:t>
      </w:r>
      <w:r w:rsidRPr="0085159D">
        <w:rPr>
          <w:color w:val="000000" w:themeColor="text1"/>
          <w:lang w:val="pl-PL"/>
        </w:rPr>
        <w:t xml:space="preserve">, mogą również </w:t>
      </w:r>
      <w:r w:rsidR="00D60305" w:rsidRPr="0085159D">
        <w:rPr>
          <w:color w:val="000000" w:themeColor="text1"/>
          <w:lang w:val="pl-PL"/>
        </w:rPr>
        <w:t xml:space="preserve">podważać </w:t>
      </w:r>
      <w:r w:rsidRPr="0085159D">
        <w:rPr>
          <w:color w:val="000000" w:themeColor="text1"/>
          <w:lang w:val="pl-PL"/>
        </w:rPr>
        <w:t xml:space="preserve">zaufanie konsumentów do sektora finansowego i szerzej do inicjatyw edukacji finansowej. Bezstronne i rzetelne programy edukacji finansowej mają być zaprojektowane w taki sposób, aby służyły potrzebom konsumentów. Dlatego ważna </w:t>
      </w:r>
      <w:r w:rsidRPr="0085159D">
        <w:rPr>
          <w:color w:val="000000" w:themeColor="text1"/>
          <w:lang w:val="pl-PL"/>
        </w:rPr>
        <w:lastRenderedPageBreak/>
        <w:t>będzie ścisła współpraca z szerokim gronem interesariuszy przy opracowywaniu i przyjmowaniu tych wytycznych.</w:t>
      </w:r>
    </w:p>
    <w:p w14:paraId="49F6B3A3" w14:textId="77777777" w:rsidR="00282A62" w:rsidRPr="0085159D" w:rsidRDefault="008A21D5" w:rsidP="000B051F">
      <w:pPr>
        <w:pStyle w:val="Nagwek2"/>
        <w:rPr>
          <w:lang w:val="pl-PL"/>
        </w:rPr>
      </w:pPr>
      <w:bookmarkStart w:id="41" w:name="_Toc131520814"/>
      <w:r w:rsidRPr="0085159D">
        <w:rPr>
          <w:bCs/>
          <w:lang w:val="pl-PL"/>
        </w:rPr>
        <w:t xml:space="preserve">2.4. Ramy czasowe KSEF oraz </w:t>
      </w:r>
      <w:bookmarkEnd w:id="41"/>
      <w:r w:rsidR="00AE2ABB">
        <w:rPr>
          <w:bCs/>
          <w:lang w:val="pl-PL"/>
        </w:rPr>
        <w:t>plany</w:t>
      </w:r>
      <w:r w:rsidR="00D60305" w:rsidRPr="0085159D">
        <w:rPr>
          <w:bCs/>
          <w:lang w:val="pl-PL"/>
        </w:rPr>
        <w:t xml:space="preserve"> wdrażania</w:t>
      </w:r>
    </w:p>
    <w:p w14:paraId="18564836" w14:textId="77777777" w:rsidR="00282A62" w:rsidRPr="0085159D" w:rsidRDefault="00282A62" w:rsidP="000B051F">
      <w:pPr>
        <w:pStyle w:val="Para0"/>
        <w:rPr>
          <w:lang w:val="pl-PL"/>
        </w:rPr>
      </w:pPr>
      <w:r w:rsidRPr="0085159D">
        <w:rPr>
          <w:lang w:val="pl-PL"/>
        </w:rPr>
        <w:t xml:space="preserve">Opisane powyżej kluczowe priorytety określają długoterminowe cele Strategii. </w:t>
      </w:r>
      <w:r w:rsidR="00D60305" w:rsidRPr="0085159D">
        <w:rPr>
          <w:lang w:val="pl-PL"/>
        </w:rPr>
        <w:t xml:space="preserve">Przewiduje się ich realizację </w:t>
      </w:r>
      <w:r w:rsidRPr="0085159D">
        <w:rPr>
          <w:lang w:val="pl-PL"/>
        </w:rPr>
        <w:t xml:space="preserve">w ciągu siedmiu lat, po </w:t>
      </w:r>
      <w:r w:rsidR="00D60305" w:rsidRPr="0085159D">
        <w:rPr>
          <w:lang w:val="pl-PL"/>
        </w:rPr>
        <w:t>czym zostaną one poddane ewaluacji</w:t>
      </w:r>
      <w:r w:rsidRPr="0085159D">
        <w:rPr>
          <w:lang w:val="pl-PL"/>
        </w:rPr>
        <w:t>. Nie oznacza to, że wszystkie priorytety muszą być zrealizowane w ciągu siedmiu lat, lecz raczej, że po takim czasie możliwa będzie ocena</w:t>
      </w:r>
      <w:r w:rsidR="00D60305" w:rsidRPr="0085159D">
        <w:rPr>
          <w:lang w:val="pl-PL"/>
        </w:rPr>
        <w:t>,</w:t>
      </w:r>
      <w:r w:rsidRPr="0085159D">
        <w:rPr>
          <w:lang w:val="pl-PL"/>
        </w:rPr>
        <w:t xml:space="preserve"> czy dane priorytety są nadal kluczowe.</w:t>
      </w:r>
    </w:p>
    <w:p w14:paraId="411D0AD8" w14:textId="63D495F3" w:rsidR="00282A62" w:rsidRPr="0085159D" w:rsidRDefault="00282A62" w:rsidP="000B051F">
      <w:pPr>
        <w:pStyle w:val="Para0"/>
        <w:rPr>
          <w:lang w:val="pl-PL"/>
        </w:rPr>
      </w:pPr>
      <w:r w:rsidRPr="0085159D">
        <w:rPr>
          <w:lang w:val="pl-PL"/>
        </w:rPr>
        <w:t xml:space="preserve">Priorytety te wyznaczają kierunek obecnych i przyszłych działań, które będą podejmowane </w:t>
      </w:r>
      <w:r w:rsidR="00D60305" w:rsidRPr="0085159D">
        <w:rPr>
          <w:lang w:val="pl-PL"/>
        </w:rPr>
        <w:t xml:space="preserve">w celu </w:t>
      </w:r>
      <w:r w:rsidRPr="0085159D">
        <w:rPr>
          <w:lang w:val="pl-PL"/>
        </w:rPr>
        <w:t xml:space="preserve">ich realizacji. Działania </w:t>
      </w:r>
      <w:r w:rsidR="000A4CBE">
        <w:rPr>
          <w:lang w:val="pl-PL"/>
        </w:rPr>
        <w:t xml:space="preserve">pierwszego planu wdrażania </w:t>
      </w:r>
      <w:r w:rsidRPr="0085159D">
        <w:rPr>
          <w:lang w:val="pl-PL"/>
        </w:rPr>
        <w:t>zostały opisane w</w:t>
      </w:r>
      <w:r w:rsidR="000A4CBE">
        <w:rPr>
          <w:lang w:val="pl-PL"/>
        </w:rPr>
        <w:t xml:space="preserve"> części III dokumentu</w:t>
      </w:r>
      <w:r w:rsidRPr="0085159D">
        <w:rPr>
          <w:lang w:val="pl-PL"/>
        </w:rPr>
        <w:t xml:space="preserve">. </w:t>
      </w:r>
      <w:r w:rsidR="00D60305" w:rsidRPr="0085159D">
        <w:rPr>
          <w:lang w:val="pl-PL"/>
        </w:rPr>
        <w:t>Plan</w:t>
      </w:r>
      <w:r w:rsidR="000F54F6">
        <w:rPr>
          <w:lang w:val="pl-PL"/>
        </w:rPr>
        <w:t>y</w:t>
      </w:r>
      <w:r w:rsidR="00D60305" w:rsidRPr="0085159D">
        <w:rPr>
          <w:lang w:val="pl-PL"/>
        </w:rPr>
        <w:t xml:space="preserve"> wdrażania </w:t>
      </w:r>
      <w:r w:rsidR="000F54F6">
        <w:rPr>
          <w:lang w:val="pl-PL"/>
        </w:rPr>
        <w:t xml:space="preserve">są przewidziane </w:t>
      </w:r>
      <w:r w:rsidRPr="0085159D">
        <w:rPr>
          <w:lang w:val="pl-PL"/>
        </w:rPr>
        <w:t xml:space="preserve">na okresy trzyletnie. </w:t>
      </w:r>
      <w:r w:rsidR="000A4CBE">
        <w:rPr>
          <w:lang w:val="pl-PL"/>
        </w:rPr>
        <w:t>P</w:t>
      </w:r>
      <w:r w:rsidRPr="0085159D">
        <w:rPr>
          <w:lang w:val="pl-PL"/>
        </w:rPr>
        <w:t xml:space="preserve">odlegają one monitorowaniu i </w:t>
      </w:r>
      <w:r w:rsidR="00D60305" w:rsidRPr="0085159D">
        <w:rPr>
          <w:lang w:val="pl-PL"/>
        </w:rPr>
        <w:t xml:space="preserve">ewaluacji </w:t>
      </w:r>
      <w:r w:rsidRPr="0085159D">
        <w:rPr>
          <w:lang w:val="pl-PL"/>
        </w:rPr>
        <w:t xml:space="preserve">(zob. punkt </w:t>
      </w:r>
      <w:r w:rsidR="00D60305" w:rsidRPr="0085159D">
        <w:rPr>
          <w:lang w:val="pl-PL"/>
        </w:rPr>
        <w:t>„</w:t>
      </w:r>
      <w:r w:rsidRPr="0085159D">
        <w:rPr>
          <w:lang w:val="pl-PL"/>
        </w:rPr>
        <w:t>Monitor</w:t>
      </w:r>
      <w:r w:rsidR="001E5B9C">
        <w:rPr>
          <w:lang w:val="pl-PL"/>
        </w:rPr>
        <w:t>ing</w:t>
      </w:r>
      <w:r w:rsidRPr="0085159D">
        <w:rPr>
          <w:lang w:val="pl-PL"/>
        </w:rPr>
        <w:t xml:space="preserve"> i</w:t>
      </w:r>
      <w:r w:rsidR="001E5B9C">
        <w:rPr>
          <w:lang w:val="pl-PL"/>
        </w:rPr>
        <w:t> </w:t>
      </w:r>
      <w:r w:rsidR="005214E6" w:rsidRPr="0085159D">
        <w:rPr>
          <w:lang w:val="pl-PL"/>
        </w:rPr>
        <w:t>e</w:t>
      </w:r>
      <w:r w:rsidR="00D60305" w:rsidRPr="0085159D">
        <w:rPr>
          <w:lang w:val="pl-PL"/>
        </w:rPr>
        <w:t>waluacja”</w:t>
      </w:r>
      <w:r w:rsidRPr="0085159D">
        <w:rPr>
          <w:lang w:val="pl-PL"/>
        </w:rPr>
        <w:t xml:space="preserve">) i mogą zmieniać się częściej niż sama Strategia. </w:t>
      </w:r>
      <w:r w:rsidR="001B25A1">
        <w:rPr>
          <w:lang w:val="pl-PL"/>
        </w:rPr>
        <w:t xml:space="preserve">Zmiany </w:t>
      </w:r>
      <w:r w:rsidR="00D60305" w:rsidRPr="0085159D">
        <w:rPr>
          <w:lang w:val="pl-PL"/>
        </w:rPr>
        <w:t>plan</w:t>
      </w:r>
      <w:r w:rsidR="001B25A1">
        <w:rPr>
          <w:lang w:val="pl-PL"/>
        </w:rPr>
        <w:t>ów</w:t>
      </w:r>
      <w:r w:rsidR="00D60305" w:rsidRPr="0085159D">
        <w:rPr>
          <w:lang w:val="pl-PL"/>
        </w:rPr>
        <w:t xml:space="preserve"> wdrażania </w:t>
      </w:r>
      <w:r w:rsidRPr="0085159D">
        <w:rPr>
          <w:lang w:val="pl-PL"/>
        </w:rPr>
        <w:t>mo</w:t>
      </w:r>
      <w:r w:rsidR="00E538AB">
        <w:rPr>
          <w:lang w:val="pl-PL"/>
        </w:rPr>
        <w:t>gą</w:t>
      </w:r>
      <w:r w:rsidRPr="0085159D">
        <w:rPr>
          <w:lang w:val="pl-PL"/>
        </w:rPr>
        <w:t xml:space="preserve"> powodować niewielkie korekty w samej Strategii, ale w krótkim okresie nie przewiduje się zmiany jej głównych kierunków.</w:t>
      </w:r>
    </w:p>
    <w:p w14:paraId="1235E866" w14:textId="77777777" w:rsidR="001B25A1" w:rsidRDefault="00282A62" w:rsidP="000B051F">
      <w:pPr>
        <w:pStyle w:val="Para0"/>
        <w:rPr>
          <w:lang w:val="pl-PL"/>
        </w:rPr>
      </w:pPr>
      <w:r w:rsidRPr="0085159D">
        <w:rPr>
          <w:lang w:val="pl-PL"/>
        </w:rPr>
        <w:t xml:space="preserve">Uzupełnieniem każdego </w:t>
      </w:r>
      <w:r w:rsidR="00D60305" w:rsidRPr="0085159D">
        <w:rPr>
          <w:lang w:val="pl-PL"/>
        </w:rPr>
        <w:t xml:space="preserve">planu wdrażania </w:t>
      </w:r>
      <w:r w:rsidR="009523B5">
        <w:rPr>
          <w:lang w:val="pl-PL"/>
        </w:rPr>
        <w:t xml:space="preserve">będą </w:t>
      </w:r>
      <w:r w:rsidRPr="0085159D">
        <w:rPr>
          <w:lang w:val="pl-PL"/>
        </w:rPr>
        <w:t xml:space="preserve">roczne plany </w:t>
      </w:r>
      <w:r w:rsidR="005214E6" w:rsidRPr="0085159D">
        <w:rPr>
          <w:lang w:val="pl-PL"/>
        </w:rPr>
        <w:t>działania</w:t>
      </w:r>
      <w:r w:rsidRPr="0085159D">
        <w:rPr>
          <w:lang w:val="pl-PL"/>
        </w:rPr>
        <w:t>, sporządz</w:t>
      </w:r>
      <w:r w:rsidR="001B25A1">
        <w:rPr>
          <w:lang w:val="pl-PL"/>
        </w:rPr>
        <w:t>ane</w:t>
      </w:r>
      <w:r w:rsidRPr="0085159D">
        <w:rPr>
          <w:lang w:val="pl-PL"/>
        </w:rPr>
        <w:t xml:space="preserve"> na podstawie zapisów zawartych w </w:t>
      </w:r>
      <w:r w:rsidR="00D60305" w:rsidRPr="0085159D">
        <w:rPr>
          <w:lang w:val="pl-PL"/>
        </w:rPr>
        <w:t>planie trzyletnim</w:t>
      </w:r>
      <w:r w:rsidR="001B25A1">
        <w:rPr>
          <w:lang w:val="pl-PL"/>
        </w:rPr>
        <w:t>.</w:t>
      </w:r>
      <w:r w:rsidR="00D60305" w:rsidRPr="0085159D">
        <w:rPr>
          <w:lang w:val="pl-PL"/>
        </w:rPr>
        <w:t xml:space="preserve"> </w:t>
      </w:r>
      <w:r w:rsidR="001B25A1">
        <w:rPr>
          <w:lang w:val="pl-PL"/>
        </w:rPr>
        <w:t xml:space="preserve">Będą one </w:t>
      </w:r>
      <w:r w:rsidRPr="0085159D">
        <w:rPr>
          <w:lang w:val="pl-PL"/>
        </w:rPr>
        <w:t>określ</w:t>
      </w:r>
      <w:r w:rsidR="001B25A1">
        <w:rPr>
          <w:lang w:val="pl-PL"/>
        </w:rPr>
        <w:t>ać</w:t>
      </w:r>
      <w:r w:rsidRPr="0085159D">
        <w:rPr>
          <w:lang w:val="pl-PL"/>
        </w:rPr>
        <w:t xml:space="preserve"> działania i kluczowe wskaźniki efektywności do osiągnięcia w danym roku.</w:t>
      </w:r>
    </w:p>
    <w:p w14:paraId="4BF00B58" w14:textId="37F1BA48" w:rsidR="00282A62" w:rsidRPr="0085159D" w:rsidRDefault="008A21D5" w:rsidP="000B051F">
      <w:pPr>
        <w:pStyle w:val="Nagwek2"/>
        <w:rPr>
          <w:lang w:val="pl-PL"/>
        </w:rPr>
      </w:pPr>
      <w:bookmarkStart w:id="42" w:name="_Toc131520815"/>
      <w:r w:rsidRPr="0085159D">
        <w:rPr>
          <w:bCs/>
          <w:lang w:val="pl-PL"/>
        </w:rPr>
        <w:t xml:space="preserve">2.5. </w:t>
      </w:r>
      <w:r w:rsidR="00473532">
        <w:rPr>
          <w:bCs/>
          <w:lang w:val="pl-PL"/>
        </w:rPr>
        <w:t>Grupy docelowe i z</w:t>
      </w:r>
      <w:r w:rsidRPr="0085159D">
        <w:rPr>
          <w:bCs/>
          <w:lang w:val="pl-PL"/>
        </w:rPr>
        <w:t xml:space="preserve">asady </w:t>
      </w:r>
      <w:proofErr w:type="spellStart"/>
      <w:r w:rsidRPr="0085159D">
        <w:rPr>
          <w:bCs/>
          <w:lang w:val="pl-PL"/>
        </w:rPr>
        <w:t>priorytetyzacji</w:t>
      </w:r>
      <w:bookmarkEnd w:id="42"/>
      <w:proofErr w:type="spellEnd"/>
    </w:p>
    <w:p w14:paraId="52F01D43" w14:textId="77777777" w:rsidR="00282A62" w:rsidRPr="0085159D" w:rsidRDefault="00290676" w:rsidP="000B051F">
      <w:pPr>
        <w:pStyle w:val="Para0"/>
        <w:rPr>
          <w:lang w:val="pl-PL"/>
        </w:rPr>
      </w:pPr>
      <w:r>
        <w:rPr>
          <w:lang w:val="pl-PL"/>
        </w:rPr>
        <w:t>„</w:t>
      </w:r>
      <w:r w:rsidR="00282A62" w:rsidRPr="0085159D">
        <w:rPr>
          <w:lang w:val="pl-PL"/>
        </w:rPr>
        <w:t>Krajowa Strategia Edukacji Finansowej</w:t>
      </w:r>
      <w:r w:rsidRPr="00290676">
        <w:rPr>
          <w:lang w:val="pl-PL"/>
        </w:rPr>
        <w:t>. Polityka na rzecz rozwijania kompetencji finansowych</w:t>
      </w:r>
      <w:r>
        <w:rPr>
          <w:lang w:val="pl-PL"/>
        </w:rPr>
        <w:t>”</w:t>
      </w:r>
      <w:r w:rsidR="00282A62" w:rsidRPr="0085159D">
        <w:rPr>
          <w:lang w:val="pl-PL"/>
        </w:rPr>
        <w:t xml:space="preserve"> wyznacz</w:t>
      </w:r>
      <w:r w:rsidR="00F515A6">
        <w:rPr>
          <w:lang w:val="pl-PL"/>
        </w:rPr>
        <w:t>a</w:t>
      </w:r>
      <w:r w:rsidR="00282A62" w:rsidRPr="0085159D">
        <w:rPr>
          <w:lang w:val="pl-PL"/>
        </w:rPr>
        <w:t xml:space="preserve"> długoterminowe strategiczne kierunk</w:t>
      </w:r>
      <w:r w:rsidR="00F515A6">
        <w:rPr>
          <w:lang w:val="pl-PL"/>
        </w:rPr>
        <w:t>i</w:t>
      </w:r>
      <w:r w:rsidR="00282A62" w:rsidRPr="0085159D">
        <w:rPr>
          <w:lang w:val="pl-PL"/>
        </w:rPr>
        <w:t xml:space="preserve"> działań z zakresu edukacji finansowej, które </w:t>
      </w:r>
      <w:r w:rsidR="00F515A6">
        <w:rPr>
          <w:lang w:val="pl-PL"/>
        </w:rPr>
        <w:t xml:space="preserve">będą </w:t>
      </w:r>
      <w:r w:rsidR="00282A62" w:rsidRPr="0085159D">
        <w:rPr>
          <w:lang w:val="pl-PL"/>
        </w:rPr>
        <w:t>podejmowane przez interesariuszy</w:t>
      </w:r>
      <w:r w:rsidR="00F515A6">
        <w:rPr>
          <w:lang w:val="pl-PL"/>
        </w:rPr>
        <w:t>.</w:t>
      </w:r>
      <w:r w:rsidR="00282A62" w:rsidRPr="0085159D">
        <w:rPr>
          <w:lang w:val="pl-PL"/>
        </w:rPr>
        <w:t xml:space="preserve"> </w:t>
      </w:r>
      <w:r w:rsidR="00F515A6">
        <w:rPr>
          <w:lang w:val="pl-PL"/>
        </w:rPr>
        <w:t>M</w:t>
      </w:r>
      <w:r w:rsidR="00282A62" w:rsidRPr="0085159D">
        <w:rPr>
          <w:lang w:val="pl-PL"/>
        </w:rPr>
        <w:t>ają</w:t>
      </w:r>
      <w:r w:rsidR="00F515A6">
        <w:rPr>
          <w:lang w:val="pl-PL"/>
        </w:rPr>
        <w:t xml:space="preserve"> one</w:t>
      </w:r>
      <w:r w:rsidR="00282A62" w:rsidRPr="0085159D">
        <w:rPr>
          <w:lang w:val="pl-PL"/>
        </w:rPr>
        <w:t xml:space="preserve"> przynieść korzyści całemu polskiemu społeczeństwu. </w:t>
      </w:r>
      <w:r w:rsidR="00BE0005">
        <w:rPr>
          <w:lang w:val="pl-PL"/>
        </w:rPr>
        <w:t>Przewidziana w </w:t>
      </w:r>
      <w:r w:rsidR="00077B17" w:rsidRPr="0085159D">
        <w:rPr>
          <w:lang w:val="pl-PL"/>
        </w:rPr>
        <w:t>S</w:t>
      </w:r>
      <w:r w:rsidR="00450CF3" w:rsidRPr="0085159D">
        <w:rPr>
          <w:lang w:val="pl-PL"/>
        </w:rPr>
        <w:t>trategii w</w:t>
      </w:r>
      <w:r w:rsidR="00282A62" w:rsidRPr="0085159D">
        <w:rPr>
          <w:lang w:val="pl-PL"/>
        </w:rPr>
        <w:t xml:space="preserve">izja wspierania mieszkańców Polski w osiąganiu większej odporności finansowej i </w:t>
      </w:r>
      <w:r w:rsidR="00450CF3" w:rsidRPr="0085159D">
        <w:rPr>
          <w:lang w:val="pl-PL"/>
        </w:rPr>
        <w:t xml:space="preserve">dobrostanu </w:t>
      </w:r>
      <w:r w:rsidR="00282A62" w:rsidRPr="0085159D">
        <w:rPr>
          <w:lang w:val="pl-PL"/>
        </w:rPr>
        <w:t xml:space="preserve">finansowego jest ambitnym celem długoterminowym. Wiele działań wskazanych w </w:t>
      </w:r>
      <w:r w:rsidR="00F515A6">
        <w:rPr>
          <w:lang w:val="pl-PL"/>
        </w:rPr>
        <w:t xml:space="preserve">pierwszym </w:t>
      </w:r>
      <w:r w:rsidR="00450CF3" w:rsidRPr="0085159D">
        <w:rPr>
          <w:lang w:val="pl-PL"/>
        </w:rPr>
        <w:t>planie wdrażania</w:t>
      </w:r>
      <w:r w:rsidR="00282A62" w:rsidRPr="0085159D">
        <w:rPr>
          <w:lang w:val="pl-PL"/>
        </w:rPr>
        <w:t>, zostało tak zaprojektowanych, by korzyści z nich odnosiło całe polskie społeczeństwo.</w:t>
      </w:r>
      <w:r w:rsidR="00F515A6">
        <w:rPr>
          <w:lang w:val="pl-PL"/>
        </w:rPr>
        <w:t xml:space="preserve"> </w:t>
      </w:r>
      <w:r w:rsidR="00282A62" w:rsidRPr="0085159D">
        <w:rPr>
          <w:lang w:val="pl-PL"/>
        </w:rPr>
        <w:t>Jedn</w:t>
      </w:r>
      <w:r w:rsidR="00F515A6">
        <w:rPr>
          <w:lang w:val="pl-PL"/>
        </w:rPr>
        <w:t>ak</w:t>
      </w:r>
      <w:r w:rsidR="00282A62" w:rsidRPr="0085159D">
        <w:rPr>
          <w:lang w:val="pl-PL"/>
        </w:rPr>
        <w:t xml:space="preserve"> niektóre grupy społeczne mogą </w:t>
      </w:r>
      <w:r w:rsidR="00F058BE" w:rsidRPr="0085159D">
        <w:rPr>
          <w:lang w:val="pl-PL"/>
        </w:rPr>
        <w:t xml:space="preserve">pilniej </w:t>
      </w:r>
      <w:r w:rsidR="00282A62" w:rsidRPr="0085159D">
        <w:rPr>
          <w:lang w:val="pl-PL"/>
        </w:rPr>
        <w:t>potrzebować ukierunkowanego wsparcia</w:t>
      </w:r>
      <w:r w:rsidR="00F515A6">
        <w:rPr>
          <w:lang w:val="pl-PL"/>
        </w:rPr>
        <w:t>.</w:t>
      </w:r>
      <w:r w:rsidR="00282A62" w:rsidRPr="0085159D">
        <w:rPr>
          <w:lang w:val="pl-PL"/>
        </w:rPr>
        <w:t xml:space="preserve"> </w:t>
      </w:r>
      <w:r w:rsidR="00F515A6">
        <w:rPr>
          <w:lang w:val="pl-PL"/>
        </w:rPr>
        <w:t>D</w:t>
      </w:r>
      <w:r w:rsidR="00282A62" w:rsidRPr="0085159D">
        <w:rPr>
          <w:lang w:val="pl-PL"/>
        </w:rPr>
        <w:t xml:space="preserve">latego należy </w:t>
      </w:r>
      <w:r w:rsidR="00F515A6">
        <w:rPr>
          <w:lang w:val="pl-PL"/>
        </w:rPr>
        <w:t xml:space="preserve">zaplanować </w:t>
      </w:r>
      <w:r w:rsidR="00282A62" w:rsidRPr="0085159D">
        <w:rPr>
          <w:lang w:val="pl-PL"/>
        </w:rPr>
        <w:t>działania wspierające t</w:t>
      </w:r>
      <w:r w:rsidR="00F515A6">
        <w:rPr>
          <w:lang w:val="pl-PL"/>
        </w:rPr>
        <w:t>akie</w:t>
      </w:r>
      <w:r w:rsidR="00282A62" w:rsidRPr="0085159D">
        <w:rPr>
          <w:lang w:val="pl-PL"/>
        </w:rPr>
        <w:t xml:space="preserve"> grupy i nadać im odpowiedni priorytet. </w:t>
      </w:r>
      <w:r w:rsidR="00F515A6">
        <w:rPr>
          <w:lang w:val="pl-PL"/>
        </w:rPr>
        <w:t>M</w:t>
      </w:r>
      <w:r w:rsidR="00282A62" w:rsidRPr="0085159D">
        <w:rPr>
          <w:lang w:val="pl-PL"/>
        </w:rPr>
        <w:t xml:space="preserve">ogą </w:t>
      </w:r>
      <w:r w:rsidR="00F515A6">
        <w:rPr>
          <w:lang w:val="pl-PL"/>
        </w:rPr>
        <w:t xml:space="preserve">one </w:t>
      </w:r>
      <w:r w:rsidR="00BE0005">
        <w:rPr>
          <w:lang w:val="pl-PL"/>
        </w:rPr>
        <w:t>się zmieniać w </w:t>
      </w:r>
      <w:r w:rsidR="00282A62" w:rsidRPr="0085159D">
        <w:rPr>
          <w:lang w:val="pl-PL"/>
        </w:rPr>
        <w:t xml:space="preserve">trakcie realizacji </w:t>
      </w:r>
      <w:r w:rsidR="00450CF3" w:rsidRPr="0085159D">
        <w:rPr>
          <w:lang w:val="pl-PL"/>
        </w:rPr>
        <w:t>KSEF</w:t>
      </w:r>
      <w:r w:rsidR="00282A62" w:rsidRPr="0085159D">
        <w:rPr>
          <w:lang w:val="pl-PL"/>
        </w:rPr>
        <w:t xml:space="preserve">. W miarę jak zaspokajane </w:t>
      </w:r>
      <w:r w:rsidR="00F515A6">
        <w:rPr>
          <w:lang w:val="pl-PL"/>
        </w:rPr>
        <w:t xml:space="preserve">będą </w:t>
      </w:r>
      <w:r w:rsidR="00282A62" w:rsidRPr="0085159D">
        <w:rPr>
          <w:lang w:val="pl-PL"/>
        </w:rPr>
        <w:t xml:space="preserve">potrzeby </w:t>
      </w:r>
      <w:r w:rsidR="00F515A6">
        <w:rPr>
          <w:lang w:val="pl-PL"/>
        </w:rPr>
        <w:t xml:space="preserve">pewnych </w:t>
      </w:r>
      <w:r w:rsidR="00282A62" w:rsidRPr="0085159D">
        <w:rPr>
          <w:lang w:val="pl-PL"/>
        </w:rPr>
        <w:t xml:space="preserve">grup </w:t>
      </w:r>
      <w:r w:rsidR="00FD66EC" w:rsidRPr="0085159D">
        <w:rPr>
          <w:lang w:val="pl-PL"/>
        </w:rPr>
        <w:t xml:space="preserve">narażonych na trudności finansowe </w:t>
      </w:r>
      <w:r w:rsidR="00282A62" w:rsidRPr="0085159D">
        <w:rPr>
          <w:lang w:val="pl-PL"/>
        </w:rPr>
        <w:t xml:space="preserve">lub gdy inne grupy </w:t>
      </w:r>
      <w:r w:rsidR="00F515A6">
        <w:rPr>
          <w:lang w:val="pl-PL"/>
        </w:rPr>
        <w:t xml:space="preserve">będą </w:t>
      </w:r>
      <w:r w:rsidR="00282A62" w:rsidRPr="0085159D">
        <w:rPr>
          <w:lang w:val="pl-PL"/>
        </w:rPr>
        <w:t>sta</w:t>
      </w:r>
      <w:r w:rsidR="00F515A6">
        <w:rPr>
          <w:lang w:val="pl-PL"/>
        </w:rPr>
        <w:t>wać</w:t>
      </w:r>
      <w:r w:rsidR="00282A62" w:rsidRPr="0085159D">
        <w:rPr>
          <w:lang w:val="pl-PL"/>
        </w:rPr>
        <w:t xml:space="preserve"> się tymi </w:t>
      </w:r>
      <w:r w:rsidR="003016BE" w:rsidRPr="0085159D">
        <w:rPr>
          <w:lang w:val="pl-PL"/>
        </w:rPr>
        <w:t>wymagającymi szczególnej uwagi</w:t>
      </w:r>
      <w:r w:rsidR="00282A62" w:rsidRPr="0085159D">
        <w:rPr>
          <w:lang w:val="pl-PL"/>
        </w:rPr>
        <w:t xml:space="preserve">, działania realizowane w ramach KSEF mogą również wymagać dostosowania. Ważne jest, aby </w:t>
      </w:r>
      <w:r w:rsidR="00450CF3" w:rsidRPr="0085159D">
        <w:rPr>
          <w:lang w:val="pl-PL"/>
        </w:rPr>
        <w:t xml:space="preserve">działania określone w </w:t>
      </w:r>
      <w:r w:rsidR="00282A62" w:rsidRPr="0085159D">
        <w:rPr>
          <w:lang w:val="pl-PL"/>
        </w:rPr>
        <w:t xml:space="preserve">KSEF </w:t>
      </w:r>
      <w:r w:rsidR="00450CF3" w:rsidRPr="0085159D">
        <w:rPr>
          <w:lang w:val="pl-PL"/>
        </w:rPr>
        <w:t xml:space="preserve">były </w:t>
      </w:r>
      <w:r w:rsidR="00282A62" w:rsidRPr="0085159D">
        <w:rPr>
          <w:lang w:val="pl-PL"/>
        </w:rPr>
        <w:t>ukierunkowane</w:t>
      </w:r>
      <w:r w:rsidR="00450CF3" w:rsidRPr="0085159D">
        <w:rPr>
          <w:lang w:val="pl-PL"/>
        </w:rPr>
        <w:t>,</w:t>
      </w:r>
      <w:r w:rsidR="00282A62" w:rsidRPr="0085159D">
        <w:rPr>
          <w:lang w:val="pl-PL"/>
        </w:rPr>
        <w:t xml:space="preserve"> tak aby </w:t>
      </w:r>
      <w:r w:rsidR="00077B17" w:rsidRPr="0085159D">
        <w:rPr>
          <w:lang w:val="pl-PL"/>
        </w:rPr>
        <w:t>S</w:t>
      </w:r>
      <w:r w:rsidR="00450CF3" w:rsidRPr="0085159D">
        <w:rPr>
          <w:lang w:val="pl-PL"/>
        </w:rPr>
        <w:t xml:space="preserve">trategia </w:t>
      </w:r>
      <w:r w:rsidR="00282A62" w:rsidRPr="0085159D">
        <w:rPr>
          <w:lang w:val="pl-PL"/>
        </w:rPr>
        <w:t xml:space="preserve">była jak najbardziej skuteczna oraz elastyczna </w:t>
      </w:r>
      <w:r w:rsidR="00450CF3" w:rsidRPr="0085159D">
        <w:rPr>
          <w:lang w:val="pl-PL"/>
        </w:rPr>
        <w:t>pod względem</w:t>
      </w:r>
      <w:r w:rsidR="00892E00">
        <w:rPr>
          <w:lang w:val="pl-PL"/>
        </w:rPr>
        <w:t xml:space="preserve"> </w:t>
      </w:r>
      <w:r w:rsidR="00282A62" w:rsidRPr="0085159D">
        <w:rPr>
          <w:lang w:val="pl-PL"/>
        </w:rPr>
        <w:t>ustalani</w:t>
      </w:r>
      <w:r w:rsidR="00450CF3" w:rsidRPr="0085159D">
        <w:rPr>
          <w:lang w:val="pl-PL"/>
        </w:rPr>
        <w:t>a</w:t>
      </w:r>
      <w:r w:rsidR="00282A62" w:rsidRPr="0085159D">
        <w:rPr>
          <w:lang w:val="pl-PL"/>
        </w:rPr>
        <w:t xml:space="preserve"> priorytetów dla poszczególnych grup docelowych i </w:t>
      </w:r>
      <w:r w:rsidR="00450CF3" w:rsidRPr="0085159D">
        <w:rPr>
          <w:lang w:val="pl-PL"/>
        </w:rPr>
        <w:t xml:space="preserve">odpowiadała </w:t>
      </w:r>
      <w:r w:rsidR="00282A62" w:rsidRPr="0085159D">
        <w:rPr>
          <w:lang w:val="pl-PL"/>
        </w:rPr>
        <w:t>na pojawiające się potrzeby i obszary wymagające wsparcia.</w:t>
      </w:r>
    </w:p>
    <w:p w14:paraId="609F7B90" w14:textId="3A42403E" w:rsidR="00282A62" w:rsidRPr="0085159D" w:rsidRDefault="00891C0A" w:rsidP="000B051F">
      <w:pPr>
        <w:pStyle w:val="Para0"/>
        <w:rPr>
          <w:lang w:val="pl-PL"/>
        </w:rPr>
      </w:pPr>
      <w:r>
        <w:rPr>
          <w:lang w:val="pl-PL"/>
        </w:rPr>
        <w:t xml:space="preserve">Na podstawie </w:t>
      </w:r>
      <w:r w:rsidR="00473532">
        <w:rPr>
          <w:lang w:val="pl-PL"/>
        </w:rPr>
        <w:t xml:space="preserve">ustaleń </w:t>
      </w:r>
      <w:r w:rsidR="00887538">
        <w:rPr>
          <w:lang w:val="pl-PL"/>
        </w:rPr>
        <w:t>r</w:t>
      </w:r>
      <w:r w:rsidR="00282A62" w:rsidRPr="0085159D">
        <w:rPr>
          <w:lang w:val="pl-PL"/>
        </w:rPr>
        <w:t>apor</w:t>
      </w:r>
      <w:r>
        <w:rPr>
          <w:lang w:val="pl-PL"/>
        </w:rPr>
        <w:t>tu</w:t>
      </w:r>
      <w:r w:rsidR="00450CF3" w:rsidRPr="0085159D">
        <w:rPr>
          <w:lang w:val="pl-PL"/>
        </w:rPr>
        <w:t xml:space="preserve"> pt.</w:t>
      </w:r>
      <w:r w:rsidR="00282A62" w:rsidRPr="0085159D">
        <w:rPr>
          <w:lang w:val="pl-PL"/>
        </w:rPr>
        <w:t xml:space="preserve"> „Znajomość zagadnień </w:t>
      </w:r>
      <w:r w:rsidR="0041258F" w:rsidRPr="0085159D">
        <w:rPr>
          <w:lang w:val="pl-PL"/>
        </w:rPr>
        <w:t>finansowych w Polsce:</w:t>
      </w:r>
      <w:r w:rsidR="00450CF3" w:rsidRPr="0085159D">
        <w:rPr>
          <w:lang w:val="pl-PL"/>
        </w:rPr>
        <w:t xml:space="preserve"> </w:t>
      </w:r>
      <w:r w:rsidR="00282A62" w:rsidRPr="0085159D">
        <w:rPr>
          <w:lang w:val="pl-PL"/>
        </w:rPr>
        <w:t xml:space="preserve">Znaczenie, dowody i oferta edukacyjna” </w:t>
      </w:r>
      <w:sdt>
        <w:sdtPr>
          <w:rPr>
            <w:lang w:val="pl-PL"/>
          </w:rPr>
          <w:id w:val="-1930655598"/>
          <w:citation/>
        </w:sdtPr>
        <w:sdtEndPr/>
        <w:sdtContent>
          <w:r w:rsidR="00282A62" w:rsidRPr="0085159D">
            <w:rPr>
              <w:lang w:val="pl-PL"/>
            </w:rPr>
            <w:fldChar w:fldCharType="begin"/>
          </w:r>
          <w:r w:rsidR="00282A62" w:rsidRPr="0085159D">
            <w:rPr>
              <w:lang w:val="pl-PL"/>
            </w:rPr>
            <w:instrText xml:space="preserve"> CITATION Mendeley_HL1LB5KKEzudIUMChZuI__A \l 2057 </w:instrText>
          </w:r>
          <w:r w:rsidR="00282A62" w:rsidRPr="0085159D">
            <w:rPr>
              <w:lang w:val="pl-PL"/>
            </w:rPr>
            <w:fldChar w:fldCharType="separate"/>
          </w:r>
          <w:r w:rsidR="00282A62" w:rsidRPr="0085159D">
            <w:rPr>
              <w:noProof/>
              <w:lang w:val="pl-PL"/>
            </w:rPr>
            <w:t>(OECD, 2022</w:t>
          </w:r>
          <w:r w:rsidR="00282A62" w:rsidRPr="0085159D">
            <w:rPr>
              <w:noProof/>
              <w:vertAlign w:val="subscript"/>
              <w:lang w:val="pl-PL"/>
            </w:rPr>
            <w:t>[3]</w:t>
          </w:r>
          <w:r w:rsidR="00282A62" w:rsidRPr="0085159D">
            <w:rPr>
              <w:noProof/>
              <w:lang w:val="pl-PL"/>
            </w:rPr>
            <w:t>)</w:t>
          </w:r>
          <w:r w:rsidR="00282A62" w:rsidRPr="0085159D">
            <w:rPr>
              <w:lang w:val="pl-PL"/>
            </w:rPr>
            <w:fldChar w:fldCharType="end"/>
          </w:r>
        </w:sdtContent>
      </w:sdt>
      <w:r w:rsidR="00282A62" w:rsidRPr="0085159D">
        <w:rPr>
          <w:lang w:val="pl-PL"/>
        </w:rPr>
        <w:t xml:space="preserve"> wskaz</w:t>
      </w:r>
      <w:r w:rsidR="009801B7">
        <w:rPr>
          <w:lang w:val="pl-PL"/>
        </w:rPr>
        <w:t>ano</w:t>
      </w:r>
      <w:r w:rsidR="00450CF3" w:rsidRPr="0085159D">
        <w:rPr>
          <w:lang w:val="pl-PL"/>
        </w:rPr>
        <w:t xml:space="preserve"> </w:t>
      </w:r>
      <w:r>
        <w:rPr>
          <w:lang w:val="pl-PL"/>
        </w:rPr>
        <w:t>poniższe</w:t>
      </w:r>
      <w:r w:rsidRPr="0085159D">
        <w:rPr>
          <w:lang w:val="pl-PL"/>
        </w:rPr>
        <w:t xml:space="preserve"> </w:t>
      </w:r>
      <w:r w:rsidR="00282A62" w:rsidRPr="0085159D">
        <w:rPr>
          <w:lang w:val="pl-PL"/>
        </w:rPr>
        <w:t>grup</w:t>
      </w:r>
      <w:r>
        <w:rPr>
          <w:lang w:val="pl-PL"/>
        </w:rPr>
        <w:t>y</w:t>
      </w:r>
      <w:r w:rsidR="00282A62" w:rsidRPr="0085159D">
        <w:rPr>
          <w:lang w:val="pl-PL"/>
        </w:rPr>
        <w:t xml:space="preserve"> docelow</w:t>
      </w:r>
      <w:r>
        <w:rPr>
          <w:lang w:val="pl-PL"/>
        </w:rPr>
        <w:t>e</w:t>
      </w:r>
      <w:r w:rsidR="00282A62" w:rsidRPr="0085159D">
        <w:rPr>
          <w:lang w:val="pl-PL"/>
        </w:rPr>
        <w:t>, które mogą potrzebować priorytetowego traktowania w programach edukacji finansowej w Polsce. Są to:</w:t>
      </w:r>
    </w:p>
    <w:p w14:paraId="6154368D" w14:textId="77777777" w:rsidR="00282A62" w:rsidRPr="0085159D" w:rsidRDefault="00450CF3" w:rsidP="000B051F">
      <w:pPr>
        <w:pStyle w:val="BulletedList"/>
        <w:rPr>
          <w:lang w:val="pl-PL"/>
        </w:rPr>
      </w:pPr>
      <w:r w:rsidRPr="0085159D">
        <w:rPr>
          <w:lang w:val="pl-PL"/>
        </w:rPr>
        <w:t>g</w:t>
      </w:r>
      <w:r w:rsidR="00282A62" w:rsidRPr="0085159D">
        <w:rPr>
          <w:lang w:val="pl-PL"/>
        </w:rPr>
        <w:t>ospodarstwa domowe o niskich dochodach</w:t>
      </w:r>
      <w:r w:rsidR="005214E6" w:rsidRPr="0085159D">
        <w:rPr>
          <w:lang w:val="pl-PL"/>
        </w:rPr>
        <w:t>,</w:t>
      </w:r>
    </w:p>
    <w:p w14:paraId="76BDA6FF" w14:textId="77777777" w:rsidR="00282A62" w:rsidRPr="0085159D" w:rsidRDefault="00450CF3" w:rsidP="000B051F">
      <w:pPr>
        <w:pStyle w:val="BulletedList"/>
        <w:rPr>
          <w:lang w:val="pl-PL"/>
        </w:rPr>
      </w:pPr>
      <w:r w:rsidRPr="0085159D">
        <w:rPr>
          <w:lang w:val="pl-PL"/>
        </w:rPr>
        <w:t>o</w:t>
      </w:r>
      <w:r w:rsidR="00282A62" w:rsidRPr="0085159D">
        <w:rPr>
          <w:lang w:val="pl-PL"/>
        </w:rPr>
        <w:t>soby o niepewnej pozycji na rynku pracy, w tym bezrobotni i osoby pracujące na podstawie niestabilnych lub tymczasowych umów</w:t>
      </w:r>
      <w:r w:rsidR="005214E6" w:rsidRPr="0085159D">
        <w:rPr>
          <w:lang w:val="pl-PL"/>
        </w:rPr>
        <w:t>,</w:t>
      </w:r>
    </w:p>
    <w:p w14:paraId="64BC746E" w14:textId="77777777" w:rsidR="00282A62" w:rsidRPr="0085159D" w:rsidRDefault="00450CF3" w:rsidP="000B051F">
      <w:pPr>
        <w:pStyle w:val="BulletedList"/>
        <w:rPr>
          <w:lang w:val="pl-PL"/>
        </w:rPr>
      </w:pPr>
      <w:r w:rsidRPr="0085159D">
        <w:rPr>
          <w:lang w:val="pl-PL"/>
        </w:rPr>
        <w:t>k</w:t>
      </w:r>
      <w:r w:rsidR="00282A62" w:rsidRPr="0085159D">
        <w:rPr>
          <w:lang w:val="pl-PL"/>
        </w:rPr>
        <w:t>onsumenci narażeni na nadmierne zadłużenie lub już nadmierne zadłużeni</w:t>
      </w:r>
      <w:r w:rsidR="005214E6" w:rsidRPr="0085159D">
        <w:rPr>
          <w:lang w:val="pl-PL"/>
        </w:rPr>
        <w:t>,</w:t>
      </w:r>
    </w:p>
    <w:p w14:paraId="2CCB7A1A" w14:textId="77777777" w:rsidR="00282A62" w:rsidRPr="0085159D" w:rsidRDefault="00450CF3" w:rsidP="000B051F">
      <w:pPr>
        <w:pStyle w:val="BulletedList"/>
        <w:rPr>
          <w:lang w:val="pl-PL"/>
        </w:rPr>
      </w:pPr>
      <w:r w:rsidRPr="0085159D">
        <w:rPr>
          <w:lang w:val="pl-PL"/>
        </w:rPr>
        <w:t>o</w:t>
      </w:r>
      <w:r w:rsidR="00282A62" w:rsidRPr="0085159D">
        <w:rPr>
          <w:lang w:val="pl-PL"/>
        </w:rPr>
        <w:t>soby starsze</w:t>
      </w:r>
      <w:r w:rsidR="005214E6" w:rsidRPr="0085159D">
        <w:rPr>
          <w:lang w:val="pl-PL"/>
        </w:rPr>
        <w:t>,</w:t>
      </w:r>
    </w:p>
    <w:p w14:paraId="1517FEA1" w14:textId="77777777" w:rsidR="00282A62" w:rsidRPr="0085159D" w:rsidRDefault="00450CF3" w:rsidP="000B051F">
      <w:pPr>
        <w:pStyle w:val="BulletedList"/>
        <w:rPr>
          <w:lang w:val="pl-PL"/>
        </w:rPr>
      </w:pPr>
      <w:r w:rsidRPr="0085159D">
        <w:rPr>
          <w:lang w:val="pl-PL"/>
        </w:rPr>
        <w:t>m</w:t>
      </w:r>
      <w:r w:rsidR="00282A62" w:rsidRPr="0085159D">
        <w:rPr>
          <w:lang w:val="pl-PL"/>
        </w:rPr>
        <w:t>ieszkańcy obszarów wiejskich i małych miast</w:t>
      </w:r>
      <w:r w:rsidR="005214E6" w:rsidRPr="0085159D">
        <w:rPr>
          <w:lang w:val="pl-PL"/>
        </w:rPr>
        <w:t>,</w:t>
      </w:r>
    </w:p>
    <w:p w14:paraId="54902F65" w14:textId="77777777" w:rsidR="00282A62" w:rsidRPr="0085159D" w:rsidRDefault="00282A62" w:rsidP="000B051F">
      <w:pPr>
        <w:pStyle w:val="BulletedList"/>
        <w:rPr>
          <w:lang w:val="pl-PL"/>
        </w:rPr>
      </w:pPr>
      <w:r w:rsidRPr="0085159D">
        <w:rPr>
          <w:lang w:val="pl-PL"/>
        </w:rPr>
        <w:t>migranci i uchodźcy</w:t>
      </w:r>
      <w:r w:rsidR="005214E6" w:rsidRPr="0085159D">
        <w:rPr>
          <w:lang w:val="pl-PL"/>
        </w:rPr>
        <w:t>,</w:t>
      </w:r>
    </w:p>
    <w:p w14:paraId="3A77056A" w14:textId="77777777" w:rsidR="00282A62" w:rsidRPr="0085159D" w:rsidRDefault="00450CF3" w:rsidP="000B051F">
      <w:pPr>
        <w:pStyle w:val="BulletedList"/>
        <w:rPr>
          <w:lang w:val="pl-PL"/>
        </w:rPr>
      </w:pPr>
      <w:r w:rsidRPr="0085159D">
        <w:rPr>
          <w:lang w:val="pl-PL"/>
        </w:rPr>
        <w:t xml:space="preserve">osoby </w:t>
      </w:r>
      <w:r w:rsidR="00282A62" w:rsidRPr="0085159D">
        <w:rPr>
          <w:lang w:val="pl-PL"/>
        </w:rPr>
        <w:t>w wieku produkcyjnym, zwłaszcza te zbliżające się do wieku emerytalnego</w:t>
      </w:r>
      <w:r w:rsidR="005214E6" w:rsidRPr="0085159D">
        <w:rPr>
          <w:lang w:val="pl-PL"/>
        </w:rPr>
        <w:t>,</w:t>
      </w:r>
    </w:p>
    <w:p w14:paraId="0317978B" w14:textId="294C0248" w:rsidR="00282A62" w:rsidRPr="0085159D" w:rsidRDefault="00450CF3" w:rsidP="000B051F">
      <w:pPr>
        <w:pStyle w:val="BulletedList"/>
        <w:rPr>
          <w:lang w:val="pl-PL"/>
        </w:rPr>
      </w:pPr>
      <w:r w:rsidRPr="0085159D">
        <w:rPr>
          <w:lang w:val="pl-PL"/>
        </w:rPr>
        <w:lastRenderedPageBreak/>
        <w:t>dzieci</w:t>
      </w:r>
      <w:r w:rsidR="00282A62" w:rsidRPr="0085159D">
        <w:rPr>
          <w:lang w:val="pl-PL"/>
        </w:rPr>
        <w:t xml:space="preserve">, </w:t>
      </w:r>
      <w:r w:rsidRPr="0085159D">
        <w:rPr>
          <w:lang w:val="pl-PL"/>
        </w:rPr>
        <w:t>młodzież</w:t>
      </w:r>
      <w:r w:rsidR="00282A62" w:rsidRPr="0085159D">
        <w:rPr>
          <w:lang w:val="pl-PL"/>
        </w:rPr>
        <w:t>, rodzice</w:t>
      </w:r>
      <w:r w:rsidR="00887538">
        <w:rPr>
          <w:lang w:val="pl-PL"/>
        </w:rPr>
        <w:t>/opiekunowie</w:t>
      </w:r>
      <w:r w:rsidR="00282A62" w:rsidRPr="0085159D">
        <w:rPr>
          <w:lang w:val="pl-PL"/>
        </w:rPr>
        <w:t xml:space="preserve"> i nauczyciele.</w:t>
      </w:r>
    </w:p>
    <w:p w14:paraId="3B1D4F6B" w14:textId="77777777" w:rsidR="00282A62" w:rsidRPr="0085159D" w:rsidRDefault="00282A62" w:rsidP="000B051F">
      <w:pPr>
        <w:pStyle w:val="Para0"/>
        <w:rPr>
          <w:lang w:val="pl-PL"/>
        </w:rPr>
      </w:pPr>
      <w:r w:rsidRPr="0085159D">
        <w:rPr>
          <w:lang w:val="pl-PL"/>
        </w:rPr>
        <w:t xml:space="preserve">Inne ważne grupy docelowe, wskazane w tym samym raporcie to kobiety oraz mikro-, małe i średnie przedsiębiorstwa. Wraz z upływem czasu i </w:t>
      </w:r>
      <w:r w:rsidR="00450CF3" w:rsidRPr="0085159D">
        <w:rPr>
          <w:lang w:val="pl-PL"/>
        </w:rPr>
        <w:t xml:space="preserve">po przeprowadzeniu kolejnych </w:t>
      </w:r>
      <w:r w:rsidRPr="0085159D">
        <w:rPr>
          <w:lang w:val="pl-PL"/>
        </w:rPr>
        <w:t>ukierunkowan</w:t>
      </w:r>
      <w:r w:rsidR="00450CF3" w:rsidRPr="0085159D">
        <w:rPr>
          <w:lang w:val="pl-PL"/>
        </w:rPr>
        <w:t>ych</w:t>
      </w:r>
      <w:r w:rsidRPr="0085159D">
        <w:rPr>
          <w:lang w:val="pl-PL"/>
        </w:rPr>
        <w:t xml:space="preserve"> bada</w:t>
      </w:r>
      <w:r w:rsidR="00450CF3" w:rsidRPr="0085159D">
        <w:rPr>
          <w:lang w:val="pl-PL"/>
        </w:rPr>
        <w:t>ń</w:t>
      </w:r>
      <w:r w:rsidRPr="0085159D">
        <w:rPr>
          <w:lang w:val="pl-PL"/>
        </w:rPr>
        <w:t xml:space="preserve"> pojawić się mogą inne grupy, które będą wymagały </w:t>
      </w:r>
      <w:r w:rsidR="00450CF3" w:rsidRPr="0085159D">
        <w:rPr>
          <w:lang w:val="pl-PL"/>
        </w:rPr>
        <w:t xml:space="preserve">traktowania </w:t>
      </w:r>
      <w:r w:rsidRPr="0085159D">
        <w:rPr>
          <w:lang w:val="pl-PL"/>
        </w:rPr>
        <w:t>priorytetowego.</w:t>
      </w:r>
    </w:p>
    <w:p w14:paraId="6E7C7DE2" w14:textId="77777777" w:rsidR="00282A62" w:rsidRPr="0085159D" w:rsidRDefault="00101225" w:rsidP="000B051F">
      <w:pPr>
        <w:pStyle w:val="Para0"/>
        <w:rPr>
          <w:lang w:val="pl-PL"/>
        </w:rPr>
      </w:pPr>
      <w:r>
        <w:rPr>
          <w:lang w:val="pl-PL"/>
        </w:rPr>
        <w:t>P</w:t>
      </w:r>
      <w:r w:rsidR="00282A62" w:rsidRPr="0085159D">
        <w:rPr>
          <w:lang w:val="pl-PL"/>
        </w:rPr>
        <w:t xml:space="preserve">owyższe grupy mają swoje specyficzne cechy i wymagają </w:t>
      </w:r>
      <w:r w:rsidR="00450CF3" w:rsidRPr="0085159D">
        <w:rPr>
          <w:lang w:val="pl-PL"/>
        </w:rPr>
        <w:t xml:space="preserve">dopasowanej do </w:t>
      </w:r>
      <w:r>
        <w:rPr>
          <w:lang w:val="pl-PL"/>
        </w:rPr>
        <w:t xml:space="preserve">ich </w:t>
      </w:r>
      <w:r w:rsidR="00450CF3" w:rsidRPr="0085159D">
        <w:rPr>
          <w:lang w:val="pl-PL"/>
        </w:rPr>
        <w:t xml:space="preserve">potrzeb </w:t>
      </w:r>
      <w:r w:rsidR="00282A62" w:rsidRPr="0085159D">
        <w:rPr>
          <w:lang w:val="pl-PL"/>
        </w:rPr>
        <w:t xml:space="preserve">edukacji finansowej. Ponadto nie są to grupy </w:t>
      </w:r>
      <w:r w:rsidR="00450CF3" w:rsidRPr="0085159D">
        <w:rPr>
          <w:lang w:val="pl-PL"/>
        </w:rPr>
        <w:t xml:space="preserve">jednolite </w:t>
      </w:r>
      <w:r w:rsidR="00282A62" w:rsidRPr="0085159D">
        <w:rPr>
          <w:lang w:val="pl-PL"/>
        </w:rPr>
        <w:t>i każda z nich ma swoje podgrupy. Może zaistnieć potrzeba przeprowadzenia dodatkowych badań w celu zrozumienia ich wspólnych potrzeb, aby możliwe było odpowiednie dostosowanie edukacji finansowej. Opracowując i wdraż</w:t>
      </w:r>
      <w:r w:rsidR="00BE0005">
        <w:rPr>
          <w:lang w:val="pl-PL"/>
        </w:rPr>
        <w:t>ając programy, interesariusze z </w:t>
      </w:r>
      <w:r w:rsidR="00282A62" w:rsidRPr="0085159D">
        <w:rPr>
          <w:lang w:val="pl-PL"/>
        </w:rPr>
        <w:t xml:space="preserve">obszaru edukacji finansowej </w:t>
      </w:r>
      <w:r>
        <w:rPr>
          <w:lang w:val="pl-PL"/>
        </w:rPr>
        <w:t xml:space="preserve">powinni </w:t>
      </w:r>
      <w:r w:rsidR="00282A62" w:rsidRPr="0085159D">
        <w:rPr>
          <w:lang w:val="pl-PL"/>
        </w:rPr>
        <w:t>ponadto rozważyć dostosowanie swoich metod nauczania</w:t>
      </w:r>
      <w:r>
        <w:rPr>
          <w:lang w:val="pl-PL"/>
        </w:rPr>
        <w:t xml:space="preserve"> do </w:t>
      </w:r>
      <w:r w:rsidR="00282A62" w:rsidRPr="0085159D">
        <w:rPr>
          <w:lang w:val="pl-PL"/>
        </w:rPr>
        <w:t>specyficzn</w:t>
      </w:r>
      <w:r>
        <w:rPr>
          <w:lang w:val="pl-PL"/>
        </w:rPr>
        <w:t>ych</w:t>
      </w:r>
      <w:r w:rsidR="00282A62" w:rsidRPr="0085159D">
        <w:rPr>
          <w:lang w:val="pl-PL"/>
        </w:rPr>
        <w:t xml:space="preserve"> ogranicze</w:t>
      </w:r>
      <w:r>
        <w:rPr>
          <w:lang w:val="pl-PL"/>
        </w:rPr>
        <w:t>ń</w:t>
      </w:r>
      <w:r w:rsidR="00282A62" w:rsidRPr="0085159D">
        <w:rPr>
          <w:lang w:val="pl-PL"/>
        </w:rPr>
        <w:t xml:space="preserve"> niektórych osób (na przykład osób niedowidzących lub niedosłyszących).</w:t>
      </w:r>
    </w:p>
    <w:p w14:paraId="38F638EB" w14:textId="77777777" w:rsidR="00282A62" w:rsidRPr="0085159D" w:rsidRDefault="00282A62" w:rsidP="000B051F">
      <w:pPr>
        <w:pStyle w:val="Para0"/>
        <w:rPr>
          <w:lang w:val="pl-PL"/>
        </w:rPr>
      </w:pPr>
      <w:r w:rsidRPr="0085159D">
        <w:rPr>
          <w:lang w:val="pl-PL"/>
        </w:rPr>
        <w:t xml:space="preserve">Biorąc pod uwagę, że KSEF ma być dokumentem o charakterze długoterminowym i nierealne </w:t>
      </w:r>
      <w:r w:rsidR="00266DAF">
        <w:rPr>
          <w:lang w:val="pl-PL"/>
        </w:rPr>
        <w:t xml:space="preserve">jest </w:t>
      </w:r>
      <w:r w:rsidRPr="0085159D">
        <w:rPr>
          <w:lang w:val="pl-PL"/>
        </w:rPr>
        <w:t xml:space="preserve">podejmowanie prób zaspokojenia potrzeb wszystkich </w:t>
      </w:r>
      <w:r w:rsidR="00450CF3" w:rsidRPr="0085159D">
        <w:rPr>
          <w:lang w:val="pl-PL"/>
        </w:rPr>
        <w:t xml:space="preserve">istotnych </w:t>
      </w:r>
      <w:r w:rsidRPr="0085159D">
        <w:rPr>
          <w:lang w:val="pl-PL"/>
        </w:rPr>
        <w:t>grup</w:t>
      </w:r>
      <w:r w:rsidR="00450CF3" w:rsidRPr="0085159D">
        <w:rPr>
          <w:lang w:val="pl-PL"/>
        </w:rPr>
        <w:t xml:space="preserve"> jednocześnie</w:t>
      </w:r>
      <w:r w:rsidRPr="0085159D">
        <w:rPr>
          <w:lang w:val="pl-PL"/>
        </w:rPr>
        <w:t xml:space="preserve">, KSEF określa zestaw zasad </w:t>
      </w:r>
      <w:proofErr w:type="spellStart"/>
      <w:r w:rsidRPr="0085159D">
        <w:rPr>
          <w:lang w:val="pl-PL"/>
        </w:rPr>
        <w:t>priorytetyzacji</w:t>
      </w:r>
      <w:proofErr w:type="spellEnd"/>
      <w:r w:rsidRPr="0085159D">
        <w:rPr>
          <w:lang w:val="pl-PL"/>
        </w:rPr>
        <w:t xml:space="preserve">. </w:t>
      </w:r>
      <w:r w:rsidR="00473532">
        <w:rPr>
          <w:lang w:val="pl-PL"/>
        </w:rPr>
        <w:t>Z</w:t>
      </w:r>
      <w:r w:rsidR="00473532" w:rsidRPr="0085159D">
        <w:rPr>
          <w:lang w:val="pl-PL"/>
        </w:rPr>
        <w:t xml:space="preserve">asady </w:t>
      </w:r>
      <w:r w:rsidR="00473532">
        <w:rPr>
          <w:lang w:val="pl-PL"/>
        </w:rPr>
        <w:t>te zostały</w:t>
      </w:r>
      <w:r w:rsidR="00473532" w:rsidRPr="0085159D">
        <w:rPr>
          <w:lang w:val="pl-PL"/>
        </w:rPr>
        <w:t xml:space="preserve"> wykorzystane przy ustalaniu priorytetowych grup docelowych </w:t>
      </w:r>
      <w:r w:rsidR="00473532">
        <w:rPr>
          <w:lang w:val="pl-PL"/>
        </w:rPr>
        <w:t xml:space="preserve">dla pierwszego planu wdrażania. Będą </w:t>
      </w:r>
      <w:r w:rsidR="00266DAF">
        <w:rPr>
          <w:lang w:val="pl-PL"/>
        </w:rPr>
        <w:t xml:space="preserve">one </w:t>
      </w:r>
      <w:r w:rsidR="00473532">
        <w:rPr>
          <w:lang w:val="pl-PL"/>
        </w:rPr>
        <w:t>wykorzystywane również przy pracy nad kolejnymi planami wdrażania</w:t>
      </w:r>
      <w:r w:rsidRPr="0085159D">
        <w:rPr>
          <w:lang w:val="pl-PL"/>
        </w:rPr>
        <w:t xml:space="preserve">. Priorytetowe grupy docelowe </w:t>
      </w:r>
      <w:r w:rsidR="00266DAF">
        <w:rPr>
          <w:lang w:val="pl-PL"/>
        </w:rPr>
        <w:t xml:space="preserve">będzie </w:t>
      </w:r>
      <w:r w:rsidR="00450CF3" w:rsidRPr="0085159D">
        <w:rPr>
          <w:lang w:val="pl-PL"/>
        </w:rPr>
        <w:t xml:space="preserve">można </w:t>
      </w:r>
      <w:r w:rsidRPr="0085159D">
        <w:rPr>
          <w:lang w:val="pl-PL"/>
        </w:rPr>
        <w:t xml:space="preserve">zmieniać wraz z każdym </w:t>
      </w:r>
      <w:r w:rsidR="00450CF3" w:rsidRPr="0085159D">
        <w:rPr>
          <w:lang w:val="pl-PL"/>
        </w:rPr>
        <w:t>planem wdrażania</w:t>
      </w:r>
      <w:r w:rsidRPr="0085159D">
        <w:rPr>
          <w:lang w:val="pl-PL"/>
        </w:rPr>
        <w:t xml:space="preserve">, po dokonaniu </w:t>
      </w:r>
      <w:r w:rsidR="00450CF3" w:rsidRPr="0085159D">
        <w:rPr>
          <w:lang w:val="pl-PL"/>
        </w:rPr>
        <w:t>ewaluacji</w:t>
      </w:r>
      <w:r w:rsidRPr="0085159D">
        <w:rPr>
          <w:lang w:val="pl-PL"/>
        </w:rPr>
        <w:t>, w jaki sposób zostały już zaspokojone potrzeby</w:t>
      </w:r>
      <w:r w:rsidR="00450CF3" w:rsidRPr="0085159D">
        <w:rPr>
          <w:lang w:val="pl-PL"/>
        </w:rPr>
        <w:t xml:space="preserve"> tych grup</w:t>
      </w:r>
      <w:r w:rsidRPr="0085159D">
        <w:rPr>
          <w:lang w:val="pl-PL"/>
        </w:rPr>
        <w:t>, jakie prace pozostały do wykonania, a także jakie są potrzeby innych grup.</w:t>
      </w:r>
    </w:p>
    <w:p w14:paraId="58F265E9" w14:textId="77777777" w:rsidR="00282A62" w:rsidRPr="0085159D" w:rsidRDefault="00282A62" w:rsidP="000B051F">
      <w:pPr>
        <w:pStyle w:val="Para0"/>
        <w:rPr>
          <w:lang w:val="pl-PL"/>
        </w:rPr>
      </w:pPr>
      <w:r w:rsidRPr="0085159D">
        <w:rPr>
          <w:lang w:val="pl-PL"/>
        </w:rPr>
        <w:t xml:space="preserve">Zasady </w:t>
      </w:r>
      <w:proofErr w:type="spellStart"/>
      <w:r w:rsidRPr="0085159D">
        <w:rPr>
          <w:lang w:val="pl-PL"/>
        </w:rPr>
        <w:t>priorytetyzacji</w:t>
      </w:r>
      <w:proofErr w:type="spellEnd"/>
      <w:r w:rsidRPr="0085159D">
        <w:rPr>
          <w:lang w:val="pl-PL"/>
        </w:rPr>
        <w:t xml:space="preserve"> przedstawion</w:t>
      </w:r>
      <w:r w:rsidR="00450CF3" w:rsidRPr="0085159D">
        <w:rPr>
          <w:lang w:val="pl-PL"/>
        </w:rPr>
        <w:t>o</w:t>
      </w:r>
      <w:r w:rsidRPr="0085159D">
        <w:rPr>
          <w:lang w:val="pl-PL"/>
        </w:rPr>
        <w:t xml:space="preserve"> poniżej:</w:t>
      </w:r>
    </w:p>
    <w:p w14:paraId="663C93FA" w14:textId="77777777" w:rsidR="00282A62" w:rsidRPr="0085159D" w:rsidRDefault="00450CF3" w:rsidP="000B051F">
      <w:pPr>
        <w:pStyle w:val="BulletedList"/>
        <w:rPr>
          <w:lang w:val="pl-PL"/>
        </w:rPr>
      </w:pPr>
      <w:r w:rsidRPr="0085159D">
        <w:rPr>
          <w:b/>
          <w:bCs/>
          <w:i/>
          <w:iCs/>
          <w:lang w:val="pl-PL"/>
        </w:rPr>
        <w:t xml:space="preserve">Faktyczna </w:t>
      </w:r>
      <w:r w:rsidR="00282A62" w:rsidRPr="0085159D">
        <w:rPr>
          <w:b/>
          <w:bCs/>
          <w:i/>
          <w:iCs/>
          <w:lang w:val="pl-PL"/>
        </w:rPr>
        <w:t xml:space="preserve">lub potencjalna </w:t>
      </w:r>
      <w:r w:rsidR="00603615" w:rsidRPr="0085159D">
        <w:rPr>
          <w:b/>
          <w:bCs/>
          <w:i/>
          <w:iCs/>
          <w:lang w:val="pl-PL"/>
        </w:rPr>
        <w:t>podatność danej grupy na trudności finansowe</w:t>
      </w:r>
      <w:r w:rsidR="00282A62" w:rsidRPr="0085159D">
        <w:rPr>
          <w:b/>
          <w:bCs/>
          <w:i/>
          <w:iCs/>
          <w:lang w:val="pl-PL"/>
        </w:rPr>
        <w:t>.</w:t>
      </w:r>
      <w:r w:rsidR="00282A62" w:rsidRPr="0085159D">
        <w:rPr>
          <w:i/>
          <w:iCs/>
          <w:lang w:val="pl-PL"/>
        </w:rPr>
        <w:t xml:space="preserve"> </w:t>
      </w:r>
      <w:r w:rsidR="00282A62" w:rsidRPr="0085159D">
        <w:rPr>
          <w:lang w:val="pl-PL"/>
        </w:rPr>
        <w:t xml:space="preserve">Kryterium </w:t>
      </w:r>
      <w:r w:rsidR="009E03B9" w:rsidRPr="0085159D">
        <w:rPr>
          <w:lang w:val="pl-PL"/>
        </w:rPr>
        <w:t xml:space="preserve">to </w:t>
      </w:r>
      <w:r w:rsidR="00282A62" w:rsidRPr="0085159D">
        <w:rPr>
          <w:lang w:val="pl-PL"/>
        </w:rPr>
        <w:t>bada</w:t>
      </w:r>
      <w:r w:rsidR="009E03B9" w:rsidRPr="0085159D">
        <w:rPr>
          <w:lang w:val="pl-PL"/>
        </w:rPr>
        <w:t>,</w:t>
      </w:r>
      <w:r w:rsidR="00282A62" w:rsidRPr="0085159D">
        <w:rPr>
          <w:lang w:val="pl-PL"/>
        </w:rPr>
        <w:t xml:space="preserve"> jak</w:t>
      </w:r>
      <w:r w:rsidR="00603615" w:rsidRPr="0085159D">
        <w:rPr>
          <w:lang w:val="pl-PL"/>
        </w:rPr>
        <w:t>a</w:t>
      </w:r>
      <w:r w:rsidR="00282A62" w:rsidRPr="0085159D">
        <w:rPr>
          <w:lang w:val="pl-PL"/>
        </w:rPr>
        <w:t xml:space="preserve"> </w:t>
      </w:r>
      <w:r w:rsidR="00603615" w:rsidRPr="0085159D">
        <w:rPr>
          <w:lang w:val="pl-PL"/>
        </w:rPr>
        <w:t>jest</w:t>
      </w:r>
      <w:r w:rsidR="00282A62" w:rsidRPr="0085159D">
        <w:rPr>
          <w:lang w:val="pl-PL"/>
        </w:rPr>
        <w:t xml:space="preserve"> </w:t>
      </w:r>
      <w:r w:rsidR="00603615" w:rsidRPr="0085159D">
        <w:rPr>
          <w:lang w:val="pl-PL"/>
        </w:rPr>
        <w:t>faktyczna</w:t>
      </w:r>
      <w:r w:rsidR="009E03B9" w:rsidRPr="0085159D">
        <w:rPr>
          <w:lang w:val="pl-PL"/>
        </w:rPr>
        <w:t xml:space="preserve"> </w:t>
      </w:r>
      <w:r w:rsidR="00282A62" w:rsidRPr="0085159D">
        <w:rPr>
          <w:lang w:val="pl-PL"/>
        </w:rPr>
        <w:t>lub potencjaln</w:t>
      </w:r>
      <w:r w:rsidR="00603615" w:rsidRPr="0085159D">
        <w:rPr>
          <w:lang w:val="pl-PL"/>
        </w:rPr>
        <w:t>a</w:t>
      </w:r>
      <w:r w:rsidR="00282A62" w:rsidRPr="0085159D">
        <w:rPr>
          <w:lang w:val="pl-PL"/>
        </w:rPr>
        <w:t xml:space="preserve"> </w:t>
      </w:r>
      <w:r w:rsidR="00603615" w:rsidRPr="0085159D">
        <w:rPr>
          <w:lang w:val="pl-PL"/>
        </w:rPr>
        <w:t xml:space="preserve">podatność na trudności finansowe </w:t>
      </w:r>
      <w:r w:rsidR="00282A62" w:rsidRPr="0085159D">
        <w:rPr>
          <w:lang w:val="pl-PL"/>
        </w:rPr>
        <w:t xml:space="preserve">danej grupy docelowej. </w:t>
      </w:r>
      <w:r w:rsidR="009E03B9" w:rsidRPr="0085159D">
        <w:rPr>
          <w:lang w:val="pl-PL"/>
        </w:rPr>
        <w:t>W z</w:t>
      </w:r>
      <w:r w:rsidR="00282A62" w:rsidRPr="0085159D">
        <w:rPr>
          <w:lang w:val="pl-PL"/>
        </w:rPr>
        <w:t>aktualizowan</w:t>
      </w:r>
      <w:r w:rsidR="009E03B9" w:rsidRPr="0085159D">
        <w:rPr>
          <w:lang w:val="pl-PL"/>
        </w:rPr>
        <w:t>ym dokumencie</w:t>
      </w:r>
      <w:r w:rsidR="00282A62" w:rsidRPr="0085159D">
        <w:rPr>
          <w:lang w:val="pl-PL"/>
        </w:rPr>
        <w:t xml:space="preserve"> </w:t>
      </w:r>
      <w:r w:rsidR="009E03B9" w:rsidRPr="0085159D">
        <w:rPr>
          <w:lang w:val="pl-PL"/>
        </w:rPr>
        <w:t>„</w:t>
      </w:r>
      <w:r w:rsidR="00282A62" w:rsidRPr="0085159D">
        <w:rPr>
          <w:lang w:val="pl-PL"/>
        </w:rPr>
        <w:t xml:space="preserve">G20/OECD High-Level </w:t>
      </w:r>
      <w:proofErr w:type="spellStart"/>
      <w:r w:rsidR="00282A62" w:rsidRPr="0085159D">
        <w:rPr>
          <w:lang w:val="pl-PL"/>
        </w:rPr>
        <w:t>Principles</w:t>
      </w:r>
      <w:proofErr w:type="spellEnd"/>
      <w:r w:rsidR="00282A62" w:rsidRPr="0085159D">
        <w:rPr>
          <w:lang w:val="pl-PL"/>
        </w:rPr>
        <w:t xml:space="preserve"> on Financial Consumer </w:t>
      </w:r>
      <w:proofErr w:type="spellStart"/>
      <w:r w:rsidR="00282A62" w:rsidRPr="0085159D">
        <w:rPr>
          <w:lang w:val="pl-PL"/>
        </w:rPr>
        <w:t>Protection</w:t>
      </w:r>
      <w:proofErr w:type="spellEnd"/>
      <w:r w:rsidR="009E03B9" w:rsidRPr="0085159D">
        <w:rPr>
          <w:lang w:val="pl-PL"/>
        </w:rPr>
        <w:t>”</w:t>
      </w:r>
      <w:r w:rsidR="00282A62" w:rsidRPr="0085159D">
        <w:rPr>
          <w:lang w:val="pl-PL"/>
        </w:rPr>
        <w:t xml:space="preserve"> </w:t>
      </w:r>
      <w:sdt>
        <w:sdtPr>
          <w:rPr>
            <w:lang w:val="pl-PL"/>
          </w:rPr>
          <w:id w:val="644322128"/>
          <w:citation/>
        </w:sdtPr>
        <w:sdtEndPr/>
        <w:sdtContent>
          <w:r w:rsidR="00282A62" w:rsidRPr="0085159D">
            <w:rPr>
              <w:lang w:val="pl-PL"/>
            </w:rPr>
            <w:fldChar w:fldCharType="begin"/>
          </w:r>
          <w:r w:rsidR="00282A62" w:rsidRPr="0085159D">
            <w:rPr>
              <w:lang w:val="pl-PL"/>
            </w:rPr>
            <w:instrText xml:space="preserve"> CITATION Mendeley_zFn5f96XpD2ZgmNs8s__Krg \l 2057 </w:instrText>
          </w:r>
          <w:r w:rsidR="00282A62" w:rsidRPr="0085159D">
            <w:rPr>
              <w:lang w:val="pl-PL"/>
            </w:rPr>
            <w:fldChar w:fldCharType="separate"/>
          </w:r>
          <w:r w:rsidR="00282A62" w:rsidRPr="0085159D">
            <w:rPr>
              <w:noProof/>
              <w:lang w:val="pl-PL"/>
            </w:rPr>
            <w:t>(OECD, 2022</w:t>
          </w:r>
          <w:r w:rsidR="00282A62" w:rsidRPr="0085159D">
            <w:rPr>
              <w:noProof/>
              <w:vertAlign w:val="subscript"/>
              <w:lang w:val="pl-PL"/>
            </w:rPr>
            <w:t>[28]</w:t>
          </w:r>
          <w:r w:rsidR="00282A62" w:rsidRPr="0085159D">
            <w:rPr>
              <w:noProof/>
              <w:lang w:val="pl-PL"/>
            </w:rPr>
            <w:t>)</w:t>
          </w:r>
          <w:r w:rsidR="00282A62" w:rsidRPr="0085159D">
            <w:rPr>
              <w:lang w:val="pl-PL"/>
            </w:rPr>
            <w:fldChar w:fldCharType="end"/>
          </w:r>
        </w:sdtContent>
      </w:sdt>
      <w:r w:rsidR="00282A62" w:rsidRPr="0085159D">
        <w:rPr>
          <w:lang w:val="pl-PL"/>
        </w:rPr>
        <w:t xml:space="preserve"> potwierdz</w:t>
      </w:r>
      <w:r w:rsidR="009E03B9" w:rsidRPr="0085159D">
        <w:rPr>
          <w:lang w:val="pl-PL"/>
        </w:rPr>
        <w:t>ono</w:t>
      </w:r>
      <w:r w:rsidR="00282A62" w:rsidRPr="0085159D">
        <w:rPr>
          <w:lang w:val="pl-PL"/>
        </w:rPr>
        <w:t xml:space="preserve">, że podatność konsumentów na zagrożenia może przejawiać się w różny sposób i może wynikać z połączenia cech osobistych, indywidualnych okoliczności, sytuacji ekonomicznej i warunków rynkowych. </w:t>
      </w:r>
      <w:r w:rsidR="00266DAF">
        <w:rPr>
          <w:lang w:val="pl-PL"/>
        </w:rPr>
        <w:t>O</w:t>
      </w:r>
      <w:r w:rsidR="00282A62" w:rsidRPr="0085159D">
        <w:rPr>
          <w:lang w:val="pl-PL"/>
        </w:rPr>
        <w:t xml:space="preserve">soba podatna na </w:t>
      </w:r>
      <w:r w:rsidR="00266DAF">
        <w:rPr>
          <w:lang w:val="pl-PL"/>
        </w:rPr>
        <w:t xml:space="preserve">trudności </w:t>
      </w:r>
      <w:r w:rsidR="00282A62" w:rsidRPr="0085159D">
        <w:rPr>
          <w:lang w:val="pl-PL"/>
        </w:rPr>
        <w:t>finansow</w:t>
      </w:r>
      <w:r w:rsidR="00266DAF">
        <w:rPr>
          <w:lang w:val="pl-PL"/>
        </w:rPr>
        <w:t>e</w:t>
      </w:r>
      <w:r w:rsidR="00282A62" w:rsidRPr="0085159D">
        <w:rPr>
          <w:lang w:val="pl-PL"/>
        </w:rPr>
        <w:t xml:space="preserve"> to osoba, która stoi w</w:t>
      </w:r>
      <w:r w:rsidR="00545FC9">
        <w:rPr>
          <w:lang w:val="pl-PL"/>
        </w:rPr>
        <w:t> </w:t>
      </w:r>
      <w:r w:rsidR="00282A62" w:rsidRPr="0085159D">
        <w:rPr>
          <w:lang w:val="pl-PL"/>
        </w:rPr>
        <w:t xml:space="preserve">obliczu niestabilności finansowej lub sytuacji, która naraża ją na ryzyko finansowe i </w:t>
      </w:r>
      <w:r w:rsidR="009E03B9" w:rsidRPr="0085159D">
        <w:rPr>
          <w:lang w:val="pl-PL"/>
        </w:rPr>
        <w:t xml:space="preserve">wstrząs </w:t>
      </w:r>
      <w:r w:rsidR="00282A62" w:rsidRPr="0085159D">
        <w:rPr>
          <w:lang w:val="pl-PL"/>
        </w:rPr>
        <w:t xml:space="preserve">finansowy. Zazwyczaj osoby te są w sytuacji połączenia niskich dochodów lub małej ilości płynnych aktywów z wysokim zadłużeniem, słabą ochroną socjalną czy ubezpieczeniową oraz trudnościami w radzeniu sobie ze stresem finansowym. Każdy, w pewnych warunkach, może stać się podatny na zagrożenia </w:t>
      </w:r>
      <w:r w:rsidR="003016BE" w:rsidRPr="0085159D">
        <w:rPr>
          <w:lang w:val="pl-PL"/>
        </w:rPr>
        <w:t xml:space="preserve">związane z </w:t>
      </w:r>
      <w:r w:rsidR="00282A62" w:rsidRPr="0085159D">
        <w:rPr>
          <w:lang w:val="pl-PL"/>
        </w:rPr>
        <w:t>finans</w:t>
      </w:r>
      <w:r w:rsidR="003016BE" w:rsidRPr="0085159D">
        <w:rPr>
          <w:lang w:val="pl-PL"/>
        </w:rPr>
        <w:t>ami</w:t>
      </w:r>
      <w:r w:rsidR="00282A62" w:rsidRPr="0085159D">
        <w:rPr>
          <w:lang w:val="pl-PL"/>
        </w:rPr>
        <w:t xml:space="preserve">. </w:t>
      </w:r>
      <w:r w:rsidR="000F54F6">
        <w:rPr>
          <w:lang w:val="pl-PL"/>
        </w:rPr>
        <w:t>I</w:t>
      </w:r>
      <w:r w:rsidR="00282A62" w:rsidRPr="0085159D">
        <w:rPr>
          <w:lang w:val="pl-PL"/>
        </w:rPr>
        <w:t xml:space="preserve">dentyfikacja </w:t>
      </w:r>
      <w:r w:rsidR="000F54F6">
        <w:rPr>
          <w:lang w:val="pl-PL"/>
        </w:rPr>
        <w:t>czynników wpływających na wystąpienie trudności finansowych w</w:t>
      </w:r>
      <w:r w:rsidR="000F54F6" w:rsidRPr="0085159D">
        <w:rPr>
          <w:lang w:val="pl-PL"/>
        </w:rPr>
        <w:t xml:space="preserve"> polskich realiach </w:t>
      </w:r>
      <w:r w:rsidR="00282A62" w:rsidRPr="0085159D">
        <w:rPr>
          <w:lang w:val="pl-PL"/>
        </w:rPr>
        <w:t>mogł</w:t>
      </w:r>
      <w:r w:rsidR="009E03B9" w:rsidRPr="0085159D">
        <w:rPr>
          <w:lang w:val="pl-PL"/>
        </w:rPr>
        <w:t>a</w:t>
      </w:r>
      <w:r w:rsidR="00282A62" w:rsidRPr="0085159D">
        <w:rPr>
          <w:lang w:val="pl-PL"/>
        </w:rPr>
        <w:t>by dostarczyć informacji o konkretnych cechach sytuacji prowadzących do podatności na zagrożenia określonych grup docelowych</w:t>
      </w:r>
      <w:r w:rsidR="009E03B9" w:rsidRPr="0085159D">
        <w:rPr>
          <w:lang w:val="pl-PL"/>
        </w:rPr>
        <w:t>.</w:t>
      </w:r>
      <w:r w:rsidR="00282A62" w:rsidRPr="0085159D">
        <w:rPr>
          <w:lang w:val="pl-PL"/>
        </w:rPr>
        <w:t xml:space="preserve"> </w:t>
      </w:r>
      <w:r w:rsidR="009E03B9" w:rsidRPr="0085159D">
        <w:rPr>
          <w:lang w:val="pl-PL"/>
        </w:rPr>
        <w:t>To</w:t>
      </w:r>
      <w:r w:rsidR="00282A62" w:rsidRPr="0085159D">
        <w:rPr>
          <w:lang w:val="pl-PL"/>
        </w:rPr>
        <w:t xml:space="preserve"> być może pozwoliłoby na bardziej ustandaryzowany sposób zastosowania tego kryterium do przyszłych </w:t>
      </w:r>
      <w:r w:rsidR="009E03B9" w:rsidRPr="0085159D">
        <w:rPr>
          <w:lang w:val="pl-PL"/>
        </w:rPr>
        <w:t>planów wdrażania</w:t>
      </w:r>
      <w:r w:rsidR="00282A62" w:rsidRPr="0085159D">
        <w:rPr>
          <w:lang w:val="pl-PL"/>
        </w:rPr>
        <w:t xml:space="preserve">. Na potrzeby </w:t>
      </w:r>
      <w:r w:rsidR="003016BE" w:rsidRPr="0085159D">
        <w:rPr>
          <w:lang w:val="pl-PL"/>
        </w:rPr>
        <w:t xml:space="preserve">pierwszego </w:t>
      </w:r>
      <w:r w:rsidR="009E03B9" w:rsidRPr="0085159D">
        <w:rPr>
          <w:lang w:val="pl-PL"/>
        </w:rPr>
        <w:t xml:space="preserve">planu wdrażania </w:t>
      </w:r>
      <w:r w:rsidR="00BE0005">
        <w:rPr>
          <w:lang w:val="pl-PL"/>
        </w:rPr>
        <w:t>i </w:t>
      </w:r>
      <w:r w:rsidR="00282A62" w:rsidRPr="0085159D">
        <w:rPr>
          <w:lang w:val="pl-PL"/>
        </w:rPr>
        <w:t xml:space="preserve">określenia priorytetowych grup docelowych przyjęto </w:t>
      </w:r>
      <w:r w:rsidR="00916AA1">
        <w:rPr>
          <w:lang w:val="pl-PL"/>
        </w:rPr>
        <w:t xml:space="preserve">ww. </w:t>
      </w:r>
      <w:r w:rsidR="00282A62" w:rsidRPr="0085159D">
        <w:rPr>
          <w:lang w:val="pl-PL"/>
        </w:rPr>
        <w:t xml:space="preserve">ogólną definicję </w:t>
      </w:r>
      <w:r w:rsidR="000F54F6">
        <w:rPr>
          <w:lang w:val="pl-PL"/>
        </w:rPr>
        <w:t>podatności na trudności finansowe</w:t>
      </w:r>
      <w:r w:rsidR="00282A62" w:rsidRPr="0085159D">
        <w:rPr>
          <w:lang w:val="pl-PL"/>
        </w:rPr>
        <w:t xml:space="preserve"> wraz z analizą przeprowadzoną przez OECD w raporcie „Znajomość zagadnień </w:t>
      </w:r>
      <w:r w:rsidR="0041258F" w:rsidRPr="0085159D">
        <w:rPr>
          <w:lang w:val="pl-PL"/>
        </w:rPr>
        <w:t>finansowych w Polsce:</w:t>
      </w:r>
      <w:r w:rsidR="009E03B9" w:rsidRPr="0085159D">
        <w:rPr>
          <w:lang w:val="pl-PL"/>
        </w:rPr>
        <w:t xml:space="preserve"> </w:t>
      </w:r>
      <w:r w:rsidR="00282A62" w:rsidRPr="0085159D">
        <w:rPr>
          <w:lang w:val="pl-PL"/>
        </w:rPr>
        <w:t xml:space="preserve">Znaczenie, dowody i oferta edukacyjna” </w:t>
      </w:r>
      <w:sdt>
        <w:sdtPr>
          <w:rPr>
            <w:lang w:val="pl-PL"/>
          </w:rPr>
          <w:id w:val="2024750581"/>
          <w:citation/>
        </w:sdtPr>
        <w:sdtEndPr/>
        <w:sdtContent>
          <w:r w:rsidR="00282A62" w:rsidRPr="0085159D">
            <w:rPr>
              <w:lang w:val="pl-PL"/>
            </w:rPr>
            <w:fldChar w:fldCharType="begin"/>
          </w:r>
          <w:r w:rsidR="00282A62" w:rsidRPr="0085159D">
            <w:rPr>
              <w:lang w:val="pl-PL"/>
            </w:rPr>
            <w:instrText xml:space="preserve"> CITATION Mendeley_HL1LB5KKEzudIUMChZuI__A \l 2057 </w:instrText>
          </w:r>
          <w:r w:rsidR="00282A62" w:rsidRPr="0085159D">
            <w:rPr>
              <w:lang w:val="pl-PL"/>
            </w:rPr>
            <w:fldChar w:fldCharType="separate"/>
          </w:r>
          <w:r w:rsidR="00282A62" w:rsidRPr="0085159D">
            <w:rPr>
              <w:noProof/>
              <w:lang w:val="pl-PL"/>
            </w:rPr>
            <w:t>(OECD, 2022</w:t>
          </w:r>
          <w:r w:rsidR="00282A62" w:rsidRPr="0085159D">
            <w:rPr>
              <w:noProof/>
              <w:vertAlign w:val="subscript"/>
              <w:lang w:val="pl-PL"/>
            </w:rPr>
            <w:t>[3]</w:t>
          </w:r>
          <w:r w:rsidR="00282A62" w:rsidRPr="0085159D">
            <w:rPr>
              <w:noProof/>
              <w:lang w:val="pl-PL"/>
            </w:rPr>
            <w:t>)</w:t>
          </w:r>
          <w:r w:rsidR="00282A62" w:rsidRPr="0085159D">
            <w:rPr>
              <w:lang w:val="pl-PL"/>
            </w:rPr>
            <w:fldChar w:fldCharType="end"/>
          </w:r>
        </w:sdtContent>
      </w:sdt>
      <w:r w:rsidR="00282A62" w:rsidRPr="0085159D">
        <w:rPr>
          <w:lang w:val="pl-PL"/>
        </w:rPr>
        <w:t>.</w:t>
      </w:r>
    </w:p>
    <w:p w14:paraId="3D05D315" w14:textId="77777777" w:rsidR="00282A62" w:rsidRPr="0085159D" w:rsidRDefault="00282A62" w:rsidP="000B051F">
      <w:pPr>
        <w:pStyle w:val="BulletedList"/>
        <w:rPr>
          <w:lang w:val="pl-PL"/>
        </w:rPr>
      </w:pPr>
      <w:r w:rsidRPr="0085159D">
        <w:rPr>
          <w:b/>
          <w:bCs/>
          <w:i/>
          <w:iCs/>
          <w:lang w:val="pl-PL"/>
        </w:rPr>
        <w:t>Wielkość priorytetowej grupy docelowej</w:t>
      </w:r>
      <w:r w:rsidR="009E03B9" w:rsidRPr="0085159D">
        <w:rPr>
          <w:b/>
          <w:bCs/>
          <w:i/>
          <w:iCs/>
          <w:lang w:val="pl-PL"/>
        </w:rPr>
        <w:t>.</w:t>
      </w:r>
      <w:r w:rsidRPr="0085159D">
        <w:rPr>
          <w:i/>
          <w:iCs/>
          <w:lang w:val="pl-PL"/>
        </w:rPr>
        <w:t xml:space="preserve"> </w:t>
      </w:r>
      <w:r w:rsidRPr="0085159D">
        <w:rPr>
          <w:lang w:val="pl-PL"/>
        </w:rPr>
        <w:t xml:space="preserve">Zasada ta uwzględnia wielkość priorytetowej grupy docelowej oraz to, jak łatwo </w:t>
      </w:r>
      <w:r w:rsidR="009E03B9" w:rsidRPr="0085159D">
        <w:rPr>
          <w:lang w:val="pl-PL"/>
        </w:rPr>
        <w:t xml:space="preserve">można </w:t>
      </w:r>
      <w:r w:rsidRPr="0085159D">
        <w:rPr>
          <w:lang w:val="pl-PL"/>
        </w:rPr>
        <w:t xml:space="preserve">taką grupę zidentyfikować. </w:t>
      </w:r>
      <w:r w:rsidR="00916AA1">
        <w:rPr>
          <w:lang w:val="pl-PL"/>
        </w:rPr>
        <w:t>K</w:t>
      </w:r>
      <w:r w:rsidRPr="0085159D">
        <w:rPr>
          <w:lang w:val="pl-PL"/>
        </w:rPr>
        <w:t>ażda osoba ma swoje indywidualne potrzeby, cechy, osobiste okoliczności i</w:t>
      </w:r>
      <w:r w:rsidR="00545FC9">
        <w:rPr>
          <w:lang w:val="pl-PL"/>
        </w:rPr>
        <w:t> </w:t>
      </w:r>
      <w:r w:rsidRPr="0085159D">
        <w:rPr>
          <w:lang w:val="pl-PL"/>
        </w:rPr>
        <w:t xml:space="preserve">preferencje, co oznacza, że grupy docelowe z założenia </w:t>
      </w:r>
      <w:r w:rsidR="00916AA1" w:rsidRPr="0085159D">
        <w:rPr>
          <w:lang w:val="pl-PL"/>
        </w:rPr>
        <w:t xml:space="preserve">są </w:t>
      </w:r>
      <w:r w:rsidR="009E03B9" w:rsidRPr="0085159D">
        <w:rPr>
          <w:lang w:val="pl-PL"/>
        </w:rPr>
        <w:t>różnorodne</w:t>
      </w:r>
      <w:r w:rsidRPr="0085159D">
        <w:rPr>
          <w:lang w:val="pl-PL"/>
        </w:rPr>
        <w:t xml:space="preserve">. Dlatego zwykle konieczny jest pewien poziom uogólnienia programów edukacji finansowej, które mają odpowiadać na potrzeby konkretnych grup docelowych, a nie jednostek. W tym kontekście należy wziąć pod uwagę wielkość grupy, ponieważ może mieć </w:t>
      </w:r>
      <w:r w:rsidR="009E03B9" w:rsidRPr="0085159D">
        <w:rPr>
          <w:lang w:val="pl-PL"/>
        </w:rPr>
        <w:t xml:space="preserve">ona </w:t>
      </w:r>
      <w:r w:rsidRPr="0085159D">
        <w:rPr>
          <w:lang w:val="pl-PL"/>
        </w:rPr>
        <w:t>wpływ na zasięg, efektywność kosztową i skuteczność programów edukacji finansowej oraz całej KSEF.</w:t>
      </w:r>
    </w:p>
    <w:p w14:paraId="237FB0BC" w14:textId="77777777" w:rsidR="00282A62" w:rsidRPr="0085159D" w:rsidRDefault="009E03B9" w:rsidP="000B051F">
      <w:pPr>
        <w:pStyle w:val="BulletedList"/>
        <w:rPr>
          <w:lang w:val="pl-PL"/>
        </w:rPr>
      </w:pPr>
      <w:r w:rsidRPr="0085159D">
        <w:rPr>
          <w:b/>
          <w:bCs/>
          <w:i/>
          <w:iCs/>
          <w:lang w:val="pl-PL"/>
        </w:rPr>
        <w:t xml:space="preserve">Obecne </w:t>
      </w:r>
      <w:r w:rsidR="00282A62" w:rsidRPr="0085159D">
        <w:rPr>
          <w:b/>
          <w:bCs/>
          <w:i/>
          <w:iCs/>
          <w:lang w:val="pl-PL"/>
        </w:rPr>
        <w:t>programy edukacji finansowej dla proponowanej priorytetowej grupy docelowej.</w:t>
      </w:r>
      <w:r w:rsidR="00282A62" w:rsidRPr="0085159D">
        <w:rPr>
          <w:i/>
          <w:iCs/>
          <w:lang w:val="pl-PL"/>
        </w:rPr>
        <w:t xml:space="preserve"> </w:t>
      </w:r>
      <w:r w:rsidR="00282A62" w:rsidRPr="0085159D">
        <w:rPr>
          <w:lang w:val="pl-PL"/>
        </w:rPr>
        <w:t xml:space="preserve">Niektóre grupy docelowe mogą być objęte </w:t>
      </w:r>
      <w:r w:rsidR="00916AA1">
        <w:rPr>
          <w:lang w:val="pl-PL"/>
        </w:rPr>
        <w:t xml:space="preserve">już istniejącym </w:t>
      </w:r>
      <w:r w:rsidR="00282A62" w:rsidRPr="0085159D">
        <w:rPr>
          <w:lang w:val="pl-PL"/>
        </w:rPr>
        <w:t xml:space="preserve">programem edukacji finansowej. To oznacza, że nowe programy edukacji finansowej powinny koncentrować się na grupach, do których takie programy </w:t>
      </w:r>
      <w:r w:rsidRPr="0085159D">
        <w:rPr>
          <w:lang w:val="pl-PL"/>
        </w:rPr>
        <w:t xml:space="preserve">nie były dotychczas </w:t>
      </w:r>
      <w:r w:rsidR="00282A62" w:rsidRPr="0085159D">
        <w:rPr>
          <w:lang w:val="pl-PL"/>
        </w:rPr>
        <w:t>kierowane.</w:t>
      </w:r>
    </w:p>
    <w:p w14:paraId="74ABE98C" w14:textId="77777777" w:rsidR="00282A62" w:rsidRPr="0085159D" w:rsidRDefault="00282A62" w:rsidP="000B051F">
      <w:pPr>
        <w:pStyle w:val="Para0"/>
        <w:rPr>
          <w:lang w:val="pl-PL"/>
        </w:rPr>
      </w:pPr>
      <w:r w:rsidRPr="0085159D">
        <w:rPr>
          <w:lang w:val="pl-PL"/>
        </w:rPr>
        <w:lastRenderedPageBreak/>
        <w:t xml:space="preserve">Odpowiednie dane i badania będą wspierać stosowanie </w:t>
      </w:r>
      <w:r w:rsidR="00916AA1">
        <w:rPr>
          <w:lang w:val="pl-PL"/>
        </w:rPr>
        <w:t xml:space="preserve">wyżej przedstawionych </w:t>
      </w:r>
      <w:r w:rsidRPr="0085159D">
        <w:rPr>
          <w:lang w:val="pl-PL"/>
        </w:rPr>
        <w:t>kryteriów w procesie podejmowania decyzji</w:t>
      </w:r>
      <w:r w:rsidR="00916AA1">
        <w:rPr>
          <w:lang w:val="pl-PL"/>
        </w:rPr>
        <w:t xml:space="preserve"> dotyczącej wyboru priorytetowej grupy docelowej</w:t>
      </w:r>
      <w:r w:rsidRPr="0085159D">
        <w:rPr>
          <w:lang w:val="pl-PL"/>
        </w:rPr>
        <w:t xml:space="preserve">. </w:t>
      </w:r>
      <w:r w:rsidR="009801B7">
        <w:rPr>
          <w:lang w:val="pl-PL"/>
        </w:rPr>
        <w:t>Z</w:t>
      </w:r>
      <w:r w:rsidRPr="0085159D">
        <w:rPr>
          <w:lang w:val="pl-PL"/>
        </w:rPr>
        <w:t>asad</w:t>
      </w:r>
      <w:r w:rsidR="009801B7">
        <w:rPr>
          <w:lang w:val="pl-PL"/>
        </w:rPr>
        <w:t>y</w:t>
      </w:r>
      <w:r w:rsidRPr="0085159D">
        <w:rPr>
          <w:lang w:val="pl-PL"/>
        </w:rPr>
        <w:t xml:space="preserve"> </w:t>
      </w:r>
      <w:proofErr w:type="spellStart"/>
      <w:r w:rsidR="0085159D" w:rsidRPr="0085159D">
        <w:rPr>
          <w:lang w:val="pl-PL"/>
        </w:rPr>
        <w:t>priorytetyzacji</w:t>
      </w:r>
      <w:proofErr w:type="spellEnd"/>
      <w:r w:rsidRPr="0085159D">
        <w:rPr>
          <w:lang w:val="pl-PL"/>
        </w:rPr>
        <w:t xml:space="preserve"> mus</w:t>
      </w:r>
      <w:r w:rsidR="009801B7">
        <w:rPr>
          <w:lang w:val="pl-PL"/>
        </w:rPr>
        <w:t>zą też</w:t>
      </w:r>
      <w:r w:rsidRPr="0085159D">
        <w:rPr>
          <w:lang w:val="pl-PL"/>
        </w:rPr>
        <w:t xml:space="preserve"> uwzględniać wszelkie ograniczenia, takie jak na przykład możliwość dotarcia do określonych odbiorców.</w:t>
      </w:r>
    </w:p>
    <w:p w14:paraId="022B841E" w14:textId="77777777" w:rsidR="00282A62" w:rsidRPr="0085159D" w:rsidRDefault="009801B7" w:rsidP="000B051F">
      <w:pPr>
        <w:pStyle w:val="Para0"/>
        <w:rPr>
          <w:lang w:val="pl-PL"/>
        </w:rPr>
      </w:pPr>
      <w:r>
        <w:rPr>
          <w:lang w:val="pl-PL"/>
        </w:rPr>
        <w:t>N</w:t>
      </w:r>
      <w:r w:rsidR="00282A62" w:rsidRPr="0085159D">
        <w:rPr>
          <w:lang w:val="pl-PL"/>
        </w:rPr>
        <w:t>iektóre grupy priorytetowe mogą</w:t>
      </w:r>
      <w:r w:rsidR="005214E6" w:rsidRPr="0085159D">
        <w:rPr>
          <w:lang w:val="pl-PL"/>
        </w:rPr>
        <w:t xml:space="preserve"> się </w:t>
      </w:r>
      <w:r w:rsidR="00282A62" w:rsidRPr="0085159D">
        <w:rPr>
          <w:lang w:val="pl-PL"/>
        </w:rPr>
        <w:t xml:space="preserve">zmieniać wraz z każdym </w:t>
      </w:r>
      <w:r w:rsidR="009E03B9" w:rsidRPr="0085159D">
        <w:rPr>
          <w:lang w:val="pl-PL"/>
        </w:rPr>
        <w:t>planem wdrażania</w:t>
      </w:r>
      <w:r w:rsidR="00282A62" w:rsidRPr="0085159D">
        <w:rPr>
          <w:lang w:val="pl-PL"/>
        </w:rPr>
        <w:t>, inne mogą być grupami priorytetowymi</w:t>
      </w:r>
      <w:r w:rsidR="009E03B9" w:rsidRPr="0085159D">
        <w:rPr>
          <w:lang w:val="pl-PL"/>
        </w:rPr>
        <w:t xml:space="preserve"> długoterminowymi</w:t>
      </w:r>
      <w:r w:rsidR="00282A62" w:rsidRPr="0085159D">
        <w:rPr>
          <w:lang w:val="pl-PL"/>
        </w:rPr>
        <w:t xml:space="preserve">, którymi można się zajmować przez dłuższy czas. Należy również zauważyć, że wybranie ograniczonej liczby priorytetowych grup docelowych w ramach jednego </w:t>
      </w:r>
      <w:r w:rsidR="009E03B9" w:rsidRPr="0085159D">
        <w:rPr>
          <w:lang w:val="pl-PL"/>
        </w:rPr>
        <w:t>planu wdrażania</w:t>
      </w:r>
      <w:r w:rsidR="00282A62" w:rsidRPr="0085159D">
        <w:rPr>
          <w:lang w:val="pl-PL"/>
        </w:rPr>
        <w:t xml:space="preserve"> pozwala na </w:t>
      </w:r>
      <w:r w:rsidR="009E03B9" w:rsidRPr="0085159D">
        <w:rPr>
          <w:lang w:val="pl-PL"/>
        </w:rPr>
        <w:t xml:space="preserve">podejście </w:t>
      </w:r>
      <w:r w:rsidR="00282A62" w:rsidRPr="0085159D">
        <w:rPr>
          <w:lang w:val="pl-PL"/>
        </w:rPr>
        <w:t>skoncentrowane, ale nie oznacza ograniczenia lub wstrzymania inicjatyw kierowan</w:t>
      </w:r>
      <w:r>
        <w:rPr>
          <w:lang w:val="pl-PL"/>
        </w:rPr>
        <w:t>ych</w:t>
      </w:r>
      <w:r w:rsidR="00282A62" w:rsidRPr="0085159D">
        <w:rPr>
          <w:lang w:val="pl-PL"/>
        </w:rPr>
        <w:t xml:space="preserve"> do innych grup lub całej populacji. </w:t>
      </w:r>
      <w:r>
        <w:rPr>
          <w:lang w:val="pl-PL"/>
        </w:rPr>
        <w:t>J</w:t>
      </w:r>
      <w:r w:rsidR="00282A62" w:rsidRPr="0085159D">
        <w:rPr>
          <w:lang w:val="pl-PL"/>
        </w:rPr>
        <w:t xml:space="preserve">eśli jedna z </w:t>
      </w:r>
      <w:r>
        <w:rPr>
          <w:lang w:val="pl-PL"/>
        </w:rPr>
        <w:t xml:space="preserve">dotychczasowych </w:t>
      </w:r>
      <w:r w:rsidR="00282A62" w:rsidRPr="0085159D">
        <w:rPr>
          <w:lang w:val="pl-PL"/>
        </w:rPr>
        <w:t xml:space="preserve">grup priorytetowych nie znalazłaby się wśród priorytetowych grup </w:t>
      </w:r>
      <w:r>
        <w:rPr>
          <w:lang w:val="pl-PL"/>
        </w:rPr>
        <w:t xml:space="preserve">kolejnego </w:t>
      </w:r>
      <w:r w:rsidR="009E03B9" w:rsidRPr="0085159D">
        <w:rPr>
          <w:lang w:val="pl-PL"/>
        </w:rPr>
        <w:t>planu wdrażania</w:t>
      </w:r>
      <w:r w:rsidR="00282A62" w:rsidRPr="0085159D">
        <w:rPr>
          <w:lang w:val="pl-PL"/>
        </w:rPr>
        <w:t xml:space="preserve">, nie oznacza to, że należy przerwać istniejące inicjatywy edukacji finansowej </w:t>
      </w:r>
      <w:r>
        <w:rPr>
          <w:lang w:val="pl-PL"/>
        </w:rPr>
        <w:t xml:space="preserve">do niej </w:t>
      </w:r>
      <w:r w:rsidR="00282A62" w:rsidRPr="0085159D">
        <w:rPr>
          <w:lang w:val="pl-PL"/>
        </w:rPr>
        <w:t xml:space="preserve">kierowane. </w:t>
      </w:r>
      <w:r>
        <w:rPr>
          <w:lang w:val="pl-PL"/>
        </w:rPr>
        <w:t xml:space="preserve">Powinny </w:t>
      </w:r>
      <w:r w:rsidR="00282A62" w:rsidRPr="0085159D">
        <w:rPr>
          <w:lang w:val="pl-PL"/>
        </w:rPr>
        <w:t xml:space="preserve">one </w:t>
      </w:r>
      <w:r>
        <w:rPr>
          <w:lang w:val="pl-PL"/>
        </w:rPr>
        <w:t xml:space="preserve">być </w:t>
      </w:r>
      <w:r w:rsidR="00282A62" w:rsidRPr="0085159D">
        <w:rPr>
          <w:lang w:val="pl-PL"/>
        </w:rPr>
        <w:t>nadal realizowane, a</w:t>
      </w:r>
      <w:r w:rsidR="00545FC9">
        <w:rPr>
          <w:lang w:val="pl-PL"/>
        </w:rPr>
        <w:t> </w:t>
      </w:r>
      <w:r w:rsidR="00282A62" w:rsidRPr="0085159D">
        <w:rPr>
          <w:lang w:val="pl-PL"/>
        </w:rPr>
        <w:t xml:space="preserve">niektóre działania </w:t>
      </w:r>
      <w:r>
        <w:rPr>
          <w:lang w:val="pl-PL"/>
        </w:rPr>
        <w:t xml:space="preserve">z planu wdrażania </w:t>
      </w:r>
      <w:r w:rsidR="00282A62" w:rsidRPr="0085159D">
        <w:rPr>
          <w:lang w:val="pl-PL"/>
        </w:rPr>
        <w:t>KSEF</w:t>
      </w:r>
      <w:r w:rsidR="007B5FD0">
        <w:rPr>
          <w:lang w:val="pl-PL"/>
        </w:rPr>
        <w:t xml:space="preserve"> w okresie, kiedy grupa ta nie będzie priorytetowa,</w:t>
      </w:r>
      <w:r w:rsidR="00282A62" w:rsidRPr="0085159D">
        <w:rPr>
          <w:lang w:val="pl-PL"/>
        </w:rPr>
        <w:t xml:space="preserve"> mogą być skierowane również do tej grupy. Jednak wszelkie nowe inicjatywy i większa część dostępnych środków na realizację </w:t>
      </w:r>
      <w:r w:rsidR="009E03B9" w:rsidRPr="0085159D">
        <w:rPr>
          <w:lang w:val="pl-PL"/>
        </w:rPr>
        <w:t xml:space="preserve">planu wdrażania </w:t>
      </w:r>
      <w:r w:rsidR="00282A62" w:rsidRPr="0085159D">
        <w:rPr>
          <w:lang w:val="pl-PL"/>
        </w:rPr>
        <w:t>powinny być ukierunkowane na priorytetowe grupy docelowe.</w:t>
      </w:r>
    </w:p>
    <w:p w14:paraId="5A7827DF" w14:textId="77777777" w:rsidR="00282A62" w:rsidRPr="0085159D" w:rsidRDefault="00282A62" w:rsidP="000B051F">
      <w:pPr>
        <w:pStyle w:val="Para0"/>
        <w:rPr>
          <w:lang w:val="pl-PL"/>
        </w:rPr>
      </w:pPr>
      <w:r w:rsidRPr="0085159D">
        <w:rPr>
          <w:lang w:val="pl-PL"/>
        </w:rPr>
        <w:t>Powyższe zasady zastosowan</w:t>
      </w:r>
      <w:r w:rsidR="009E03B9" w:rsidRPr="0085159D">
        <w:rPr>
          <w:lang w:val="pl-PL"/>
        </w:rPr>
        <w:t>o</w:t>
      </w:r>
      <w:r w:rsidRPr="0085159D">
        <w:rPr>
          <w:lang w:val="pl-PL"/>
        </w:rPr>
        <w:t xml:space="preserve"> przy wyborze priorytetowych grup docelowych pierwszego </w:t>
      </w:r>
      <w:r w:rsidR="009E03B9" w:rsidRPr="0085159D">
        <w:rPr>
          <w:lang w:val="pl-PL"/>
        </w:rPr>
        <w:t>planu wdrażania</w:t>
      </w:r>
      <w:r w:rsidRPr="0085159D">
        <w:rPr>
          <w:lang w:val="pl-PL"/>
        </w:rPr>
        <w:t xml:space="preserve"> (zob. </w:t>
      </w:r>
      <w:r w:rsidR="009E03B9" w:rsidRPr="0085159D">
        <w:rPr>
          <w:lang w:val="pl-PL"/>
        </w:rPr>
        <w:t>c</w:t>
      </w:r>
      <w:r w:rsidRPr="0085159D">
        <w:rPr>
          <w:lang w:val="pl-PL"/>
        </w:rPr>
        <w:t>zęść III).</w:t>
      </w:r>
    </w:p>
    <w:p w14:paraId="4E9E7FF6" w14:textId="4F8C95A2" w:rsidR="00282A62" w:rsidRPr="0085159D" w:rsidRDefault="008A21D5" w:rsidP="000B051F">
      <w:pPr>
        <w:pStyle w:val="Nagwek2"/>
        <w:rPr>
          <w:lang w:val="pl-PL"/>
        </w:rPr>
      </w:pPr>
      <w:bookmarkStart w:id="43" w:name="_Toc131520816"/>
      <w:r w:rsidRPr="0085159D">
        <w:rPr>
          <w:bCs/>
          <w:lang w:val="pl-PL"/>
        </w:rPr>
        <w:t xml:space="preserve">2.6. </w:t>
      </w:r>
      <w:r w:rsidR="00AA2011">
        <w:rPr>
          <w:bCs/>
          <w:lang w:val="pl-PL"/>
        </w:rPr>
        <w:t xml:space="preserve">Zasady realizacji </w:t>
      </w:r>
      <w:bookmarkEnd w:id="43"/>
      <w:r w:rsidR="00AE2ABB">
        <w:rPr>
          <w:bCs/>
          <w:lang w:val="pl-PL"/>
        </w:rPr>
        <w:t>KSEF</w:t>
      </w:r>
    </w:p>
    <w:p w14:paraId="319FEB11" w14:textId="77777777" w:rsidR="009B4728" w:rsidRPr="0085159D" w:rsidRDefault="000F5AD3" w:rsidP="000B051F">
      <w:pPr>
        <w:pStyle w:val="Para0"/>
        <w:rPr>
          <w:lang w:val="pl-PL"/>
        </w:rPr>
      </w:pPr>
      <w:r>
        <w:rPr>
          <w:lang w:val="pl-PL"/>
        </w:rPr>
        <w:t>S</w:t>
      </w:r>
      <w:r w:rsidR="009B4728" w:rsidRPr="0085159D">
        <w:rPr>
          <w:lang w:val="pl-PL"/>
        </w:rPr>
        <w:t>truktura zarządzania wdrażaniem KSEF ma na celu ustalenie przejrzystych mechanizmów koordynacji i</w:t>
      </w:r>
      <w:r w:rsidR="006E32B0">
        <w:rPr>
          <w:lang w:val="pl-PL"/>
        </w:rPr>
        <w:t> </w:t>
      </w:r>
      <w:r w:rsidR="009B4728" w:rsidRPr="0085159D">
        <w:rPr>
          <w:lang w:val="pl-PL"/>
        </w:rPr>
        <w:t xml:space="preserve">nadzoru. Jest zgodna z międzynarodowymi dobrymi praktykami </w:t>
      </w:r>
      <w:sdt>
        <w:sdtPr>
          <w:rPr>
            <w:lang w:val="pl-PL"/>
          </w:rPr>
          <w:id w:val="-1266688259"/>
          <w:citation/>
        </w:sdtPr>
        <w:sdtEndPr/>
        <w:sdtContent>
          <w:r w:rsidR="009B4728" w:rsidRPr="0085159D">
            <w:rPr>
              <w:lang w:val="pl-PL"/>
            </w:rPr>
            <w:fldChar w:fldCharType="begin"/>
          </w:r>
          <w:r w:rsidR="009B4728" w:rsidRPr="0085159D">
            <w:rPr>
              <w:lang w:val="pl-PL"/>
            </w:rPr>
            <w:instrText xml:space="preserve">CITATION Mendeley_KgnJVBjRizqD0KFK1qRMww \l 2057 </w:instrText>
          </w:r>
          <w:r w:rsidR="009B4728" w:rsidRPr="0085159D">
            <w:rPr>
              <w:lang w:val="pl-PL"/>
            </w:rPr>
            <w:fldChar w:fldCharType="separate"/>
          </w:r>
          <w:r w:rsidR="009B4728" w:rsidRPr="0085159D">
            <w:rPr>
              <w:lang w:val="pl-PL"/>
            </w:rPr>
            <w:t>(OECD, 2020</w:t>
          </w:r>
          <w:r w:rsidR="009B4728" w:rsidRPr="0085159D">
            <w:rPr>
              <w:vertAlign w:val="subscript"/>
              <w:lang w:val="pl-PL"/>
            </w:rPr>
            <w:t>[9]</w:t>
          </w:r>
          <w:r w:rsidR="009B4728" w:rsidRPr="0085159D">
            <w:rPr>
              <w:lang w:val="pl-PL"/>
            </w:rPr>
            <w:t>)</w:t>
          </w:r>
          <w:r w:rsidR="009B4728" w:rsidRPr="0085159D">
            <w:rPr>
              <w:lang w:val="pl-PL"/>
            </w:rPr>
            <w:fldChar w:fldCharType="end"/>
          </w:r>
        </w:sdtContent>
      </w:sdt>
      <w:r w:rsidR="009B4728" w:rsidRPr="0085159D">
        <w:rPr>
          <w:lang w:val="pl-PL"/>
        </w:rPr>
        <w:t xml:space="preserve">. </w:t>
      </w:r>
      <w:r>
        <w:rPr>
          <w:lang w:val="pl-PL"/>
        </w:rPr>
        <w:t>Z</w:t>
      </w:r>
      <w:r w:rsidR="009B4728" w:rsidRPr="0085159D">
        <w:rPr>
          <w:lang w:val="pl-PL"/>
        </w:rPr>
        <w:t xml:space="preserve">akłada zaangażowanie odpowiednich instytucji publicznych, </w:t>
      </w:r>
      <w:r>
        <w:rPr>
          <w:lang w:val="pl-PL"/>
        </w:rPr>
        <w:t xml:space="preserve">przedstawicieli </w:t>
      </w:r>
      <w:r w:rsidR="009B4728" w:rsidRPr="0085159D">
        <w:rPr>
          <w:lang w:val="pl-PL"/>
        </w:rPr>
        <w:t>podmiotów</w:t>
      </w:r>
      <w:r w:rsidR="00892E00">
        <w:rPr>
          <w:lang w:val="pl-PL"/>
        </w:rPr>
        <w:t xml:space="preserve"> </w:t>
      </w:r>
      <w:r w:rsidR="009B4728" w:rsidRPr="0085159D">
        <w:rPr>
          <w:lang w:val="pl-PL"/>
        </w:rPr>
        <w:t>prywatnych</w:t>
      </w:r>
      <w:r>
        <w:rPr>
          <w:lang w:val="pl-PL"/>
        </w:rPr>
        <w:t xml:space="preserve"> rynku finansowego</w:t>
      </w:r>
      <w:r w:rsidR="009B4728" w:rsidRPr="0085159D">
        <w:rPr>
          <w:lang w:val="pl-PL"/>
        </w:rPr>
        <w:t>, organizacji pozarządowych, przedstawicieli środowisk badawczych i</w:t>
      </w:r>
      <w:r w:rsidR="00B86C5B">
        <w:rPr>
          <w:lang w:val="pl-PL"/>
        </w:rPr>
        <w:t xml:space="preserve"> </w:t>
      </w:r>
      <w:r w:rsidR="009B4728" w:rsidRPr="0085159D">
        <w:rPr>
          <w:lang w:val="pl-PL"/>
        </w:rPr>
        <w:t xml:space="preserve">akademickich. Określa role oraz zakres odpowiedzialności interesariuszy zajmujących się edukacją finansową. </w:t>
      </w:r>
      <w:r w:rsidR="009B4728" w:rsidRPr="0097275C">
        <w:rPr>
          <w:lang w:val="pl-PL"/>
        </w:rPr>
        <w:t>Proponowane mechanizmy zarządzania umożliwią interesariuszom lepszą współpracę oraz unikanie powielania działań, nieefektywnego wykorzystania zasobów, konfliktów interesów. Ponadto zapewnią one dostęp do edukacji finansowej wszystkim grupom docelowym.</w:t>
      </w:r>
    </w:p>
    <w:p w14:paraId="5F09B7D3" w14:textId="77777777" w:rsidR="00510995" w:rsidRPr="005E39C7" w:rsidRDefault="007751E4" w:rsidP="000B051F">
      <w:pPr>
        <w:pStyle w:val="Para0"/>
        <w:rPr>
          <w:lang w:val="pl-PL"/>
        </w:rPr>
      </w:pPr>
      <w:r>
        <w:rPr>
          <w:lang w:val="pl-PL"/>
        </w:rPr>
        <w:t>S</w:t>
      </w:r>
      <w:r w:rsidR="00282A62" w:rsidRPr="0085159D">
        <w:rPr>
          <w:lang w:val="pl-PL"/>
        </w:rPr>
        <w:t>truktur</w:t>
      </w:r>
      <w:r>
        <w:rPr>
          <w:lang w:val="pl-PL"/>
        </w:rPr>
        <w:t>a</w:t>
      </w:r>
      <w:r w:rsidR="00282A62" w:rsidRPr="0085159D">
        <w:rPr>
          <w:lang w:val="pl-PL"/>
        </w:rPr>
        <w:t xml:space="preserve"> zarządzania </w:t>
      </w:r>
      <w:r w:rsidR="008F1E6C">
        <w:rPr>
          <w:lang w:val="pl-PL"/>
        </w:rPr>
        <w:t xml:space="preserve">uwzględnia </w:t>
      </w:r>
      <w:r w:rsidR="00282A62" w:rsidRPr="0085159D">
        <w:rPr>
          <w:lang w:val="pl-PL"/>
        </w:rPr>
        <w:t>kompetencje</w:t>
      </w:r>
      <w:r w:rsidR="009B4728" w:rsidRPr="0085159D">
        <w:rPr>
          <w:lang w:val="pl-PL"/>
        </w:rPr>
        <w:t xml:space="preserve"> podmiotów</w:t>
      </w:r>
      <w:r w:rsidR="00892E00">
        <w:rPr>
          <w:lang w:val="pl-PL"/>
        </w:rPr>
        <w:t xml:space="preserve"> </w:t>
      </w:r>
      <w:r w:rsidR="009E03B9" w:rsidRPr="0085159D">
        <w:rPr>
          <w:lang w:val="pl-PL"/>
        </w:rPr>
        <w:t xml:space="preserve">krajowych </w:t>
      </w:r>
      <w:r w:rsidR="00282A62" w:rsidRPr="0085159D">
        <w:rPr>
          <w:lang w:val="pl-PL"/>
        </w:rPr>
        <w:t>w zakresie edukacji finansowej. W</w:t>
      </w:r>
      <w:r w:rsidR="00BE0005">
        <w:rPr>
          <w:lang w:val="pl-PL"/>
        </w:rPr>
        <w:t> </w:t>
      </w:r>
      <w:r w:rsidR="00282A62" w:rsidRPr="0085159D">
        <w:rPr>
          <w:lang w:val="pl-PL"/>
        </w:rPr>
        <w:t xml:space="preserve">Polsce </w:t>
      </w:r>
      <w:r w:rsidR="009E03B9" w:rsidRPr="0085159D">
        <w:rPr>
          <w:lang w:val="pl-PL"/>
        </w:rPr>
        <w:t>do prowadzenia dz</w:t>
      </w:r>
      <w:r w:rsidR="00B86C5B">
        <w:rPr>
          <w:lang w:val="pl-PL"/>
        </w:rPr>
        <w:t>iałań edukacyjnych związanych z </w:t>
      </w:r>
      <w:r w:rsidR="009E03B9" w:rsidRPr="0085159D">
        <w:rPr>
          <w:lang w:val="pl-PL"/>
        </w:rPr>
        <w:t>kwestiami finansowymi upoważnionych</w:t>
      </w:r>
      <w:r w:rsidR="009B4728" w:rsidRPr="0085159D">
        <w:rPr>
          <w:lang w:val="pl-PL"/>
        </w:rPr>
        <w:t xml:space="preserve"> ustawowo</w:t>
      </w:r>
      <w:r w:rsidR="009E03B9" w:rsidRPr="0085159D">
        <w:rPr>
          <w:lang w:val="pl-PL"/>
        </w:rPr>
        <w:t xml:space="preserve"> jest </w:t>
      </w:r>
      <w:r w:rsidR="00282A62" w:rsidRPr="0085159D">
        <w:rPr>
          <w:lang w:val="pl-PL"/>
        </w:rPr>
        <w:t xml:space="preserve">osiem </w:t>
      </w:r>
      <w:r w:rsidR="008F1E6C">
        <w:rPr>
          <w:lang w:val="pl-PL"/>
        </w:rPr>
        <w:t xml:space="preserve">podmiotów </w:t>
      </w:r>
      <w:r w:rsidR="003016BE" w:rsidRPr="0085159D">
        <w:rPr>
          <w:lang w:val="pl-PL"/>
        </w:rPr>
        <w:t>administracji publicznej</w:t>
      </w:r>
      <w:r w:rsidR="00B86C5B">
        <w:rPr>
          <w:lang w:val="pl-PL"/>
        </w:rPr>
        <w:t xml:space="preserve"> (MF, </w:t>
      </w:r>
      <w:proofErr w:type="spellStart"/>
      <w:r w:rsidR="00B86C5B">
        <w:rPr>
          <w:lang w:val="pl-PL"/>
        </w:rPr>
        <w:t>MEiN</w:t>
      </w:r>
      <w:proofErr w:type="spellEnd"/>
      <w:r w:rsidR="00B86C5B">
        <w:rPr>
          <w:lang w:val="pl-PL"/>
        </w:rPr>
        <w:t>, UKNF, BFG, UOKiK, KDPW, RF, ORE)</w:t>
      </w:r>
      <w:r w:rsidR="008F1E6C">
        <w:rPr>
          <w:lang w:val="pl-PL"/>
        </w:rPr>
        <w:t>. Uprawnienia</w:t>
      </w:r>
      <w:r w:rsidR="00282A62" w:rsidRPr="0085159D">
        <w:rPr>
          <w:lang w:val="pl-PL"/>
        </w:rPr>
        <w:t xml:space="preserve"> </w:t>
      </w:r>
      <w:r w:rsidR="008F1E6C">
        <w:rPr>
          <w:lang w:val="pl-PL"/>
        </w:rPr>
        <w:t>czterech</w:t>
      </w:r>
      <w:r w:rsidR="00282A62" w:rsidRPr="0085159D">
        <w:rPr>
          <w:lang w:val="pl-PL"/>
        </w:rPr>
        <w:t xml:space="preserve"> </w:t>
      </w:r>
      <w:r w:rsidR="00B86C5B">
        <w:rPr>
          <w:lang w:val="pl-PL"/>
        </w:rPr>
        <w:t xml:space="preserve">kolejnych </w:t>
      </w:r>
      <w:r w:rsidR="008F1E6C">
        <w:rPr>
          <w:lang w:val="pl-PL"/>
        </w:rPr>
        <w:t xml:space="preserve">podmiotów </w:t>
      </w:r>
      <w:r w:rsidR="00B86C5B">
        <w:rPr>
          <w:lang w:val="pl-PL"/>
        </w:rPr>
        <w:t>(</w:t>
      </w:r>
      <w:proofErr w:type="spellStart"/>
      <w:r w:rsidR="00B86C5B">
        <w:rPr>
          <w:lang w:val="pl-PL"/>
        </w:rPr>
        <w:t>MRiPS</w:t>
      </w:r>
      <w:proofErr w:type="spellEnd"/>
      <w:r w:rsidR="00B86C5B">
        <w:rPr>
          <w:lang w:val="pl-PL"/>
        </w:rPr>
        <w:t xml:space="preserve">, </w:t>
      </w:r>
      <w:proofErr w:type="spellStart"/>
      <w:r w:rsidR="00B86C5B">
        <w:rPr>
          <w:lang w:val="pl-PL"/>
        </w:rPr>
        <w:t>MRiT</w:t>
      </w:r>
      <w:proofErr w:type="spellEnd"/>
      <w:r w:rsidR="00B86C5B">
        <w:rPr>
          <w:lang w:val="pl-PL"/>
        </w:rPr>
        <w:t>, NBP, ZUS)</w:t>
      </w:r>
      <w:r w:rsidR="00B4460B">
        <w:rPr>
          <w:lang w:val="pl-PL"/>
        </w:rPr>
        <w:t xml:space="preserve"> </w:t>
      </w:r>
      <w:r w:rsidR="008F1E6C">
        <w:rPr>
          <w:lang w:val="pl-PL"/>
        </w:rPr>
        <w:t xml:space="preserve">wynikają </w:t>
      </w:r>
      <w:r w:rsidR="00282A62" w:rsidRPr="0085159D">
        <w:rPr>
          <w:lang w:val="pl-PL"/>
        </w:rPr>
        <w:t>z</w:t>
      </w:r>
      <w:r w:rsidR="009B4728" w:rsidRPr="0085159D">
        <w:rPr>
          <w:lang w:val="pl-PL"/>
        </w:rPr>
        <w:t xml:space="preserve"> innych przepisów </w:t>
      </w:r>
      <w:sdt>
        <w:sdtPr>
          <w:rPr>
            <w:lang w:val="pl-PL"/>
          </w:rPr>
          <w:id w:val="550731763"/>
          <w:citation/>
        </w:sdtPr>
        <w:sdtEndPr/>
        <w:sdtContent>
          <w:r w:rsidR="00282A62" w:rsidRPr="0085159D">
            <w:rPr>
              <w:lang w:val="pl-PL"/>
            </w:rPr>
            <w:fldChar w:fldCharType="begin"/>
          </w:r>
          <w:r w:rsidR="00282A62" w:rsidRPr="0085159D">
            <w:rPr>
              <w:lang w:val="pl-PL"/>
            </w:rPr>
            <w:instrText xml:space="preserve"> CITATION Mendeley_HL1LB5KKEzudIUMChZuI__A \l 2057 </w:instrText>
          </w:r>
          <w:r w:rsidR="00282A62" w:rsidRPr="0085159D">
            <w:rPr>
              <w:lang w:val="pl-PL"/>
            </w:rPr>
            <w:fldChar w:fldCharType="separate"/>
          </w:r>
          <w:r w:rsidR="00282A62" w:rsidRPr="0085159D">
            <w:rPr>
              <w:noProof/>
              <w:lang w:val="pl-PL"/>
            </w:rPr>
            <w:t>(OECD, 2022</w:t>
          </w:r>
          <w:r w:rsidR="00282A62" w:rsidRPr="0085159D">
            <w:rPr>
              <w:noProof/>
              <w:vertAlign w:val="subscript"/>
              <w:lang w:val="pl-PL"/>
            </w:rPr>
            <w:t>[3]</w:t>
          </w:r>
          <w:r w:rsidR="00282A62" w:rsidRPr="0085159D">
            <w:rPr>
              <w:noProof/>
              <w:lang w:val="pl-PL"/>
            </w:rPr>
            <w:t>)</w:t>
          </w:r>
          <w:r w:rsidR="00282A62" w:rsidRPr="0085159D">
            <w:rPr>
              <w:lang w:val="pl-PL"/>
            </w:rPr>
            <w:fldChar w:fldCharType="end"/>
          </w:r>
        </w:sdtContent>
      </w:sdt>
      <w:r w:rsidR="00282A62" w:rsidRPr="0085159D">
        <w:rPr>
          <w:lang w:val="pl-PL"/>
        </w:rPr>
        <w:t xml:space="preserve">. </w:t>
      </w:r>
    </w:p>
    <w:p w14:paraId="12DE12E4" w14:textId="14C4A6C5" w:rsidR="00282A62" w:rsidRPr="0085159D" w:rsidRDefault="00282A62" w:rsidP="000B051F">
      <w:pPr>
        <w:pStyle w:val="Para0"/>
        <w:rPr>
          <w:lang w:val="pl-PL"/>
        </w:rPr>
      </w:pPr>
      <w:r w:rsidRPr="0085159D">
        <w:rPr>
          <w:lang w:val="pl-PL"/>
        </w:rPr>
        <w:t>Ponadto</w:t>
      </w:r>
      <w:r w:rsidR="009E03B9" w:rsidRPr="0085159D">
        <w:rPr>
          <w:lang w:val="pl-PL"/>
        </w:rPr>
        <w:t xml:space="preserve"> </w:t>
      </w:r>
      <w:r w:rsidR="009B4728" w:rsidRPr="0085159D">
        <w:rPr>
          <w:lang w:val="pl-PL"/>
        </w:rPr>
        <w:t>struktur</w:t>
      </w:r>
      <w:r w:rsidR="007751E4">
        <w:rPr>
          <w:lang w:val="pl-PL"/>
        </w:rPr>
        <w:t>a</w:t>
      </w:r>
      <w:r w:rsidR="009B4728" w:rsidRPr="0085159D">
        <w:rPr>
          <w:lang w:val="pl-PL"/>
        </w:rPr>
        <w:t xml:space="preserve"> zarządzania </w:t>
      </w:r>
      <w:r w:rsidRPr="0085159D">
        <w:rPr>
          <w:lang w:val="pl-PL"/>
        </w:rPr>
        <w:t xml:space="preserve">KSEF </w:t>
      </w:r>
      <w:r w:rsidR="009E03B9" w:rsidRPr="0085159D">
        <w:rPr>
          <w:lang w:val="pl-PL"/>
        </w:rPr>
        <w:t>uwzględnia ciała</w:t>
      </w:r>
      <w:r w:rsidR="00DB100A">
        <w:rPr>
          <w:lang w:val="pl-PL"/>
        </w:rPr>
        <w:t xml:space="preserve"> kolegialne </w:t>
      </w:r>
      <w:r w:rsidR="00A61E44" w:rsidRPr="0085159D">
        <w:rPr>
          <w:lang w:val="pl-PL"/>
        </w:rPr>
        <w:t xml:space="preserve">skupiające </w:t>
      </w:r>
      <w:r w:rsidRPr="0085159D">
        <w:rPr>
          <w:lang w:val="pl-PL"/>
        </w:rPr>
        <w:t>najważniejszych interesariuszy aktywnych w obszarze edukacji finansowej:</w:t>
      </w:r>
    </w:p>
    <w:p w14:paraId="6C876441" w14:textId="6FAC5F8C" w:rsidR="00172497" w:rsidRPr="008A6B69" w:rsidRDefault="00282A62" w:rsidP="00C9248B">
      <w:pPr>
        <w:pStyle w:val="BulletedList"/>
        <w:numPr>
          <w:ilvl w:val="0"/>
          <w:numId w:val="21"/>
        </w:numPr>
        <w:tabs>
          <w:tab w:val="left" w:pos="5103"/>
        </w:tabs>
        <w:rPr>
          <w:lang w:val="pl-PL"/>
        </w:rPr>
      </w:pPr>
      <w:r w:rsidRPr="0097275C">
        <w:rPr>
          <w:b/>
          <w:lang w:val="pl-PL"/>
        </w:rPr>
        <w:t>Rada Edukacji Finansowej</w:t>
      </w:r>
      <w:r w:rsidRPr="008A6B69">
        <w:rPr>
          <w:lang w:val="pl-PL"/>
        </w:rPr>
        <w:t xml:space="preserve"> </w:t>
      </w:r>
      <w:r w:rsidR="008A6B69">
        <w:rPr>
          <w:lang w:val="pl-PL"/>
        </w:rPr>
        <w:t xml:space="preserve">(Rada) </w:t>
      </w:r>
      <w:r w:rsidRPr="008A6B69">
        <w:rPr>
          <w:lang w:val="pl-PL"/>
        </w:rPr>
        <w:t>powołana w 2019 r</w:t>
      </w:r>
      <w:r w:rsidR="00172497" w:rsidRPr="008A6B69">
        <w:rPr>
          <w:lang w:val="pl-PL"/>
        </w:rPr>
        <w:t>. na podstawie ustawy z dnia 5 sierpnia 2015 r. o rozpatrywaniu reklamacji przez podmioty rynku finansowego, o Rzeczniku Finansowym i o Funduszu Edukacji Finansowej (</w:t>
      </w:r>
      <w:hyperlink r:id="rId17" w:history="1">
        <w:r w:rsidR="00F51757" w:rsidRPr="00C9248B">
          <w:rPr>
            <w:lang w:val="pl-PL"/>
          </w:rPr>
          <w:t>Dz.</w:t>
        </w:r>
        <w:r w:rsidR="004F17E4">
          <w:rPr>
            <w:lang w:val="pl-PL"/>
          </w:rPr>
          <w:t> </w:t>
        </w:r>
        <w:r w:rsidR="00F51757" w:rsidRPr="00C9248B">
          <w:rPr>
            <w:lang w:val="pl-PL"/>
          </w:rPr>
          <w:t>U. z 2023 r. poz. 1809</w:t>
        </w:r>
      </w:hyperlink>
      <w:r w:rsidR="00312DD8">
        <w:rPr>
          <w:lang w:val="pl-PL"/>
        </w:rPr>
        <w:t>,</w:t>
      </w:r>
      <w:r w:rsidR="00172497" w:rsidRPr="008A6B69">
        <w:rPr>
          <w:lang w:val="pl-PL"/>
        </w:rPr>
        <w:t xml:space="preserve"> z </w:t>
      </w:r>
      <w:proofErr w:type="spellStart"/>
      <w:r w:rsidR="00172497" w:rsidRPr="008A6B69">
        <w:rPr>
          <w:lang w:val="pl-PL"/>
        </w:rPr>
        <w:t>późn</w:t>
      </w:r>
      <w:proofErr w:type="spellEnd"/>
      <w:r w:rsidR="00172497" w:rsidRPr="008A6B69">
        <w:rPr>
          <w:lang w:val="pl-PL"/>
        </w:rPr>
        <w:t>. zm</w:t>
      </w:r>
      <w:r w:rsidR="00265856">
        <w:rPr>
          <w:lang w:val="pl-PL"/>
        </w:rPr>
        <w:t>.</w:t>
      </w:r>
      <w:r w:rsidR="00172497" w:rsidRPr="008A6B69">
        <w:rPr>
          <w:lang w:val="pl-PL"/>
        </w:rPr>
        <w:t>)</w:t>
      </w:r>
      <w:r w:rsidR="00F51757">
        <w:rPr>
          <w:lang w:val="pl-PL"/>
        </w:rPr>
        <w:t>, zwanej dalej „Ustawą”</w:t>
      </w:r>
      <w:r w:rsidR="00172497" w:rsidRPr="008A6B69">
        <w:rPr>
          <w:lang w:val="pl-PL"/>
        </w:rPr>
        <w:t>. D</w:t>
      </w:r>
      <w:r w:rsidR="008A6B69" w:rsidRPr="008A6B69">
        <w:rPr>
          <w:lang w:val="pl-PL"/>
        </w:rPr>
        <w:t>o 31 grudnia 2022</w:t>
      </w:r>
      <w:r w:rsidR="00265856">
        <w:rPr>
          <w:lang w:val="pl-PL"/>
        </w:rPr>
        <w:t> </w:t>
      </w:r>
      <w:r w:rsidR="00172497" w:rsidRPr="008A6B69">
        <w:rPr>
          <w:lang w:val="pl-PL"/>
        </w:rPr>
        <w:t>r. działała przy Funduszu Edukacji F</w:t>
      </w:r>
      <w:r w:rsidR="008A6B69" w:rsidRPr="008A6B69">
        <w:rPr>
          <w:lang w:val="pl-PL"/>
        </w:rPr>
        <w:t>inansowej</w:t>
      </w:r>
      <w:r w:rsidR="007B5FD0">
        <w:rPr>
          <w:lang w:val="pl-PL"/>
        </w:rPr>
        <w:t xml:space="preserve"> (Fundusz)</w:t>
      </w:r>
      <w:r w:rsidR="00B4460B">
        <w:rPr>
          <w:lang w:val="pl-PL"/>
        </w:rPr>
        <w:t xml:space="preserve"> </w:t>
      </w:r>
      <w:r w:rsidRPr="008A6B69">
        <w:rPr>
          <w:lang w:val="pl-PL"/>
        </w:rPr>
        <w:t xml:space="preserve">(zob. pkt 2.7 </w:t>
      </w:r>
      <w:r w:rsidR="009E03B9" w:rsidRPr="008A6B69">
        <w:rPr>
          <w:lang w:val="pl-PL"/>
        </w:rPr>
        <w:t>„</w:t>
      </w:r>
      <w:r w:rsidRPr="008A6B69">
        <w:rPr>
          <w:lang w:val="pl-PL"/>
        </w:rPr>
        <w:t>Finansowanie</w:t>
      </w:r>
      <w:r w:rsidR="009E03B9" w:rsidRPr="008A6B69">
        <w:rPr>
          <w:lang w:val="pl-PL"/>
        </w:rPr>
        <w:t>”</w:t>
      </w:r>
      <w:r w:rsidRPr="008A6B69">
        <w:rPr>
          <w:lang w:val="pl-PL"/>
        </w:rPr>
        <w:t>)</w:t>
      </w:r>
      <w:r w:rsidR="008A6B69">
        <w:rPr>
          <w:lang w:val="pl-PL"/>
        </w:rPr>
        <w:t>,</w:t>
      </w:r>
      <w:r w:rsidR="008A6B69" w:rsidRPr="008A6B69">
        <w:rPr>
          <w:color w:val="auto"/>
          <w:sz w:val="22"/>
          <w:lang w:val="pl-PL"/>
        </w:rPr>
        <w:t xml:space="preserve"> </w:t>
      </w:r>
      <w:r w:rsidR="006E32B0">
        <w:rPr>
          <w:lang w:val="pl-PL"/>
        </w:rPr>
        <w:t>a od 1 </w:t>
      </w:r>
      <w:r w:rsidR="00265856">
        <w:rPr>
          <w:lang w:val="pl-PL"/>
        </w:rPr>
        <w:t>stycznia 2023 </w:t>
      </w:r>
      <w:r w:rsidR="008A6B69" w:rsidRPr="008A6B69">
        <w:rPr>
          <w:lang w:val="pl-PL"/>
        </w:rPr>
        <w:t>r. przy Ministrze Finansów</w:t>
      </w:r>
      <w:r w:rsidRPr="008A6B69">
        <w:rPr>
          <w:lang w:val="pl-PL"/>
        </w:rPr>
        <w:t>. W skład Rady wchodzą przedstawiciele Ministra Finansów, Minist</w:t>
      </w:r>
      <w:r w:rsidR="00711E9F">
        <w:rPr>
          <w:lang w:val="pl-PL"/>
        </w:rPr>
        <w:t>r</w:t>
      </w:r>
      <w:r w:rsidRPr="008A6B69">
        <w:rPr>
          <w:lang w:val="pl-PL"/>
        </w:rPr>
        <w:t xml:space="preserve">a Edukacji i Nauki, </w:t>
      </w:r>
      <w:r w:rsidR="00711E9F">
        <w:rPr>
          <w:lang w:val="pl-PL"/>
        </w:rPr>
        <w:t xml:space="preserve">Prezesa </w:t>
      </w:r>
      <w:r w:rsidRPr="008A6B69">
        <w:rPr>
          <w:lang w:val="pl-PL"/>
        </w:rPr>
        <w:t xml:space="preserve">Narodowego Banku Polskiego, </w:t>
      </w:r>
      <w:r w:rsidR="00711E9F">
        <w:rPr>
          <w:lang w:val="pl-PL"/>
        </w:rPr>
        <w:t xml:space="preserve">Przewodniczącego </w:t>
      </w:r>
      <w:r w:rsidRPr="008A6B69">
        <w:rPr>
          <w:lang w:val="pl-PL"/>
        </w:rPr>
        <w:t xml:space="preserve">Komisji Nadzoru Finansowego, </w:t>
      </w:r>
      <w:r w:rsidR="00711E9F">
        <w:rPr>
          <w:lang w:val="pl-PL"/>
        </w:rPr>
        <w:t xml:space="preserve">Prezesa </w:t>
      </w:r>
      <w:r w:rsidRPr="008A6B69">
        <w:rPr>
          <w:lang w:val="pl-PL"/>
        </w:rPr>
        <w:t xml:space="preserve">Urzędu Ochrony Konkurencji i Konsumentów, Rzecznika Finansowego, Bankowego Funduszu Gwarancyjnego, </w:t>
      </w:r>
      <w:r w:rsidR="00BE0005">
        <w:rPr>
          <w:lang w:val="pl-PL"/>
        </w:rPr>
        <w:t>Giełdy Papierów Wartościowych w </w:t>
      </w:r>
      <w:r w:rsidRPr="008A6B69">
        <w:rPr>
          <w:lang w:val="pl-PL"/>
        </w:rPr>
        <w:t>Warszawie</w:t>
      </w:r>
      <w:r w:rsidR="008A6B69" w:rsidRPr="008A6B69">
        <w:rPr>
          <w:lang w:val="pl-PL"/>
        </w:rPr>
        <w:t>,</w:t>
      </w:r>
      <w:r w:rsidRPr="008A6B69">
        <w:rPr>
          <w:lang w:val="pl-PL"/>
        </w:rPr>
        <w:t xml:space="preserve"> Krajowego Depozytu Papierów Wartościowych</w:t>
      </w:r>
      <w:r w:rsidR="00A5566B">
        <w:rPr>
          <w:lang w:val="pl-PL"/>
        </w:rPr>
        <w:t xml:space="preserve"> i </w:t>
      </w:r>
      <w:r w:rsidR="00252587" w:rsidRPr="008A6B69">
        <w:rPr>
          <w:lang w:val="pl-PL"/>
        </w:rPr>
        <w:t>Polskiego Funduszu Rozwoju</w:t>
      </w:r>
      <w:r w:rsidRPr="008A6B69">
        <w:rPr>
          <w:lang w:val="pl-PL"/>
        </w:rPr>
        <w:t>.</w:t>
      </w:r>
      <w:r w:rsidR="008A6B69">
        <w:rPr>
          <w:lang w:val="pl-PL"/>
        </w:rPr>
        <w:t xml:space="preserve"> </w:t>
      </w:r>
      <w:r w:rsidR="00172497" w:rsidRPr="008A6B69">
        <w:rPr>
          <w:lang w:val="pl-PL"/>
        </w:rPr>
        <w:t>Rada realizuje zadania z zakresu edukacji finansowej, w tym:</w:t>
      </w:r>
    </w:p>
    <w:p w14:paraId="211E10FE" w14:textId="77777777" w:rsidR="00172497" w:rsidRPr="00172497" w:rsidRDefault="00172497" w:rsidP="008A6B69">
      <w:pPr>
        <w:pStyle w:val="BulletedList"/>
        <w:numPr>
          <w:ilvl w:val="1"/>
          <w:numId w:val="21"/>
        </w:numPr>
        <w:rPr>
          <w:lang w:val="pl-PL"/>
        </w:rPr>
      </w:pPr>
      <w:r w:rsidRPr="00172497">
        <w:rPr>
          <w:lang w:val="pl-PL"/>
        </w:rPr>
        <w:t>wyznacza kierunki realizacji zadań finansowanych ze środków Funduszu i określa sposób ich realizacji</w:t>
      </w:r>
      <w:r w:rsidR="00711E9F">
        <w:rPr>
          <w:lang w:val="pl-PL"/>
        </w:rPr>
        <w:t>,</w:t>
      </w:r>
    </w:p>
    <w:p w14:paraId="197EB206" w14:textId="77777777" w:rsidR="00172497" w:rsidRPr="00172497" w:rsidRDefault="00172497" w:rsidP="008A6B69">
      <w:pPr>
        <w:pStyle w:val="BulletedList"/>
        <w:numPr>
          <w:ilvl w:val="1"/>
          <w:numId w:val="21"/>
        </w:numPr>
        <w:rPr>
          <w:lang w:val="pl-PL"/>
        </w:rPr>
      </w:pPr>
      <w:r w:rsidRPr="00172497">
        <w:rPr>
          <w:lang w:val="pl-PL"/>
        </w:rPr>
        <w:t>wyraża opinie w sprawach dotyczących edukacji finansowej przedstawianych przez ministra właściwego do spraw instytucji finansowych</w:t>
      </w:r>
      <w:r w:rsidR="00711E9F">
        <w:rPr>
          <w:lang w:val="pl-PL"/>
        </w:rPr>
        <w:t>,</w:t>
      </w:r>
    </w:p>
    <w:p w14:paraId="2C804A2D" w14:textId="77777777" w:rsidR="00172497" w:rsidRPr="00172497" w:rsidRDefault="00172497" w:rsidP="008A6B69">
      <w:pPr>
        <w:pStyle w:val="BulletedList"/>
        <w:numPr>
          <w:ilvl w:val="1"/>
          <w:numId w:val="21"/>
        </w:numPr>
        <w:rPr>
          <w:lang w:val="pl-PL"/>
        </w:rPr>
      </w:pPr>
      <w:r w:rsidRPr="00172497">
        <w:rPr>
          <w:lang w:val="pl-PL"/>
        </w:rPr>
        <w:lastRenderedPageBreak/>
        <w:t>opracowuje opinie i wnioski w sprawach dotyczących edukacji finansowej</w:t>
      </w:r>
      <w:r w:rsidR="00711E9F">
        <w:rPr>
          <w:lang w:val="pl-PL"/>
        </w:rPr>
        <w:t>,</w:t>
      </w:r>
    </w:p>
    <w:p w14:paraId="50AA6A73" w14:textId="77777777" w:rsidR="00172497" w:rsidRPr="00172497" w:rsidRDefault="00172497" w:rsidP="008A6B69">
      <w:pPr>
        <w:pStyle w:val="BulletedList"/>
        <w:numPr>
          <w:ilvl w:val="1"/>
          <w:numId w:val="21"/>
        </w:numPr>
        <w:rPr>
          <w:lang w:val="pl-PL"/>
        </w:rPr>
      </w:pPr>
      <w:r w:rsidRPr="00172497">
        <w:rPr>
          <w:lang w:val="pl-PL"/>
        </w:rPr>
        <w:t>opiniuje wnioski i dokumenty dotyczące działań, które mogą być finansowane lub dofinansowanych z Funduszu, a które opracowane są przez inne podmioty</w:t>
      </w:r>
      <w:r w:rsidR="00711E9F">
        <w:rPr>
          <w:lang w:val="pl-PL"/>
        </w:rPr>
        <w:t>,</w:t>
      </w:r>
    </w:p>
    <w:p w14:paraId="34C2B045" w14:textId="77777777" w:rsidR="00172497" w:rsidRPr="0085159D" w:rsidRDefault="00172497" w:rsidP="008A6B69">
      <w:pPr>
        <w:pStyle w:val="BulletedList"/>
        <w:numPr>
          <w:ilvl w:val="1"/>
          <w:numId w:val="21"/>
        </w:numPr>
        <w:rPr>
          <w:lang w:val="pl-PL"/>
        </w:rPr>
      </w:pPr>
      <w:r w:rsidRPr="00172497">
        <w:rPr>
          <w:lang w:val="pl-PL"/>
        </w:rPr>
        <w:t>występuje z wnioskiem do dysponenta Funduszu o sfinansowanie lub dofinansowanie realizacji działań z zakresu edukacji finansowej.</w:t>
      </w:r>
    </w:p>
    <w:p w14:paraId="2BF10F86" w14:textId="77777777" w:rsidR="00282A62" w:rsidRPr="0085159D" w:rsidRDefault="007751E4" w:rsidP="000B051F">
      <w:pPr>
        <w:pStyle w:val="BulletedList"/>
        <w:rPr>
          <w:lang w:val="pl-PL"/>
        </w:rPr>
      </w:pPr>
      <w:r w:rsidRPr="0097275C">
        <w:rPr>
          <w:b/>
          <w:lang w:val="pl-PL"/>
        </w:rPr>
        <w:t>Z</w:t>
      </w:r>
      <w:r w:rsidR="00282A62" w:rsidRPr="0097275C">
        <w:rPr>
          <w:b/>
          <w:lang w:val="pl-PL"/>
        </w:rPr>
        <w:t>esp</w:t>
      </w:r>
      <w:r w:rsidRPr="0097275C">
        <w:rPr>
          <w:b/>
          <w:lang w:val="pl-PL"/>
        </w:rPr>
        <w:t>ó</w:t>
      </w:r>
      <w:r w:rsidR="00252587" w:rsidRPr="0097275C">
        <w:rPr>
          <w:b/>
          <w:lang w:val="pl-PL"/>
        </w:rPr>
        <w:t>ł</w:t>
      </w:r>
      <w:r w:rsidR="00282A62" w:rsidRPr="0097275C">
        <w:rPr>
          <w:b/>
          <w:lang w:val="pl-PL"/>
        </w:rPr>
        <w:t xml:space="preserve"> robocz</w:t>
      </w:r>
      <w:r w:rsidR="00597DB9" w:rsidRPr="0097275C">
        <w:rPr>
          <w:b/>
          <w:lang w:val="pl-PL"/>
        </w:rPr>
        <w:t>y</w:t>
      </w:r>
      <w:r w:rsidR="00282A62" w:rsidRPr="0097275C">
        <w:rPr>
          <w:b/>
          <w:lang w:val="pl-PL"/>
        </w:rPr>
        <w:t xml:space="preserve"> ds. działań edukacyjnych w</w:t>
      </w:r>
      <w:r w:rsidR="00545FC9" w:rsidRPr="0097275C">
        <w:rPr>
          <w:b/>
          <w:lang w:val="pl-PL"/>
        </w:rPr>
        <w:t> </w:t>
      </w:r>
      <w:r w:rsidR="00282A62" w:rsidRPr="0097275C">
        <w:rPr>
          <w:b/>
          <w:lang w:val="pl-PL"/>
        </w:rPr>
        <w:t>zakresie funkcjonowania rynku finansowego</w:t>
      </w:r>
      <w:r w:rsidR="00E10AFC">
        <w:rPr>
          <w:b/>
          <w:lang w:val="pl-PL"/>
        </w:rPr>
        <w:t xml:space="preserve"> </w:t>
      </w:r>
      <w:r w:rsidR="00E10AFC">
        <w:rPr>
          <w:lang w:val="pl-PL"/>
        </w:rPr>
        <w:t>(Zespół Roboczy)</w:t>
      </w:r>
      <w:r w:rsidR="00282A62" w:rsidRPr="0085159D">
        <w:rPr>
          <w:lang w:val="pl-PL"/>
        </w:rPr>
        <w:t xml:space="preserve"> </w:t>
      </w:r>
      <w:r w:rsidR="008A6B69">
        <w:rPr>
          <w:lang w:val="pl-PL"/>
        </w:rPr>
        <w:t xml:space="preserve">utworzony </w:t>
      </w:r>
      <w:r w:rsidR="00F81399">
        <w:rPr>
          <w:lang w:val="pl-PL"/>
        </w:rPr>
        <w:t>przez Ministra Finansów 6 lipca 2016 </w:t>
      </w:r>
      <w:r w:rsidR="008A6B69">
        <w:rPr>
          <w:lang w:val="pl-PL"/>
        </w:rPr>
        <w:t>r.</w:t>
      </w:r>
      <w:r w:rsidR="00597DB9">
        <w:rPr>
          <w:lang w:val="pl-PL"/>
        </w:rPr>
        <w:t xml:space="preserve"> </w:t>
      </w:r>
      <w:r w:rsidR="00282A62" w:rsidRPr="0085159D">
        <w:rPr>
          <w:lang w:val="pl-PL"/>
        </w:rPr>
        <w:t>w ramach Rady Rozwoju Rynku Finansowego</w:t>
      </w:r>
      <w:r w:rsidR="00711E9F">
        <w:rPr>
          <w:rStyle w:val="Odwoanieprzypisudolnego"/>
          <w:lang w:val="pl-PL"/>
        </w:rPr>
        <w:footnoteReference w:id="7"/>
      </w:r>
      <w:r w:rsidR="00282A62" w:rsidRPr="0085159D">
        <w:rPr>
          <w:lang w:val="pl-PL"/>
        </w:rPr>
        <w:t xml:space="preserve">. W skład </w:t>
      </w:r>
      <w:r w:rsidR="00E10AFC">
        <w:rPr>
          <w:lang w:val="pl-PL"/>
        </w:rPr>
        <w:t>Z</w:t>
      </w:r>
      <w:r w:rsidR="00282A62" w:rsidRPr="0085159D">
        <w:rPr>
          <w:lang w:val="pl-PL"/>
        </w:rPr>
        <w:t>espołu</w:t>
      </w:r>
      <w:r w:rsidR="00E10AFC">
        <w:rPr>
          <w:lang w:val="pl-PL"/>
        </w:rPr>
        <w:t xml:space="preserve"> R</w:t>
      </w:r>
      <w:r w:rsidR="00597DB9">
        <w:rPr>
          <w:lang w:val="pl-PL"/>
        </w:rPr>
        <w:t>oboczego</w:t>
      </w:r>
      <w:r w:rsidR="00282A62" w:rsidRPr="0085159D">
        <w:rPr>
          <w:lang w:val="pl-PL"/>
        </w:rPr>
        <w:t xml:space="preserve"> wchodzą przedstawiciele </w:t>
      </w:r>
      <w:r w:rsidR="00E10AFC">
        <w:rPr>
          <w:lang w:val="pl-PL"/>
        </w:rPr>
        <w:t xml:space="preserve">podmiotów </w:t>
      </w:r>
      <w:r w:rsidR="00282A62" w:rsidRPr="0085159D">
        <w:rPr>
          <w:lang w:val="pl-PL"/>
        </w:rPr>
        <w:t>administracji</w:t>
      </w:r>
      <w:r w:rsidR="00252587" w:rsidRPr="0085159D">
        <w:rPr>
          <w:lang w:val="pl-PL"/>
        </w:rPr>
        <w:t xml:space="preserve"> publicznej</w:t>
      </w:r>
      <w:r w:rsidR="00892E00">
        <w:rPr>
          <w:lang w:val="pl-PL"/>
        </w:rPr>
        <w:t xml:space="preserve"> </w:t>
      </w:r>
      <w:r w:rsidR="00252587" w:rsidRPr="0085159D">
        <w:rPr>
          <w:lang w:val="pl-PL"/>
        </w:rPr>
        <w:t xml:space="preserve">oraz </w:t>
      </w:r>
      <w:r w:rsidR="00282A62" w:rsidRPr="0085159D">
        <w:rPr>
          <w:lang w:val="pl-PL"/>
        </w:rPr>
        <w:t>rynku finansow</w:t>
      </w:r>
      <w:r w:rsidR="00252587" w:rsidRPr="0085159D">
        <w:rPr>
          <w:lang w:val="pl-PL"/>
        </w:rPr>
        <w:t>ego</w:t>
      </w:r>
      <w:r w:rsidR="00282A62" w:rsidRPr="0085159D">
        <w:rPr>
          <w:lang w:val="pl-PL"/>
        </w:rPr>
        <w:t>, w tym stowarzyszeń branżowych (</w:t>
      </w:r>
      <w:r w:rsidR="00252587" w:rsidRPr="0085159D">
        <w:rPr>
          <w:lang w:val="pl-PL"/>
        </w:rPr>
        <w:t xml:space="preserve">łącznie </w:t>
      </w:r>
      <w:r w:rsidR="00282A62" w:rsidRPr="0085159D">
        <w:rPr>
          <w:lang w:val="pl-PL"/>
        </w:rPr>
        <w:t>35</w:t>
      </w:r>
      <w:r w:rsidR="00E10AFC">
        <w:rPr>
          <w:lang w:val="pl-PL"/>
        </w:rPr>
        <w:t xml:space="preserve"> podmiotów</w:t>
      </w:r>
      <w:r w:rsidR="00F51BC3">
        <w:rPr>
          <w:lang w:val="pl-PL"/>
        </w:rPr>
        <w:t>). Celem Zespołu R</w:t>
      </w:r>
      <w:r w:rsidR="00282A62" w:rsidRPr="0085159D">
        <w:rPr>
          <w:lang w:val="pl-PL"/>
        </w:rPr>
        <w:t>oboczego jest opracow</w:t>
      </w:r>
      <w:r w:rsidR="00252587" w:rsidRPr="0085159D">
        <w:rPr>
          <w:lang w:val="pl-PL"/>
        </w:rPr>
        <w:t>yw</w:t>
      </w:r>
      <w:r w:rsidR="00282A62" w:rsidRPr="0085159D">
        <w:rPr>
          <w:lang w:val="pl-PL"/>
        </w:rPr>
        <w:t>anie rozwiązań, które przyczyni</w:t>
      </w:r>
      <w:r w:rsidR="00252587" w:rsidRPr="0085159D">
        <w:rPr>
          <w:lang w:val="pl-PL"/>
        </w:rPr>
        <w:t>ają</w:t>
      </w:r>
      <w:r w:rsidR="00282A62" w:rsidRPr="0085159D">
        <w:rPr>
          <w:lang w:val="pl-PL"/>
        </w:rPr>
        <w:t xml:space="preserve"> się do wzrostu świadomości</w:t>
      </w:r>
      <w:r w:rsidR="00E10AFC">
        <w:rPr>
          <w:lang w:val="pl-PL"/>
        </w:rPr>
        <w:t xml:space="preserve"> konsumentów</w:t>
      </w:r>
      <w:r w:rsidR="00282A62" w:rsidRPr="0085159D">
        <w:rPr>
          <w:lang w:val="pl-PL"/>
        </w:rPr>
        <w:t xml:space="preserve"> w obszarze</w:t>
      </w:r>
      <w:r w:rsidR="00252587" w:rsidRPr="0085159D">
        <w:rPr>
          <w:lang w:val="pl-PL"/>
        </w:rPr>
        <w:t xml:space="preserve"> funkcjonowania</w:t>
      </w:r>
      <w:r w:rsidR="00282A62" w:rsidRPr="0085159D">
        <w:rPr>
          <w:lang w:val="pl-PL"/>
        </w:rPr>
        <w:t xml:space="preserve"> </w:t>
      </w:r>
      <w:r w:rsidR="00252587" w:rsidRPr="0085159D">
        <w:rPr>
          <w:lang w:val="pl-PL"/>
        </w:rPr>
        <w:t xml:space="preserve">polskiego </w:t>
      </w:r>
      <w:r w:rsidR="00282A62" w:rsidRPr="0085159D">
        <w:rPr>
          <w:lang w:val="pl-PL"/>
        </w:rPr>
        <w:t>rynku finansowego oraz budowani</w:t>
      </w:r>
      <w:r w:rsidR="00252587" w:rsidRPr="0085159D">
        <w:rPr>
          <w:lang w:val="pl-PL"/>
        </w:rPr>
        <w:t>a</w:t>
      </w:r>
      <w:r w:rsidR="00282A62" w:rsidRPr="0085159D">
        <w:rPr>
          <w:lang w:val="pl-PL"/>
        </w:rPr>
        <w:t xml:space="preserve"> zaufania do</w:t>
      </w:r>
      <w:r w:rsidR="00E10AFC">
        <w:rPr>
          <w:lang w:val="pl-PL"/>
        </w:rPr>
        <w:t xml:space="preserve"> niego</w:t>
      </w:r>
      <w:r w:rsidR="00282A62" w:rsidRPr="0085159D">
        <w:rPr>
          <w:lang w:val="pl-PL"/>
        </w:rPr>
        <w:t>.</w:t>
      </w:r>
    </w:p>
    <w:p w14:paraId="59ED53F5" w14:textId="77777777" w:rsidR="00282A62" w:rsidRDefault="00252587" w:rsidP="000B051F">
      <w:pPr>
        <w:pStyle w:val="BulletedList"/>
        <w:rPr>
          <w:lang w:val="pl-PL"/>
        </w:rPr>
      </w:pPr>
      <w:r w:rsidRPr="0097275C">
        <w:rPr>
          <w:b/>
          <w:lang w:val="pl-PL"/>
        </w:rPr>
        <w:t>G</w:t>
      </w:r>
      <w:r w:rsidR="00282A62" w:rsidRPr="0097275C">
        <w:rPr>
          <w:b/>
          <w:lang w:val="pl-PL"/>
        </w:rPr>
        <w:t>rup</w:t>
      </w:r>
      <w:r w:rsidRPr="0097275C">
        <w:rPr>
          <w:b/>
          <w:lang w:val="pl-PL"/>
        </w:rPr>
        <w:t>a</w:t>
      </w:r>
      <w:r w:rsidR="00282A62" w:rsidRPr="0097275C">
        <w:rPr>
          <w:b/>
          <w:lang w:val="pl-PL"/>
        </w:rPr>
        <w:t xml:space="preserve"> </w:t>
      </w:r>
      <w:r w:rsidR="009E03B9" w:rsidRPr="0097275C">
        <w:rPr>
          <w:b/>
          <w:lang w:val="pl-PL"/>
        </w:rPr>
        <w:t>r</w:t>
      </w:r>
      <w:r w:rsidR="00282A62" w:rsidRPr="0097275C">
        <w:rPr>
          <w:b/>
          <w:lang w:val="pl-PL"/>
        </w:rPr>
        <w:t>obocz</w:t>
      </w:r>
      <w:r w:rsidR="005214E6" w:rsidRPr="0097275C">
        <w:rPr>
          <w:b/>
          <w:lang w:val="pl-PL"/>
        </w:rPr>
        <w:t>a</w:t>
      </w:r>
      <w:r w:rsidR="00282A62" w:rsidRPr="0097275C">
        <w:rPr>
          <w:b/>
          <w:lang w:val="pl-PL"/>
        </w:rPr>
        <w:t xml:space="preserve"> </w:t>
      </w:r>
      <w:r w:rsidRPr="0097275C">
        <w:rPr>
          <w:b/>
          <w:lang w:val="pl-PL"/>
        </w:rPr>
        <w:t xml:space="preserve">ds. </w:t>
      </w:r>
      <w:r w:rsidR="009E03B9" w:rsidRPr="0097275C">
        <w:rPr>
          <w:b/>
          <w:lang w:val="pl-PL"/>
        </w:rPr>
        <w:t>s</w:t>
      </w:r>
      <w:r w:rsidR="00282A62" w:rsidRPr="0097275C">
        <w:rPr>
          <w:b/>
          <w:lang w:val="pl-PL"/>
        </w:rPr>
        <w:t xml:space="preserve">trategii </w:t>
      </w:r>
      <w:r w:rsidR="009E03B9" w:rsidRPr="0097275C">
        <w:rPr>
          <w:b/>
          <w:lang w:val="pl-PL"/>
        </w:rPr>
        <w:t>e</w:t>
      </w:r>
      <w:r w:rsidR="00282A62" w:rsidRPr="0097275C">
        <w:rPr>
          <w:b/>
          <w:lang w:val="pl-PL"/>
        </w:rPr>
        <w:t xml:space="preserve">dukacji </w:t>
      </w:r>
      <w:r w:rsidR="009E03B9" w:rsidRPr="0097275C">
        <w:rPr>
          <w:b/>
          <w:lang w:val="pl-PL"/>
        </w:rPr>
        <w:t>f</w:t>
      </w:r>
      <w:r w:rsidR="00282A62" w:rsidRPr="0097275C">
        <w:rPr>
          <w:b/>
          <w:lang w:val="pl-PL"/>
        </w:rPr>
        <w:t>inansowej</w:t>
      </w:r>
      <w:r w:rsidR="00E10AFC">
        <w:rPr>
          <w:b/>
          <w:lang w:val="pl-PL"/>
        </w:rPr>
        <w:t xml:space="preserve"> </w:t>
      </w:r>
      <w:r w:rsidR="00E10AFC" w:rsidRPr="00E10AFC">
        <w:rPr>
          <w:lang w:val="pl-PL"/>
        </w:rPr>
        <w:t>(Grupa Robocza)</w:t>
      </w:r>
      <w:r w:rsidRPr="00E10AFC">
        <w:rPr>
          <w:lang w:val="pl-PL"/>
        </w:rPr>
        <w:t>,</w:t>
      </w:r>
      <w:r w:rsidR="008A6B69">
        <w:rPr>
          <w:lang w:val="pl-PL"/>
        </w:rPr>
        <w:t xml:space="preserve"> </w:t>
      </w:r>
      <w:r w:rsidR="006E7B1C">
        <w:rPr>
          <w:lang w:val="pl-PL"/>
        </w:rPr>
        <w:t xml:space="preserve">utworzona </w:t>
      </w:r>
      <w:r w:rsidR="006E7B1C" w:rsidRPr="00E10AFC">
        <w:rPr>
          <w:lang w:val="pl-PL"/>
        </w:rPr>
        <w:t>w 2020</w:t>
      </w:r>
      <w:r w:rsidR="006E32B0">
        <w:rPr>
          <w:lang w:val="pl-PL"/>
        </w:rPr>
        <w:t> </w:t>
      </w:r>
      <w:r w:rsidR="006E7B1C" w:rsidRPr="00E10AFC">
        <w:rPr>
          <w:lang w:val="pl-PL"/>
        </w:rPr>
        <w:t>r.</w:t>
      </w:r>
      <w:r w:rsidR="006E7B1C">
        <w:rPr>
          <w:lang w:val="pl-PL"/>
        </w:rPr>
        <w:t xml:space="preserve"> </w:t>
      </w:r>
      <w:r w:rsidR="006E32B0">
        <w:rPr>
          <w:lang w:val="pl-PL"/>
        </w:rPr>
        <w:t>z </w:t>
      </w:r>
      <w:r w:rsidR="008A6B69">
        <w:rPr>
          <w:lang w:val="pl-PL"/>
        </w:rPr>
        <w:t>inicjatywy Rady Edukacji Finansowej, na zaproszenie Ministra Finansów w celu</w:t>
      </w:r>
      <w:r w:rsidRPr="0085159D">
        <w:rPr>
          <w:lang w:val="pl-PL"/>
        </w:rPr>
        <w:t xml:space="preserve"> </w:t>
      </w:r>
      <w:r w:rsidR="006E7B1C">
        <w:rPr>
          <w:lang w:val="pl-PL"/>
        </w:rPr>
        <w:t>prowadzenia, we współpracy z OECD, prac w zakresie opracowania projektu</w:t>
      </w:r>
      <w:r w:rsidR="006E7B1C" w:rsidRPr="006E7B1C">
        <w:rPr>
          <w:lang w:val="pl-PL"/>
        </w:rPr>
        <w:t xml:space="preserve"> Krajowej Strategii Edukacji Finansowej</w:t>
      </w:r>
      <w:r w:rsidR="006E7B1C">
        <w:rPr>
          <w:lang w:val="pl-PL"/>
        </w:rPr>
        <w:t>. W</w:t>
      </w:r>
      <w:r w:rsidRPr="0085159D">
        <w:rPr>
          <w:lang w:val="pl-PL"/>
        </w:rPr>
        <w:t xml:space="preserve"> skład</w:t>
      </w:r>
      <w:r w:rsidR="00282A62" w:rsidRPr="0085159D">
        <w:rPr>
          <w:lang w:val="pl-PL"/>
        </w:rPr>
        <w:t xml:space="preserve"> </w:t>
      </w:r>
      <w:r w:rsidR="00E10AFC">
        <w:rPr>
          <w:lang w:val="pl-PL"/>
        </w:rPr>
        <w:t>G</w:t>
      </w:r>
      <w:r w:rsidR="006E7B1C">
        <w:rPr>
          <w:lang w:val="pl-PL"/>
        </w:rPr>
        <w:t xml:space="preserve">rupy </w:t>
      </w:r>
      <w:r w:rsidR="00E10AFC">
        <w:rPr>
          <w:lang w:val="pl-PL"/>
        </w:rPr>
        <w:t>R</w:t>
      </w:r>
      <w:r w:rsidR="006E7B1C">
        <w:rPr>
          <w:lang w:val="pl-PL"/>
        </w:rPr>
        <w:t xml:space="preserve">oboczej </w:t>
      </w:r>
      <w:r w:rsidRPr="0085159D">
        <w:rPr>
          <w:lang w:val="pl-PL"/>
        </w:rPr>
        <w:t xml:space="preserve">której </w:t>
      </w:r>
      <w:r w:rsidR="006E7B1C">
        <w:rPr>
          <w:lang w:val="pl-PL"/>
        </w:rPr>
        <w:t xml:space="preserve">weszli </w:t>
      </w:r>
      <w:r w:rsidR="00282A62" w:rsidRPr="0085159D">
        <w:rPr>
          <w:lang w:val="pl-PL"/>
        </w:rPr>
        <w:t>przedstawiciele Minist</w:t>
      </w:r>
      <w:r w:rsidR="004D3A00">
        <w:rPr>
          <w:lang w:val="pl-PL"/>
        </w:rPr>
        <w:t>ra</w:t>
      </w:r>
      <w:r w:rsidR="00282A62" w:rsidRPr="0085159D">
        <w:rPr>
          <w:lang w:val="pl-PL"/>
        </w:rPr>
        <w:t xml:space="preserve"> Finansów, Minist</w:t>
      </w:r>
      <w:r w:rsidR="004D3A00">
        <w:rPr>
          <w:lang w:val="pl-PL"/>
        </w:rPr>
        <w:t>ra</w:t>
      </w:r>
      <w:r w:rsidR="00282A62" w:rsidRPr="0085159D">
        <w:rPr>
          <w:lang w:val="pl-PL"/>
        </w:rPr>
        <w:t xml:space="preserve"> Edukacji i Nauki, </w:t>
      </w:r>
      <w:r w:rsidR="004D3A00">
        <w:rPr>
          <w:lang w:val="pl-PL"/>
        </w:rPr>
        <w:t xml:space="preserve">Prezesa </w:t>
      </w:r>
      <w:r w:rsidR="00282A62" w:rsidRPr="0085159D">
        <w:rPr>
          <w:lang w:val="pl-PL"/>
        </w:rPr>
        <w:t xml:space="preserve">Narodowego Banku Polskiego, </w:t>
      </w:r>
      <w:r w:rsidR="004D3A00">
        <w:rPr>
          <w:lang w:val="pl-PL"/>
        </w:rPr>
        <w:t xml:space="preserve">Przewodniczącego </w:t>
      </w:r>
      <w:r w:rsidR="00282A62" w:rsidRPr="0085159D">
        <w:rPr>
          <w:lang w:val="pl-PL"/>
        </w:rPr>
        <w:t xml:space="preserve">Komisji Nadzoru Finansowego, </w:t>
      </w:r>
      <w:r w:rsidR="004D3A00">
        <w:rPr>
          <w:lang w:val="pl-PL"/>
        </w:rPr>
        <w:t xml:space="preserve">Prezesa </w:t>
      </w:r>
      <w:r w:rsidR="00282A62" w:rsidRPr="0085159D">
        <w:rPr>
          <w:lang w:val="pl-PL"/>
        </w:rPr>
        <w:t>Urzędu Ochrony Konkurencji i Konsumentów, Bankowego Funduszu Gwarancyjnego, Giełdy Papierów Wartościowych w Warszawie, Krajowego Depozytu Papierów Wartościowych oraz Rzecznika Finansowego.</w:t>
      </w:r>
    </w:p>
    <w:p w14:paraId="00BAB467" w14:textId="77777777" w:rsidR="008A6B69" w:rsidRDefault="008A6B69" w:rsidP="006E7B1C">
      <w:pPr>
        <w:pStyle w:val="BulletedList"/>
        <w:numPr>
          <w:ilvl w:val="0"/>
          <w:numId w:val="0"/>
        </w:numPr>
        <w:ind w:left="680"/>
        <w:rPr>
          <w:lang w:val="pl-PL"/>
        </w:rPr>
      </w:pPr>
    </w:p>
    <w:p w14:paraId="15A77118" w14:textId="4A9E1557" w:rsidR="00282A62" w:rsidRPr="0085159D" w:rsidRDefault="00D952A6" w:rsidP="000B051F">
      <w:pPr>
        <w:pStyle w:val="Nagwek3"/>
        <w:rPr>
          <w:lang w:val="pl-PL"/>
        </w:rPr>
      </w:pPr>
      <w:r>
        <w:rPr>
          <w:bCs/>
          <w:iCs/>
          <w:lang w:val="pl-PL"/>
        </w:rPr>
        <w:t xml:space="preserve">Ciała kolegialne </w:t>
      </w:r>
      <w:r w:rsidR="00282A62" w:rsidRPr="0085159D">
        <w:rPr>
          <w:bCs/>
          <w:iCs/>
          <w:lang w:val="pl-PL"/>
        </w:rPr>
        <w:t>pełniące funkcje nadzorcze, wykonawcze i doradcze</w:t>
      </w:r>
    </w:p>
    <w:p w14:paraId="53AA567F" w14:textId="77777777" w:rsidR="00282A62" w:rsidRPr="00B86C5B" w:rsidRDefault="00282A62" w:rsidP="000B051F">
      <w:pPr>
        <w:pStyle w:val="Para0"/>
        <w:rPr>
          <w:lang w:val="pl-PL"/>
        </w:rPr>
      </w:pPr>
      <w:r w:rsidRPr="0085159D">
        <w:rPr>
          <w:lang w:val="pl-PL"/>
        </w:rPr>
        <w:t xml:space="preserve">Biorąc pod uwagę </w:t>
      </w:r>
      <w:r w:rsidR="00D505FB">
        <w:rPr>
          <w:lang w:val="pl-PL"/>
        </w:rPr>
        <w:t xml:space="preserve">obowiązujące </w:t>
      </w:r>
      <w:r w:rsidRPr="0085159D">
        <w:rPr>
          <w:lang w:val="pl-PL"/>
        </w:rPr>
        <w:t xml:space="preserve">w Polsce </w:t>
      </w:r>
      <w:r w:rsidR="00D505FB">
        <w:rPr>
          <w:lang w:val="pl-PL"/>
        </w:rPr>
        <w:t>przepisy prawa, propozycje dotyczące struktury zarządczej wypracowane we współpracy z ekspertami OECD oraz powyższe założenia</w:t>
      </w:r>
      <w:r w:rsidR="007B5FD0">
        <w:rPr>
          <w:lang w:val="pl-PL"/>
        </w:rPr>
        <w:t>,</w:t>
      </w:r>
      <w:r w:rsidR="00A078CC">
        <w:rPr>
          <w:lang w:val="pl-PL"/>
        </w:rPr>
        <w:t xml:space="preserve"> określono </w:t>
      </w:r>
      <w:r w:rsidR="007B5FD0">
        <w:rPr>
          <w:lang w:val="pl-PL"/>
        </w:rPr>
        <w:t xml:space="preserve">niżej opisaną </w:t>
      </w:r>
      <w:r w:rsidR="00A078CC">
        <w:rPr>
          <w:lang w:val="pl-PL"/>
        </w:rPr>
        <w:t>s</w:t>
      </w:r>
      <w:r w:rsidR="00D505FB">
        <w:rPr>
          <w:lang w:val="pl-PL"/>
        </w:rPr>
        <w:t>trukt</w:t>
      </w:r>
      <w:r w:rsidR="00A078CC">
        <w:rPr>
          <w:lang w:val="pl-PL"/>
        </w:rPr>
        <w:t>urę</w:t>
      </w:r>
      <w:r w:rsidR="00D505FB">
        <w:rPr>
          <w:lang w:val="pl-PL"/>
        </w:rPr>
        <w:t xml:space="preserve"> zarządzania wdrażaniem </w:t>
      </w:r>
      <w:r w:rsidR="002B7E05">
        <w:rPr>
          <w:lang w:val="pl-PL"/>
        </w:rPr>
        <w:t>KSEF.</w:t>
      </w:r>
      <w:r w:rsidR="00D505FB">
        <w:rPr>
          <w:lang w:val="pl-PL"/>
        </w:rPr>
        <w:t xml:space="preserve"> </w:t>
      </w:r>
    </w:p>
    <w:p w14:paraId="48C534FE" w14:textId="77777777" w:rsidR="00F51BC3" w:rsidRPr="00255E82" w:rsidRDefault="00282A62" w:rsidP="00021010">
      <w:pPr>
        <w:pStyle w:val="NumberedList"/>
        <w:keepNext/>
        <w:spacing w:before="360"/>
        <w:rPr>
          <w:lang w:val="pl-PL"/>
        </w:rPr>
      </w:pPr>
      <w:r w:rsidRPr="0085159D">
        <w:rPr>
          <w:b/>
          <w:bCs/>
          <w:lang w:val="pl-PL"/>
        </w:rPr>
        <w:t>Rada Edukacji Finansowej</w:t>
      </w:r>
    </w:p>
    <w:p w14:paraId="508ED72E" w14:textId="3CFE0D18" w:rsidR="00282A62" w:rsidRPr="00CF6580" w:rsidRDefault="00282A62" w:rsidP="00021010">
      <w:pPr>
        <w:pStyle w:val="Para0"/>
        <w:rPr>
          <w:lang w:val="pl-PL"/>
        </w:rPr>
      </w:pPr>
      <w:r w:rsidRPr="00DC4A8A">
        <w:rPr>
          <w:lang w:val="pl-PL"/>
        </w:rPr>
        <w:t>R</w:t>
      </w:r>
      <w:r w:rsidR="00F51BC3" w:rsidRPr="00DC4A8A">
        <w:rPr>
          <w:lang w:val="pl-PL"/>
        </w:rPr>
        <w:t>ada</w:t>
      </w:r>
      <w:r w:rsidRPr="00DC4A8A">
        <w:rPr>
          <w:lang w:val="pl-PL"/>
        </w:rPr>
        <w:t xml:space="preserve"> </w:t>
      </w:r>
      <w:r w:rsidR="002F3603" w:rsidRPr="00DC4A8A">
        <w:rPr>
          <w:lang w:val="pl-PL"/>
        </w:rPr>
        <w:t xml:space="preserve">będzie pełnić </w:t>
      </w:r>
      <w:r w:rsidRPr="00DC4A8A">
        <w:rPr>
          <w:lang w:val="pl-PL"/>
        </w:rPr>
        <w:t xml:space="preserve">nadzór </w:t>
      </w:r>
      <w:r w:rsidR="00E1792A" w:rsidRPr="00E1792A">
        <w:rPr>
          <w:lang w:val="pl-PL"/>
        </w:rPr>
        <w:t xml:space="preserve">nad </w:t>
      </w:r>
      <w:r w:rsidR="00E1792A">
        <w:rPr>
          <w:lang w:val="pl-PL"/>
        </w:rPr>
        <w:t xml:space="preserve">wdrażaniem </w:t>
      </w:r>
      <w:r w:rsidR="00E1792A" w:rsidRPr="00E1792A">
        <w:rPr>
          <w:lang w:val="pl-PL"/>
        </w:rPr>
        <w:t>KSEF</w:t>
      </w:r>
      <w:r w:rsidR="00E1792A">
        <w:rPr>
          <w:lang w:val="pl-PL"/>
        </w:rPr>
        <w:t xml:space="preserve">, w tym nad jej </w:t>
      </w:r>
      <w:r w:rsidR="009E03B9" w:rsidRPr="00CF6580">
        <w:rPr>
          <w:lang w:val="pl-PL"/>
        </w:rPr>
        <w:t>realizacj</w:t>
      </w:r>
      <w:r w:rsidR="00E1792A">
        <w:rPr>
          <w:lang w:val="pl-PL"/>
        </w:rPr>
        <w:t>ą</w:t>
      </w:r>
      <w:r w:rsidRPr="00CF6580">
        <w:rPr>
          <w:lang w:val="pl-PL"/>
        </w:rPr>
        <w:t xml:space="preserve">, </w:t>
      </w:r>
      <w:r w:rsidR="003E30FF" w:rsidRPr="00CF6580">
        <w:rPr>
          <w:lang w:val="pl-PL"/>
        </w:rPr>
        <w:t>ewaluac</w:t>
      </w:r>
      <w:r w:rsidR="00EE7050" w:rsidRPr="00CF6580">
        <w:rPr>
          <w:lang w:val="pl-PL"/>
        </w:rPr>
        <w:t>j</w:t>
      </w:r>
      <w:r w:rsidR="00E1792A">
        <w:rPr>
          <w:lang w:val="pl-PL"/>
        </w:rPr>
        <w:t>ą</w:t>
      </w:r>
      <w:r w:rsidR="003E30FF" w:rsidRPr="00CF6580">
        <w:rPr>
          <w:lang w:val="pl-PL"/>
        </w:rPr>
        <w:t xml:space="preserve"> </w:t>
      </w:r>
      <w:r w:rsidRPr="00CF6580">
        <w:rPr>
          <w:lang w:val="pl-PL"/>
        </w:rPr>
        <w:t xml:space="preserve">i </w:t>
      </w:r>
      <w:r w:rsidR="00DF5910" w:rsidRPr="00CF6580">
        <w:rPr>
          <w:lang w:val="pl-PL"/>
        </w:rPr>
        <w:t>rewizj</w:t>
      </w:r>
      <w:r w:rsidR="00E1792A">
        <w:rPr>
          <w:lang w:val="pl-PL"/>
        </w:rPr>
        <w:t>ą</w:t>
      </w:r>
      <w:r w:rsidR="00287F4D" w:rsidRPr="00CF6580">
        <w:rPr>
          <w:lang w:val="pl-PL"/>
        </w:rPr>
        <w:t>.</w:t>
      </w:r>
      <w:r w:rsidRPr="00CF6580">
        <w:rPr>
          <w:lang w:val="pl-PL"/>
        </w:rPr>
        <w:t xml:space="preserve"> Będąc organem kolegialnym, </w:t>
      </w:r>
      <w:r w:rsidR="002F3603" w:rsidRPr="00CF6580">
        <w:rPr>
          <w:lang w:val="pl-PL"/>
        </w:rPr>
        <w:t xml:space="preserve">na podstawie art. 43j ust. 1 </w:t>
      </w:r>
      <w:r w:rsidR="00F51757" w:rsidRPr="00CF6580">
        <w:rPr>
          <w:lang w:val="pl-PL"/>
        </w:rPr>
        <w:t>U</w:t>
      </w:r>
      <w:r w:rsidR="002F3603" w:rsidRPr="00CF6580">
        <w:rPr>
          <w:lang w:val="pl-PL"/>
        </w:rPr>
        <w:t xml:space="preserve">stawy, Rada </w:t>
      </w:r>
      <w:r w:rsidRPr="00CF6580">
        <w:rPr>
          <w:lang w:val="pl-PL"/>
        </w:rPr>
        <w:t xml:space="preserve">posiada kompetencje w odniesieniu do </w:t>
      </w:r>
      <w:r w:rsidR="009E03B9" w:rsidRPr="00CF6580">
        <w:rPr>
          <w:lang w:val="pl-PL"/>
        </w:rPr>
        <w:t xml:space="preserve">realizacji </w:t>
      </w:r>
      <w:r w:rsidRPr="00CF6580">
        <w:rPr>
          <w:lang w:val="pl-PL"/>
        </w:rPr>
        <w:t xml:space="preserve">KSEF. Instytucje </w:t>
      </w:r>
      <w:r w:rsidR="00EE7050" w:rsidRPr="00CF6580">
        <w:rPr>
          <w:lang w:val="pl-PL"/>
        </w:rPr>
        <w:t xml:space="preserve">reprezentowane w </w:t>
      </w:r>
      <w:r w:rsidRPr="00CF6580">
        <w:rPr>
          <w:lang w:val="pl-PL"/>
        </w:rPr>
        <w:t>Rad</w:t>
      </w:r>
      <w:r w:rsidR="00EE7050" w:rsidRPr="00CF6580">
        <w:rPr>
          <w:lang w:val="pl-PL"/>
        </w:rPr>
        <w:t>zie</w:t>
      </w:r>
      <w:r w:rsidRPr="00CF6580">
        <w:rPr>
          <w:lang w:val="pl-PL"/>
        </w:rPr>
        <w:t xml:space="preserve"> posiadają uprawnienia do pr</w:t>
      </w:r>
      <w:r w:rsidR="00A5566B">
        <w:rPr>
          <w:lang w:val="pl-PL"/>
        </w:rPr>
        <w:t>owadzenia edukacji finansowej w </w:t>
      </w:r>
      <w:r w:rsidRPr="00CF6580">
        <w:rPr>
          <w:lang w:val="pl-PL"/>
        </w:rPr>
        <w:t xml:space="preserve">ramach swoich kompetencji </w:t>
      </w:r>
      <w:r w:rsidR="00E1792A" w:rsidRPr="00E1792A">
        <w:rPr>
          <w:lang w:val="pl-PL"/>
        </w:rPr>
        <w:t>i są gotowe do kontynuowania współpracy, którą podjęły w celu opracowania KSEF</w:t>
      </w:r>
      <w:r w:rsidR="002F3603" w:rsidRPr="00CF6580">
        <w:rPr>
          <w:lang w:val="pl-PL"/>
        </w:rPr>
        <w:t>.</w:t>
      </w:r>
      <w:r w:rsidRPr="00CF6580">
        <w:rPr>
          <w:lang w:val="pl-PL"/>
        </w:rPr>
        <w:t>.</w:t>
      </w:r>
    </w:p>
    <w:p w14:paraId="12E1D090" w14:textId="77777777" w:rsidR="00282A62" w:rsidRPr="0085159D" w:rsidRDefault="00282A62" w:rsidP="000B051F">
      <w:pPr>
        <w:pStyle w:val="Para0"/>
        <w:rPr>
          <w:lang w:val="pl-PL"/>
        </w:rPr>
      </w:pPr>
      <w:r w:rsidRPr="00CF6580">
        <w:rPr>
          <w:lang w:val="pl-PL"/>
        </w:rPr>
        <w:t>W ramach struktury</w:t>
      </w:r>
      <w:r w:rsidR="00DF5910" w:rsidRPr="00CF6580">
        <w:rPr>
          <w:lang w:val="pl-PL"/>
        </w:rPr>
        <w:t xml:space="preserve"> zarządzania,</w:t>
      </w:r>
      <w:r w:rsidRPr="00CF6580">
        <w:rPr>
          <w:lang w:val="pl-PL"/>
        </w:rPr>
        <w:t xml:space="preserve"> R</w:t>
      </w:r>
      <w:r w:rsidR="00255E82" w:rsidRPr="00CF6580">
        <w:rPr>
          <w:lang w:val="pl-PL"/>
        </w:rPr>
        <w:t>ada</w:t>
      </w:r>
      <w:r w:rsidRPr="00CF6580">
        <w:rPr>
          <w:lang w:val="pl-PL"/>
        </w:rPr>
        <w:t xml:space="preserve"> </w:t>
      </w:r>
      <w:r w:rsidR="00255E82" w:rsidRPr="00CF6580">
        <w:rPr>
          <w:lang w:val="pl-PL"/>
        </w:rPr>
        <w:t xml:space="preserve">będzie </w:t>
      </w:r>
      <w:r w:rsidR="00463542" w:rsidRPr="00CF6580">
        <w:rPr>
          <w:lang w:val="pl-PL"/>
        </w:rPr>
        <w:t xml:space="preserve">udzielać </w:t>
      </w:r>
      <w:r w:rsidR="00AE5121" w:rsidRPr="00CF6580">
        <w:rPr>
          <w:lang w:val="pl-PL"/>
        </w:rPr>
        <w:t>wytyczn</w:t>
      </w:r>
      <w:r w:rsidR="00463542" w:rsidRPr="00CF6580">
        <w:rPr>
          <w:lang w:val="pl-PL"/>
        </w:rPr>
        <w:t>ych</w:t>
      </w:r>
      <w:r w:rsidR="00AE5121" w:rsidRPr="00CF6580">
        <w:rPr>
          <w:lang w:val="pl-PL"/>
        </w:rPr>
        <w:t xml:space="preserve"> </w:t>
      </w:r>
      <w:r w:rsidRPr="00CF6580">
        <w:rPr>
          <w:lang w:val="pl-PL"/>
        </w:rPr>
        <w:t>dotycząc</w:t>
      </w:r>
      <w:r w:rsidR="00463542" w:rsidRPr="00CF6580">
        <w:rPr>
          <w:lang w:val="pl-PL"/>
        </w:rPr>
        <w:t>ych</w:t>
      </w:r>
      <w:r w:rsidRPr="00CF6580">
        <w:rPr>
          <w:lang w:val="pl-PL"/>
        </w:rPr>
        <w:t xml:space="preserve"> decyzji strategicznych,</w:t>
      </w:r>
      <w:r w:rsidRPr="0085159D">
        <w:rPr>
          <w:lang w:val="pl-PL"/>
        </w:rPr>
        <w:t xml:space="preserve"> zatwierdzać zmiany i rewizje KSEF (w razie potrzeby) oraz zatwierdzać roczne plany działania opracowane przez Komitet </w:t>
      </w:r>
      <w:r w:rsidR="00826139" w:rsidRPr="0085159D">
        <w:rPr>
          <w:lang w:val="pl-PL"/>
        </w:rPr>
        <w:t xml:space="preserve">Wdrażający </w:t>
      </w:r>
      <w:r w:rsidRPr="0085159D">
        <w:rPr>
          <w:lang w:val="pl-PL"/>
        </w:rPr>
        <w:t xml:space="preserve">zgodnie z </w:t>
      </w:r>
      <w:r w:rsidR="009E03B9" w:rsidRPr="0085159D">
        <w:rPr>
          <w:lang w:val="pl-PL"/>
        </w:rPr>
        <w:t>planem wdrażania</w:t>
      </w:r>
      <w:r w:rsidRPr="0085159D">
        <w:rPr>
          <w:lang w:val="pl-PL"/>
        </w:rPr>
        <w:t>. R</w:t>
      </w:r>
      <w:r w:rsidR="00255E82">
        <w:rPr>
          <w:lang w:val="pl-PL"/>
        </w:rPr>
        <w:t>ada</w:t>
      </w:r>
      <w:r w:rsidRPr="0085159D">
        <w:rPr>
          <w:lang w:val="pl-PL"/>
        </w:rPr>
        <w:t xml:space="preserve"> </w:t>
      </w:r>
      <w:r w:rsidR="00255E82">
        <w:rPr>
          <w:lang w:val="pl-PL"/>
        </w:rPr>
        <w:t xml:space="preserve">będzie </w:t>
      </w:r>
      <w:r w:rsidRPr="0085159D">
        <w:rPr>
          <w:lang w:val="pl-PL"/>
        </w:rPr>
        <w:t xml:space="preserve">również, co siedem lat, nadzorować proces </w:t>
      </w:r>
      <w:r w:rsidR="003E30FF" w:rsidRPr="0085159D">
        <w:rPr>
          <w:lang w:val="pl-PL"/>
        </w:rPr>
        <w:t xml:space="preserve">ewaluacji </w:t>
      </w:r>
      <w:r w:rsidRPr="0085159D">
        <w:rPr>
          <w:lang w:val="pl-PL"/>
        </w:rPr>
        <w:t xml:space="preserve">KSEF. </w:t>
      </w:r>
      <w:r w:rsidR="00255E82">
        <w:rPr>
          <w:lang w:val="pl-PL"/>
        </w:rPr>
        <w:t xml:space="preserve">Będzie </w:t>
      </w:r>
      <w:r w:rsidRPr="0085159D">
        <w:rPr>
          <w:lang w:val="pl-PL"/>
        </w:rPr>
        <w:t>odgrywać kluczową rolę w podtrzymywaniu i</w:t>
      </w:r>
      <w:r w:rsidR="00545FC9">
        <w:rPr>
          <w:lang w:val="pl-PL"/>
        </w:rPr>
        <w:t> </w:t>
      </w:r>
      <w:r w:rsidRPr="0085159D">
        <w:rPr>
          <w:lang w:val="pl-PL"/>
        </w:rPr>
        <w:t>pobudzaniu zainteresowania edukacją finansową na najwyższym szczeblu rządowym.</w:t>
      </w:r>
    </w:p>
    <w:p w14:paraId="7C0AD769" w14:textId="77777777" w:rsidR="00282A62" w:rsidRPr="0085159D" w:rsidRDefault="00282A62" w:rsidP="00F52EE2">
      <w:pPr>
        <w:pStyle w:val="NumberedList"/>
        <w:keepNext/>
        <w:spacing w:before="360"/>
        <w:rPr>
          <w:b/>
          <w:bCs/>
          <w:lang w:val="pl-PL"/>
        </w:rPr>
      </w:pPr>
      <w:r w:rsidRPr="0085159D">
        <w:rPr>
          <w:b/>
          <w:bCs/>
          <w:lang w:val="pl-PL"/>
        </w:rPr>
        <w:t xml:space="preserve">Komitet </w:t>
      </w:r>
      <w:r w:rsidR="000B1A2D" w:rsidRPr="0085159D">
        <w:rPr>
          <w:b/>
          <w:bCs/>
          <w:lang w:val="pl-PL"/>
        </w:rPr>
        <w:t>Wdrażający</w:t>
      </w:r>
    </w:p>
    <w:p w14:paraId="46F6D2B4" w14:textId="77777777" w:rsidR="00AB3205" w:rsidRDefault="004C72D3" w:rsidP="000B051F">
      <w:pPr>
        <w:pStyle w:val="Para0"/>
        <w:rPr>
          <w:lang w:val="pl-PL"/>
        </w:rPr>
      </w:pPr>
      <w:r>
        <w:rPr>
          <w:lang w:val="pl-PL"/>
        </w:rPr>
        <w:t>Minist</w:t>
      </w:r>
      <w:r w:rsidR="00CD38A0">
        <w:rPr>
          <w:lang w:val="pl-PL"/>
        </w:rPr>
        <w:t>er</w:t>
      </w:r>
      <w:r>
        <w:rPr>
          <w:lang w:val="pl-PL"/>
        </w:rPr>
        <w:t xml:space="preserve"> Finansów </w:t>
      </w:r>
      <w:r w:rsidR="00CD38A0">
        <w:rPr>
          <w:lang w:val="pl-PL"/>
        </w:rPr>
        <w:t>utworz</w:t>
      </w:r>
      <w:r>
        <w:rPr>
          <w:lang w:val="pl-PL"/>
        </w:rPr>
        <w:t xml:space="preserve">y Komitet Wdrażający KSEF (KW), w którego skład wejdą </w:t>
      </w:r>
      <w:r w:rsidR="00B03859">
        <w:rPr>
          <w:lang w:val="pl-PL"/>
        </w:rPr>
        <w:t xml:space="preserve">przedstawiciele instytucji </w:t>
      </w:r>
      <w:r w:rsidR="00EF12E6">
        <w:rPr>
          <w:lang w:val="pl-PL"/>
        </w:rPr>
        <w:t>reprezentowanych</w:t>
      </w:r>
      <w:r>
        <w:rPr>
          <w:lang w:val="pl-PL"/>
        </w:rPr>
        <w:t xml:space="preserve"> w </w:t>
      </w:r>
      <w:r w:rsidR="00CD38A0">
        <w:rPr>
          <w:lang w:val="pl-PL"/>
        </w:rPr>
        <w:t>G</w:t>
      </w:r>
      <w:r w:rsidR="00282A62" w:rsidRPr="0085159D">
        <w:rPr>
          <w:lang w:val="pl-PL"/>
        </w:rPr>
        <w:t>rup</w:t>
      </w:r>
      <w:r>
        <w:rPr>
          <w:lang w:val="pl-PL"/>
        </w:rPr>
        <w:t>ie</w:t>
      </w:r>
      <w:r w:rsidR="00282A62" w:rsidRPr="0085159D">
        <w:rPr>
          <w:lang w:val="pl-PL"/>
        </w:rPr>
        <w:t xml:space="preserve"> </w:t>
      </w:r>
      <w:r w:rsidR="00CD38A0">
        <w:rPr>
          <w:lang w:val="pl-PL"/>
        </w:rPr>
        <w:t>R</w:t>
      </w:r>
      <w:r w:rsidR="00282A62" w:rsidRPr="0085159D">
        <w:rPr>
          <w:lang w:val="pl-PL"/>
        </w:rPr>
        <w:t>oboczej</w:t>
      </w:r>
      <w:r w:rsidR="00282A62" w:rsidRPr="004C72D3">
        <w:rPr>
          <w:lang w:val="pl-PL"/>
        </w:rPr>
        <w:t>.</w:t>
      </w:r>
      <w:r w:rsidR="00282A62" w:rsidRPr="0085159D">
        <w:rPr>
          <w:lang w:val="pl-PL"/>
        </w:rPr>
        <w:t xml:space="preserve"> K</w:t>
      </w:r>
      <w:r w:rsidR="000C0B0C">
        <w:rPr>
          <w:lang w:val="pl-PL"/>
        </w:rPr>
        <w:t>W</w:t>
      </w:r>
      <w:r w:rsidR="00282A62" w:rsidRPr="0085159D">
        <w:rPr>
          <w:lang w:val="pl-PL"/>
        </w:rPr>
        <w:t xml:space="preserve"> </w:t>
      </w:r>
      <w:r w:rsidR="000C0B0C">
        <w:rPr>
          <w:lang w:val="pl-PL"/>
        </w:rPr>
        <w:t xml:space="preserve">będzie </w:t>
      </w:r>
      <w:r w:rsidR="00282A62" w:rsidRPr="0085159D">
        <w:rPr>
          <w:lang w:val="pl-PL"/>
        </w:rPr>
        <w:t>pełnić funkcje wykonawcze</w:t>
      </w:r>
      <w:r w:rsidR="000C0B0C">
        <w:rPr>
          <w:lang w:val="pl-PL"/>
        </w:rPr>
        <w:t xml:space="preserve"> wdrażania KSEF</w:t>
      </w:r>
      <w:r w:rsidR="00076C4A">
        <w:rPr>
          <w:lang w:val="pl-PL"/>
        </w:rPr>
        <w:t>.</w:t>
      </w:r>
    </w:p>
    <w:p w14:paraId="05FE0B1A" w14:textId="20DCED2E" w:rsidR="00AB3205" w:rsidRDefault="00AB3205" w:rsidP="000B051F">
      <w:pPr>
        <w:pStyle w:val="Para0"/>
        <w:rPr>
          <w:lang w:val="pl-PL"/>
        </w:rPr>
      </w:pPr>
      <w:r>
        <w:rPr>
          <w:lang w:val="pl-PL"/>
        </w:rPr>
        <w:lastRenderedPageBreak/>
        <w:t>KW, pod nadzorem</w:t>
      </w:r>
      <w:r w:rsidR="00255E82">
        <w:rPr>
          <w:lang w:val="pl-PL"/>
        </w:rPr>
        <w:t xml:space="preserve"> Rady</w:t>
      </w:r>
      <w:r>
        <w:rPr>
          <w:lang w:val="pl-PL"/>
        </w:rPr>
        <w:t xml:space="preserve">, </w:t>
      </w:r>
      <w:r w:rsidR="000C0B0C">
        <w:rPr>
          <w:lang w:val="pl-PL"/>
        </w:rPr>
        <w:t xml:space="preserve">będzie </w:t>
      </w:r>
      <w:r w:rsidR="00282A62" w:rsidRPr="0085159D">
        <w:rPr>
          <w:lang w:val="pl-PL"/>
        </w:rPr>
        <w:t>opracowywa</w:t>
      </w:r>
      <w:r w:rsidR="006B33E7">
        <w:rPr>
          <w:lang w:val="pl-PL"/>
        </w:rPr>
        <w:t>ł</w:t>
      </w:r>
      <w:r w:rsidR="0013420B">
        <w:rPr>
          <w:lang w:val="pl-PL"/>
        </w:rPr>
        <w:t xml:space="preserve"> kolejne </w:t>
      </w:r>
      <w:r w:rsidR="0013420B" w:rsidRPr="0085159D">
        <w:rPr>
          <w:lang w:val="pl-PL"/>
        </w:rPr>
        <w:t>plan</w:t>
      </w:r>
      <w:r w:rsidR="0013420B">
        <w:rPr>
          <w:lang w:val="pl-PL"/>
        </w:rPr>
        <w:t>y</w:t>
      </w:r>
      <w:r w:rsidR="0013420B" w:rsidRPr="0085159D">
        <w:rPr>
          <w:lang w:val="pl-PL"/>
        </w:rPr>
        <w:t xml:space="preserve"> wdrażania</w:t>
      </w:r>
      <w:r w:rsidR="0013420B">
        <w:rPr>
          <w:lang w:val="pl-PL"/>
        </w:rPr>
        <w:t xml:space="preserve"> i roczne plany działań</w:t>
      </w:r>
      <w:r w:rsidR="00282A62" w:rsidRPr="0085159D">
        <w:rPr>
          <w:lang w:val="pl-PL"/>
        </w:rPr>
        <w:t xml:space="preserve">, </w:t>
      </w:r>
      <w:r w:rsidR="0013420B">
        <w:rPr>
          <w:lang w:val="pl-PL"/>
        </w:rPr>
        <w:t xml:space="preserve">a także koordynował </w:t>
      </w:r>
      <w:r w:rsidR="00DF5910" w:rsidRPr="0085159D">
        <w:rPr>
          <w:lang w:val="pl-PL"/>
        </w:rPr>
        <w:t>oraz</w:t>
      </w:r>
      <w:r w:rsidR="00282A62" w:rsidRPr="0085159D">
        <w:rPr>
          <w:lang w:val="pl-PL"/>
        </w:rPr>
        <w:t xml:space="preserve"> monitorowa</w:t>
      </w:r>
      <w:r w:rsidR="006B33E7">
        <w:rPr>
          <w:lang w:val="pl-PL"/>
        </w:rPr>
        <w:t>ł</w:t>
      </w:r>
      <w:r w:rsidR="00282A62" w:rsidRPr="0085159D">
        <w:rPr>
          <w:lang w:val="pl-PL"/>
        </w:rPr>
        <w:t xml:space="preserve"> </w:t>
      </w:r>
      <w:r w:rsidR="0013420B">
        <w:rPr>
          <w:lang w:val="pl-PL"/>
        </w:rPr>
        <w:t>ich wykonanie</w:t>
      </w:r>
      <w:r w:rsidR="00076C4A">
        <w:rPr>
          <w:lang w:val="pl-PL"/>
        </w:rPr>
        <w:t>.</w:t>
      </w:r>
    </w:p>
    <w:p w14:paraId="7DFC9166" w14:textId="77777777" w:rsidR="00282A62" w:rsidRPr="0085159D" w:rsidRDefault="00282A62" w:rsidP="000B051F">
      <w:pPr>
        <w:pStyle w:val="Para0"/>
        <w:rPr>
          <w:lang w:val="pl-PL"/>
        </w:rPr>
      </w:pPr>
      <w:r w:rsidRPr="0085159D">
        <w:rPr>
          <w:lang w:val="pl-PL"/>
        </w:rPr>
        <w:t>Ponadto K</w:t>
      </w:r>
      <w:r w:rsidR="00826139" w:rsidRPr="0085159D">
        <w:rPr>
          <w:lang w:val="pl-PL"/>
        </w:rPr>
        <w:t xml:space="preserve">W </w:t>
      </w:r>
      <w:r w:rsidR="00793A67">
        <w:rPr>
          <w:lang w:val="pl-PL"/>
        </w:rPr>
        <w:t>będzie</w:t>
      </w:r>
      <w:r w:rsidRPr="0085159D">
        <w:rPr>
          <w:lang w:val="pl-PL"/>
        </w:rPr>
        <w:t>:</w:t>
      </w:r>
    </w:p>
    <w:p w14:paraId="5D62F5A8" w14:textId="77777777" w:rsidR="00AB3205" w:rsidRDefault="00AB3205" w:rsidP="000B051F">
      <w:pPr>
        <w:pStyle w:val="BulletedList"/>
        <w:rPr>
          <w:lang w:val="pl-PL"/>
        </w:rPr>
      </w:pPr>
      <w:r w:rsidRPr="0085159D">
        <w:rPr>
          <w:lang w:val="pl-PL"/>
        </w:rPr>
        <w:t xml:space="preserve">przedstawiać </w:t>
      </w:r>
      <w:r w:rsidR="00255E82">
        <w:rPr>
          <w:lang w:val="pl-PL"/>
        </w:rPr>
        <w:t xml:space="preserve">Radzie </w:t>
      </w:r>
      <w:r w:rsidRPr="0085159D">
        <w:rPr>
          <w:lang w:val="pl-PL"/>
        </w:rPr>
        <w:t xml:space="preserve">propozycje rewizji </w:t>
      </w:r>
      <w:r w:rsidR="00616296">
        <w:rPr>
          <w:lang w:val="pl-PL"/>
        </w:rPr>
        <w:t>i (w razie potrzeby)</w:t>
      </w:r>
      <w:r w:rsidR="00B302A7">
        <w:rPr>
          <w:lang w:val="pl-PL"/>
        </w:rPr>
        <w:t xml:space="preserve"> zmian</w:t>
      </w:r>
      <w:r w:rsidR="00616296">
        <w:rPr>
          <w:lang w:val="pl-PL"/>
        </w:rPr>
        <w:t xml:space="preserve"> </w:t>
      </w:r>
      <w:r w:rsidR="006B33E7">
        <w:rPr>
          <w:lang w:val="pl-PL"/>
        </w:rPr>
        <w:t xml:space="preserve">postanowień </w:t>
      </w:r>
      <w:r w:rsidRPr="0085159D">
        <w:rPr>
          <w:lang w:val="pl-PL"/>
        </w:rPr>
        <w:t>Strategii</w:t>
      </w:r>
      <w:r>
        <w:rPr>
          <w:lang w:val="pl-PL"/>
        </w:rPr>
        <w:t>;</w:t>
      </w:r>
    </w:p>
    <w:p w14:paraId="387714C2" w14:textId="77777777" w:rsidR="00282A62" w:rsidRPr="0085159D" w:rsidRDefault="009E03B9" w:rsidP="000B051F">
      <w:pPr>
        <w:pStyle w:val="BulletedList"/>
        <w:rPr>
          <w:lang w:val="pl-PL"/>
        </w:rPr>
      </w:pPr>
      <w:r w:rsidRPr="0085159D">
        <w:rPr>
          <w:lang w:val="pl-PL"/>
        </w:rPr>
        <w:t>m</w:t>
      </w:r>
      <w:r w:rsidR="00282A62" w:rsidRPr="0085159D">
        <w:rPr>
          <w:lang w:val="pl-PL"/>
        </w:rPr>
        <w:t xml:space="preserve">onitorować realizację </w:t>
      </w:r>
      <w:r w:rsidR="00616296">
        <w:rPr>
          <w:lang w:val="pl-PL"/>
        </w:rPr>
        <w:t xml:space="preserve">rocznych </w:t>
      </w:r>
      <w:r w:rsidR="00282A62" w:rsidRPr="0085159D">
        <w:rPr>
          <w:lang w:val="pl-PL"/>
        </w:rPr>
        <w:t xml:space="preserve">planów </w:t>
      </w:r>
      <w:r w:rsidRPr="0085159D">
        <w:rPr>
          <w:lang w:val="pl-PL"/>
        </w:rPr>
        <w:t xml:space="preserve">działania na podstawie raportów przekazywanych </w:t>
      </w:r>
      <w:r w:rsidR="00282A62" w:rsidRPr="0085159D">
        <w:rPr>
          <w:lang w:val="pl-PL"/>
        </w:rPr>
        <w:t>przez interesariuszy</w:t>
      </w:r>
      <w:r w:rsidR="00255E82">
        <w:rPr>
          <w:lang w:val="pl-PL"/>
        </w:rPr>
        <w:t xml:space="preserve"> KSEF</w:t>
      </w:r>
      <w:r w:rsidR="008127BF" w:rsidRPr="0085159D">
        <w:rPr>
          <w:lang w:val="pl-PL"/>
        </w:rPr>
        <w:t>;</w:t>
      </w:r>
    </w:p>
    <w:p w14:paraId="4B643170" w14:textId="77777777" w:rsidR="00282A62" w:rsidRPr="008D2EAF" w:rsidRDefault="009E03B9" w:rsidP="000B051F">
      <w:pPr>
        <w:pStyle w:val="BulletedList"/>
        <w:rPr>
          <w:lang w:val="pl-PL"/>
        </w:rPr>
      </w:pPr>
      <w:r w:rsidRPr="008D2EAF">
        <w:rPr>
          <w:lang w:val="pl-PL"/>
        </w:rPr>
        <w:t>o</w:t>
      </w:r>
      <w:r w:rsidR="00282A62" w:rsidRPr="008D2EAF">
        <w:rPr>
          <w:lang w:val="pl-PL"/>
        </w:rPr>
        <w:t>pracowywać dla R</w:t>
      </w:r>
      <w:r w:rsidR="00255E82">
        <w:rPr>
          <w:lang w:val="pl-PL"/>
        </w:rPr>
        <w:t>ady</w:t>
      </w:r>
      <w:r w:rsidR="00282A62" w:rsidRPr="008D2EAF">
        <w:rPr>
          <w:lang w:val="pl-PL"/>
        </w:rPr>
        <w:t xml:space="preserve"> roczne raporty postępów w</w:t>
      </w:r>
      <w:r w:rsidR="00BB6876">
        <w:rPr>
          <w:lang w:val="pl-PL"/>
        </w:rPr>
        <w:t>e</w:t>
      </w:r>
      <w:r w:rsidR="00282A62" w:rsidRPr="008D2EAF">
        <w:rPr>
          <w:lang w:val="pl-PL"/>
        </w:rPr>
        <w:t xml:space="preserve"> </w:t>
      </w:r>
      <w:r w:rsidR="00BB6876">
        <w:rPr>
          <w:lang w:val="pl-PL"/>
        </w:rPr>
        <w:t>wdrażaniu</w:t>
      </w:r>
      <w:r w:rsidR="0002209A" w:rsidRPr="008D2EAF">
        <w:rPr>
          <w:lang w:val="pl-PL"/>
        </w:rPr>
        <w:t xml:space="preserve"> </w:t>
      </w:r>
      <w:r w:rsidR="00255E82">
        <w:rPr>
          <w:lang w:val="pl-PL"/>
        </w:rPr>
        <w:t>KSEF</w:t>
      </w:r>
      <w:r w:rsidR="008127BF" w:rsidRPr="008D2EAF">
        <w:rPr>
          <w:lang w:val="pl-PL"/>
        </w:rPr>
        <w:t>;</w:t>
      </w:r>
    </w:p>
    <w:p w14:paraId="5DC98328" w14:textId="77777777" w:rsidR="00282A62" w:rsidRPr="008D2EAF" w:rsidRDefault="009E03B9" w:rsidP="000B051F">
      <w:pPr>
        <w:pStyle w:val="BulletedList"/>
        <w:rPr>
          <w:lang w:val="pl-PL"/>
        </w:rPr>
      </w:pPr>
      <w:r w:rsidRPr="008D2EAF">
        <w:rPr>
          <w:lang w:val="pl-PL"/>
        </w:rPr>
        <w:t>k</w:t>
      </w:r>
      <w:r w:rsidR="00282A62" w:rsidRPr="008D2EAF">
        <w:rPr>
          <w:lang w:val="pl-PL"/>
        </w:rPr>
        <w:t xml:space="preserve">ierować procesem </w:t>
      </w:r>
      <w:r w:rsidRPr="008D2EAF">
        <w:rPr>
          <w:lang w:val="pl-PL"/>
        </w:rPr>
        <w:t xml:space="preserve">ewaluacji </w:t>
      </w:r>
      <w:r w:rsidR="00B302A7">
        <w:rPr>
          <w:lang w:val="pl-PL"/>
        </w:rPr>
        <w:t xml:space="preserve">kolejnych </w:t>
      </w:r>
      <w:r w:rsidRPr="008D2EAF">
        <w:rPr>
          <w:lang w:val="pl-PL"/>
        </w:rPr>
        <w:t>plan</w:t>
      </w:r>
      <w:r w:rsidR="0002209A" w:rsidRPr="008D2EAF">
        <w:rPr>
          <w:lang w:val="pl-PL"/>
        </w:rPr>
        <w:t>ów</w:t>
      </w:r>
      <w:r w:rsidRPr="008D2EAF">
        <w:rPr>
          <w:lang w:val="pl-PL"/>
        </w:rPr>
        <w:t xml:space="preserve"> wdrażania </w:t>
      </w:r>
      <w:r w:rsidR="00282A62" w:rsidRPr="008D2EAF">
        <w:rPr>
          <w:lang w:val="pl-PL"/>
        </w:rPr>
        <w:t>na koniec okresu</w:t>
      </w:r>
      <w:r w:rsidR="00CA364D">
        <w:rPr>
          <w:lang w:val="pl-PL"/>
        </w:rPr>
        <w:t>, którego dotyczą</w:t>
      </w:r>
      <w:r w:rsidR="00282A62" w:rsidRPr="008D2EAF">
        <w:rPr>
          <w:lang w:val="pl-PL"/>
        </w:rPr>
        <w:t xml:space="preserve"> </w:t>
      </w:r>
      <w:r w:rsidR="00CA364D">
        <w:rPr>
          <w:lang w:val="pl-PL"/>
        </w:rPr>
        <w:t>oraz</w:t>
      </w:r>
      <w:r w:rsidR="00282A62" w:rsidRPr="008D2EAF">
        <w:rPr>
          <w:lang w:val="pl-PL"/>
        </w:rPr>
        <w:t xml:space="preserve"> </w:t>
      </w:r>
      <w:r w:rsidR="00623AEC">
        <w:rPr>
          <w:lang w:val="pl-PL"/>
        </w:rPr>
        <w:t>(</w:t>
      </w:r>
      <w:r w:rsidR="00282A62" w:rsidRPr="008D2EAF">
        <w:rPr>
          <w:lang w:val="pl-PL"/>
        </w:rPr>
        <w:t>w razie potrzeby</w:t>
      </w:r>
      <w:r w:rsidR="00623AEC">
        <w:rPr>
          <w:lang w:val="pl-PL"/>
        </w:rPr>
        <w:t>)</w:t>
      </w:r>
      <w:r w:rsidR="00282A62" w:rsidRPr="008D2EAF">
        <w:rPr>
          <w:lang w:val="pl-PL"/>
        </w:rPr>
        <w:t xml:space="preserve"> proponować </w:t>
      </w:r>
      <w:r w:rsidR="00572C73" w:rsidRPr="008D2EAF">
        <w:rPr>
          <w:lang w:val="pl-PL"/>
        </w:rPr>
        <w:t xml:space="preserve">jego </w:t>
      </w:r>
      <w:r w:rsidR="00282A62" w:rsidRPr="008D2EAF">
        <w:rPr>
          <w:lang w:val="pl-PL"/>
        </w:rPr>
        <w:t>korekty</w:t>
      </w:r>
      <w:r w:rsidR="008127BF" w:rsidRPr="008D2EAF">
        <w:rPr>
          <w:lang w:val="pl-PL"/>
        </w:rPr>
        <w:t>;</w:t>
      </w:r>
    </w:p>
    <w:p w14:paraId="16B97DD6" w14:textId="77777777" w:rsidR="009B4E98" w:rsidRPr="008D2EAF" w:rsidRDefault="009E03B9" w:rsidP="008D2EAF">
      <w:pPr>
        <w:pStyle w:val="BulletedList"/>
        <w:rPr>
          <w:lang w:val="pl-PL"/>
        </w:rPr>
      </w:pPr>
      <w:r w:rsidRPr="0085159D">
        <w:rPr>
          <w:lang w:val="pl-PL"/>
        </w:rPr>
        <w:t>o</w:t>
      </w:r>
      <w:r w:rsidR="00CF6580">
        <w:rPr>
          <w:lang w:val="pl-PL"/>
        </w:rPr>
        <w:t>pracowywać</w:t>
      </w:r>
      <w:r w:rsidR="00282A62" w:rsidRPr="0085159D">
        <w:rPr>
          <w:lang w:val="pl-PL"/>
        </w:rPr>
        <w:t xml:space="preserve"> </w:t>
      </w:r>
      <w:r w:rsidR="009B4E98">
        <w:rPr>
          <w:lang w:val="pl-PL"/>
        </w:rPr>
        <w:t xml:space="preserve">propozycje </w:t>
      </w:r>
      <w:r w:rsidR="00282A62" w:rsidRPr="0085159D">
        <w:rPr>
          <w:lang w:val="pl-PL"/>
        </w:rPr>
        <w:t>zalece</w:t>
      </w:r>
      <w:r w:rsidR="009B4E98">
        <w:rPr>
          <w:lang w:val="pl-PL"/>
        </w:rPr>
        <w:t>ń</w:t>
      </w:r>
      <w:r w:rsidR="00282A62" w:rsidRPr="0085159D">
        <w:rPr>
          <w:lang w:val="pl-PL"/>
        </w:rPr>
        <w:t xml:space="preserve"> dotycząc</w:t>
      </w:r>
      <w:r w:rsidR="009B4E98">
        <w:rPr>
          <w:lang w:val="pl-PL"/>
        </w:rPr>
        <w:t>ych</w:t>
      </w:r>
      <w:r w:rsidR="00282A62" w:rsidRPr="0085159D">
        <w:rPr>
          <w:lang w:val="pl-PL"/>
        </w:rPr>
        <w:t xml:space="preserve"> monitor</w:t>
      </w:r>
      <w:r w:rsidR="003D7715">
        <w:rPr>
          <w:lang w:val="pl-PL"/>
        </w:rPr>
        <w:t>ingu</w:t>
      </w:r>
      <w:r w:rsidR="00282A62" w:rsidRPr="0085159D">
        <w:rPr>
          <w:lang w:val="pl-PL"/>
        </w:rPr>
        <w:t xml:space="preserve"> i </w:t>
      </w:r>
      <w:r w:rsidR="003E30FF" w:rsidRPr="0085159D">
        <w:rPr>
          <w:lang w:val="pl-PL"/>
        </w:rPr>
        <w:t xml:space="preserve">ewaluacji </w:t>
      </w:r>
      <w:r w:rsidR="0071208E" w:rsidRPr="0085159D">
        <w:rPr>
          <w:lang w:val="pl-PL"/>
        </w:rPr>
        <w:t xml:space="preserve">realizowanych </w:t>
      </w:r>
      <w:r w:rsidR="00282A62" w:rsidRPr="0085159D">
        <w:rPr>
          <w:lang w:val="pl-PL"/>
        </w:rPr>
        <w:t>w ramach KSEF programów edukacji finansowej</w:t>
      </w:r>
      <w:r w:rsidR="009B4E98">
        <w:rPr>
          <w:lang w:val="pl-PL"/>
        </w:rPr>
        <w:t>.</w:t>
      </w:r>
    </w:p>
    <w:p w14:paraId="651D2839" w14:textId="77777777" w:rsidR="0002209A" w:rsidRDefault="0002209A" w:rsidP="008D2EAF">
      <w:pPr>
        <w:pStyle w:val="BulletedList"/>
        <w:numPr>
          <w:ilvl w:val="0"/>
          <w:numId w:val="0"/>
        </w:numPr>
        <w:spacing w:after="120"/>
        <w:rPr>
          <w:lang w:val="pl-PL"/>
        </w:rPr>
      </w:pPr>
    </w:p>
    <w:p w14:paraId="2A9CF65D" w14:textId="77777777" w:rsidR="00C82815" w:rsidRDefault="00C82815" w:rsidP="00C82815">
      <w:pPr>
        <w:spacing w:after="160" w:line="259" w:lineRule="auto"/>
        <w:rPr>
          <w:sz w:val="20"/>
          <w:szCs w:val="20"/>
          <w:lang w:val="pl-PL"/>
        </w:rPr>
      </w:pPr>
      <w:r w:rsidRPr="00F34BDA">
        <w:rPr>
          <w:sz w:val="20"/>
          <w:szCs w:val="20"/>
          <w:lang w:val="pl-PL"/>
        </w:rPr>
        <w:t>KW może tworzyć tematyczne grupy robocze (Grupy Tematyczne) w celu ułatwienia realizacji działań przewidzianych w planach wdrażania i rocznych planach działania. Mogą one doradzać KW w kwestiach dotyczących obszaru tematycznego, do którego zostały utworzone. Grupy Tematyczne będą mogły być przypisane do analizy konkretnych celów, zadań lub grup docelowych. Będą one skupiać ekspertów z podmiotów reprezentowanych w KW</w:t>
      </w:r>
      <w:r w:rsidR="00F34BDA" w:rsidRPr="00F34BDA">
        <w:rPr>
          <w:sz w:val="20"/>
          <w:szCs w:val="20"/>
          <w:lang w:val="pl-PL"/>
        </w:rPr>
        <w:t xml:space="preserve"> oraz </w:t>
      </w:r>
      <w:r w:rsidR="006821F3">
        <w:rPr>
          <w:sz w:val="20"/>
          <w:szCs w:val="20"/>
          <w:lang w:val="pl-PL"/>
        </w:rPr>
        <w:t>do niego zapraszanych</w:t>
      </w:r>
      <w:r w:rsidRPr="00F34BDA">
        <w:rPr>
          <w:sz w:val="20"/>
          <w:szCs w:val="20"/>
          <w:lang w:val="pl-PL"/>
        </w:rPr>
        <w:t xml:space="preserve">, </w:t>
      </w:r>
      <w:r w:rsidR="00F34BDA" w:rsidRPr="00F34BDA">
        <w:rPr>
          <w:sz w:val="20"/>
          <w:szCs w:val="20"/>
          <w:lang w:val="pl-PL"/>
        </w:rPr>
        <w:t xml:space="preserve">a także, </w:t>
      </w:r>
      <w:r w:rsidRPr="00F34BDA">
        <w:rPr>
          <w:sz w:val="20"/>
          <w:szCs w:val="20"/>
          <w:lang w:val="pl-PL"/>
        </w:rPr>
        <w:t>w miarę potrzeb, innych interesariuszy z obszaru edukacji finansowej.</w:t>
      </w:r>
    </w:p>
    <w:p w14:paraId="62A41796" w14:textId="77777777" w:rsidR="006821F3" w:rsidRPr="006821F3" w:rsidRDefault="006821F3" w:rsidP="006821F3">
      <w:pPr>
        <w:spacing w:after="160" w:line="259" w:lineRule="auto"/>
        <w:rPr>
          <w:sz w:val="20"/>
          <w:szCs w:val="20"/>
          <w:lang w:val="pl-PL"/>
        </w:rPr>
      </w:pPr>
      <w:r w:rsidRPr="006821F3">
        <w:rPr>
          <w:sz w:val="20"/>
          <w:szCs w:val="20"/>
          <w:lang w:val="pl-PL"/>
        </w:rPr>
        <w:t>Do KW będą mogli być zapraszani inni dodatkowi eksperci z tych samych instytucji, które będą regularnie w nim reprezentowane lub z innych instytucji, jeśli ich rola będzie istotna dla realizacji KSEF.</w:t>
      </w:r>
    </w:p>
    <w:p w14:paraId="4C29D279" w14:textId="73659EAA" w:rsidR="00282A62" w:rsidRPr="0085159D" w:rsidRDefault="00CD271D" w:rsidP="000B051F">
      <w:pPr>
        <w:pStyle w:val="Para0"/>
        <w:rPr>
          <w:lang w:val="pl-PL"/>
        </w:rPr>
      </w:pPr>
      <w:r>
        <w:rPr>
          <w:lang w:val="pl-PL"/>
        </w:rPr>
        <w:t xml:space="preserve">Do prac KW będą </w:t>
      </w:r>
      <w:r w:rsidR="0013420B">
        <w:rPr>
          <w:lang w:val="pl-PL"/>
        </w:rPr>
        <w:t xml:space="preserve">mogli być </w:t>
      </w:r>
      <w:r w:rsidR="003B5534">
        <w:rPr>
          <w:lang w:val="pl-PL"/>
        </w:rPr>
        <w:t>zapr</w:t>
      </w:r>
      <w:r>
        <w:rPr>
          <w:lang w:val="pl-PL"/>
        </w:rPr>
        <w:t>a</w:t>
      </w:r>
      <w:r w:rsidR="003B5534">
        <w:rPr>
          <w:lang w:val="pl-PL"/>
        </w:rPr>
        <w:t>sz</w:t>
      </w:r>
      <w:r>
        <w:rPr>
          <w:lang w:val="pl-PL"/>
        </w:rPr>
        <w:t>a</w:t>
      </w:r>
      <w:r w:rsidR="003B5534">
        <w:rPr>
          <w:lang w:val="pl-PL"/>
        </w:rPr>
        <w:t xml:space="preserve">ni </w:t>
      </w:r>
      <w:r w:rsidR="00282A62" w:rsidRPr="0085159D">
        <w:rPr>
          <w:lang w:val="pl-PL"/>
        </w:rPr>
        <w:t>przedstawiciel</w:t>
      </w:r>
      <w:r w:rsidR="00D131D4">
        <w:rPr>
          <w:lang w:val="pl-PL"/>
        </w:rPr>
        <w:t>e</w:t>
      </w:r>
      <w:r w:rsidR="00282A62" w:rsidRPr="0085159D">
        <w:rPr>
          <w:lang w:val="pl-PL"/>
        </w:rPr>
        <w:t xml:space="preserve"> </w:t>
      </w:r>
      <w:r w:rsidR="00572C73" w:rsidRPr="0085159D">
        <w:rPr>
          <w:lang w:val="pl-PL"/>
        </w:rPr>
        <w:t xml:space="preserve">środowisk </w:t>
      </w:r>
      <w:r w:rsidR="00282A62" w:rsidRPr="0085159D">
        <w:rPr>
          <w:lang w:val="pl-PL"/>
        </w:rPr>
        <w:t xml:space="preserve">akademickich i badawczych, którzy </w:t>
      </w:r>
      <w:r w:rsidR="00282A62" w:rsidRPr="0085159D">
        <w:rPr>
          <w:szCs w:val="20"/>
          <w:lang w:val="pl-PL"/>
        </w:rPr>
        <w:t xml:space="preserve">prowadzą </w:t>
      </w:r>
      <w:r w:rsidR="00572C73" w:rsidRPr="0085159D">
        <w:rPr>
          <w:szCs w:val="20"/>
          <w:lang w:val="pl-PL"/>
        </w:rPr>
        <w:t xml:space="preserve">działania </w:t>
      </w:r>
      <w:r w:rsidR="00282A62" w:rsidRPr="0085159D">
        <w:rPr>
          <w:szCs w:val="20"/>
          <w:lang w:val="pl-PL"/>
        </w:rPr>
        <w:t xml:space="preserve">w </w:t>
      </w:r>
      <w:r w:rsidR="00572C73" w:rsidRPr="0085159D">
        <w:rPr>
          <w:szCs w:val="20"/>
          <w:lang w:val="pl-PL"/>
        </w:rPr>
        <w:t xml:space="preserve">zakresie </w:t>
      </w:r>
      <w:r w:rsidR="00282A62" w:rsidRPr="0085159D">
        <w:rPr>
          <w:szCs w:val="20"/>
          <w:lang w:val="pl-PL"/>
        </w:rPr>
        <w:t xml:space="preserve">edukacji </w:t>
      </w:r>
      <w:r w:rsidR="009E03B9" w:rsidRPr="0085159D">
        <w:rPr>
          <w:szCs w:val="20"/>
          <w:lang w:val="pl-PL"/>
        </w:rPr>
        <w:t xml:space="preserve">finansowej </w:t>
      </w:r>
      <w:r w:rsidR="00282A62" w:rsidRPr="0085159D">
        <w:rPr>
          <w:szCs w:val="20"/>
          <w:lang w:val="pl-PL"/>
        </w:rPr>
        <w:t xml:space="preserve">oraz kompetencji finansowych lub </w:t>
      </w:r>
      <w:r w:rsidR="00572C73" w:rsidRPr="0085159D">
        <w:rPr>
          <w:szCs w:val="20"/>
          <w:lang w:val="pl-PL"/>
        </w:rPr>
        <w:t xml:space="preserve">w </w:t>
      </w:r>
      <w:r w:rsidR="00282A62" w:rsidRPr="0085159D">
        <w:rPr>
          <w:szCs w:val="20"/>
          <w:lang w:val="pl-PL"/>
        </w:rPr>
        <w:t>pokrewnych</w:t>
      </w:r>
      <w:r w:rsidR="00572C73" w:rsidRPr="0085159D">
        <w:rPr>
          <w:szCs w:val="20"/>
          <w:lang w:val="pl-PL"/>
        </w:rPr>
        <w:t xml:space="preserve"> obszarach</w:t>
      </w:r>
      <w:r w:rsidR="00282A62" w:rsidRPr="0085159D">
        <w:rPr>
          <w:lang w:val="pl-PL"/>
        </w:rPr>
        <w:t xml:space="preserve">. </w:t>
      </w:r>
      <w:r w:rsidR="00572C73" w:rsidRPr="0085159D">
        <w:rPr>
          <w:lang w:val="pl-PL"/>
        </w:rPr>
        <w:t xml:space="preserve">Ze względu na wagę </w:t>
      </w:r>
      <w:r w:rsidR="0071208E" w:rsidRPr="0085159D">
        <w:rPr>
          <w:lang w:val="pl-PL"/>
        </w:rPr>
        <w:t>dialog</w:t>
      </w:r>
      <w:r w:rsidR="00572C73" w:rsidRPr="0085159D">
        <w:rPr>
          <w:lang w:val="pl-PL"/>
        </w:rPr>
        <w:t>u</w:t>
      </w:r>
      <w:r w:rsidR="0071208E" w:rsidRPr="0085159D">
        <w:rPr>
          <w:lang w:val="pl-PL"/>
        </w:rPr>
        <w:t xml:space="preserve"> </w:t>
      </w:r>
      <w:r w:rsidR="00282A62" w:rsidRPr="0085159D">
        <w:rPr>
          <w:lang w:val="pl-PL"/>
        </w:rPr>
        <w:t>interdyscyplinarn</w:t>
      </w:r>
      <w:r w:rsidR="00572C73" w:rsidRPr="0085159D">
        <w:rPr>
          <w:lang w:val="pl-PL"/>
        </w:rPr>
        <w:t>ego</w:t>
      </w:r>
      <w:r w:rsidR="00282A62" w:rsidRPr="0085159D">
        <w:rPr>
          <w:lang w:val="pl-PL"/>
        </w:rPr>
        <w:t xml:space="preserve">, </w:t>
      </w:r>
      <w:r w:rsidR="00D131D4">
        <w:rPr>
          <w:lang w:val="pl-PL"/>
        </w:rPr>
        <w:t>będą mogli być</w:t>
      </w:r>
      <w:r w:rsidR="00282A62" w:rsidRPr="0085159D">
        <w:rPr>
          <w:lang w:val="pl-PL"/>
        </w:rPr>
        <w:t xml:space="preserve"> </w:t>
      </w:r>
      <w:r w:rsidR="00572C73" w:rsidRPr="0085159D">
        <w:rPr>
          <w:lang w:val="pl-PL"/>
        </w:rPr>
        <w:t>zaprasza</w:t>
      </w:r>
      <w:r w:rsidR="00D131D4">
        <w:rPr>
          <w:lang w:val="pl-PL"/>
        </w:rPr>
        <w:t>ni</w:t>
      </w:r>
      <w:r w:rsidR="00572C73" w:rsidRPr="0085159D">
        <w:rPr>
          <w:lang w:val="pl-PL"/>
        </w:rPr>
        <w:t xml:space="preserve"> </w:t>
      </w:r>
      <w:r w:rsidR="00282A62" w:rsidRPr="0085159D">
        <w:rPr>
          <w:lang w:val="pl-PL"/>
        </w:rPr>
        <w:t>specjali</w:t>
      </w:r>
      <w:r w:rsidR="00D131D4">
        <w:rPr>
          <w:lang w:val="pl-PL"/>
        </w:rPr>
        <w:t>ści</w:t>
      </w:r>
      <w:r w:rsidR="00282A62" w:rsidRPr="0085159D">
        <w:rPr>
          <w:lang w:val="pl-PL"/>
        </w:rPr>
        <w:t xml:space="preserve"> z</w:t>
      </w:r>
      <w:r w:rsidR="00D61129">
        <w:rPr>
          <w:lang w:val="pl-PL"/>
        </w:rPr>
        <w:t> </w:t>
      </w:r>
      <w:r w:rsidR="00282A62" w:rsidRPr="0085159D">
        <w:rPr>
          <w:lang w:val="pl-PL"/>
        </w:rPr>
        <w:t xml:space="preserve">różnych dziedzin </w:t>
      </w:r>
      <w:r w:rsidR="0071208E" w:rsidRPr="0085159D">
        <w:rPr>
          <w:lang w:val="pl-PL"/>
        </w:rPr>
        <w:t>nauki</w:t>
      </w:r>
      <w:r w:rsidR="00282A62" w:rsidRPr="0085159D">
        <w:rPr>
          <w:lang w:val="pl-PL"/>
        </w:rPr>
        <w:t xml:space="preserve">. </w:t>
      </w:r>
      <w:r w:rsidR="003B5534">
        <w:rPr>
          <w:lang w:val="pl-PL"/>
        </w:rPr>
        <w:t>O</w:t>
      </w:r>
      <w:r w:rsidR="00282A62" w:rsidRPr="0085159D">
        <w:rPr>
          <w:lang w:val="pl-PL"/>
        </w:rPr>
        <w:t>prócz ekspertów z zakresu ekonomii i</w:t>
      </w:r>
      <w:r w:rsidR="00545FC9">
        <w:rPr>
          <w:lang w:val="pl-PL"/>
        </w:rPr>
        <w:t> </w:t>
      </w:r>
      <w:r w:rsidR="00282A62" w:rsidRPr="0085159D">
        <w:rPr>
          <w:lang w:val="pl-PL"/>
        </w:rPr>
        <w:t xml:space="preserve">finansów, mogą </w:t>
      </w:r>
      <w:r>
        <w:rPr>
          <w:lang w:val="pl-PL"/>
        </w:rPr>
        <w:t xml:space="preserve">to być </w:t>
      </w:r>
      <w:r w:rsidR="003B5534">
        <w:rPr>
          <w:lang w:val="pl-PL"/>
        </w:rPr>
        <w:t xml:space="preserve">np. </w:t>
      </w:r>
      <w:r w:rsidR="00282A62" w:rsidRPr="0085159D">
        <w:rPr>
          <w:lang w:val="pl-PL"/>
        </w:rPr>
        <w:t>eksperci z</w:t>
      </w:r>
      <w:r w:rsidR="00D61129">
        <w:rPr>
          <w:lang w:val="pl-PL"/>
        </w:rPr>
        <w:t> </w:t>
      </w:r>
      <w:r w:rsidR="00282A62" w:rsidRPr="0085159D">
        <w:rPr>
          <w:lang w:val="pl-PL"/>
        </w:rPr>
        <w:t>dziedzin psychologii, socjologii, pedagogiki, prawa czy informatyki.</w:t>
      </w:r>
      <w:r>
        <w:rPr>
          <w:lang w:val="pl-PL"/>
        </w:rPr>
        <w:t xml:space="preserve"> </w:t>
      </w:r>
      <w:r w:rsidR="006D2420" w:rsidRPr="006D2420">
        <w:rPr>
          <w:lang w:val="pl-PL"/>
        </w:rPr>
        <w:t xml:space="preserve">Zaangażowanie </w:t>
      </w:r>
      <w:r>
        <w:rPr>
          <w:lang w:val="pl-PL"/>
        </w:rPr>
        <w:t xml:space="preserve">przedstawicieli środowisk akademickich i badawczych </w:t>
      </w:r>
      <w:r w:rsidR="006D2420" w:rsidRPr="006D2420">
        <w:rPr>
          <w:lang w:val="pl-PL"/>
        </w:rPr>
        <w:t xml:space="preserve">w proces wdrażania KSEF pozwoli na pozyskanie </w:t>
      </w:r>
      <w:r w:rsidR="00282A62" w:rsidRPr="0085159D">
        <w:rPr>
          <w:lang w:val="pl-PL"/>
        </w:rPr>
        <w:t>aktualn</w:t>
      </w:r>
      <w:r w:rsidR="00674F2E">
        <w:rPr>
          <w:lang w:val="pl-PL"/>
        </w:rPr>
        <w:t>ych</w:t>
      </w:r>
      <w:r w:rsidR="00282A62" w:rsidRPr="0085159D">
        <w:rPr>
          <w:lang w:val="pl-PL"/>
        </w:rPr>
        <w:t xml:space="preserve"> informacj</w:t>
      </w:r>
      <w:r w:rsidR="00674F2E">
        <w:rPr>
          <w:lang w:val="pl-PL"/>
        </w:rPr>
        <w:t>i</w:t>
      </w:r>
      <w:r w:rsidR="00282A62" w:rsidRPr="0085159D">
        <w:rPr>
          <w:lang w:val="pl-PL"/>
        </w:rPr>
        <w:t xml:space="preserve"> na temat badań</w:t>
      </w:r>
      <w:r w:rsidR="00572C73" w:rsidRPr="0085159D">
        <w:rPr>
          <w:lang w:val="pl-PL"/>
        </w:rPr>
        <w:t>,</w:t>
      </w:r>
      <w:r w:rsidR="00282A62" w:rsidRPr="0085159D">
        <w:rPr>
          <w:lang w:val="pl-PL"/>
        </w:rPr>
        <w:t xml:space="preserve"> analiz</w:t>
      </w:r>
      <w:r w:rsidR="00572C73" w:rsidRPr="0085159D">
        <w:rPr>
          <w:lang w:val="pl-PL"/>
        </w:rPr>
        <w:t xml:space="preserve"> i</w:t>
      </w:r>
      <w:r w:rsidR="00674F2E">
        <w:rPr>
          <w:lang w:val="pl-PL"/>
        </w:rPr>
        <w:t> </w:t>
      </w:r>
      <w:r w:rsidR="00282A62" w:rsidRPr="0085159D">
        <w:rPr>
          <w:lang w:val="pl-PL"/>
        </w:rPr>
        <w:t>dobrych praktyk w obszarze edukacji finansowej.</w:t>
      </w:r>
      <w:r w:rsidR="00EC52BC">
        <w:rPr>
          <w:lang w:val="pl-PL"/>
        </w:rPr>
        <w:t xml:space="preserve"> Mogą oni</w:t>
      </w:r>
      <w:r w:rsidR="00282A62" w:rsidRPr="0085159D">
        <w:rPr>
          <w:lang w:val="pl-PL"/>
        </w:rPr>
        <w:t xml:space="preserve"> brać udział w procesie </w:t>
      </w:r>
      <w:r w:rsidR="009E03B9" w:rsidRPr="0085159D">
        <w:rPr>
          <w:lang w:val="pl-PL"/>
        </w:rPr>
        <w:t>realizacji</w:t>
      </w:r>
      <w:r w:rsidR="0071208E" w:rsidRPr="0085159D">
        <w:rPr>
          <w:lang w:val="pl-PL"/>
        </w:rPr>
        <w:t xml:space="preserve"> działań KSEF</w:t>
      </w:r>
      <w:r w:rsidR="009E03B9" w:rsidRPr="0085159D">
        <w:rPr>
          <w:lang w:val="pl-PL"/>
        </w:rPr>
        <w:t xml:space="preserve"> </w:t>
      </w:r>
      <w:r w:rsidR="00282A62" w:rsidRPr="0085159D">
        <w:rPr>
          <w:lang w:val="pl-PL"/>
        </w:rPr>
        <w:t xml:space="preserve">(np. </w:t>
      </w:r>
      <w:r w:rsidR="009E03B9" w:rsidRPr="0085159D">
        <w:rPr>
          <w:lang w:val="pl-PL"/>
        </w:rPr>
        <w:t>w</w:t>
      </w:r>
      <w:r w:rsidR="00545FC9">
        <w:rPr>
          <w:lang w:val="pl-PL"/>
        </w:rPr>
        <w:t> </w:t>
      </w:r>
      <w:r w:rsidR="009E03B9" w:rsidRPr="0085159D">
        <w:rPr>
          <w:lang w:val="pl-PL"/>
        </w:rPr>
        <w:t xml:space="preserve">zakresie </w:t>
      </w:r>
      <w:r w:rsidR="00282A62" w:rsidRPr="0085159D">
        <w:rPr>
          <w:lang w:val="pl-PL"/>
        </w:rPr>
        <w:t>szkolenia nauczycieli</w:t>
      </w:r>
      <w:r w:rsidR="00674F2E">
        <w:rPr>
          <w:lang w:val="pl-PL"/>
        </w:rPr>
        <w:t>)</w:t>
      </w:r>
      <w:r w:rsidR="006E1DA7">
        <w:rPr>
          <w:lang w:val="pl-PL"/>
        </w:rPr>
        <w:t xml:space="preserve"> oraz w </w:t>
      </w:r>
      <w:r w:rsidR="00267039">
        <w:rPr>
          <w:lang w:val="pl-PL"/>
        </w:rPr>
        <w:t>projektowaniu bądź</w:t>
      </w:r>
      <w:r w:rsidR="00674F2E">
        <w:rPr>
          <w:lang w:val="pl-PL"/>
        </w:rPr>
        <w:t xml:space="preserve"> realizacji proces</w:t>
      </w:r>
      <w:r w:rsidR="006E1DA7">
        <w:rPr>
          <w:lang w:val="pl-PL"/>
        </w:rPr>
        <w:t>ów</w:t>
      </w:r>
      <w:r w:rsidR="00282A62" w:rsidRPr="0085159D">
        <w:rPr>
          <w:lang w:val="pl-PL"/>
        </w:rPr>
        <w:t xml:space="preserve"> monitor</w:t>
      </w:r>
      <w:r w:rsidR="003D7715">
        <w:rPr>
          <w:lang w:val="pl-PL"/>
        </w:rPr>
        <w:t>ingu</w:t>
      </w:r>
      <w:r w:rsidR="00282A62" w:rsidRPr="0085159D">
        <w:rPr>
          <w:lang w:val="pl-PL"/>
        </w:rPr>
        <w:t xml:space="preserve"> i</w:t>
      </w:r>
      <w:r w:rsidR="00EC52BC">
        <w:rPr>
          <w:lang w:val="pl-PL"/>
        </w:rPr>
        <w:t> </w:t>
      </w:r>
      <w:r w:rsidR="009E03B9" w:rsidRPr="0085159D">
        <w:rPr>
          <w:lang w:val="pl-PL"/>
        </w:rPr>
        <w:t>ewaluacji</w:t>
      </w:r>
      <w:r w:rsidR="00674F2E">
        <w:rPr>
          <w:lang w:val="pl-PL"/>
        </w:rPr>
        <w:t xml:space="preserve"> </w:t>
      </w:r>
      <w:r w:rsidR="00C82815">
        <w:rPr>
          <w:lang w:val="pl-PL"/>
        </w:rPr>
        <w:t>KSEF</w:t>
      </w:r>
      <w:r w:rsidR="00282A62" w:rsidRPr="0085159D">
        <w:rPr>
          <w:lang w:val="pl-PL"/>
        </w:rPr>
        <w:t>.</w:t>
      </w:r>
    </w:p>
    <w:p w14:paraId="7B7C44E5" w14:textId="7F64AE85" w:rsidR="00EC52BC" w:rsidRDefault="00EC52BC" w:rsidP="000B051F">
      <w:pPr>
        <w:pStyle w:val="Para0"/>
        <w:rPr>
          <w:lang w:val="pl-PL"/>
        </w:rPr>
      </w:pPr>
      <w:r>
        <w:rPr>
          <w:lang w:val="pl-PL"/>
        </w:rPr>
        <w:t xml:space="preserve">Ponadto, do prac KW będą </w:t>
      </w:r>
      <w:r w:rsidR="006D2420">
        <w:rPr>
          <w:lang w:val="pl-PL"/>
        </w:rPr>
        <w:t xml:space="preserve">mogli być </w:t>
      </w:r>
      <w:r>
        <w:rPr>
          <w:lang w:val="pl-PL"/>
        </w:rPr>
        <w:t xml:space="preserve">zapraszani </w:t>
      </w:r>
      <w:r w:rsidR="00D669A9" w:rsidRPr="0085159D">
        <w:rPr>
          <w:lang w:val="pl-PL"/>
        </w:rPr>
        <w:t xml:space="preserve">przedstawiciele </w:t>
      </w:r>
      <w:r w:rsidR="00267039">
        <w:rPr>
          <w:lang w:val="pl-PL"/>
        </w:rPr>
        <w:t xml:space="preserve">administracji </w:t>
      </w:r>
      <w:r w:rsidR="00ED074B" w:rsidRPr="0085159D">
        <w:rPr>
          <w:lang w:val="pl-PL"/>
        </w:rPr>
        <w:t>publiczn</w:t>
      </w:r>
      <w:r w:rsidR="00267039">
        <w:rPr>
          <w:lang w:val="pl-PL"/>
        </w:rPr>
        <w:t>ej</w:t>
      </w:r>
      <w:r w:rsidR="00463542">
        <w:rPr>
          <w:lang w:val="pl-PL"/>
        </w:rPr>
        <w:t xml:space="preserve"> szczebla centralnego</w:t>
      </w:r>
      <w:r w:rsidR="0071208E" w:rsidRPr="0085159D">
        <w:rPr>
          <w:lang w:val="pl-PL"/>
        </w:rPr>
        <w:t xml:space="preserve">, </w:t>
      </w:r>
      <w:r w:rsidR="00267039">
        <w:rPr>
          <w:lang w:val="pl-PL"/>
        </w:rPr>
        <w:t xml:space="preserve">podmiotów </w:t>
      </w:r>
      <w:r w:rsidR="0071208E" w:rsidRPr="0085159D">
        <w:rPr>
          <w:lang w:val="pl-PL"/>
        </w:rPr>
        <w:t>prywatn</w:t>
      </w:r>
      <w:r w:rsidR="00D669A9" w:rsidRPr="0085159D">
        <w:rPr>
          <w:lang w:val="pl-PL"/>
        </w:rPr>
        <w:t>ych</w:t>
      </w:r>
      <w:r w:rsidR="0071208E" w:rsidRPr="0085159D">
        <w:rPr>
          <w:lang w:val="pl-PL"/>
        </w:rPr>
        <w:t xml:space="preserve"> i</w:t>
      </w:r>
      <w:r w:rsidR="00C82815">
        <w:rPr>
          <w:lang w:val="pl-PL"/>
        </w:rPr>
        <w:t xml:space="preserve"> </w:t>
      </w:r>
      <w:r w:rsidR="00572C73" w:rsidRPr="0085159D">
        <w:rPr>
          <w:lang w:val="pl-PL"/>
        </w:rPr>
        <w:t>organizacji pozarządowych</w:t>
      </w:r>
      <w:r w:rsidR="0071208E" w:rsidRPr="0085159D">
        <w:rPr>
          <w:lang w:val="pl-PL"/>
        </w:rPr>
        <w:t xml:space="preserve">, które są </w:t>
      </w:r>
      <w:r w:rsidR="006E1DA7">
        <w:rPr>
          <w:lang w:val="pl-PL"/>
        </w:rPr>
        <w:t xml:space="preserve">zaangażowane w </w:t>
      </w:r>
      <w:r w:rsidR="0071208E" w:rsidRPr="0085159D">
        <w:rPr>
          <w:lang w:val="pl-PL"/>
        </w:rPr>
        <w:t>edukacj</w:t>
      </w:r>
      <w:r w:rsidR="006E1DA7">
        <w:rPr>
          <w:lang w:val="pl-PL"/>
        </w:rPr>
        <w:t>ę</w:t>
      </w:r>
      <w:r w:rsidR="0071208E" w:rsidRPr="0085159D">
        <w:rPr>
          <w:lang w:val="pl-PL"/>
        </w:rPr>
        <w:t xml:space="preserve"> finansową w</w:t>
      </w:r>
      <w:r>
        <w:rPr>
          <w:lang w:val="pl-PL"/>
        </w:rPr>
        <w:t> </w:t>
      </w:r>
      <w:r w:rsidR="0071208E" w:rsidRPr="0085159D">
        <w:rPr>
          <w:lang w:val="pl-PL"/>
        </w:rPr>
        <w:t>Polsce</w:t>
      </w:r>
      <w:r w:rsidR="007F7FAD">
        <w:rPr>
          <w:lang w:val="pl-PL"/>
        </w:rPr>
        <w:t xml:space="preserve"> </w:t>
      </w:r>
      <w:r w:rsidR="007F7FAD" w:rsidRPr="007F7FAD">
        <w:rPr>
          <w:lang w:val="pl-PL"/>
        </w:rPr>
        <w:t>(Interesariusze)</w:t>
      </w:r>
      <w:r w:rsidR="00572C73" w:rsidRPr="0085159D">
        <w:rPr>
          <w:lang w:val="pl-PL"/>
        </w:rPr>
        <w:t>.</w:t>
      </w:r>
      <w:r w:rsidR="0071208E" w:rsidRPr="0085159D">
        <w:rPr>
          <w:lang w:val="pl-PL"/>
        </w:rPr>
        <w:t xml:space="preserve"> </w:t>
      </w:r>
      <w:r>
        <w:rPr>
          <w:lang w:val="pl-PL"/>
        </w:rPr>
        <w:t>B</w:t>
      </w:r>
      <w:r w:rsidR="006E1DA7">
        <w:rPr>
          <w:lang w:val="pl-PL"/>
        </w:rPr>
        <w:t xml:space="preserve">ędą </w:t>
      </w:r>
      <w:r w:rsidR="00282A62" w:rsidRPr="0085159D">
        <w:rPr>
          <w:lang w:val="pl-PL"/>
        </w:rPr>
        <w:t>mog</w:t>
      </w:r>
      <w:r w:rsidR="006E1DA7">
        <w:rPr>
          <w:lang w:val="pl-PL"/>
        </w:rPr>
        <w:t>li być</w:t>
      </w:r>
      <w:r w:rsidR="00282A62" w:rsidRPr="0085159D">
        <w:rPr>
          <w:lang w:val="pl-PL"/>
        </w:rPr>
        <w:t xml:space="preserve"> zapr</w:t>
      </w:r>
      <w:r w:rsidR="006E1DA7">
        <w:rPr>
          <w:lang w:val="pl-PL"/>
        </w:rPr>
        <w:t>a</w:t>
      </w:r>
      <w:r w:rsidR="00282A62" w:rsidRPr="0085159D">
        <w:rPr>
          <w:lang w:val="pl-PL"/>
        </w:rPr>
        <w:t>sz</w:t>
      </w:r>
      <w:r w:rsidR="006E1DA7">
        <w:rPr>
          <w:lang w:val="pl-PL"/>
        </w:rPr>
        <w:t>a</w:t>
      </w:r>
      <w:r w:rsidR="00282A62" w:rsidRPr="0085159D">
        <w:rPr>
          <w:lang w:val="pl-PL"/>
        </w:rPr>
        <w:t xml:space="preserve">ni także </w:t>
      </w:r>
      <w:r w:rsidR="00282A62" w:rsidRPr="0082285C">
        <w:rPr>
          <w:lang w:val="pl-PL"/>
        </w:rPr>
        <w:t xml:space="preserve">przedstawiciele instytucji pomocy społecznej </w:t>
      </w:r>
      <w:r w:rsidR="00D669A9" w:rsidRPr="0082285C">
        <w:rPr>
          <w:lang w:val="pl-PL"/>
        </w:rPr>
        <w:t>oraz</w:t>
      </w:r>
      <w:r w:rsidR="00282A62" w:rsidRPr="0082285C">
        <w:rPr>
          <w:lang w:val="pl-PL"/>
        </w:rPr>
        <w:t xml:space="preserve"> </w:t>
      </w:r>
      <w:r w:rsidR="00601C02">
        <w:rPr>
          <w:lang w:val="pl-PL"/>
        </w:rPr>
        <w:t>jednostek samorządu ter</w:t>
      </w:r>
      <w:r w:rsidR="006B47F6">
        <w:rPr>
          <w:lang w:val="pl-PL"/>
        </w:rPr>
        <w:t>ytorialnego</w:t>
      </w:r>
      <w:r w:rsidR="00282A62" w:rsidRPr="0085159D">
        <w:rPr>
          <w:lang w:val="pl-PL"/>
        </w:rPr>
        <w:t>.</w:t>
      </w:r>
      <w:r w:rsidR="00FF4054">
        <w:rPr>
          <w:lang w:val="pl-PL"/>
        </w:rPr>
        <w:t xml:space="preserve"> </w:t>
      </w:r>
      <w:r w:rsidR="00532488">
        <w:rPr>
          <w:lang w:val="pl-PL"/>
        </w:rPr>
        <w:t xml:space="preserve">Udział wymienionych </w:t>
      </w:r>
      <w:r>
        <w:rPr>
          <w:lang w:val="pl-PL"/>
        </w:rPr>
        <w:t xml:space="preserve"> ekspertów </w:t>
      </w:r>
      <w:r w:rsidR="00532488">
        <w:rPr>
          <w:lang w:val="pl-PL"/>
        </w:rPr>
        <w:t>pozwoli</w:t>
      </w:r>
      <w:r w:rsidR="00F32D51">
        <w:rPr>
          <w:lang w:val="pl-PL"/>
        </w:rPr>
        <w:t xml:space="preserve"> </w:t>
      </w:r>
      <w:r w:rsidR="00532488">
        <w:rPr>
          <w:lang w:val="pl-PL"/>
        </w:rPr>
        <w:t>s</w:t>
      </w:r>
      <w:r w:rsidR="00F32D51">
        <w:rPr>
          <w:lang w:val="pl-PL"/>
        </w:rPr>
        <w:t>tworzyć</w:t>
      </w:r>
      <w:r w:rsidR="00F32D51" w:rsidRPr="00F32D51">
        <w:rPr>
          <w:lang w:val="pl-PL"/>
        </w:rPr>
        <w:t xml:space="preserve"> platformę współpracy, wymiany doświadczeń oraz </w:t>
      </w:r>
      <w:r w:rsidR="00C061A9">
        <w:rPr>
          <w:lang w:val="pl-PL"/>
        </w:rPr>
        <w:t xml:space="preserve">dobrych </w:t>
      </w:r>
      <w:r w:rsidR="00F32D51" w:rsidRPr="00F32D51">
        <w:rPr>
          <w:lang w:val="pl-PL"/>
        </w:rPr>
        <w:t xml:space="preserve">praktyk w zakresie edukacji finansowej. </w:t>
      </w:r>
      <w:r w:rsidR="00F32D51">
        <w:rPr>
          <w:lang w:val="pl-PL"/>
        </w:rPr>
        <w:t>D</w:t>
      </w:r>
      <w:r w:rsidR="00B03859">
        <w:rPr>
          <w:lang w:val="pl-PL"/>
        </w:rPr>
        <w:t xml:space="preserve">zięki wiedzy i </w:t>
      </w:r>
      <w:r w:rsidR="00F32D51" w:rsidRPr="00F32D51">
        <w:rPr>
          <w:lang w:val="pl-PL"/>
        </w:rPr>
        <w:t xml:space="preserve">doświadczeniu </w:t>
      </w:r>
      <w:r w:rsidR="00532488">
        <w:rPr>
          <w:lang w:val="pl-PL"/>
        </w:rPr>
        <w:t>mogą oni</w:t>
      </w:r>
      <w:r w:rsidR="00F32D51">
        <w:rPr>
          <w:lang w:val="pl-PL"/>
        </w:rPr>
        <w:t xml:space="preserve"> </w:t>
      </w:r>
      <w:r w:rsidR="00F32D51" w:rsidRPr="00F32D51">
        <w:rPr>
          <w:lang w:val="pl-PL"/>
        </w:rPr>
        <w:t>wspiera</w:t>
      </w:r>
      <w:r>
        <w:rPr>
          <w:lang w:val="pl-PL"/>
        </w:rPr>
        <w:t>ć</w:t>
      </w:r>
      <w:r w:rsidR="00161C0E" w:rsidRPr="00B03859">
        <w:rPr>
          <w:lang w:val="pl-PL"/>
        </w:rPr>
        <w:t xml:space="preserve"> </w:t>
      </w:r>
      <w:r w:rsidR="00F32D51" w:rsidRPr="00B03859">
        <w:rPr>
          <w:lang w:val="pl-PL"/>
        </w:rPr>
        <w:t>Radę</w:t>
      </w:r>
      <w:r w:rsidR="00C061A9">
        <w:rPr>
          <w:lang w:val="pl-PL"/>
        </w:rPr>
        <w:t xml:space="preserve"> i KW</w:t>
      </w:r>
      <w:r w:rsidR="00F32D51">
        <w:rPr>
          <w:lang w:val="pl-PL"/>
        </w:rPr>
        <w:t xml:space="preserve"> we wdrażaniu KSEF, w tym w planowaniu, projektowaniu a także w realizacji </w:t>
      </w:r>
      <w:r w:rsidR="00E20495">
        <w:rPr>
          <w:lang w:val="pl-PL"/>
        </w:rPr>
        <w:t>jej działań.</w:t>
      </w:r>
      <w:r w:rsidR="00282A62" w:rsidRPr="0085159D">
        <w:rPr>
          <w:lang w:val="pl-PL"/>
        </w:rPr>
        <w:t xml:space="preserve"> Organizacje </w:t>
      </w:r>
      <w:r w:rsidR="00E20495">
        <w:rPr>
          <w:lang w:val="pl-PL"/>
        </w:rPr>
        <w:t xml:space="preserve">pozarządowe </w:t>
      </w:r>
      <w:r w:rsidR="00CE1D2B" w:rsidRPr="0085159D">
        <w:rPr>
          <w:lang w:val="pl-PL"/>
        </w:rPr>
        <w:t xml:space="preserve">mogą </w:t>
      </w:r>
      <w:r w:rsidR="0028025E" w:rsidRPr="0085159D">
        <w:rPr>
          <w:lang w:val="pl-PL"/>
        </w:rPr>
        <w:t>odegrać</w:t>
      </w:r>
      <w:r w:rsidR="00CE1D2B" w:rsidRPr="0085159D">
        <w:rPr>
          <w:lang w:val="pl-PL"/>
        </w:rPr>
        <w:t xml:space="preserve"> istotną </w:t>
      </w:r>
      <w:r w:rsidR="00FF4054">
        <w:rPr>
          <w:lang w:val="pl-PL"/>
        </w:rPr>
        <w:t>rolę w </w:t>
      </w:r>
      <w:r w:rsidR="0028025E" w:rsidRPr="0085159D">
        <w:rPr>
          <w:lang w:val="pl-PL"/>
        </w:rPr>
        <w:t xml:space="preserve">dotarciu z edukacją finansową do </w:t>
      </w:r>
      <w:r w:rsidR="00E20495">
        <w:rPr>
          <w:lang w:val="pl-PL"/>
        </w:rPr>
        <w:t xml:space="preserve">różnych </w:t>
      </w:r>
      <w:r w:rsidR="0028025E" w:rsidRPr="0085159D">
        <w:rPr>
          <w:lang w:val="pl-PL"/>
        </w:rPr>
        <w:t>grup społecznych</w:t>
      </w:r>
      <w:r w:rsidR="00282A62" w:rsidRPr="0085159D">
        <w:rPr>
          <w:lang w:val="pl-PL"/>
        </w:rPr>
        <w:t xml:space="preserve"> oraz w dostosowaniu działań w zakresie edukacji finansowej do </w:t>
      </w:r>
      <w:r w:rsidR="00E20495">
        <w:rPr>
          <w:lang w:val="pl-PL"/>
        </w:rPr>
        <w:t xml:space="preserve">jej odbiorów (czyli </w:t>
      </w:r>
      <w:r w:rsidR="00BE0005">
        <w:rPr>
          <w:lang w:val="pl-PL"/>
        </w:rPr>
        <w:t>grup, z </w:t>
      </w:r>
      <w:r w:rsidR="00282A62" w:rsidRPr="0085159D">
        <w:rPr>
          <w:lang w:val="pl-PL"/>
        </w:rPr>
        <w:t>którymi pracują</w:t>
      </w:r>
      <w:r w:rsidR="00E20495">
        <w:rPr>
          <w:lang w:val="pl-PL"/>
        </w:rPr>
        <w:t xml:space="preserve"> na co dzień)</w:t>
      </w:r>
      <w:r w:rsidR="00CF6580">
        <w:rPr>
          <w:lang w:val="pl-PL"/>
        </w:rPr>
        <w:t xml:space="preserve">. </w:t>
      </w:r>
    </w:p>
    <w:p w14:paraId="6342D6C7" w14:textId="676BCDAF" w:rsidR="00CE1D0A" w:rsidRDefault="00EC52BC" w:rsidP="00CE1D0A">
      <w:pPr>
        <w:pStyle w:val="Para0"/>
        <w:rPr>
          <w:lang w:val="pl-PL"/>
        </w:rPr>
      </w:pPr>
      <w:r>
        <w:rPr>
          <w:lang w:val="pl-PL"/>
        </w:rPr>
        <w:t xml:space="preserve">Wszyscy eksperci zapraszani do KW </w:t>
      </w:r>
      <w:r w:rsidR="00E20495">
        <w:rPr>
          <w:lang w:val="pl-PL"/>
        </w:rPr>
        <w:t xml:space="preserve">będą </w:t>
      </w:r>
      <w:r w:rsidR="006E1DA7" w:rsidRPr="0085159D">
        <w:rPr>
          <w:color w:val="auto"/>
          <w:lang w:val="pl-PL"/>
        </w:rPr>
        <w:t xml:space="preserve">zachęcani do przestrzegania wytycznych i kodeksów postępowania </w:t>
      </w:r>
      <w:r w:rsidR="006E1DA7">
        <w:rPr>
          <w:color w:val="auto"/>
          <w:lang w:val="pl-PL"/>
        </w:rPr>
        <w:t xml:space="preserve">odnoszących się do </w:t>
      </w:r>
      <w:r w:rsidR="006E1DA7" w:rsidRPr="0085159D">
        <w:rPr>
          <w:color w:val="auto"/>
          <w:lang w:val="pl-PL"/>
        </w:rPr>
        <w:t>działa</w:t>
      </w:r>
      <w:r w:rsidR="006E1DA7">
        <w:rPr>
          <w:color w:val="auto"/>
          <w:lang w:val="pl-PL"/>
        </w:rPr>
        <w:t>ń</w:t>
      </w:r>
      <w:r w:rsidR="00E20495">
        <w:rPr>
          <w:color w:val="auto"/>
          <w:lang w:val="pl-PL"/>
        </w:rPr>
        <w:t xml:space="preserve"> z zakresu edukacji finansowej, </w:t>
      </w:r>
      <w:r w:rsidR="00BE0005">
        <w:rPr>
          <w:color w:val="auto"/>
          <w:lang w:val="pl-PL"/>
        </w:rPr>
        <w:t>które zostaną opracowane w </w:t>
      </w:r>
      <w:r w:rsidR="006E1DA7" w:rsidRPr="0085159D">
        <w:rPr>
          <w:color w:val="auto"/>
          <w:lang w:val="pl-PL"/>
        </w:rPr>
        <w:t>ramach pierwszego planu wdrażania</w:t>
      </w:r>
      <w:r w:rsidR="00C82815">
        <w:rPr>
          <w:color w:val="auto"/>
          <w:lang w:val="pl-PL"/>
        </w:rPr>
        <w:t xml:space="preserve"> KSEF</w:t>
      </w:r>
      <w:r w:rsidR="006E1DA7" w:rsidRPr="0085159D">
        <w:rPr>
          <w:color w:val="auto"/>
          <w:lang w:val="pl-PL"/>
        </w:rPr>
        <w:t>.</w:t>
      </w:r>
      <w:r>
        <w:rPr>
          <w:lang w:val="pl-PL"/>
        </w:rPr>
        <w:t xml:space="preserve"> Ich udział </w:t>
      </w:r>
      <w:r w:rsidR="00282A62" w:rsidRPr="0085159D">
        <w:rPr>
          <w:lang w:val="pl-PL"/>
        </w:rPr>
        <w:t>jest kluczow</w:t>
      </w:r>
      <w:r>
        <w:rPr>
          <w:lang w:val="pl-PL"/>
        </w:rPr>
        <w:t>y</w:t>
      </w:r>
      <w:r w:rsidR="00282A62" w:rsidRPr="0085159D">
        <w:rPr>
          <w:lang w:val="pl-PL"/>
        </w:rPr>
        <w:t xml:space="preserve"> dla realizacji KSEF, </w:t>
      </w:r>
      <w:r w:rsidR="00C62385" w:rsidRPr="0085159D">
        <w:rPr>
          <w:lang w:val="pl-PL"/>
        </w:rPr>
        <w:t xml:space="preserve">która będzie </w:t>
      </w:r>
      <w:r w:rsidR="00180EAA" w:rsidRPr="0085159D">
        <w:rPr>
          <w:lang w:val="pl-PL"/>
        </w:rPr>
        <w:t xml:space="preserve">się </w:t>
      </w:r>
      <w:r w:rsidR="00C62385" w:rsidRPr="0085159D">
        <w:rPr>
          <w:lang w:val="pl-PL"/>
        </w:rPr>
        <w:t>opierać na działaniach wielu interesariuszy</w:t>
      </w:r>
      <w:r w:rsidR="00282A62" w:rsidRPr="0085159D">
        <w:rPr>
          <w:lang w:val="pl-PL"/>
        </w:rPr>
        <w:t xml:space="preserve">. Dlatego mogą </w:t>
      </w:r>
      <w:r w:rsidR="00C37C3D">
        <w:rPr>
          <w:lang w:val="pl-PL"/>
        </w:rPr>
        <w:t>on</w:t>
      </w:r>
      <w:r>
        <w:rPr>
          <w:lang w:val="pl-PL"/>
        </w:rPr>
        <w:t>i</w:t>
      </w:r>
      <w:r w:rsidR="00C37C3D">
        <w:rPr>
          <w:lang w:val="pl-PL"/>
        </w:rPr>
        <w:t xml:space="preserve"> </w:t>
      </w:r>
      <w:r w:rsidR="00C62385" w:rsidRPr="0085159D">
        <w:rPr>
          <w:lang w:val="pl-PL"/>
        </w:rPr>
        <w:t xml:space="preserve">odegrać </w:t>
      </w:r>
      <w:r w:rsidR="00282A62" w:rsidRPr="0085159D">
        <w:rPr>
          <w:lang w:val="pl-PL"/>
        </w:rPr>
        <w:t xml:space="preserve">ważną rolę w tworzeniu </w:t>
      </w:r>
      <w:r w:rsidR="00D669A9" w:rsidRPr="0085159D">
        <w:rPr>
          <w:lang w:val="pl-PL"/>
        </w:rPr>
        <w:t xml:space="preserve">społeczności praktyków </w:t>
      </w:r>
      <w:r w:rsidR="00282A62" w:rsidRPr="0085159D">
        <w:rPr>
          <w:lang w:val="pl-PL"/>
        </w:rPr>
        <w:t>edukacji finansowej w Polsce, złożone</w:t>
      </w:r>
      <w:r w:rsidR="00C37C3D">
        <w:rPr>
          <w:lang w:val="pl-PL"/>
        </w:rPr>
        <w:t>j</w:t>
      </w:r>
      <w:r w:rsidR="00282A62" w:rsidRPr="0085159D">
        <w:rPr>
          <w:lang w:val="pl-PL"/>
        </w:rPr>
        <w:t xml:space="preserve"> z przedstawicieli środowiska akademickiego, sektora prywatnego, publicznego i</w:t>
      </w:r>
      <w:r w:rsidR="00D669A9" w:rsidRPr="0085159D">
        <w:rPr>
          <w:lang w:val="pl-PL"/>
        </w:rPr>
        <w:t xml:space="preserve"> organizacji pozarządowych</w:t>
      </w:r>
      <w:r w:rsidR="00282A62" w:rsidRPr="0085159D">
        <w:rPr>
          <w:lang w:val="pl-PL"/>
        </w:rPr>
        <w:t xml:space="preserve">. </w:t>
      </w:r>
      <w:r w:rsidR="0067780E">
        <w:rPr>
          <w:lang w:val="pl-PL"/>
        </w:rPr>
        <w:t>Celem współpracy w</w:t>
      </w:r>
      <w:r>
        <w:rPr>
          <w:lang w:val="pl-PL"/>
        </w:rPr>
        <w:t> </w:t>
      </w:r>
      <w:r w:rsidR="0067780E">
        <w:rPr>
          <w:lang w:val="pl-PL"/>
        </w:rPr>
        <w:t>ramach tej s</w:t>
      </w:r>
      <w:r w:rsidR="00282A62" w:rsidRPr="0085159D">
        <w:rPr>
          <w:lang w:val="pl-PL"/>
        </w:rPr>
        <w:t>połecznoś</w:t>
      </w:r>
      <w:r w:rsidR="0067780E">
        <w:rPr>
          <w:lang w:val="pl-PL"/>
        </w:rPr>
        <w:t>ci</w:t>
      </w:r>
      <w:r w:rsidR="00282A62" w:rsidRPr="0085159D">
        <w:rPr>
          <w:lang w:val="pl-PL"/>
        </w:rPr>
        <w:t xml:space="preserve"> </w:t>
      </w:r>
      <w:r w:rsidR="0067780E">
        <w:rPr>
          <w:lang w:val="pl-PL"/>
        </w:rPr>
        <w:t>jest</w:t>
      </w:r>
      <w:r w:rsidR="00282A62" w:rsidRPr="0085159D">
        <w:rPr>
          <w:lang w:val="pl-PL"/>
        </w:rPr>
        <w:t xml:space="preserve"> wymi</w:t>
      </w:r>
      <w:r w:rsidR="0067780E">
        <w:rPr>
          <w:lang w:val="pl-PL"/>
        </w:rPr>
        <w:t>ana wiedzy</w:t>
      </w:r>
      <w:r w:rsidR="00C37C3D">
        <w:rPr>
          <w:lang w:val="pl-PL"/>
        </w:rPr>
        <w:t>,</w:t>
      </w:r>
      <w:r w:rsidR="00282A62" w:rsidRPr="0085159D">
        <w:rPr>
          <w:lang w:val="pl-PL"/>
        </w:rPr>
        <w:t xml:space="preserve"> </w:t>
      </w:r>
      <w:r w:rsidR="00C37C3D">
        <w:rPr>
          <w:lang w:val="pl-PL"/>
        </w:rPr>
        <w:t xml:space="preserve">opinii </w:t>
      </w:r>
      <w:r w:rsidR="0067780E">
        <w:rPr>
          <w:lang w:val="pl-PL"/>
        </w:rPr>
        <w:t>i</w:t>
      </w:r>
      <w:r w:rsidR="00282A62" w:rsidRPr="0085159D">
        <w:rPr>
          <w:lang w:val="pl-PL"/>
        </w:rPr>
        <w:t xml:space="preserve"> dziel</w:t>
      </w:r>
      <w:r w:rsidR="0067780E">
        <w:rPr>
          <w:lang w:val="pl-PL"/>
        </w:rPr>
        <w:t>enie</w:t>
      </w:r>
      <w:r w:rsidR="00282A62" w:rsidRPr="0085159D">
        <w:rPr>
          <w:lang w:val="pl-PL"/>
        </w:rPr>
        <w:t xml:space="preserve"> się</w:t>
      </w:r>
      <w:r w:rsidR="00C37C3D">
        <w:rPr>
          <w:lang w:val="pl-PL"/>
        </w:rPr>
        <w:t xml:space="preserve"> doświadczeniem</w:t>
      </w:r>
      <w:r w:rsidR="00282A62" w:rsidRPr="0085159D">
        <w:rPr>
          <w:lang w:val="pl-PL"/>
        </w:rPr>
        <w:t xml:space="preserve"> </w:t>
      </w:r>
      <w:r w:rsidR="0028025E" w:rsidRPr="0085159D">
        <w:rPr>
          <w:lang w:val="pl-PL"/>
        </w:rPr>
        <w:t xml:space="preserve">za pośrednictwem </w:t>
      </w:r>
      <w:r w:rsidR="00282A62" w:rsidRPr="0085159D">
        <w:rPr>
          <w:lang w:val="pl-PL"/>
        </w:rPr>
        <w:t>różn</w:t>
      </w:r>
      <w:r w:rsidR="0028025E" w:rsidRPr="0085159D">
        <w:rPr>
          <w:lang w:val="pl-PL"/>
        </w:rPr>
        <w:t>ych</w:t>
      </w:r>
      <w:r w:rsidR="00282A62" w:rsidRPr="0085159D">
        <w:rPr>
          <w:lang w:val="pl-PL"/>
        </w:rPr>
        <w:t xml:space="preserve"> kanał</w:t>
      </w:r>
      <w:r w:rsidR="0028025E" w:rsidRPr="0085159D">
        <w:rPr>
          <w:lang w:val="pl-PL"/>
        </w:rPr>
        <w:t>ów</w:t>
      </w:r>
      <w:r w:rsidR="00282A62" w:rsidRPr="0085159D">
        <w:rPr>
          <w:lang w:val="pl-PL"/>
        </w:rPr>
        <w:t xml:space="preserve"> komunikacji </w:t>
      </w:r>
      <w:r w:rsidR="00C37C3D">
        <w:rPr>
          <w:lang w:val="pl-PL"/>
        </w:rPr>
        <w:t>powiązanych z procesem wdrażania Strategii</w:t>
      </w:r>
      <w:r w:rsidR="00282A62" w:rsidRPr="0085159D">
        <w:rPr>
          <w:lang w:val="pl-PL"/>
        </w:rPr>
        <w:t>.</w:t>
      </w:r>
      <w:r w:rsidR="0067780E">
        <w:rPr>
          <w:lang w:val="pl-PL"/>
        </w:rPr>
        <w:t xml:space="preserve"> </w:t>
      </w:r>
      <w:bookmarkStart w:id="44" w:name="_Hlk151626338"/>
    </w:p>
    <w:p w14:paraId="238644BD" w14:textId="1A0351E9" w:rsidR="00874D01" w:rsidRPr="0085159D" w:rsidRDefault="00874D01" w:rsidP="00874D01">
      <w:pPr>
        <w:pStyle w:val="Legenda"/>
        <w:rPr>
          <w:lang w:val="pl-PL"/>
        </w:rPr>
      </w:pPr>
      <w:r w:rsidRPr="0085159D">
        <w:rPr>
          <w:bCs/>
          <w:iCs w:val="0"/>
          <w:lang w:val="pl-PL"/>
        </w:rPr>
        <w:lastRenderedPageBreak/>
        <w:t xml:space="preserve">Wykres </w:t>
      </w:r>
      <w:r>
        <w:rPr>
          <w:bCs/>
          <w:iCs w:val="0"/>
          <w:noProof/>
          <w:lang w:val="pl-PL"/>
        </w:rPr>
        <w:t>2</w:t>
      </w:r>
      <w:r w:rsidRPr="0085159D">
        <w:rPr>
          <w:bCs/>
          <w:iCs w:val="0"/>
          <w:lang w:val="pl-PL"/>
        </w:rPr>
        <w:t xml:space="preserve">. </w:t>
      </w:r>
      <w:r w:rsidRPr="00874D01">
        <w:rPr>
          <w:bCs/>
          <w:iCs w:val="0"/>
          <w:lang w:val="pl-PL"/>
        </w:rPr>
        <w:t>Struktura zarządzania wdrażaniem KSEF</w:t>
      </w:r>
    </w:p>
    <w:p w14:paraId="75F0F466" w14:textId="0C6A1E3B" w:rsidR="00291450" w:rsidRPr="00CE1D0A" w:rsidRDefault="00CE1D0A" w:rsidP="00874D01">
      <w:pPr>
        <w:pStyle w:val="Para0"/>
        <w:jc w:val="left"/>
        <w:rPr>
          <w:b/>
          <w:bCs/>
          <w:sz w:val="32"/>
          <w:szCs w:val="32"/>
          <w:lang w:val="pl-PL"/>
        </w:rPr>
      </w:pPr>
      <w:r>
        <w:rPr>
          <w:noProof/>
        </w:rPr>
        <w:drawing>
          <wp:inline distT="0" distB="0" distL="0" distR="0" wp14:anchorId="2F221F74" wp14:editId="0951EA17">
            <wp:extent cx="5904230" cy="33197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4230" cy="3319780"/>
                    </a:xfrm>
                    <a:prstGeom prst="rect">
                      <a:avLst/>
                    </a:prstGeom>
                    <a:noFill/>
                    <a:ln>
                      <a:noFill/>
                    </a:ln>
                  </pic:spPr>
                </pic:pic>
              </a:graphicData>
            </a:graphic>
          </wp:inline>
        </w:drawing>
      </w:r>
    </w:p>
    <w:bookmarkEnd w:id="44"/>
    <w:p w14:paraId="178277A4" w14:textId="77777777" w:rsidR="00291450" w:rsidRDefault="00291450" w:rsidP="000B051F">
      <w:pPr>
        <w:pStyle w:val="Para0"/>
        <w:rPr>
          <w:lang w:val="pl-PL"/>
        </w:rPr>
      </w:pPr>
    </w:p>
    <w:p w14:paraId="45B7F5E5" w14:textId="77777777" w:rsidR="00282A62" w:rsidRPr="0085159D" w:rsidRDefault="00327F33" w:rsidP="000B051F">
      <w:pPr>
        <w:pStyle w:val="Para0"/>
        <w:rPr>
          <w:lang w:val="pl-PL"/>
        </w:rPr>
      </w:pPr>
      <w:r>
        <w:rPr>
          <w:lang w:val="pl-PL"/>
        </w:rPr>
        <w:t>Eksperci</w:t>
      </w:r>
      <w:r w:rsidR="00A4062A">
        <w:rPr>
          <w:lang w:val="pl-PL"/>
        </w:rPr>
        <w:t xml:space="preserve"> </w:t>
      </w:r>
      <w:r w:rsidR="00EC52BC">
        <w:rPr>
          <w:lang w:val="pl-PL"/>
        </w:rPr>
        <w:t>współpracujący z KW</w:t>
      </w:r>
      <w:r w:rsidR="00282A62" w:rsidRPr="0085159D">
        <w:rPr>
          <w:lang w:val="pl-PL"/>
        </w:rPr>
        <w:t xml:space="preserve"> </w:t>
      </w:r>
      <w:r>
        <w:rPr>
          <w:lang w:val="pl-PL"/>
        </w:rPr>
        <w:t xml:space="preserve">będą </w:t>
      </w:r>
      <w:r w:rsidR="00282A62" w:rsidRPr="0085159D">
        <w:rPr>
          <w:lang w:val="pl-PL"/>
        </w:rPr>
        <w:t>zachęca</w:t>
      </w:r>
      <w:r>
        <w:rPr>
          <w:lang w:val="pl-PL"/>
        </w:rPr>
        <w:t>ni</w:t>
      </w:r>
      <w:r w:rsidR="00282A62" w:rsidRPr="0085159D">
        <w:rPr>
          <w:lang w:val="pl-PL"/>
        </w:rPr>
        <w:t xml:space="preserve"> do:</w:t>
      </w:r>
    </w:p>
    <w:p w14:paraId="3D6119C0" w14:textId="77777777" w:rsidR="00282A62" w:rsidRPr="0085159D" w:rsidRDefault="007D7250" w:rsidP="000B051F">
      <w:pPr>
        <w:pStyle w:val="BulletedList"/>
        <w:rPr>
          <w:lang w:val="pl-PL"/>
        </w:rPr>
      </w:pPr>
      <w:r>
        <w:rPr>
          <w:lang w:val="pl-PL"/>
        </w:rPr>
        <w:t xml:space="preserve">regularnego </w:t>
      </w:r>
      <w:r w:rsidR="00282A62" w:rsidRPr="0085159D">
        <w:rPr>
          <w:lang w:val="pl-PL"/>
        </w:rPr>
        <w:t>spotykania się z KW</w:t>
      </w:r>
      <w:r w:rsidR="00077B17" w:rsidRPr="0085159D">
        <w:rPr>
          <w:lang w:val="pl-PL"/>
        </w:rPr>
        <w:t>;</w:t>
      </w:r>
    </w:p>
    <w:p w14:paraId="5125A022" w14:textId="77777777" w:rsidR="00282A62" w:rsidRPr="0085159D" w:rsidRDefault="00282A62" w:rsidP="000B051F">
      <w:pPr>
        <w:pStyle w:val="BulletedList"/>
        <w:rPr>
          <w:lang w:val="pl-PL"/>
        </w:rPr>
      </w:pPr>
      <w:r w:rsidRPr="0085159D">
        <w:rPr>
          <w:lang w:val="pl-PL"/>
        </w:rPr>
        <w:t xml:space="preserve">dzielenia się </w:t>
      </w:r>
      <w:r w:rsidR="00E10498" w:rsidRPr="0085159D">
        <w:rPr>
          <w:lang w:val="pl-PL"/>
        </w:rPr>
        <w:t>z KW oraz resztą społeczności zaangażowanej w realizację Strategii</w:t>
      </w:r>
      <w:r w:rsidR="00E10498" w:rsidRPr="0085159D" w:rsidDel="0028025E">
        <w:rPr>
          <w:lang w:val="pl-PL"/>
        </w:rPr>
        <w:t xml:space="preserve"> </w:t>
      </w:r>
      <w:r w:rsidRPr="0085159D">
        <w:rPr>
          <w:lang w:val="pl-PL"/>
        </w:rPr>
        <w:t xml:space="preserve">wnioskami, doświadczeniami, </w:t>
      </w:r>
      <w:r w:rsidR="00327F33">
        <w:rPr>
          <w:lang w:val="pl-PL"/>
        </w:rPr>
        <w:t xml:space="preserve">wynikami </w:t>
      </w:r>
      <w:r w:rsidRPr="0085159D">
        <w:rPr>
          <w:lang w:val="pl-PL"/>
        </w:rPr>
        <w:t>bada</w:t>
      </w:r>
      <w:r w:rsidR="00327F33">
        <w:rPr>
          <w:lang w:val="pl-PL"/>
        </w:rPr>
        <w:t>ń itp.</w:t>
      </w:r>
      <w:r w:rsidR="00077B17" w:rsidRPr="0085159D">
        <w:rPr>
          <w:lang w:val="pl-PL"/>
        </w:rPr>
        <w:t>;</w:t>
      </w:r>
    </w:p>
    <w:p w14:paraId="2B7D19D6" w14:textId="77777777" w:rsidR="00282A62" w:rsidRPr="0085159D" w:rsidRDefault="00282A62" w:rsidP="000B051F">
      <w:pPr>
        <w:pStyle w:val="BulletedList"/>
        <w:rPr>
          <w:lang w:val="pl-PL"/>
        </w:rPr>
      </w:pPr>
      <w:r w:rsidRPr="0085159D">
        <w:rPr>
          <w:lang w:val="pl-PL"/>
        </w:rPr>
        <w:t xml:space="preserve">udziału w realizacji </w:t>
      </w:r>
      <w:r w:rsidR="0028025E" w:rsidRPr="0085159D">
        <w:rPr>
          <w:lang w:val="pl-PL"/>
        </w:rPr>
        <w:t xml:space="preserve">planów wdrażania </w:t>
      </w:r>
      <w:r w:rsidRPr="0085159D">
        <w:rPr>
          <w:lang w:val="pl-PL"/>
        </w:rPr>
        <w:t>i rocznych planów działa</w:t>
      </w:r>
      <w:r w:rsidR="00327F33">
        <w:rPr>
          <w:lang w:val="pl-PL"/>
        </w:rPr>
        <w:t>ń</w:t>
      </w:r>
      <w:r w:rsidRPr="0085159D">
        <w:rPr>
          <w:lang w:val="pl-PL"/>
        </w:rPr>
        <w:t xml:space="preserve"> poprzez podejmowanie aktywnych ról </w:t>
      </w:r>
      <w:r w:rsidR="00327F33">
        <w:rPr>
          <w:lang w:val="pl-PL"/>
        </w:rPr>
        <w:t>w</w:t>
      </w:r>
      <w:r w:rsidRPr="0085159D">
        <w:rPr>
          <w:lang w:val="pl-PL"/>
        </w:rPr>
        <w:t xml:space="preserve"> realizacj</w:t>
      </w:r>
      <w:r w:rsidR="00327F33">
        <w:rPr>
          <w:lang w:val="pl-PL"/>
        </w:rPr>
        <w:t>i</w:t>
      </w:r>
      <w:r w:rsidRPr="0085159D">
        <w:rPr>
          <w:lang w:val="pl-PL"/>
        </w:rPr>
        <w:t xml:space="preserve"> określonych działań oraz </w:t>
      </w:r>
      <w:r w:rsidR="0028025E" w:rsidRPr="0085159D">
        <w:rPr>
          <w:lang w:val="pl-PL"/>
        </w:rPr>
        <w:t xml:space="preserve">przekazywanie </w:t>
      </w:r>
      <w:r w:rsidR="00E10498" w:rsidRPr="0085159D">
        <w:rPr>
          <w:lang w:val="pl-PL"/>
        </w:rPr>
        <w:t xml:space="preserve">do KW </w:t>
      </w:r>
      <w:r w:rsidR="0028025E" w:rsidRPr="0085159D">
        <w:rPr>
          <w:lang w:val="pl-PL"/>
        </w:rPr>
        <w:t xml:space="preserve">sprawozdań z </w:t>
      </w:r>
      <w:r w:rsidRPr="0085159D">
        <w:rPr>
          <w:lang w:val="pl-PL"/>
        </w:rPr>
        <w:t>postępów</w:t>
      </w:r>
      <w:r w:rsidR="00077B17" w:rsidRPr="0085159D">
        <w:rPr>
          <w:lang w:val="pl-PL"/>
        </w:rPr>
        <w:t>;</w:t>
      </w:r>
    </w:p>
    <w:p w14:paraId="7954E647" w14:textId="77777777" w:rsidR="00282A62" w:rsidRPr="0085159D" w:rsidRDefault="00282A62" w:rsidP="000B051F">
      <w:pPr>
        <w:pStyle w:val="BulletedList"/>
        <w:rPr>
          <w:lang w:val="pl-PL"/>
        </w:rPr>
      </w:pPr>
      <w:r w:rsidRPr="0085159D">
        <w:rPr>
          <w:lang w:val="pl-PL"/>
        </w:rPr>
        <w:t xml:space="preserve">przestrzegania zasad </w:t>
      </w:r>
      <w:r w:rsidR="00E10498" w:rsidRPr="0085159D">
        <w:rPr>
          <w:lang w:val="pl-PL"/>
        </w:rPr>
        <w:t xml:space="preserve">i </w:t>
      </w:r>
      <w:r w:rsidRPr="0085159D">
        <w:rPr>
          <w:lang w:val="pl-PL"/>
        </w:rPr>
        <w:t>wytycznych dotyczących zaangażowania w działania z zakresu edukacji finansowej, opracowanych wspólnie z KW</w:t>
      </w:r>
      <w:r w:rsidR="00077B17" w:rsidRPr="0085159D">
        <w:rPr>
          <w:lang w:val="pl-PL"/>
        </w:rPr>
        <w:t>;</w:t>
      </w:r>
    </w:p>
    <w:p w14:paraId="49133332" w14:textId="77777777" w:rsidR="00282A62" w:rsidRPr="0085159D" w:rsidRDefault="00282A62" w:rsidP="000B051F">
      <w:pPr>
        <w:pStyle w:val="BulletedList"/>
        <w:rPr>
          <w:lang w:val="pl-PL"/>
        </w:rPr>
      </w:pPr>
      <w:r w:rsidRPr="0085159D">
        <w:rPr>
          <w:lang w:val="pl-PL"/>
        </w:rPr>
        <w:t>dzielenia się z KW, przy pomocy ankiety</w:t>
      </w:r>
      <w:r w:rsidR="0028025E" w:rsidRPr="0085159D">
        <w:rPr>
          <w:lang w:val="pl-PL"/>
        </w:rPr>
        <w:t xml:space="preserve"> dotyczącej</w:t>
      </w:r>
      <w:r w:rsidRPr="0085159D">
        <w:rPr>
          <w:lang w:val="pl-PL"/>
        </w:rPr>
        <w:t xml:space="preserve"> aktywności (lub w inny sposób), szczegółami własnych działań</w:t>
      </w:r>
      <w:r w:rsidR="00077B17" w:rsidRPr="0085159D">
        <w:rPr>
          <w:lang w:val="pl-PL"/>
        </w:rPr>
        <w:t>;</w:t>
      </w:r>
    </w:p>
    <w:p w14:paraId="009FD352" w14:textId="77777777" w:rsidR="00282A62" w:rsidRPr="0085159D" w:rsidRDefault="00282A62" w:rsidP="000B051F">
      <w:pPr>
        <w:pStyle w:val="BulletedList"/>
        <w:rPr>
          <w:lang w:val="pl-PL"/>
        </w:rPr>
      </w:pPr>
      <w:r w:rsidRPr="0085159D">
        <w:rPr>
          <w:lang w:val="pl-PL"/>
        </w:rPr>
        <w:t xml:space="preserve">uczestniczenia, zgodnie z własnym obszarem kompetencji, w tematycznych grupach </w:t>
      </w:r>
      <w:r w:rsidR="0028025E" w:rsidRPr="0085159D">
        <w:rPr>
          <w:lang w:val="pl-PL"/>
        </w:rPr>
        <w:t>roboczych ds. realizacji strategii.</w:t>
      </w:r>
    </w:p>
    <w:p w14:paraId="0E7A8F37" w14:textId="77777777" w:rsidR="00282A62" w:rsidRPr="0085159D" w:rsidRDefault="008A21D5" w:rsidP="000B051F">
      <w:pPr>
        <w:pStyle w:val="Nagwek2"/>
        <w:rPr>
          <w:lang w:val="pl-PL"/>
        </w:rPr>
      </w:pPr>
      <w:bookmarkStart w:id="45" w:name="_Toc131520817"/>
      <w:r w:rsidRPr="0085159D">
        <w:rPr>
          <w:bCs/>
          <w:lang w:val="pl-PL"/>
        </w:rPr>
        <w:t>2.7 Finansowanie KSEF i programów edukacji finansowej</w:t>
      </w:r>
      <w:bookmarkEnd w:id="45"/>
    </w:p>
    <w:p w14:paraId="0ED4DAB8" w14:textId="77777777" w:rsidR="00282A62" w:rsidRPr="0085159D" w:rsidRDefault="00282A62" w:rsidP="000B051F">
      <w:pPr>
        <w:pStyle w:val="Para0"/>
        <w:rPr>
          <w:lang w:val="pl-PL"/>
        </w:rPr>
      </w:pPr>
      <w:r w:rsidRPr="0085159D">
        <w:rPr>
          <w:lang w:val="pl-PL"/>
        </w:rPr>
        <w:t>Celem niniejszego rozdziału jest prezentacja długoterminowego podejścia do finansowania koordynacji i</w:t>
      </w:r>
      <w:r w:rsidR="00545FC9">
        <w:rPr>
          <w:lang w:val="pl-PL"/>
        </w:rPr>
        <w:t> </w:t>
      </w:r>
      <w:r w:rsidR="00F85C83" w:rsidRPr="0085159D">
        <w:rPr>
          <w:lang w:val="pl-PL"/>
        </w:rPr>
        <w:t xml:space="preserve">realizacji </w:t>
      </w:r>
      <w:r w:rsidR="005E06A3">
        <w:rPr>
          <w:lang w:val="pl-PL"/>
        </w:rPr>
        <w:t>„</w:t>
      </w:r>
      <w:r w:rsidRPr="0085159D">
        <w:rPr>
          <w:lang w:val="pl-PL"/>
        </w:rPr>
        <w:t>Krajowej Strategii Edukacji Finansowej</w:t>
      </w:r>
      <w:r w:rsidR="005E06A3" w:rsidRPr="005F7A90">
        <w:rPr>
          <w:lang w:val="pl-PL"/>
        </w:rPr>
        <w:t>. Polityka na rzecz rozwijania kompetencji finansowych”</w:t>
      </w:r>
      <w:r w:rsidRPr="0085159D">
        <w:rPr>
          <w:lang w:val="pl-PL"/>
        </w:rPr>
        <w:t>.</w:t>
      </w:r>
    </w:p>
    <w:p w14:paraId="16D78A7E" w14:textId="77777777" w:rsidR="00282A62" w:rsidRPr="0085159D" w:rsidRDefault="00282A62" w:rsidP="000B051F">
      <w:pPr>
        <w:pStyle w:val="Para0"/>
        <w:rPr>
          <w:lang w:val="pl-PL"/>
        </w:rPr>
      </w:pPr>
      <w:r w:rsidRPr="0085159D">
        <w:rPr>
          <w:lang w:val="pl-PL"/>
        </w:rPr>
        <w:t xml:space="preserve">Koordynacja i </w:t>
      </w:r>
      <w:r w:rsidR="00F85C83" w:rsidRPr="0085159D">
        <w:rPr>
          <w:lang w:val="pl-PL"/>
        </w:rPr>
        <w:t xml:space="preserve">realizacja </w:t>
      </w:r>
      <w:r w:rsidRPr="0085159D">
        <w:rPr>
          <w:lang w:val="pl-PL"/>
        </w:rPr>
        <w:t>KSEF będ</w:t>
      </w:r>
      <w:r w:rsidR="00F85C83" w:rsidRPr="0085159D">
        <w:rPr>
          <w:lang w:val="pl-PL"/>
        </w:rPr>
        <w:t>ą</w:t>
      </w:r>
      <w:r w:rsidRPr="0085159D">
        <w:rPr>
          <w:lang w:val="pl-PL"/>
        </w:rPr>
        <w:t xml:space="preserve"> zależał</w:t>
      </w:r>
      <w:r w:rsidR="00F85C83" w:rsidRPr="0085159D">
        <w:rPr>
          <w:lang w:val="pl-PL"/>
        </w:rPr>
        <w:t>y</w:t>
      </w:r>
      <w:r w:rsidRPr="0085159D">
        <w:rPr>
          <w:lang w:val="pl-PL"/>
        </w:rPr>
        <w:t xml:space="preserve"> głównie od finansowania z następujących źródeł:</w:t>
      </w:r>
    </w:p>
    <w:p w14:paraId="65E8C419" w14:textId="77777777" w:rsidR="00282A62" w:rsidRPr="0085159D" w:rsidRDefault="00282A62" w:rsidP="000B051F">
      <w:pPr>
        <w:pStyle w:val="BulletedList"/>
        <w:rPr>
          <w:lang w:val="pl-PL"/>
        </w:rPr>
      </w:pPr>
      <w:r w:rsidRPr="0085159D">
        <w:rPr>
          <w:lang w:val="pl-PL"/>
        </w:rPr>
        <w:t>Fundusz Edukacji Finansowej</w:t>
      </w:r>
      <w:r w:rsidR="00F66504">
        <w:rPr>
          <w:rStyle w:val="Odwoanieprzypisudolnego"/>
          <w:lang w:val="pl-PL"/>
        </w:rPr>
        <w:footnoteReference w:id="8"/>
      </w:r>
      <w:r w:rsidR="00640254" w:rsidRPr="0085159D">
        <w:rPr>
          <w:lang w:val="pl-PL"/>
        </w:rPr>
        <w:t>,</w:t>
      </w:r>
    </w:p>
    <w:p w14:paraId="2DB7DDBE" w14:textId="77777777" w:rsidR="00E14925" w:rsidRPr="0085159D" w:rsidRDefault="00F85C83" w:rsidP="000B051F">
      <w:pPr>
        <w:pStyle w:val="BulletedList"/>
        <w:rPr>
          <w:lang w:val="pl-PL"/>
        </w:rPr>
      </w:pPr>
      <w:r w:rsidRPr="0085159D">
        <w:rPr>
          <w:lang w:val="pl-PL"/>
        </w:rPr>
        <w:lastRenderedPageBreak/>
        <w:t>z</w:t>
      </w:r>
      <w:r w:rsidR="00282A62" w:rsidRPr="0085159D">
        <w:rPr>
          <w:lang w:val="pl-PL"/>
        </w:rPr>
        <w:t xml:space="preserve">asobów (osobowych i finansowych) instytucji zaangażowanych w koordynację </w:t>
      </w:r>
      <w:r w:rsidR="00404331" w:rsidRPr="0085159D">
        <w:rPr>
          <w:lang w:val="pl-PL"/>
        </w:rPr>
        <w:t xml:space="preserve">wdrażania </w:t>
      </w:r>
      <w:r w:rsidR="00282A62" w:rsidRPr="0085159D">
        <w:rPr>
          <w:lang w:val="pl-PL"/>
        </w:rPr>
        <w:t xml:space="preserve">Strategii, w tym </w:t>
      </w:r>
      <w:r w:rsidR="000F665E">
        <w:rPr>
          <w:lang w:val="pl-PL"/>
        </w:rPr>
        <w:t>instytucje</w:t>
      </w:r>
      <w:r w:rsidR="00FB7886">
        <w:rPr>
          <w:lang w:val="pl-PL"/>
        </w:rPr>
        <w:t xml:space="preserve"> reprezentowane w</w:t>
      </w:r>
      <w:r w:rsidR="00282A62" w:rsidRPr="0085159D">
        <w:rPr>
          <w:lang w:val="pl-PL"/>
        </w:rPr>
        <w:t xml:space="preserve"> R</w:t>
      </w:r>
      <w:r w:rsidR="00FB7886">
        <w:rPr>
          <w:lang w:val="pl-PL"/>
        </w:rPr>
        <w:t>adzie</w:t>
      </w:r>
      <w:r w:rsidR="00282A62" w:rsidRPr="0085159D">
        <w:rPr>
          <w:lang w:val="pl-PL"/>
        </w:rPr>
        <w:t xml:space="preserve"> i KW</w:t>
      </w:r>
      <w:r w:rsidR="00640254" w:rsidRPr="0085159D">
        <w:rPr>
          <w:lang w:val="pl-PL"/>
        </w:rPr>
        <w:t>,</w:t>
      </w:r>
    </w:p>
    <w:p w14:paraId="01C29E57" w14:textId="77777777" w:rsidR="00E14925" w:rsidRPr="0085159D" w:rsidRDefault="00F85C83" w:rsidP="000B051F">
      <w:pPr>
        <w:pStyle w:val="BulletedList"/>
        <w:rPr>
          <w:lang w:val="pl-PL"/>
        </w:rPr>
      </w:pPr>
      <w:r w:rsidRPr="0085159D">
        <w:rPr>
          <w:lang w:val="pl-PL"/>
        </w:rPr>
        <w:t>d</w:t>
      </w:r>
      <w:r w:rsidR="006D0AD8" w:rsidRPr="0085159D">
        <w:rPr>
          <w:lang w:val="pl-PL"/>
        </w:rPr>
        <w:t xml:space="preserve">obrowolnych </w:t>
      </w:r>
      <w:r w:rsidRPr="0085159D">
        <w:rPr>
          <w:lang w:val="pl-PL"/>
        </w:rPr>
        <w:t xml:space="preserve">wkładów </w:t>
      </w:r>
      <w:r w:rsidR="006D0AD8" w:rsidRPr="0085159D">
        <w:rPr>
          <w:lang w:val="pl-PL"/>
        </w:rPr>
        <w:t>osobowych i/lub rzeczowych oraz finansowych od organizacji i</w:t>
      </w:r>
      <w:r w:rsidR="00545FC9">
        <w:rPr>
          <w:lang w:val="pl-PL"/>
        </w:rPr>
        <w:t> </w:t>
      </w:r>
      <w:r w:rsidR="006D0AD8" w:rsidRPr="0085159D">
        <w:rPr>
          <w:lang w:val="pl-PL"/>
        </w:rPr>
        <w:t>interesariuszy zaangażowanych w</w:t>
      </w:r>
      <w:r w:rsidRPr="0085159D">
        <w:rPr>
          <w:lang w:val="pl-PL"/>
        </w:rPr>
        <w:t xml:space="preserve"> realizację </w:t>
      </w:r>
      <w:r w:rsidR="006D0AD8" w:rsidRPr="0085159D">
        <w:rPr>
          <w:lang w:val="pl-PL"/>
        </w:rPr>
        <w:t xml:space="preserve">określonych programów lub inicjatyw edukacji finansowej w ramach </w:t>
      </w:r>
      <w:r w:rsidRPr="0085159D">
        <w:rPr>
          <w:lang w:val="pl-PL"/>
        </w:rPr>
        <w:t>planu wdrażania</w:t>
      </w:r>
      <w:r w:rsidR="006D0AD8" w:rsidRPr="0085159D">
        <w:rPr>
          <w:lang w:val="pl-PL"/>
        </w:rPr>
        <w:t>.</w:t>
      </w:r>
    </w:p>
    <w:p w14:paraId="22411AB1" w14:textId="77777777" w:rsidR="00E14925" w:rsidRPr="0085159D" w:rsidRDefault="000F54F6" w:rsidP="000B051F">
      <w:pPr>
        <w:pStyle w:val="Para0"/>
        <w:rPr>
          <w:lang w:val="pl-PL"/>
        </w:rPr>
      </w:pPr>
      <w:r>
        <w:rPr>
          <w:lang w:val="pl-PL"/>
        </w:rPr>
        <w:t xml:space="preserve">Tryby udzielania dotacji z Funduszu Edukacji Finansowej określa </w:t>
      </w:r>
      <w:r w:rsidR="00F51757">
        <w:rPr>
          <w:lang w:val="pl-PL"/>
        </w:rPr>
        <w:t>U</w:t>
      </w:r>
      <w:r>
        <w:rPr>
          <w:lang w:val="pl-PL"/>
        </w:rPr>
        <w:t>stawa</w:t>
      </w:r>
      <w:r w:rsidR="000A59BA" w:rsidRPr="00380228">
        <w:rPr>
          <w:lang w:val="pl-PL"/>
        </w:rPr>
        <w:t xml:space="preserve">. </w:t>
      </w:r>
      <w:r w:rsidR="006D0AD8" w:rsidRPr="0085159D">
        <w:rPr>
          <w:lang w:val="pl-PL"/>
        </w:rPr>
        <w:t>Oprócz finansowania zapewnianego przez Fundusz od interesariuszy oczekuje się wkładu w</w:t>
      </w:r>
      <w:r w:rsidR="00F85C83" w:rsidRPr="0085159D">
        <w:rPr>
          <w:lang w:val="pl-PL"/>
        </w:rPr>
        <w:t xml:space="preserve"> realizację </w:t>
      </w:r>
      <w:r w:rsidR="006D0AD8" w:rsidRPr="0085159D">
        <w:rPr>
          <w:lang w:val="pl-PL"/>
        </w:rPr>
        <w:t>Strategii poprzez uruchomienie własnych zasobów (finansowych, osobowych i/lub rzeczowych), o ile to możliwe i osiągalne</w:t>
      </w:r>
      <w:r w:rsidR="002D6B22">
        <w:rPr>
          <w:lang w:val="pl-PL"/>
        </w:rPr>
        <w:t>, w celu wsparcia ich udziału w</w:t>
      </w:r>
      <w:r w:rsidR="00FA5500">
        <w:rPr>
          <w:lang w:val="pl-PL"/>
        </w:rPr>
        <w:t xml:space="preserve"> pracach KW </w:t>
      </w:r>
      <w:r w:rsidR="006D0AD8" w:rsidRPr="0085159D">
        <w:rPr>
          <w:lang w:val="pl-PL"/>
        </w:rPr>
        <w:t xml:space="preserve">i </w:t>
      </w:r>
      <w:r w:rsidR="000F665E">
        <w:rPr>
          <w:lang w:val="pl-PL"/>
        </w:rPr>
        <w:t>G</w:t>
      </w:r>
      <w:r w:rsidR="006D0AD8" w:rsidRPr="0085159D">
        <w:rPr>
          <w:lang w:val="pl-PL"/>
        </w:rPr>
        <w:t xml:space="preserve">rup </w:t>
      </w:r>
      <w:r w:rsidR="000F665E">
        <w:rPr>
          <w:lang w:val="pl-PL"/>
        </w:rPr>
        <w:t xml:space="preserve">Tematycznych </w:t>
      </w:r>
      <w:r w:rsidR="002C25B8" w:rsidRPr="0085159D">
        <w:rPr>
          <w:lang w:val="pl-PL"/>
        </w:rPr>
        <w:t xml:space="preserve">struktury zarządzania </w:t>
      </w:r>
      <w:r w:rsidR="006D0AD8" w:rsidRPr="0085159D">
        <w:rPr>
          <w:lang w:val="pl-PL"/>
        </w:rPr>
        <w:t xml:space="preserve">KSEF, a także do finansowania programów edukacji finansowej dla określonych grup docelowych, w </w:t>
      </w:r>
      <w:r w:rsidR="00F85C83" w:rsidRPr="0085159D">
        <w:rPr>
          <w:lang w:val="pl-PL"/>
        </w:rPr>
        <w:t>zakresie</w:t>
      </w:r>
      <w:r w:rsidR="006D0AD8" w:rsidRPr="0085159D">
        <w:rPr>
          <w:lang w:val="pl-PL"/>
        </w:rPr>
        <w:t xml:space="preserve"> ich możliwości i kompetencji.</w:t>
      </w:r>
    </w:p>
    <w:p w14:paraId="36A9BCCA" w14:textId="77777777" w:rsidR="00E14925" w:rsidRPr="0085159D" w:rsidRDefault="008A21D5" w:rsidP="009B73DE">
      <w:pPr>
        <w:pStyle w:val="Nagwek2"/>
        <w:rPr>
          <w:lang w:val="pl-PL"/>
        </w:rPr>
      </w:pPr>
      <w:bookmarkStart w:id="46" w:name="_Toc131520818"/>
      <w:r w:rsidRPr="0085159D">
        <w:rPr>
          <w:lang w:val="pl-PL"/>
        </w:rPr>
        <w:t>2.8 Monitor</w:t>
      </w:r>
      <w:r w:rsidR="003E30FF" w:rsidRPr="0085159D">
        <w:rPr>
          <w:lang w:val="pl-PL"/>
        </w:rPr>
        <w:t>ing</w:t>
      </w:r>
      <w:r w:rsidRPr="0085159D">
        <w:rPr>
          <w:lang w:val="pl-PL"/>
        </w:rPr>
        <w:t xml:space="preserve"> i </w:t>
      </w:r>
      <w:bookmarkEnd w:id="46"/>
      <w:r w:rsidR="003E30FF" w:rsidRPr="0085159D">
        <w:rPr>
          <w:lang w:val="pl-PL"/>
        </w:rPr>
        <w:t>ewaluacja</w:t>
      </w:r>
    </w:p>
    <w:p w14:paraId="28BC5C9D" w14:textId="77777777" w:rsidR="00E14925" w:rsidRPr="0085159D" w:rsidRDefault="006D0AD8" w:rsidP="000B051F">
      <w:pPr>
        <w:pStyle w:val="Para0"/>
        <w:rPr>
          <w:lang w:val="pl-PL"/>
        </w:rPr>
      </w:pPr>
      <w:r w:rsidRPr="0085159D">
        <w:rPr>
          <w:lang w:val="pl-PL"/>
        </w:rPr>
        <w:t>Monitor</w:t>
      </w:r>
      <w:r w:rsidR="003E30FF" w:rsidRPr="0085159D">
        <w:rPr>
          <w:lang w:val="pl-PL"/>
        </w:rPr>
        <w:t>ing</w:t>
      </w:r>
      <w:r w:rsidRPr="0085159D">
        <w:rPr>
          <w:lang w:val="pl-PL"/>
        </w:rPr>
        <w:t xml:space="preserve"> i </w:t>
      </w:r>
      <w:r w:rsidR="003E30FF" w:rsidRPr="0085159D">
        <w:rPr>
          <w:lang w:val="pl-PL"/>
        </w:rPr>
        <w:t xml:space="preserve">ewaluacja </w:t>
      </w:r>
      <w:r w:rsidRPr="0085159D">
        <w:rPr>
          <w:lang w:val="pl-PL"/>
        </w:rPr>
        <w:t>stanowią kluczowe elementy każdego skutecznego programu. Dzięki</w:t>
      </w:r>
      <w:r w:rsidR="002D69D1">
        <w:rPr>
          <w:lang w:val="pl-PL"/>
        </w:rPr>
        <w:t xml:space="preserve"> nim</w:t>
      </w:r>
      <w:r w:rsidRPr="0085159D">
        <w:rPr>
          <w:lang w:val="pl-PL"/>
        </w:rPr>
        <w:t xml:space="preserve"> </w:t>
      </w:r>
      <w:r w:rsidR="002D69D1">
        <w:rPr>
          <w:lang w:val="pl-PL"/>
        </w:rPr>
        <w:t>S</w:t>
      </w:r>
      <w:r w:rsidRPr="0085159D">
        <w:rPr>
          <w:lang w:val="pl-PL"/>
        </w:rPr>
        <w:t xml:space="preserve">trategia </w:t>
      </w:r>
      <w:r w:rsidR="002D69D1">
        <w:rPr>
          <w:lang w:val="pl-PL"/>
        </w:rPr>
        <w:t xml:space="preserve">będzie </w:t>
      </w:r>
      <w:r w:rsidRPr="0085159D">
        <w:rPr>
          <w:lang w:val="pl-PL"/>
        </w:rPr>
        <w:t xml:space="preserve">oceniona pod kątem realizacji jej celów. </w:t>
      </w:r>
      <w:r w:rsidR="002D69D1">
        <w:rPr>
          <w:lang w:val="pl-PL"/>
        </w:rPr>
        <w:t>P</w:t>
      </w:r>
      <w:r w:rsidRPr="0085159D">
        <w:rPr>
          <w:lang w:val="pl-PL"/>
        </w:rPr>
        <w:t>om</w:t>
      </w:r>
      <w:r w:rsidR="002D69D1">
        <w:rPr>
          <w:lang w:val="pl-PL"/>
        </w:rPr>
        <w:t>o</w:t>
      </w:r>
      <w:r w:rsidRPr="0085159D">
        <w:rPr>
          <w:lang w:val="pl-PL"/>
        </w:rPr>
        <w:t>g</w:t>
      </w:r>
      <w:r w:rsidR="002D69D1">
        <w:rPr>
          <w:lang w:val="pl-PL"/>
        </w:rPr>
        <w:t>ą</w:t>
      </w:r>
      <w:r w:rsidRPr="0085159D">
        <w:rPr>
          <w:lang w:val="pl-PL"/>
        </w:rPr>
        <w:t xml:space="preserve"> </w:t>
      </w:r>
      <w:r w:rsidR="002D69D1">
        <w:rPr>
          <w:lang w:val="pl-PL"/>
        </w:rPr>
        <w:t xml:space="preserve">śledzić </w:t>
      </w:r>
      <w:r w:rsidRPr="0085159D">
        <w:rPr>
          <w:lang w:val="pl-PL"/>
        </w:rPr>
        <w:t xml:space="preserve">postępy oraz wprowadzać niezbędne korekty w trakcie </w:t>
      </w:r>
      <w:r w:rsidR="002F6CA3" w:rsidRPr="0085159D">
        <w:rPr>
          <w:lang w:val="pl-PL"/>
        </w:rPr>
        <w:t>realizacji</w:t>
      </w:r>
      <w:r w:rsidR="002D69D1">
        <w:rPr>
          <w:lang w:val="pl-PL"/>
        </w:rPr>
        <w:t xml:space="preserve"> KSEF</w:t>
      </w:r>
      <w:r w:rsidRPr="0085159D">
        <w:rPr>
          <w:lang w:val="pl-PL"/>
        </w:rPr>
        <w:t xml:space="preserve">. </w:t>
      </w:r>
      <w:r w:rsidR="00FD66EC" w:rsidRPr="0085159D">
        <w:rPr>
          <w:lang w:val="pl-PL"/>
        </w:rPr>
        <w:t>S</w:t>
      </w:r>
      <w:r w:rsidRPr="0085159D">
        <w:rPr>
          <w:lang w:val="pl-PL"/>
        </w:rPr>
        <w:t>trategia uznaje proces</w:t>
      </w:r>
      <w:r w:rsidR="002F6CA3" w:rsidRPr="0085159D">
        <w:rPr>
          <w:lang w:val="pl-PL"/>
        </w:rPr>
        <w:t>y</w:t>
      </w:r>
      <w:r w:rsidRPr="0085159D">
        <w:rPr>
          <w:lang w:val="pl-PL"/>
        </w:rPr>
        <w:t xml:space="preserve"> </w:t>
      </w:r>
      <w:r w:rsidR="002D69D1">
        <w:rPr>
          <w:lang w:val="pl-PL"/>
        </w:rPr>
        <w:t xml:space="preserve">monitoringu i ewaluacji </w:t>
      </w:r>
      <w:r w:rsidR="002F6CA3" w:rsidRPr="0085159D">
        <w:rPr>
          <w:lang w:val="pl-PL"/>
        </w:rPr>
        <w:t xml:space="preserve">za </w:t>
      </w:r>
      <w:r w:rsidRPr="0085159D">
        <w:rPr>
          <w:lang w:val="pl-PL"/>
        </w:rPr>
        <w:t>integraln</w:t>
      </w:r>
      <w:r w:rsidR="002F6CA3" w:rsidRPr="0085159D">
        <w:rPr>
          <w:lang w:val="pl-PL"/>
        </w:rPr>
        <w:t>ą</w:t>
      </w:r>
      <w:r w:rsidRPr="0085159D">
        <w:rPr>
          <w:lang w:val="pl-PL"/>
        </w:rPr>
        <w:t xml:space="preserve"> częś</w:t>
      </w:r>
      <w:r w:rsidR="002F6CA3" w:rsidRPr="0085159D">
        <w:rPr>
          <w:lang w:val="pl-PL"/>
        </w:rPr>
        <w:t>ć</w:t>
      </w:r>
      <w:r w:rsidRPr="0085159D">
        <w:rPr>
          <w:lang w:val="pl-PL"/>
        </w:rPr>
        <w:t xml:space="preserve"> jej </w:t>
      </w:r>
      <w:r w:rsidR="002F6CA3" w:rsidRPr="0085159D">
        <w:rPr>
          <w:lang w:val="pl-PL"/>
        </w:rPr>
        <w:t>realizacji</w:t>
      </w:r>
      <w:r w:rsidRPr="0085159D">
        <w:rPr>
          <w:lang w:val="pl-PL"/>
        </w:rPr>
        <w:t>.</w:t>
      </w:r>
    </w:p>
    <w:p w14:paraId="5D39B499" w14:textId="77777777" w:rsidR="00E14925" w:rsidRPr="0085159D" w:rsidRDefault="006D0AD8" w:rsidP="000B051F">
      <w:pPr>
        <w:pStyle w:val="Para0"/>
        <w:rPr>
          <w:lang w:val="pl-PL"/>
        </w:rPr>
      </w:pPr>
      <w:r w:rsidRPr="0085159D">
        <w:rPr>
          <w:lang w:val="pl-PL"/>
        </w:rPr>
        <w:t>Monitor</w:t>
      </w:r>
      <w:r w:rsidR="003E30FF" w:rsidRPr="0085159D">
        <w:rPr>
          <w:lang w:val="pl-PL"/>
        </w:rPr>
        <w:t>ing</w:t>
      </w:r>
      <w:r w:rsidRPr="0085159D">
        <w:rPr>
          <w:lang w:val="pl-PL"/>
        </w:rPr>
        <w:t xml:space="preserve"> odnosi się do zestawu działań</w:t>
      </w:r>
      <w:r w:rsidR="002F6CA3" w:rsidRPr="0085159D">
        <w:rPr>
          <w:lang w:val="pl-PL"/>
        </w:rPr>
        <w:t xml:space="preserve"> służących</w:t>
      </w:r>
      <w:r w:rsidRPr="0085159D">
        <w:rPr>
          <w:lang w:val="pl-PL"/>
        </w:rPr>
        <w:t xml:space="preserve"> </w:t>
      </w:r>
      <w:r w:rsidR="002F6CA3" w:rsidRPr="0085159D">
        <w:rPr>
          <w:lang w:val="pl-PL"/>
        </w:rPr>
        <w:t xml:space="preserve">śledzeniu </w:t>
      </w:r>
      <w:r w:rsidRPr="0085159D">
        <w:rPr>
          <w:lang w:val="pl-PL"/>
        </w:rPr>
        <w:t>proces</w:t>
      </w:r>
      <w:r w:rsidR="002F6CA3" w:rsidRPr="0085159D">
        <w:rPr>
          <w:lang w:val="pl-PL"/>
        </w:rPr>
        <w:t>u</w:t>
      </w:r>
      <w:r w:rsidRPr="0085159D">
        <w:rPr>
          <w:lang w:val="pl-PL"/>
        </w:rPr>
        <w:t xml:space="preserve"> </w:t>
      </w:r>
      <w:r w:rsidR="002F6CA3" w:rsidRPr="0085159D">
        <w:rPr>
          <w:lang w:val="pl-PL"/>
        </w:rPr>
        <w:t xml:space="preserve">realizacji </w:t>
      </w:r>
      <w:r w:rsidR="002D69D1">
        <w:rPr>
          <w:lang w:val="pl-PL"/>
        </w:rPr>
        <w:t>S</w:t>
      </w:r>
      <w:r w:rsidRPr="0085159D">
        <w:rPr>
          <w:lang w:val="pl-PL"/>
        </w:rPr>
        <w:t xml:space="preserve">trategii lub programu edukacji finansowej. Dostarcza odpowiedzi na pytania </w:t>
      </w:r>
      <w:r w:rsidR="002F6CA3" w:rsidRPr="0085159D">
        <w:rPr>
          <w:lang w:val="pl-PL"/>
        </w:rPr>
        <w:t>o zasięg lub rezultaty działań</w:t>
      </w:r>
      <w:r w:rsidR="002D69D1">
        <w:rPr>
          <w:lang w:val="pl-PL"/>
        </w:rPr>
        <w:t>.</w:t>
      </w:r>
      <w:r w:rsidR="002F6CA3" w:rsidRPr="0085159D">
        <w:rPr>
          <w:lang w:val="pl-PL"/>
        </w:rPr>
        <w:t xml:space="preserve"> </w:t>
      </w:r>
      <w:r w:rsidR="002D69D1">
        <w:rPr>
          <w:lang w:val="pl-PL"/>
        </w:rPr>
        <w:t>W</w:t>
      </w:r>
      <w:r w:rsidRPr="0085159D">
        <w:rPr>
          <w:lang w:val="pl-PL"/>
        </w:rPr>
        <w:t>skazuje, czy zasoby są wykorzystywane zgodnie z ich przeznaczeniem. Dane z monitoringu są wykorzystywane w</w:t>
      </w:r>
      <w:r w:rsidR="00545FC9">
        <w:rPr>
          <w:lang w:val="pl-PL"/>
        </w:rPr>
        <w:t> </w:t>
      </w:r>
      <w:r w:rsidRPr="0085159D">
        <w:rPr>
          <w:lang w:val="pl-PL"/>
        </w:rPr>
        <w:t xml:space="preserve">całościowym procesie </w:t>
      </w:r>
      <w:r w:rsidR="003E30FF" w:rsidRPr="0085159D">
        <w:rPr>
          <w:lang w:val="pl-PL"/>
        </w:rPr>
        <w:t>ewaluacji</w:t>
      </w:r>
      <w:r w:rsidRPr="0085159D">
        <w:rPr>
          <w:lang w:val="pl-PL"/>
        </w:rPr>
        <w:t>.</w:t>
      </w:r>
    </w:p>
    <w:p w14:paraId="09D228F4" w14:textId="6C2F02B0" w:rsidR="00E14925" w:rsidRPr="0085159D" w:rsidRDefault="003E30FF" w:rsidP="000B051F">
      <w:pPr>
        <w:pStyle w:val="Para0"/>
        <w:rPr>
          <w:lang w:val="pl-PL"/>
        </w:rPr>
      </w:pPr>
      <w:r w:rsidRPr="0085159D">
        <w:rPr>
          <w:lang w:val="pl-PL"/>
        </w:rPr>
        <w:t xml:space="preserve">Ewaluacja </w:t>
      </w:r>
      <w:r w:rsidR="006D0AD8" w:rsidRPr="0085159D">
        <w:rPr>
          <w:lang w:val="pl-PL"/>
        </w:rPr>
        <w:t xml:space="preserve">odnosi się do procesu, który ma na celu sprawdzenie, czy i w jaki sposób </w:t>
      </w:r>
      <w:r w:rsidR="002D69D1">
        <w:rPr>
          <w:lang w:val="pl-PL"/>
        </w:rPr>
        <w:t>S</w:t>
      </w:r>
      <w:r w:rsidR="006D0AD8" w:rsidRPr="0085159D">
        <w:rPr>
          <w:lang w:val="pl-PL"/>
        </w:rPr>
        <w:t xml:space="preserve">trategia lub konkretny program edukacji finansowej </w:t>
      </w:r>
      <w:r w:rsidR="002F6CA3" w:rsidRPr="0085159D">
        <w:rPr>
          <w:lang w:val="pl-PL"/>
        </w:rPr>
        <w:t xml:space="preserve">osiągają </w:t>
      </w:r>
      <w:r w:rsidR="006D0AD8" w:rsidRPr="0085159D">
        <w:rPr>
          <w:lang w:val="pl-PL"/>
        </w:rPr>
        <w:t xml:space="preserve">swoje cele i jaki mają wpływ na </w:t>
      </w:r>
      <w:r w:rsidRPr="0085159D">
        <w:rPr>
          <w:lang w:val="pl-PL"/>
        </w:rPr>
        <w:t xml:space="preserve">odbiorców </w:t>
      </w:r>
      <w:r w:rsidR="006D0AD8" w:rsidRPr="0085159D">
        <w:rPr>
          <w:lang w:val="pl-PL"/>
        </w:rPr>
        <w:t xml:space="preserve">końcowych. Dokładniej rzecz ujmując, </w:t>
      </w:r>
      <w:r w:rsidRPr="0085159D">
        <w:rPr>
          <w:lang w:val="pl-PL"/>
        </w:rPr>
        <w:t xml:space="preserve">ewaluacja </w:t>
      </w:r>
      <w:r w:rsidR="002D69D1">
        <w:rPr>
          <w:lang w:val="pl-PL"/>
        </w:rPr>
        <w:t>S</w:t>
      </w:r>
      <w:r w:rsidR="006D0AD8" w:rsidRPr="0085159D">
        <w:rPr>
          <w:lang w:val="pl-PL"/>
        </w:rPr>
        <w:t xml:space="preserve">trategii weryfikuje, czy prowadzi </w:t>
      </w:r>
      <w:r w:rsidR="002D69D1">
        <w:rPr>
          <w:lang w:val="pl-PL"/>
        </w:rPr>
        <w:t xml:space="preserve">ona </w:t>
      </w:r>
      <w:r w:rsidR="006D0AD8" w:rsidRPr="0085159D">
        <w:rPr>
          <w:lang w:val="pl-PL"/>
        </w:rPr>
        <w:t xml:space="preserve">do zmiany, która w innym przypadku by nie nastąpiła </w:t>
      </w:r>
      <w:sdt>
        <w:sdtPr>
          <w:rPr>
            <w:lang w:val="pl-PL"/>
          </w:rPr>
          <w:id w:val="177864850"/>
          <w:citation/>
        </w:sdtPr>
        <w:sdtEndPr/>
        <w:sdtContent>
          <w:r w:rsidR="006D0AD8" w:rsidRPr="0085159D">
            <w:rPr>
              <w:lang w:val="pl-PL"/>
            </w:rPr>
            <w:fldChar w:fldCharType="begin"/>
          </w:r>
          <w:r w:rsidR="006D0AD8" w:rsidRPr="0085159D">
            <w:rPr>
              <w:lang w:val="pl-PL"/>
            </w:rPr>
            <w:instrText xml:space="preserve"> CITATION Mendeley_jdiJqm_e0zmmLkeLP9O4cA \l 2057 </w:instrText>
          </w:r>
          <w:r w:rsidR="006D0AD8" w:rsidRPr="0085159D">
            <w:rPr>
              <w:lang w:val="pl-PL"/>
            </w:rPr>
            <w:fldChar w:fldCharType="separate"/>
          </w:r>
          <w:r w:rsidR="006D0AD8" w:rsidRPr="0085159D">
            <w:rPr>
              <w:noProof/>
              <w:lang w:val="pl-PL"/>
            </w:rPr>
            <w:t>(</w:t>
          </w:r>
          <w:bookmarkStart w:id="47" w:name="Mendeley_jdiJqm_e0zmmLkeLP9O4cA_29"/>
          <w:r w:rsidR="006D0AD8" w:rsidRPr="0085159D">
            <w:rPr>
              <w:noProof/>
              <w:lang w:val="pl-PL"/>
            </w:rPr>
            <w:t>OECD, 2022</w:t>
          </w:r>
          <w:r w:rsidR="006D0AD8" w:rsidRPr="0085159D">
            <w:rPr>
              <w:noProof/>
              <w:vertAlign w:val="subscript"/>
              <w:lang w:val="pl-PL"/>
            </w:rPr>
            <w:t>[29]</w:t>
          </w:r>
          <w:r w:rsidR="006D0AD8" w:rsidRPr="0085159D">
            <w:rPr>
              <w:noProof/>
              <w:lang w:val="pl-PL"/>
            </w:rPr>
            <w:t>)</w:t>
          </w:r>
          <w:bookmarkEnd w:id="47"/>
          <w:r w:rsidR="006D0AD8" w:rsidRPr="0085159D">
            <w:rPr>
              <w:lang w:val="pl-PL"/>
            </w:rPr>
            <w:fldChar w:fldCharType="end"/>
          </w:r>
        </w:sdtContent>
      </w:sdt>
      <w:r w:rsidR="006D0AD8" w:rsidRPr="0085159D">
        <w:rPr>
          <w:lang w:val="pl-PL"/>
        </w:rPr>
        <w:t>. M</w:t>
      </w:r>
      <w:r w:rsidR="002D69D1">
        <w:rPr>
          <w:lang w:val="pl-PL"/>
        </w:rPr>
        <w:t xml:space="preserve">onitoring </w:t>
      </w:r>
      <w:r w:rsidR="002F6CA3" w:rsidRPr="0085159D">
        <w:rPr>
          <w:lang w:val="pl-PL"/>
        </w:rPr>
        <w:t>i</w:t>
      </w:r>
      <w:r w:rsidR="002D69D1">
        <w:rPr>
          <w:lang w:val="pl-PL"/>
        </w:rPr>
        <w:t xml:space="preserve"> ewaluacja</w:t>
      </w:r>
      <w:r w:rsidR="006D0AD8" w:rsidRPr="0085159D">
        <w:rPr>
          <w:lang w:val="pl-PL"/>
        </w:rPr>
        <w:t xml:space="preserve"> konkretnych programów edukacji finansowej mo</w:t>
      </w:r>
      <w:r w:rsidR="00532488">
        <w:rPr>
          <w:lang w:val="pl-PL"/>
        </w:rPr>
        <w:t>gą</w:t>
      </w:r>
      <w:r w:rsidR="006D0AD8" w:rsidRPr="0085159D">
        <w:rPr>
          <w:lang w:val="pl-PL"/>
        </w:rPr>
        <w:t xml:space="preserve"> być częścią </w:t>
      </w:r>
      <w:r w:rsidR="002D69D1">
        <w:rPr>
          <w:lang w:val="pl-PL"/>
        </w:rPr>
        <w:t xml:space="preserve">monitoringu </w:t>
      </w:r>
      <w:r w:rsidR="002F6CA3" w:rsidRPr="0085159D">
        <w:rPr>
          <w:lang w:val="pl-PL"/>
        </w:rPr>
        <w:t>i</w:t>
      </w:r>
      <w:r w:rsidR="002D69D1">
        <w:rPr>
          <w:lang w:val="pl-PL"/>
        </w:rPr>
        <w:t xml:space="preserve"> ewaluacji KSEF</w:t>
      </w:r>
      <w:r w:rsidR="006D0AD8" w:rsidRPr="0085159D">
        <w:rPr>
          <w:lang w:val="pl-PL"/>
        </w:rPr>
        <w:t>.</w:t>
      </w:r>
    </w:p>
    <w:p w14:paraId="5E79C42C" w14:textId="77777777" w:rsidR="00E14925" w:rsidRPr="0085159D" w:rsidRDefault="006D0AD8" w:rsidP="000B051F">
      <w:pPr>
        <w:pStyle w:val="Nagwek3"/>
        <w:rPr>
          <w:lang w:val="pl-PL"/>
        </w:rPr>
      </w:pPr>
      <w:r w:rsidRPr="0085159D">
        <w:rPr>
          <w:bCs/>
          <w:iCs/>
          <w:lang w:val="pl-PL"/>
        </w:rPr>
        <w:t>Monitor</w:t>
      </w:r>
      <w:r w:rsidR="003E30FF" w:rsidRPr="0085159D">
        <w:rPr>
          <w:bCs/>
          <w:iCs/>
          <w:lang w:val="pl-PL"/>
        </w:rPr>
        <w:t>ing</w:t>
      </w:r>
      <w:r w:rsidRPr="0085159D">
        <w:rPr>
          <w:bCs/>
          <w:iCs/>
          <w:lang w:val="pl-PL"/>
        </w:rPr>
        <w:t xml:space="preserve"> i </w:t>
      </w:r>
      <w:r w:rsidR="003E30FF" w:rsidRPr="0085159D">
        <w:rPr>
          <w:bCs/>
          <w:iCs/>
          <w:lang w:val="pl-PL"/>
        </w:rPr>
        <w:t xml:space="preserve">ewaluacja </w:t>
      </w:r>
      <w:r w:rsidRPr="0085159D">
        <w:rPr>
          <w:bCs/>
          <w:iCs/>
          <w:lang w:val="pl-PL"/>
        </w:rPr>
        <w:t>programów edukacji finansowej</w:t>
      </w:r>
    </w:p>
    <w:p w14:paraId="0067BA48" w14:textId="77777777" w:rsidR="00E14925" w:rsidRPr="0085159D" w:rsidRDefault="006D0AD8" w:rsidP="000B051F">
      <w:pPr>
        <w:pStyle w:val="Para0"/>
        <w:rPr>
          <w:lang w:val="pl-PL"/>
        </w:rPr>
      </w:pPr>
      <w:r w:rsidRPr="0085159D">
        <w:rPr>
          <w:lang w:val="pl-PL"/>
        </w:rPr>
        <w:t>Monitor</w:t>
      </w:r>
      <w:r w:rsidR="003E30FF" w:rsidRPr="0085159D">
        <w:rPr>
          <w:lang w:val="pl-PL"/>
        </w:rPr>
        <w:t xml:space="preserve">ing </w:t>
      </w:r>
      <w:r w:rsidRPr="0085159D">
        <w:rPr>
          <w:lang w:val="pl-PL"/>
        </w:rPr>
        <w:t xml:space="preserve">i </w:t>
      </w:r>
      <w:r w:rsidR="003E30FF" w:rsidRPr="0085159D">
        <w:rPr>
          <w:lang w:val="pl-PL"/>
        </w:rPr>
        <w:t xml:space="preserve">ewaluacja </w:t>
      </w:r>
      <w:r w:rsidRPr="0085159D">
        <w:rPr>
          <w:lang w:val="pl-PL"/>
        </w:rPr>
        <w:t xml:space="preserve">programów edukacji finansowej są ważne dla zrozumienia, które inicjatywy stanowią wsparcie dla konsumentów oraz </w:t>
      </w:r>
      <w:r w:rsidR="00605F48">
        <w:rPr>
          <w:lang w:val="pl-PL"/>
        </w:rPr>
        <w:t xml:space="preserve">jakie </w:t>
      </w:r>
      <w:r w:rsidRPr="0085159D">
        <w:rPr>
          <w:lang w:val="pl-PL"/>
        </w:rPr>
        <w:t>metod</w:t>
      </w:r>
      <w:r w:rsidR="003E30FF" w:rsidRPr="0085159D">
        <w:rPr>
          <w:lang w:val="pl-PL"/>
        </w:rPr>
        <w:t>y</w:t>
      </w:r>
      <w:r w:rsidRPr="0085159D">
        <w:rPr>
          <w:lang w:val="pl-PL"/>
        </w:rPr>
        <w:t xml:space="preserve"> ich realizacji są skuteczne w promowaniu zmian w nawykach finansowych. W związku z tym oczekuje się, że programy realizowane w ramach KSEF będą zawierały element monitorowania ich realizacji i oceny skuteczności, w miarę możliwości </w:t>
      </w:r>
      <w:r w:rsidR="00AE2ABB">
        <w:rPr>
          <w:lang w:val="pl-PL"/>
        </w:rPr>
        <w:t>i z </w:t>
      </w:r>
      <w:r w:rsidR="002F6CA3" w:rsidRPr="0085159D">
        <w:rPr>
          <w:lang w:val="pl-PL"/>
        </w:rPr>
        <w:t xml:space="preserve">wykorzystaniem </w:t>
      </w:r>
      <w:r w:rsidRPr="0085159D">
        <w:rPr>
          <w:lang w:val="pl-PL"/>
        </w:rPr>
        <w:t>dostępn</w:t>
      </w:r>
      <w:r w:rsidR="002F6CA3" w:rsidRPr="0085159D">
        <w:rPr>
          <w:lang w:val="pl-PL"/>
        </w:rPr>
        <w:t>ych</w:t>
      </w:r>
      <w:r w:rsidRPr="0085159D">
        <w:rPr>
          <w:lang w:val="pl-PL"/>
        </w:rPr>
        <w:t xml:space="preserve"> zasob</w:t>
      </w:r>
      <w:r w:rsidR="002F6CA3" w:rsidRPr="0085159D">
        <w:rPr>
          <w:lang w:val="pl-PL"/>
        </w:rPr>
        <w:t>ów</w:t>
      </w:r>
      <w:r w:rsidRPr="0085159D">
        <w:rPr>
          <w:lang w:val="pl-PL"/>
        </w:rPr>
        <w:t xml:space="preserve">. Zaleca się, aby programy, które zostaną opracowane </w:t>
      </w:r>
      <w:r w:rsidR="00582A21" w:rsidRPr="0085159D">
        <w:rPr>
          <w:lang w:val="pl-PL"/>
        </w:rPr>
        <w:t xml:space="preserve">w ramach wdrażania </w:t>
      </w:r>
      <w:r w:rsidRPr="0085159D">
        <w:rPr>
          <w:lang w:val="pl-PL"/>
        </w:rPr>
        <w:t>KSEF, miały wbudowany komponent monitor</w:t>
      </w:r>
      <w:r w:rsidR="003E30FF" w:rsidRPr="0085159D">
        <w:rPr>
          <w:lang w:val="pl-PL"/>
        </w:rPr>
        <w:t>ingu</w:t>
      </w:r>
      <w:r w:rsidRPr="0085159D">
        <w:rPr>
          <w:lang w:val="pl-PL"/>
        </w:rPr>
        <w:t xml:space="preserve"> i </w:t>
      </w:r>
      <w:r w:rsidR="003E30FF" w:rsidRPr="0085159D">
        <w:rPr>
          <w:lang w:val="pl-PL"/>
        </w:rPr>
        <w:t>ewaluacji</w:t>
      </w:r>
      <w:r w:rsidRPr="0085159D">
        <w:rPr>
          <w:lang w:val="pl-PL"/>
        </w:rPr>
        <w:t>.</w:t>
      </w:r>
    </w:p>
    <w:p w14:paraId="26621E05" w14:textId="53DC7C29" w:rsidR="00E14925" w:rsidRPr="0085159D" w:rsidRDefault="006D0AD8">
      <w:pPr>
        <w:pStyle w:val="Para0"/>
        <w:rPr>
          <w:lang w:val="pl-PL"/>
        </w:rPr>
      </w:pPr>
      <w:r w:rsidRPr="0085159D">
        <w:rPr>
          <w:lang w:val="pl-PL"/>
        </w:rPr>
        <w:t xml:space="preserve">W </w:t>
      </w:r>
      <w:r w:rsidR="002F6CA3" w:rsidRPr="0085159D">
        <w:rPr>
          <w:lang w:val="pl-PL"/>
        </w:rPr>
        <w:t xml:space="preserve">celu </w:t>
      </w:r>
      <w:r w:rsidRPr="0085159D">
        <w:rPr>
          <w:lang w:val="pl-PL"/>
        </w:rPr>
        <w:t xml:space="preserve">wspierania interesariuszy edukacji finansowej w monitorowaniu i </w:t>
      </w:r>
      <w:r w:rsidR="003E30FF" w:rsidRPr="0085159D">
        <w:rPr>
          <w:lang w:val="pl-PL"/>
        </w:rPr>
        <w:t xml:space="preserve">ewaluowaniu </w:t>
      </w:r>
      <w:r w:rsidRPr="0085159D">
        <w:rPr>
          <w:lang w:val="pl-PL"/>
        </w:rPr>
        <w:t>ich programów w</w:t>
      </w:r>
      <w:r w:rsidR="00545FC9">
        <w:rPr>
          <w:lang w:val="pl-PL"/>
        </w:rPr>
        <w:t> </w:t>
      </w:r>
      <w:r w:rsidRPr="0085159D">
        <w:rPr>
          <w:lang w:val="pl-PL"/>
        </w:rPr>
        <w:t>spójny i porównywalny sposób K</w:t>
      </w:r>
      <w:r w:rsidR="001E5B9C">
        <w:rPr>
          <w:lang w:val="pl-PL"/>
        </w:rPr>
        <w:t>W</w:t>
      </w:r>
      <w:r w:rsidR="001E5B9C" w:rsidRPr="0085159D">
        <w:rPr>
          <w:lang w:val="pl-PL"/>
        </w:rPr>
        <w:t xml:space="preserve"> </w:t>
      </w:r>
      <w:r w:rsidRPr="0085159D">
        <w:rPr>
          <w:lang w:val="pl-PL"/>
        </w:rPr>
        <w:t>opracuje szczegółowe wytyczne dotyczące monitor</w:t>
      </w:r>
      <w:r w:rsidR="00D860F3">
        <w:rPr>
          <w:lang w:val="pl-PL"/>
        </w:rPr>
        <w:t>ingu</w:t>
      </w:r>
      <w:r w:rsidRPr="0085159D">
        <w:rPr>
          <w:lang w:val="pl-PL"/>
        </w:rPr>
        <w:t xml:space="preserve"> i</w:t>
      </w:r>
      <w:r w:rsidR="00CB1EF0">
        <w:rPr>
          <w:lang w:val="pl-PL"/>
        </w:rPr>
        <w:t> </w:t>
      </w:r>
      <w:r w:rsidR="003E30FF" w:rsidRPr="0085159D">
        <w:rPr>
          <w:lang w:val="pl-PL"/>
        </w:rPr>
        <w:t>ew</w:t>
      </w:r>
      <w:r w:rsidR="00640254" w:rsidRPr="0085159D">
        <w:rPr>
          <w:lang w:val="pl-PL"/>
        </w:rPr>
        <w:t>a</w:t>
      </w:r>
      <w:r w:rsidR="003E30FF" w:rsidRPr="0085159D">
        <w:rPr>
          <w:lang w:val="pl-PL"/>
        </w:rPr>
        <w:t xml:space="preserve">luacji </w:t>
      </w:r>
      <w:r w:rsidRPr="0085159D">
        <w:rPr>
          <w:lang w:val="pl-PL"/>
        </w:rPr>
        <w:t xml:space="preserve">programów edukacji finansowej. Interesariusze </w:t>
      </w:r>
      <w:r w:rsidR="00605F48">
        <w:rPr>
          <w:lang w:val="pl-PL"/>
        </w:rPr>
        <w:t xml:space="preserve">realizujący </w:t>
      </w:r>
      <w:r w:rsidRPr="0085159D">
        <w:rPr>
          <w:lang w:val="pl-PL"/>
        </w:rPr>
        <w:t xml:space="preserve">w ramach KSEF programy edukacji finansowej będą zachęcani do przestrzegania tych wytycznych w miarę swoich możliwości i do zgłaszania wyników </w:t>
      </w:r>
      <w:r w:rsidR="003E30FF" w:rsidRPr="0085159D">
        <w:rPr>
          <w:lang w:val="pl-PL"/>
        </w:rPr>
        <w:t xml:space="preserve">ewaluacji </w:t>
      </w:r>
      <w:r w:rsidRPr="0085159D">
        <w:rPr>
          <w:lang w:val="pl-PL"/>
        </w:rPr>
        <w:t>K</w:t>
      </w:r>
      <w:r w:rsidR="001E5B9C">
        <w:rPr>
          <w:lang w:val="pl-PL"/>
        </w:rPr>
        <w:t>W</w:t>
      </w:r>
      <w:r w:rsidR="001E5B9C" w:rsidRPr="0085159D">
        <w:rPr>
          <w:lang w:val="pl-PL"/>
        </w:rPr>
        <w:t xml:space="preserve"> </w:t>
      </w:r>
      <w:r w:rsidRPr="0085159D">
        <w:rPr>
          <w:lang w:val="pl-PL"/>
        </w:rPr>
        <w:t xml:space="preserve">(zob. punkt </w:t>
      </w:r>
      <w:r w:rsidR="00605F48">
        <w:rPr>
          <w:lang w:val="pl-PL"/>
        </w:rPr>
        <w:t xml:space="preserve">2.6 </w:t>
      </w:r>
      <w:r w:rsidRPr="0085159D">
        <w:rPr>
          <w:lang w:val="pl-PL"/>
        </w:rPr>
        <w:t xml:space="preserve">dotyczący </w:t>
      </w:r>
      <w:r w:rsidR="00605F48">
        <w:rPr>
          <w:lang w:val="pl-PL"/>
        </w:rPr>
        <w:t xml:space="preserve">struktury </w:t>
      </w:r>
      <w:r w:rsidRPr="0085159D">
        <w:rPr>
          <w:lang w:val="pl-PL"/>
        </w:rPr>
        <w:t>zarządzania</w:t>
      </w:r>
      <w:r w:rsidR="00605F48">
        <w:rPr>
          <w:lang w:val="pl-PL"/>
        </w:rPr>
        <w:t xml:space="preserve"> KSEF</w:t>
      </w:r>
      <w:r w:rsidRPr="0085159D">
        <w:rPr>
          <w:lang w:val="pl-PL"/>
        </w:rPr>
        <w:t>).</w:t>
      </w:r>
    </w:p>
    <w:p w14:paraId="1D2672B2" w14:textId="77777777" w:rsidR="00E14925" w:rsidRPr="0085159D" w:rsidRDefault="006D0AD8" w:rsidP="000B051F">
      <w:pPr>
        <w:pStyle w:val="Nagwek3"/>
        <w:rPr>
          <w:lang w:val="pl-PL"/>
        </w:rPr>
      </w:pPr>
      <w:r w:rsidRPr="0085159D">
        <w:rPr>
          <w:bCs/>
          <w:iCs/>
          <w:lang w:val="pl-PL"/>
        </w:rPr>
        <w:lastRenderedPageBreak/>
        <w:t xml:space="preserve">Monitorowanie </w:t>
      </w:r>
      <w:r w:rsidR="002F6CA3" w:rsidRPr="0085159D">
        <w:rPr>
          <w:bCs/>
          <w:iCs/>
          <w:lang w:val="pl-PL"/>
        </w:rPr>
        <w:t>KSEF za pomocą planó</w:t>
      </w:r>
      <w:r w:rsidR="00D92EA8" w:rsidRPr="0085159D">
        <w:rPr>
          <w:bCs/>
          <w:iCs/>
          <w:lang w:val="pl-PL"/>
        </w:rPr>
        <w:t>w</w:t>
      </w:r>
      <w:r w:rsidR="002F6CA3" w:rsidRPr="0085159D">
        <w:rPr>
          <w:bCs/>
          <w:iCs/>
          <w:lang w:val="pl-PL"/>
        </w:rPr>
        <w:fldChar w:fldCharType="begin"/>
      </w:r>
      <w:r w:rsidR="002F6CA3" w:rsidRPr="0085159D">
        <w:rPr>
          <w:bCs/>
          <w:iCs/>
          <w:lang w:val="pl-PL"/>
        </w:rPr>
        <w:instrText xml:space="preserve"> LISTNUM </w:instrText>
      </w:r>
      <w:r w:rsidR="002F6CA3" w:rsidRPr="0085159D">
        <w:rPr>
          <w:bCs/>
          <w:iCs/>
          <w:lang w:val="pl-PL"/>
        </w:rPr>
        <w:fldChar w:fldCharType="end">
          <w:numberingChange w:id="48" w:author="Wojciechowska Monika" w:date="2023-11-24T12:38:00Z" w:original=""/>
        </w:fldChar>
      </w:r>
      <w:r w:rsidR="002F6CA3" w:rsidRPr="0085159D">
        <w:rPr>
          <w:bCs/>
          <w:iCs/>
          <w:lang w:val="pl-PL"/>
        </w:rPr>
        <w:t xml:space="preserve"> wdrażania</w:t>
      </w:r>
    </w:p>
    <w:p w14:paraId="670AE676" w14:textId="2986A56E" w:rsidR="006D0AD8" w:rsidRPr="0085159D" w:rsidRDefault="006D0AD8" w:rsidP="000B051F">
      <w:pPr>
        <w:pStyle w:val="Para0"/>
        <w:rPr>
          <w:lang w:val="pl-PL"/>
        </w:rPr>
      </w:pPr>
      <w:r w:rsidRPr="0085159D">
        <w:rPr>
          <w:lang w:val="pl-PL"/>
        </w:rPr>
        <w:t xml:space="preserve">Monitorowanie KSEF odbywać się będzie poprzez </w:t>
      </w:r>
      <w:r w:rsidR="0034757B">
        <w:rPr>
          <w:lang w:val="pl-PL"/>
        </w:rPr>
        <w:t xml:space="preserve">analizę </w:t>
      </w:r>
      <w:r w:rsidR="002F6CA3" w:rsidRPr="0085159D">
        <w:rPr>
          <w:lang w:val="pl-PL"/>
        </w:rPr>
        <w:t xml:space="preserve">wykonania </w:t>
      </w:r>
      <w:r w:rsidRPr="0085159D">
        <w:rPr>
          <w:lang w:val="pl-PL"/>
        </w:rPr>
        <w:t xml:space="preserve">kolejnych </w:t>
      </w:r>
      <w:r w:rsidR="002F6CA3" w:rsidRPr="0085159D">
        <w:rPr>
          <w:lang w:val="pl-PL"/>
        </w:rPr>
        <w:t xml:space="preserve">planów </w:t>
      </w:r>
      <w:r w:rsidRPr="0085159D">
        <w:rPr>
          <w:lang w:val="pl-PL"/>
        </w:rPr>
        <w:t xml:space="preserve">jej </w:t>
      </w:r>
      <w:r w:rsidR="002F6CA3" w:rsidRPr="0085159D">
        <w:rPr>
          <w:lang w:val="pl-PL"/>
        </w:rPr>
        <w:t>wdrażania</w:t>
      </w:r>
      <w:r w:rsidRPr="0085159D">
        <w:rPr>
          <w:lang w:val="pl-PL"/>
        </w:rPr>
        <w:t xml:space="preserve">. </w:t>
      </w:r>
      <w:r w:rsidR="002F6CA3" w:rsidRPr="0085159D">
        <w:rPr>
          <w:lang w:val="pl-PL"/>
        </w:rPr>
        <w:t>Plany wdrażania</w:t>
      </w:r>
      <w:r w:rsidRPr="0085159D">
        <w:rPr>
          <w:lang w:val="pl-PL"/>
        </w:rPr>
        <w:t xml:space="preserve"> </w:t>
      </w:r>
      <w:r w:rsidR="00C70D6A">
        <w:rPr>
          <w:lang w:val="pl-PL"/>
        </w:rPr>
        <w:t xml:space="preserve">będą </w:t>
      </w:r>
      <w:r w:rsidRPr="0085159D">
        <w:rPr>
          <w:lang w:val="pl-PL"/>
        </w:rPr>
        <w:t xml:space="preserve">opracowywane na trzyletnie okresy i </w:t>
      </w:r>
      <w:r w:rsidR="00E538AB">
        <w:rPr>
          <w:lang w:val="pl-PL"/>
        </w:rPr>
        <w:t xml:space="preserve">będą obejmowały </w:t>
      </w:r>
      <w:r w:rsidR="002F6CA3" w:rsidRPr="0085159D">
        <w:rPr>
          <w:lang w:val="pl-PL"/>
        </w:rPr>
        <w:t xml:space="preserve">działania </w:t>
      </w:r>
      <w:r w:rsidRPr="0085159D">
        <w:rPr>
          <w:lang w:val="pl-PL"/>
        </w:rPr>
        <w:t>związan</w:t>
      </w:r>
      <w:r w:rsidR="002F6CA3" w:rsidRPr="0085159D">
        <w:rPr>
          <w:lang w:val="pl-PL"/>
        </w:rPr>
        <w:t>e</w:t>
      </w:r>
      <w:r w:rsidRPr="0085159D">
        <w:rPr>
          <w:lang w:val="pl-PL"/>
        </w:rPr>
        <w:t xml:space="preserve"> </w:t>
      </w:r>
      <w:r w:rsidR="0034757B">
        <w:rPr>
          <w:lang w:val="pl-PL"/>
        </w:rPr>
        <w:t>z</w:t>
      </w:r>
      <w:r w:rsidR="00E538AB">
        <w:rPr>
          <w:lang w:val="pl-PL"/>
        </w:rPr>
        <w:t> </w:t>
      </w:r>
      <w:r w:rsidR="0034757B">
        <w:rPr>
          <w:lang w:val="pl-PL"/>
        </w:rPr>
        <w:t xml:space="preserve">określonymi </w:t>
      </w:r>
      <w:r w:rsidRPr="0085159D">
        <w:rPr>
          <w:lang w:val="pl-PL"/>
        </w:rPr>
        <w:t>każdorazowo kluczowym</w:t>
      </w:r>
      <w:r w:rsidR="007472AD">
        <w:rPr>
          <w:lang w:val="pl-PL"/>
        </w:rPr>
        <w:t>i</w:t>
      </w:r>
      <w:r w:rsidRPr="0085159D">
        <w:rPr>
          <w:lang w:val="pl-PL"/>
        </w:rPr>
        <w:t xml:space="preserve"> priorytet</w:t>
      </w:r>
      <w:r w:rsidR="007472AD">
        <w:rPr>
          <w:lang w:val="pl-PL"/>
        </w:rPr>
        <w:t>ami</w:t>
      </w:r>
      <w:r w:rsidRPr="0085159D">
        <w:rPr>
          <w:lang w:val="pl-PL"/>
        </w:rPr>
        <w:t xml:space="preserve">. Z każdym działaniem, w celu śledzenia postępów jego realizacji, powiązany jest zestaw </w:t>
      </w:r>
      <w:r w:rsidR="008127BF" w:rsidRPr="0085159D">
        <w:rPr>
          <w:lang w:val="pl-PL"/>
        </w:rPr>
        <w:t xml:space="preserve">kluczowych </w:t>
      </w:r>
      <w:r w:rsidRPr="0085159D">
        <w:rPr>
          <w:lang w:val="pl-PL"/>
        </w:rPr>
        <w:t xml:space="preserve">wskaźników </w:t>
      </w:r>
      <w:r w:rsidR="008127BF" w:rsidRPr="0085159D">
        <w:rPr>
          <w:lang w:val="pl-PL"/>
        </w:rPr>
        <w:t xml:space="preserve">efektywności </w:t>
      </w:r>
      <w:r w:rsidRPr="0085159D">
        <w:rPr>
          <w:lang w:val="pl-PL"/>
        </w:rPr>
        <w:t xml:space="preserve">do monitorowania (zob. </w:t>
      </w:r>
      <w:r w:rsidR="002F6CA3" w:rsidRPr="0085159D">
        <w:rPr>
          <w:lang w:val="pl-PL"/>
        </w:rPr>
        <w:t>załącznik </w:t>
      </w:r>
      <w:r w:rsidRPr="0085159D">
        <w:rPr>
          <w:lang w:val="pl-PL"/>
        </w:rPr>
        <w:t>B).</w:t>
      </w:r>
    </w:p>
    <w:p w14:paraId="283827DE" w14:textId="77777777" w:rsidR="00E14925" w:rsidRPr="0085159D" w:rsidRDefault="006D0AD8" w:rsidP="000B051F">
      <w:pPr>
        <w:pStyle w:val="Para0"/>
        <w:rPr>
          <w:lang w:val="pl-PL"/>
        </w:rPr>
      </w:pPr>
      <w:r w:rsidRPr="0085159D">
        <w:rPr>
          <w:lang w:val="pl-PL"/>
        </w:rPr>
        <w:t xml:space="preserve">Każdy </w:t>
      </w:r>
      <w:r w:rsidR="002F6CA3" w:rsidRPr="0085159D">
        <w:rPr>
          <w:lang w:val="pl-PL"/>
        </w:rPr>
        <w:t xml:space="preserve">plan wdrażania </w:t>
      </w:r>
      <w:r w:rsidR="0034757B">
        <w:rPr>
          <w:lang w:val="pl-PL"/>
        </w:rPr>
        <w:t xml:space="preserve">będzie realizowany </w:t>
      </w:r>
      <w:r w:rsidRPr="0085159D">
        <w:rPr>
          <w:lang w:val="pl-PL"/>
        </w:rPr>
        <w:t>w postaci rocznych planów działa</w:t>
      </w:r>
      <w:r w:rsidR="002F6CA3" w:rsidRPr="0085159D">
        <w:rPr>
          <w:lang w:val="pl-PL"/>
        </w:rPr>
        <w:t>nia</w:t>
      </w:r>
      <w:r w:rsidRPr="0085159D">
        <w:rPr>
          <w:lang w:val="pl-PL"/>
        </w:rPr>
        <w:t xml:space="preserve">, jasno określających poszczególne działania oraz powiązane z nimi wskaźniki </w:t>
      </w:r>
      <w:r w:rsidR="008127BF" w:rsidRPr="0085159D">
        <w:rPr>
          <w:lang w:val="pl-PL"/>
        </w:rPr>
        <w:t>efektywności</w:t>
      </w:r>
      <w:r w:rsidRPr="0085159D">
        <w:rPr>
          <w:lang w:val="pl-PL"/>
        </w:rPr>
        <w:t xml:space="preserve">. </w:t>
      </w:r>
      <w:r w:rsidR="002F6CA3" w:rsidRPr="0085159D">
        <w:rPr>
          <w:lang w:val="pl-PL"/>
        </w:rPr>
        <w:t xml:space="preserve">Na podstawie planu wdrażania </w:t>
      </w:r>
      <w:r w:rsidRPr="0085159D">
        <w:rPr>
          <w:lang w:val="pl-PL"/>
        </w:rPr>
        <w:t>K</w:t>
      </w:r>
      <w:r w:rsidR="001E5B9C">
        <w:rPr>
          <w:lang w:val="pl-PL"/>
        </w:rPr>
        <w:t>W</w:t>
      </w:r>
      <w:r w:rsidRPr="0085159D">
        <w:rPr>
          <w:lang w:val="pl-PL"/>
        </w:rPr>
        <w:t xml:space="preserve"> </w:t>
      </w:r>
      <w:r w:rsidR="0034757B">
        <w:rPr>
          <w:lang w:val="pl-PL"/>
        </w:rPr>
        <w:t xml:space="preserve">będzie </w:t>
      </w:r>
      <w:r w:rsidRPr="0085159D">
        <w:rPr>
          <w:lang w:val="pl-PL"/>
        </w:rPr>
        <w:t>opracowywać roczne plany działa</w:t>
      </w:r>
      <w:r w:rsidR="002F6CA3" w:rsidRPr="0085159D">
        <w:rPr>
          <w:lang w:val="pl-PL"/>
        </w:rPr>
        <w:t>nia</w:t>
      </w:r>
      <w:r w:rsidRPr="0085159D">
        <w:rPr>
          <w:lang w:val="pl-PL"/>
        </w:rPr>
        <w:t>.</w:t>
      </w:r>
    </w:p>
    <w:p w14:paraId="0D5E31D0" w14:textId="62870C47" w:rsidR="00E14925" w:rsidRPr="0085159D" w:rsidRDefault="006D0AD8" w:rsidP="000B051F">
      <w:pPr>
        <w:pStyle w:val="Para0"/>
        <w:rPr>
          <w:lang w:val="pl-PL"/>
        </w:rPr>
      </w:pPr>
      <w:r w:rsidRPr="0085159D">
        <w:rPr>
          <w:lang w:val="pl-PL"/>
        </w:rPr>
        <w:t>Realizacja każdego planu działa</w:t>
      </w:r>
      <w:r w:rsidR="002F6CA3" w:rsidRPr="0085159D">
        <w:rPr>
          <w:lang w:val="pl-PL"/>
        </w:rPr>
        <w:t>nia</w:t>
      </w:r>
      <w:r w:rsidR="0034757B">
        <w:rPr>
          <w:lang w:val="pl-PL"/>
        </w:rPr>
        <w:t xml:space="preserve"> będzie</w:t>
      </w:r>
      <w:r w:rsidRPr="0085159D">
        <w:rPr>
          <w:lang w:val="pl-PL"/>
        </w:rPr>
        <w:t xml:space="preserve"> podlega</w:t>
      </w:r>
      <w:r w:rsidR="0034757B">
        <w:rPr>
          <w:lang w:val="pl-PL"/>
        </w:rPr>
        <w:t>ć</w:t>
      </w:r>
      <w:r w:rsidRPr="0085159D">
        <w:rPr>
          <w:lang w:val="pl-PL"/>
        </w:rPr>
        <w:t xml:space="preserve"> monitorowaniu ze strony K</w:t>
      </w:r>
      <w:r w:rsidR="001E5B9C">
        <w:rPr>
          <w:lang w:val="pl-PL"/>
        </w:rPr>
        <w:t>W</w:t>
      </w:r>
      <w:r w:rsidR="001E5B9C" w:rsidRPr="0085159D">
        <w:rPr>
          <w:lang w:val="pl-PL"/>
        </w:rPr>
        <w:t xml:space="preserve"> </w:t>
      </w:r>
      <w:r w:rsidRPr="0085159D">
        <w:rPr>
          <w:lang w:val="pl-PL"/>
        </w:rPr>
        <w:t xml:space="preserve">pod kątem osiągania uzgodnionych kluczowych wskaźników efektywności. Pod koniec każdego roku osiągnięte </w:t>
      </w:r>
      <w:r w:rsidR="002F6CA3" w:rsidRPr="0085159D">
        <w:rPr>
          <w:lang w:val="pl-PL"/>
        </w:rPr>
        <w:t xml:space="preserve">cele </w:t>
      </w:r>
      <w:r w:rsidRPr="0085159D">
        <w:rPr>
          <w:lang w:val="pl-PL"/>
        </w:rPr>
        <w:t xml:space="preserve">lub zakończone </w:t>
      </w:r>
      <w:r w:rsidR="002F6CA3" w:rsidRPr="0085159D">
        <w:rPr>
          <w:lang w:val="pl-PL"/>
        </w:rPr>
        <w:t xml:space="preserve">działania </w:t>
      </w:r>
      <w:r w:rsidRPr="0085159D">
        <w:rPr>
          <w:lang w:val="pl-PL"/>
        </w:rPr>
        <w:t xml:space="preserve">mogą być kontynuowane lub zastąpione nowymi działaniami, stanowiącymi część trzyletniego </w:t>
      </w:r>
      <w:r w:rsidR="002F6CA3" w:rsidRPr="0085159D">
        <w:rPr>
          <w:lang w:val="pl-PL"/>
        </w:rPr>
        <w:t>planu wdrażania</w:t>
      </w:r>
      <w:r w:rsidRPr="0085159D">
        <w:rPr>
          <w:lang w:val="pl-PL"/>
        </w:rPr>
        <w:t xml:space="preserve">. Działania w trakcie realizacji, które nie zostały jeszcze ukończone lub których realizacja zaplanowana została na kilka lat, </w:t>
      </w:r>
      <w:r w:rsidR="00C70D6A">
        <w:rPr>
          <w:lang w:val="pl-PL"/>
        </w:rPr>
        <w:t xml:space="preserve">będą </w:t>
      </w:r>
      <w:r w:rsidRPr="0085159D">
        <w:rPr>
          <w:lang w:val="pl-PL"/>
        </w:rPr>
        <w:t>przeniesione do wykonania w roku kolejnym. K</w:t>
      </w:r>
      <w:r w:rsidR="001E5B9C">
        <w:rPr>
          <w:lang w:val="pl-PL"/>
        </w:rPr>
        <w:t>W</w:t>
      </w:r>
      <w:r w:rsidR="001E5B9C" w:rsidRPr="0085159D">
        <w:rPr>
          <w:lang w:val="pl-PL"/>
        </w:rPr>
        <w:t xml:space="preserve"> </w:t>
      </w:r>
      <w:r w:rsidR="00C70D6A">
        <w:rPr>
          <w:lang w:val="pl-PL"/>
        </w:rPr>
        <w:t xml:space="preserve">będzie </w:t>
      </w:r>
      <w:r w:rsidRPr="0085159D">
        <w:rPr>
          <w:lang w:val="pl-PL"/>
        </w:rPr>
        <w:t>sporządz</w:t>
      </w:r>
      <w:r w:rsidR="00C70D6A">
        <w:rPr>
          <w:lang w:val="pl-PL"/>
        </w:rPr>
        <w:t>ać</w:t>
      </w:r>
      <w:r w:rsidRPr="0085159D">
        <w:rPr>
          <w:lang w:val="pl-PL"/>
        </w:rPr>
        <w:t xml:space="preserve"> również sprawozdani</w:t>
      </w:r>
      <w:r w:rsidR="00C70D6A">
        <w:rPr>
          <w:lang w:val="pl-PL"/>
        </w:rPr>
        <w:t>a</w:t>
      </w:r>
      <w:r w:rsidRPr="0085159D">
        <w:rPr>
          <w:lang w:val="pl-PL"/>
        </w:rPr>
        <w:t xml:space="preserve"> roczne podsumowujące wykonania plan</w:t>
      </w:r>
      <w:r w:rsidR="00C70D6A">
        <w:rPr>
          <w:lang w:val="pl-PL"/>
        </w:rPr>
        <w:t>ów</w:t>
      </w:r>
      <w:r w:rsidRPr="0085159D">
        <w:rPr>
          <w:lang w:val="pl-PL"/>
        </w:rPr>
        <w:t xml:space="preserve"> działa</w:t>
      </w:r>
      <w:r w:rsidR="002F6CA3" w:rsidRPr="0085159D">
        <w:rPr>
          <w:lang w:val="pl-PL"/>
        </w:rPr>
        <w:t>nia</w:t>
      </w:r>
      <w:r w:rsidRPr="0085159D">
        <w:rPr>
          <w:lang w:val="pl-PL"/>
        </w:rPr>
        <w:t>. Sprawozdani</w:t>
      </w:r>
      <w:r w:rsidR="00C70D6A">
        <w:rPr>
          <w:lang w:val="pl-PL"/>
        </w:rPr>
        <w:t>a</w:t>
      </w:r>
      <w:r w:rsidRPr="0085159D">
        <w:rPr>
          <w:lang w:val="pl-PL"/>
        </w:rPr>
        <w:t xml:space="preserve"> t</w:t>
      </w:r>
      <w:r w:rsidR="00C70D6A">
        <w:rPr>
          <w:lang w:val="pl-PL"/>
        </w:rPr>
        <w:t>e</w:t>
      </w:r>
      <w:r w:rsidRPr="0085159D">
        <w:rPr>
          <w:lang w:val="pl-PL"/>
        </w:rPr>
        <w:t xml:space="preserve"> </w:t>
      </w:r>
      <w:r w:rsidR="00C70D6A">
        <w:rPr>
          <w:lang w:val="pl-PL"/>
        </w:rPr>
        <w:t xml:space="preserve">będą </w:t>
      </w:r>
      <w:r w:rsidRPr="0085159D">
        <w:rPr>
          <w:lang w:val="pl-PL"/>
        </w:rPr>
        <w:t>przedstawi</w:t>
      </w:r>
      <w:r w:rsidR="00C70D6A">
        <w:rPr>
          <w:lang w:val="pl-PL"/>
        </w:rPr>
        <w:t>a</w:t>
      </w:r>
      <w:r w:rsidRPr="0085159D">
        <w:rPr>
          <w:lang w:val="pl-PL"/>
        </w:rPr>
        <w:t xml:space="preserve">ne w celach informacyjnych Radzie, wraz z ewentualnymi propozycjami korekt w </w:t>
      </w:r>
      <w:r w:rsidR="002F6CA3" w:rsidRPr="0085159D">
        <w:rPr>
          <w:lang w:val="pl-PL"/>
        </w:rPr>
        <w:t>planie wdrażania</w:t>
      </w:r>
      <w:r w:rsidRPr="0085159D">
        <w:rPr>
          <w:lang w:val="pl-PL"/>
        </w:rPr>
        <w:t>.</w:t>
      </w:r>
    </w:p>
    <w:p w14:paraId="71A9BAF2" w14:textId="77777777" w:rsidR="00E14925" w:rsidRPr="0085159D" w:rsidRDefault="006D0AD8" w:rsidP="000B051F">
      <w:pPr>
        <w:pStyle w:val="Para0"/>
        <w:rPr>
          <w:lang w:val="pl-PL"/>
        </w:rPr>
      </w:pPr>
      <w:r w:rsidRPr="0085159D">
        <w:rPr>
          <w:lang w:val="pl-PL"/>
        </w:rPr>
        <w:t xml:space="preserve">KW kierować będzie procesem </w:t>
      </w:r>
      <w:r w:rsidR="003E30FF" w:rsidRPr="0085159D">
        <w:rPr>
          <w:lang w:val="pl-PL"/>
        </w:rPr>
        <w:t xml:space="preserve">ewaluacji </w:t>
      </w:r>
      <w:r w:rsidR="002F6CA3" w:rsidRPr="0085159D">
        <w:rPr>
          <w:lang w:val="pl-PL"/>
        </w:rPr>
        <w:t>planu wdrażania</w:t>
      </w:r>
      <w:r w:rsidRPr="0085159D">
        <w:rPr>
          <w:lang w:val="pl-PL"/>
        </w:rPr>
        <w:t xml:space="preserve"> pod koniec okresu</w:t>
      </w:r>
      <w:r w:rsidR="00C70D6A">
        <w:rPr>
          <w:lang w:val="pl-PL"/>
        </w:rPr>
        <w:t xml:space="preserve"> jego</w:t>
      </w:r>
      <w:r w:rsidRPr="0085159D">
        <w:rPr>
          <w:lang w:val="pl-PL"/>
        </w:rPr>
        <w:t xml:space="preserve"> wdrożenia (trzech lat). Celem </w:t>
      </w:r>
      <w:r w:rsidR="003E30FF" w:rsidRPr="0085159D">
        <w:rPr>
          <w:lang w:val="pl-PL"/>
        </w:rPr>
        <w:t xml:space="preserve">ewaluacji </w:t>
      </w:r>
      <w:r w:rsidRPr="0085159D">
        <w:rPr>
          <w:lang w:val="pl-PL"/>
        </w:rPr>
        <w:t>jest ustalenie wkładu, jaki z</w:t>
      </w:r>
      <w:r w:rsidR="00AE2ABB">
        <w:rPr>
          <w:lang w:val="pl-PL"/>
        </w:rPr>
        <w:t>realizowane działania wniosły w </w:t>
      </w:r>
      <w:r w:rsidRPr="0085159D">
        <w:rPr>
          <w:lang w:val="pl-PL"/>
        </w:rPr>
        <w:t xml:space="preserve">osiągnięcie kluczowych priorytetów </w:t>
      </w:r>
      <w:r w:rsidR="002F6CA3" w:rsidRPr="0085159D">
        <w:rPr>
          <w:lang w:val="pl-PL"/>
        </w:rPr>
        <w:t>KSEF</w:t>
      </w:r>
      <w:r w:rsidRPr="0085159D">
        <w:rPr>
          <w:lang w:val="pl-PL"/>
        </w:rPr>
        <w:t xml:space="preserve">. </w:t>
      </w:r>
      <w:r w:rsidR="003E30FF" w:rsidRPr="0085159D">
        <w:rPr>
          <w:lang w:val="pl-PL"/>
        </w:rPr>
        <w:t xml:space="preserve">Ewaluacja </w:t>
      </w:r>
      <w:r w:rsidR="002F6CA3" w:rsidRPr="0085159D">
        <w:rPr>
          <w:lang w:val="pl-PL"/>
        </w:rPr>
        <w:t>realizacji planu wdrażania</w:t>
      </w:r>
      <w:r w:rsidRPr="0085159D">
        <w:rPr>
          <w:lang w:val="pl-PL"/>
        </w:rPr>
        <w:t xml:space="preserve"> obejmuje:</w:t>
      </w:r>
    </w:p>
    <w:p w14:paraId="1775D392" w14:textId="77777777" w:rsidR="00E14925" w:rsidRPr="0085159D" w:rsidRDefault="002F6CA3" w:rsidP="000B051F">
      <w:pPr>
        <w:pStyle w:val="BulletedList"/>
        <w:rPr>
          <w:lang w:val="pl-PL"/>
        </w:rPr>
      </w:pPr>
      <w:r w:rsidRPr="0085159D">
        <w:rPr>
          <w:lang w:val="pl-PL"/>
        </w:rPr>
        <w:t xml:space="preserve">Gromadzenie </w:t>
      </w:r>
      <w:r w:rsidR="006D0AD8" w:rsidRPr="0085159D">
        <w:rPr>
          <w:lang w:val="pl-PL"/>
        </w:rPr>
        <w:t xml:space="preserve">i analizowanie danych </w:t>
      </w:r>
      <w:r w:rsidRPr="0085159D">
        <w:rPr>
          <w:lang w:val="pl-PL"/>
        </w:rPr>
        <w:t xml:space="preserve">uzyskanych z badań dotyczących </w:t>
      </w:r>
      <w:r w:rsidR="006D0AD8" w:rsidRPr="0085159D">
        <w:rPr>
          <w:lang w:val="pl-PL"/>
        </w:rPr>
        <w:t>kompetencji finansowych i</w:t>
      </w:r>
      <w:r w:rsidR="00755984">
        <w:rPr>
          <w:lang w:val="pl-PL"/>
        </w:rPr>
        <w:t> </w:t>
      </w:r>
      <w:r w:rsidRPr="0085159D">
        <w:rPr>
          <w:lang w:val="pl-PL"/>
        </w:rPr>
        <w:t>włączenia finansowego</w:t>
      </w:r>
      <w:r w:rsidR="006D0AD8" w:rsidRPr="0085159D">
        <w:rPr>
          <w:lang w:val="pl-PL"/>
        </w:rPr>
        <w:t xml:space="preserve"> (np. </w:t>
      </w:r>
      <w:r w:rsidRPr="0085159D">
        <w:rPr>
          <w:lang w:val="pl-PL"/>
        </w:rPr>
        <w:t>zgodnie z</w:t>
      </w:r>
      <w:r w:rsidRPr="0085159D" w:rsidDel="002F6CA3">
        <w:rPr>
          <w:lang w:val="pl-PL"/>
        </w:rPr>
        <w:t xml:space="preserve"> </w:t>
      </w:r>
      <w:r w:rsidR="003E30FF" w:rsidRPr="0085159D">
        <w:rPr>
          <w:lang w:val="pl-PL"/>
        </w:rPr>
        <w:t>metodyk</w:t>
      </w:r>
      <w:r w:rsidRPr="0085159D">
        <w:rPr>
          <w:lang w:val="pl-PL"/>
        </w:rPr>
        <w:t>ą</w:t>
      </w:r>
      <w:r w:rsidR="003E30FF" w:rsidRPr="0085159D">
        <w:rPr>
          <w:lang w:val="pl-PL"/>
        </w:rPr>
        <w:t xml:space="preserve"> </w:t>
      </w:r>
      <w:r w:rsidR="006D0AD8" w:rsidRPr="0085159D">
        <w:rPr>
          <w:lang w:val="pl-PL"/>
        </w:rPr>
        <w:t xml:space="preserve">OECD/INFE) oraz, w razie konieczności, porównanie tych </w:t>
      </w:r>
      <w:r w:rsidRPr="0085159D">
        <w:rPr>
          <w:lang w:val="pl-PL"/>
        </w:rPr>
        <w:t xml:space="preserve">wyników </w:t>
      </w:r>
      <w:r w:rsidR="006D0AD8" w:rsidRPr="0085159D">
        <w:rPr>
          <w:lang w:val="pl-PL"/>
        </w:rPr>
        <w:t xml:space="preserve">z wynikami poprzednich badań, </w:t>
      </w:r>
      <w:r w:rsidRPr="0085159D">
        <w:rPr>
          <w:lang w:val="pl-PL"/>
        </w:rPr>
        <w:t>w tym skoncentrowanie</w:t>
      </w:r>
      <w:r w:rsidR="006D0AD8" w:rsidRPr="0085159D">
        <w:rPr>
          <w:lang w:val="pl-PL"/>
        </w:rPr>
        <w:t xml:space="preserve"> się na konkretnych</w:t>
      </w:r>
      <w:r w:rsidR="00C70D6A">
        <w:rPr>
          <w:lang w:val="pl-PL"/>
        </w:rPr>
        <w:t xml:space="preserve"> grupach docelowych</w:t>
      </w:r>
      <w:r w:rsidR="006D0AD8" w:rsidRPr="0085159D">
        <w:rPr>
          <w:lang w:val="pl-PL"/>
        </w:rPr>
        <w:t>.</w:t>
      </w:r>
    </w:p>
    <w:p w14:paraId="1E42530B" w14:textId="3FA786CF" w:rsidR="00E14925" w:rsidRPr="0085159D" w:rsidRDefault="006D0AD8" w:rsidP="000B051F">
      <w:pPr>
        <w:pStyle w:val="BulletedList"/>
        <w:rPr>
          <w:lang w:val="pl-PL"/>
        </w:rPr>
      </w:pPr>
      <w:r w:rsidRPr="0085159D">
        <w:rPr>
          <w:lang w:val="pl-PL"/>
        </w:rPr>
        <w:t xml:space="preserve">Monitorowanie wskaźników ilościowych powiązanych z siedmioma kluczowymi priorytetami </w:t>
      </w:r>
      <w:r w:rsidR="00C70D6A">
        <w:rPr>
          <w:lang w:val="pl-PL"/>
        </w:rPr>
        <w:t>Strategii</w:t>
      </w:r>
      <w:r w:rsidRPr="0085159D">
        <w:rPr>
          <w:lang w:val="pl-PL"/>
        </w:rPr>
        <w:t xml:space="preserve"> w celu zrozumienia ewolucji ich wartości w czasie (zob. </w:t>
      </w:r>
      <w:r w:rsidR="002F6CA3" w:rsidRPr="0085159D">
        <w:rPr>
          <w:lang w:val="pl-PL"/>
        </w:rPr>
        <w:t>z</w:t>
      </w:r>
      <w:r w:rsidRPr="0085159D">
        <w:rPr>
          <w:lang w:val="pl-PL"/>
        </w:rPr>
        <w:t xml:space="preserve">ałącznik A, w którym podano listę tych wskaźników). </w:t>
      </w:r>
      <w:r w:rsidR="00B269D6">
        <w:rPr>
          <w:lang w:val="pl-PL"/>
        </w:rPr>
        <w:t xml:space="preserve">Wskaźniki te mogą być wykorzystywane </w:t>
      </w:r>
      <w:r w:rsidR="002F6CA3" w:rsidRPr="0085159D">
        <w:rPr>
          <w:lang w:val="pl-PL"/>
        </w:rPr>
        <w:t>do celów</w:t>
      </w:r>
      <w:r w:rsidR="002F6CA3" w:rsidRPr="0085159D" w:rsidDel="002F6CA3">
        <w:rPr>
          <w:lang w:val="pl-PL"/>
        </w:rPr>
        <w:t xml:space="preserve"> </w:t>
      </w:r>
      <w:r w:rsidRPr="0085159D">
        <w:rPr>
          <w:lang w:val="pl-PL"/>
        </w:rPr>
        <w:t>porównawczych</w:t>
      </w:r>
      <w:r w:rsidR="00C70D6A">
        <w:rPr>
          <w:lang w:val="pl-PL"/>
        </w:rPr>
        <w:t>.</w:t>
      </w:r>
      <w:r w:rsidRPr="0085159D">
        <w:rPr>
          <w:lang w:val="pl-PL"/>
        </w:rPr>
        <w:t xml:space="preserve"> </w:t>
      </w:r>
      <w:r w:rsidR="00C70D6A">
        <w:rPr>
          <w:lang w:val="pl-PL"/>
        </w:rPr>
        <w:t>I</w:t>
      </w:r>
      <w:r w:rsidRPr="0085159D">
        <w:rPr>
          <w:lang w:val="pl-PL"/>
        </w:rPr>
        <w:t xml:space="preserve">ch wartości </w:t>
      </w:r>
      <w:r w:rsidR="00B269D6">
        <w:rPr>
          <w:lang w:val="pl-PL"/>
        </w:rPr>
        <w:t>mogą</w:t>
      </w:r>
      <w:r w:rsidR="00B269D6" w:rsidRPr="0085159D">
        <w:rPr>
          <w:lang w:val="pl-PL"/>
        </w:rPr>
        <w:t xml:space="preserve"> </w:t>
      </w:r>
      <w:r w:rsidR="002F6CA3" w:rsidRPr="0085159D">
        <w:rPr>
          <w:lang w:val="pl-PL"/>
        </w:rPr>
        <w:t xml:space="preserve">jednak </w:t>
      </w:r>
      <w:r w:rsidR="00B269D6">
        <w:rPr>
          <w:lang w:val="pl-PL"/>
        </w:rPr>
        <w:t xml:space="preserve">podlegać </w:t>
      </w:r>
      <w:r w:rsidRPr="0085159D">
        <w:rPr>
          <w:lang w:val="pl-PL"/>
        </w:rPr>
        <w:t>wpływ</w:t>
      </w:r>
      <w:r w:rsidR="00B269D6">
        <w:rPr>
          <w:lang w:val="pl-PL"/>
        </w:rPr>
        <w:t>o</w:t>
      </w:r>
      <w:r w:rsidRPr="0085159D">
        <w:rPr>
          <w:lang w:val="pl-PL"/>
        </w:rPr>
        <w:t xml:space="preserve">m różnorodnych czynników (w tym rozwoju ogólnej sytuacji makroekonomicznej oraz innych polityk) i dlatego nie można używać </w:t>
      </w:r>
      <w:r w:rsidR="00B269D6" w:rsidRPr="0085159D">
        <w:rPr>
          <w:lang w:val="pl-PL"/>
        </w:rPr>
        <w:t xml:space="preserve">wyłącznie </w:t>
      </w:r>
      <w:r w:rsidRPr="0085159D">
        <w:rPr>
          <w:lang w:val="pl-PL"/>
        </w:rPr>
        <w:t xml:space="preserve">ich </w:t>
      </w:r>
      <w:r w:rsidR="00423E27" w:rsidRPr="0085159D">
        <w:rPr>
          <w:lang w:val="pl-PL"/>
        </w:rPr>
        <w:t>do</w:t>
      </w:r>
      <w:r w:rsidRPr="0085159D">
        <w:rPr>
          <w:lang w:val="pl-PL"/>
        </w:rPr>
        <w:t xml:space="preserve"> oceny powodzenia w realizacji KSEF lub </w:t>
      </w:r>
      <w:r w:rsidR="00423E27" w:rsidRPr="0085159D">
        <w:rPr>
          <w:lang w:val="pl-PL"/>
        </w:rPr>
        <w:t>jej planów wdrażania</w:t>
      </w:r>
      <w:r w:rsidRPr="0085159D">
        <w:rPr>
          <w:lang w:val="pl-PL"/>
        </w:rPr>
        <w:t xml:space="preserve">. Ponadto w długich okresach czasu wskaźniki te </w:t>
      </w:r>
      <w:r w:rsidR="00423E27" w:rsidRPr="0085159D">
        <w:rPr>
          <w:lang w:val="pl-PL"/>
        </w:rPr>
        <w:t xml:space="preserve">mogą </w:t>
      </w:r>
      <w:r w:rsidRPr="0085159D">
        <w:rPr>
          <w:lang w:val="pl-PL"/>
        </w:rPr>
        <w:t>podlegać zmianom</w:t>
      </w:r>
      <w:r w:rsidR="009F4FCE">
        <w:rPr>
          <w:lang w:val="pl-PL"/>
        </w:rPr>
        <w:t xml:space="preserve"> (w tym aktualizacji)</w:t>
      </w:r>
      <w:r w:rsidRPr="0085159D">
        <w:rPr>
          <w:lang w:val="pl-PL"/>
        </w:rPr>
        <w:t>.</w:t>
      </w:r>
    </w:p>
    <w:p w14:paraId="7178A004" w14:textId="62182B51" w:rsidR="006D0AD8" w:rsidRPr="0085159D" w:rsidRDefault="00C70D6A" w:rsidP="000B051F">
      <w:pPr>
        <w:pStyle w:val="BulletedList"/>
        <w:rPr>
          <w:lang w:val="pl-PL"/>
        </w:rPr>
      </w:pPr>
      <w:r>
        <w:rPr>
          <w:lang w:val="pl-PL"/>
        </w:rPr>
        <w:t xml:space="preserve">Analizę </w:t>
      </w:r>
      <w:r w:rsidR="006D0AD8" w:rsidRPr="0085159D">
        <w:rPr>
          <w:lang w:val="pl-PL"/>
        </w:rPr>
        <w:t xml:space="preserve">wyników wszelkich badań ilościowych i jakościowych prowadzonych w okresie ostatnich trzech lat (takich jak </w:t>
      </w:r>
      <w:r w:rsidR="003E30FF" w:rsidRPr="0085159D">
        <w:rPr>
          <w:lang w:val="pl-PL"/>
        </w:rPr>
        <w:t xml:space="preserve">ewaluacje </w:t>
      </w:r>
      <w:r w:rsidR="006D0AD8" w:rsidRPr="0085159D">
        <w:rPr>
          <w:lang w:val="pl-PL"/>
        </w:rPr>
        <w:t xml:space="preserve">programów) w celu zrozumienia, czy </w:t>
      </w:r>
      <w:r w:rsidR="00B269D6">
        <w:rPr>
          <w:lang w:val="pl-PL"/>
        </w:rPr>
        <w:t xml:space="preserve">w sposób </w:t>
      </w:r>
      <w:r w:rsidR="00423E27" w:rsidRPr="0085159D">
        <w:rPr>
          <w:lang w:val="pl-PL"/>
        </w:rPr>
        <w:t>właściw</w:t>
      </w:r>
      <w:r w:rsidR="00B269D6">
        <w:rPr>
          <w:lang w:val="pl-PL"/>
        </w:rPr>
        <w:t>y</w:t>
      </w:r>
      <w:r w:rsidR="00423E27" w:rsidRPr="0085159D">
        <w:rPr>
          <w:lang w:val="pl-PL"/>
        </w:rPr>
        <w:t xml:space="preserve"> uwzględniono potrzeby</w:t>
      </w:r>
      <w:r w:rsidR="006D0AD8" w:rsidRPr="0085159D">
        <w:rPr>
          <w:lang w:val="pl-PL"/>
        </w:rPr>
        <w:t xml:space="preserve"> grup docelowych o statusie priorytetowym </w:t>
      </w:r>
      <w:r w:rsidR="00423E27" w:rsidRPr="0085159D">
        <w:rPr>
          <w:lang w:val="pl-PL"/>
        </w:rPr>
        <w:t xml:space="preserve">przewidzianych </w:t>
      </w:r>
      <w:r w:rsidR="006D0AD8" w:rsidRPr="0085159D">
        <w:rPr>
          <w:lang w:val="pl-PL"/>
        </w:rPr>
        <w:t xml:space="preserve">w </w:t>
      </w:r>
      <w:r w:rsidR="00423E27" w:rsidRPr="0085159D">
        <w:rPr>
          <w:lang w:val="pl-PL"/>
        </w:rPr>
        <w:t>planie wdrażania</w:t>
      </w:r>
      <w:r w:rsidR="006D0AD8" w:rsidRPr="0085159D">
        <w:rPr>
          <w:lang w:val="pl-PL"/>
        </w:rPr>
        <w:t>.</w:t>
      </w:r>
    </w:p>
    <w:p w14:paraId="3B9F9D2F" w14:textId="77777777" w:rsidR="00E14925" w:rsidRPr="0085159D" w:rsidRDefault="00423E27" w:rsidP="000B051F">
      <w:pPr>
        <w:pStyle w:val="BulletedList"/>
        <w:rPr>
          <w:lang w:val="pl-PL"/>
        </w:rPr>
      </w:pPr>
      <w:r w:rsidRPr="0085159D">
        <w:rPr>
          <w:lang w:val="pl-PL"/>
        </w:rPr>
        <w:t xml:space="preserve">Przeprowadzenie dyskusji </w:t>
      </w:r>
      <w:r w:rsidR="006D0AD8" w:rsidRPr="0085159D">
        <w:rPr>
          <w:lang w:val="pl-PL"/>
        </w:rPr>
        <w:t>w ramach K</w:t>
      </w:r>
      <w:r w:rsidR="001E5B9C">
        <w:rPr>
          <w:lang w:val="pl-PL"/>
        </w:rPr>
        <w:t>W</w:t>
      </w:r>
      <w:r w:rsidR="001E5B9C" w:rsidRPr="0085159D">
        <w:rPr>
          <w:lang w:val="pl-PL"/>
        </w:rPr>
        <w:t xml:space="preserve"> </w:t>
      </w:r>
      <w:r w:rsidR="006D0AD8" w:rsidRPr="0085159D">
        <w:rPr>
          <w:lang w:val="pl-PL"/>
        </w:rPr>
        <w:t>oraz konsultacj</w:t>
      </w:r>
      <w:r w:rsidRPr="0085159D">
        <w:rPr>
          <w:lang w:val="pl-PL"/>
        </w:rPr>
        <w:t>i</w:t>
      </w:r>
      <w:r w:rsidR="006D0AD8" w:rsidRPr="0085159D">
        <w:rPr>
          <w:lang w:val="pl-PL"/>
        </w:rPr>
        <w:t xml:space="preserve"> z interesariuszami w</w:t>
      </w:r>
      <w:r w:rsidR="00CB1EF0">
        <w:rPr>
          <w:lang w:val="pl-PL"/>
        </w:rPr>
        <w:t> </w:t>
      </w:r>
      <w:r w:rsidR="006D0AD8" w:rsidRPr="0085159D">
        <w:rPr>
          <w:lang w:val="pl-PL"/>
        </w:rPr>
        <w:t xml:space="preserve">celu </w:t>
      </w:r>
      <w:r w:rsidRPr="0085159D">
        <w:rPr>
          <w:lang w:val="pl-PL"/>
        </w:rPr>
        <w:t xml:space="preserve">podsumowania </w:t>
      </w:r>
      <w:r w:rsidR="006D0AD8" w:rsidRPr="0085159D">
        <w:rPr>
          <w:lang w:val="pl-PL"/>
        </w:rPr>
        <w:t xml:space="preserve">wyzwań i szans w realizacji </w:t>
      </w:r>
      <w:r w:rsidRPr="0085159D">
        <w:rPr>
          <w:lang w:val="pl-PL"/>
        </w:rPr>
        <w:t>planu wdrażania</w:t>
      </w:r>
      <w:r w:rsidR="006D0AD8" w:rsidRPr="0085159D">
        <w:rPr>
          <w:lang w:val="pl-PL"/>
        </w:rPr>
        <w:t xml:space="preserve">, </w:t>
      </w:r>
      <w:r w:rsidRPr="0085159D">
        <w:rPr>
          <w:lang w:val="pl-PL"/>
        </w:rPr>
        <w:t xml:space="preserve">omówienia </w:t>
      </w:r>
      <w:r w:rsidR="006D0AD8" w:rsidRPr="0085159D">
        <w:rPr>
          <w:lang w:val="pl-PL"/>
        </w:rPr>
        <w:t xml:space="preserve">rozwiązań, które okazały się w nim skuteczne, oraz rozwiązań, które </w:t>
      </w:r>
      <w:r w:rsidRPr="0085159D">
        <w:rPr>
          <w:lang w:val="pl-PL"/>
        </w:rPr>
        <w:t>można udoskonalić</w:t>
      </w:r>
      <w:r w:rsidR="006D0AD8" w:rsidRPr="0085159D">
        <w:rPr>
          <w:lang w:val="pl-PL"/>
        </w:rPr>
        <w:t>, oraz w jakim zakresie (z</w:t>
      </w:r>
      <w:r w:rsidR="00755984">
        <w:rPr>
          <w:lang w:val="pl-PL"/>
        </w:rPr>
        <w:t> </w:t>
      </w:r>
      <w:r w:rsidR="006D0AD8" w:rsidRPr="0085159D">
        <w:rPr>
          <w:lang w:val="pl-PL"/>
        </w:rPr>
        <w:t xml:space="preserve">jakościowego punktu widzenia) działania </w:t>
      </w:r>
      <w:r w:rsidRPr="0085159D">
        <w:rPr>
          <w:lang w:val="pl-PL"/>
        </w:rPr>
        <w:t xml:space="preserve">przeprowadzone </w:t>
      </w:r>
      <w:r w:rsidR="006D0AD8" w:rsidRPr="0085159D">
        <w:rPr>
          <w:lang w:val="pl-PL"/>
        </w:rPr>
        <w:t xml:space="preserve">w ciągu ostatnich trzech lat </w:t>
      </w:r>
      <w:r w:rsidRPr="0085159D">
        <w:rPr>
          <w:lang w:val="pl-PL"/>
        </w:rPr>
        <w:t xml:space="preserve">przyczyniły się do osiągnięcia </w:t>
      </w:r>
      <w:r w:rsidR="006D0AD8" w:rsidRPr="0085159D">
        <w:rPr>
          <w:lang w:val="pl-PL"/>
        </w:rPr>
        <w:t xml:space="preserve">kluczowych priorytetów </w:t>
      </w:r>
      <w:r w:rsidRPr="0085159D">
        <w:rPr>
          <w:lang w:val="pl-PL"/>
        </w:rPr>
        <w:t>KSEF</w:t>
      </w:r>
      <w:r w:rsidR="006D0AD8" w:rsidRPr="0085159D">
        <w:rPr>
          <w:lang w:val="pl-PL"/>
        </w:rPr>
        <w:t xml:space="preserve"> itp.</w:t>
      </w:r>
    </w:p>
    <w:p w14:paraId="755DE4EB" w14:textId="77777777" w:rsidR="00E14925" w:rsidRPr="0085159D" w:rsidRDefault="00423E27" w:rsidP="000B051F">
      <w:pPr>
        <w:pStyle w:val="Para0"/>
        <w:rPr>
          <w:lang w:val="pl-PL"/>
        </w:rPr>
      </w:pPr>
      <w:r w:rsidRPr="0085159D">
        <w:rPr>
          <w:lang w:val="pl-PL"/>
        </w:rPr>
        <w:t xml:space="preserve">Na podstawie wyżej wymienionych informacji i danych wejściowych </w:t>
      </w:r>
      <w:r w:rsidR="006D0AD8" w:rsidRPr="0085159D">
        <w:rPr>
          <w:lang w:val="pl-PL"/>
        </w:rPr>
        <w:t>oraz konsultacj</w:t>
      </w:r>
      <w:r w:rsidRPr="0085159D">
        <w:rPr>
          <w:lang w:val="pl-PL"/>
        </w:rPr>
        <w:t>i</w:t>
      </w:r>
      <w:r w:rsidR="006D0AD8" w:rsidRPr="0085159D">
        <w:rPr>
          <w:lang w:val="pl-PL"/>
        </w:rPr>
        <w:t xml:space="preserve"> z</w:t>
      </w:r>
      <w:r w:rsidR="006821F3">
        <w:rPr>
          <w:lang w:val="pl-PL"/>
        </w:rPr>
        <w:t xml:space="preserve"> interesariuszami Strategii</w:t>
      </w:r>
      <w:r w:rsidR="00F96C9D">
        <w:rPr>
          <w:lang w:val="pl-PL"/>
        </w:rPr>
        <w:t>,</w:t>
      </w:r>
      <w:r w:rsidR="006D0AD8" w:rsidRPr="0085159D">
        <w:rPr>
          <w:lang w:val="pl-PL"/>
        </w:rPr>
        <w:t xml:space="preserve"> Komitet </w:t>
      </w:r>
      <w:r w:rsidR="001E5B9C">
        <w:rPr>
          <w:lang w:val="pl-PL"/>
        </w:rPr>
        <w:t>Wdrażający</w:t>
      </w:r>
      <w:r w:rsidR="001E5B9C" w:rsidRPr="0085159D">
        <w:rPr>
          <w:lang w:val="pl-PL"/>
        </w:rPr>
        <w:t xml:space="preserve"> </w:t>
      </w:r>
      <w:r w:rsidR="006D0AD8" w:rsidRPr="0085159D">
        <w:rPr>
          <w:lang w:val="pl-PL"/>
        </w:rPr>
        <w:t xml:space="preserve">opracuje projekty kolejnych </w:t>
      </w:r>
      <w:r w:rsidRPr="0085159D">
        <w:rPr>
          <w:lang w:val="pl-PL"/>
        </w:rPr>
        <w:t>planów wdrażania KSEF</w:t>
      </w:r>
      <w:r w:rsidR="006D0AD8" w:rsidRPr="0085159D">
        <w:rPr>
          <w:lang w:val="pl-PL"/>
        </w:rPr>
        <w:t xml:space="preserve">. Ponadto </w:t>
      </w:r>
      <w:r w:rsidRPr="0085159D">
        <w:rPr>
          <w:lang w:val="pl-PL"/>
        </w:rPr>
        <w:t xml:space="preserve">na podstawie wyników </w:t>
      </w:r>
      <w:r w:rsidR="003E30FF" w:rsidRPr="0085159D">
        <w:rPr>
          <w:lang w:val="pl-PL"/>
        </w:rPr>
        <w:t xml:space="preserve">ewaluacji </w:t>
      </w:r>
      <w:r w:rsidRPr="0085159D">
        <w:rPr>
          <w:lang w:val="pl-PL"/>
        </w:rPr>
        <w:t>planu wdrażania</w:t>
      </w:r>
      <w:r w:rsidR="006D0AD8" w:rsidRPr="0085159D">
        <w:rPr>
          <w:lang w:val="pl-PL"/>
        </w:rPr>
        <w:t xml:space="preserve"> konieczne mogą być również korekty</w:t>
      </w:r>
      <w:r w:rsidR="00F96C9D">
        <w:rPr>
          <w:lang w:val="pl-PL"/>
        </w:rPr>
        <w:t xml:space="preserve"> Strategii</w:t>
      </w:r>
      <w:r w:rsidR="006D0AD8" w:rsidRPr="0085159D">
        <w:rPr>
          <w:lang w:val="pl-PL"/>
        </w:rPr>
        <w:t>. K</w:t>
      </w:r>
      <w:r w:rsidR="001E5B9C">
        <w:rPr>
          <w:lang w:val="pl-PL"/>
        </w:rPr>
        <w:t>W</w:t>
      </w:r>
      <w:r w:rsidR="001E5B9C" w:rsidRPr="0085159D">
        <w:rPr>
          <w:lang w:val="pl-PL"/>
        </w:rPr>
        <w:t xml:space="preserve"> </w:t>
      </w:r>
      <w:r w:rsidR="006D0AD8" w:rsidRPr="0085159D">
        <w:rPr>
          <w:lang w:val="pl-PL"/>
        </w:rPr>
        <w:t xml:space="preserve">może przedstawiać propozycje rewizji </w:t>
      </w:r>
      <w:r w:rsidR="00F96C9D">
        <w:rPr>
          <w:lang w:val="pl-PL"/>
        </w:rPr>
        <w:t xml:space="preserve">jej </w:t>
      </w:r>
      <w:r w:rsidR="006D0AD8" w:rsidRPr="0085159D">
        <w:rPr>
          <w:lang w:val="pl-PL"/>
        </w:rPr>
        <w:t xml:space="preserve">kluczowych priorytetów </w:t>
      </w:r>
      <w:r w:rsidRPr="0085159D">
        <w:rPr>
          <w:lang w:val="pl-PL"/>
        </w:rPr>
        <w:t>Radzie</w:t>
      </w:r>
      <w:r w:rsidR="006D0AD8" w:rsidRPr="0085159D">
        <w:rPr>
          <w:lang w:val="pl-PL"/>
        </w:rPr>
        <w:t xml:space="preserve">, </w:t>
      </w:r>
      <w:r w:rsidRPr="0085159D">
        <w:rPr>
          <w:lang w:val="pl-PL"/>
        </w:rPr>
        <w:t>która</w:t>
      </w:r>
      <w:r w:rsidR="006D0AD8" w:rsidRPr="0085159D">
        <w:rPr>
          <w:lang w:val="pl-PL"/>
        </w:rPr>
        <w:t xml:space="preserve"> posiadać będzie uprawnienia do podjęcia decyzji odnośnie </w:t>
      </w:r>
      <w:r w:rsidRPr="0085159D">
        <w:rPr>
          <w:lang w:val="pl-PL"/>
        </w:rPr>
        <w:t xml:space="preserve">do </w:t>
      </w:r>
      <w:r w:rsidR="006D0AD8" w:rsidRPr="0085159D">
        <w:rPr>
          <w:lang w:val="pl-PL"/>
        </w:rPr>
        <w:t>takich zmian.</w:t>
      </w:r>
    </w:p>
    <w:p w14:paraId="2E240B33" w14:textId="77777777" w:rsidR="00E14925" w:rsidRPr="0085159D" w:rsidRDefault="003E30FF" w:rsidP="000B051F">
      <w:pPr>
        <w:pStyle w:val="Nagwek3"/>
        <w:rPr>
          <w:lang w:val="pl-PL"/>
        </w:rPr>
      </w:pPr>
      <w:r w:rsidRPr="0085159D">
        <w:rPr>
          <w:bCs/>
          <w:iCs/>
          <w:lang w:val="pl-PL"/>
        </w:rPr>
        <w:lastRenderedPageBreak/>
        <w:t xml:space="preserve">Ewaluacja </w:t>
      </w:r>
      <w:r w:rsidR="00FD66EC" w:rsidRPr="0085159D">
        <w:rPr>
          <w:bCs/>
          <w:iCs/>
          <w:lang w:val="pl-PL"/>
        </w:rPr>
        <w:t>KSEF</w:t>
      </w:r>
    </w:p>
    <w:p w14:paraId="37CE78DF" w14:textId="7A7B6F3E" w:rsidR="00E14925" w:rsidRPr="0085159D" w:rsidRDefault="006D0AD8" w:rsidP="000B051F">
      <w:pPr>
        <w:pStyle w:val="Para0"/>
        <w:rPr>
          <w:lang w:val="pl-PL"/>
        </w:rPr>
      </w:pPr>
      <w:r w:rsidRPr="0085159D">
        <w:rPr>
          <w:lang w:val="pl-PL"/>
        </w:rPr>
        <w:t xml:space="preserve">Zgodnie z </w:t>
      </w:r>
      <w:r w:rsidR="00423E27" w:rsidRPr="0085159D">
        <w:rPr>
          <w:lang w:val="pl-PL"/>
        </w:rPr>
        <w:t xml:space="preserve">powyższym </w:t>
      </w:r>
      <w:r w:rsidRPr="0085159D">
        <w:rPr>
          <w:lang w:val="pl-PL"/>
        </w:rPr>
        <w:t xml:space="preserve">opisem, monitorowanie </w:t>
      </w:r>
      <w:r w:rsidR="00423E27" w:rsidRPr="0085159D">
        <w:rPr>
          <w:lang w:val="pl-PL"/>
        </w:rPr>
        <w:t xml:space="preserve">realizacji </w:t>
      </w:r>
      <w:r w:rsidR="009139C8">
        <w:rPr>
          <w:lang w:val="pl-PL"/>
        </w:rPr>
        <w:t>S</w:t>
      </w:r>
      <w:r w:rsidRPr="0085159D">
        <w:rPr>
          <w:lang w:val="pl-PL"/>
        </w:rPr>
        <w:t xml:space="preserve">trategii odbywać się będzie poprzez monitorowanie </w:t>
      </w:r>
      <w:r w:rsidR="00423E27" w:rsidRPr="0085159D">
        <w:rPr>
          <w:lang w:val="pl-PL"/>
        </w:rPr>
        <w:t xml:space="preserve">planów </w:t>
      </w:r>
      <w:r w:rsidRPr="0085159D">
        <w:rPr>
          <w:lang w:val="pl-PL"/>
        </w:rPr>
        <w:t xml:space="preserve">jej </w:t>
      </w:r>
      <w:r w:rsidR="00423E27" w:rsidRPr="0085159D">
        <w:rPr>
          <w:lang w:val="pl-PL"/>
        </w:rPr>
        <w:t>wdrażania</w:t>
      </w:r>
      <w:r w:rsidRPr="0085159D">
        <w:rPr>
          <w:lang w:val="pl-PL"/>
        </w:rPr>
        <w:t xml:space="preserve">. </w:t>
      </w:r>
      <w:r w:rsidR="00532488">
        <w:rPr>
          <w:lang w:val="pl-PL"/>
        </w:rPr>
        <w:t>P</w:t>
      </w:r>
      <w:r w:rsidRPr="0085159D">
        <w:rPr>
          <w:lang w:val="pl-PL"/>
        </w:rPr>
        <w:t xml:space="preserve">o upływie siedmioletniego okresu jej realizacji </w:t>
      </w:r>
      <w:r w:rsidR="003E30FF" w:rsidRPr="0085159D">
        <w:rPr>
          <w:lang w:val="pl-PL"/>
        </w:rPr>
        <w:t xml:space="preserve">ewaluacji </w:t>
      </w:r>
      <w:r w:rsidRPr="0085159D">
        <w:rPr>
          <w:lang w:val="pl-PL"/>
        </w:rPr>
        <w:t xml:space="preserve">podlegać będzie również sama </w:t>
      </w:r>
      <w:r w:rsidR="00B11109">
        <w:rPr>
          <w:lang w:val="pl-PL"/>
        </w:rPr>
        <w:t>S</w:t>
      </w:r>
      <w:r w:rsidRPr="0085159D">
        <w:rPr>
          <w:lang w:val="pl-PL"/>
        </w:rPr>
        <w:t xml:space="preserve">trategia. </w:t>
      </w:r>
      <w:r w:rsidR="00423E27" w:rsidRPr="0085159D">
        <w:rPr>
          <w:lang w:val="pl-PL"/>
        </w:rPr>
        <w:t xml:space="preserve">Podczas ewaluacji </w:t>
      </w:r>
      <w:r w:rsidRPr="0085159D">
        <w:rPr>
          <w:lang w:val="pl-PL"/>
        </w:rPr>
        <w:t xml:space="preserve">KSEF </w:t>
      </w:r>
      <w:r w:rsidR="00423E27" w:rsidRPr="0085159D">
        <w:rPr>
          <w:lang w:val="pl-PL"/>
        </w:rPr>
        <w:t xml:space="preserve">uwzględnione zostaną </w:t>
      </w:r>
      <w:r w:rsidRPr="0085159D">
        <w:rPr>
          <w:lang w:val="pl-PL"/>
        </w:rPr>
        <w:t>wyniki i wnioski z</w:t>
      </w:r>
      <w:r w:rsidR="000620CC">
        <w:rPr>
          <w:lang w:val="pl-PL"/>
        </w:rPr>
        <w:t> </w:t>
      </w:r>
      <w:r w:rsidRPr="0085159D">
        <w:rPr>
          <w:lang w:val="pl-PL"/>
        </w:rPr>
        <w:t xml:space="preserve">monitoringu </w:t>
      </w:r>
      <w:r w:rsidR="00F96C9D">
        <w:rPr>
          <w:lang w:val="pl-PL"/>
        </w:rPr>
        <w:t>oraz</w:t>
      </w:r>
      <w:r w:rsidRPr="0085159D">
        <w:rPr>
          <w:lang w:val="pl-PL"/>
        </w:rPr>
        <w:t xml:space="preserve"> </w:t>
      </w:r>
      <w:r w:rsidR="00423E27" w:rsidRPr="0085159D">
        <w:rPr>
          <w:lang w:val="pl-PL"/>
        </w:rPr>
        <w:t>ewaluacji planów wdrażania</w:t>
      </w:r>
      <w:r w:rsidR="00F96C9D">
        <w:rPr>
          <w:lang w:val="pl-PL"/>
        </w:rPr>
        <w:t>, a także</w:t>
      </w:r>
      <w:r w:rsidR="00423E27" w:rsidRPr="0085159D">
        <w:rPr>
          <w:lang w:val="pl-PL"/>
        </w:rPr>
        <w:t xml:space="preserve"> </w:t>
      </w:r>
      <w:r w:rsidRPr="0085159D">
        <w:rPr>
          <w:lang w:val="pl-PL"/>
        </w:rPr>
        <w:t>zrealizowanych w ich ramach programów</w:t>
      </w:r>
      <w:r w:rsidR="00532488">
        <w:rPr>
          <w:lang w:val="pl-PL"/>
        </w:rPr>
        <w:t>/działań</w:t>
      </w:r>
      <w:r w:rsidRPr="0085159D">
        <w:rPr>
          <w:lang w:val="pl-PL"/>
        </w:rPr>
        <w:t>. Ponadto</w:t>
      </w:r>
      <w:r w:rsidR="00423E27" w:rsidRPr="0085159D">
        <w:rPr>
          <w:lang w:val="pl-PL"/>
        </w:rPr>
        <w:t xml:space="preserve"> ewaluacja KSEF</w:t>
      </w:r>
      <w:r w:rsidRPr="0085159D">
        <w:rPr>
          <w:lang w:val="pl-PL"/>
        </w:rPr>
        <w:t xml:space="preserve"> </w:t>
      </w:r>
      <w:r w:rsidR="00F96C9D">
        <w:rPr>
          <w:lang w:val="pl-PL"/>
        </w:rPr>
        <w:t xml:space="preserve">będzie </w:t>
      </w:r>
      <w:r w:rsidRPr="0085159D">
        <w:rPr>
          <w:lang w:val="pl-PL"/>
        </w:rPr>
        <w:t>obejmować klika kluczowych komponentów</w:t>
      </w:r>
      <w:r w:rsidR="00423E27" w:rsidRPr="0085159D">
        <w:rPr>
          <w:lang w:val="pl-PL"/>
        </w:rPr>
        <w:t>, takich jak</w:t>
      </w:r>
      <w:r w:rsidRPr="0085159D">
        <w:rPr>
          <w:lang w:val="pl-PL"/>
        </w:rPr>
        <w:t>:</w:t>
      </w:r>
    </w:p>
    <w:p w14:paraId="06FFD895" w14:textId="77777777" w:rsidR="00E14925" w:rsidRPr="0085159D" w:rsidRDefault="006D0AD8" w:rsidP="000B051F">
      <w:pPr>
        <w:pStyle w:val="BulletedList"/>
        <w:rPr>
          <w:lang w:val="pl-PL"/>
        </w:rPr>
      </w:pPr>
      <w:r w:rsidRPr="0085159D">
        <w:rPr>
          <w:lang w:val="pl-PL"/>
        </w:rPr>
        <w:t xml:space="preserve">Działania mające na celu ocenę </w:t>
      </w:r>
      <w:r w:rsidR="00423E27" w:rsidRPr="0085159D">
        <w:rPr>
          <w:lang w:val="pl-PL"/>
        </w:rPr>
        <w:t xml:space="preserve">prowadzonej </w:t>
      </w:r>
      <w:r w:rsidRPr="0085159D">
        <w:rPr>
          <w:lang w:val="pl-PL"/>
        </w:rPr>
        <w:t xml:space="preserve">współpracy instytucjonalnej. </w:t>
      </w:r>
      <w:r w:rsidR="003E30FF" w:rsidRPr="0085159D">
        <w:rPr>
          <w:lang w:val="pl-PL"/>
        </w:rPr>
        <w:t>Te</w:t>
      </w:r>
      <w:r w:rsidRPr="0085159D">
        <w:rPr>
          <w:lang w:val="pl-PL"/>
        </w:rPr>
        <w:t xml:space="preserve"> działa</w:t>
      </w:r>
      <w:r w:rsidR="00F96C9D">
        <w:rPr>
          <w:lang w:val="pl-PL"/>
        </w:rPr>
        <w:t>nia</w:t>
      </w:r>
      <w:r w:rsidRPr="0085159D">
        <w:rPr>
          <w:lang w:val="pl-PL"/>
        </w:rPr>
        <w:t xml:space="preserve"> obejmować mo</w:t>
      </w:r>
      <w:r w:rsidR="00F96C9D">
        <w:rPr>
          <w:lang w:val="pl-PL"/>
        </w:rPr>
        <w:t>gą</w:t>
      </w:r>
      <w:r w:rsidRPr="0085159D">
        <w:rPr>
          <w:lang w:val="pl-PL"/>
        </w:rPr>
        <w:t xml:space="preserve"> ocenę: roli oraz funkcjonalności struktury zarządzania (czy jest ona skuteczna, czy spełnia sw</w:t>
      </w:r>
      <w:r w:rsidR="00F96C9D">
        <w:rPr>
          <w:lang w:val="pl-PL"/>
        </w:rPr>
        <w:t>oj</w:t>
      </w:r>
      <w:r w:rsidRPr="0085159D">
        <w:rPr>
          <w:lang w:val="pl-PL"/>
        </w:rPr>
        <w:t>e zadania w praktyce); skutecznoś</w:t>
      </w:r>
      <w:r w:rsidR="003E30FF" w:rsidRPr="0085159D">
        <w:rPr>
          <w:lang w:val="pl-PL"/>
        </w:rPr>
        <w:t>ci</w:t>
      </w:r>
      <w:r w:rsidRPr="0085159D">
        <w:rPr>
          <w:lang w:val="pl-PL"/>
        </w:rPr>
        <w:t xml:space="preserve"> kanałów komunikacji oraz sprawozdawczości z</w:t>
      </w:r>
      <w:r w:rsidR="00423E27" w:rsidRPr="0085159D">
        <w:rPr>
          <w:lang w:val="pl-PL"/>
        </w:rPr>
        <w:t>e strony</w:t>
      </w:r>
      <w:r w:rsidR="00AE2ABB">
        <w:rPr>
          <w:lang w:val="pl-PL"/>
        </w:rPr>
        <w:t xml:space="preserve"> i </w:t>
      </w:r>
      <w:r w:rsidRPr="0085159D">
        <w:rPr>
          <w:lang w:val="pl-PL"/>
        </w:rPr>
        <w:t xml:space="preserve">na rzecz interesariuszy; </w:t>
      </w:r>
      <w:r w:rsidR="00423E27" w:rsidRPr="0085159D">
        <w:rPr>
          <w:lang w:val="pl-PL"/>
        </w:rPr>
        <w:t xml:space="preserve">przewidzianych </w:t>
      </w:r>
      <w:r w:rsidRPr="0085159D">
        <w:rPr>
          <w:lang w:val="pl-PL"/>
        </w:rPr>
        <w:t xml:space="preserve">w </w:t>
      </w:r>
      <w:r w:rsidR="00423E27" w:rsidRPr="0085159D">
        <w:rPr>
          <w:lang w:val="pl-PL"/>
        </w:rPr>
        <w:t>S</w:t>
      </w:r>
      <w:r w:rsidRPr="0085159D">
        <w:rPr>
          <w:lang w:val="pl-PL"/>
        </w:rPr>
        <w:t xml:space="preserve">trategii praktyk dzielenia się wiedzą oraz </w:t>
      </w:r>
      <w:r w:rsidR="003E30FF" w:rsidRPr="0085159D">
        <w:rPr>
          <w:lang w:val="pl-PL"/>
        </w:rPr>
        <w:t>do jakiego stopnia strategia uniknęła powielania działań</w:t>
      </w:r>
      <w:r w:rsidR="00423E27" w:rsidRPr="0085159D">
        <w:rPr>
          <w:lang w:val="pl-PL"/>
        </w:rPr>
        <w:t xml:space="preserve"> w niej określonych</w:t>
      </w:r>
      <w:r w:rsidRPr="0085159D">
        <w:rPr>
          <w:lang w:val="pl-PL"/>
        </w:rPr>
        <w:t>.</w:t>
      </w:r>
    </w:p>
    <w:p w14:paraId="2024903E" w14:textId="77777777" w:rsidR="00E14925" w:rsidRPr="0085159D" w:rsidRDefault="006D0AD8" w:rsidP="000B051F">
      <w:pPr>
        <w:pStyle w:val="BulletedList"/>
        <w:rPr>
          <w:lang w:val="pl-PL"/>
        </w:rPr>
      </w:pPr>
      <w:r w:rsidRPr="0085159D">
        <w:rPr>
          <w:lang w:val="pl-PL"/>
        </w:rPr>
        <w:t xml:space="preserve">Działania mające na celu ocenę, czy programy prowadzone w ramach </w:t>
      </w:r>
      <w:r w:rsidR="00423E27" w:rsidRPr="0085159D">
        <w:rPr>
          <w:lang w:val="pl-PL"/>
        </w:rPr>
        <w:t xml:space="preserve">KSEF przyczyniają się do osiągnięcia </w:t>
      </w:r>
      <w:r w:rsidRPr="0085159D">
        <w:rPr>
          <w:lang w:val="pl-PL"/>
        </w:rPr>
        <w:t xml:space="preserve">jej </w:t>
      </w:r>
      <w:r w:rsidR="00423E27" w:rsidRPr="0085159D">
        <w:rPr>
          <w:lang w:val="pl-PL"/>
        </w:rPr>
        <w:t xml:space="preserve">ogólnych </w:t>
      </w:r>
      <w:r w:rsidRPr="0085159D">
        <w:rPr>
          <w:lang w:val="pl-PL"/>
        </w:rPr>
        <w:t>celów. Ocena taka może</w:t>
      </w:r>
      <w:r w:rsidR="008F0DBD">
        <w:rPr>
          <w:lang w:val="pl-PL"/>
        </w:rPr>
        <w:t xml:space="preserve"> </w:t>
      </w:r>
      <w:r w:rsidR="00423E27" w:rsidRPr="0085159D">
        <w:rPr>
          <w:lang w:val="pl-PL"/>
        </w:rPr>
        <w:t xml:space="preserve">obejmować </w:t>
      </w:r>
      <w:r w:rsidRPr="0085159D">
        <w:rPr>
          <w:lang w:val="pl-PL"/>
        </w:rPr>
        <w:t xml:space="preserve">przegląd </w:t>
      </w:r>
      <w:r w:rsidR="003E30FF" w:rsidRPr="0085159D">
        <w:rPr>
          <w:lang w:val="pl-PL"/>
        </w:rPr>
        <w:t xml:space="preserve">ewaluacji </w:t>
      </w:r>
      <w:r w:rsidRPr="0085159D">
        <w:rPr>
          <w:lang w:val="pl-PL"/>
        </w:rPr>
        <w:t xml:space="preserve">poszczególnych programów </w:t>
      </w:r>
      <w:r w:rsidR="00423E27" w:rsidRPr="0085159D">
        <w:rPr>
          <w:lang w:val="pl-PL"/>
        </w:rPr>
        <w:t xml:space="preserve">realizowanych </w:t>
      </w:r>
      <w:r w:rsidRPr="0085159D">
        <w:rPr>
          <w:lang w:val="pl-PL"/>
        </w:rPr>
        <w:t xml:space="preserve">w ramach </w:t>
      </w:r>
      <w:r w:rsidR="00423E27" w:rsidRPr="0085159D">
        <w:rPr>
          <w:lang w:val="pl-PL"/>
        </w:rPr>
        <w:t>KSEF</w:t>
      </w:r>
      <w:r w:rsidRPr="0085159D">
        <w:rPr>
          <w:lang w:val="pl-PL"/>
        </w:rPr>
        <w:t xml:space="preserve"> oraz osiągniętych przez nie celów w</w:t>
      </w:r>
      <w:r w:rsidR="009139C8">
        <w:rPr>
          <w:lang w:val="pl-PL"/>
        </w:rPr>
        <w:t> </w:t>
      </w:r>
      <w:r w:rsidRPr="0085159D">
        <w:rPr>
          <w:lang w:val="pl-PL"/>
        </w:rPr>
        <w:t>odniesieniu do celów samej</w:t>
      </w:r>
      <w:r w:rsidR="008F0DBD">
        <w:rPr>
          <w:lang w:val="pl-PL"/>
        </w:rPr>
        <w:t xml:space="preserve"> Strategii</w:t>
      </w:r>
      <w:r w:rsidRPr="0085159D">
        <w:rPr>
          <w:lang w:val="pl-PL"/>
        </w:rPr>
        <w:t>.</w:t>
      </w:r>
    </w:p>
    <w:p w14:paraId="35BE5245" w14:textId="77777777" w:rsidR="00E14925" w:rsidRPr="0085159D" w:rsidRDefault="006D0AD8" w:rsidP="000B051F">
      <w:pPr>
        <w:pStyle w:val="BulletedList"/>
        <w:rPr>
          <w:lang w:val="pl-PL"/>
        </w:rPr>
      </w:pPr>
      <w:r w:rsidRPr="0085159D">
        <w:rPr>
          <w:lang w:val="pl-PL"/>
        </w:rPr>
        <w:t xml:space="preserve">Monitorowanie danych oraz ogólnych miar postępów. Dane ilościowe </w:t>
      </w:r>
      <w:r w:rsidR="008F0DBD">
        <w:rPr>
          <w:lang w:val="pl-PL"/>
        </w:rPr>
        <w:t>(</w:t>
      </w:r>
      <w:r w:rsidRPr="0085159D">
        <w:rPr>
          <w:lang w:val="pl-PL"/>
        </w:rPr>
        <w:t>takie jak na temat kompetencji finansowych zebrane w trakcie badań ogólnokrajowy</w:t>
      </w:r>
      <w:r w:rsidR="00423E27" w:rsidRPr="0085159D">
        <w:rPr>
          <w:lang w:val="pl-PL"/>
        </w:rPr>
        <w:t>ch</w:t>
      </w:r>
      <w:r w:rsidR="008F0DBD">
        <w:rPr>
          <w:lang w:val="pl-PL"/>
        </w:rPr>
        <w:t>)</w:t>
      </w:r>
      <w:r w:rsidRPr="0085159D">
        <w:rPr>
          <w:lang w:val="pl-PL"/>
        </w:rPr>
        <w:t xml:space="preserve">, wskaźniki monitorowania (zob. </w:t>
      </w:r>
      <w:r w:rsidR="00423E27" w:rsidRPr="0085159D">
        <w:rPr>
          <w:lang w:val="pl-PL"/>
        </w:rPr>
        <w:t>z</w:t>
      </w:r>
      <w:r w:rsidRPr="0085159D">
        <w:rPr>
          <w:lang w:val="pl-PL"/>
        </w:rPr>
        <w:t xml:space="preserve">ałącznik B, w którym podano listę wskaźników związanych z każdym priorytetem kluczowym), a także badania cykliczne </w:t>
      </w:r>
      <w:r w:rsidR="008F0DBD">
        <w:rPr>
          <w:lang w:val="pl-PL"/>
        </w:rPr>
        <w:t xml:space="preserve">(które </w:t>
      </w:r>
      <w:r w:rsidRPr="0085159D">
        <w:rPr>
          <w:lang w:val="pl-PL"/>
        </w:rPr>
        <w:t>mogą dostarczyć dodatkowych inform</w:t>
      </w:r>
      <w:r w:rsidR="00E078A2" w:rsidRPr="0085159D">
        <w:rPr>
          <w:lang w:val="pl-PL"/>
        </w:rPr>
        <w:t>a</w:t>
      </w:r>
      <w:r w:rsidRPr="0085159D">
        <w:rPr>
          <w:lang w:val="pl-PL"/>
        </w:rPr>
        <w:t>c</w:t>
      </w:r>
      <w:r w:rsidR="00423E27" w:rsidRPr="0085159D">
        <w:rPr>
          <w:lang w:val="pl-PL"/>
        </w:rPr>
        <w:t>ji</w:t>
      </w:r>
      <w:r w:rsidRPr="0085159D">
        <w:rPr>
          <w:lang w:val="pl-PL"/>
        </w:rPr>
        <w:t xml:space="preserve"> o ogólnych postępach</w:t>
      </w:r>
      <w:r w:rsidR="008F0DBD">
        <w:rPr>
          <w:lang w:val="pl-PL"/>
        </w:rPr>
        <w:t>)</w:t>
      </w:r>
      <w:r w:rsidRPr="0085159D">
        <w:rPr>
          <w:lang w:val="pl-PL"/>
        </w:rPr>
        <w:t>.</w:t>
      </w:r>
    </w:p>
    <w:p w14:paraId="6167004C" w14:textId="77777777" w:rsidR="00E14925" w:rsidRPr="0085159D" w:rsidRDefault="006D0AD8" w:rsidP="000B051F">
      <w:pPr>
        <w:pStyle w:val="BulletedList"/>
        <w:rPr>
          <w:lang w:val="pl-PL"/>
        </w:rPr>
      </w:pPr>
      <w:r w:rsidRPr="0085159D">
        <w:rPr>
          <w:lang w:val="pl-PL"/>
        </w:rPr>
        <w:t xml:space="preserve">Działania </w:t>
      </w:r>
      <w:r w:rsidR="00423E27" w:rsidRPr="0085159D">
        <w:rPr>
          <w:lang w:val="pl-PL"/>
        </w:rPr>
        <w:t>służące ocenie tego</w:t>
      </w:r>
      <w:r w:rsidRPr="0085159D">
        <w:rPr>
          <w:lang w:val="pl-PL"/>
        </w:rPr>
        <w:t>, czy w otoczeni</w:t>
      </w:r>
      <w:r w:rsidR="00423E27" w:rsidRPr="0085159D">
        <w:rPr>
          <w:lang w:val="pl-PL"/>
        </w:rPr>
        <w:t>u</w:t>
      </w:r>
      <w:r w:rsidRPr="0085159D">
        <w:rPr>
          <w:lang w:val="pl-PL"/>
        </w:rPr>
        <w:t xml:space="preserve"> edukacji finansowej w Polsce dokonuje się ewolucja prowadząca do większego zaangażowania</w:t>
      </w:r>
      <w:r w:rsidR="00423E27" w:rsidRPr="0085159D">
        <w:rPr>
          <w:lang w:val="pl-PL"/>
        </w:rPr>
        <w:t xml:space="preserve"> społeczeństwa oraz lepszej współpracy i</w:t>
      </w:r>
      <w:r w:rsidR="00755984">
        <w:rPr>
          <w:lang w:val="pl-PL"/>
        </w:rPr>
        <w:t> </w:t>
      </w:r>
      <w:r w:rsidRPr="0085159D">
        <w:rPr>
          <w:lang w:val="pl-PL"/>
        </w:rPr>
        <w:t xml:space="preserve">komunikacji </w:t>
      </w:r>
      <w:r w:rsidR="00423E27" w:rsidRPr="0085159D">
        <w:rPr>
          <w:lang w:val="pl-PL"/>
        </w:rPr>
        <w:t xml:space="preserve">ze społeczeństwem, a także </w:t>
      </w:r>
      <w:r w:rsidR="00B51B93">
        <w:rPr>
          <w:lang w:val="pl-PL"/>
        </w:rPr>
        <w:t xml:space="preserve">ocenie wzrostu </w:t>
      </w:r>
      <w:r w:rsidRPr="0085159D">
        <w:rPr>
          <w:lang w:val="pl-PL"/>
        </w:rPr>
        <w:t>świadomości znaczenia edukacji finansowej. Dane jakościowe z wywiadów z interesariuszami oraz konsumentami i/lub grup</w:t>
      </w:r>
      <w:r w:rsidR="003E30FF" w:rsidRPr="0085159D">
        <w:rPr>
          <w:lang w:val="pl-PL"/>
        </w:rPr>
        <w:t>ami</w:t>
      </w:r>
      <w:r w:rsidRPr="0085159D">
        <w:rPr>
          <w:lang w:val="pl-PL"/>
        </w:rPr>
        <w:t xml:space="preserve"> fokusowy</w:t>
      </w:r>
      <w:r w:rsidR="003E30FF" w:rsidRPr="0085159D">
        <w:rPr>
          <w:lang w:val="pl-PL"/>
        </w:rPr>
        <w:t>mi</w:t>
      </w:r>
      <w:r w:rsidRPr="0085159D">
        <w:rPr>
          <w:lang w:val="pl-PL"/>
        </w:rPr>
        <w:t xml:space="preserve"> dostarczyć mogą ważnych informacji szczegółowych, które pozwolą </w:t>
      </w:r>
      <w:r w:rsidR="008F0DBD">
        <w:rPr>
          <w:lang w:val="pl-PL"/>
        </w:rPr>
        <w:t xml:space="preserve">wskazać </w:t>
      </w:r>
      <w:r w:rsidRPr="0085159D">
        <w:rPr>
          <w:lang w:val="pl-PL"/>
        </w:rPr>
        <w:t xml:space="preserve">kwestie będące wyzwaniami w procesie </w:t>
      </w:r>
      <w:r w:rsidR="00423E27" w:rsidRPr="0085159D">
        <w:rPr>
          <w:lang w:val="pl-PL"/>
        </w:rPr>
        <w:t>realizacji KSEF</w:t>
      </w:r>
      <w:r w:rsidRPr="0085159D">
        <w:rPr>
          <w:lang w:val="pl-PL"/>
        </w:rPr>
        <w:t>.</w:t>
      </w:r>
    </w:p>
    <w:p w14:paraId="47835EA4" w14:textId="77777777" w:rsidR="00423E27" w:rsidRPr="0085159D" w:rsidRDefault="00FA5500" w:rsidP="000B051F">
      <w:pPr>
        <w:pStyle w:val="Para0"/>
        <w:rPr>
          <w:lang w:val="pl-PL"/>
        </w:rPr>
      </w:pPr>
      <w:r>
        <w:rPr>
          <w:lang w:val="pl-PL"/>
        </w:rPr>
        <w:t xml:space="preserve">Eksperci doradzający KW </w:t>
      </w:r>
      <w:r w:rsidR="006D0AD8" w:rsidRPr="0085159D">
        <w:rPr>
          <w:lang w:val="pl-PL"/>
        </w:rPr>
        <w:t xml:space="preserve">mogą uczestniczyć </w:t>
      </w:r>
      <w:r w:rsidR="00423E27" w:rsidRPr="0085159D">
        <w:rPr>
          <w:lang w:val="pl-PL"/>
        </w:rPr>
        <w:t xml:space="preserve">w procesie </w:t>
      </w:r>
      <w:r w:rsidR="008F0DBD">
        <w:rPr>
          <w:lang w:val="pl-PL"/>
        </w:rPr>
        <w:t xml:space="preserve">ewaluacji </w:t>
      </w:r>
      <w:r w:rsidR="00423E27" w:rsidRPr="0085159D">
        <w:rPr>
          <w:lang w:val="pl-PL"/>
        </w:rPr>
        <w:t>KSEF oraz</w:t>
      </w:r>
      <w:r w:rsidR="006D0AD8" w:rsidRPr="0085159D">
        <w:rPr>
          <w:lang w:val="pl-PL"/>
        </w:rPr>
        <w:t xml:space="preserve"> kszta</w:t>
      </w:r>
      <w:r w:rsidR="00AE2ABB">
        <w:rPr>
          <w:lang w:val="pl-PL"/>
        </w:rPr>
        <w:t>łtować kierunki projektowania i </w:t>
      </w:r>
      <w:r w:rsidR="00423E27" w:rsidRPr="0085159D">
        <w:rPr>
          <w:lang w:val="pl-PL"/>
        </w:rPr>
        <w:t>przeprowadzania tego procesu z uwzględnieniem wyżej wskazanych komponentów kluczowych.</w:t>
      </w:r>
    </w:p>
    <w:p w14:paraId="15D29D29" w14:textId="77777777" w:rsidR="00E14925" w:rsidRPr="0085159D" w:rsidRDefault="006D0AD8" w:rsidP="000B051F">
      <w:pPr>
        <w:pStyle w:val="Para0"/>
        <w:rPr>
          <w:lang w:val="pl-PL"/>
        </w:rPr>
      </w:pPr>
      <w:bookmarkStart w:id="49" w:name="_Hlk126337924"/>
      <w:r w:rsidRPr="0085159D">
        <w:rPr>
          <w:lang w:val="pl-PL"/>
        </w:rPr>
        <w:t>Jednocześnie należy zauważyć, ż</w:t>
      </w:r>
      <w:r w:rsidR="00423E27" w:rsidRPr="0085159D">
        <w:rPr>
          <w:lang w:val="pl-PL"/>
        </w:rPr>
        <w:t>e</w:t>
      </w:r>
      <w:r w:rsidRPr="0085159D">
        <w:rPr>
          <w:lang w:val="pl-PL"/>
        </w:rPr>
        <w:t xml:space="preserve"> </w:t>
      </w:r>
      <w:r w:rsidR="003E30FF" w:rsidRPr="0085159D">
        <w:rPr>
          <w:lang w:val="pl-PL"/>
        </w:rPr>
        <w:t xml:space="preserve">ewaluacja </w:t>
      </w:r>
      <w:r w:rsidRPr="0085159D">
        <w:rPr>
          <w:lang w:val="pl-PL"/>
        </w:rPr>
        <w:t xml:space="preserve">KSEF jest procesem złożonym. Po pierwsze, jest to spowodowane tym, że wywołanie zmian w zachowaniu nie jest łatwe i potrzeba długiego czasu do </w:t>
      </w:r>
      <w:r w:rsidR="00E02847">
        <w:rPr>
          <w:lang w:val="pl-PL"/>
        </w:rPr>
        <w:t xml:space="preserve">ich </w:t>
      </w:r>
      <w:r w:rsidRPr="0085159D">
        <w:rPr>
          <w:lang w:val="pl-PL"/>
        </w:rPr>
        <w:t xml:space="preserve">ugruntowania się. Druga przyczyna to fakt, że na </w:t>
      </w:r>
      <w:r w:rsidR="003E30FF" w:rsidRPr="0085159D">
        <w:rPr>
          <w:lang w:val="pl-PL"/>
        </w:rPr>
        <w:t xml:space="preserve">dobrostan </w:t>
      </w:r>
      <w:r w:rsidRPr="0085159D">
        <w:rPr>
          <w:lang w:val="pl-PL"/>
        </w:rPr>
        <w:t>finansowy jednostki wpływ</w:t>
      </w:r>
      <w:r w:rsidR="00423E27" w:rsidRPr="0085159D">
        <w:rPr>
          <w:lang w:val="pl-PL"/>
        </w:rPr>
        <w:t>a</w:t>
      </w:r>
      <w:r w:rsidR="00892E00">
        <w:rPr>
          <w:lang w:val="pl-PL"/>
        </w:rPr>
        <w:t xml:space="preserve"> </w:t>
      </w:r>
      <w:r w:rsidRPr="0085159D">
        <w:rPr>
          <w:lang w:val="pl-PL"/>
        </w:rPr>
        <w:t>bardzo wiele czynników i polityk, których zakres wykracza poza edukację finansową jako taką i może obejmować okoliczności indywidualne oraz społeczne</w:t>
      </w:r>
      <w:r w:rsidR="00B51B93">
        <w:rPr>
          <w:lang w:val="pl-PL"/>
        </w:rPr>
        <w:t xml:space="preserve">. Na dobrostan finansowy jednostki wpływa </w:t>
      </w:r>
      <w:r w:rsidRPr="0085159D">
        <w:rPr>
          <w:lang w:val="pl-PL"/>
        </w:rPr>
        <w:t>również tok wydarzeń makroekonomicznych w gospodarce krajowej i światowej oraz szeroki zakres polityk społecznych, gospodarczych i finansowych.</w:t>
      </w:r>
    </w:p>
    <w:p w14:paraId="4BE3F0BB" w14:textId="77777777" w:rsidR="00E14925" w:rsidRPr="0085159D" w:rsidRDefault="006D0AD8" w:rsidP="000B051F">
      <w:pPr>
        <w:pStyle w:val="Para0"/>
        <w:rPr>
          <w:lang w:val="pl-PL"/>
        </w:rPr>
      </w:pPr>
      <w:r w:rsidRPr="0085159D">
        <w:rPr>
          <w:lang w:val="pl-PL"/>
        </w:rPr>
        <w:t xml:space="preserve">Dlatego też wskaźniki długoterminowe proponowane do uwzględnienia w trakcie </w:t>
      </w:r>
      <w:r w:rsidR="003E30FF" w:rsidRPr="0085159D">
        <w:rPr>
          <w:lang w:val="pl-PL"/>
        </w:rPr>
        <w:t xml:space="preserve">ewaluacji </w:t>
      </w:r>
      <w:r w:rsidRPr="0085159D">
        <w:rPr>
          <w:lang w:val="pl-PL"/>
        </w:rPr>
        <w:t xml:space="preserve">KSEF (zob. </w:t>
      </w:r>
      <w:r w:rsidR="00423E27" w:rsidRPr="0085159D">
        <w:rPr>
          <w:lang w:val="pl-PL"/>
        </w:rPr>
        <w:t>z</w:t>
      </w:r>
      <w:r w:rsidRPr="0085159D">
        <w:rPr>
          <w:lang w:val="pl-PL"/>
        </w:rPr>
        <w:t>ałącznik A)</w:t>
      </w:r>
      <w:r w:rsidR="00423E27" w:rsidRPr="0085159D">
        <w:rPr>
          <w:lang w:val="pl-PL"/>
        </w:rPr>
        <w:t xml:space="preserve"> należy</w:t>
      </w:r>
      <w:r w:rsidRPr="0085159D">
        <w:rPr>
          <w:lang w:val="pl-PL"/>
        </w:rPr>
        <w:t xml:space="preserve"> interpretować z pewną dozą ostrożności. Trudne bowiem może być zidentyfikowanie bezpośrednich związków przyczynowych pomiędzy </w:t>
      </w:r>
      <w:r w:rsidR="00423E27" w:rsidRPr="0085159D">
        <w:rPr>
          <w:lang w:val="pl-PL"/>
        </w:rPr>
        <w:t xml:space="preserve">realizacją </w:t>
      </w:r>
      <w:r w:rsidRPr="0085159D">
        <w:rPr>
          <w:lang w:val="pl-PL"/>
        </w:rPr>
        <w:t xml:space="preserve">KSEF a zmianami w wartościach tych wskaźników w czasie. Niemniej mogą one być przydatne w zgromadzeniu wiedzy na temat kierunku zmian obserwowanych w poziomie </w:t>
      </w:r>
      <w:r w:rsidR="003E30FF" w:rsidRPr="0085159D">
        <w:rPr>
          <w:lang w:val="pl-PL"/>
        </w:rPr>
        <w:t xml:space="preserve">dobrostanu </w:t>
      </w:r>
      <w:r w:rsidRPr="0085159D">
        <w:rPr>
          <w:lang w:val="pl-PL"/>
        </w:rPr>
        <w:t>finansowego mieszkańców Polski.</w:t>
      </w:r>
    </w:p>
    <w:p w14:paraId="029710AD" w14:textId="77777777" w:rsidR="00E14925" w:rsidRPr="0085159D" w:rsidRDefault="006D0AD8" w:rsidP="000B051F">
      <w:pPr>
        <w:pStyle w:val="Para0"/>
        <w:rPr>
          <w:lang w:val="pl-PL"/>
        </w:rPr>
      </w:pPr>
      <w:r w:rsidRPr="0085159D">
        <w:rPr>
          <w:lang w:val="pl-PL"/>
        </w:rPr>
        <w:t>Ponadto biorąc pod uwagę, ż</w:t>
      </w:r>
      <w:r w:rsidR="00423E27" w:rsidRPr="0085159D">
        <w:rPr>
          <w:lang w:val="pl-PL"/>
        </w:rPr>
        <w:t>e</w:t>
      </w:r>
      <w:r w:rsidRPr="0085159D">
        <w:rPr>
          <w:lang w:val="pl-PL"/>
        </w:rPr>
        <w:t xml:space="preserve"> priorytety 5</w:t>
      </w:r>
      <w:r w:rsidR="00423E27" w:rsidRPr="0085159D">
        <w:rPr>
          <w:lang w:val="pl-PL"/>
        </w:rPr>
        <w:t>–</w:t>
      </w:r>
      <w:r w:rsidRPr="0085159D">
        <w:rPr>
          <w:lang w:val="pl-PL"/>
        </w:rPr>
        <w:t xml:space="preserve">7 </w:t>
      </w:r>
      <w:r w:rsidR="00423E27" w:rsidRPr="0085159D">
        <w:rPr>
          <w:lang w:val="pl-PL"/>
        </w:rPr>
        <w:t xml:space="preserve">wpisują się w </w:t>
      </w:r>
      <w:r w:rsidRPr="0085159D">
        <w:rPr>
          <w:lang w:val="pl-PL"/>
        </w:rPr>
        <w:t>priorytety dotyczące tego</w:t>
      </w:r>
      <w:r w:rsidR="00423E27" w:rsidRPr="0085159D">
        <w:rPr>
          <w:lang w:val="pl-PL"/>
        </w:rPr>
        <w:t>,</w:t>
      </w:r>
      <w:r w:rsidRPr="0085159D">
        <w:rPr>
          <w:lang w:val="pl-PL"/>
        </w:rPr>
        <w:t xml:space="preserve"> „jak osiągnąć</w:t>
      </w:r>
      <w:r w:rsidR="00E02847">
        <w:rPr>
          <w:lang w:val="pl-PL"/>
        </w:rPr>
        <w:t>”</w:t>
      </w:r>
      <w:r w:rsidRPr="0085159D">
        <w:rPr>
          <w:lang w:val="pl-PL"/>
        </w:rPr>
        <w:t xml:space="preserve"> długoterminowy wpływ KSEF, ich udan</w:t>
      </w:r>
      <w:r w:rsidR="00423E27" w:rsidRPr="0085159D">
        <w:rPr>
          <w:lang w:val="pl-PL"/>
        </w:rPr>
        <w:t>a</w:t>
      </w:r>
      <w:r w:rsidRPr="0085159D">
        <w:rPr>
          <w:lang w:val="pl-PL"/>
        </w:rPr>
        <w:t xml:space="preserve"> </w:t>
      </w:r>
      <w:r w:rsidR="00423E27" w:rsidRPr="0085159D">
        <w:rPr>
          <w:lang w:val="pl-PL"/>
        </w:rPr>
        <w:t xml:space="preserve">realizacja </w:t>
      </w:r>
      <w:r w:rsidRPr="0085159D">
        <w:rPr>
          <w:lang w:val="pl-PL"/>
        </w:rPr>
        <w:t>zilustrowan</w:t>
      </w:r>
      <w:r w:rsidR="00423E27" w:rsidRPr="0085159D">
        <w:rPr>
          <w:lang w:val="pl-PL"/>
        </w:rPr>
        <w:t>a</w:t>
      </w:r>
      <w:r w:rsidRPr="0085159D">
        <w:rPr>
          <w:lang w:val="pl-PL"/>
        </w:rPr>
        <w:t xml:space="preserve"> będzie również rezultatami długofalowymi prezentowanymi przez wartości wskaźników powiązanych z priorytetami 1</w:t>
      </w:r>
      <w:r w:rsidR="00423E27" w:rsidRPr="0085159D">
        <w:rPr>
          <w:lang w:val="pl-PL"/>
        </w:rPr>
        <w:t>–</w:t>
      </w:r>
      <w:r w:rsidRPr="0085159D">
        <w:rPr>
          <w:lang w:val="pl-PL"/>
        </w:rPr>
        <w:t>4. Z tego powodu dla priorytetów 5</w:t>
      </w:r>
      <w:r w:rsidR="00423E27" w:rsidRPr="0085159D">
        <w:rPr>
          <w:lang w:val="pl-PL"/>
        </w:rPr>
        <w:t>–</w:t>
      </w:r>
      <w:r w:rsidRPr="0085159D">
        <w:rPr>
          <w:lang w:val="pl-PL"/>
        </w:rPr>
        <w:t>7 nie określono konkretnych wskaźników.</w:t>
      </w:r>
    </w:p>
    <w:p w14:paraId="78676F0C" w14:textId="77777777" w:rsidR="006D0AD8" w:rsidRPr="0085159D" w:rsidRDefault="006D0AD8" w:rsidP="000B051F">
      <w:pPr>
        <w:pStyle w:val="Nagwek1"/>
        <w:framePr w:wrap="notBeside"/>
        <w:rPr>
          <w:lang w:val="pl-PL"/>
        </w:rPr>
      </w:pPr>
      <w:bookmarkStart w:id="50" w:name="_Toc131520819"/>
      <w:bookmarkEnd w:id="49"/>
      <w:r w:rsidRPr="0085159D">
        <w:rPr>
          <w:bCs/>
          <w:lang w:val="pl-PL"/>
        </w:rPr>
        <w:lastRenderedPageBreak/>
        <w:t xml:space="preserve">Część III: Pierwszy </w:t>
      </w:r>
      <w:bookmarkEnd w:id="50"/>
      <w:r w:rsidR="003E6912" w:rsidRPr="0085159D">
        <w:rPr>
          <w:bCs/>
          <w:lang w:val="pl-PL"/>
        </w:rPr>
        <w:t>plan wdrażania</w:t>
      </w:r>
      <w:r w:rsidR="00AE2ABB">
        <w:rPr>
          <w:bCs/>
          <w:lang w:val="pl-PL"/>
        </w:rPr>
        <w:t xml:space="preserve"> KSEF</w:t>
      </w:r>
    </w:p>
    <w:p w14:paraId="331C1407" w14:textId="77777777" w:rsidR="00E14925" w:rsidRPr="0085159D" w:rsidRDefault="003E6912" w:rsidP="000B051F">
      <w:pPr>
        <w:pStyle w:val="Para0"/>
        <w:rPr>
          <w:lang w:val="pl-PL"/>
        </w:rPr>
      </w:pPr>
      <w:r w:rsidRPr="0085159D">
        <w:rPr>
          <w:lang w:val="pl-PL"/>
        </w:rPr>
        <w:t xml:space="preserve">Plan wdrażania </w:t>
      </w:r>
      <w:r w:rsidR="006D0AD8" w:rsidRPr="0085159D">
        <w:rPr>
          <w:lang w:val="pl-PL"/>
        </w:rPr>
        <w:t xml:space="preserve">opisuje działania, które wspierać będą realizację kluczowych priorytetów oraz wnoszą wkład w osiągnięcie docelowej wizji. </w:t>
      </w:r>
      <w:r w:rsidR="006F5DC8">
        <w:rPr>
          <w:lang w:val="pl-PL"/>
        </w:rPr>
        <w:t xml:space="preserve">W Strategii przyjmuje się </w:t>
      </w:r>
      <w:r w:rsidR="006D0AD8" w:rsidRPr="006F5DC8">
        <w:rPr>
          <w:lang w:val="pl-PL"/>
        </w:rPr>
        <w:t>perspektywę</w:t>
      </w:r>
      <w:r w:rsidR="006D0AD8" w:rsidRPr="0085159D">
        <w:rPr>
          <w:lang w:val="pl-PL"/>
        </w:rPr>
        <w:t xml:space="preserve"> długoterminową i wskazuje kierunek strategiczny edukacji finansowej w kraju na kolejne siedem lat</w:t>
      </w:r>
      <w:r w:rsidR="007B1D56">
        <w:rPr>
          <w:lang w:val="pl-PL"/>
        </w:rPr>
        <w:t>.</w:t>
      </w:r>
      <w:r w:rsidR="006D0AD8" w:rsidRPr="0085159D">
        <w:rPr>
          <w:lang w:val="pl-PL"/>
        </w:rPr>
        <w:t xml:space="preserve"> </w:t>
      </w:r>
      <w:r w:rsidR="007B1D56">
        <w:rPr>
          <w:lang w:val="pl-PL"/>
        </w:rPr>
        <w:t>N</w:t>
      </w:r>
      <w:r w:rsidR="006D0AD8" w:rsidRPr="0085159D">
        <w:rPr>
          <w:lang w:val="pl-PL"/>
        </w:rPr>
        <w:t xml:space="preserve">atomiast </w:t>
      </w:r>
      <w:r w:rsidRPr="0085159D">
        <w:rPr>
          <w:lang w:val="pl-PL"/>
        </w:rPr>
        <w:t xml:space="preserve">plan wdrażania </w:t>
      </w:r>
      <w:r w:rsidR="006D0AD8" w:rsidRPr="0085159D">
        <w:rPr>
          <w:lang w:val="pl-PL"/>
        </w:rPr>
        <w:t>obejmuje okres trzech lat od daty przyjęcia KSEF. Zgodnie z zapisami podanymi w części dotyczącej monitorowania i</w:t>
      </w:r>
      <w:r w:rsidR="00755984">
        <w:rPr>
          <w:lang w:val="pl-PL"/>
        </w:rPr>
        <w:t> </w:t>
      </w:r>
      <w:r w:rsidR="006D0AD8" w:rsidRPr="0085159D">
        <w:rPr>
          <w:lang w:val="pl-PL"/>
        </w:rPr>
        <w:t xml:space="preserve">ewaluacji (Część II), realizacja </w:t>
      </w:r>
      <w:r w:rsidR="00C75D1D" w:rsidRPr="0085159D">
        <w:rPr>
          <w:lang w:val="pl-PL"/>
        </w:rPr>
        <w:t xml:space="preserve">planu </w:t>
      </w:r>
      <w:r w:rsidR="006D0AD8" w:rsidRPr="0085159D">
        <w:rPr>
          <w:lang w:val="pl-PL"/>
        </w:rPr>
        <w:t>wdr</w:t>
      </w:r>
      <w:r w:rsidR="00C75D1D" w:rsidRPr="0085159D">
        <w:rPr>
          <w:lang w:val="pl-PL"/>
        </w:rPr>
        <w:t>a</w:t>
      </w:r>
      <w:r w:rsidR="006D0AD8" w:rsidRPr="0085159D">
        <w:rPr>
          <w:lang w:val="pl-PL"/>
        </w:rPr>
        <w:t>ż</w:t>
      </w:r>
      <w:r w:rsidR="00C75D1D" w:rsidRPr="0085159D">
        <w:rPr>
          <w:lang w:val="pl-PL"/>
        </w:rPr>
        <w:t>a</w:t>
      </w:r>
      <w:r w:rsidR="006D0AD8" w:rsidRPr="0085159D">
        <w:rPr>
          <w:lang w:val="pl-PL"/>
        </w:rPr>
        <w:t xml:space="preserve">nia powinna być monitorowana, a także poddana </w:t>
      </w:r>
      <w:r w:rsidR="00894165" w:rsidRPr="0085159D">
        <w:rPr>
          <w:lang w:val="pl-PL"/>
        </w:rPr>
        <w:t xml:space="preserve">ewaluacji </w:t>
      </w:r>
      <w:r w:rsidR="006D0AD8" w:rsidRPr="0085159D">
        <w:rPr>
          <w:lang w:val="pl-PL"/>
        </w:rPr>
        <w:t xml:space="preserve">i przeglądowi co trzy lata. Działania osiągnięte lub ukończone zastąpić można nowymi działaniami, które powinny wnosić wkład w realizację kluczowych priorytetów określonych w </w:t>
      </w:r>
      <w:r w:rsidRPr="0085159D">
        <w:rPr>
          <w:lang w:val="pl-PL"/>
        </w:rPr>
        <w:t xml:space="preserve">części </w:t>
      </w:r>
      <w:r w:rsidR="006D0AD8" w:rsidRPr="0085159D">
        <w:rPr>
          <w:lang w:val="pl-PL"/>
        </w:rPr>
        <w:t>II</w:t>
      </w:r>
      <w:r w:rsidR="007B1D56">
        <w:rPr>
          <w:lang w:val="pl-PL"/>
        </w:rPr>
        <w:t xml:space="preserve"> Strategii</w:t>
      </w:r>
      <w:r w:rsidR="006D0AD8" w:rsidRPr="0085159D">
        <w:rPr>
          <w:lang w:val="pl-PL"/>
        </w:rPr>
        <w:t>.</w:t>
      </w:r>
    </w:p>
    <w:p w14:paraId="573913E7" w14:textId="77777777" w:rsidR="00E14925" w:rsidRPr="0085159D" w:rsidRDefault="003E6912" w:rsidP="000B051F">
      <w:pPr>
        <w:pStyle w:val="Para0"/>
        <w:rPr>
          <w:lang w:val="pl-PL"/>
        </w:rPr>
      </w:pPr>
      <w:r w:rsidRPr="0085159D">
        <w:rPr>
          <w:lang w:val="pl-PL"/>
        </w:rPr>
        <w:t xml:space="preserve">Plan wdrażania </w:t>
      </w:r>
      <w:r w:rsidR="006D0AD8" w:rsidRPr="0085159D">
        <w:rPr>
          <w:lang w:val="pl-PL"/>
        </w:rPr>
        <w:t xml:space="preserve">wskazuje również priorytetowe grupy docelowe wybrane w oparciu o zasady </w:t>
      </w:r>
      <w:proofErr w:type="spellStart"/>
      <w:r w:rsidR="006D0AD8" w:rsidRPr="0085159D">
        <w:rPr>
          <w:lang w:val="pl-PL"/>
        </w:rPr>
        <w:t>priorytetyzacji</w:t>
      </w:r>
      <w:proofErr w:type="spellEnd"/>
      <w:r w:rsidR="006D0AD8" w:rsidRPr="0085159D">
        <w:rPr>
          <w:lang w:val="pl-PL"/>
        </w:rPr>
        <w:t xml:space="preserve">. Uzupełnieniem każdego </w:t>
      </w:r>
      <w:r w:rsidRPr="0085159D">
        <w:rPr>
          <w:lang w:val="pl-PL"/>
        </w:rPr>
        <w:t xml:space="preserve">planu wdrażania </w:t>
      </w:r>
      <w:r w:rsidR="006D0AD8" w:rsidRPr="0085159D">
        <w:rPr>
          <w:lang w:val="pl-PL"/>
        </w:rPr>
        <w:t>mogą być roczne plany działa</w:t>
      </w:r>
      <w:r w:rsidRPr="0085159D">
        <w:rPr>
          <w:lang w:val="pl-PL"/>
        </w:rPr>
        <w:t>nia</w:t>
      </w:r>
      <w:r w:rsidR="006D0AD8" w:rsidRPr="0085159D">
        <w:rPr>
          <w:lang w:val="pl-PL"/>
        </w:rPr>
        <w:t xml:space="preserve">, sporządzane na podstawie zapisów zawartych w samym </w:t>
      </w:r>
      <w:r w:rsidRPr="0085159D">
        <w:rPr>
          <w:lang w:val="pl-PL"/>
        </w:rPr>
        <w:t>planie wdrażania</w:t>
      </w:r>
      <w:r w:rsidR="006D0AD8" w:rsidRPr="0085159D">
        <w:rPr>
          <w:lang w:val="pl-PL"/>
        </w:rPr>
        <w:t xml:space="preserve">, które jasno określą działania i kluczowe wskaźniki efektywności planowane do osiągnięcia w danym roku. </w:t>
      </w:r>
      <w:r w:rsidRPr="0085159D">
        <w:rPr>
          <w:lang w:val="pl-PL"/>
        </w:rPr>
        <w:t xml:space="preserve">Wybranym </w:t>
      </w:r>
      <w:r w:rsidR="006D0AD8" w:rsidRPr="0085159D">
        <w:rPr>
          <w:lang w:val="pl-PL"/>
        </w:rPr>
        <w:t>działa</w:t>
      </w:r>
      <w:r w:rsidRPr="0085159D">
        <w:rPr>
          <w:lang w:val="pl-PL"/>
        </w:rPr>
        <w:t>niom</w:t>
      </w:r>
      <w:r w:rsidR="006D0AD8" w:rsidRPr="0085159D">
        <w:rPr>
          <w:lang w:val="pl-PL"/>
        </w:rPr>
        <w:t xml:space="preserve"> </w:t>
      </w:r>
      <w:r w:rsidRPr="0085159D">
        <w:rPr>
          <w:lang w:val="pl-PL"/>
        </w:rPr>
        <w:t xml:space="preserve">określonym </w:t>
      </w:r>
      <w:r w:rsidR="006D0AD8" w:rsidRPr="0085159D">
        <w:rPr>
          <w:lang w:val="pl-PL"/>
        </w:rPr>
        <w:t xml:space="preserve">w </w:t>
      </w:r>
      <w:r w:rsidRPr="0085159D">
        <w:rPr>
          <w:lang w:val="pl-PL"/>
        </w:rPr>
        <w:t>planie wdrażania</w:t>
      </w:r>
      <w:r w:rsidR="006D0AD8" w:rsidRPr="0085159D">
        <w:rPr>
          <w:lang w:val="pl-PL"/>
        </w:rPr>
        <w:t xml:space="preserve"> może być </w:t>
      </w:r>
      <w:r w:rsidRPr="0085159D">
        <w:rPr>
          <w:lang w:val="pl-PL"/>
        </w:rPr>
        <w:t xml:space="preserve">nadany </w:t>
      </w:r>
      <w:r w:rsidR="006D0AD8" w:rsidRPr="0085159D">
        <w:rPr>
          <w:lang w:val="pl-PL"/>
        </w:rPr>
        <w:t xml:space="preserve">status priorytetowy, gdyż ich wykonanie w pierwszej kolejności stanowić może korzystny fundament dla innych prac (na przykład </w:t>
      </w:r>
      <w:r w:rsidRPr="0085159D">
        <w:rPr>
          <w:lang w:val="pl-PL"/>
        </w:rPr>
        <w:t xml:space="preserve">opracowanie ram </w:t>
      </w:r>
      <w:r w:rsidR="007B1D56">
        <w:rPr>
          <w:lang w:val="pl-PL"/>
        </w:rPr>
        <w:t xml:space="preserve">kluczowych </w:t>
      </w:r>
      <w:r w:rsidR="006D0AD8" w:rsidRPr="0085159D">
        <w:rPr>
          <w:lang w:val="pl-PL"/>
        </w:rPr>
        <w:t>kompetencji</w:t>
      </w:r>
      <w:r w:rsidR="007B1D56">
        <w:rPr>
          <w:lang w:val="pl-PL"/>
        </w:rPr>
        <w:t xml:space="preserve"> finansowych</w:t>
      </w:r>
      <w:r w:rsidR="006D0AD8" w:rsidRPr="0085159D">
        <w:rPr>
          <w:lang w:val="pl-PL"/>
        </w:rPr>
        <w:t xml:space="preserve">), podczas gdy inne działania </w:t>
      </w:r>
      <w:r w:rsidRPr="0085159D">
        <w:rPr>
          <w:lang w:val="pl-PL"/>
        </w:rPr>
        <w:t xml:space="preserve">mogą </w:t>
      </w:r>
      <w:r w:rsidR="006D0AD8" w:rsidRPr="0085159D">
        <w:rPr>
          <w:lang w:val="pl-PL"/>
        </w:rPr>
        <w:t xml:space="preserve">wymagać realizacji przez cały okres </w:t>
      </w:r>
      <w:r w:rsidRPr="0085159D">
        <w:rPr>
          <w:lang w:val="pl-PL"/>
        </w:rPr>
        <w:t xml:space="preserve">realizacji planu wdrażania </w:t>
      </w:r>
      <w:r w:rsidR="006D0AD8" w:rsidRPr="0085159D">
        <w:rPr>
          <w:lang w:val="pl-PL"/>
        </w:rPr>
        <w:t>(a więc trzech lat).</w:t>
      </w:r>
    </w:p>
    <w:p w14:paraId="43BD6A12" w14:textId="77777777" w:rsidR="006D0AD8" w:rsidRPr="0085159D" w:rsidRDefault="008A21D5" w:rsidP="000B051F">
      <w:pPr>
        <w:pStyle w:val="Nagwek2"/>
        <w:rPr>
          <w:lang w:val="pl-PL"/>
        </w:rPr>
      </w:pPr>
      <w:bookmarkStart w:id="51" w:name="_Toc131520820"/>
      <w:r w:rsidRPr="0085159D">
        <w:rPr>
          <w:bCs/>
          <w:lang w:val="pl-PL"/>
        </w:rPr>
        <w:t xml:space="preserve">3.1. Priorytetowe grupy docelowe pierwszego </w:t>
      </w:r>
      <w:bookmarkEnd w:id="51"/>
      <w:r w:rsidR="003E6912" w:rsidRPr="0085159D">
        <w:rPr>
          <w:bCs/>
          <w:lang w:val="pl-PL"/>
        </w:rPr>
        <w:t>planu wdrażania</w:t>
      </w:r>
    </w:p>
    <w:p w14:paraId="549B169F" w14:textId="77777777" w:rsidR="00E14925" w:rsidRPr="0085159D" w:rsidRDefault="006D0AD8" w:rsidP="000B051F">
      <w:pPr>
        <w:pStyle w:val="Para0"/>
        <w:rPr>
          <w:lang w:val="pl-PL"/>
        </w:rPr>
      </w:pPr>
      <w:r w:rsidRPr="0085159D">
        <w:rPr>
          <w:lang w:val="pl-PL"/>
        </w:rPr>
        <w:t xml:space="preserve">W oparciu o zasady </w:t>
      </w:r>
      <w:proofErr w:type="spellStart"/>
      <w:r w:rsidRPr="0085159D">
        <w:rPr>
          <w:lang w:val="pl-PL"/>
        </w:rPr>
        <w:t>priorytetyzacji</w:t>
      </w:r>
      <w:proofErr w:type="spellEnd"/>
      <w:r w:rsidRPr="0085159D">
        <w:rPr>
          <w:lang w:val="pl-PL"/>
        </w:rPr>
        <w:t xml:space="preserve"> zdefiniowane w </w:t>
      </w:r>
      <w:r w:rsidR="006F5DC8">
        <w:rPr>
          <w:lang w:val="pl-PL"/>
        </w:rPr>
        <w:t xml:space="preserve">części II </w:t>
      </w:r>
      <w:r w:rsidR="00024130">
        <w:rPr>
          <w:lang w:val="pl-PL"/>
        </w:rPr>
        <w:t>„</w:t>
      </w:r>
      <w:r w:rsidRPr="0085159D">
        <w:rPr>
          <w:lang w:val="pl-PL"/>
        </w:rPr>
        <w:t>Krajowej Strategii Edukacji Finansowej</w:t>
      </w:r>
      <w:r w:rsidR="00024130" w:rsidRPr="005F7A90">
        <w:rPr>
          <w:lang w:val="pl-PL"/>
        </w:rPr>
        <w:t>. Polityka na rzecz rozwijania kompetencji finansowych”</w:t>
      </w:r>
      <w:r w:rsidRPr="0085159D">
        <w:rPr>
          <w:lang w:val="pl-PL"/>
        </w:rPr>
        <w:t xml:space="preserve"> , w</w:t>
      </w:r>
      <w:r w:rsidR="00755984">
        <w:rPr>
          <w:lang w:val="pl-PL"/>
        </w:rPr>
        <w:t> </w:t>
      </w:r>
      <w:r w:rsidRPr="0085159D">
        <w:rPr>
          <w:lang w:val="pl-PL"/>
        </w:rPr>
        <w:t xml:space="preserve">niniejszym </w:t>
      </w:r>
      <w:r w:rsidR="007B1D56">
        <w:rPr>
          <w:lang w:val="pl-PL"/>
        </w:rPr>
        <w:t xml:space="preserve">planie </w:t>
      </w:r>
      <w:r w:rsidRPr="0085159D">
        <w:rPr>
          <w:lang w:val="pl-PL"/>
        </w:rPr>
        <w:t>określone zostały grupy docelowe uznane za priorytetowe w ramach programów edukacji finansowej w pierwszym okresie wdr</w:t>
      </w:r>
      <w:r w:rsidR="003E6912" w:rsidRPr="0085159D">
        <w:rPr>
          <w:lang w:val="pl-PL"/>
        </w:rPr>
        <w:t>a</w:t>
      </w:r>
      <w:r w:rsidRPr="0085159D">
        <w:rPr>
          <w:lang w:val="pl-PL"/>
        </w:rPr>
        <w:t>ż</w:t>
      </w:r>
      <w:r w:rsidR="003E6912" w:rsidRPr="0085159D">
        <w:rPr>
          <w:lang w:val="pl-PL"/>
        </w:rPr>
        <w:t>a</w:t>
      </w:r>
      <w:r w:rsidRPr="0085159D">
        <w:rPr>
          <w:lang w:val="pl-PL"/>
        </w:rPr>
        <w:t>nia (pierwsze trzy lata od daty przyjęcia KSEF). Owe priorytetowe grupy docelowe obejmują:</w:t>
      </w:r>
    </w:p>
    <w:p w14:paraId="5CBFA2AF" w14:textId="77777777" w:rsidR="00E14925" w:rsidRPr="0085159D" w:rsidRDefault="00FD66EC" w:rsidP="000B051F">
      <w:pPr>
        <w:pStyle w:val="BulletedList"/>
        <w:rPr>
          <w:lang w:val="pl-PL"/>
        </w:rPr>
      </w:pPr>
      <w:r w:rsidRPr="0085159D">
        <w:rPr>
          <w:lang w:val="pl-PL"/>
        </w:rPr>
        <w:t>g</w:t>
      </w:r>
      <w:r w:rsidR="006D0AD8" w:rsidRPr="0085159D">
        <w:rPr>
          <w:lang w:val="pl-PL"/>
        </w:rPr>
        <w:t>ospodarstwa domowe o niskich dochodach</w:t>
      </w:r>
      <w:r w:rsidR="00024130">
        <w:rPr>
          <w:lang w:val="pl-PL"/>
        </w:rPr>
        <w:t>,</w:t>
      </w:r>
    </w:p>
    <w:p w14:paraId="3ED0F402" w14:textId="77777777" w:rsidR="006D0AD8" w:rsidRPr="0085159D" w:rsidRDefault="00FD66EC" w:rsidP="000B051F">
      <w:pPr>
        <w:pStyle w:val="BulletedList"/>
        <w:rPr>
          <w:lang w:val="pl-PL"/>
        </w:rPr>
      </w:pPr>
      <w:r w:rsidRPr="0085159D">
        <w:rPr>
          <w:lang w:val="pl-PL"/>
        </w:rPr>
        <w:t>k</w:t>
      </w:r>
      <w:r w:rsidR="006D0AD8" w:rsidRPr="0085159D">
        <w:rPr>
          <w:lang w:val="pl-PL"/>
        </w:rPr>
        <w:t>onsumentów narażonych na nadmierne zadłużenie lub już nadmiernie zadłużonych</w:t>
      </w:r>
      <w:r w:rsidR="00024130">
        <w:rPr>
          <w:lang w:val="pl-PL"/>
        </w:rPr>
        <w:t>,</w:t>
      </w:r>
    </w:p>
    <w:p w14:paraId="712DC1CC" w14:textId="77777777" w:rsidR="006D0AD8" w:rsidRPr="0085159D" w:rsidRDefault="00FD66EC" w:rsidP="000B051F">
      <w:pPr>
        <w:pStyle w:val="BulletedList"/>
        <w:rPr>
          <w:lang w:val="pl-PL"/>
        </w:rPr>
      </w:pPr>
      <w:r w:rsidRPr="0085159D">
        <w:rPr>
          <w:lang w:val="pl-PL"/>
        </w:rPr>
        <w:t>o</w:t>
      </w:r>
      <w:r w:rsidR="006D0AD8" w:rsidRPr="0085159D">
        <w:rPr>
          <w:lang w:val="pl-PL"/>
        </w:rPr>
        <w:t>soby pracujące, zwłaszcza te zbliżające się do wieku emerytalnego</w:t>
      </w:r>
      <w:r w:rsidR="00024130">
        <w:rPr>
          <w:lang w:val="pl-PL"/>
        </w:rPr>
        <w:t>,</w:t>
      </w:r>
    </w:p>
    <w:p w14:paraId="03709D7C" w14:textId="48F44213" w:rsidR="006D0AD8" w:rsidRPr="0085159D" w:rsidRDefault="00FD66EC" w:rsidP="000B051F">
      <w:pPr>
        <w:pStyle w:val="BulletedList"/>
        <w:rPr>
          <w:lang w:val="pl-PL"/>
        </w:rPr>
      </w:pPr>
      <w:r w:rsidRPr="0085159D">
        <w:rPr>
          <w:lang w:val="pl-PL"/>
        </w:rPr>
        <w:t>d</w:t>
      </w:r>
      <w:r w:rsidR="006D0AD8" w:rsidRPr="0085159D">
        <w:rPr>
          <w:lang w:val="pl-PL"/>
        </w:rPr>
        <w:t>zieci,</w:t>
      </w:r>
      <w:r w:rsidR="003E6912" w:rsidRPr="0085159D">
        <w:rPr>
          <w:lang w:val="pl-PL"/>
        </w:rPr>
        <w:t xml:space="preserve"> młodzież</w:t>
      </w:r>
      <w:r w:rsidR="006D0AD8" w:rsidRPr="0085159D">
        <w:rPr>
          <w:lang w:val="pl-PL"/>
        </w:rPr>
        <w:t>, rodziców</w:t>
      </w:r>
      <w:r w:rsidR="00347302">
        <w:rPr>
          <w:lang w:val="pl-PL"/>
        </w:rPr>
        <w:t>/opiekunów</w:t>
      </w:r>
      <w:r w:rsidR="006D0AD8" w:rsidRPr="0085159D">
        <w:rPr>
          <w:lang w:val="pl-PL"/>
        </w:rPr>
        <w:t xml:space="preserve"> i nauczycieli</w:t>
      </w:r>
      <w:r w:rsidR="00024130">
        <w:rPr>
          <w:lang w:val="pl-PL"/>
        </w:rPr>
        <w:t>,</w:t>
      </w:r>
    </w:p>
    <w:p w14:paraId="12564098" w14:textId="77777777" w:rsidR="00E14925" w:rsidRPr="0085159D" w:rsidRDefault="00FD66EC" w:rsidP="000B051F">
      <w:pPr>
        <w:pStyle w:val="BulletedList"/>
        <w:rPr>
          <w:lang w:val="pl-PL"/>
        </w:rPr>
      </w:pPr>
      <w:r w:rsidRPr="0085159D">
        <w:rPr>
          <w:lang w:val="pl-PL"/>
        </w:rPr>
        <w:t>u</w:t>
      </w:r>
      <w:r w:rsidR="006D0AD8" w:rsidRPr="0085159D">
        <w:rPr>
          <w:lang w:val="pl-PL"/>
        </w:rPr>
        <w:t>chodźców z Ukrainy</w:t>
      </w:r>
      <w:r w:rsidR="008127BF" w:rsidRPr="0085159D">
        <w:rPr>
          <w:lang w:val="pl-PL"/>
        </w:rPr>
        <w:t>.</w:t>
      </w:r>
    </w:p>
    <w:p w14:paraId="11F8B095" w14:textId="77777777" w:rsidR="00E14925" w:rsidRPr="0085159D" w:rsidRDefault="006D0AD8" w:rsidP="000B051F">
      <w:pPr>
        <w:pStyle w:val="Para0"/>
        <w:rPr>
          <w:lang w:val="pl-PL"/>
        </w:rPr>
      </w:pPr>
      <w:r w:rsidRPr="0085159D">
        <w:rPr>
          <w:lang w:val="pl-PL"/>
        </w:rPr>
        <w:t xml:space="preserve">Poniżej przestawiono uzasadnienie wyboru tych grup docelowych jako priorytetowych na potrzeby realizacji pierwszego </w:t>
      </w:r>
      <w:r w:rsidR="003E6912" w:rsidRPr="0085159D">
        <w:rPr>
          <w:lang w:val="pl-PL"/>
        </w:rPr>
        <w:t>planu wdrażania</w:t>
      </w:r>
      <w:r w:rsidRPr="0085159D">
        <w:rPr>
          <w:lang w:val="pl-PL"/>
        </w:rPr>
        <w:t>. Oczekuje</w:t>
      </w:r>
      <w:r w:rsidR="003E6912" w:rsidRPr="0085159D">
        <w:rPr>
          <w:lang w:val="pl-PL"/>
        </w:rPr>
        <w:t xml:space="preserve"> się</w:t>
      </w:r>
      <w:r w:rsidRPr="0085159D">
        <w:rPr>
          <w:lang w:val="pl-PL"/>
        </w:rPr>
        <w:t>, ż</w:t>
      </w:r>
      <w:r w:rsidR="003E6912" w:rsidRPr="0085159D">
        <w:rPr>
          <w:lang w:val="pl-PL"/>
        </w:rPr>
        <w:t>e</w:t>
      </w:r>
      <w:r w:rsidRPr="0085159D">
        <w:rPr>
          <w:lang w:val="pl-PL"/>
        </w:rPr>
        <w:t xml:space="preserve"> dzięki </w:t>
      </w:r>
      <w:r w:rsidR="00E75F42" w:rsidRPr="0085159D">
        <w:rPr>
          <w:lang w:val="pl-PL"/>
        </w:rPr>
        <w:t xml:space="preserve">jego </w:t>
      </w:r>
      <w:r w:rsidR="003E6912" w:rsidRPr="0085159D">
        <w:rPr>
          <w:lang w:val="pl-PL"/>
        </w:rPr>
        <w:t>skutecznej</w:t>
      </w:r>
      <w:r w:rsidRPr="0085159D">
        <w:rPr>
          <w:lang w:val="pl-PL"/>
        </w:rPr>
        <w:t xml:space="preserve"> </w:t>
      </w:r>
      <w:r w:rsidR="003E6912" w:rsidRPr="0085159D">
        <w:rPr>
          <w:lang w:val="pl-PL"/>
        </w:rPr>
        <w:t>realizacji</w:t>
      </w:r>
      <w:r w:rsidR="00892E00">
        <w:rPr>
          <w:lang w:val="pl-PL"/>
        </w:rPr>
        <w:t xml:space="preserve"> </w:t>
      </w:r>
      <w:r w:rsidRPr="0085159D">
        <w:rPr>
          <w:lang w:val="pl-PL"/>
        </w:rPr>
        <w:t xml:space="preserve">wszystkie priorytetowe grupy </w:t>
      </w:r>
      <w:r w:rsidR="003E6912" w:rsidRPr="0085159D">
        <w:rPr>
          <w:lang w:val="pl-PL"/>
        </w:rPr>
        <w:t xml:space="preserve">docelowe </w:t>
      </w:r>
      <w:r w:rsidRPr="0085159D">
        <w:rPr>
          <w:lang w:val="pl-PL"/>
        </w:rPr>
        <w:t>skorzystają z</w:t>
      </w:r>
      <w:r w:rsidR="003E6912" w:rsidRPr="0085159D">
        <w:rPr>
          <w:lang w:val="pl-PL"/>
        </w:rPr>
        <w:t xml:space="preserve"> dostosowanych do ich potrzeb </w:t>
      </w:r>
      <w:r w:rsidRPr="0085159D">
        <w:rPr>
          <w:lang w:val="pl-PL"/>
        </w:rPr>
        <w:t>programów edukacji finansowej</w:t>
      </w:r>
      <w:r w:rsidR="003E6912" w:rsidRPr="0085159D">
        <w:rPr>
          <w:lang w:val="pl-PL"/>
        </w:rPr>
        <w:t>, w miarę możliwości uwzględniających obserwacje behawioralne.</w:t>
      </w:r>
    </w:p>
    <w:p w14:paraId="0C9B01CC" w14:textId="77777777" w:rsidR="00E14925" w:rsidRPr="0085159D" w:rsidRDefault="006D0AD8" w:rsidP="000B051F">
      <w:pPr>
        <w:pStyle w:val="Para0"/>
        <w:rPr>
          <w:lang w:val="pl-PL"/>
        </w:rPr>
      </w:pPr>
      <w:r w:rsidRPr="0085159D">
        <w:rPr>
          <w:lang w:val="pl-PL"/>
        </w:rPr>
        <w:t>W</w:t>
      </w:r>
      <w:r w:rsidR="007B1D56">
        <w:rPr>
          <w:lang w:val="pl-PL"/>
        </w:rPr>
        <w:t>ybór</w:t>
      </w:r>
      <w:r w:rsidRPr="0085159D">
        <w:rPr>
          <w:lang w:val="pl-PL"/>
        </w:rPr>
        <w:t xml:space="preserve"> pię</w:t>
      </w:r>
      <w:r w:rsidR="007B1D56">
        <w:rPr>
          <w:lang w:val="pl-PL"/>
        </w:rPr>
        <w:t>ciu</w:t>
      </w:r>
      <w:r w:rsidRPr="0085159D">
        <w:rPr>
          <w:lang w:val="pl-PL"/>
        </w:rPr>
        <w:t xml:space="preserve"> priorytetowych grup docelowych na potrzeby pierwszego </w:t>
      </w:r>
      <w:r w:rsidR="003E6912" w:rsidRPr="0085159D">
        <w:rPr>
          <w:lang w:val="pl-PL"/>
        </w:rPr>
        <w:t>planu wdr</w:t>
      </w:r>
      <w:r w:rsidR="00B11109">
        <w:rPr>
          <w:lang w:val="pl-PL"/>
        </w:rPr>
        <w:t>a</w:t>
      </w:r>
      <w:r w:rsidR="003E6912" w:rsidRPr="0085159D">
        <w:rPr>
          <w:lang w:val="pl-PL"/>
        </w:rPr>
        <w:t>ż</w:t>
      </w:r>
      <w:r w:rsidR="00B11109">
        <w:rPr>
          <w:lang w:val="pl-PL"/>
        </w:rPr>
        <w:t>a</w:t>
      </w:r>
      <w:r w:rsidR="003E6912" w:rsidRPr="0085159D">
        <w:rPr>
          <w:lang w:val="pl-PL"/>
        </w:rPr>
        <w:t>nia</w:t>
      </w:r>
      <w:r w:rsidRPr="0085159D">
        <w:rPr>
          <w:lang w:val="pl-PL"/>
        </w:rPr>
        <w:t xml:space="preserve"> nie oznacza, ż</w:t>
      </w:r>
      <w:r w:rsidR="003E6912" w:rsidRPr="0085159D">
        <w:rPr>
          <w:lang w:val="pl-PL"/>
        </w:rPr>
        <w:t>e</w:t>
      </w:r>
      <w:r w:rsidRPr="0085159D">
        <w:rPr>
          <w:lang w:val="pl-PL"/>
        </w:rPr>
        <w:t xml:space="preserve"> zakres już realizowanych inicjatyw edukacji finansowej skierowanych do innych grup docelowych ma ulec zawężeniu lub ich realizacja ma być zakończona. Ponadto oczekuje</w:t>
      </w:r>
      <w:r w:rsidR="003E6912" w:rsidRPr="0085159D">
        <w:rPr>
          <w:lang w:val="pl-PL"/>
        </w:rPr>
        <w:t xml:space="preserve"> się</w:t>
      </w:r>
      <w:r w:rsidRPr="0085159D">
        <w:rPr>
          <w:lang w:val="pl-PL"/>
        </w:rPr>
        <w:t xml:space="preserve">, że większość działań proponowanych w ramach </w:t>
      </w:r>
      <w:r w:rsidR="003E6912" w:rsidRPr="0085159D">
        <w:rPr>
          <w:lang w:val="pl-PL"/>
        </w:rPr>
        <w:t>planu wdrażania</w:t>
      </w:r>
      <w:r w:rsidRPr="0085159D">
        <w:rPr>
          <w:lang w:val="pl-PL"/>
        </w:rPr>
        <w:t xml:space="preserve"> przyniesie korzyści wszystkim grupom społecznym.</w:t>
      </w:r>
    </w:p>
    <w:p w14:paraId="31A0B565" w14:textId="77777777" w:rsidR="006D0AD8" w:rsidRPr="0085159D" w:rsidRDefault="006D0AD8" w:rsidP="000B051F">
      <w:pPr>
        <w:pStyle w:val="Nagwek3"/>
        <w:rPr>
          <w:lang w:val="pl-PL"/>
        </w:rPr>
      </w:pPr>
      <w:r w:rsidRPr="0085159D">
        <w:rPr>
          <w:bCs/>
          <w:iCs/>
          <w:lang w:val="pl-PL"/>
        </w:rPr>
        <w:lastRenderedPageBreak/>
        <w:t>Gospodarstwa domowe o niskich dochodach</w:t>
      </w:r>
    </w:p>
    <w:p w14:paraId="7D5BA5B3" w14:textId="77777777" w:rsidR="00E14925" w:rsidRPr="0085159D" w:rsidRDefault="006D0AD8" w:rsidP="000B051F">
      <w:pPr>
        <w:pStyle w:val="Para0"/>
        <w:rPr>
          <w:lang w:val="pl-PL"/>
        </w:rPr>
      </w:pPr>
      <w:r w:rsidRPr="0085159D">
        <w:rPr>
          <w:lang w:val="pl-PL"/>
        </w:rPr>
        <w:t>Niniejsza grupa docelowa wybrana została z powodu istniejących zagrożeń i trudności, z którymi borykają się gospodarstwa domowe o niskich dochodach, oraz potencjalnych</w:t>
      </w:r>
      <w:r w:rsidR="00852CCF">
        <w:rPr>
          <w:lang w:val="pl-PL"/>
        </w:rPr>
        <w:t xml:space="preserve"> zagrożeń</w:t>
      </w:r>
      <w:r w:rsidRPr="0085159D">
        <w:rPr>
          <w:lang w:val="pl-PL"/>
        </w:rPr>
        <w:t xml:space="preserve">, przed którymi </w:t>
      </w:r>
      <w:r w:rsidR="006F5DC8" w:rsidRPr="0085159D">
        <w:rPr>
          <w:lang w:val="pl-PL"/>
        </w:rPr>
        <w:t xml:space="preserve">w najbliższej przyszłości mogą </w:t>
      </w:r>
      <w:r w:rsidRPr="0085159D">
        <w:rPr>
          <w:lang w:val="pl-PL"/>
        </w:rPr>
        <w:t xml:space="preserve">stanąć w związku z rozwojem sytuacji gospodarczej (znaczącym wzrostem cen energii, </w:t>
      </w:r>
      <w:r w:rsidR="00894165" w:rsidRPr="0085159D">
        <w:rPr>
          <w:lang w:val="pl-PL"/>
        </w:rPr>
        <w:t xml:space="preserve">podwyższoną </w:t>
      </w:r>
      <w:r w:rsidRPr="0085159D">
        <w:rPr>
          <w:lang w:val="pl-PL"/>
        </w:rPr>
        <w:t xml:space="preserve">inflacją, </w:t>
      </w:r>
      <w:r w:rsidR="00894165" w:rsidRPr="0085159D">
        <w:rPr>
          <w:lang w:val="pl-PL"/>
        </w:rPr>
        <w:t xml:space="preserve">zwiększonymi </w:t>
      </w:r>
      <w:r w:rsidRPr="0085159D">
        <w:rPr>
          <w:lang w:val="pl-PL"/>
        </w:rPr>
        <w:t>stopami procentowymi itp.). Gospodarstwa domowe z</w:t>
      </w:r>
      <w:r w:rsidR="00755984">
        <w:rPr>
          <w:lang w:val="pl-PL"/>
        </w:rPr>
        <w:t> </w:t>
      </w:r>
      <w:r w:rsidRPr="0085159D">
        <w:rPr>
          <w:lang w:val="pl-PL"/>
        </w:rPr>
        <w:t>tej grupy mają ograniczone możliwości sprostania nieoczekiwanym wydatkom, a ponadto pandemia COVID-19 już uszczupliła ich oszczędności. Są to gospodarstwa,</w:t>
      </w:r>
      <w:r w:rsidR="00892E00">
        <w:rPr>
          <w:lang w:val="pl-PL"/>
        </w:rPr>
        <w:t xml:space="preserve"> </w:t>
      </w:r>
      <w:r w:rsidRPr="0085159D">
        <w:rPr>
          <w:lang w:val="pl-PL"/>
        </w:rPr>
        <w:t xml:space="preserve">które najsilniej </w:t>
      </w:r>
      <w:r w:rsidR="00894165" w:rsidRPr="0085159D">
        <w:rPr>
          <w:lang w:val="pl-PL"/>
        </w:rPr>
        <w:t>dot</w:t>
      </w:r>
      <w:r w:rsidR="00852CCF">
        <w:rPr>
          <w:lang w:val="pl-PL"/>
        </w:rPr>
        <w:t>yka</w:t>
      </w:r>
      <w:r w:rsidR="00894165" w:rsidRPr="0085159D">
        <w:rPr>
          <w:lang w:val="pl-PL"/>
        </w:rPr>
        <w:t xml:space="preserve"> </w:t>
      </w:r>
      <w:r w:rsidR="00AB2D1E" w:rsidRPr="0085159D">
        <w:rPr>
          <w:lang w:val="pl-PL"/>
        </w:rPr>
        <w:t xml:space="preserve">podwyższona </w:t>
      </w:r>
      <w:r w:rsidRPr="0085159D">
        <w:rPr>
          <w:lang w:val="pl-PL"/>
        </w:rPr>
        <w:t>inflacja</w:t>
      </w:r>
      <w:r w:rsidR="009149EF" w:rsidRPr="0085159D">
        <w:rPr>
          <w:lang w:val="pl-PL"/>
        </w:rPr>
        <w:t>. K</w:t>
      </w:r>
      <w:r w:rsidRPr="0085159D">
        <w:rPr>
          <w:lang w:val="pl-PL"/>
        </w:rPr>
        <w:t>oszty energii i żywności zazwyczaj stanowią wysoki odsetek budżetu domowego</w:t>
      </w:r>
      <w:r w:rsidR="009149EF" w:rsidRPr="0085159D">
        <w:rPr>
          <w:lang w:val="pl-PL"/>
        </w:rPr>
        <w:t xml:space="preserve"> gospodarstw, których zasoby finansowe są </w:t>
      </w:r>
      <w:r w:rsidRPr="0085159D">
        <w:rPr>
          <w:lang w:val="pl-PL"/>
        </w:rPr>
        <w:t>ograniczone</w:t>
      </w:r>
      <w:r w:rsidR="009149EF" w:rsidRPr="0085159D">
        <w:rPr>
          <w:lang w:val="pl-PL"/>
        </w:rPr>
        <w:t>.</w:t>
      </w:r>
      <w:r w:rsidRPr="0085159D">
        <w:rPr>
          <w:lang w:val="pl-PL"/>
        </w:rPr>
        <w:t xml:space="preserve"> Ta grupa docelowa jest również dość liczna i</w:t>
      </w:r>
      <w:r w:rsidR="00755984">
        <w:rPr>
          <w:lang w:val="pl-PL"/>
        </w:rPr>
        <w:t> </w:t>
      </w:r>
      <w:r w:rsidRPr="0085159D">
        <w:rPr>
          <w:lang w:val="pl-PL"/>
        </w:rPr>
        <w:t>obejmuje różnorodne podgrupy, takie jak gospodarstwa domowe z trójką lub większą liczbą dzieci; osoby</w:t>
      </w:r>
      <w:r w:rsidR="009018D4" w:rsidRPr="0085159D">
        <w:rPr>
          <w:lang w:val="pl-PL"/>
        </w:rPr>
        <w:t xml:space="preserve"> pozostające poza rynkiem pracy </w:t>
      </w:r>
      <w:r w:rsidRPr="0085159D">
        <w:rPr>
          <w:lang w:val="pl-PL"/>
        </w:rPr>
        <w:t xml:space="preserve">lub </w:t>
      </w:r>
      <w:r w:rsidR="009018D4" w:rsidRPr="0085159D">
        <w:rPr>
          <w:lang w:val="pl-PL"/>
        </w:rPr>
        <w:t xml:space="preserve">które </w:t>
      </w:r>
      <w:r w:rsidRPr="0085159D">
        <w:rPr>
          <w:lang w:val="pl-PL"/>
        </w:rPr>
        <w:t>są bezrobotne; czy też osoby utrzymujące się z emerytury lub renty. Szczególną uwagę poświęcić można os</w:t>
      </w:r>
      <w:r w:rsidR="009018D4" w:rsidRPr="0085159D">
        <w:rPr>
          <w:lang w:val="pl-PL"/>
        </w:rPr>
        <w:t>obom</w:t>
      </w:r>
      <w:r w:rsidRPr="0085159D">
        <w:rPr>
          <w:lang w:val="pl-PL"/>
        </w:rPr>
        <w:t xml:space="preserve"> starszy</w:t>
      </w:r>
      <w:r w:rsidR="009018D4" w:rsidRPr="0085159D">
        <w:rPr>
          <w:lang w:val="pl-PL"/>
        </w:rPr>
        <w:t>m</w:t>
      </w:r>
      <w:r w:rsidRPr="0085159D">
        <w:rPr>
          <w:lang w:val="pl-PL"/>
        </w:rPr>
        <w:t xml:space="preserve"> o niskich dochodach, </w:t>
      </w:r>
      <w:r w:rsidR="009149EF" w:rsidRPr="0085159D">
        <w:rPr>
          <w:lang w:val="pl-PL"/>
        </w:rPr>
        <w:t>ponieważ mogą one posiadać</w:t>
      </w:r>
      <w:r w:rsidR="00892E00">
        <w:rPr>
          <w:lang w:val="pl-PL"/>
        </w:rPr>
        <w:t xml:space="preserve"> </w:t>
      </w:r>
      <w:r w:rsidRPr="0085159D">
        <w:rPr>
          <w:lang w:val="pl-PL"/>
        </w:rPr>
        <w:t>szczególne potrzeby, trudniej jest do nich dotrzeć oraz są one mniej skłonne do</w:t>
      </w:r>
      <w:r w:rsidR="009149EF" w:rsidRPr="0085159D">
        <w:rPr>
          <w:lang w:val="pl-PL"/>
        </w:rPr>
        <w:t xml:space="preserve"> zmiany zachowań i nawyków</w:t>
      </w:r>
      <w:r w:rsidRPr="0085159D">
        <w:rPr>
          <w:lang w:val="pl-PL"/>
        </w:rPr>
        <w:t xml:space="preserve"> lub mają mniejsze </w:t>
      </w:r>
      <w:r w:rsidR="009149EF" w:rsidRPr="0085159D">
        <w:rPr>
          <w:lang w:val="pl-PL"/>
        </w:rPr>
        <w:t xml:space="preserve">ku temu </w:t>
      </w:r>
      <w:r w:rsidRPr="0085159D">
        <w:rPr>
          <w:lang w:val="pl-PL"/>
        </w:rPr>
        <w:t>możliwości.</w:t>
      </w:r>
    </w:p>
    <w:p w14:paraId="3FF0C534" w14:textId="77777777" w:rsidR="00E14925" w:rsidRPr="0085159D" w:rsidRDefault="006D0AD8" w:rsidP="000B051F">
      <w:pPr>
        <w:pStyle w:val="Para0"/>
        <w:rPr>
          <w:lang w:val="pl-PL"/>
        </w:rPr>
      </w:pPr>
      <w:r w:rsidRPr="0085159D">
        <w:rPr>
          <w:lang w:val="pl-PL"/>
        </w:rPr>
        <w:t xml:space="preserve">Różne źródła wskazują również na to, że gospodarstwa domowe o niskich dochodach częściej podlegają wykluczeniu ze zinstytucjonalizowanego sektora finansowego, mają niższe oszczędności i wyższe wskaźniki nadmiernego zadłużenia </w:t>
      </w:r>
      <w:sdt>
        <w:sdtPr>
          <w:rPr>
            <w:lang w:val="pl-PL"/>
          </w:rPr>
          <w:id w:val="1326758"/>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w:t>
          </w:r>
          <w:bookmarkStart w:id="52" w:name="Mendeley_HL1LB5KKEzudIUMChZuI__A_3"/>
          <w:r w:rsidRPr="0085159D">
            <w:rPr>
              <w:noProof/>
              <w:lang w:val="pl-PL"/>
            </w:rPr>
            <w:t>OECD, 2022</w:t>
          </w:r>
          <w:r w:rsidRPr="0085159D">
            <w:rPr>
              <w:noProof/>
              <w:vertAlign w:val="subscript"/>
              <w:lang w:val="pl-PL"/>
            </w:rPr>
            <w:t>[3]</w:t>
          </w:r>
          <w:r w:rsidRPr="0085159D">
            <w:rPr>
              <w:noProof/>
              <w:lang w:val="pl-PL"/>
            </w:rPr>
            <w:t>)</w:t>
          </w:r>
          <w:bookmarkEnd w:id="52"/>
          <w:r w:rsidRPr="0085159D">
            <w:rPr>
              <w:lang w:val="pl-PL"/>
            </w:rPr>
            <w:fldChar w:fldCharType="end"/>
          </w:r>
        </w:sdtContent>
      </w:sdt>
      <w:r w:rsidRPr="0085159D">
        <w:rPr>
          <w:lang w:val="pl-PL"/>
        </w:rPr>
        <w:t xml:space="preserve">. Ponadto osoby z gospodarstw domowych o niskich dochodach mają niższy poziom kompetencji finansowych w porównaniu z gospodarstwami o dochodach wysokich </w:t>
      </w:r>
      <w:sdt>
        <w:sdtPr>
          <w:rPr>
            <w:lang w:val="pl-PL"/>
          </w:rPr>
          <w:id w:val="518513149"/>
          <w:citation/>
        </w:sdtPr>
        <w:sdtEndPr/>
        <w:sdtContent>
          <w:r w:rsidRPr="0085159D">
            <w:rPr>
              <w:lang w:val="pl-PL"/>
            </w:rPr>
            <w:fldChar w:fldCharType="begin"/>
          </w:r>
          <w:r w:rsidRPr="0085159D">
            <w:rPr>
              <w:lang w:val="pl-PL"/>
            </w:rPr>
            <w:instrText xml:space="preserve"> CITATION Mendeley_8lCJr_J5ljC5UalIEA3Gvw \l 2057 </w:instrText>
          </w:r>
          <w:r w:rsidRPr="0085159D">
            <w:rPr>
              <w:lang w:val="pl-PL"/>
            </w:rPr>
            <w:fldChar w:fldCharType="separate"/>
          </w:r>
          <w:r w:rsidRPr="0085159D">
            <w:rPr>
              <w:noProof/>
              <w:lang w:val="pl-PL"/>
            </w:rPr>
            <w:t>(OECD, 2020</w:t>
          </w:r>
          <w:r w:rsidRPr="0085159D">
            <w:rPr>
              <w:noProof/>
              <w:vertAlign w:val="subscript"/>
              <w:lang w:val="pl-PL"/>
            </w:rPr>
            <w:t>[5]</w:t>
          </w:r>
          <w:r w:rsidRPr="0085159D">
            <w:rPr>
              <w:noProof/>
              <w:lang w:val="pl-PL"/>
            </w:rPr>
            <w:t>)</w:t>
          </w:r>
          <w:r w:rsidRPr="0085159D">
            <w:rPr>
              <w:lang w:val="pl-PL"/>
            </w:rPr>
            <w:fldChar w:fldCharType="end"/>
          </w:r>
        </w:sdtContent>
      </w:sdt>
      <w:r w:rsidRPr="0085159D">
        <w:rPr>
          <w:lang w:val="pl-PL"/>
        </w:rPr>
        <w:t xml:space="preserve">. Pomimo </w:t>
      </w:r>
      <w:r w:rsidR="009149EF" w:rsidRPr="0085159D">
        <w:rPr>
          <w:lang w:val="pl-PL"/>
        </w:rPr>
        <w:t xml:space="preserve">pilnej </w:t>
      </w:r>
      <w:r w:rsidRPr="0085159D">
        <w:rPr>
          <w:lang w:val="pl-PL"/>
        </w:rPr>
        <w:t xml:space="preserve">potrzeby udzielenia wsparcia tym gospodarstwom domowym, istnieje ograniczona liczba programów edukacji finansowej skierowanych konkretnie do nich lub odpowiadających na ich potrzeby. Dlatego też pierwszy </w:t>
      </w:r>
      <w:r w:rsidR="009018D4" w:rsidRPr="0085159D">
        <w:rPr>
          <w:lang w:val="pl-PL"/>
        </w:rPr>
        <w:t>plan wdrażania</w:t>
      </w:r>
      <w:r w:rsidRPr="0085159D">
        <w:rPr>
          <w:lang w:val="pl-PL"/>
        </w:rPr>
        <w:t xml:space="preserve"> obejmuje ukierunkowane </w:t>
      </w:r>
      <w:r w:rsidR="009018D4" w:rsidRPr="0085159D">
        <w:rPr>
          <w:lang w:val="pl-PL"/>
        </w:rPr>
        <w:t xml:space="preserve">działania mające na celu </w:t>
      </w:r>
      <w:r w:rsidRPr="0085159D">
        <w:rPr>
          <w:lang w:val="pl-PL"/>
        </w:rPr>
        <w:t xml:space="preserve">dotarcie do tej </w:t>
      </w:r>
      <w:r w:rsidR="009018D4" w:rsidRPr="0085159D">
        <w:rPr>
          <w:lang w:val="pl-PL"/>
        </w:rPr>
        <w:t xml:space="preserve">zagrożonej </w:t>
      </w:r>
      <w:r w:rsidRPr="0085159D">
        <w:rPr>
          <w:lang w:val="pl-PL"/>
        </w:rPr>
        <w:t xml:space="preserve">trudnościami </w:t>
      </w:r>
      <w:r w:rsidR="009018D4" w:rsidRPr="0085159D">
        <w:rPr>
          <w:lang w:val="pl-PL"/>
        </w:rPr>
        <w:t>finansowymi</w:t>
      </w:r>
      <w:r w:rsidR="00B11109" w:rsidRPr="00B11109">
        <w:rPr>
          <w:lang w:val="pl-PL"/>
        </w:rPr>
        <w:t xml:space="preserve"> </w:t>
      </w:r>
      <w:r w:rsidR="00B11109" w:rsidRPr="0085159D">
        <w:rPr>
          <w:lang w:val="pl-PL"/>
        </w:rPr>
        <w:t>grupy</w:t>
      </w:r>
      <w:r w:rsidRPr="0085159D">
        <w:rPr>
          <w:lang w:val="pl-PL"/>
        </w:rPr>
        <w:t>.</w:t>
      </w:r>
    </w:p>
    <w:p w14:paraId="12CA3B6D" w14:textId="77777777" w:rsidR="006D0AD8" w:rsidRPr="0085159D" w:rsidRDefault="006D0AD8" w:rsidP="000B051F">
      <w:pPr>
        <w:pStyle w:val="Nagwek3"/>
        <w:rPr>
          <w:lang w:val="pl-PL"/>
        </w:rPr>
      </w:pPr>
      <w:r w:rsidRPr="0085159D">
        <w:rPr>
          <w:bCs/>
          <w:iCs/>
          <w:lang w:val="pl-PL"/>
        </w:rPr>
        <w:t>Konsumenci narażeni na nadmierne zadłużenie lub już nadmiernie zadłużeni</w:t>
      </w:r>
    </w:p>
    <w:p w14:paraId="73568EC6" w14:textId="77777777" w:rsidR="00E14925" w:rsidRPr="0085159D" w:rsidRDefault="006D0AD8" w:rsidP="000B051F">
      <w:pPr>
        <w:pStyle w:val="Para0"/>
        <w:rPr>
          <w:lang w:val="pl-PL"/>
        </w:rPr>
      </w:pPr>
      <w:r w:rsidRPr="0085159D">
        <w:rPr>
          <w:lang w:val="pl-PL"/>
        </w:rPr>
        <w:t xml:space="preserve">Polacy zagrożeni nadmiernym zadłużeniem </w:t>
      </w:r>
      <w:r w:rsidR="00F86CCC" w:rsidRPr="0085159D">
        <w:rPr>
          <w:lang w:val="pl-PL"/>
        </w:rPr>
        <w:t xml:space="preserve">lub już nadmiernie zadłużeni </w:t>
      </w:r>
      <w:r w:rsidRPr="0085159D">
        <w:rPr>
          <w:lang w:val="pl-PL"/>
        </w:rPr>
        <w:t xml:space="preserve">odczuwać mogą wysoki poziom stresu i napotykać trudności finansowe. Osobę nadmiernie zadłużoną definiuje się jako osobę, która nie jest w stanie dokonywać płatności związanych ze swymi zobowiązaniami finansowymi przez dłuższy czas (kilka miesięcy). Zobowiązania te obejmować mogą kredyty lub pożyczki udzielone przez instytucje finansowe, lecz również zaległe płatności rachunków, czynszu, opłat z tytułu opieki zdrowotnej, podatków lub składek ubezpieczeniowych </w:t>
      </w:r>
      <w:sdt>
        <w:sdtPr>
          <w:rPr>
            <w:lang w:val="pl-PL"/>
          </w:rPr>
          <w:id w:val="1950816675"/>
          <w:citation/>
        </w:sdtPr>
        <w:sdtEndPr/>
        <w:sdtContent>
          <w:r w:rsidRPr="0085159D">
            <w:rPr>
              <w:lang w:val="pl-PL"/>
            </w:rPr>
            <w:fldChar w:fldCharType="begin"/>
          </w:r>
          <w:r w:rsidRPr="0085159D">
            <w:rPr>
              <w:lang w:val="pl-PL"/>
            </w:rPr>
            <w:instrText xml:space="preserve"> CITATION Mendeley_hqBJyXW93jmGPE__H8Cp6Gw \l 2057 </w:instrText>
          </w:r>
          <w:r w:rsidRPr="0085159D">
            <w:rPr>
              <w:lang w:val="pl-PL"/>
            </w:rPr>
            <w:fldChar w:fldCharType="separate"/>
          </w:r>
          <w:r w:rsidRPr="0085159D">
            <w:rPr>
              <w:noProof/>
              <w:lang w:val="pl-PL"/>
            </w:rPr>
            <w:t>(Eurofound, 2020</w:t>
          </w:r>
          <w:r w:rsidRPr="0085159D">
            <w:rPr>
              <w:noProof/>
              <w:vertAlign w:val="subscript"/>
              <w:lang w:val="pl-PL"/>
            </w:rPr>
            <w:t>[6]</w:t>
          </w:r>
          <w:r w:rsidRPr="0085159D">
            <w:rPr>
              <w:noProof/>
              <w:lang w:val="pl-PL"/>
            </w:rPr>
            <w:t>)</w:t>
          </w:r>
          <w:r w:rsidRPr="0085159D">
            <w:rPr>
              <w:lang w:val="pl-PL"/>
            </w:rPr>
            <w:fldChar w:fldCharType="end"/>
          </w:r>
        </w:sdtContent>
      </w:sdt>
      <w:r w:rsidRPr="0085159D">
        <w:rPr>
          <w:lang w:val="pl-PL"/>
        </w:rPr>
        <w:t xml:space="preserve">. Polska plasuje się nieco poniżej średniej UE-28 pod względem osób w wieku powyżej 18 </w:t>
      </w:r>
      <w:r w:rsidR="009149EF" w:rsidRPr="0085159D">
        <w:rPr>
          <w:lang w:val="pl-PL"/>
        </w:rPr>
        <w:t xml:space="preserve">roku życia </w:t>
      </w:r>
      <w:r w:rsidRPr="0085159D">
        <w:rPr>
          <w:lang w:val="pl-PL"/>
        </w:rPr>
        <w:t>mających nadmierne zadłużenie: odsetek gospodarstw domowych zagrożonych nadmiernym zadłużeniem wynosi około 20%</w:t>
      </w:r>
      <w:sdt>
        <w:sdtPr>
          <w:rPr>
            <w:lang w:val="pl-PL"/>
          </w:rPr>
          <w:id w:val="1871565930"/>
          <w:citation/>
        </w:sdtPr>
        <w:sdtEndPr/>
        <w:sdtContent>
          <w:r w:rsidRPr="0085159D">
            <w:rPr>
              <w:lang w:val="pl-PL"/>
            </w:rPr>
            <w:fldChar w:fldCharType="begin"/>
          </w:r>
          <w:r w:rsidRPr="0085159D">
            <w:rPr>
              <w:lang w:val="pl-PL"/>
            </w:rPr>
            <w:instrText xml:space="preserve"> CITATION Mendeley_hqBJyXW93jmGPE__H8Cp6Gw \l 2057 </w:instrText>
          </w:r>
          <w:r w:rsidRPr="0085159D">
            <w:rPr>
              <w:lang w:val="pl-PL"/>
            </w:rPr>
            <w:fldChar w:fldCharType="separate"/>
          </w:r>
          <w:r w:rsidRPr="0085159D">
            <w:rPr>
              <w:noProof/>
              <w:lang w:val="pl-PL"/>
            </w:rPr>
            <w:t xml:space="preserve"> (Eurofound, 2020</w:t>
          </w:r>
          <w:r w:rsidRPr="0085159D">
            <w:rPr>
              <w:noProof/>
              <w:vertAlign w:val="subscript"/>
              <w:lang w:val="pl-PL"/>
            </w:rPr>
            <w:t>[6]</w:t>
          </w:r>
          <w:r w:rsidRPr="0085159D">
            <w:rPr>
              <w:noProof/>
              <w:lang w:val="pl-PL"/>
            </w:rPr>
            <w:t>)</w:t>
          </w:r>
          <w:r w:rsidRPr="0085159D">
            <w:rPr>
              <w:lang w:val="pl-PL"/>
            </w:rPr>
            <w:fldChar w:fldCharType="end"/>
          </w:r>
        </w:sdtContent>
      </w:sdt>
      <w:r w:rsidRPr="0085159D">
        <w:rPr>
          <w:lang w:val="pl-PL"/>
        </w:rPr>
        <w:t>. Z drugiej strony, sytuacja ta może ulec zmianie w kontekście wspomnianych powyżej zmieniających się globalnych uwarunkowań makroekonomicznych. Szczególnie trudna jest sytuacja Polaków spłacających zaciągnięte zadłużenie, zwłaszcza w obecnych warunkach gospodarczej niepewności.</w:t>
      </w:r>
    </w:p>
    <w:p w14:paraId="5AB03B63" w14:textId="77777777" w:rsidR="00E14925" w:rsidRPr="0085159D" w:rsidRDefault="006D0AD8" w:rsidP="000B051F">
      <w:pPr>
        <w:pStyle w:val="Para0"/>
        <w:rPr>
          <w:lang w:val="pl-PL"/>
        </w:rPr>
      </w:pPr>
      <w:r w:rsidRPr="0085159D">
        <w:rPr>
          <w:lang w:val="pl-PL"/>
        </w:rPr>
        <w:t xml:space="preserve">Podobnie jak pozostałe grupy docelowe, do których głównie skierowane są działania niniejszego </w:t>
      </w:r>
      <w:r w:rsidR="00724905" w:rsidRPr="0085159D">
        <w:rPr>
          <w:lang w:val="pl-PL"/>
        </w:rPr>
        <w:t>planu wdrażania</w:t>
      </w:r>
      <w:r w:rsidRPr="0085159D">
        <w:rPr>
          <w:lang w:val="pl-PL"/>
        </w:rPr>
        <w:t xml:space="preserve">, tę grupę również cechuje </w:t>
      </w:r>
      <w:r w:rsidR="00724905" w:rsidRPr="0085159D">
        <w:rPr>
          <w:lang w:val="pl-PL"/>
        </w:rPr>
        <w:t xml:space="preserve">różnorodność </w:t>
      </w:r>
      <w:r w:rsidRPr="0085159D">
        <w:rPr>
          <w:lang w:val="pl-PL"/>
        </w:rPr>
        <w:t>i może ona obejmować specyficzne podgrupy (na przykład osoby, które skorzystały z</w:t>
      </w:r>
      <w:r w:rsidR="00724905" w:rsidRPr="0085159D">
        <w:rPr>
          <w:lang w:val="pl-PL"/>
        </w:rPr>
        <w:t xml:space="preserve"> instytucji upadłości </w:t>
      </w:r>
      <w:r w:rsidRPr="0085159D">
        <w:rPr>
          <w:lang w:val="pl-PL"/>
        </w:rPr>
        <w:t>konsumenckiej, osoby borykające się ze spłatą kredytów bankowych lub inne podgrupy o podobnych trudnościach). Opracowanie programów edukacji finansowej stanowiących skuteczną interwencję wymaga dokładnego zrozumienia tych grup docelowych.</w:t>
      </w:r>
    </w:p>
    <w:p w14:paraId="35E32FBD" w14:textId="77777777" w:rsidR="006D0AD8" w:rsidRPr="0085159D" w:rsidRDefault="006D0AD8" w:rsidP="000B051F">
      <w:pPr>
        <w:pStyle w:val="Para0"/>
        <w:rPr>
          <w:lang w:val="pl-PL"/>
        </w:rPr>
      </w:pPr>
      <w:r w:rsidRPr="0085159D">
        <w:rPr>
          <w:lang w:val="pl-PL"/>
        </w:rPr>
        <w:t xml:space="preserve">Edukację finansową można wykorzystać do wspierania wiedzy </w:t>
      </w:r>
      <w:r w:rsidR="00724905" w:rsidRPr="0085159D">
        <w:rPr>
          <w:lang w:val="pl-PL"/>
        </w:rPr>
        <w:t xml:space="preserve">i umiejętności w zakresie </w:t>
      </w:r>
      <w:r w:rsidR="009149EF" w:rsidRPr="0085159D">
        <w:rPr>
          <w:lang w:val="pl-PL"/>
        </w:rPr>
        <w:t xml:space="preserve">planowania </w:t>
      </w:r>
      <w:r w:rsidRPr="0085159D">
        <w:rPr>
          <w:lang w:val="pl-PL"/>
        </w:rPr>
        <w:t>budżet</w:t>
      </w:r>
      <w:r w:rsidR="009149EF" w:rsidRPr="0085159D">
        <w:rPr>
          <w:lang w:val="pl-PL"/>
        </w:rPr>
        <w:t>u domowego</w:t>
      </w:r>
      <w:r w:rsidRPr="0085159D">
        <w:rPr>
          <w:lang w:val="pl-PL"/>
        </w:rPr>
        <w:t xml:space="preserve"> oraz oszczędzania jako „alternatywy” dla zaciągania pożyczek, przy jednoczesnym podnoszeniu świadomości na temat praw konsumentów w kontekście umów kredytowych, potencjalnych pułapek w procesie udzielania pożyczek czy kredytów, ryzyka związanego z kosztownymi kredytami konsumenckimi i innymi formami kredytu w sytuacji </w:t>
      </w:r>
      <w:r w:rsidR="00894165" w:rsidRPr="0085159D">
        <w:rPr>
          <w:lang w:val="pl-PL"/>
        </w:rPr>
        <w:t xml:space="preserve">zwiększonych </w:t>
      </w:r>
      <w:r w:rsidRPr="0085159D">
        <w:rPr>
          <w:lang w:val="pl-PL"/>
        </w:rPr>
        <w:t xml:space="preserve">stóp procentowych. Edukacja ta powinna również </w:t>
      </w:r>
      <w:r w:rsidR="009149EF" w:rsidRPr="0085159D">
        <w:rPr>
          <w:lang w:val="pl-PL"/>
        </w:rPr>
        <w:t xml:space="preserve">wyposażać w </w:t>
      </w:r>
      <w:r w:rsidRPr="0085159D">
        <w:rPr>
          <w:lang w:val="pl-PL"/>
        </w:rPr>
        <w:t xml:space="preserve">wiedzę i umiejętności w zakresie wychodzenia z nadmiernego zadłużenia. W tym kontekście edukacja finansowa postrzegana może być na przykład jako „narzędzie naprawcze” dla </w:t>
      </w:r>
      <w:r w:rsidRPr="0085159D">
        <w:rPr>
          <w:lang w:val="pl-PL"/>
        </w:rPr>
        <w:lastRenderedPageBreak/>
        <w:t>osób borykających się z problemami finansowymi, a także jako środek „rehabilitacji finansowej” osób, które doświadczyły problemów finansowych.</w:t>
      </w:r>
    </w:p>
    <w:p w14:paraId="67AB3947" w14:textId="77777777" w:rsidR="006D0AD8" w:rsidRPr="0085159D" w:rsidRDefault="006D0AD8" w:rsidP="000B051F">
      <w:pPr>
        <w:pStyle w:val="Nagwek3"/>
        <w:rPr>
          <w:lang w:val="pl-PL"/>
        </w:rPr>
      </w:pPr>
      <w:r w:rsidRPr="0085159D">
        <w:rPr>
          <w:bCs/>
          <w:iCs/>
          <w:lang w:val="pl-PL"/>
        </w:rPr>
        <w:t>Osoby pracujące, zwłaszcza te zbliżające się do wieku emerytalnego</w:t>
      </w:r>
    </w:p>
    <w:p w14:paraId="2EC14DE8" w14:textId="77777777" w:rsidR="00E14925" w:rsidRPr="0085159D" w:rsidRDefault="006D0AD8" w:rsidP="000B051F">
      <w:pPr>
        <w:pStyle w:val="Para0"/>
        <w:rPr>
          <w:lang w:val="pl-PL"/>
        </w:rPr>
      </w:pPr>
      <w:r w:rsidRPr="0085159D">
        <w:rPr>
          <w:lang w:val="pl-PL"/>
        </w:rPr>
        <w:t xml:space="preserve">Do grupy osób pracujących można łatwo i skutecznie dotrzeć za pośrednictwem edukacji finansowej oferowanej w ich miejscu pracy. Zmiany we wzorcach postępowania tej grupy docelowej mogą mieć istotny wpływ nie tylko na poziomie gospodarstw domowych, lecz również na poziomie całego społeczeństwa, poprzez </w:t>
      </w:r>
      <w:r w:rsidR="00724905" w:rsidRPr="0085159D">
        <w:rPr>
          <w:lang w:val="pl-PL"/>
        </w:rPr>
        <w:t>wzrost</w:t>
      </w:r>
      <w:r w:rsidRPr="0085159D">
        <w:rPr>
          <w:lang w:val="pl-PL"/>
        </w:rPr>
        <w:t xml:space="preserve"> poziom</w:t>
      </w:r>
      <w:r w:rsidR="00724905" w:rsidRPr="0085159D">
        <w:rPr>
          <w:lang w:val="pl-PL"/>
        </w:rPr>
        <w:t>u</w:t>
      </w:r>
      <w:r w:rsidRPr="0085159D">
        <w:rPr>
          <w:lang w:val="pl-PL"/>
        </w:rPr>
        <w:t xml:space="preserve"> oszczędności oraz wyższy odsetek osób inwestujących posiadane środki finansowe. Ponadto </w:t>
      </w:r>
      <w:r w:rsidR="00724905" w:rsidRPr="0085159D">
        <w:rPr>
          <w:lang w:val="pl-PL"/>
        </w:rPr>
        <w:t>z grupy tej można wyłonić podgrupy</w:t>
      </w:r>
      <w:r w:rsidRPr="0085159D">
        <w:rPr>
          <w:lang w:val="pl-PL"/>
        </w:rPr>
        <w:t>, w celu skupienia się na osobach pracujących o</w:t>
      </w:r>
      <w:r w:rsidR="00755984">
        <w:rPr>
          <w:lang w:val="pl-PL"/>
        </w:rPr>
        <w:t> </w:t>
      </w:r>
      <w:r w:rsidRPr="0085159D">
        <w:rPr>
          <w:lang w:val="pl-PL"/>
        </w:rPr>
        <w:t xml:space="preserve">niższych dochodach lub zbliżających się do wieku emerytalnego (50+). Zwłaszcza ta ostatnia podgrupa ma przed sobą już niewiele lat </w:t>
      </w:r>
      <w:r w:rsidR="00724905" w:rsidRPr="0085159D">
        <w:rPr>
          <w:lang w:val="pl-PL"/>
        </w:rPr>
        <w:t xml:space="preserve">pracy </w:t>
      </w:r>
      <w:r w:rsidRPr="0085159D">
        <w:rPr>
          <w:lang w:val="pl-PL"/>
        </w:rPr>
        <w:t xml:space="preserve">dających możliwość zgromadzenia potrzebnych oszczędności oraz </w:t>
      </w:r>
      <w:r w:rsidR="003805AB" w:rsidRPr="0085159D">
        <w:rPr>
          <w:lang w:val="pl-PL"/>
        </w:rPr>
        <w:t xml:space="preserve">prawidłowej oceny niezawodności </w:t>
      </w:r>
      <w:r w:rsidRPr="0085159D">
        <w:rPr>
          <w:lang w:val="pl-PL"/>
        </w:rPr>
        <w:t>posiadan</w:t>
      </w:r>
      <w:r w:rsidR="003805AB" w:rsidRPr="0085159D">
        <w:rPr>
          <w:lang w:val="pl-PL"/>
        </w:rPr>
        <w:t>ych</w:t>
      </w:r>
      <w:r w:rsidRPr="0085159D">
        <w:rPr>
          <w:lang w:val="pl-PL"/>
        </w:rPr>
        <w:t xml:space="preserve"> plan</w:t>
      </w:r>
      <w:r w:rsidR="003805AB" w:rsidRPr="0085159D">
        <w:rPr>
          <w:lang w:val="pl-PL"/>
        </w:rPr>
        <w:t>ów</w:t>
      </w:r>
      <w:r w:rsidRPr="0085159D">
        <w:rPr>
          <w:lang w:val="pl-PL"/>
        </w:rPr>
        <w:t xml:space="preserve"> emerytaln</w:t>
      </w:r>
      <w:r w:rsidR="003805AB" w:rsidRPr="0085159D">
        <w:rPr>
          <w:lang w:val="pl-PL"/>
        </w:rPr>
        <w:t>ych</w:t>
      </w:r>
      <w:r w:rsidRPr="0085159D">
        <w:rPr>
          <w:lang w:val="pl-PL"/>
        </w:rPr>
        <w:t>. Osoby te mogą również być bardziej chętne i otwarte na możliwości uczenia się i dokonywania właściwych wyborów wraz ze zbliżaniem się do osiągnięcia wieku emerytalnego.</w:t>
      </w:r>
    </w:p>
    <w:p w14:paraId="48D69373" w14:textId="77777777" w:rsidR="00E14925" w:rsidRPr="0085159D" w:rsidRDefault="006D0AD8" w:rsidP="000B051F">
      <w:pPr>
        <w:pStyle w:val="Para0"/>
        <w:rPr>
          <w:lang w:val="pl-PL"/>
        </w:rPr>
      </w:pPr>
      <w:r w:rsidRPr="0085159D">
        <w:rPr>
          <w:lang w:val="pl-PL"/>
        </w:rPr>
        <w:t>Edukacja finansowa</w:t>
      </w:r>
      <w:r w:rsidR="009149EF" w:rsidRPr="0085159D">
        <w:rPr>
          <w:lang w:val="pl-PL"/>
        </w:rPr>
        <w:t xml:space="preserve"> oferowana w miejscu pracy</w:t>
      </w:r>
      <w:r w:rsidR="003805AB" w:rsidRPr="0085159D">
        <w:rPr>
          <w:lang w:val="pl-PL"/>
        </w:rPr>
        <w:t xml:space="preserve">, która koncentruje się, między innymi, na planowaniu finansowym, oszczędzaniu długoterminowym oraz inwestowaniu </w:t>
      </w:r>
      <w:r w:rsidRPr="0085159D">
        <w:rPr>
          <w:lang w:val="pl-PL"/>
        </w:rPr>
        <w:t>jest skutecznym sposobem dotarcia z</w:t>
      </w:r>
      <w:r w:rsidR="00755984">
        <w:rPr>
          <w:lang w:val="pl-PL"/>
        </w:rPr>
        <w:t> </w:t>
      </w:r>
      <w:r w:rsidRPr="0085159D">
        <w:rPr>
          <w:lang w:val="pl-PL"/>
        </w:rPr>
        <w:t xml:space="preserve">dopasowaną ofertą edukacyjną do dużej liczby osób dorosłych </w:t>
      </w:r>
      <w:sdt>
        <w:sdtPr>
          <w:rPr>
            <w:lang w:val="pl-PL"/>
          </w:rPr>
          <w:id w:val="-774179703"/>
          <w:citation/>
        </w:sdtPr>
        <w:sdtEndPr/>
        <w:sdtContent>
          <w:r w:rsidRPr="0085159D">
            <w:rPr>
              <w:lang w:val="pl-PL"/>
            </w:rPr>
            <w:fldChar w:fldCharType="begin"/>
          </w:r>
          <w:r w:rsidRPr="0085159D">
            <w:rPr>
              <w:lang w:val="pl-PL"/>
            </w:rPr>
            <w:instrText xml:space="preserve"> CITATION Kappa_b211112e \l 2057 </w:instrText>
          </w:r>
          <w:r w:rsidRPr="0085159D">
            <w:rPr>
              <w:lang w:val="pl-PL"/>
            </w:rPr>
            <w:fldChar w:fldCharType="separate"/>
          </w:r>
          <w:r w:rsidRPr="0085159D">
            <w:rPr>
              <w:noProof/>
              <w:lang w:val="pl-PL"/>
            </w:rPr>
            <w:t>(</w:t>
          </w:r>
          <w:bookmarkStart w:id="53" w:name="Kappa_b211112e_30"/>
          <w:r w:rsidRPr="0085159D">
            <w:rPr>
              <w:noProof/>
              <w:lang w:val="pl-PL"/>
            </w:rPr>
            <w:t>OECD, 2022</w:t>
          </w:r>
          <w:r w:rsidRPr="0085159D">
            <w:rPr>
              <w:noProof/>
              <w:vertAlign w:val="subscript"/>
              <w:lang w:val="pl-PL"/>
            </w:rPr>
            <w:t>[30]</w:t>
          </w:r>
          <w:r w:rsidRPr="0085159D">
            <w:rPr>
              <w:noProof/>
              <w:lang w:val="pl-PL"/>
            </w:rPr>
            <w:t>)</w:t>
          </w:r>
          <w:bookmarkEnd w:id="53"/>
          <w:r w:rsidRPr="0085159D">
            <w:rPr>
              <w:lang w:val="pl-PL"/>
            </w:rPr>
            <w:fldChar w:fldCharType="end"/>
          </w:r>
        </w:sdtContent>
      </w:sdt>
      <w:r w:rsidRPr="0085159D">
        <w:rPr>
          <w:lang w:val="pl-PL"/>
        </w:rPr>
        <w:t xml:space="preserve">. Dlatego też pierwszy </w:t>
      </w:r>
      <w:r w:rsidR="003805AB" w:rsidRPr="0085159D">
        <w:rPr>
          <w:lang w:val="pl-PL"/>
        </w:rPr>
        <w:t>plan wdrażania</w:t>
      </w:r>
      <w:r w:rsidRPr="0085159D">
        <w:rPr>
          <w:lang w:val="pl-PL"/>
        </w:rPr>
        <w:t xml:space="preserve"> obejmuje działania ukierunkowane na dotarcie do tej grupy.</w:t>
      </w:r>
    </w:p>
    <w:p w14:paraId="6AE37845" w14:textId="082999DD" w:rsidR="00E14925" w:rsidRPr="0085159D" w:rsidRDefault="006D0AD8" w:rsidP="000B051F">
      <w:pPr>
        <w:pStyle w:val="Nagwek3"/>
        <w:rPr>
          <w:lang w:val="pl-PL"/>
        </w:rPr>
      </w:pPr>
      <w:r w:rsidRPr="0085159D">
        <w:rPr>
          <w:bCs/>
          <w:iCs/>
          <w:lang w:val="pl-PL"/>
        </w:rPr>
        <w:t xml:space="preserve">Dzieci, </w:t>
      </w:r>
      <w:r w:rsidR="003805AB" w:rsidRPr="0085159D">
        <w:rPr>
          <w:bCs/>
          <w:iCs/>
          <w:lang w:val="pl-PL"/>
        </w:rPr>
        <w:t>młodzież</w:t>
      </w:r>
      <w:r w:rsidRPr="0085159D">
        <w:rPr>
          <w:bCs/>
          <w:iCs/>
          <w:lang w:val="pl-PL"/>
        </w:rPr>
        <w:t>, rodzice</w:t>
      </w:r>
      <w:r w:rsidR="00347302">
        <w:rPr>
          <w:bCs/>
          <w:iCs/>
          <w:lang w:val="pl-PL"/>
        </w:rPr>
        <w:t>/opiekunowie</w:t>
      </w:r>
      <w:r w:rsidRPr="0085159D">
        <w:rPr>
          <w:bCs/>
          <w:iCs/>
          <w:lang w:val="pl-PL"/>
        </w:rPr>
        <w:t xml:space="preserve"> i nauczyciele</w:t>
      </w:r>
    </w:p>
    <w:p w14:paraId="3389D292" w14:textId="47BFCAA8" w:rsidR="00E14925" w:rsidRPr="0085159D" w:rsidRDefault="006D0AD8" w:rsidP="000B051F">
      <w:pPr>
        <w:pStyle w:val="Para0"/>
        <w:rPr>
          <w:lang w:val="pl-PL"/>
        </w:rPr>
      </w:pPr>
      <w:r w:rsidRPr="0085159D">
        <w:rPr>
          <w:lang w:val="pl-PL"/>
        </w:rPr>
        <w:t xml:space="preserve">Dzieci, </w:t>
      </w:r>
      <w:r w:rsidR="003805AB" w:rsidRPr="0085159D">
        <w:rPr>
          <w:lang w:val="pl-PL"/>
        </w:rPr>
        <w:t>młodzież</w:t>
      </w:r>
      <w:r w:rsidRPr="0085159D">
        <w:rPr>
          <w:lang w:val="pl-PL"/>
        </w:rPr>
        <w:t>, rodzice</w:t>
      </w:r>
      <w:r w:rsidR="00347302">
        <w:rPr>
          <w:lang w:val="pl-PL"/>
        </w:rPr>
        <w:t>/opiekunowie</w:t>
      </w:r>
      <w:r w:rsidRPr="0085159D">
        <w:rPr>
          <w:lang w:val="pl-PL"/>
        </w:rPr>
        <w:t xml:space="preserve"> i nauczyciele stanowią priorytetowe grupy docelowe w całym okresie wdrażania </w:t>
      </w:r>
      <w:r w:rsidR="00E75F42" w:rsidRPr="0085159D">
        <w:rPr>
          <w:lang w:val="pl-PL"/>
        </w:rPr>
        <w:t>S</w:t>
      </w:r>
      <w:r w:rsidRPr="0085159D">
        <w:rPr>
          <w:lang w:val="pl-PL"/>
        </w:rPr>
        <w:t xml:space="preserve">trategii (czyli przez siedem lat od daty </w:t>
      </w:r>
      <w:r w:rsidR="00C45851">
        <w:rPr>
          <w:lang w:val="pl-PL"/>
        </w:rPr>
        <w:t xml:space="preserve">jej </w:t>
      </w:r>
      <w:r w:rsidRPr="0085159D">
        <w:rPr>
          <w:lang w:val="pl-PL"/>
        </w:rPr>
        <w:t>przyjęcia). Edukacja finansowa jest ważna od najmłodszych lat (już na poziomie przedszkola). Mimo ż</w:t>
      </w:r>
      <w:r w:rsidR="00BE62CB" w:rsidRPr="0085159D">
        <w:rPr>
          <w:lang w:val="pl-PL"/>
        </w:rPr>
        <w:t>e</w:t>
      </w:r>
      <w:r w:rsidRPr="0085159D">
        <w:rPr>
          <w:lang w:val="pl-PL"/>
        </w:rPr>
        <w:t xml:space="preserve"> w Polsce wiele programów edukacji finansowej skierowanych jest do dzieci i młodzieży, poziom kompetencji finansowych w tych grupach pozostaje </w:t>
      </w:r>
      <w:r w:rsidR="00BE62CB" w:rsidRPr="0085159D">
        <w:rPr>
          <w:lang w:val="pl-PL"/>
        </w:rPr>
        <w:t>ograniczony</w:t>
      </w:r>
      <w:r w:rsidRPr="0085159D">
        <w:rPr>
          <w:lang w:val="pl-PL"/>
        </w:rPr>
        <w:t xml:space="preserve">. Niektóre dzieci posiadać mogą mniej wiedzy i umiejętności finansowych niż ich rówieśnicy. Bowiem dzieci oraz </w:t>
      </w:r>
      <w:r w:rsidR="00BE62CB" w:rsidRPr="0085159D">
        <w:rPr>
          <w:lang w:val="pl-PL"/>
        </w:rPr>
        <w:t>młodzież</w:t>
      </w:r>
      <w:r w:rsidRPr="0085159D">
        <w:rPr>
          <w:lang w:val="pl-PL"/>
        </w:rPr>
        <w:t xml:space="preserve"> pochodzący z rodzin o niekorzystnej sytuacji społeczno-ekonomicznej lub ze środowisk migracyjnych, jak również dzieci, które dorastają w domach dziecka, należą do grup wymagających priorytetowego wsparcia w celu nabycia tak bardzo potrzebnych umiejętności finansowych.</w:t>
      </w:r>
    </w:p>
    <w:p w14:paraId="49600D45" w14:textId="77777777" w:rsidR="006D0AD8" w:rsidRPr="0085159D" w:rsidRDefault="006D0AD8" w:rsidP="000B051F">
      <w:pPr>
        <w:pStyle w:val="Tekstkomentarza"/>
        <w:widowControl/>
        <w:spacing w:line="260" w:lineRule="exact"/>
        <w:rPr>
          <w:lang w:val="pl-PL"/>
        </w:rPr>
      </w:pPr>
      <w:r w:rsidRPr="0085159D">
        <w:rPr>
          <w:lang w:val="pl-PL"/>
        </w:rPr>
        <w:t xml:space="preserve">Ponadto fakt, że polskie dzieci mają dostęp do produktów finansowych od </w:t>
      </w:r>
      <w:r w:rsidR="009149EF" w:rsidRPr="0085159D">
        <w:rPr>
          <w:lang w:val="pl-PL"/>
        </w:rPr>
        <w:t xml:space="preserve">młodego wieku </w:t>
      </w:r>
      <w:r w:rsidRPr="0085159D">
        <w:rPr>
          <w:lang w:val="pl-PL"/>
        </w:rPr>
        <w:t>(</w:t>
      </w:r>
      <w:r w:rsidR="00536278" w:rsidRPr="0085159D">
        <w:rPr>
          <w:lang w:val="pl-PL"/>
        </w:rPr>
        <w:t xml:space="preserve">od </w:t>
      </w:r>
      <w:r w:rsidRPr="0085159D">
        <w:rPr>
          <w:lang w:val="pl-PL"/>
        </w:rPr>
        <w:t xml:space="preserve">13 </w:t>
      </w:r>
      <w:r w:rsidR="00284BEB" w:rsidRPr="0085159D">
        <w:rPr>
          <w:lang w:val="pl-PL"/>
        </w:rPr>
        <w:t>rok</w:t>
      </w:r>
      <w:r w:rsidR="00536278" w:rsidRPr="0085159D">
        <w:rPr>
          <w:lang w:val="pl-PL"/>
        </w:rPr>
        <w:t>u</w:t>
      </w:r>
      <w:r w:rsidR="00284BEB" w:rsidRPr="0085159D">
        <w:rPr>
          <w:lang w:val="pl-PL"/>
        </w:rPr>
        <w:t xml:space="preserve"> ż</w:t>
      </w:r>
      <w:r w:rsidR="009149EF" w:rsidRPr="0085159D">
        <w:rPr>
          <w:lang w:val="pl-PL"/>
        </w:rPr>
        <w:t>ycia</w:t>
      </w:r>
      <w:r w:rsidRPr="0085159D">
        <w:rPr>
          <w:lang w:val="pl-PL"/>
        </w:rPr>
        <w:t xml:space="preserve">) oznacza, że edukacja finansowa </w:t>
      </w:r>
      <w:r w:rsidR="00BE62CB" w:rsidRPr="0085159D">
        <w:rPr>
          <w:lang w:val="pl-PL"/>
        </w:rPr>
        <w:t xml:space="preserve">kierowana do </w:t>
      </w:r>
      <w:r w:rsidRPr="0085159D">
        <w:rPr>
          <w:lang w:val="pl-PL"/>
        </w:rPr>
        <w:t>tej grupy wiekowej powinna wyposaż</w:t>
      </w:r>
      <w:r w:rsidR="00284BEB" w:rsidRPr="0085159D">
        <w:rPr>
          <w:lang w:val="pl-PL"/>
        </w:rPr>
        <w:t>a</w:t>
      </w:r>
      <w:r w:rsidRPr="0085159D">
        <w:rPr>
          <w:lang w:val="pl-PL"/>
        </w:rPr>
        <w:t xml:space="preserve">ć </w:t>
      </w:r>
      <w:r w:rsidR="00284BEB" w:rsidRPr="0085159D">
        <w:rPr>
          <w:lang w:val="pl-PL"/>
        </w:rPr>
        <w:t xml:space="preserve">młodych odbiorców </w:t>
      </w:r>
      <w:r w:rsidRPr="0085159D">
        <w:rPr>
          <w:lang w:val="pl-PL"/>
        </w:rPr>
        <w:t xml:space="preserve">w umiejętności bezpiecznego korzystania z produktów i usług finansowych. Edukacja finansowa dla dzieci i młodzieży </w:t>
      </w:r>
      <w:r w:rsidR="00BE62CB" w:rsidRPr="0085159D">
        <w:rPr>
          <w:lang w:val="pl-PL"/>
        </w:rPr>
        <w:t xml:space="preserve">może </w:t>
      </w:r>
      <w:r w:rsidRPr="0085159D">
        <w:rPr>
          <w:lang w:val="pl-PL"/>
        </w:rPr>
        <w:t xml:space="preserve">odgrywać istotną rolę </w:t>
      </w:r>
      <w:r w:rsidR="00BE62CB" w:rsidRPr="0085159D">
        <w:rPr>
          <w:lang w:val="pl-PL"/>
        </w:rPr>
        <w:t>prewencyjną</w:t>
      </w:r>
      <w:r w:rsidRPr="0085159D">
        <w:rPr>
          <w:lang w:val="pl-PL"/>
        </w:rPr>
        <w:t xml:space="preserve">: </w:t>
      </w:r>
      <w:r w:rsidR="00BE62CB" w:rsidRPr="0085159D">
        <w:rPr>
          <w:lang w:val="pl-PL"/>
        </w:rPr>
        <w:t xml:space="preserve">może pozwolić </w:t>
      </w:r>
      <w:r w:rsidRPr="0085159D">
        <w:rPr>
          <w:lang w:val="pl-PL"/>
        </w:rPr>
        <w:t xml:space="preserve">młodym ludziom na podejmowanie decyzji finansowych, które </w:t>
      </w:r>
      <w:r w:rsidR="00BE62CB" w:rsidRPr="0085159D">
        <w:rPr>
          <w:lang w:val="pl-PL"/>
        </w:rPr>
        <w:t xml:space="preserve">będą właściwe </w:t>
      </w:r>
      <w:r w:rsidRPr="0085159D">
        <w:rPr>
          <w:lang w:val="pl-PL"/>
        </w:rPr>
        <w:t>oraz przyn</w:t>
      </w:r>
      <w:r w:rsidR="00BE62CB" w:rsidRPr="0085159D">
        <w:rPr>
          <w:lang w:val="pl-PL"/>
        </w:rPr>
        <w:t>iosą</w:t>
      </w:r>
      <w:r w:rsidRPr="0085159D">
        <w:rPr>
          <w:lang w:val="pl-PL"/>
        </w:rPr>
        <w:t xml:space="preserve"> dobry skutek dla ich finansowej przyszłości, </w:t>
      </w:r>
      <w:r w:rsidR="00BE62CB" w:rsidRPr="0085159D">
        <w:rPr>
          <w:lang w:val="pl-PL"/>
        </w:rPr>
        <w:t xml:space="preserve">co pozwoli </w:t>
      </w:r>
      <w:r w:rsidRPr="0085159D">
        <w:rPr>
          <w:lang w:val="pl-PL"/>
        </w:rPr>
        <w:t xml:space="preserve">uniknąć </w:t>
      </w:r>
      <w:r w:rsidR="00BE62CB" w:rsidRPr="0085159D">
        <w:rPr>
          <w:lang w:val="pl-PL"/>
        </w:rPr>
        <w:t xml:space="preserve">potencjalnych </w:t>
      </w:r>
      <w:r w:rsidRPr="0085159D">
        <w:rPr>
          <w:lang w:val="pl-PL"/>
        </w:rPr>
        <w:t xml:space="preserve">trudności finansowych w późniejszym okresie życia. </w:t>
      </w:r>
      <w:r w:rsidR="00BE62CB" w:rsidRPr="0085159D">
        <w:rPr>
          <w:lang w:val="pl-PL"/>
        </w:rPr>
        <w:t xml:space="preserve">Z tego powodu </w:t>
      </w:r>
      <w:r w:rsidRPr="0085159D">
        <w:rPr>
          <w:lang w:val="pl-PL"/>
        </w:rPr>
        <w:t>warto wdrażać edukację finansową od najwcześniejszych lat życia.</w:t>
      </w:r>
    </w:p>
    <w:p w14:paraId="04E9EEEE" w14:textId="77777777" w:rsidR="00E14925" w:rsidRPr="0085159D" w:rsidRDefault="006D0AD8" w:rsidP="000B051F">
      <w:pPr>
        <w:pStyle w:val="Para0"/>
        <w:rPr>
          <w:lang w:val="pl-PL"/>
        </w:rPr>
      </w:pPr>
      <w:r w:rsidRPr="0085159D">
        <w:rPr>
          <w:lang w:val="pl-PL"/>
        </w:rPr>
        <w:t>W edukacji dzieci i ludzi młodych kluczową rolę odgrywają nauczyciele, rodzice oraz opiekunowie. Raport „Znajomość zagadnień finansowych w Polsce</w:t>
      </w:r>
      <w:r w:rsidR="0041258F" w:rsidRPr="0085159D">
        <w:rPr>
          <w:lang w:val="pl-PL"/>
        </w:rPr>
        <w:t xml:space="preserve">: </w:t>
      </w:r>
      <w:r w:rsidRPr="0085159D">
        <w:rPr>
          <w:lang w:val="pl-PL"/>
        </w:rPr>
        <w:t xml:space="preserve">Znaczenie, dowody i oferta edukacyjna” </w:t>
      </w:r>
      <w:sdt>
        <w:sdtPr>
          <w:rPr>
            <w:lang w:val="pl-PL"/>
          </w:rPr>
          <w:id w:val="-502429032"/>
          <w:citation/>
        </w:sdtPr>
        <w:sdtEndPr/>
        <w:sdtContent>
          <w:r w:rsidRPr="0085159D">
            <w:rPr>
              <w:lang w:val="pl-PL"/>
            </w:rPr>
            <w:fldChar w:fldCharType="begin"/>
          </w:r>
          <w:r w:rsidRPr="0085159D">
            <w:rPr>
              <w:lang w:val="pl-PL"/>
            </w:rPr>
            <w:instrText xml:space="preserve"> CITATION Mendeley_HL1LB5KKEzudIUMChZuI__A \l 2057 </w:instrText>
          </w:r>
          <w:r w:rsidRPr="0085159D">
            <w:rPr>
              <w:lang w:val="pl-PL"/>
            </w:rPr>
            <w:fldChar w:fldCharType="separate"/>
          </w:r>
          <w:r w:rsidRPr="0085159D">
            <w:rPr>
              <w:noProof/>
              <w:lang w:val="pl-PL"/>
            </w:rPr>
            <w:t>(OECD, 2022</w:t>
          </w:r>
          <w:r w:rsidRPr="0085159D">
            <w:rPr>
              <w:noProof/>
              <w:vertAlign w:val="subscript"/>
              <w:lang w:val="pl-PL"/>
            </w:rPr>
            <w:t>[3]</w:t>
          </w:r>
          <w:r w:rsidRPr="0085159D">
            <w:rPr>
              <w:noProof/>
              <w:lang w:val="pl-PL"/>
            </w:rPr>
            <w:t>)</w:t>
          </w:r>
          <w:r w:rsidRPr="0085159D">
            <w:rPr>
              <w:lang w:val="pl-PL"/>
            </w:rPr>
            <w:fldChar w:fldCharType="end"/>
          </w:r>
        </w:sdtContent>
      </w:sdt>
      <w:r w:rsidRPr="0085159D">
        <w:rPr>
          <w:lang w:val="pl-PL"/>
        </w:rPr>
        <w:t xml:space="preserve"> podkreśla, że powinni oni być wspierani poprzez specjalne programy edukacji finansowej, szkolenia oraz </w:t>
      </w:r>
      <w:r w:rsidR="00BE62CB" w:rsidRPr="0085159D">
        <w:rPr>
          <w:lang w:val="pl-PL"/>
        </w:rPr>
        <w:t xml:space="preserve">odpowiednie </w:t>
      </w:r>
      <w:r w:rsidRPr="0085159D">
        <w:rPr>
          <w:lang w:val="pl-PL"/>
        </w:rPr>
        <w:t>zasoby</w:t>
      </w:r>
      <w:r w:rsidR="00BE62CB" w:rsidRPr="0085159D">
        <w:rPr>
          <w:lang w:val="pl-PL"/>
        </w:rPr>
        <w:t xml:space="preserve"> edukacyjne</w:t>
      </w:r>
      <w:r w:rsidRPr="0085159D">
        <w:rPr>
          <w:lang w:val="pl-PL"/>
        </w:rPr>
        <w:t xml:space="preserve">, by dzięki nim pozyskać odpowiednią wiedzę i </w:t>
      </w:r>
      <w:r w:rsidR="00BE62CB" w:rsidRPr="0085159D">
        <w:rPr>
          <w:lang w:val="pl-PL"/>
        </w:rPr>
        <w:t xml:space="preserve">poczucie </w:t>
      </w:r>
      <w:r w:rsidRPr="0085159D">
        <w:rPr>
          <w:lang w:val="pl-PL"/>
        </w:rPr>
        <w:t>pewnoś</w:t>
      </w:r>
      <w:r w:rsidR="00BE62CB" w:rsidRPr="0085159D">
        <w:rPr>
          <w:lang w:val="pl-PL"/>
        </w:rPr>
        <w:t>ci</w:t>
      </w:r>
      <w:r w:rsidRPr="0085159D">
        <w:rPr>
          <w:lang w:val="pl-PL"/>
        </w:rPr>
        <w:t xml:space="preserve"> siebie </w:t>
      </w:r>
      <w:r w:rsidR="00BE62CB" w:rsidRPr="0085159D">
        <w:rPr>
          <w:lang w:val="pl-PL"/>
        </w:rPr>
        <w:t xml:space="preserve">potrzebne </w:t>
      </w:r>
      <w:r w:rsidRPr="0085159D">
        <w:rPr>
          <w:lang w:val="pl-PL"/>
        </w:rPr>
        <w:t>do nauczania dzieci o zagadnieniach związanych z pieniędzmi.</w:t>
      </w:r>
    </w:p>
    <w:p w14:paraId="1D7FD24A" w14:textId="77777777" w:rsidR="006D0AD8" w:rsidRPr="0085159D" w:rsidRDefault="00BE62CB" w:rsidP="000B051F">
      <w:pPr>
        <w:pStyle w:val="Para0"/>
        <w:rPr>
          <w:lang w:val="pl-PL"/>
        </w:rPr>
      </w:pPr>
      <w:r w:rsidRPr="0085159D">
        <w:rPr>
          <w:lang w:val="pl-PL"/>
        </w:rPr>
        <w:t>P</w:t>
      </w:r>
      <w:r w:rsidR="006D0AD8" w:rsidRPr="0085159D">
        <w:rPr>
          <w:lang w:val="pl-PL"/>
        </w:rPr>
        <w:t>odstawy programowe</w:t>
      </w:r>
      <w:r w:rsidRPr="0085159D">
        <w:rPr>
          <w:lang w:val="pl-PL"/>
        </w:rPr>
        <w:t xml:space="preserve"> przedmiotów</w:t>
      </w:r>
      <w:r w:rsidR="006D0AD8" w:rsidRPr="0085159D">
        <w:rPr>
          <w:lang w:val="pl-PL"/>
        </w:rPr>
        <w:t xml:space="preserve"> </w:t>
      </w:r>
      <w:r w:rsidRPr="0085159D">
        <w:rPr>
          <w:lang w:val="pl-PL"/>
        </w:rPr>
        <w:t xml:space="preserve">nauczanych </w:t>
      </w:r>
      <w:r w:rsidR="006D0AD8" w:rsidRPr="0085159D">
        <w:rPr>
          <w:lang w:val="pl-PL"/>
        </w:rPr>
        <w:t>obowiązkowo w szkołach</w:t>
      </w:r>
      <w:r w:rsidRPr="0085159D">
        <w:rPr>
          <w:lang w:val="pl-PL"/>
        </w:rPr>
        <w:t xml:space="preserve"> podstawowych i</w:t>
      </w:r>
      <w:r w:rsidR="00755984">
        <w:rPr>
          <w:lang w:val="pl-PL"/>
        </w:rPr>
        <w:t> </w:t>
      </w:r>
      <w:r w:rsidRPr="0085159D">
        <w:rPr>
          <w:lang w:val="pl-PL"/>
        </w:rPr>
        <w:t>ponadpodstawowych</w:t>
      </w:r>
      <w:r w:rsidR="006D0AD8" w:rsidRPr="0085159D">
        <w:rPr>
          <w:lang w:val="pl-PL"/>
        </w:rPr>
        <w:t xml:space="preserve"> </w:t>
      </w:r>
      <w:r w:rsidRPr="0085159D">
        <w:rPr>
          <w:lang w:val="pl-PL"/>
        </w:rPr>
        <w:t xml:space="preserve">uwzględniają zagadnienia </w:t>
      </w:r>
      <w:r w:rsidR="006D0AD8" w:rsidRPr="0085159D">
        <w:rPr>
          <w:lang w:val="pl-PL"/>
        </w:rPr>
        <w:t>edukacj</w:t>
      </w:r>
      <w:r w:rsidRPr="0085159D">
        <w:rPr>
          <w:lang w:val="pl-PL"/>
        </w:rPr>
        <w:t>i</w:t>
      </w:r>
      <w:r w:rsidR="006D0AD8" w:rsidRPr="0085159D">
        <w:rPr>
          <w:lang w:val="pl-PL"/>
        </w:rPr>
        <w:t xml:space="preserve"> finansow</w:t>
      </w:r>
      <w:r w:rsidRPr="0085159D">
        <w:rPr>
          <w:lang w:val="pl-PL"/>
        </w:rPr>
        <w:t>ej</w:t>
      </w:r>
      <w:r w:rsidR="006D0AD8" w:rsidRPr="0085159D">
        <w:rPr>
          <w:lang w:val="pl-PL"/>
        </w:rPr>
        <w:t xml:space="preserve">. Ponadto począwszy od roku szkolnego 2023/2024, w szkołach </w:t>
      </w:r>
      <w:r w:rsidRPr="0085159D">
        <w:rPr>
          <w:lang w:val="pl-PL"/>
        </w:rPr>
        <w:t xml:space="preserve">ponadpodstawowych </w:t>
      </w:r>
      <w:r w:rsidR="006D0AD8" w:rsidRPr="0085159D">
        <w:rPr>
          <w:lang w:val="pl-PL"/>
        </w:rPr>
        <w:t>wprowadzony zosta</w:t>
      </w:r>
      <w:r w:rsidR="00C45851">
        <w:rPr>
          <w:lang w:val="pl-PL"/>
        </w:rPr>
        <w:t>ł</w:t>
      </w:r>
      <w:r w:rsidR="006D0AD8" w:rsidRPr="0085159D">
        <w:rPr>
          <w:lang w:val="pl-PL"/>
        </w:rPr>
        <w:t xml:space="preserve"> nowy przedmiot </w:t>
      </w:r>
      <w:r w:rsidRPr="0085159D">
        <w:rPr>
          <w:lang w:val="pl-PL"/>
        </w:rPr>
        <w:t>b</w:t>
      </w:r>
      <w:r w:rsidR="006D0AD8" w:rsidRPr="0085159D">
        <w:rPr>
          <w:lang w:val="pl-PL"/>
        </w:rPr>
        <w:t>iznes i</w:t>
      </w:r>
      <w:r w:rsidR="00755984">
        <w:rPr>
          <w:lang w:val="pl-PL"/>
        </w:rPr>
        <w:t> </w:t>
      </w:r>
      <w:r w:rsidR="006D0AD8" w:rsidRPr="0085159D">
        <w:rPr>
          <w:lang w:val="pl-PL"/>
        </w:rPr>
        <w:t xml:space="preserve">zarządzanie, co stanowi systemową zmianę podejścia do nauczania finansów i przedsiębiorczości. Dzięki tej zmianie, uczniowie będą mogli wybrać </w:t>
      </w:r>
      <w:r w:rsidR="00C45851">
        <w:rPr>
          <w:lang w:val="pl-PL"/>
        </w:rPr>
        <w:t xml:space="preserve">nowy </w:t>
      </w:r>
      <w:r w:rsidR="006D0AD8" w:rsidRPr="0085159D">
        <w:rPr>
          <w:lang w:val="pl-PL"/>
        </w:rPr>
        <w:t xml:space="preserve">przedmiot na egzaminie maturalnym. Będzie on nauczany na dwóch poziomach zaawansowania: poziomie podstawowym oraz poziomie rozszerzonym (przy </w:t>
      </w:r>
      <w:r w:rsidR="006D0AD8" w:rsidRPr="0085159D">
        <w:rPr>
          <w:lang w:val="pl-PL"/>
        </w:rPr>
        <w:lastRenderedPageBreak/>
        <w:t xml:space="preserve">zróżnicowaniu tematycznym na każdym poziomie). </w:t>
      </w:r>
      <w:r w:rsidR="00C45851">
        <w:rPr>
          <w:lang w:val="pl-PL"/>
        </w:rPr>
        <w:t>Jego c</w:t>
      </w:r>
      <w:r w:rsidR="006D0AD8" w:rsidRPr="0085159D">
        <w:rPr>
          <w:lang w:val="pl-PL"/>
        </w:rPr>
        <w:t>elem jest wyposażenie uczniów w kompetencje niezbędne do efektywnego funkcjonowania w świecie finansów i zarządzania oraz do podejmowania odpowiedzialnych decyzji finansowych.</w:t>
      </w:r>
    </w:p>
    <w:p w14:paraId="4BB332B4" w14:textId="77777777" w:rsidR="00E14925" w:rsidRPr="0085159D" w:rsidRDefault="00C45851" w:rsidP="000B051F">
      <w:pPr>
        <w:pStyle w:val="Para0"/>
        <w:rPr>
          <w:lang w:val="pl-PL"/>
        </w:rPr>
      </w:pPr>
      <w:r>
        <w:rPr>
          <w:lang w:val="pl-PL"/>
        </w:rPr>
        <w:t>P</w:t>
      </w:r>
      <w:r w:rsidR="006D0AD8" w:rsidRPr="0085159D">
        <w:rPr>
          <w:lang w:val="pl-PL"/>
        </w:rPr>
        <w:t>odstawa programowa nie określa, jak</w:t>
      </w:r>
      <w:r>
        <w:rPr>
          <w:lang w:val="pl-PL"/>
        </w:rPr>
        <w:t>ie narzędzia dydaktyczne</w:t>
      </w:r>
      <w:r w:rsidR="006D0AD8" w:rsidRPr="0085159D">
        <w:rPr>
          <w:lang w:val="pl-PL"/>
        </w:rPr>
        <w:t xml:space="preserve"> nauczyciele powinni </w:t>
      </w:r>
      <w:r>
        <w:rPr>
          <w:lang w:val="pl-PL"/>
        </w:rPr>
        <w:t>wykorzystywać w</w:t>
      </w:r>
      <w:r w:rsidR="00BE0005">
        <w:rPr>
          <w:lang w:val="pl-PL"/>
        </w:rPr>
        <w:t> </w:t>
      </w:r>
      <w:r w:rsidR="006D0AD8" w:rsidRPr="0085159D">
        <w:rPr>
          <w:lang w:val="pl-PL"/>
        </w:rPr>
        <w:t xml:space="preserve">edukacji finansowej. </w:t>
      </w:r>
      <w:r w:rsidR="00176B86">
        <w:rPr>
          <w:lang w:val="pl-PL"/>
        </w:rPr>
        <w:t xml:space="preserve">Zadaniem </w:t>
      </w:r>
      <w:r w:rsidR="006D0AD8" w:rsidRPr="0085159D">
        <w:rPr>
          <w:lang w:val="pl-PL"/>
        </w:rPr>
        <w:t xml:space="preserve">nauczyciela </w:t>
      </w:r>
      <w:r w:rsidR="00176B86">
        <w:rPr>
          <w:lang w:val="pl-PL"/>
        </w:rPr>
        <w:t xml:space="preserve">jest wybór </w:t>
      </w:r>
      <w:r w:rsidR="006D0AD8" w:rsidRPr="0085159D">
        <w:rPr>
          <w:lang w:val="pl-PL"/>
        </w:rPr>
        <w:t xml:space="preserve">najbardziej interesujących i motywujących sposobów przekazania treści programowych. Pomimo włączenia elementów edukacji finansowej do podstawy programowej, widoczne są oznaki, że ich wdrożenie może być ograniczone </w:t>
      </w:r>
      <w:sdt>
        <w:sdtPr>
          <w:rPr>
            <w:lang w:val="pl-PL"/>
          </w:rPr>
          <w:id w:val="2082784810"/>
          <w:citation/>
        </w:sdtPr>
        <w:sdtEndPr/>
        <w:sdtContent>
          <w:r w:rsidR="006D0AD8" w:rsidRPr="0085159D">
            <w:rPr>
              <w:lang w:val="pl-PL"/>
            </w:rPr>
            <w:fldChar w:fldCharType="begin"/>
          </w:r>
          <w:r w:rsidR="006D0AD8" w:rsidRPr="0085159D">
            <w:rPr>
              <w:lang w:val="pl-PL"/>
            </w:rPr>
            <w:instrText xml:space="preserve"> CITATION Mendeley_HL1LB5KKEzudIUMChZuI__A \l 2057 </w:instrText>
          </w:r>
          <w:r w:rsidR="006D0AD8" w:rsidRPr="0085159D">
            <w:rPr>
              <w:lang w:val="pl-PL"/>
            </w:rPr>
            <w:fldChar w:fldCharType="separate"/>
          </w:r>
          <w:r w:rsidR="006D0AD8" w:rsidRPr="0085159D">
            <w:rPr>
              <w:noProof/>
              <w:lang w:val="pl-PL"/>
            </w:rPr>
            <w:t>(OECD, 2022</w:t>
          </w:r>
          <w:r w:rsidR="006D0AD8" w:rsidRPr="0085159D">
            <w:rPr>
              <w:noProof/>
              <w:vertAlign w:val="subscript"/>
              <w:lang w:val="pl-PL"/>
            </w:rPr>
            <w:t>[3]</w:t>
          </w:r>
          <w:r w:rsidR="006D0AD8" w:rsidRPr="0085159D">
            <w:rPr>
              <w:noProof/>
              <w:lang w:val="pl-PL"/>
            </w:rPr>
            <w:t>)</w:t>
          </w:r>
          <w:r w:rsidR="006D0AD8" w:rsidRPr="0085159D">
            <w:rPr>
              <w:lang w:val="pl-PL"/>
            </w:rPr>
            <w:fldChar w:fldCharType="end"/>
          </w:r>
        </w:sdtContent>
      </w:sdt>
      <w:r w:rsidR="006D0AD8" w:rsidRPr="0085159D">
        <w:rPr>
          <w:lang w:val="pl-PL"/>
        </w:rPr>
        <w:t xml:space="preserve">. </w:t>
      </w:r>
      <w:r w:rsidR="00176B86">
        <w:rPr>
          <w:lang w:val="pl-PL"/>
        </w:rPr>
        <w:t>W</w:t>
      </w:r>
      <w:r w:rsidR="006D0AD8" w:rsidRPr="0085159D">
        <w:rPr>
          <w:lang w:val="pl-PL"/>
        </w:rPr>
        <w:t xml:space="preserve">edług badania z 2018 roku </w:t>
      </w:r>
      <w:sdt>
        <w:sdtPr>
          <w:rPr>
            <w:lang w:val="pl-PL"/>
          </w:rPr>
          <w:id w:val="-1411536299"/>
          <w:citation/>
        </w:sdtPr>
        <w:sdtEndPr/>
        <w:sdtContent>
          <w:r w:rsidR="006D0AD8" w:rsidRPr="0085159D">
            <w:rPr>
              <w:lang w:val="pl-PL"/>
            </w:rPr>
            <w:fldChar w:fldCharType="begin"/>
          </w:r>
          <w:r w:rsidR="006D0AD8" w:rsidRPr="0085159D">
            <w:rPr>
              <w:lang w:val="pl-PL"/>
            </w:rPr>
            <w:instrText xml:space="preserve">CITATION Mendeley__HdaosyQSTOGVr___JVNESA \l 2057 </w:instrText>
          </w:r>
          <w:r w:rsidR="006D0AD8" w:rsidRPr="0085159D">
            <w:rPr>
              <w:lang w:val="pl-PL"/>
            </w:rPr>
            <w:fldChar w:fldCharType="separate"/>
          </w:r>
          <w:r w:rsidR="006D0AD8" w:rsidRPr="0085159D">
            <w:rPr>
              <w:noProof/>
              <w:lang w:val="pl-PL"/>
            </w:rPr>
            <w:t>(Narodowy Bank Polski, 2018</w:t>
          </w:r>
          <w:r w:rsidR="006D0AD8" w:rsidRPr="0085159D">
            <w:rPr>
              <w:noProof/>
              <w:vertAlign w:val="subscript"/>
              <w:lang w:val="pl-PL"/>
            </w:rPr>
            <w:t>[27]</w:t>
          </w:r>
          <w:r w:rsidR="006D0AD8" w:rsidRPr="0085159D">
            <w:rPr>
              <w:noProof/>
              <w:lang w:val="pl-PL"/>
            </w:rPr>
            <w:t>)</w:t>
          </w:r>
          <w:r w:rsidR="006D0AD8" w:rsidRPr="0085159D">
            <w:rPr>
              <w:lang w:val="pl-PL"/>
            </w:rPr>
            <w:fldChar w:fldCharType="end"/>
          </w:r>
        </w:sdtContent>
      </w:sdt>
      <w:r w:rsidR="006D0AD8" w:rsidRPr="0085159D">
        <w:rPr>
          <w:lang w:val="pl-PL"/>
        </w:rPr>
        <w:t xml:space="preserve">, nauczyciele wskazali, że korzystny byłby dla nich łatwiejszy dostęp do szkoleń dotyczących zagadnień ekonomicznych i finansowych oraz do gotowych materiałów edukacyjnych, w tym </w:t>
      </w:r>
      <w:r w:rsidR="00284BEB" w:rsidRPr="0085159D">
        <w:rPr>
          <w:lang w:val="pl-PL"/>
        </w:rPr>
        <w:t xml:space="preserve">zasobów </w:t>
      </w:r>
      <w:r w:rsidR="006D0AD8" w:rsidRPr="0085159D">
        <w:rPr>
          <w:lang w:val="pl-PL"/>
        </w:rPr>
        <w:t>multimedialnych, ćwiczeń interaktywnych oraz gier edukacyjnych.</w:t>
      </w:r>
    </w:p>
    <w:p w14:paraId="34AD0AB8" w14:textId="77777777" w:rsidR="00E14925" w:rsidRPr="0085159D" w:rsidRDefault="006D0AD8" w:rsidP="000B051F">
      <w:pPr>
        <w:pStyle w:val="Para0"/>
        <w:rPr>
          <w:lang w:val="pl-PL"/>
        </w:rPr>
      </w:pPr>
      <w:r w:rsidRPr="0085159D">
        <w:rPr>
          <w:lang w:val="pl-PL"/>
        </w:rPr>
        <w:t xml:space="preserve">Działania podejmowane w ramach realizacji pierwszego </w:t>
      </w:r>
      <w:r w:rsidR="00BE62CB" w:rsidRPr="0085159D">
        <w:rPr>
          <w:lang w:val="pl-PL"/>
        </w:rPr>
        <w:t>planu wdrażania</w:t>
      </w:r>
      <w:r w:rsidRPr="0085159D">
        <w:rPr>
          <w:lang w:val="pl-PL"/>
        </w:rPr>
        <w:t xml:space="preserve"> skoncentrują się na wspieraniu nauczycieli w postaci kursów szkoleniowych z zakresu edukacji finansowej. Ich celem będzie zarówno podwyższenie poziomu kompetencji finansowych samych nauczycieli, jak i wsparcie ich w budowaniu </w:t>
      </w:r>
      <w:r w:rsidR="00BE62CB" w:rsidRPr="0085159D">
        <w:rPr>
          <w:lang w:val="pl-PL"/>
        </w:rPr>
        <w:t>pewności</w:t>
      </w:r>
      <w:r w:rsidRPr="0085159D">
        <w:rPr>
          <w:lang w:val="pl-PL"/>
        </w:rPr>
        <w:t xml:space="preserve">, że posiadają </w:t>
      </w:r>
      <w:r w:rsidR="00BE62CB" w:rsidRPr="0085159D">
        <w:rPr>
          <w:lang w:val="pl-PL"/>
        </w:rPr>
        <w:t xml:space="preserve">niezbędne </w:t>
      </w:r>
      <w:r w:rsidRPr="0085159D">
        <w:rPr>
          <w:lang w:val="pl-PL"/>
        </w:rPr>
        <w:t>umiejętności do przekazania treści edukacji finansowej uczniom.</w:t>
      </w:r>
    </w:p>
    <w:p w14:paraId="6D80FAD3" w14:textId="17C70AE3" w:rsidR="00E14925" w:rsidRPr="0085159D" w:rsidRDefault="00BE62CB" w:rsidP="000B051F">
      <w:pPr>
        <w:pStyle w:val="Para0"/>
        <w:rPr>
          <w:lang w:val="pl-PL"/>
        </w:rPr>
      </w:pPr>
      <w:r w:rsidRPr="0085159D">
        <w:rPr>
          <w:lang w:val="pl-PL"/>
        </w:rPr>
        <w:t>Takie d</w:t>
      </w:r>
      <w:r w:rsidR="006D0AD8" w:rsidRPr="0085159D">
        <w:rPr>
          <w:lang w:val="pl-PL"/>
        </w:rPr>
        <w:t xml:space="preserve">ziałania </w:t>
      </w:r>
      <w:r w:rsidRPr="0085159D">
        <w:rPr>
          <w:lang w:val="pl-PL"/>
        </w:rPr>
        <w:t xml:space="preserve">mogą przynieść </w:t>
      </w:r>
      <w:r w:rsidR="006D0AD8" w:rsidRPr="0085159D">
        <w:rPr>
          <w:lang w:val="pl-PL"/>
        </w:rPr>
        <w:t xml:space="preserve">efekt mnożnikowy, gdyż nauczyciele </w:t>
      </w:r>
      <w:r w:rsidRPr="0085159D">
        <w:rPr>
          <w:lang w:val="pl-PL"/>
        </w:rPr>
        <w:t xml:space="preserve">będą przekazywać </w:t>
      </w:r>
      <w:r w:rsidR="006D0AD8" w:rsidRPr="0085159D">
        <w:rPr>
          <w:lang w:val="pl-PL"/>
        </w:rPr>
        <w:t xml:space="preserve">nabytą wiedzę kolejnym pokoleniom uczniów, </w:t>
      </w:r>
      <w:r w:rsidRPr="0085159D">
        <w:rPr>
          <w:lang w:val="pl-PL"/>
        </w:rPr>
        <w:t>dzięki możliwościom</w:t>
      </w:r>
      <w:r w:rsidR="00DC45FC" w:rsidRPr="0085159D">
        <w:rPr>
          <w:lang w:val="pl-PL"/>
        </w:rPr>
        <w:t>,</w:t>
      </w:r>
      <w:r w:rsidRPr="0085159D">
        <w:rPr>
          <w:lang w:val="pl-PL"/>
        </w:rPr>
        <w:t xml:space="preserve"> jakie dają im podstawy programowe</w:t>
      </w:r>
      <w:r w:rsidR="006D0AD8" w:rsidRPr="0085159D">
        <w:rPr>
          <w:lang w:val="pl-PL"/>
        </w:rPr>
        <w:t xml:space="preserve">. </w:t>
      </w:r>
      <w:r w:rsidR="00176B86">
        <w:rPr>
          <w:lang w:val="pl-PL"/>
        </w:rPr>
        <w:t>D</w:t>
      </w:r>
      <w:r w:rsidR="006D0AD8" w:rsidRPr="0085159D">
        <w:rPr>
          <w:lang w:val="pl-PL"/>
        </w:rPr>
        <w:t xml:space="preserve">ziałania </w:t>
      </w:r>
      <w:r w:rsidRPr="0085159D">
        <w:rPr>
          <w:lang w:val="pl-PL"/>
        </w:rPr>
        <w:t xml:space="preserve">adresowane do nauczycieli </w:t>
      </w:r>
      <w:r w:rsidR="006D0AD8" w:rsidRPr="0085159D">
        <w:rPr>
          <w:lang w:val="pl-PL"/>
        </w:rPr>
        <w:t>są</w:t>
      </w:r>
      <w:r w:rsidR="00176B86">
        <w:rPr>
          <w:lang w:val="pl-PL"/>
        </w:rPr>
        <w:t xml:space="preserve"> więc</w:t>
      </w:r>
      <w:r w:rsidR="006D0AD8" w:rsidRPr="0085159D">
        <w:rPr>
          <w:lang w:val="pl-PL"/>
        </w:rPr>
        <w:t xml:space="preserve"> również kierowane do dzieci i </w:t>
      </w:r>
      <w:r w:rsidRPr="0085159D">
        <w:rPr>
          <w:lang w:val="pl-PL"/>
        </w:rPr>
        <w:t>młodzież</w:t>
      </w:r>
      <w:r w:rsidR="000620CC">
        <w:rPr>
          <w:lang w:val="pl-PL"/>
        </w:rPr>
        <w:t>y</w:t>
      </w:r>
      <w:r w:rsidR="006D0AD8" w:rsidRPr="0085159D">
        <w:rPr>
          <w:lang w:val="pl-PL"/>
        </w:rPr>
        <w:t>.</w:t>
      </w:r>
    </w:p>
    <w:p w14:paraId="08236385" w14:textId="77777777" w:rsidR="00E14925" w:rsidRPr="0085159D" w:rsidRDefault="006D0AD8" w:rsidP="000B051F">
      <w:pPr>
        <w:pStyle w:val="Para0"/>
        <w:rPr>
          <w:lang w:val="pl-PL"/>
        </w:rPr>
      </w:pPr>
      <w:r w:rsidRPr="0085159D">
        <w:rPr>
          <w:lang w:val="pl-PL"/>
        </w:rPr>
        <w:t xml:space="preserve">Ponadto opracowane mogą być specjalne programy wspierające rodziców i opiekunów </w:t>
      </w:r>
      <w:r w:rsidR="00BE62CB" w:rsidRPr="0085159D">
        <w:rPr>
          <w:lang w:val="pl-PL"/>
        </w:rPr>
        <w:t>angażujących się w edukację finansową wspólnie ze swoimi dziećmi</w:t>
      </w:r>
      <w:r w:rsidRPr="0085159D">
        <w:rPr>
          <w:lang w:val="pl-PL"/>
        </w:rPr>
        <w:t xml:space="preserve">. Zalecane działania </w:t>
      </w:r>
      <w:r w:rsidR="00BE62CB" w:rsidRPr="0085159D">
        <w:rPr>
          <w:lang w:val="pl-PL"/>
        </w:rPr>
        <w:t>zostały opisane</w:t>
      </w:r>
      <w:r w:rsidRPr="0085159D">
        <w:rPr>
          <w:lang w:val="pl-PL"/>
        </w:rPr>
        <w:t xml:space="preserve"> w punkcie 3.2.4.</w:t>
      </w:r>
    </w:p>
    <w:p w14:paraId="50ADAA53" w14:textId="77777777" w:rsidR="00E14925" w:rsidRPr="0085159D" w:rsidRDefault="006D0AD8" w:rsidP="000B051F">
      <w:pPr>
        <w:pStyle w:val="Nagwek3"/>
        <w:rPr>
          <w:lang w:val="pl-PL"/>
        </w:rPr>
      </w:pPr>
      <w:r w:rsidRPr="0085159D">
        <w:rPr>
          <w:bCs/>
          <w:iCs/>
          <w:lang w:val="pl-PL"/>
        </w:rPr>
        <w:t>Uchodźcy z Ukrainy</w:t>
      </w:r>
    </w:p>
    <w:p w14:paraId="316C1728" w14:textId="77777777" w:rsidR="00E14925" w:rsidRPr="0085159D" w:rsidRDefault="006D0AD8" w:rsidP="000B051F">
      <w:pPr>
        <w:pStyle w:val="Para0"/>
        <w:rPr>
          <w:lang w:val="pl-PL"/>
        </w:rPr>
      </w:pPr>
      <w:r w:rsidRPr="0085159D">
        <w:rPr>
          <w:lang w:val="pl-PL"/>
        </w:rPr>
        <w:t>Od rozpoczęcia przez Rosję inwazji na Ukrainę w lutym 2022 r., miliony obywateli Ukrainy zostało zmuszonych do opuszczenia sw</w:t>
      </w:r>
      <w:r w:rsidR="00BE62CB" w:rsidRPr="0085159D">
        <w:rPr>
          <w:lang w:val="pl-PL"/>
        </w:rPr>
        <w:t>oich</w:t>
      </w:r>
      <w:r w:rsidRPr="0085159D">
        <w:rPr>
          <w:lang w:val="pl-PL"/>
        </w:rPr>
        <w:t xml:space="preserve"> domów i poszukiwania schronienia w innych krajach europejskich. Wielu z nich dotarło </w:t>
      </w:r>
      <w:r w:rsidR="00284BEB" w:rsidRPr="0085159D">
        <w:rPr>
          <w:lang w:val="pl-PL"/>
        </w:rPr>
        <w:t xml:space="preserve">do Polski </w:t>
      </w:r>
      <w:r w:rsidRPr="0085159D">
        <w:rPr>
          <w:lang w:val="pl-PL"/>
        </w:rPr>
        <w:t xml:space="preserve">i rozpoczęło </w:t>
      </w:r>
      <w:r w:rsidR="00284BEB" w:rsidRPr="0085159D">
        <w:rPr>
          <w:lang w:val="pl-PL"/>
        </w:rPr>
        <w:t xml:space="preserve">tu </w:t>
      </w:r>
      <w:r w:rsidRPr="0085159D">
        <w:rPr>
          <w:lang w:val="pl-PL"/>
        </w:rPr>
        <w:t xml:space="preserve">życie. Chociaż większość </w:t>
      </w:r>
      <w:r w:rsidR="00270E4C" w:rsidRPr="0085159D">
        <w:rPr>
          <w:lang w:val="pl-PL"/>
        </w:rPr>
        <w:t xml:space="preserve">z nich </w:t>
      </w:r>
      <w:r w:rsidRPr="0085159D">
        <w:rPr>
          <w:lang w:val="pl-PL"/>
        </w:rPr>
        <w:t>deklaruje, że pragną wrócić do sw</w:t>
      </w:r>
      <w:r w:rsidR="00176B86">
        <w:rPr>
          <w:lang w:val="pl-PL"/>
        </w:rPr>
        <w:t>oich</w:t>
      </w:r>
      <w:r w:rsidRPr="0085159D">
        <w:rPr>
          <w:lang w:val="pl-PL"/>
        </w:rPr>
        <w:t xml:space="preserve"> domów, gdy na Ukrainie zakończą się działania wojenne, </w:t>
      </w:r>
      <w:r w:rsidR="00176B86">
        <w:rPr>
          <w:lang w:val="pl-PL"/>
        </w:rPr>
        <w:t xml:space="preserve">to </w:t>
      </w:r>
      <w:r w:rsidRPr="0085159D">
        <w:rPr>
          <w:lang w:val="pl-PL"/>
        </w:rPr>
        <w:t xml:space="preserve">nie ma pewności, kiedy ten moment nadejdzie. Dlatego też </w:t>
      </w:r>
      <w:r w:rsidR="00284BEB" w:rsidRPr="0085159D">
        <w:rPr>
          <w:lang w:val="pl-PL"/>
        </w:rPr>
        <w:t>u</w:t>
      </w:r>
      <w:r w:rsidRPr="0085159D">
        <w:rPr>
          <w:lang w:val="pl-PL"/>
        </w:rPr>
        <w:t>kraińscy uchodźcy piln</w:t>
      </w:r>
      <w:r w:rsidR="00540D2F" w:rsidRPr="0085159D">
        <w:rPr>
          <w:lang w:val="pl-PL"/>
        </w:rPr>
        <w:t>ie</w:t>
      </w:r>
      <w:r w:rsidRPr="0085159D">
        <w:rPr>
          <w:lang w:val="pl-PL"/>
        </w:rPr>
        <w:t xml:space="preserve"> potrzeb</w:t>
      </w:r>
      <w:r w:rsidR="00540D2F" w:rsidRPr="0085159D">
        <w:rPr>
          <w:lang w:val="pl-PL"/>
        </w:rPr>
        <w:t>ują</w:t>
      </w:r>
      <w:r w:rsidRPr="0085159D">
        <w:rPr>
          <w:lang w:val="pl-PL"/>
        </w:rPr>
        <w:t xml:space="preserve"> pomocy w zaznajomieniu się nie tylko z</w:t>
      </w:r>
      <w:r w:rsidR="00755984">
        <w:rPr>
          <w:lang w:val="pl-PL"/>
        </w:rPr>
        <w:t> </w:t>
      </w:r>
      <w:r w:rsidRPr="0085159D">
        <w:rPr>
          <w:lang w:val="pl-PL"/>
        </w:rPr>
        <w:t>polskim systemem finansowym jako takim, lecz również z podstawowymi usługami finansowymi (takimi jak ubezpieczenia, oszczędzanie, cyfrowe usługi finansowe) oraz zasadami zarządzania pieniędzmi w</w:t>
      </w:r>
      <w:r w:rsidR="00024130">
        <w:rPr>
          <w:lang w:val="pl-PL"/>
        </w:rPr>
        <w:t> </w:t>
      </w:r>
      <w:r w:rsidR="00284BEB" w:rsidRPr="0085159D">
        <w:rPr>
          <w:lang w:val="pl-PL"/>
        </w:rPr>
        <w:t xml:space="preserve">Polsce </w:t>
      </w:r>
      <w:r w:rsidRPr="0085159D">
        <w:rPr>
          <w:lang w:val="pl-PL"/>
        </w:rPr>
        <w:t xml:space="preserve">i w ekstremalnie trudnych warunkach. Dlatego też pierwszy </w:t>
      </w:r>
      <w:r w:rsidR="00540D2F" w:rsidRPr="0085159D">
        <w:rPr>
          <w:lang w:val="pl-PL"/>
        </w:rPr>
        <w:t>plan wdrażania</w:t>
      </w:r>
      <w:r w:rsidRPr="0085159D">
        <w:rPr>
          <w:lang w:val="pl-PL"/>
        </w:rPr>
        <w:t xml:space="preserve"> obejmuje działania ukierunkowane na dotarcie do tych borykających się z zagrożeniami i trudnościami osób.</w:t>
      </w:r>
    </w:p>
    <w:p w14:paraId="1AC12DAE" w14:textId="77777777" w:rsidR="00E14925" w:rsidRPr="0085159D" w:rsidRDefault="008A21D5" w:rsidP="000B051F">
      <w:pPr>
        <w:pStyle w:val="Nagwek2"/>
        <w:rPr>
          <w:lang w:val="pl-PL"/>
        </w:rPr>
      </w:pPr>
      <w:bookmarkStart w:id="54" w:name="_Toc131520821"/>
      <w:r w:rsidRPr="0085159D">
        <w:rPr>
          <w:bCs/>
          <w:lang w:val="pl-PL"/>
        </w:rPr>
        <w:t>3.2. Wdr</w:t>
      </w:r>
      <w:r w:rsidR="00284BEB" w:rsidRPr="0085159D">
        <w:rPr>
          <w:bCs/>
          <w:lang w:val="pl-PL"/>
        </w:rPr>
        <w:t>a</w:t>
      </w:r>
      <w:r w:rsidRPr="0085159D">
        <w:rPr>
          <w:bCs/>
          <w:lang w:val="pl-PL"/>
        </w:rPr>
        <w:t>ż</w:t>
      </w:r>
      <w:r w:rsidR="00284BEB" w:rsidRPr="0085159D">
        <w:rPr>
          <w:bCs/>
          <w:lang w:val="pl-PL"/>
        </w:rPr>
        <w:t>a</w:t>
      </w:r>
      <w:r w:rsidRPr="0085159D">
        <w:rPr>
          <w:bCs/>
          <w:lang w:val="pl-PL"/>
        </w:rPr>
        <w:t xml:space="preserve">nie </w:t>
      </w:r>
      <w:bookmarkEnd w:id="54"/>
      <w:r w:rsidR="00284BEB" w:rsidRPr="0085159D">
        <w:rPr>
          <w:bCs/>
          <w:lang w:val="pl-PL"/>
        </w:rPr>
        <w:t>kluczowych</w:t>
      </w:r>
      <w:r w:rsidR="00AE2ABB" w:rsidRPr="00AE2ABB">
        <w:rPr>
          <w:bCs/>
          <w:lang w:val="pl-PL"/>
        </w:rPr>
        <w:t xml:space="preserve"> </w:t>
      </w:r>
      <w:r w:rsidR="00AE2ABB" w:rsidRPr="0085159D">
        <w:rPr>
          <w:bCs/>
          <w:lang w:val="pl-PL"/>
        </w:rPr>
        <w:t>priorytetów</w:t>
      </w:r>
    </w:p>
    <w:p w14:paraId="00021F04" w14:textId="77777777" w:rsidR="00E14925" w:rsidRPr="0085159D" w:rsidRDefault="006D0AD8" w:rsidP="000B051F">
      <w:pPr>
        <w:pStyle w:val="Para0"/>
        <w:rPr>
          <w:lang w:val="pl-PL"/>
        </w:rPr>
      </w:pPr>
      <w:r w:rsidRPr="0085159D">
        <w:rPr>
          <w:lang w:val="pl-PL"/>
        </w:rPr>
        <w:t>Niniejszy punkt prezentuje przegląd kluczowych priorytetów i działań przypisanych do każdego z nich</w:t>
      </w:r>
      <w:r w:rsidR="00540D2F" w:rsidRPr="0085159D">
        <w:rPr>
          <w:lang w:val="pl-PL"/>
        </w:rPr>
        <w:t>.</w:t>
      </w:r>
      <w:r w:rsidRPr="0085159D">
        <w:rPr>
          <w:lang w:val="pl-PL"/>
        </w:rPr>
        <w:t xml:space="preserve"> </w:t>
      </w:r>
      <w:r w:rsidR="00540D2F" w:rsidRPr="0085159D">
        <w:rPr>
          <w:lang w:val="pl-PL"/>
        </w:rPr>
        <w:t xml:space="preserve">Realizacja działań </w:t>
      </w:r>
      <w:r w:rsidRPr="0085159D">
        <w:rPr>
          <w:lang w:val="pl-PL"/>
        </w:rPr>
        <w:t>spodziewan</w:t>
      </w:r>
      <w:r w:rsidR="00540D2F" w:rsidRPr="0085159D">
        <w:rPr>
          <w:lang w:val="pl-PL"/>
        </w:rPr>
        <w:t>a</w:t>
      </w:r>
      <w:r w:rsidRPr="0085159D">
        <w:rPr>
          <w:lang w:val="pl-PL"/>
        </w:rPr>
        <w:t xml:space="preserve"> jest w ciągu trzech pierwszych lat od daty przyjęcia KSEF. Niniejszemu </w:t>
      </w:r>
      <w:r w:rsidR="00284BEB" w:rsidRPr="0085159D">
        <w:rPr>
          <w:lang w:val="pl-PL"/>
        </w:rPr>
        <w:t>planowi wdra</w:t>
      </w:r>
      <w:r w:rsidR="00540D2F" w:rsidRPr="0085159D">
        <w:rPr>
          <w:lang w:val="pl-PL"/>
        </w:rPr>
        <w:t>ż</w:t>
      </w:r>
      <w:r w:rsidR="00DC45FC" w:rsidRPr="0085159D">
        <w:rPr>
          <w:lang w:val="pl-PL"/>
        </w:rPr>
        <w:t>a</w:t>
      </w:r>
      <w:r w:rsidR="00540D2F" w:rsidRPr="0085159D">
        <w:rPr>
          <w:lang w:val="pl-PL"/>
        </w:rPr>
        <w:t>nia</w:t>
      </w:r>
      <w:r w:rsidRPr="0085159D">
        <w:rPr>
          <w:lang w:val="pl-PL"/>
        </w:rPr>
        <w:t xml:space="preserve"> towarzyszyć będą roczne plany działa</w:t>
      </w:r>
      <w:r w:rsidR="00540D2F" w:rsidRPr="0085159D">
        <w:rPr>
          <w:lang w:val="pl-PL"/>
        </w:rPr>
        <w:t>nia</w:t>
      </w:r>
      <w:r w:rsidRPr="0085159D">
        <w:rPr>
          <w:lang w:val="pl-PL"/>
        </w:rPr>
        <w:t xml:space="preserve">, a sam </w:t>
      </w:r>
      <w:r w:rsidR="00540D2F" w:rsidRPr="0085159D">
        <w:rPr>
          <w:lang w:val="pl-PL"/>
        </w:rPr>
        <w:t xml:space="preserve">plan wdrażania </w:t>
      </w:r>
      <w:r w:rsidRPr="0085159D">
        <w:rPr>
          <w:lang w:val="pl-PL"/>
        </w:rPr>
        <w:t xml:space="preserve">aktualizowany będzie co trzy lata. Działania te zastosowane mogą być w odniesieniu do dowolnej grupy i/lub programu edukacji finansowej, jednak niektóre z nich bardziej </w:t>
      </w:r>
      <w:r w:rsidR="00540D2F" w:rsidRPr="0085159D">
        <w:rPr>
          <w:lang w:val="pl-PL"/>
        </w:rPr>
        <w:t xml:space="preserve">koncentrują się </w:t>
      </w:r>
      <w:r w:rsidRPr="0085159D">
        <w:rPr>
          <w:lang w:val="pl-PL"/>
        </w:rPr>
        <w:t>na pięciu grupach docelowych wymienionych powyżej (</w:t>
      </w:r>
      <w:r w:rsidR="00540D2F" w:rsidRPr="0085159D">
        <w:rPr>
          <w:lang w:val="pl-PL"/>
        </w:rPr>
        <w:t xml:space="preserve">jest to </w:t>
      </w:r>
      <w:r w:rsidRPr="0085159D">
        <w:rPr>
          <w:lang w:val="pl-PL"/>
        </w:rPr>
        <w:t>zaznacz</w:t>
      </w:r>
      <w:r w:rsidR="00540D2F" w:rsidRPr="0085159D">
        <w:rPr>
          <w:lang w:val="pl-PL"/>
        </w:rPr>
        <w:t>one</w:t>
      </w:r>
      <w:r w:rsidRPr="0085159D">
        <w:rPr>
          <w:lang w:val="pl-PL"/>
        </w:rPr>
        <w:t xml:space="preserve"> </w:t>
      </w:r>
      <w:r w:rsidR="00540D2F" w:rsidRPr="0085159D">
        <w:rPr>
          <w:lang w:val="pl-PL"/>
        </w:rPr>
        <w:t xml:space="preserve">pogrubioną </w:t>
      </w:r>
      <w:r w:rsidRPr="0085159D">
        <w:rPr>
          <w:lang w:val="pl-PL"/>
        </w:rPr>
        <w:t>czcionką w opisie tych działań).</w:t>
      </w:r>
    </w:p>
    <w:p w14:paraId="6C6C95C5" w14:textId="77777777" w:rsidR="006D0AD8" w:rsidRPr="0085159D" w:rsidRDefault="006D0AD8" w:rsidP="000B051F">
      <w:pPr>
        <w:pStyle w:val="Nagwek3"/>
        <w:rPr>
          <w:lang w:val="pl-PL"/>
        </w:rPr>
      </w:pPr>
      <w:r w:rsidRPr="0085159D">
        <w:rPr>
          <w:bCs/>
          <w:iCs/>
          <w:lang w:val="pl-PL"/>
        </w:rPr>
        <w:lastRenderedPageBreak/>
        <w:t xml:space="preserve">Priorytety odpowiadające na pytanie, „co </w:t>
      </w:r>
      <w:r w:rsidR="00024130">
        <w:rPr>
          <w:bCs/>
          <w:iCs/>
          <w:lang w:val="pl-PL"/>
        </w:rPr>
        <w:t>S</w:t>
      </w:r>
      <w:r w:rsidRPr="0085159D">
        <w:rPr>
          <w:bCs/>
          <w:iCs/>
          <w:lang w:val="pl-PL"/>
        </w:rPr>
        <w:t>trategia zamierza osiągnąć</w:t>
      </w:r>
      <w:r w:rsidR="00C62AD2">
        <w:rPr>
          <w:bCs/>
          <w:iCs/>
          <w:lang w:val="pl-PL"/>
        </w:rPr>
        <w:t>”</w:t>
      </w:r>
    </w:p>
    <w:p w14:paraId="1CBAA50D" w14:textId="77777777" w:rsidR="006D0AD8" w:rsidRPr="0085159D" w:rsidRDefault="00E14925" w:rsidP="000B051F">
      <w:pPr>
        <w:pStyle w:val="Nagwek4"/>
        <w:rPr>
          <w:lang w:val="pl-PL"/>
        </w:rPr>
      </w:pPr>
      <w:r w:rsidRPr="0085159D">
        <w:rPr>
          <w:lang w:val="pl-PL"/>
        </w:rPr>
        <w:t xml:space="preserve">1. Zwiększenie i utrzymanie odporności finansowej i </w:t>
      </w:r>
      <w:r w:rsidR="00540D2F" w:rsidRPr="0085159D">
        <w:rPr>
          <w:lang w:val="pl-PL"/>
        </w:rPr>
        <w:t xml:space="preserve">dobrostanu </w:t>
      </w:r>
      <w:r w:rsidRPr="0085159D">
        <w:rPr>
          <w:lang w:val="pl-PL"/>
        </w:rPr>
        <w:t>finansowego mieszkańców Polski poprzez odpowiedzialne planowanie finansów osobistych, unikanie nadmiernego zadłużenia i doskonalenie umiejętności zarządzania ryzykiem</w:t>
      </w:r>
    </w:p>
    <w:p w14:paraId="3F5A9626" w14:textId="77777777" w:rsidR="00E14925" w:rsidRPr="0085159D" w:rsidRDefault="006D0AD8" w:rsidP="000B051F">
      <w:pPr>
        <w:pStyle w:val="Para0"/>
        <w:rPr>
          <w:lang w:val="pl-PL"/>
        </w:rPr>
      </w:pPr>
      <w:r w:rsidRPr="0085159D">
        <w:rPr>
          <w:lang w:val="pl-PL"/>
        </w:rPr>
        <w:t xml:space="preserve">Priorytet ten kładzie nacisk na </w:t>
      </w:r>
      <w:r w:rsidR="00D31CBF">
        <w:rPr>
          <w:lang w:val="pl-PL"/>
        </w:rPr>
        <w:t>umiejętność</w:t>
      </w:r>
      <w:r w:rsidRPr="0085159D">
        <w:rPr>
          <w:lang w:val="pl-PL"/>
        </w:rPr>
        <w:t xml:space="preserve"> </w:t>
      </w:r>
      <w:r w:rsidR="00540D2F" w:rsidRPr="0085159D">
        <w:rPr>
          <w:lang w:val="pl-PL"/>
        </w:rPr>
        <w:t xml:space="preserve">sporządzenia osobistego </w:t>
      </w:r>
      <w:r w:rsidRPr="0085159D">
        <w:rPr>
          <w:lang w:val="pl-PL"/>
        </w:rPr>
        <w:t>planu finans</w:t>
      </w:r>
      <w:r w:rsidR="00540D2F" w:rsidRPr="0085159D">
        <w:rPr>
          <w:lang w:val="pl-PL"/>
        </w:rPr>
        <w:t xml:space="preserve">owego </w:t>
      </w:r>
      <w:r w:rsidRPr="0085159D">
        <w:rPr>
          <w:lang w:val="pl-PL"/>
        </w:rPr>
        <w:t xml:space="preserve">i jego konsekwentnej realizacji, unikania nadmiernego zadłużenia oraz zarządzania różnymi rodzajami ryzyka finansowego, </w:t>
      </w:r>
      <w:r w:rsidR="00540D2F" w:rsidRPr="0085159D">
        <w:rPr>
          <w:lang w:val="pl-PL"/>
        </w:rPr>
        <w:t xml:space="preserve">które mogą napotkać w swoim życiu </w:t>
      </w:r>
      <w:r w:rsidRPr="0085159D">
        <w:rPr>
          <w:lang w:val="pl-PL"/>
        </w:rPr>
        <w:t>(w tym zagrożeń związanych ze środowiskiem cyfrowym).</w:t>
      </w:r>
    </w:p>
    <w:p w14:paraId="113F1303" w14:textId="77777777" w:rsidR="006D0AD8" w:rsidRPr="0085159D" w:rsidRDefault="006D0AD8" w:rsidP="000B051F">
      <w:pPr>
        <w:pStyle w:val="Para0"/>
        <w:rPr>
          <w:lang w:val="pl-PL"/>
        </w:rPr>
      </w:pPr>
      <w:r w:rsidRPr="0085159D">
        <w:rPr>
          <w:lang w:val="pl-PL"/>
        </w:rPr>
        <w:t xml:space="preserve">W tym celu, wysiłki skoncentrować należy na zapewnieniu, </w:t>
      </w:r>
      <w:r w:rsidR="00540D2F" w:rsidRPr="0085159D">
        <w:rPr>
          <w:lang w:val="pl-PL"/>
        </w:rPr>
        <w:t xml:space="preserve">by </w:t>
      </w:r>
      <w:r w:rsidRPr="0085159D">
        <w:rPr>
          <w:lang w:val="pl-PL"/>
        </w:rPr>
        <w:t xml:space="preserve">mieszkańcy Polski, zwłaszcza </w:t>
      </w:r>
      <w:r w:rsidR="00540D2F" w:rsidRPr="0085159D">
        <w:rPr>
          <w:lang w:val="pl-PL"/>
        </w:rPr>
        <w:t xml:space="preserve">ci </w:t>
      </w:r>
      <w:r w:rsidRPr="0085159D">
        <w:rPr>
          <w:lang w:val="pl-PL"/>
        </w:rPr>
        <w:t>znajdując</w:t>
      </w:r>
      <w:r w:rsidR="00540D2F" w:rsidRPr="0085159D">
        <w:rPr>
          <w:lang w:val="pl-PL"/>
        </w:rPr>
        <w:t>y</w:t>
      </w:r>
      <w:r w:rsidRPr="0085159D">
        <w:rPr>
          <w:lang w:val="pl-PL"/>
        </w:rPr>
        <w:t xml:space="preserve"> się w </w:t>
      </w:r>
      <w:r w:rsidR="00540D2F" w:rsidRPr="0085159D">
        <w:rPr>
          <w:lang w:val="pl-PL"/>
        </w:rPr>
        <w:t xml:space="preserve">trudnej </w:t>
      </w:r>
      <w:r w:rsidRPr="0085159D">
        <w:rPr>
          <w:lang w:val="pl-PL"/>
        </w:rPr>
        <w:t>sytuacji finansow</w:t>
      </w:r>
      <w:r w:rsidR="00540D2F" w:rsidRPr="0085159D">
        <w:rPr>
          <w:lang w:val="pl-PL"/>
        </w:rPr>
        <w:t>ej</w:t>
      </w:r>
      <w:r w:rsidRPr="0085159D">
        <w:rPr>
          <w:lang w:val="pl-PL"/>
        </w:rPr>
        <w:t xml:space="preserve">, mieli dostęp do edukacji finansowej. Programy edukacji finansowej skupiać się mogą na tym, jak poprawiać odporność finansową, radzić sobie w sytuacji szoku finansowego oraz dbać o swój </w:t>
      </w:r>
      <w:r w:rsidR="00540D2F" w:rsidRPr="0085159D">
        <w:rPr>
          <w:lang w:val="pl-PL"/>
        </w:rPr>
        <w:t xml:space="preserve">dobrostan </w:t>
      </w:r>
      <w:r w:rsidRPr="0085159D">
        <w:rPr>
          <w:lang w:val="pl-PL"/>
        </w:rPr>
        <w:t xml:space="preserve">finansowy poprzez oszczędzanie, ubezpieczenia i odpowiedzialne zaciąganie pożyczek i kredytów. Działania, które </w:t>
      </w:r>
      <w:r w:rsidR="00CC171D" w:rsidRPr="0085159D">
        <w:rPr>
          <w:lang w:val="pl-PL"/>
        </w:rPr>
        <w:t xml:space="preserve">mogą być realizowane </w:t>
      </w:r>
      <w:r w:rsidRPr="0085159D">
        <w:rPr>
          <w:lang w:val="pl-PL"/>
        </w:rPr>
        <w:t>w celu wsparcia tego priorytetu, obejmują:</w:t>
      </w:r>
    </w:p>
    <w:p w14:paraId="3BC92073" w14:textId="77777777" w:rsidR="006D0AD8" w:rsidRPr="0085159D" w:rsidRDefault="006D0AD8" w:rsidP="000B051F">
      <w:pPr>
        <w:pStyle w:val="BulletedList"/>
        <w:rPr>
          <w:lang w:val="pl-PL"/>
        </w:rPr>
      </w:pPr>
      <w:r w:rsidRPr="0085159D">
        <w:rPr>
          <w:lang w:val="pl-PL"/>
        </w:rPr>
        <w:t xml:space="preserve">Opracowanie i wdrożenie nowych oraz istniejących programów edukacji finansowej dla priorytetowych grup docelowych, które mogą </w:t>
      </w:r>
      <w:r w:rsidR="00284BEB" w:rsidRPr="0085159D">
        <w:rPr>
          <w:lang w:val="pl-PL"/>
        </w:rPr>
        <w:t xml:space="preserve">być </w:t>
      </w:r>
      <w:r w:rsidR="00521B11" w:rsidRPr="0085159D">
        <w:rPr>
          <w:lang w:val="pl-PL"/>
        </w:rPr>
        <w:t>narażane</w:t>
      </w:r>
      <w:r w:rsidR="00284BEB" w:rsidRPr="0085159D">
        <w:rPr>
          <w:lang w:val="pl-PL"/>
        </w:rPr>
        <w:t xml:space="preserve"> na trudności finansowe</w:t>
      </w:r>
      <w:r w:rsidRPr="0085159D">
        <w:rPr>
          <w:lang w:val="pl-PL"/>
        </w:rPr>
        <w:t xml:space="preserve"> (</w:t>
      </w:r>
      <w:r w:rsidRPr="0085159D">
        <w:rPr>
          <w:b/>
          <w:bCs/>
          <w:lang w:val="pl-PL"/>
        </w:rPr>
        <w:t>osoby o</w:t>
      </w:r>
      <w:r w:rsidR="00755984">
        <w:rPr>
          <w:b/>
          <w:bCs/>
          <w:lang w:val="pl-PL"/>
        </w:rPr>
        <w:t> </w:t>
      </w:r>
      <w:r w:rsidRPr="0085159D">
        <w:rPr>
          <w:b/>
          <w:bCs/>
          <w:lang w:val="pl-PL"/>
        </w:rPr>
        <w:t>niskich dochodach, uchodźcy, konsumenci zagrożeni nadmiernym zadłużeniem lub już nadmiernie zadłużeni</w:t>
      </w:r>
      <w:r w:rsidRPr="0085159D">
        <w:rPr>
          <w:lang w:val="pl-PL"/>
        </w:rPr>
        <w:t xml:space="preserve">), z uwzględnieniem ich potrzeb oraz preferencji w zakresie uczenia się, określonych na podstawie wyników badań ilościowych i jakościowych (w tym sondaży badających ich obecny poziom kompetencji finansowych, zainteresowania oraz preferowane kanały uczenia się, istniejące bariery w dostępie do nauki itp.). Owe programy edukacji finansowej mogą koncentrować się, między innymi, na umiejętnościach podstawowych, takich jak </w:t>
      </w:r>
      <w:r w:rsidR="00284BEB" w:rsidRPr="0085159D">
        <w:rPr>
          <w:lang w:val="pl-PL"/>
        </w:rPr>
        <w:t>planowanie budżetu domowego</w:t>
      </w:r>
      <w:r w:rsidRPr="0085159D">
        <w:rPr>
          <w:lang w:val="pl-PL"/>
        </w:rPr>
        <w:t xml:space="preserve">, zarządzanie finansami osobistymi, oszczędzanie w ramach tworzenia poduszki finansowej, konieczność posiadania odpowiedniego ubezpieczenia, </w:t>
      </w:r>
      <w:r w:rsidR="001E5B9C">
        <w:rPr>
          <w:lang w:val="pl-PL"/>
        </w:rPr>
        <w:t>racjonalne</w:t>
      </w:r>
      <w:r w:rsidR="001E5B9C" w:rsidRPr="0085159D">
        <w:rPr>
          <w:lang w:val="pl-PL"/>
        </w:rPr>
        <w:t xml:space="preserve"> </w:t>
      </w:r>
      <w:r w:rsidRPr="0085159D">
        <w:rPr>
          <w:lang w:val="pl-PL"/>
        </w:rPr>
        <w:t xml:space="preserve">zaciąganie zobowiązań i zarządzanie </w:t>
      </w:r>
      <w:r w:rsidR="00521B11" w:rsidRPr="0085159D">
        <w:rPr>
          <w:lang w:val="pl-PL"/>
        </w:rPr>
        <w:t>nimi</w:t>
      </w:r>
      <w:r w:rsidRPr="0085159D">
        <w:rPr>
          <w:lang w:val="pl-PL"/>
        </w:rPr>
        <w:t>, oraz na działaniach podnoszących świadomość na temat podatków i budżetu (na poziomie krajowym i lokalnym).</w:t>
      </w:r>
    </w:p>
    <w:p w14:paraId="2DEEA4C2" w14:textId="77777777" w:rsidR="006D0AD8" w:rsidRPr="0085159D" w:rsidRDefault="00CC171D" w:rsidP="000B051F">
      <w:pPr>
        <w:pStyle w:val="BulletedList"/>
        <w:rPr>
          <w:lang w:val="pl-PL"/>
        </w:rPr>
      </w:pPr>
      <w:r w:rsidRPr="0085159D">
        <w:rPr>
          <w:lang w:val="pl-PL"/>
        </w:rPr>
        <w:t xml:space="preserve">Nawiązanie </w:t>
      </w:r>
      <w:r w:rsidR="006D0AD8" w:rsidRPr="0085159D">
        <w:rPr>
          <w:lang w:val="pl-PL"/>
        </w:rPr>
        <w:t xml:space="preserve">współpracy z instytucjami pomocy społecznej lub organizacjami </w:t>
      </w:r>
      <w:r w:rsidRPr="0085159D">
        <w:rPr>
          <w:lang w:val="pl-PL"/>
        </w:rPr>
        <w:t>udzielającymi porad w zakresie zadłużenia</w:t>
      </w:r>
      <w:r w:rsidR="006D0AD8" w:rsidRPr="0085159D">
        <w:rPr>
          <w:lang w:val="pl-PL"/>
        </w:rPr>
        <w:t>, w celu zbadania możliwości dostarczania treści edukacji finansowej dokładnie w czasie, gdy są one potrzebne, osobom borykającym się z problemami zadłużenia (</w:t>
      </w:r>
      <w:r w:rsidR="006D0AD8" w:rsidRPr="0085159D">
        <w:rPr>
          <w:b/>
          <w:bCs/>
          <w:lang w:val="pl-PL"/>
        </w:rPr>
        <w:t>konsumenci zagrożeni nadmiernym zadłużeniem lub już nadmiernie zadłużeni</w:t>
      </w:r>
      <w:r w:rsidR="006D0AD8" w:rsidRPr="0085159D">
        <w:rPr>
          <w:lang w:val="pl-PL"/>
        </w:rPr>
        <w:t>).</w:t>
      </w:r>
    </w:p>
    <w:p w14:paraId="37337D2B" w14:textId="77777777" w:rsidR="006D0AD8" w:rsidRPr="0085159D" w:rsidRDefault="006D0AD8" w:rsidP="000B051F">
      <w:pPr>
        <w:pStyle w:val="BulletedList"/>
        <w:rPr>
          <w:lang w:val="pl-PL"/>
        </w:rPr>
      </w:pPr>
      <w:r w:rsidRPr="0085159D">
        <w:rPr>
          <w:lang w:val="pl-PL"/>
        </w:rPr>
        <w:t xml:space="preserve">Opracowanie i przeprowadzenie szeroko zakrojonych kampanii informacyjnych na temat różnego rodzaju ryzyka związanego z </w:t>
      </w:r>
      <w:r w:rsidR="00CC171D" w:rsidRPr="0085159D">
        <w:rPr>
          <w:lang w:val="pl-PL"/>
        </w:rPr>
        <w:t xml:space="preserve">zaciąganiem </w:t>
      </w:r>
      <w:r w:rsidRPr="0085159D">
        <w:rPr>
          <w:lang w:val="pl-PL"/>
        </w:rPr>
        <w:t>kredyt</w:t>
      </w:r>
      <w:r w:rsidR="00CC171D" w:rsidRPr="0085159D">
        <w:rPr>
          <w:lang w:val="pl-PL"/>
        </w:rPr>
        <w:t xml:space="preserve">ów i </w:t>
      </w:r>
      <w:r w:rsidRPr="0085159D">
        <w:rPr>
          <w:lang w:val="pl-PL"/>
        </w:rPr>
        <w:t>pożycz</w:t>
      </w:r>
      <w:r w:rsidR="00CC171D" w:rsidRPr="0085159D">
        <w:rPr>
          <w:lang w:val="pl-PL"/>
        </w:rPr>
        <w:t>ek</w:t>
      </w:r>
      <w:r w:rsidRPr="0085159D">
        <w:rPr>
          <w:lang w:val="pl-PL"/>
        </w:rPr>
        <w:t xml:space="preserve"> oraz nadmiernym zadłużeniem, jak również na temat znaczenia tworzenia „buforów” finansowych lub ubezpieczenia w</w:t>
      </w:r>
      <w:r w:rsidR="00755984">
        <w:rPr>
          <w:lang w:val="pl-PL"/>
        </w:rPr>
        <w:t> </w:t>
      </w:r>
      <w:r w:rsidRPr="0085159D">
        <w:rPr>
          <w:lang w:val="pl-PL"/>
        </w:rPr>
        <w:t>celu ochrony odporności finansowej gospodarstw domowych w sytuacji nieoczekiwanych zdarzeń finansowych (</w:t>
      </w:r>
      <w:r w:rsidRPr="0085159D">
        <w:rPr>
          <w:b/>
          <w:bCs/>
          <w:lang w:val="pl-PL"/>
        </w:rPr>
        <w:t>osoby o niskich dochodach, konsumenci zagrożeni nadmiernym zadłużeniem lub już nadmiernie zadłużeni</w:t>
      </w:r>
      <w:r w:rsidRPr="0085159D">
        <w:rPr>
          <w:lang w:val="pl-PL"/>
        </w:rPr>
        <w:t>).</w:t>
      </w:r>
    </w:p>
    <w:p w14:paraId="4D55BA87" w14:textId="77777777" w:rsidR="006D0AD8" w:rsidRPr="0085159D" w:rsidRDefault="006D0AD8" w:rsidP="000B051F">
      <w:pPr>
        <w:pStyle w:val="BulletedList"/>
        <w:rPr>
          <w:lang w:val="pl-PL"/>
        </w:rPr>
      </w:pPr>
      <w:r w:rsidRPr="0085159D">
        <w:rPr>
          <w:lang w:val="pl-PL"/>
        </w:rPr>
        <w:t xml:space="preserve">Opracowanie i wdrożenie działań podnoszących świadomość na temat różnych rodzajów ryzyka związanego z </w:t>
      </w:r>
      <w:proofErr w:type="spellStart"/>
      <w:r w:rsidR="00CC171D" w:rsidRPr="0085159D">
        <w:rPr>
          <w:lang w:val="pl-PL"/>
        </w:rPr>
        <w:t>cyberbezpieczeństwem</w:t>
      </w:r>
      <w:proofErr w:type="spellEnd"/>
      <w:r w:rsidR="00CC171D" w:rsidRPr="0085159D">
        <w:rPr>
          <w:lang w:val="pl-PL"/>
        </w:rPr>
        <w:t xml:space="preserve"> </w:t>
      </w:r>
      <w:r w:rsidRPr="0085159D">
        <w:rPr>
          <w:lang w:val="pl-PL"/>
        </w:rPr>
        <w:t>oraz oszustwami i próbami wyłudzenia w Internecie, tak by mieszkańcy Polski wiedzieli, jak bezpiecznie korzystać z narzędzi i usług online.</w:t>
      </w:r>
    </w:p>
    <w:p w14:paraId="6CE1BA10" w14:textId="77777777" w:rsidR="00E14925" w:rsidRPr="0085159D" w:rsidRDefault="006D0AD8" w:rsidP="000B051F">
      <w:pPr>
        <w:pStyle w:val="BulletedList"/>
        <w:rPr>
          <w:lang w:val="pl-PL"/>
        </w:rPr>
      </w:pPr>
      <w:r w:rsidRPr="0085159D">
        <w:rPr>
          <w:lang w:val="pl-PL"/>
        </w:rPr>
        <w:t>Opracowanie i wdrożenie programów mających na celu podniesienie poziomu cyfrowych kompetencji finansowych mieszkańców Polski.</w:t>
      </w:r>
    </w:p>
    <w:p w14:paraId="2AABDCAB" w14:textId="77777777" w:rsidR="006D0AD8" w:rsidRPr="0085159D" w:rsidRDefault="00E14925" w:rsidP="000B051F">
      <w:pPr>
        <w:pStyle w:val="Nagwek4"/>
        <w:rPr>
          <w:lang w:val="pl-PL"/>
        </w:rPr>
      </w:pPr>
      <w:r w:rsidRPr="0085159D">
        <w:rPr>
          <w:lang w:val="pl-PL"/>
        </w:rPr>
        <w:t xml:space="preserve">2. Poprawa zdolności mieszkańców Polski do podejmowania długoterminowych decyzji finansowych oraz zabezpieczenia własnego </w:t>
      </w:r>
      <w:r w:rsidR="00CC171D" w:rsidRPr="0085159D">
        <w:rPr>
          <w:lang w:val="pl-PL"/>
        </w:rPr>
        <w:t xml:space="preserve">dobrostanu </w:t>
      </w:r>
      <w:r w:rsidRPr="0085159D">
        <w:rPr>
          <w:lang w:val="pl-PL"/>
        </w:rPr>
        <w:t>finansowego w długim okresie i</w:t>
      </w:r>
      <w:r w:rsidR="00755984">
        <w:rPr>
          <w:lang w:val="pl-PL"/>
        </w:rPr>
        <w:t> </w:t>
      </w:r>
      <w:r w:rsidRPr="0085159D">
        <w:rPr>
          <w:lang w:val="pl-PL"/>
        </w:rPr>
        <w:t>na starość</w:t>
      </w:r>
    </w:p>
    <w:p w14:paraId="1E3D527B" w14:textId="77777777" w:rsidR="00E14925" w:rsidRPr="0085159D" w:rsidRDefault="006D0AD8" w:rsidP="000B051F">
      <w:pPr>
        <w:pStyle w:val="Para0"/>
        <w:rPr>
          <w:lang w:val="pl-PL"/>
        </w:rPr>
      </w:pPr>
      <w:r w:rsidRPr="0085159D">
        <w:rPr>
          <w:lang w:val="pl-PL"/>
        </w:rPr>
        <w:t xml:space="preserve">Na </w:t>
      </w:r>
      <w:r w:rsidR="00CC171D" w:rsidRPr="0085159D">
        <w:rPr>
          <w:lang w:val="pl-PL"/>
        </w:rPr>
        <w:t xml:space="preserve">dobrostan </w:t>
      </w:r>
      <w:r w:rsidRPr="0085159D">
        <w:rPr>
          <w:lang w:val="pl-PL"/>
        </w:rPr>
        <w:t>finansowy w starszym wieku wpływ mają różne czynniki demograficzne, społeczne i</w:t>
      </w:r>
      <w:r w:rsidR="00755984">
        <w:rPr>
          <w:lang w:val="pl-PL"/>
        </w:rPr>
        <w:t> </w:t>
      </w:r>
      <w:r w:rsidRPr="0085159D">
        <w:rPr>
          <w:lang w:val="pl-PL"/>
        </w:rPr>
        <w:t xml:space="preserve">ekonomiczne. Niniejszy priorytet uwzględnia te czynniki i koncentruje się na poprawie zdolności </w:t>
      </w:r>
      <w:r w:rsidRPr="0085159D">
        <w:rPr>
          <w:lang w:val="pl-PL"/>
        </w:rPr>
        <w:lastRenderedPageBreak/>
        <w:t>mieszkańców Polski do podejmowania decyzji finansowych w perspektywie długoterminowej i na starość. Działania realizowane w ramach tego priorytetu mają podnos</w:t>
      </w:r>
      <w:r w:rsidR="00C62AD2">
        <w:rPr>
          <w:lang w:val="pl-PL"/>
        </w:rPr>
        <w:t>ić</w:t>
      </w:r>
      <w:r w:rsidRPr="0085159D">
        <w:rPr>
          <w:lang w:val="pl-PL"/>
        </w:rPr>
        <w:t xml:space="preserve"> świadomoś</w:t>
      </w:r>
      <w:r w:rsidR="00C62AD2">
        <w:rPr>
          <w:lang w:val="pl-PL"/>
        </w:rPr>
        <w:t>ć</w:t>
      </w:r>
      <w:r w:rsidRPr="0085159D">
        <w:rPr>
          <w:lang w:val="pl-PL"/>
        </w:rPr>
        <w:t xml:space="preserve"> znaczenia oszczędzania długoterminowego i planowania emerytalnego, w celu wyposażenia ludzi w wiedzę i</w:t>
      </w:r>
      <w:r w:rsidR="00755984">
        <w:rPr>
          <w:lang w:val="pl-PL"/>
        </w:rPr>
        <w:t> </w:t>
      </w:r>
      <w:r w:rsidRPr="0085159D">
        <w:rPr>
          <w:lang w:val="pl-PL"/>
        </w:rPr>
        <w:t xml:space="preserve">umiejętności pozwalające na podejmowanie odpowiednich decyzji. Ponadto istotne </w:t>
      </w:r>
      <w:r w:rsidR="00BE0005">
        <w:rPr>
          <w:lang w:val="pl-PL"/>
        </w:rPr>
        <w:t>jest, by ludzie byli świadomi i </w:t>
      </w:r>
      <w:r w:rsidRPr="0085159D">
        <w:rPr>
          <w:lang w:val="pl-PL"/>
        </w:rPr>
        <w:t>rozumieli, że decyzje inwestycyjne dotyczące ich oszczędności długoterminowych mogą również odzwierciedlać ich preferencje w dziedzinie zrównoważonego rozwoju i przyczyniać się w ten sposób do transformacji ku gospodarce przyjaznej dla środowiska. Dlatego też, działania w celu wsparcia realizacji tego priorytetu obejmują:</w:t>
      </w:r>
    </w:p>
    <w:p w14:paraId="319201AA" w14:textId="77777777" w:rsidR="006D0AD8" w:rsidRPr="0085159D" w:rsidRDefault="00CC171D" w:rsidP="000B051F">
      <w:pPr>
        <w:pStyle w:val="BulletedList"/>
        <w:rPr>
          <w:lang w:val="pl-PL"/>
        </w:rPr>
      </w:pPr>
      <w:r w:rsidRPr="0085159D">
        <w:rPr>
          <w:lang w:val="pl-PL"/>
        </w:rPr>
        <w:t xml:space="preserve">Nawiązanie </w:t>
      </w:r>
      <w:r w:rsidR="006D0AD8" w:rsidRPr="0085159D">
        <w:rPr>
          <w:lang w:val="pl-PL"/>
        </w:rPr>
        <w:t xml:space="preserve">współpracy z </w:t>
      </w:r>
      <w:r w:rsidR="006D0AD8" w:rsidRPr="0085159D">
        <w:rPr>
          <w:noProof/>
          <w:lang w:val="pl-PL"/>
        </w:rPr>
        <w:t>Zakładem Ubezpieczeń Społecznych</w:t>
      </w:r>
      <w:r w:rsidR="006D0AD8" w:rsidRPr="0085159D">
        <w:rPr>
          <w:lang w:val="pl-PL"/>
        </w:rPr>
        <w:t xml:space="preserve"> i innymi podmiotami </w:t>
      </w:r>
      <w:r w:rsidRPr="0085159D">
        <w:rPr>
          <w:lang w:val="pl-PL"/>
        </w:rPr>
        <w:t>system</w:t>
      </w:r>
      <w:r w:rsidR="00521B11" w:rsidRPr="0085159D">
        <w:rPr>
          <w:lang w:val="pl-PL"/>
        </w:rPr>
        <w:t>u emerytalnego</w:t>
      </w:r>
      <w:r w:rsidRPr="0085159D">
        <w:rPr>
          <w:lang w:val="pl-PL"/>
        </w:rPr>
        <w:t xml:space="preserve"> </w:t>
      </w:r>
      <w:r w:rsidR="006D0AD8" w:rsidRPr="0085159D">
        <w:rPr>
          <w:lang w:val="pl-PL"/>
        </w:rPr>
        <w:t>w celu opracowania programów rozwijania świadomości na temat znaczenia długoterminowego oszczędzania, znajomości systemu emerytalnego oraz ustalania oczekiwanego poziomu dochodu na emeryturze na podstawie kwoty wniesionych składek.</w:t>
      </w:r>
    </w:p>
    <w:p w14:paraId="4956AD73" w14:textId="77777777" w:rsidR="006D0AD8" w:rsidRPr="0085159D" w:rsidRDefault="006D0AD8" w:rsidP="000B051F">
      <w:pPr>
        <w:pStyle w:val="BulletedList"/>
        <w:rPr>
          <w:lang w:val="pl-PL"/>
        </w:rPr>
      </w:pPr>
      <w:r w:rsidRPr="0085159D">
        <w:rPr>
          <w:lang w:val="pl-PL"/>
        </w:rPr>
        <w:t>Przygotowanie kampanii dnia/tygodnia świadomości emerytalnej, organizowanej raz w roku z</w:t>
      </w:r>
      <w:r w:rsidR="00755984">
        <w:rPr>
          <w:lang w:val="pl-PL"/>
        </w:rPr>
        <w:t> </w:t>
      </w:r>
      <w:r w:rsidRPr="0085159D">
        <w:rPr>
          <w:lang w:val="pl-PL"/>
        </w:rPr>
        <w:t>udziałem wszystkich właściwych interesariuszy, w celu promowania wiedzy na temat emerytur.</w:t>
      </w:r>
    </w:p>
    <w:p w14:paraId="1D48F4B0" w14:textId="77777777" w:rsidR="00E14925" w:rsidRPr="0085159D" w:rsidRDefault="006D0AD8" w:rsidP="000B051F">
      <w:pPr>
        <w:pStyle w:val="BulletedList"/>
        <w:rPr>
          <w:lang w:val="pl-PL"/>
        </w:rPr>
      </w:pPr>
      <w:r w:rsidRPr="0085159D">
        <w:rPr>
          <w:lang w:val="pl-PL"/>
        </w:rPr>
        <w:t>Opracowanie i promowanie narzędzi cyfrowych (takich jak kalkulatory emerytury i oszczędności), które wykorzystać można do obliczenia świadczeń emerytalnych w oparciu o zgromadzone oszczędności, okres opłacania składek oraz inne parametry. Jeżeli jest to możliwe, narzędzia takie powinny być skrojone na miarę potrzeb konkretnych grupy docelowych.</w:t>
      </w:r>
    </w:p>
    <w:p w14:paraId="12DFCA99" w14:textId="77777777" w:rsidR="006D0AD8" w:rsidRPr="0085159D" w:rsidRDefault="006D0AD8" w:rsidP="000B051F">
      <w:pPr>
        <w:pStyle w:val="BulletedList"/>
        <w:rPr>
          <w:lang w:val="pl-PL"/>
        </w:rPr>
      </w:pPr>
      <w:r w:rsidRPr="0085159D">
        <w:rPr>
          <w:lang w:val="pl-PL"/>
        </w:rPr>
        <w:t xml:space="preserve">Opracowanie i </w:t>
      </w:r>
      <w:r w:rsidR="002B5A77" w:rsidRPr="0085159D">
        <w:rPr>
          <w:lang w:val="pl-PL"/>
        </w:rPr>
        <w:t>realizacja</w:t>
      </w:r>
      <w:r w:rsidR="00CC171D" w:rsidRPr="0085159D">
        <w:rPr>
          <w:lang w:val="pl-PL"/>
        </w:rPr>
        <w:t xml:space="preserve"> </w:t>
      </w:r>
      <w:r w:rsidRPr="0085159D">
        <w:rPr>
          <w:lang w:val="pl-PL"/>
        </w:rPr>
        <w:t>programów edukacji finansowej koncentrujących się na pomocy w</w:t>
      </w:r>
      <w:r w:rsidR="00755984">
        <w:rPr>
          <w:lang w:val="pl-PL"/>
        </w:rPr>
        <w:t> </w:t>
      </w:r>
      <w:r w:rsidRPr="0085159D">
        <w:rPr>
          <w:lang w:val="pl-PL"/>
        </w:rPr>
        <w:t>zrozumieniu systemu emerytalnego, podnoszeniu świadomości na temat konieczności gromadzenia oszczędności w dłuższym okresie w celu uzupełnienia emerytury oraz wsparciu w</w:t>
      </w:r>
      <w:r w:rsidR="00755984">
        <w:rPr>
          <w:lang w:val="pl-PL"/>
        </w:rPr>
        <w:t> </w:t>
      </w:r>
      <w:r w:rsidRPr="0085159D">
        <w:rPr>
          <w:lang w:val="pl-PL"/>
        </w:rPr>
        <w:t xml:space="preserve">wyborze indywidualnych planów emerytalnych lub jakiejkolwiek innej długoterminowej inwestycji, a także gromadzeniu aktywów oraz oszczędności emerytalnych, z jednoczesnym uwzględnieniem </w:t>
      </w:r>
      <w:r w:rsidR="00AA2F60" w:rsidRPr="0085159D">
        <w:rPr>
          <w:lang w:val="pl-PL"/>
        </w:rPr>
        <w:t xml:space="preserve">wpływu </w:t>
      </w:r>
      <w:r w:rsidR="00894165" w:rsidRPr="0085159D">
        <w:rPr>
          <w:lang w:val="pl-PL"/>
        </w:rPr>
        <w:t xml:space="preserve">podwyższonej </w:t>
      </w:r>
      <w:r w:rsidRPr="0085159D">
        <w:rPr>
          <w:lang w:val="pl-PL"/>
        </w:rPr>
        <w:t>inflacji.</w:t>
      </w:r>
    </w:p>
    <w:p w14:paraId="2E6C0E13" w14:textId="77777777" w:rsidR="00E14925" w:rsidRPr="0085159D" w:rsidRDefault="002B5A77" w:rsidP="000B051F">
      <w:pPr>
        <w:pStyle w:val="BulletedList"/>
        <w:rPr>
          <w:lang w:val="pl-PL"/>
        </w:rPr>
      </w:pPr>
      <w:r w:rsidRPr="0085159D">
        <w:rPr>
          <w:lang w:val="pl-PL"/>
        </w:rPr>
        <w:t xml:space="preserve">Nawiązanie </w:t>
      </w:r>
      <w:r w:rsidR="006D0AD8" w:rsidRPr="0085159D">
        <w:rPr>
          <w:lang w:val="pl-PL"/>
        </w:rPr>
        <w:t>współpracy z instytucjami publicznymi oraz organizacjami pracodawców, w celu promowani</w:t>
      </w:r>
      <w:r w:rsidR="00C62AD2">
        <w:rPr>
          <w:lang w:val="pl-PL"/>
        </w:rPr>
        <w:t>a</w:t>
      </w:r>
      <w:r w:rsidR="006D0AD8" w:rsidRPr="0085159D">
        <w:rPr>
          <w:lang w:val="pl-PL"/>
        </w:rPr>
        <w:t xml:space="preserve"> </w:t>
      </w:r>
      <w:r w:rsidR="006D0AD8" w:rsidRPr="0085159D">
        <w:rPr>
          <w:b/>
          <w:bCs/>
          <w:lang w:val="pl-PL"/>
        </w:rPr>
        <w:t>programów edukacji finansowej w miejscu pracy</w:t>
      </w:r>
      <w:r w:rsidR="006D0AD8" w:rsidRPr="0085159D">
        <w:rPr>
          <w:lang w:val="pl-PL"/>
        </w:rPr>
        <w:t>, które koncentrują się, między innymi, na podnoszeniu wiedzy pracowników, jak również kształtowaniu ich postaw oraz rozwoju umiejętności w zakresie planowania/oszczędzania z myślą o emeryturze.</w:t>
      </w:r>
    </w:p>
    <w:p w14:paraId="0264B51D" w14:textId="77777777" w:rsidR="00E14925" w:rsidRPr="0085159D" w:rsidRDefault="00E14925" w:rsidP="000B051F">
      <w:pPr>
        <w:pStyle w:val="Nagwek4"/>
        <w:rPr>
          <w:lang w:val="pl-PL"/>
        </w:rPr>
      </w:pPr>
      <w:r w:rsidRPr="0085159D">
        <w:rPr>
          <w:lang w:val="pl-PL"/>
        </w:rPr>
        <w:t>3. Poprawa zrozumienia i zdolności mieszkańców Polski do korzystania z możliwości związanych z inwestycjami na rynku finansowym, przy jednoczesnym zarządzaniu ryzykiem</w:t>
      </w:r>
    </w:p>
    <w:p w14:paraId="6C84D494" w14:textId="77777777" w:rsidR="00E14925" w:rsidRPr="0085159D" w:rsidRDefault="00E14925" w:rsidP="000B051F">
      <w:pPr>
        <w:pStyle w:val="Para0"/>
        <w:rPr>
          <w:lang w:val="pl-PL"/>
        </w:rPr>
      </w:pPr>
      <w:r w:rsidRPr="0085159D">
        <w:rPr>
          <w:lang w:val="pl-PL"/>
        </w:rPr>
        <w:t xml:space="preserve">Priorytet ten ma na celu wyposażenie mieszkańców Polski w wiedzę i umiejętności, dające im poczucie pewności i samodzielności w korzystaniu z </w:t>
      </w:r>
      <w:r w:rsidR="002B5A77" w:rsidRPr="0085159D">
        <w:rPr>
          <w:lang w:val="pl-PL"/>
        </w:rPr>
        <w:t xml:space="preserve">możliwości, które oferują </w:t>
      </w:r>
      <w:r w:rsidRPr="0085159D">
        <w:rPr>
          <w:lang w:val="pl-PL"/>
        </w:rPr>
        <w:t>dostępn</w:t>
      </w:r>
      <w:r w:rsidR="002B5A77" w:rsidRPr="0085159D">
        <w:rPr>
          <w:lang w:val="pl-PL"/>
        </w:rPr>
        <w:t>e</w:t>
      </w:r>
      <w:r w:rsidRPr="0085159D">
        <w:rPr>
          <w:lang w:val="pl-PL"/>
        </w:rPr>
        <w:t xml:space="preserve"> na rynku produkt</w:t>
      </w:r>
      <w:r w:rsidR="002B5A77" w:rsidRPr="0085159D">
        <w:rPr>
          <w:lang w:val="pl-PL"/>
        </w:rPr>
        <w:t>y</w:t>
      </w:r>
      <w:r w:rsidRPr="0085159D">
        <w:rPr>
          <w:lang w:val="pl-PL"/>
        </w:rPr>
        <w:t xml:space="preserve"> finansow</w:t>
      </w:r>
      <w:r w:rsidR="002B5A77" w:rsidRPr="0085159D">
        <w:rPr>
          <w:lang w:val="pl-PL"/>
        </w:rPr>
        <w:t>e</w:t>
      </w:r>
      <w:r w:rsidRPr="0085159D">
        <w:rPr>
          <w:lang w:val="pl-PL"/>
        </w:rPr>
        <w:t>, przy jednoczesnym zarządzaniu potencjalnym ryzykiem związanym z dokonywaniem inwestycji. Dlatego też działania realizowane w ramach tego kluczowego priorytetu skupią się na podnoszeniu świadomości w zakresie potencjalnych korzyści oraz ryzyk związanych z inwestowaniem na rynku kapitałowym, zapewnieni</w:t>
      </w:r>
      <w:r w:rsidR="002B5A77" w:rsidRPr="0085159D">
        <w:rPr>
          <w:lang w:val="pl-PL"/>
        </w:rPr>
        <w:t>u</w:t>
      </w:r>
      <w:r w:rsidRPr="0085159D">
        <w:rPr>
          <w:lang w:val="pl-PL"/>
        </w:rPr>
        <w:t xml:space="preserve"> </w:t>
      </w:r>
      <w:r w:rsidR="002B5A77" w:rsidRPr="0085159D">
        <w:rPr>
          <w:lang w:val="pl-PL"/>
        </w:rPr>
        <w:t>aktualnych</w:t>
      </w:r>
      <w:r w:rsidRPr="0085159D">
        <w:rPr>
          <w:lang w:val="pl-PL"/>
        </w:rPr>
        <w:t>, dokładn</w:t>
      </w:r>
      <w:r w:rsidR="002B5A77" w:rsidRPr="0085159D">
        <w:rPr>
          <w:lang w:val="pl-PL"/>
        </w:rPr>
        <w:t>ych</w:t>
      </w:r>
      <w:r w:rsidRPr="0085159D">
        <w:rPr>
          <w:lang w:val="pl-PL"/>
        </w:rPr>
        <w:t>, godn</w:t>
      </w:r>
      <w:r w:rsidR="002B5A77" w:rsidRPr="0085159D">
        <w:rPr>
          <w:lang w:val="pl-PL"/>
        </w:rPr>
        <w:t>ych</w:t>
      </w:r>
      <w:r w:rsidRPr="0085159D">
        <w:rPr>
          <w:lang w:val="pl-PL"/>
        </w:rPr>
        <w:t xml:space="preserve"> zaufania i łatw</w:t>
      </w:r>
      <w:r w:rsidR="002B5A77" w:rsidRPr="0085159D">
        <w:rPr>
          <w:lang w:val="pl-PL"/>
        </w:rPr>
        <w:t>ych</w:t>
      </w:r>
      <w:r w:rsidRPr="0085159D">
        <w:rPr>
          <w:lang w:val="pl-PL"/>
        </w:rPr>
        <w:t xml:space="preserve"> do zrozumienia informacji, dając w ten sposób ludziom wiedzę, umiejętności i wiarę we własne siły do podejmowania decyzji lub zasięgnięcia porady w odniesieniu do inwestycji finansowych. Podjęte zostaną następujące działania:</w:t>
      </w:r>
    </w:p>
    <w:p w14:paraId="3EDC10B4" w14:textId="77777777" w:rsidR="00E14925" w:rsidRPr="0085159D" w:rsidRDefault="006D0AD8" w:rsidP="000B051F">
      <w:pPr>
        <w:pStyle w:val="BulletedList"/>
        <w:rPr>
          <w:lang w:val="pl-PL"/>
        </w:rPr>
      </w:pPr>
      <w:r w:rsidRPr="0085159D">
        <w:rPr>
          <w:lang w:val="pl-PL"/>
        </w:rPr>
        <w:t>Opracowanie programów edukacji finansowej koncentrujących się na oszczędzaniu i</w:t>
      </w:r>
      <w:r w:rsidR="00755984">
        <w:rPr>
          <w:lang w:val="pl-PL"/>
        </w:rPr>
        <w:t> </w:t>
      </w:r>
      <w:r w:rsidRPr="0085159D">
        <w:rPr>
          <w:lang w:val="pl-PL"/>
        </w:rPr>
        <w:t xml:space="preserve">inwestowaniu, prezentujących charakterystykę oraz ryzyka związane różnymi rodzajami produktów w tych </w:t>
      </w:r>
      <w:r w:rsidR="002B5A77" w:rsidRPr="0085159D">
        <w:rPr>
          <w:lang w:val="pl-PL"/>
        </w:rPr>
        <w:t>obszarach</w:t>
      </w:r>
      <w:r w:rsidRPr="0085159D">
        <w:rPr>
          <w:lang w:val="pl-PL"/>
        </w:rPr>
        <w:t xml:space="preserve">. </w:t>
      </w:r>
      <w:r w:rsidR="002B5A77" w:rsidRPr="0085159D">
        <w:rPr>
          <w:lang w:val="pl-PL"/>
        </w:rPr>
        <w:t>Tego typu p</w:t>
      </w:r>
      <w:r w:rsidRPr="0085159D">
        <w:rPr>
          <w:lang w:val="pl-PL"/>
        </w:rPr>
        <w:t xml:space="preserve">rogramy edukacji finansowej mogłyby być dostarczane w miejscu pracy lub na </w:t>
      </w:r>
      <w:r w:rsidR="002B5A77" w:rsidRPr="0085159D">
        <w:rPr>
          <w:lang w:val="pl-PL"/>
        </w:rPr>
        <w:t xml:space="preserve">uczelniach </w:t>
      </w:r>
      <w:r w:rsidRPr="0085159D">
        <w:rPr>
          <w:lang w:val="pl-PL"/>
        </w:rPr>
        <w:t>oraz</w:t>
      </w:r>
      <w:r w:rsidR="0041258F" w:rsidRPr="0085159D">
        <w:rPr>
          <w:lang w:val="pl-PL"/>
        </w:rPr>
        <w:t xml:space="preserve"> – </w:t>
      </w:r>
      <w:r w:rsidRPr="0085159D">
        <w:rPr>
          <w:lang w:val="pl-PL"/>
        </w:rPr>
        <w:t>tam, gdzie to właściwe</w:t>
      </w:r>
      <w:r w:rsidR="0041258F" w:rsidRPr="0085159D">
        <w:rPr>
          <w:lang w:val="pl-PL"/>
        </w:rPr>
        <w:t xml:space="preserve"> – </w:t>
      </w:r>
      <w:r w:rsidRPr="0085159D">
        <w:rPr>
          <w:lang w:val="pl-PL"/>
        </w:rPr>
        <w:t xml:space="preserve">w szkołach (koncentrując się na </w:t>
      </w:r>
      <w:r w:rsidR="002B5A77" w:rsidRPr="0085159D">
        <w:rPr>
          <w:lang w:val="pl-PL"/>
        </w:rPr>
        <w:t xml:space="preserve">zagrożeniach </w:t>
      </w:r>
      <w:r w:rsidRPr="0085159D">
        <w:rPr>
          <w:lang w:val="pl-PL"/>
        </w:rPr>
        <w:t>związanych z takimi produktami).</w:t>
      </w:r>
    </w:p>
    <w:p w14:paraId="1B799931" w14:textId="77777777" w:rsidR="00E14925" w:rsidRPr="0085159D" w:rsidRDefault="006D0AD8" w:rsidP="000B051F">
      <w:pPr>
        <w:pStyle w:val="BulletedList"/>
        <w:rPr>
          <w:lang w:val="pl-PL"/>
        </w:rPr>
      </w:pPr>
      <w:r w:rsidRPr="0085159D">
        <w:rPr>
          <w:lang w:val="pl-PL"/>
        </w:rPr>
        <w:t xml:space="preserve">Podnoszenie </w:t>
      </w:r>
      <w:r w:rsidR="002B5A77" w:rsidRPr="0085159D">
        <w:rPr>
          <w:lang w:val="pl-PL"/>
        </w:rPr>
        <w:t>poprzez</w:t>
      </w:r>
      <w:r w:rsidRPr="0085159D">
        <w:rPr>
          <w:lang w:val="pl-PL"/>
        </w:rPr>
        <w:t xml:space="preserve"> kampani</w:t>
      </w:r>
      <w:r w:rsidR="002B5A77" w:rsidRPr="0085159D">
        <w:rPr>
          <w:lang w:val="pl-PL"/>
        </w:rPr>
        <w:t>e</w:t>
      </w:r>
      <w:r w:rsidRPr="0085159D">
        <w:rPr>
          <w:lang w:val="pl-PL"/>
        </w:rPr>
        <w:t xml:space="preserve"> informacyjn</w:t>
      </w:r>
      <w:r w:rsidR="002B5A77" w:rsidRPr="0085159D">
        <w:rPr>
          <w:lang w:val="pl-PL"/>
        </w:rPr>
        <w:t>e</w:t>
      </w:r>
      <w:r w:rsidRPr="0085159D">
        <w:rPr>
          <w:lang w:val="pl-PL"/>
        </w:rPr>
        <w:t xml:space="preserve"> świadomości konsumentów w zakresie zrównoważon</w:t>
      </w:r>
      <w:r w:rsidR="002B5A77" w:rsidRPr="0085159D">
        <w:rPr>
          <w:lang w:val="pl-PL"/>
        </w:rPr>
        <w:t>ego</w:t>
      </w:r>
      <w:r w:rsidRPr="0085159D">
        <w:rPr>
          <w:lang w:val="pl-PL"/>
        </w:rPr>
        <w:t xml:space="preserve"> finans</w:t>
      </w:r>
      <w:r w:rsidR="002B5A77" w:rsidRPr="0085159D">
        <w:rPr>
          <w:lang w:val="pl-PL"/>
        </w:rPr>
        <w:t>owania</w:t>
      </w:r>
      <w:r w:rsidRPr="0085159D">
        <w:rPr>
          <w:lang w:val="pl-PL"/>
        </w:rPr>
        <w:t>, korzyści oraz potencjalnych związanych z nimi pułapek.</w:t>
      </w:r>
    </w:p>
    <w:p w14:paraId="22F6B170" w14:textId="77777777" w:rsidR="00E14925" w:rsidRPr="0085159D" w:rsidRDefault="00E14925" w:rsidP="000B051F">
      <w:pPr>
        <w:pStyle w:val="Nagwek4"/>
        <w:rPr>
          <w:lang w:val="pl-PL"/>
        </w:rPr>
      </w:pPr>
      <w:r w:rsidRPr="0085159D">
        <w:rPr>
          <w:lang w:val="pl-PL"/>
        </w:rPr>
        <w:lastRenderedPageBreak/>
        <w:t xml:space="preserve">4. Podnoszenie świadomości </w:t>
      </w:r>
      <w:r w:rsidR="002B5A77" w:rsidRPr="0085159D">
        <w:rPr>
          <w:lang w:val="pl-PL"/>
        </w:rPr>
        <w:t>w kwestii</w:t>
      </w:r>
      <w:r w:rsidRPr="0085159D">
        <w:rPr>
          <w:lang w:val="pl-PL"/>
        </w:rPr>
        <w:t xml:space="preserve"> znaczenia edukacji finansowej dla mieszkańców Polski oraz ich wiedzy o tym, gdzie znaleźć rzetelne i </w:t>
      </w:r>
      <w:r w:rsidR="002B5A77" w:rsidRPr="0085159D">
        <w:rPr>
          <w:lang w:val="pl-PL"/>
        </w:rPr>
        <w:t xml:space="preserve">obiektywne </w:t>
      </w:r>
      <w:r w:rsidRPr="0085159D">
        <w:rPr>
          <w:lang w:val="pl-PL"/>
        </w:rPr>
        <w:t>informacje finansowe, edukację lub pomoc</w:t>
      </w:r>
    </w:p>
    <w:p w14:paraId="6D01D7D9" w14:textId="77777777" w:rsidR="00E14925" w:rsidRPr="0085159D" w:rsidRDefault="006D0AD8" w:rsidP="000B051F">
      <w:pPr>
        <w:pStyle w:val="Para0"/>
        <w:rPr>
          <w:lang w:val="pl-PL"/>
        </w:rPr>
      </w:pPr>
      <w:r w:rsidRPr="0085159D">
        <w:rPr>
          <w:lang w:val="pl-PL"/>
        </w:rPr>
        <w:t xml:space="preserve">Niniejszy priorytet dąży do ułatwienia mieszkańcom Polski znalezienia rzetelnej i </w:t>
      </w:r>
      <w:r w:rsidR="002B5A77" w:rsidRPr="0085159D">
        <w:rPr>
          <w:lang w:val="pl-PL"/>
        </w:rPr>
        <w:t xml:space="preserve">obiektywnej </w:t>
      </w:r>
      <w:r w:rsidRPr="0085159D">
        <w:rPr>
          <w:lang w:val="pl-PL"/>
        </w:rPr>
        <w:t>edukacji finansowej, a także informacji i pomocy finansowej. Bierze on pod uwagę potrzeby konsumentów, inwestorów detalicznych, nauczycieli oraz rodziców. Działania realizowane w ramach tego priorytetu przyczynią się do budowania pewności i samodzielności w podejmowaniu decyzji finansowych w</w:t>
      </w:r>
      <w:r w:rsidR="00755984">
        <w:rPr>
          <w:lang w:val="pl-PL"/>
        </w:rPr>
        <w:t> </w:t>
      </w:r>
      <w:r w:rsidRPr="0085159D">
        <w:rPr>
          <w:lang w:val="pl-PL"/>
        </w:rPr>
        <w:t xml:space="preserve">codziennym życiu, dzięki wiedzy, gdzie w razie potrzeby </w:t>
      </w:r>
      <w:r w:rsidR="002B5A77" w:rsidRPr="0085159D">
        <w:rPr>
          <w:lang w:val="pl-PL"/>
        </w:rPr>
        <w:t xml:space="preserve">szukać </w:t>
      </w:r>
      <w:r w:rsidRPr="0085159D">
        <w:rPr>
          <w:lang w:val="pl-PL"/>
        </w:rPr>
        <w:t>informacji finansowej i pomocy. Działania te obejmują:</w:t>
      </w:r>
    </w:p>
    <w:p w14:paraId="7AC28894" w14:textId="77777777" w:rsidR="00E14925" w:rsidRPr="0085159D" w:rsidRDefault="002B5A77" w:rsidP="000B051F">
      <w:pPr>
        <w:pStyle w:val="BulletedList"/>
        <w:rPr>
          <w:lang w:val="pl-PL"/>
        </w:rPr>
      </w:pPr>
      <w:r w:rsidRPr="0085159D">
        <w:rPr>
          <w:lang w:val="pl-PL"/>
        </w:rPr>
        <w:t>Stworzenie wspólnego, godnego zaufania, rozpoznawalnego</w:t>
      </w:r>
      <w:r w:rsidR="006D0AD8" w:rsidRPr="0085159D">
        <w:rPr>
          <w:lang w:val="pl-PL"/>
        </w:rPr>
        <w:t>, cieszące</w:t>
      </w:r>
      <w:r w:rsidR="00DC45FC" w:rsidRPr="0085159D">
        <w:rPr>
          <w:lang w:val="pl-PL"/>
        </w:rPr>
        <w:t>go</w:t>
      </w:r>
      <w:r w:rsidR="006D0AD8" w:rsidRPr="0085159D">
        <w:rPr>
          <w:lang w:val="pl-PL"/>
        </w:rPr>
        <w:t xml:space="preserve"> się zaufaniem i</w:t>
      </w:r>
      <w:r w:rsidR="00755984">
        <w:rPr>
          <w:lang w:val="pl-PL"/>
        </w:rPr>
        <w:t> </w:t>
      </w:r>
      <w:r w:rsidR="006D0AD8" w:rsidRPr="0085159D">
        <w:rPr>
          <w:lang w:val="pl-PL"/>
        </w:rPr>
        <w:t xml:space="preserve">uznaniem użytkowników oraz </w:t>
      </w:r>
      <w:r w:rsidRPr="0085159D">
        <w:rPr>
          <w:lang w:val="pl-PL"/>
        </w:rPr>
        <w:t>łatwego w użyciu</w:t>
      </w:r>
      <w:r w:rsidR="00892E00">
        <w:rPr>
          <w:lang w:val="pl-PL"/>
        </w:rPr>
        <w:t xml:space="preserve"> </w:t>
      </w:r>
      <w:r w:rsidRPr="0085159D">
        <w:rPr>
          <w:lang w:val="pl-PL"/>
        </w:rPr>
        <w:t xml:space="preserve">portalu internetowego </w:t>
      </w:r>
      <w:r w:rsidR="006D0AD8" w:rsidRPr="0085159D">
        <w:rPr>
          <w:lang w:val="pl-PL"/>
        </w:rPr>
        <w:t>poświęcone</w:t>
      </w:r>
      <w:r w:rsidRPr="0085159D">
        <w:rPr>
          <w:lang w:val="pl-PL"/>
        </w:rPr>
        <w:t>go</w:t>
      </w:r>
      <w:r w:rsidR="006D0AD8" w:rsidRPr="0085159D">
        <w:rPr>
          <w:lang w:val="pl-PL"/>
        </w:rPr>
        <w:t xml:space="preserve"> edukacji finansowej (kompleksow</w:t>
      </w:r>
      <w:r w:rsidRPr="0085159D">
        <w:rPr>
          <w:lang w:val="pl-PL"/>
        </w:rPr>
        <w:t>a</w:t>
      </w:r>
      <w:r w:rsidR="006D0AD8" w:rsidRPr="0085159D">
        <w:rPr>
          <w:lang w:val="pl-PL"/>
        </w:rPr>
        <w:t xml:space="preserve"> (</w:t>
      </w:r>
      <w:r w:rsidR="006D0AD8" w:rsidRPr="0085159D">
        <w:rPr>
          <w:i/>
          <w:iCs/>
          <w:lang w:val="pl-PL"/>
        </w:rPr>
        <w:t>one</w:t>
      </w:r>
      <w:r w:rsidR="006D0AD8" w:rsidRPr="0085159D">
        <w:rPr>
          <w:i/>
          <w:iCs/>
          <w:lang w:val="pl-PL"/>
        </w:rPr>
        <w:noBreakHyphen/>
        <w:t>stop-shop</w:t>
      </w:r>
      <w:r w:rsidR="006D0AD8" w:rsidRPr="0085159D">
        <w:rPr>
          <w:lang w:val="pl-PL"/>
        </w:rPr>
        <w:t xml:space="preserve">) </w:t>
      </w:r>
      <w:r w:rsidRPr="0085159D">
        <w:rPr>
          <w:lang w:val="pl-PL"/>
        </w:rPr>
        <w:t xml:space="preserve">strona internetowa </w:t>
      </w:r>
      <w:r w:rsidR="00DC45FC" w:rsidRPr="0085159D">
        <w:rPr>
          <w:lang w:val="pl-PL"/>
        </w:rPr>
        <w:t xml:space="preserve">dotycząca </w:t>
      </w:r>
      <w:r w:rsidR="006D0AD8" w:rsidRPr="0085159D">
        <w:rPr>
          <w:lang w:val="pl-PL"/>
        </w:rPr>
        <w:t xml:space="preserve">edukacji finansowej), regularnie </w:t>
      </w:r>
      <w:r w:rsidR="00AA2F60" w:rsidRPr="0085159D">
        <w:rPr>
          <w:lang w:val="pl-PL"/>
        </w:rPr>
        <w:t>aktualizowanego</w:t>
      </w:r>
      <w:r w:rsidR="006D0AD8" w:rsidRPr="0085159D">
        <w:rPr>
          <w:lang w:val="pl-PL"/>
        </w:rPr>
        <w:t>, na przykład w odpowiedzi na potrzeby konsumentów i tendencje w</w:t>
      </w:r>
      <w:r w:rsidR="00755984">
        <w:rPr>
          <w:lang w:val="pl-PL"/>
        </w:rPr>
        <w:t> </w:t>
      </w:r>
      <w:r w:rsidR="006D0AD8" w:rsidRPr="0085159D">
        <w:rPr>
          <w:lang w:val="pl-PL"/>
        </w:rPr>
        <w:t>sektorze finansowym. Portal taki opracowany i utrzymywany byłby w ramach wspólnych starań kluczowych interesariuszy edukacji finansowej.</w:t>
      </w:r>
    </w:p>
    <w:p w14:paraId="13FE9393" w14:textId="77777777" w:rsidR="00E14925" w:rsidRPr="0085159D" w:rsidRDefault="006D0AD8" w:rsidP="000B051F">
      <w:pPr>
        <w:pStyle w:val="BulletedList"/>
        <w:rPr>
          <w:lang w:val="pl-PL"/>
        </w:rPr>
      </w:pPr>
      <w:r w:rsidRPr="0085159D">
        <w:rPr>
          <w:lang w:val="pl-PL"/>
        </w:rPr>
        <w:t xml:space="preserve">Ustanowienie programów szkolenia </w:t>
      </w:r>
      <w:r w:rsidRPr="0085159D">
        <w:rPr>
          <w:b/>
          <w:bCs/>
          <w:lang w:val="pl-PL"/>
        </w:rPr>
        <w:t xml:space="preserve">nauczycieli </w:t>
      </w:r>
      <w:r w:rsidRPr="0085159D">
        <w:rPr>
          <w:lang w:val="pl-PL"/>
        </w:rPr>
        <w:t>w zakresie edukacji finansowej, w ramach ich rozwoju zawodowego oraz w celu zachęcenia nauczycieli do udziału w takich szkoleniach. Rozwiązanie to może być częścią formalnego systemu edukacji (w ośrodkach szkolenia nauczycieli) lub wprowadzone we współpracy z doświadczonymi interesariuszami.</w:t>
      </w:r>
    </w:p>
    <w:p w14:paraId="287020FB" w14:textId="77777777" w:rsidR="00E14925" w:rsidRPr="0085159D" w:rsidRDefault="006D0AD8" w:rsidP="000B051F">
      <w:pPr>
        <w:pStyle w:val="BulletedList"/>
        <w:rPr>
          <w:lang w:val="pl-PL"/>
        </w:rPr>
      </w:pPr>
      <w:r w:rsidRPr="0085159D">
        <w:rPr>
          <w:lang w:val="pl-PL"/>
        </w:rPr>
        <w:t xml:space="preserve">Opracowanie programów edukacji finansowej skierowanych do </w:t>
      </w:r>
      <w:r w:rsidRPr="0085159D">
        <w:rPr>
          <w:b/>
          <w:bCs/>
          <w:lang w:val="pl-PL"/>
        </w:rPr>
        <w:t>rodziców lub opiekunów</w:t>
      </w:r>
      <w:r w:rsidRPr="0085159D">
        <w:rPr>
          <w:lang w:val="pl-PL"/>
        </w:rPr>
        <w:t>, dostarczanych kanałami cyfrowymi lub przy wsparciu środowiska szkolnego.</w:t>
      </w:r>
    </w:p>
    <w:p w14:paraId="70AE07F6" w14:textId="77777777" w:rsidR="00E14925" w:rsidRPr="0085159D" w:rsidRDefault="006D0AD8" w:rsidP="000B051F">
      <w:pPr>
        <w:pStyle w:val="Nagwek3"/>
        <w:rPr>
          <w:lang w:val="pl-PL"/>
        </w:rPr>
      </w:pPr>
      <w:r w:rsidRPr="0085159D">
        <w:rPr>
          <w:bCs/>
          <w:iCs/>
          <w:lang w:val="pl-PL"/>
        </w:rPr>
        <w:t>Priorytety odpowiadające na pytanie</w:t>
      </w:r>
      <w:r w:rsidR="0062089E" w:rsidRPr="0085159D">
        <w:rPr>
          <w:bCs/>
          <w:iCs/>
          <w:lang w:val="pl-PL"/>
        </w:rPr>
        <w:t>,</w:t>
      </w:r>
      <w:r w:rsidRPr="0085159D">
        <w:rPr>
          <w:bCs/>
          <w:iCs/>
          <w:lang w:val="pl-PL"/>
        </w:rPr>
        <w:t xml:space="preserve"> „jak Strategia osiągnie swoje cele</w:t>
      </w:r>
      <w:r w:rsidR="00F77034">
        <w:rPr>
          <w:bCs/>
          <w:iCs/>
          <w:lang w:val="pl-PL"/>
        </w:rPr>
        <w:t>”</w:t>
      </w:r>
    </w:p>
    <w:p w14:paraId="5F744CD8" w14:textId="77777777" w:rsidR="00E14925" w:rsidRPr="0085159D" w:rsidRDefault="00E14925" w:rsidP="000B051F">
      <w:pPr>
        <w:pStyle w:val="Nagwek4"/>
        <w:rPr>
          <w:lang w:val="pl-PL"/>
        </w:rPr>
      </w:pPr>
      <w:r w:rsidRPr="0085159D">
        <w:rPr>
          <w:lang w:val="pl-PL"/>
        </w:rPr>
        <w:t xml:space="preserve">5. Zapewnienie, </w:t>
      </w:r>
      <w:r w:rsidR="0062089E" w:rsidRPr="0085159D">
        <w:rPr>
          <w:lang w:val="pl-PL"/>
        </w:rPr>
        <w:t xml:space="preserve">aby </w:t>
      </w:r>
      <w:r w:rsidRPr="0085159D">
        <w:rPr>
          <w:lang w:val="pl-PL"/>
        </w:rPr>
        <w:t xml:space="preserve">programy edukacji finansowej </w:t>
      </w:r>
      <w:r w:rsidR="0062089E" w:rsidRPr="0085159D">
        <w:rPr>
          <w:lang w:val="pl-PL"/>
        </w:rPr>
        <w:t xml:space="preserve">były </w:t>
      </w:r>
      <w:r w:rsidRPr="0085159D">
        <w:rPr>
          <w:lang w:val="pl-PL"/>
        </w:rPr>
        <w:t>skoncentrowane na konsumencie</w:t>
      </w:r>
    </w:p>
    <w:p w14:paraId="0BB4EAA4" w14:textId="77777777" w:rsidR="00E14925" w:rsidRPr="0085159D" w:rsidRDefault="00AA2F60" w:rsidP="000B051F">
      <w:pPr>
        <w:pStyle w:val="Para0"/>
        <w:rPr>
          <w:lang w:val="pl-PL"/>
        </w:rPr>
      </w:pPr>
      <w:r w:rsidRPr="0085159D">
        <w:rPr>
          <w:lang w:val="pl-PL"/>
        </w:rPr>
        <w:t>Programy edukacji finansowej powinny być zaprojektowane tak, aby były zorientowane na konsumenta i</w:t>
      </w:r>
      <w:r w:rsidR="00755984">
        <w:rPr>
          <w:lang w:val="pl-PL"/>
        </w:rPr>
        <w:t> </w:t>
      </w:r>
      <w:r w:rsidRPr="0085159D">
        <w:rPr>
          <w:lang w:val="pl-PL"/>
        </w:rPr>
        <w:t>odpowiadały na konkretne potrzeby grup docelowych</w:t>
      </w:r>
      <w:r w:rsidR="00E14925" w:rsidRPr="0085159D">
        <w:rPr>
          <w:lang w:val="pl-PL"/>
        </w:rPr>
        <w:t>.</w:t>
      </w:r>
      <w:r w:rsidR="00892E00">
        <w:rPr>
          <w:lang w:val="pl-PL"/>
        </w:rPr>
        <w:t xml:space="preserve"> </w:t>
      </w:r>
      <w:r w:rsidR="0062089E" w:rsidRPr="0085159D">
        <w:rPr>
          <w:lang w:val="pl-PL"/>
        </w:rPr>
        <w:t xml:space="preserve">Dzięki temu będą one </w:t>
      </w:r>
      <w:r w:rsidR="00E14925" w:rsidRPr="0085159D">
        <w:rPr>
          <w:lang w:val="pl-PL"/>
        </w:rPr>
        <w:t>miały większy wpływ oraz będą lepiej dostosowane do wizji KSEF poprawy dobro</w:t>
      </w:r>
      <w:r w:rsidR="000B051F" w:rsidRPr="0085159D">
        <w:rPr>
          <w:lang w:val="pl-PL"/>
        </w:rPr>
        <w:t xml:space="preserve">stanu </w:t>
      </w:r>
      <w:r w:rsidR="00E14925" w:rsidRPr="0085159D">
        <w:rPr>
          <w:lang w:val="pl-PL"/>
        </w:rPr>
        <w:t xml:space="preserve">finansowego konsumentów. Celem tego działania jest wskazanie interesariuszom edukacji finansowej kierunków rozwoju i </w:t>
      </w:r>
      <w:r w:rsidR="0062089E" w:rsidRPr="0085159D">
        <w:rPr>
          <w:lang w:val="pl-PL"/>
        </w:rPr>
        <w:t xml:space="preserve">realizacji </w:t>
      </w:r>
      <w:r w:rsidR="00E14925" w:rsidRPr="0085159D">
        <w:rPr>
          <w:lang w:val="pl-PL"/>
        </w:rPr>
        <w:t>ich programów edukacji finansowej, tak by odpowiadały one na potrzeby grup docelowych i jednocześnie były spójne z</w:t>
      </w:r>
      <w:r w:rsidR="00755984">
        <w:rPr>
          <w:lang w:val="pl-PL"/>
        </w:rPr>
        <w:t> </w:t>
      </w:r>
      <w:r w:rsidR="00E14925" w:rsidRPr="0085159D">
        <w:rPr>
          <w:lang w:val="pl-PL"/>
        </w:rPr>
        <w:t>celami KSEF. Podjęte zostaną następujące działania:</w:t>
      </w:r>
    </w:p>
    <w:p w14:paraId="369A45D5" w14:textId="77777777" w:rsidR="006D0AD8" w:rsidRPr="0085159D" w:rsidRDefault="006D0AD8" w:rsidP="000B051F">
      <w:pPr>
        <w:pStyle w:val="BulletedList"/>
        <w:rPr>
          <w:lang w:val="pl-PL"/>
        </w:rPr>
      </w:pPr>
      <w:r w:rsidRPr="0085159D">
        <w:rPr>
          <w:lang w:val="pl-PL"/>
        </w:rPr>
        <w:t>Opracowanie i zachęcanie interesariuszy edukacji finansowej do przyjęcia ram kompetencji kluczowych w zakresie edukacji finansowej dla dzieci i młodzieży w Polsce (lub do przystosowania do warunków polskich podobnych ram uznanych na arenie międzynarodowej).</w:t>
      </w:r>
    </w:p>
    <w:p w14:paraId="5775D551" w14:textId="77777777" w:rsidR="006D0AD8" w:rsidRPr="0085159D" w:rsidRDefault="006D0AD8" w:rsidP="000B051F">
      <w:pPr>
        <w:pStyle w:val="BulletedList"/>
        <w:rPr>
          <w:lang w:val="pl-PL"/>
        </w:rPr>
      </w:pPr>
      <w:r w:rsidRPr="0085159D">
        <w:rPr>
          <w:lang w:val="pl-PL"/>
        </w:rPr>
        <w:t>Opracowanie i zachęcanie interesariuszy edukacji finansowej do przyjęcia ram kompetencji kluczowych w zakresie edukacji finansowej dla dorosłych w Polsce (lub do przystosowania do warunków polskich podobnych ram uznanych na arenie międzynarodowej).</w:t>
      </w:r>
    </w:p>
    <w:p w14:paraId="5E857591" w14:textId="77777777" w:rsidR="006D0AD8" w:rsidRPr="0085159D" w:rsidRDefault="00E14925" w:rsidP="000B051F">
      <w:pPr>
        <w:pStyle w:val="Nagwek4"/>
        <w:rPr>
          <w:lang w:val="pl-PL"/>
        </w:rPr>
      </w:pPr>
      <w:r w:rsidRPr="0085159D">
        <w:rPr>
          <w:lang w:val="pl-PL"/>
        </w:rPr>
        <w:t xml:space="preserve">6. Zapewnienie, </w:t>
      </w:r>
      <w:r w:rsidR="0062089E" w:rsidRPr="0085159D">
        <w:rPr>
          <w:lang w:val="pl-PL"/>
        </w:rPr>
        <w:t xml:space="preserve">aby </w:t>
      </w:r>
      <w:r w:rsidRPr="0085159D">
        <w:rPr>
          <w:lang w:val="pl-PL"/>
        </w:rPr>
        <w:t xml:space="preserve">programy edukacji finansowej </w:t>
      </w:r>
      <w:r w:rsidR="0062089E" w:rsidRPr="0085159D">
        <w:rPr>
          <w:lang w:val="pl-PL"/>
        </w:rPr>
        <w:t xml:space="preserve">były </w:t>
      </w:r>
      <w:r w:rsidRPr="0085159D">
        <w:rPr>
          <w:lang w:val="pl-PL"/>
        </w:rPr>
        <w:t xml:space="preserve">oparte na </w:t>
      </w:r>
      <w:r w:rsidR="0062089E" w:rsidRPr="0085159D">
        <w:rPr>
          <w:lang w:val="pl-PL"/>
        </w:rPr>
        <w:t>dowodach</w:t>
      </w:r>
      <w:r w:rsidRPr="0085159D">
        <w:rPr>
          <w:lang w:val="pl-PL"/>
        </w:rPr>
        <w:t xml:space="preserve">, w tym wynikach </w:t>
      </w:r>
      <w:r w:rsidR="00894165" w:rsidRPr="0085159D">
        <w:rPr>
          <w:lang w:val="pl-PL"/>
        </w:rPr>
        <w:t xml:space="preserve">monitoringu </w:t>
      </w:r>
      <w:r w:rsidRPr="0085159D">
        <w:rPr>
          <w:lang w:val="pl-PL"/>
        </w:rPr>
        <w:t xml:space="preserve">i </w:t>
      </w:r>
      <w:r w:rsidR="00894165" w:rsidRPr="0085159D">
        <w:rPr>
          <w:lang w:val="pl-PL"/>
        </w:rPr>
        <w:t>ewaluacji</w:t>
      </w:r>
    </w:p>
    <w:p w14:paraId="40FC2028" w14:textId="77777777" w:rsidR="006D0AD8" w:rsidRPr="0085159D" w:rsidRDefault="006D0AD8" w:rsidP="000B051F">
      <w:pPr>
        <w:pStyle w:val="Para0"/>
        <w:rPr>
          <w:lang w:val="pl-PL"/>
        </w:rPr>
      </w:pPr>
      <w:r w:rsidRPr="0085159D">
        <w:rPr>
          <w:lang w:val="pl-PL"/>
        </w:rPr>
        <w:t xml:space="preserve">W ramach KSEF </w:t>
      </w:r>
      <w:r w:rsidR="0062089E" w:rsidRPr="0085159D">
        <w:rPr>
          <w:lang w:val="pl-PL"/>
        </w:rPr>
        <w:t xml:space="preserve">podmioty zajmujące się </w:t>
      </w:r>
      <w:r w:rsidRPr="0085159D">
        <w:rPr>
          <w:lang w:val="pl-PL"/>
        </w:rPr>
        <w:t>edukacj</w:t>
      </w:r>
      <w:r w:rsidR="0062089E" w:rsidRPr="0085159D">
        <w:rPr>
          <w:lang w:val="pl-PL"/>
        </w:rPr>
        <w:t>ą</w:t>
      </w:r>
      <w:r w:rsidRPr="0085159D">
        <w:rPr>
          <w:lang w:val="pl-PL"/>
        </w:rPr>
        <w:t xml:space="preserve"> finansow</w:t>
      </w:r>
      <w:r w:rsidR="0062089E" w:rsidRPr="0085159D">
        <w:rPr>
          <w:lang w:val="pl-PL"/>
        </w:rPr>
        <w:t>ą</w:t>
      </w:r>
      <w:r w:rsidRPr="0085159D">
        <w:rPr>
          <w:lang w:val="pl-PL"/>
        </w:rPr>
        <w:t xml:space="preserve"> zachęca się do wykorzystywania danych dotyczących kompetencji finansowych, wyników badań ilościowych i jakościowych, a także obserwacji behawioralnych</w:t>
      </w:r>
      <w:r w:rsidR="0014739C" w:rsidRPr="0085159D">
        <w:rPr>
          <w:lang w:val="pl-PL"/>
        </w:rPr>
        <w:t xml:space="preserve"> przy opracowaniu programów edukacyjnych</w:t>
      </w:r>
      <w:r w:rsidRPr="0085159D">
        <w:rPr>
          <w:lang w:val="pl-PL"/>
        </w:rPr>
        <w:t>.</w:t>
      </w:r>
    </w:p>
    <w:p w14:paraId="236A6843" w14:textId="77777777" w:rsidR="00E14925" w:rsidRPr="0085159D" w:rsidRDefault="006D0AD8" w:rsidP="000B051F">
      <w:pPr>
        <w:pStyle w:val="Para0"/>
        <w:rPr>
          <w:lang w:val="pl-PL"/>
        </w:rPr>
      </w:pPr>
      <w:r w:rsidRPr="0085159D">
        <w:rPr>
          <w:lang w:val="pl-PL"/>
        </w:rPr>
        <w:lastRenderedPageBreak/>
        <w:t>Środowisko akademickie w Polsce odegrać może istotną rolę podejmując badania, które skupią się na zrozumieniu nawyków finansowych, postaw i zachowań konsumentów, jak również czynników, które je kształtują.</w:t>
      </w:r>
    </w:p>
    <w:p w14:paraId="442EA1FD" w14:textId="77777777" w:rsidR="00E14925" w:rsidRPr="0085159D" w:rsidRDefault="00E14925" w:rsidP="000B051F">
      <w:pPr>
        <w:pStyle w:val="Para0"/>
        <w:rPr>
          <w:lang w:val="pl-PL"/>
        </w:rPr>
      </w:pPr>
      <w:r w:rsidRPr="0085159D">
        <w:rPr>
          <w:lang w:val="pl-PL"/>
        </w:rPr>
        <w:t xml:space="preserve">Ponadto priorytet ten ma na celu zachęcenie i skierowanie uwagi </w:t>
      </w:r>
      <w:r w:rsidR="0014739C" w:rsidRPr="0085159D">
        <w:rPr>
          <w:lang w:val="pl-PL"/>
        </w:rPr>
        <w:t xml:space="preserve">interesariuszy realizujących KSEF </w:t>
      </w:r>
      <w:r w:rsidRPr="0085159D">
        <w:rPr>
          <w:lang w:val="pl-PL"/>
        </w:rPr>
        <w:t xml:space="preserve">na metody prowadzenia monitoringu i </w:t>
      </w:r>
      <w:r w:rsidR="00894165" w:rsidRPr="0085159D">
        <w:rPr>
          <w:lang w:val="pl-PL"/>
        </w:rPr>
        <w:t xml:space="preserve">ewaluacji </w:t>
      </w:r>
      <w:r w:rsidRPr="0085159D">
        <w:rPr>
          <w:lang w:val="pl-PL"/>
        </w:rPr>
        <w:t>programów edukacji finansowej. Podjęte zostaną następujące działania:</w:t>
      </w:r>
    </w:p>
    <w:p w14:paraId="4C0943F8" w14:textId="77777777" w:rsidR="00E14925" w:rsidRPr="0085159D" w:rsidRDefault="006D0AD8" w:rsidP="000B051F">
      <w:pPr>
        <w:pStyle w:val="BulletedList"/>
        <w:rPr>
          <w:lang w:val="pl-PL"/>
        </w:rPr>
      </w:pPr>
      <w:r w:rsidRPr="0085159D">
        <w:rPr>
          <w:lang w:val="pl-PL"/>
        </w:rPr>
        <w:t xml:space="preserve">Gromadzenie w regularnych odstępach czasu (na przykład co trzy-cztery lata) danych na temat kompetencji finansowych, </w:t>
      </w:r>
      <w:r w:rsidR="0014739C" w:rsidRPr="0085159D">
        <w:rPr>
          <w:lang w:val="pl-PL"/>
        </w:rPr>
        <w:t xml:space="preserve">włączenia finansowego </w:t>
      </w:r>
      <w:r w:rsidRPr="0085159D">
        <w:rPr>
          <w:lang w:val="pl-PL"/>
        </w:rPr>
        <w:t>i powiązanych z nimi obszarów, w celu monitorowania wpływu KSEF oraz jako informacji wejściowych na potrzeby tworzenia programów edukacji finansowej.</w:t>
      </w:r>
    </w:p>
    <w:p w14:paraId="1A8171DD" w14:textId="77777777" w:rsidR="006D0AD8" w:rsidRPr="0085159D" w:rsidRDefault="006D0AD8" w:rsidP="000B051F">
      <w:pPr>
        <w:pStyle w:val="BulletedList"/>
        <w:rPr>
          <w:lang w:val="pl-PL"/>
        </w:rPr>
      </w:pPr>
      <w:r w:rsidRPr="0085159D">
        <w:rPr>
          <w:lang w:val="pl-PL"/>
        </w:rPr>
        <w:t xml:space="preserve">Projekty </w:t>
      </w:r>
      <w:r w:rsidR="0014739C" w:rsidRPr="0085159D">
        <w:rPr>
          <w:lang w:val="pl-PL"/>
        </w:rPr>
        <w:t xml:space="preserve">realizacji </w:t>
      </w:r>
      <w:r w:rsidRPr="0085159D">
        <w:rPr>
          <w:lang w:val="pl-PL"/>
        </w:rPr>
        <w:t>pogłębionych danych ilościowych i/lub jakościowych w odniesieniu do konkretnych podgrup populacji, skoordynowanych z KSEF, w celu zapewnienia, że prace nie są duplikowane oraz że potrzeby tych podgrup są dobrze zrozumiane.</w:t>
      </w:r>
    </w:p>
    <w:p w14:paraId="72F9ECEB" w14:textId="77777777" w:rsidR="006D0AD8" w:rsidRPr="0085159D" w:rsidRDefault="006D0AD8" w:rsidP="000B051F">
      <w:pPr>
        <w:pStyle w:val="BulletedList"/>
        <w:rPr>
          <w:lang w:val="pl-PL"/>
        </w:rPr>
      </w:pPr>
      <w:r w:rsidRPr="0085159D">
        <w:rPr>
          <w:lang w:val="pl-PL"/>
        </w:rPr>
        <w:t>Środowisko akademickie zachęcane jest do podejmowania badań nad zrozumieniem potrzeb oraz preferowany</w:t>
      </w:r>
      <w:r w:rsidR="0014739C" w:rsidRPr="0085159D">
        <w:rPr>
          <w:lang w:val="pl-PL"/>
        </w:rPr>
        <w:t>ch</w:t>
      </w:r>
      <w:r w:rsidRPr="0085159D">
        <w:rPr>
          <w:lang w:val="pl-PL"/>
        </w:rPr>
        <w:t xml:space="preserve"> kanał</w:t>
      </w:r>
      <w:r w:rsidR="0014739C" w:rsidRPr="0085159D">
        <w:rPr>
          <w:lang w:val="pl-PL"/>
        </w:rPr>
        <w:t>ów</w:t>
      </w:r>
      <w:r w:rsidRPr="0085159D">
        <w:rPr>
          <w:lang w:val="pl-PL"/>
        </w:rPr>
        <w:t xml:space="preserve"> komunikacji i uczenia się różnych grup docelowych, w celu wspierania opracowywania programów edukacji finansowej lepiej skrojonych do potrzeb</w:t>
      </w:r>
      <w:r w:rsidR="0014739C" w:rsidRPr="0085159D">
        <w:rPr>
          <w:lang w:val="pl-PL"/>
        </w:rPr>
        <w:t xml:space="preserve"> tych grup</w:t>
      </w:r>
      <w:r w:rsidRPr="0085159D">
        <w:rPr>
          <w:lang w:val="pl-PL"/>
        </w:rPr>
        <w:t>, co pozwoli na bardziej skuteczne docieranie do odbiorców, a co za tym idzie – doprowadzi do większej efektywności procesu edukacyjnego.</w:t>
      </w:r>
    </w:p>
    <w:p w14:paraId="7902F811" w14:textId="77777777" w:rsidR="006D0AD8" w:rsidRPr="0085159D" w:rsidRDefault="006D0AD8" w:rsidP="000B051F">
      <w:pPr>
        <w:pStyle w:val="BulletedList"/>
        <w:rPr>
          <w:lang w:val="pl-PL"/>
        </w:rPr>
      </w:pPr>
      <w:r w:rsidRPr="0085159D">
        <w:rPr>
          <w:lang w:val="pl-PL"/>
        </w:rPr>
        <w:t xml:space="preserve">Opracowanie wytycznych dotyczących monitorowania i </w:t>
      </w:r>
      <w:r w:rsidR="00894165" w:rsidRPr="0085159D">
        <w:rPr>
          <w:lang w:val="pl-PL"/>
        </w:rPr>
        <w:t xml:space="preserve">ewaluacji </w:t>
      </w:r>
      <w:r w:rsidRPr="0085159D">
        <w:rPr>
          <w:lang w:val="pl-PL"/>
        </w:rPr>
        <w:t xml:space="preserve">programów edukacji finansowej oraz </w:t>
      </w:r>
      <w:r w:rsidR="0014739C" w:rsidRPr="0085159D">
        <w:rPr>
          <w:lang w:val="pl-PL"/>
        </w:rPr>
        <w:t>zachęcanie do ich przyjęcia i stosowania</w:t>
      </w:r>
      <w:r w:rsidRPr="0085159D">
        <w:rPr>
          <w:lang w:val="pl-PL"/>
        </w:rPr>
        <w:t>.</w:t>
      </w:r>
    </w:p>
    <w:p w14:paraId="01F39865" w14:textId="77777777" w:rsidR="00E14925" w:rsidRPr="0085159D" w:rsidRDefault="00E14925" w:rsidP="000B051F">
      <w:pPr>
        <w:pStyle w:val="Nagwek4"/>
        <w:rPr>
          <w:lang w:val="pl-PL"/>
        </w:rPr>
      </w:pPr>
      <w:r w:rsidRPr="0085159D">
        <w:rPr>
          <w:lang w:val="pl-PL"/>
        </w:rPr>
        <w:t xml:space="preserve">7. Zapewnienie szerokiego i bezstronnego udziału </w:t>
      </w:r>
      <w:r w:rsidR="0014739C" w:rsidRPr="0085159D">
        <w:rPr>
          <w:lang w:val="pl-PL"/>
        </w:rPr>
        <w:t xml:space="preserve">odpowiednich interesariuszy </w:t>
      </w:r>
      <w:r w:rsidRPr="0085159D">
        <w:rPr>
          <w:lang w:val="pl-PL"/>
        </w:rPr>
        <w:t>w</w:t>
      </w:r>
      <w:r w:rsidR="00024130">
        <w:rPr>
          <w:lang w:val="pl-PL"/>
        </w:rPr>
        <w:t> </w:t>
      </w:r>
      <w:r w:rsidRPr="0085159D">
        <w:rPr>
          <w:lang w:val="pl-PL"/>
        </w:rPr>
        <w:t>edukacji finansowej.</w:t>
      </w:r>
    </w:p>
    <w:p w14:paraId="792A03AD" w14:textId="77777777" w:rsidR="00E14925" w:rsidRPr="0085159D" w:rsidRDefault="0014739C" w:rsidP="000B051F">
      <w:pPr>
        <w:pStyle w:val="Para0"/>
        <w:rPr>
          <w:lang w:val="pl-PL"/>
        </w:rPr>
      </w:pPr>
      <w:r w:rsidRPr="0085159D">
        <w:rPr>
          <w:lang w:val="pl-PL"/>
        </w:rPr>
        <w:t xml:space="preserve">Skuteczne </w:t>
      </w:r>
      <w:r w:rsidR="006D0AD8" w:rsidRPr="0085159D">
        <w:rPr>
          <w:lang w:val="pl-PL"/>
        </w:rPr>
        <w:t xml:space="preserve">wdrożenie priorytetów </w:t>
      </w:r>
      <w:r w:rsidRPr="0085159D">
        <w:rPr>
          <w:lang w:val="pl-PL"/>
        </w:rPr>
        <w:t xml:space="preserve">1–4 </w:t>
      </w:r>
      <w:r w:rsidR="006D0AD8" w:rsidRPr="0085159D">
        <w:rPr>
          <w:lang w:val="pl-PL"/>
        </w:rPr>
        <w:t xml:space="preserve">wymagać będzie szerokiego zaangażowania </w:t>
      </w:r>
      <w:r w:rsidRPr="0085159D">
        <w:rPr>
          <w:lang w:val="pl-PL"/>
        </w:rPr>
        <w:t xml:space="preserve">różnych podmiotów </w:t>
      </w:r>
      <w:r w:rsidR="006D0AD8" w:rsidRPr="0085159D">
        <w:rPr>
          <w:lang w:val="pl-PL"/>
        </w:rPr>
        <w:t>w</w:t>
      </w:r>
      <w:r w:rsidR="00755984">
        <w:rPr>
          <w:lang w:val="pl-PL"/>
        </w:rPr>
        <w:t> </w:t>
      </w:r>
      <w:r w:rsidR="006D0AD8" w:rsidRPr="0085159D">
        <w:rPr>
          <w:lang w:val="pl-PL"/>
        </w:rPr>
        <w:t xml:space="preserve">inicjatywy i programy edukacji finansowej. </w:t>
      </w:r>
      <w:r w:rsidRPr="0085159D">
        <w:rPr>
          <w:lang w:val="pl-PL"/>
        </w:rPr>
        <w:t xml:space="preserve">Zaangażowanie </w:t>
      </w:r>
      <w:r w:rsidR="006D0AD8" w:rsidRPr="0085159D">
        <w:rPr>
          <w:lang w:val="pl-PL"/>
        </w:rPr>
        <w:t>interesariuszy w edukacj</w:t>
      </w:r>
      <w:r w:rsidRPr="0085159D">
        <w:rPr>
          <w:lang w:val="pl-PL"/>
        </w:rPr>
        <w:t>ę</w:t>
      </w:r>
      <w:r w:rsidR="006D0AD8" w:rsidRPr="0085159D">
        <w:rPr>
          <w:lang w:val="pl-PL"/>
        </w:rPr>
        <w:t xml:space="preserve"> finansow</w:t>
      </w:r>
      <w:r w:rsidRPr="0085159D">
        <w:rPr>
          <w:lang w:val="pl-PL"/>
        </w:rPr>
        <w:t>ą</w:t>
      </w:r>
      <w:r w:rsidR="006D0AD8" w:rsidRPr="0085159D">
        <w:rPr>
          <w:lang w:val="pl-PL"/>
        </w:rPr>
        <w:t xml:space="preserve"> powin</w:t>
      </w:r>
      <w:r w:rsidRPr="0085159D">
        <w:rPr>
          <w:lang w:val="pl-PL"/>
        </w:rPr>
        <w:t>no</w:t>
      </w:r>
      <w:r w:rsidR="006D0AD8" w:rsidRPr="0085159D">
        <w:rPr>
          <w:lang w:val="pl-PL"/>
        </w:rPr>
        <w:t xml:space="preserve"> być bezstronn</w:t>
      </w:r>
      <w:r w:rsidRPr="0085159D">
        <w:rPr>
          <w:lang w:val="pl-PL"/>
        </w:rPr>
        <w:t>e</w:t>
      </w:r>
      <w:r w:rsidR="006D0AD8" w:rsidRPr="0085159D">
        <w:rPr>
          <w:lang w:val="pl-PL"/>
        </w:rPr>
        <w:t>, co jest warunkiem utrzymania zaufania konsumentów do tych programów oraz uniknięcia konfliktu interesów.</w:t>
      </w:r>
    </w:p>
    <w:p w14:paraId="5BDBEB66" w14:textId="77777777" w:rsidR="006D0AD8" w:rsidRPr="0085159D" w:rsidRDefault="0014739C" w:rsidP="000B051F">
      <w:pPr>
        <w:pStyle w:val="BulletedList"/>
        <w:rPr>
          <w:lang w:val="pl-PL"/>
        </w:rPr>
      </w:pPr>
      <w:r w:rsidRPr="0085159D">
        <w:rPr>
          <w:lang w:val="pl-PL"/>
        </w:rPr>
        <w:t xml:space="preserve">Zidentyfikowanie </w:t>
      </w:r>
      <w:r w:rsidR="006D0AD8" w:rsidRPr="0085159D">
        <w:rPr>
          <w:lang w:val="pl-PL"/>
        </w:rPr>
        <w:t xml:space="preserve">kluczowych interesariuszy obszaru edukacji finansowej wśród podmiotów prywatnych, </w:t>
      </w:r>
      <w:r w:rsidRPr="0085159D">
        <w:rPr>
          <w:lang w:val="pl-PL"/>
        </w:rPr>
        <w:t xml:space="preserve">organizacji </w:t>
      </w:r>
      <w:r w:rsidR="00843A1D" w:rsidRPr="0085159D">
        <w:rPr>
          <w:lang w:val="pl-PL"/>
        </w:rPr>
        <w:t>pozarządowych</w:t>
      </w:r>
      <w:r w:rsidRPr="0085159D">
        <w:rPr>
          <w:lang w:val="pl-PL"/>
        </w:rPr>
        <w:t xml:space="preserve"> oraz instytucji </w:t>
      </w:r>
      <w:r w:rsidR="006D0AD8" w:rsidRPr="0085159D">
        <w:rPr>
          <w:lang w:val="pl-PL"/>
        </w:rPr>
        <w:t>opieki społecznej, jak również</w:t>
      </w:r>
      <w:r w:rsidR="0041258F" w:rsidRPr="0085159D">
        <w:rPr>
          <w:lang w:val="pl-PL"/>
        </w:rPr>
        <w:t xml:space="preserve"> – </w:t>
      </w:r>
      <w:r w:rsidR="006D0AD8" w:rsidRPr="0085159D">
        <w:rPr>
          <w:lang w:val="pl-PL"/>
        </w:rPr>
        <w:t>jeżeli to możliwe</w:t>
      </w:r>
      <w:r w:rsidR="0041258F" w:rsidRPr="0085159D">
        <w:rPr>
          <w:lang w:val="pl-PL"/>
        </w:rPr>
        <w:t xml:space="preserve"> – </w:t>
      </w:r>
      <w:r w:rsidRPr="0085159D">
        <w:rPr>
          <w:lang w:val="pl-PL"/>
        </w:rPr>
        <w:t xml:space="preserve">nawiązanie </w:t>
      </w:r>
      <w:r w:rsidR="006D0AD8" w:rsidRPr="0085159D">
        <w:rPr>
          <w:lang w:val="pl-PL"/>
        </w:rPr>
        <w:t xml:space="preserve">współpracy z nimi w celu wzmocnienia zakresu potencjalnego dotarcia do konsumentów, zwłaszcza tych z grup zagrożonych trudnościami finansowymi (takich jak </w:t>
      </w:r>
      <w:r w:rsidR="006D0AD8" w:rsidRPr="0085159D">
        <w:rPr>
          <w:b/>
          <w:bCs/>
          <w:lang w:val="pl-PL"/>
        </w:rPr>
        <w:t>gospodarstwa domowe</w:t>
      </w:r>
      <w:r w:rsidR="006D0AD8" w:rsidRPr="0085159D">
        <w:rPr>
          <w:lang w:val="pl-PL"/>
        </w:rPr>
        <w:t xml:space="preserve"> </w:t>
      </w:r>
      <w:r w:rsidR="006D0AD8" w:rsidRPr="0085159D">
        <w:rPr>
          <w:b/>
          <w:bCs/>
          <w:lang w:val="pl-PL"/>
        </w:rPr>
        <w:t>o niskich dochodach, konsumenci zagrożeni nadmiernym zadłużeniem lub już nadmiernie zadłużeni, uchodźcy</w:t>
      </w:r>
      <w:r w:rsidR="006D0AD8" w:rsidRPr="0085159D">
        <w:rPr>
          <w:lang w:val="pl-PL"/>
        </w:rPr>
        <w:t>).</w:t>
      </w:r>
    </w:p>
    <w:p w14:paraId="1EE29A06" w14:textId="77777777" w:rsidR="006D0AD8" w:rsidRPr="0085159D" w:rsidRDefault="006D0AD8" w:rsidP="000B051F">
      <w:pPr>
        <w:pStyle w:val="BulletedList"/>
        <w:rPr>
          <w:lang w:val="pl-PL"/>
        </w:rPr>
      </w:pPr>
      <w:r w:rsidRPr="0085159D">
        <w:rPr>
          <w:lang w:val="pl-PL"/>
        </w:rPr>
        <w:t xml:space="preserve">Opracowanie, wspólnie z właściwymi interesariuszami, wytycznych i/lub najlepszych praktyk dotyczących zaangażowania </w:t>
      </w:r>
      <w:r w:rsidR="00AA2F60" w:rsidRPr="0085159D">
        <w:rPr>
          <w:lang w:val="pl-PL"/>
        </w:rPr>
        <w:t xml:space="preserve">w edukację finansową </w:t>
      </w:r>
      <w:r w:rsidRPr="0085159D">
        <w:rPr>
          <w:lang w:val="pl-PL"/>
        </w:rPr>
        <w:t xml:space="preserve">instytucji publicznych, organizacji </w:t>
      </w:r>
      <w:r w:rsidR="00843A1D" w:rsidRPr="0085159D">
        <w:rPr>
          <w:lang w:val="pl-PL"/>
        </w:rPr>
        <w:t xml:space="preserve">pozarządowych </w:t>
      </w:r>
      <w:r w:rsidRPr="0085159D">
        <w:rPr>
          <w:lang w:val="pl-PL"/>
        </w:rPr>
        <w:t>oraz podmiotów prywatnych i zachęcanie do ich stosowania.</w:t>
      </w:r>
    </w:p>
    <w:p w14:paraId="763B9638" w14:textId="77777777" w:rsidR="006D0AD8" w:rsidRPr="0085159D" w:rsidRDefault="006D0AD8" w:rsidP="000B051F">
      <w:pPr>
        <w:pStyle w:val="Para0"/>
        <w:rPr>
          <w:lang w:val="pl-PL"/>
        </w:rPr>
      </w:pPr>
    </w:p>
    <w:p w14:paraId="66FECB77" w14:textId="77777777" w:rsidR="00E14925" w:rsidRPr="004A096F" w:rsidRDefault="006D0AD8" w:rsidP="000B051F">
      <w:pPr>
        <w:pStyle w:val="Nagwek7"/>
        <w:numPr>
          <w:ilvl w:val="6"/>
          <w:numId w:val="10"/>
        </w:numPr>
        <w:rPr>
          <w:color w:val="auto"/>
          <w:lang w:val="pl-PL"/>
        </w:rPr>
      </w:pPr>
      <w:bookmarkStart w:id="55" w:name="_Toc131520823"/>
      <w:r w:rsidRPr="004A096F">
        <w:rPr>
          <w:bCs/>
          <w:iCs w:val="0"/>
          <w:color w:val="auto"/>
          <w:lang w:val="pl-PL"/>
        </w:rPr>
        <w:lastRenderedPageBreak/>
        <w:t>Wskaźniki oddziaływania długoterminowego</w:t>
      </w:r>
      <w:bookmarkEnd w:id="55"/>
    </w:p>
    <w:p w14:paraId="76F54257" w14:textId="71AC66A9" w:rsidR="006D0AD8" w:rsidRPr="0085159D" w:rsidRDefault="006D0AD8" w:rsidP="000B051F">
      <w:pPr>
        <w:pStyle w:val="Para0"/>
        <w:rPr>
          <w:lang w:val="pl-PL"/>
        </w:rPr>
      </w:pPr>
      <w:r w:rsidRPr="0085159D">
        <w:rPr>
          <w:lang w:val="pl-PL"/>
        </w:rPr>
        <w:t xml:space="preserve">Niniejszy </w:t>
      </w:r>
      <w:r w:rsidR="0014739C" w:rsidRPr="0085159D">
        <w:rPr>
          <w:lang w:val="pl-PL"/>
        </w:rPr>
        <w:t>z</w:t>
      </w:r>
      <w:r w:rsidRPr="0085159D">
        <w:rPr>
          <w:lang w:val="pl-PL"/>
        </w:rPr>
        <w:t xml:space="preserve">ałącznik przedstawia wskaźniki oddziaływania długoterminowego, które podlegać będą monitorowaniu i zostaną wykorzystane do </w:t>
      </w:r>
      <w:r w:rsidR="00894165" w:rsidRPr="0085159D">
        <w:rPr>
          <w:lang w:val="pl-PL"/>
        </w:rPr>
        <w:t xml:space="preserve">ewaluacji </w:t>
      </w:r>
      <w:r w:rsidRPr="0085159D">
        <w:rPr>
          <w:lang w:val="pl-PL"/>
        </w:rPr>
        <w:t xml:space="preserve">KSEF. Jak podkreślono w </w:t>
      </w:r>
      <w:r w:rsidR="0014739C" w:rsidRPr="0085159D">
        <w:rPr>
          <w:lang w:val="pl-PL"/>
        </w:rPr>
        <w:t>p</w:t>
      </w:r>
      <w:r w:rsidRPr="0085159D">
        <w:rPr>
          <w:lang w:val="pl-PL"/>
        </w:rPr>
        <w:t xml:space="preserve">unkcie 2.8, wskaźniki długoterminowe proponowane do uwzględnienia w trakcie </w:t>
      </w:r>
      <w:r w:rsidR="00894165" w:rsidRPr="0085159D">
        <w:rPr>
          <w:lang w:val="pl-PL"/>
        </w:rPr>
        <w:t xml:space="preserve">ewaluacji </w:t>
      </w:r>
      <w:r w:rsidRPr="0085159D">
        <w:rPr>
          <w:lang w:val="pl-PL"/>
        </w:rPr>
        <w:t xml:space="preserve">KSEF interpretować należy z pewną dozą ostrożności. Trudne bowiem może być zidentyfikowanie bezpośrednich związków przyczynowych pomiędzy wdrożeniem KSEF a zmianami w wartościach tych wskaźników w czasie. Po pierwsze, jest to spowodowane tym, że wywołanie zmian w zachowaniu nie jest łatwe i potrzeba długiego czasu do ugruntowania się tych zmian. Druga przyczyna to fakt, </w:t>
      </w:r>
      <w:r w:rsidR="0014739C" w:rsidRPr="0085159D">
        <w:rPr>
          <w:lang w:val="pl-PL"/>
        </w:rPr>
        <w:t xml:space="preserve">że </w:t>
      </w:r>
      <w:r w:rsidRPr="0085159D">
        <w:rPr>
          <w:lang w:val="pl-PL"/>
        </w:rPr>
        <w:t xml:space="preserve">na </w:t>
      </w:r>
      <w:r w:rsidR="0014739C" w:rsidRPr="0085159D">
        <w:rPr>
          <w:lang w:val="pl-PL"/>
        </w:rPr>
        <w:t xml:space="preserve">dobrostan </w:t>
      </w:r>
      <w:r w:rsidRPr="0085159D">
        <w:rPr>
          <w:lang w:val="pl-PL"/>
        </w:rPr>
        <w:t>finansowy jednostki wpływ ma bardzo wiele czynników i polityk</w:t>
      </w:r>
      <w:r w:rsidR="007B1FE5" w:rsidRPr="0085159D">
        <w:rPr>
          <w:lang w:val="pl-PL"/>
        </w:rPr>
        <w:t xml:space="preserve"> publicznych</w:t>
      </w:r>
      <w:r w:rsidRPr="0085159D">
        <w:rPr>
          <w:lang w:val="pl-PL"/>
        </w:rPr>
        <w:t>, których zakres wykracza poza zakres edukacji finansowej i</w:t>
      </w:r>
      <w:r w:rsidR="00755984">
        <w:rPr>
          <w:lang w:val="pl-PL"/>
        </w:rPr>
        <w:t> </w:t>
      </w:r>
      <w:r w:rsidRPr="0085159D">
        <w:rPr>
          <w:lang w:val="pl-PL"/>
        </w:rPr>
        <w:t xml:space="preserve">może obejmować okoliczności indywidualne oraz społeczne, jak również </w:t>
      </w:r>
      <w:r w:rsidR="0014739C" w:rsidRPr="0085159D">
        <w:rPr>
          <w:lang w:val="pl-PL"/>
        </w:rPr>
        <w:t>czynniki</w:t>
      </w:r>
      <w:r w:rsidRPr="0085159D">
        <w:rPr>
          <w:lang w:val="pl-PL"/>
        </w:rPr>
        <w:t xml:space="preserve"> makroekonomiczn</w:t>
      </w:r>
      <w:r w:rsidR="0014739C" w:rsidRPr="0085159D">
        <w:rPr>
          <w:lang w:val="pl-PL"/>
        </w:rPr>
        <w:t>e</w:t>
      </w:r>
      <w:r w:rsidRPr="0085159D">
        <w:rPr>
          <w:lang w:val="pl-PL"/>
        </w:rPr>
        <w:t xml:space="preserve"> w</w:t>
      </w:r>
      <w:r w:rsidR="00755984">
        <w:rPr>
          <w:lang w:val="pl-PL"/>
        </w:rPr>
        <w:t> </w:t>
      </w:r>
      <w:r w:rsidRPr="0085159D">
        <w:rPr>
          <w:lang w:val="pl-PL"/>
        </w:rPr>
        <w:t>gospodarce krajowej i światowej oraz szeroki zakres polityk społecznych, gospodarczych i finansowych. Niemniej możliwe jest śledzenie wartości tych wskaźników w czasie. Mogą one być przydatne w</w:t>
      </w:r>
      <w:r w:rsidR="00755984">
        <w:rPr>
          <w:lang w:val="pl-PL"/>
        </w:rPr>
        <w:t> </w:t>
      </w:r>
      <w:r w:rsidRPr="0085159D">
        <w:rPr>
          <w:lang w:val="pl-PL"/>
        </w:rPr>
        <w:t xml:space="preserve">zgromadzeniu wiedzy na temat kierunku zmian obserwowanych w poziomie </w:t>
      </w:r>
      <w:r w:rsidR="0014739C" w:rsidRPr="0085159D">
        <w:rPr>
          <w:lang w:val="pl-PL"/>
        </w:rPr>
        <w:t xml:space="preserve">dobrostanu </w:t>
      </w:r>
      <w:r w:rsidRPr="0085159D">
        <w:rPr>
          <w:lang w:val="pl-PL"/>
        </w:rPr>
        <w:t>finansowego mieszkańców Polski. Dla wskaźników określonych poniżej nie podano konkretnych wartości docelowych</w:t>
      </w:r>
      <w:r w:rsidR="007B1FE5" w:rsidRPr="0085159D">
        <w:rPr>
          <w:lang w:val="pl-PL"/>
        </w:rPr>
        <w:t>,</w:t>
      </w:r>
      <w:r w:rsidRPr="0085159D">
        <w:rPr>
          <w:lang w:val="pl-PL"/>
        </w:rPr>
        <w:t xml:space="preserve"> </w:t>
      </w:r>
      <w:r w:rsidR="007B1FE5" w:rsidRPr="0085159D">
        <w:rPr>
          <w:lang w:val="pl-PL"/>
        </w:rPr>
        <w:t>j</w:t>
      </w:r>
      <w:r w:rsidRPr="0085159D">
        <w:rPr>
          <w:lang w:val="pl-PL"/>
        </w:rPr>
        <w:t xml:space="preserve">ednak </w:t>
      </w:r>
      <w:r w:rsidR="007B1FE5" w:rsidRPr="0085159D">
        <w:rPr>
          <w:lang w:val="pl-PL"/>
        </w:rPr>
        <w:t xml:space="preserve">osiągnięty postęp </w:t>
      </w:r>
      <w:r w:rsidRPr="0085159D">
        <w:rPr>
          <w:lang w:val="pl-PL"/>
        </w:rPr>
        <w:t>może być oceniony pod koniec okresu wdr</w:t>
      </w:r>
      <w:r w:rsidR="007B1FE5" w:rsidRPr="0085159D">
        <w:rPr>
          <w:lang w:val="pl-PL"/>
        </w:rPr>
        <w:t>a</w:t>
      </w:r>
      <w:r w:rsidRPr="0085159D">
        <w:rPr>
          <w:lang w:val="pl-PL"/>
        </w:rPr>
        <w:t>ż</w:t>
      </w:r>
      <w:r w:rsidR="00DB4EBE" w:rsidRPr="0085159D">
        <w:rPr>
          <w:lang w:val="pl-PL"/>
        </w:rPr>
        <w:t>a</w:t>
      </w:r>
      <w:r w:rsidRPr="0085159D">
        <w:rPr>
          <w:lang w:val="pl-PL"/>
        </w:rPr>
        <w:t>nia KSEF (czyli po upływie siedmiu lat od jej przyjęcia).</w:t>
      </w:r>
    </w:p>
    <w:p w14:paraId="39FEF3C6" w14:textId="77777777" w:rsidR="00E14925" w:rsidRPr="0085159D" w:rsidRDefault="006D0AD8" w:rsidP="000B051F">
      <w:pPr>
        <w:pStyle w:val="Para0"/>
        <w:rPr>
          <w:lang w:val="pl-PL"/>
        </w:rPr>
      </w:pPr>
      <w:r w:rsidRPr="0085159D">
        <w:rPr>
          <w:lang w:val="pl-PL"/>
        </w:rPr>
        <w:t>Bezpośrednie skutki programów edukacji finansowej mogą i powinny być mierzone</w:t>
      </w:r>
      <w:r w:rsidR="0041258F" w:rsidRPr="0085159D">
        <w:rPr>
          <w:lang w:val="pl-PL"/>
        </w:rPr>
        <w:t xml:space="preserve"> – </w:t>
      </w:r>
      <w:r w:rsidRPr="0085159D">
        <w:rPr>
          <w:lang w:val="pl-PL"/>
        </w:rPr>
        <w:t>gdy tylko jest to możliwe</w:t>
      </w:r>
      <w:r w:rsidR="0041258F" w:rsidRPr="0085159D">
        <w:rPr>
          <w:lang w:val="pl-PL"/>
        </w:rPr>
        <w:t xml:space="preserve"> – </w:t>
      </w:r>
      <w:r w:rsidRPr="0085159D">
        <w:rPr>
          <w:lang w:val="pl-PL"/>
        </w:rPr>
        <w:t xml:space="preserve">przy użyciu rzetelnych i niezawodnych metod </w:t>
      </w:r>
      <w:r w:rsidR="00894165" w:rsidRPr="0085159D">
        <w:rPr>
          <w:lang w:val="pl-PL"/>
        </w:rPr>
        <w:t xml:space="preserve">ewaluacji </w:t>
      </w:r>
      <w:r w:rsidRPr="0085159D">
        <w:rPr>
          <w:lang w:val="pl-PL"/>
        </w:rPr>
        <w:t>programów, takich jak randomizowane badania kontrolowane (RCT).</w:t>
      </w:r>
    </w:p>
    <w:p w14:paraId="04DAC9A0" w14:textId="7DEB62CB" w:rsidR="00E14925" w:rsidRPr="0085159D" w:rsidRDefault="006D0AD8" w:rsidP="000B051F">
      <w:pPr>
        <w:pStyle w:val="Para0"/>
        <w:rPr>
          <w:lang w:val="pl-PL"/>
        </w:rPr>
      </w:pPr>
      <w:r w:rsidRPr="0085159D">
        <w:rPr>
          <w:lang w:val="pl-PL"/>
        </w:rPr>
        <w:t>Ponadto biorąc pod uwagę, ż</w:t>
      </w:r>
      <w:r w:rsidR="0014739C" w:rsidRPr="0085159D">
        <w:rPr>
          <w:lang w:val="pl-PL"/>
        </w:rPr>
        <w:t>e</w:t>
      </w:r>
      <w:r w:rsidRPr="0085159D">
        <w:rPr>
          <w:lang w:val="pl-PL"/>
        </w:rPr>
        <w:t xml:space="preserve"> priorytety 5</w:t>
      </w:r>
      <w:r w:rsidR="000B051F" w:rsidRPr="0085159D">
        <w:rPr>
          <w:lang w:val="pl-PL"/>
        </w:rPr>
        <w:t>–</w:t>
      </w:r>
      <w:r w:rsidRPr="0085159D">
        <w:rPr>
          <w:lang w:val="pl-PL"/>
        </w:rPr>
        <w:t>7 wspierają priorytety dotyczące tego, „jak” należy projektować i wdrażać programy edukacji finansowej</w:t>
      </w:r>
      <w:r w:rsidR="007B1FE5" w:rsidRPr="0085159D">
        <w:rPr>
          <w:lang w:val="pl-PL"/>
        </w:rPr>
        <w:t>,</w:t>
      </w:r>
      <w:r w:rsidRPr="0085159D">
        <w:rPr>
          <w:lang w:val="pl-PL"/>
        </w:rPr>
        <w:t xml:space="preserve"> by były one jak najbardziej skuteczne, udana realizacja tych priorytetów będzie również odzwierciedlona w rezultatach długoterminowych mierzonych wartościami wskaźników przypisanych do priorytetów </w:t>
      </w:r>
      <w:r w:rsidR="0014739C" w:rsidRPr="0085159D">
        <w:rPr>
          <w:lang w:val="pl-PL"/>
        </w:rPr>
        <w:t>1</w:t>
      </w:r>
      <w:r w:rsidR="0041258F" w:rsidRPr="0085159D">
        <w:rPr>
          <w:lang w:val="pl-PL"/>
        </w:rPr>
        <w:t>–</w:t>
      </w:r>
      <w:r w:rsidR="0014739C" w:rsidRPr="0085159D">
        <w:rPr>
          <w:lang w:val="pl-PL"/>
        </w:rPr>
        <w:t>4</w:t>
      </w:r>
      <w:r w:rsidRPr="0085159D">
        <w:rPr>
          <w:lang w:val="pl-PL"/>
        </w:rPr>
        <w:t xml:space="preserve">. Na przykład, jeżeli programy edukacji finansowej koncentrują się na potrzebach konsumenta i oparte są </w:t>
      </w:r>
      <w:r w:rsidR="00056AD4">
        <w:rPr>
          <w:lang w:val="pl-PL"/>
        </w:rPr>
        <w:t>na</w:t>
      </w:r>
      <w:r w:rsidRPr="0085159D">
        <w:rPr>
          <w:lang w:val="pl-PL"/>
        </w:rPr>
        <w:t xml:space="preserve"> potwierdzonych dowodach, wówczas prawdopodobnym jest, że ich wpływ na wiedzę, postawy i zachowania konsumentów (mierzone wartościami wskaźników podanych w </w:t>
      </w:r>
      <w:r w:rsidR="0014739C" w:rsidRPr="0085159D">
        <w:rPr>
          <w:lang w:val="pl-PL"/>
        </w:rPr>
        <w:t xml:space="preserve">tabeli </w:t>
      </w:r>
      <w:r w:rsidRPr="0085159D">
        <w:rPr>
          <w:lang w:val="pl-PL"/>
        </w:rPr>
        <w:t xml:space="preserve">1, w odniesieniu do priorytetów </w:t>
      </w:r>
      <w:r w:rsidR="0014739C" w:rsidRPr="0085159D">
        <w:rPr>
          <w:lang w:val="pl-PL"/>
        </w:rPr>
        <w:t>1</w:t>
      </w:r>
      <w:r w:rsidR="0041258F" w:rsidRPr="0085159D">
        <w:rPr>
          <w:lang w:val="pl-PL"/>
        </w:rPr>
        <w:t>–</w:t>
      </w:r>
      <w:r w:rsidR="0014739C" w:rsidRPr="0085159D">
        <w:rPr>
          <w:lang w:val="pl-PL"/>
        </w:rPr>
        <w:t>4</w:t>
      </w:r>
      <w:r w:rsidRPr="0085159D">
        <w:rPr>
          <w:lang w:val="pl-PL"/>
        </w:rPr>
        <w:t>) będzie bardziej znaczący.</w:t>
      </w:r>
    </w:p>
    <w:p w14:paraId="5875B8AB" w14:textId="77777777" w:rsidR="00AA45D8" w:rsidRDefault="00AA45D8" w:rsidP="00771A89">
      <w:pPr>
        <w:pStyle w:val="Para0"/>
        <w:rPr>
          <w:rFonts w:asciiTheme="majorHAnsi" w:hAnsiTheme="majorHAnsi"/>
          <w:color w:val="4E81BD" w:themeColor="accent1"/>
          <w:sz w:val="24"/>
          <w:szCs w:val="18"/>
          <w:lang w:val="pl-PL"/>
        </w:rPr>
      </w:pPr>
      <w:bookmarkStart w:id="56" w:name="_Toc131521243"/>
      <w:r>
        <w:rPr>
          <w:lang w:val="pl-PL"/>
        </w:rPr>
        <w:br w:type="page"/>
      </w:r>
    </w:p>
    <w:p w14:paraId="373A6525" w14:textId="602A255D" w:rsidR="006D0AD8" w:rsidRPr="007E70B7" w:rsidRDefault="00B52BED" w:rsidP="000B051F">
      <w:pPr>
        <w:pStyle w:val="Legenda"/>
        <w:rPr>
          <w:color w:val="auto"/>
          <w:lang w:val="pl-PL"/>
        </w:rPr>
      </w:pPr>
      <w:r w:rsidRPr="007E70B7">
        <w:rPr>
          <w:bCs/>
          <w:iCs w:val="0"/>
          <w:color w:val="auto"/>
          <w:lang w:val="pl-PL"/>
        </w:rPr>
        <w:lastRenderedPageBreak/>
        <w:t>Tabela A </w:t>
      </w:r>
      <w:r w:rsidR="00FB72F4" w:rsidRPr="007E70B7">
        <w:rPr>
          <w:color w:val="auto"/>
          <w:lang w:val="pl-PL"/>
        </w:rPr>
        <w:fldChar w:fldCharType="begin"/>
      </w:r>
      <w:r w:rsidR="00FB72F4" w:rsidRPr="007E70B7">
        <w:rPr>
          <w:color w:val="auto"/>
          <w:lang w:val="pl-PL"/>
        </w:rPr>
        <w:instrText xml:space="preserve"> STYLEREF 7 \s </w:instrText>
      </w:r>
      <w:r w:rsidR="00FB72F4" w:rsidRPr="007E70B7">
        <w:rPr>
          <w:color w:val="auto"/>
          <w:lang w:val="pl-PL"/>
        </w:rPr>
        <w:fldChar w:fldCharType="separate"/>
      </w:r>
      <w:r w:rsidR="001C3129">
        <w:rPr>
          <w:noProof/>
          <w:color w:val="auto"/>
          <w:lang w:val="pl-PL"/>
        </w:rPr>
        <w:t>A</w:t>
      </w:r>
      <w:r w:rsidR="00FB72F4" w:rsidRPr="007E70B7">
        <w:rPr>
          <w:bCs/>
          <w:iCs w:val="0"/>
          <w:noProof/>
          <w:color w:val="auto"/>
          <w:lang w:val="pl-PL"/>
        </w:rPr>
        <w:fldChar w:fldCharType="end"/>
      </w:r>
      <w:r w:rsidRPr="007E70B7">
        <w:rPr>
          <w:bCs/>
          <w:iCs w:val="0"/>
          <w:color w:val="auto"/>
          <w:lang w:val="pl-PL"/>
        </w:rPr>
        <w:t>.</w:t>
      </w:r>
      <w:r w:rsidRPr="007E70B7">
        <w:rPr>
          <w:bCs/>
          <w:iCs w:val="0"/>
          <w:noProof/>
          <w:color w:val="auto"/>
          <w:lang w:val="pl-PL"/>
        </w:rPr>
        <w:fldChar w:fldCharType="begin"/>
      </w:r>
      <w:r w:rsidRPr="007E70B7">
        <w:rPr>
          <w:bCs/>
          <w:iCs w:val="0"/>
          <w:noProof/>
          <w:color w:val="auto"/>
          <w:lang w:val="pl-PL"/>
        </w:rPr>
        <w:instrText xml:space="preserve"> SEQ Table_A \* ARABIC \s 7 </w:instrText>
      </w:r>
      <w:r w:rsidRPr="007E70B7">
        <w:rPr>
          <w:bCs/>
          <w:iCs w:val="0"/>
          <w:noProof/>
          <w:color w:val="auto"/>
          <w:lang w:val="pl-PL"/>
        </w:rPr>
        <w:fldChar w:fldCharType="separate"/>
      </w:r>
      <w:r w:rsidR="001C3129">
        <w:rPr>
          <w:bCs/>
          <w:iCs w:val="0"/>
          <w:noProof/>
          <w:color w:val="auto"/>
          <w:lang w:val="pl-PL"/>
        </w:rPr>
        <w:t>1</w:t>
      </w:r>
      <w:r w:rsidRPr="007E70B7">
        <w:rPr>
          <w:bCs/>
          <w:iCs w:val="0"/>
          <w:noProof/>
          <w:color w:val="auto"/>
          <w:lang w:val="pl-PL"/>
        </w:rPr>
        <w:fldChar w:fldCharType="end"/>
      </w:r>
      <w:r w:rsidRPr="007E70B7">
        <w:rPr>
          <w:bCs/>
          <w:iCs w:val="0"/>
          <w:color w:val="auto"/>
          <w:lang w:val="pl-PL"/>
        </w:rPr>
        <w:t xml:space="preserve">. Wskaźniki dla </w:t>
      </w:r>
      <w:r w:rsidR="00AE2ABB" w:rsidRPr="007E70B7">
        <w:rPr>
          <w:bCs/>
          <w:iCs w:val="0"/>
          <w:color w:val="auto"/>
          <w:lang w:val="pl-PL"/>
        </w:rPr>
        <w:t xml:space="preserve">kluczowych </w:t>
      </w:r>
      <w:r w:rsidR="007B1FE5" w:rsidRPr="007E70B7">
        <w:rPr>
          <w:bCs/>
          <w:iCs w:val="0"/>
          <w:color w:val="auto"/>
          <w:lang w:val="pl-PL"/>
        </w:rPr>
        <w:t xml:space="preserve">priorytetów </w:t>
      </w:r>
      <w:r w:rsidRPr="007E70B7">
        <w:rPr>
          <w:bCs/>
          <w:iCs w:val="0"/>
          <w:color w:val="auto"/>
          <w:lang w:val="pl-PL"/>
        </w:rPr>
        <w:t>KSEF</w:t>
      </w:r>
      <w:bookmarkEnd w:id="56"/>
    </w:p>
    <w:tbl>
      <w:tblPr>
        <w:tblStyle w:val="OECD"/>
        <w:tblW w:w="5000" w:type="pct"/>
        <w:jc w:val="center"/>
        <w:tblLook w:val="0420" w:firstRow="1" w:lastRow="0" w:firstColumn="0" w:lastColumn="0" w:noHBand="0" w:noVBand="1"/>
      </w:tblPr>
      <w:tblGrid>
        <w:gridCol w:w="1782"/>
        <w:gridCol w:w="3058"/>
        <w:gridCol w:w="1910"/>
        <w:gridCol w:w="2548"/>
      </w:tblGrid>
      <w:tr w:rsidR="006D0AD8" w:rsidRPr="0085159D" w14:paraId="640165CB" w14:textId="77777777" w:rsidTr="00E4736C">
        <w:trPr>
          <w:cnfStyle w:val="100000000000" w:firstRow="1" w:lastRow="0" w:firstColumn="0" w:lastColumn="0" w:oddVBand="0" w:evenVBand="0" w:oddHBand="0" w:evenHBand="0" w:firstRowFirstColumn="0" w:firstRowLastColumn="0" w:lastRowFirstColumn="0" w:lastRowLastColumn="0"/>
          <w:cantSplit/>
          <w:trHeight w:val="239"/>
          <w:tblHeader/>
          <w:jc w:val="center"/>
        </w:trPr>
        <w:tc>
          <w:tcPr>
            <w:tcW w:w="958" w:type="pct"/>
          </w:tcPr>
          <w:p w14:paraId="5646FAEE" w14:textId="77777777" w:rsidR="006D0AD8" w:rsidRPr="0085159D" w:rsidRDefault="006D0AD8" w:rsidP="000B051F">
            <w:pPr>
              <w:pStyle w:val="TableColumn"/>
              <w:rPr>
                <w:b/>
                <w:bCs/>
                <w:lang w:val="pl-PL"/>
              </w:rPr>
            </w:pPr>
            <w:r w:rsidRPr="0085159D">
              <w:rPr>
                <w:b/>
                <w:bCs/>
                <w:lang w:val="pl-PL"/>
              </w:rPr>
              <w:t>Kluczowe priorytety KSEF</w:t>
            </w:r>
          </w:p>
        </w:tc>
        <w:tc>
          <w:tcPr>
            <w:tcW w:w="1644" w:type="pct"/>
          </w:tcPr>
          <w:p w14:paraId="7C156907" w14:textId="77777777" w:rsidR="006D0AD8" w:rsidRPr="0085159D" w:rsidRDefault="006D0AD8" w:rsidP="000B051F">
            <w:pPr>
              <w:pStyle w:val="TableColumn"/>
              <w:rPr>
                <w:b/>
                <w:bCs/>
                <w:lang w:val="pl-PL"/>
              </w:rPr>
            </w:pPr>
            <w:r w:rsidRPr="0085159D">
              <w:rPr>
                <w:b/>
                <w:bCs/>
                <w:lang w:val="pl-PL"/>
              </w:rPr>
              <w:t xml:space="preserve">Wskaźniki </w:t>
            </w:r>
          </w:p>
        </w:tc>
        <w:tc>
          <w:tcPr>
            <w:tcW w:w="1027" w:type="pct"/>
          </w:tcPr>
          <w:p w14:paraId="4787DD31" w14:textId="2C431E70" w:rsidR="00985DCB" w:rsidRDefault="00985DCB" w:rsidP="000B051F">
            <w:pPr>
              <w:pStyle w:val="TableColumn"/>
              <w:rPr>
                <w:b/>
                <w:bCs/>
                <w:lang w:val="pl-PL"/>
              </w:rPr>
            </w:pPr>
            <w:r>
              <w:rPr>
                <w:b/>
                <w:bCs/>
                <w:lang w:val="pl-PL"/>
              </w:rPr>
              <w:t>Wartości bazowe</w:t>
            </w:r>
          </w:p>
          <w:p w14:paraId="5C6B3950" w14:textId="36ED46EC" w:rsidR="006D0AD8" w:rsidRPr="0085159D" w:rsidRDefault="00985DCB" w:rsidP="000B051F">
            <w:pPr>
              <w:pStyle w:val="TableColumn"/>
              <w:rPr>
                <w:b/>
                <w:bCs/>
                <w:lang w:val="pl-PL"/>
              </w:rPr>
            </w:pPr>
            <w:r>
              <w:rPr>
                <w:b/>
                <w:bCs/>
                <w:lang w:val="pl-PL"/>
              </w:rPr>
              <w:t>(o</w:t>
            </w:r>
            <w:r w:rsidR="006B2DAD">
              <w:rPr>
                <w:b/>
                <w:bCs/>
                <w:lang w:val="pl-PL"/>
              </w:rPr>
              <w:t>kres</w:t>
            </w:r>
            <w:r w:rsidR="006D0AD8" w:rsidRPr="0085159D">
              <w:rPr>
                <w:b/>
                <w:bCs/>
                <w:lang w:val="pl-PL"/>
              </w:rPr>
              <w:t xml:space="preserve"> odniesienia </w:t>
            </w:r>
            <w:r w:rsidR="000B051F" w:rsidRPr="0085159D">
              <w:rPr>
                <w:b/>
                <w:bCs/>
                <w:lang w:val="pl-PL"/>
              </w:rPr>
              <w:br/>
            </w:r>
            <w:r w:rsidR="006D0AD8" w:rsidRPr="0085159D">
              <w:rPr>
                <w:b/>
                <w:bCs/>
                <w:lang w:val="pl-PL"/>
              </w:rPr>
              <w:t>2020</w:t>
            </w:r>
            <w:r w:rsidR="000B051F" w:rsidRPr="0085159D">
              <w:rPr>
                <w:b/>
                <w:bCs/>
                <w:lang w:val="pl-PL"/>
              </w:rPr>
              <w:t>–</w:t>
            </w:r>
            <w:r w:rsidR="006D0AD8" w:rsidRPr="0085159D">
              <w:rPr>
                <w:b/>
                <w:bCs/>
                <w:lang w:val="pl-PL"/>
              </w:rPr>
              <w:t xml:space="preserve">22) </w:t>
            </w:r>
          </w:p>
        </w:tc>
        <w:tc>
          <w:tcPr>
            <w:tcW w:w="1370" w:type="pct"/>
          </w:tcPr>
          <w:p w14:paraId="18829100" w14:textId="77777777" w:rsidR="006D0AD8" w:rsidRPr="0085159D" w:rsidRDefault="006D0AD8" w:rsidP="000B051F">
            <w:pPr>
              <w:pStyle w:val="TableColumn"/>
              <w:rPr>
                <w:b/>
                <w:bCs/>
                <w:lang w:val="pl-PL"/>
              </w:rPr>
            </w:pPr>
            <w:r w:rsidRPr="0085159D">
              <w:rPr>
                <w:b/>
                <w:bCs/>
                <w:lang w:val="pl-PL"/>
              </w:rPr>
              <w:t xml:space="preserve">Źródło </w:t>
            </w:r>
          </w:p>
        </w:tc>
      </w:tr>
      <w:tr w:rsidR="006D0AD8" w:rsidRPr="004571F3" w14:paraId="087BDF21" w14:textId="77777777" w:rsidTr="00E4736C">
        <w:trPr>
          <w:cantSplit/>
          <w:trHeight w:val="239"/>
          <w:jc w:val="center"/>
        </w:trPr>
        <w:tc>
          <w:tcPr>
            <w:tcW w:w="958" w:type="pct"/>
            <w:vMerge w:val="restart"/>
          </w:tcPr>
          <w:p w14:paraId="24AB10D0" w14:textId="77777777" w:rsidR="006D0AD8" w:rsidRPr="0085159D" w:rsidRDefault="00E14925" w:rsidP="00AA45D8">
            <w:pPr>
              <w:pStyle w:val="TableRow"/>
              <w:jc w:val="left"/>
              <w:rPr>
                <w:lang w:val="pl-PL"/>
              </w:rPr>
            </w:pPr>
            <w:r w:rsidRPr="0085159D">
              <w:rPr>
                <w:lang w:val="pl-PL"/>
              </w:rPr>
              <w:t xml:space="preserve">1. Zwiększenie i utrzymanie odporności finansowej i </w:t>
            </w:r>
            <w:r w:rsidR="00540D2F" w:rsidRPr="0085159D">
              <w:rPr>
                <w:lang w:val="pl-PL"/>
              </w:rPr>
              <w:t xml:space="preserve">dobrostanu </w:t>
            </w:r>
            <w:r w:rsidRPr="0085159D">
              <w:rPr>
                <w:lang w:val="pl-PL"/>
              </w:rPr>
              <w:t>finansowego mieszkańców Polski poprzez odpowiedzialne planowanie finansów osobistych, unikanie nadmiernego zadłużenia i doskonalenie umiejętności zarządzania ryzykiem</w:t>
            </w:r>
          </w:p>
        </w:tc>
        <w:tc>
          <w:tcPr>
            <w:tcW w:w="1644" w:type="pct"/>
            <w:vAlign w:val="bottom"/>
          </w:tcPr>
          <w:p w14:paraId="51B0BCE6" w14:textId="77777777" w:rsidR="006D0AD8" w:rsidRPr="0085159D" w:rsidRDefault="006D0AD8" w:rsidP="000B051F">
            <w:pPr>
              <w:pStyle w:val="TableCell"/>
              <w:widowControl/>
              <w:jc w:val="center"/>
              <w:rPr>
                <w:lang w:val="pl-PL"/>
              </w:rPr>
            </w:pPr>
            <w:r w:rsidRPr="0085159D">
              <w:rPr>
                <w:lang w:val="pl-PL"/>
              </w:rPr>
              <w:t>% osób w wieku 15 lat i więcej, któr</w:t>
            </w:r>
            <w:r w:rsidR="00894165" w:rsidRPr="0085159D">
              <w:rPr>
                <w:lang w:val="pl-PL"/>
              </w:rPr>
              <w:t>e</w:t>
            </w:r>
            <w:r w:rsidRPr="0085159D">
              <w:rPr>
                <w:lang w:val="pl-PL"/>
              </w:rPr>
              <w:t xml:space="preserve"> uznają sw</w:t>
            </w:r>
            <w:r w:rsidR="00894165" w:rsidRPr="0085159D">
              <w:rPr>
                <w:lang w:val="pl-PL"/>
              </w:rPr>
              <w:t>oj</w:t>
            </w:r>
            <w:r w:rsidRPr="0085159D">
              <w:rPr>
                <w:lang w:val="pl-PL"/>
              </w:rPr>
              <w:t xml:space="preserve">ą wiedzę finansową za dość </w:t>
            </w:r>
            <w:r w:rsidR="00894165" w:rsidRPr="0085159D">
              <w:rPr>
                <w:lang w:val="pl-PL"/>
              </w:rPr>
              <w:t>dużą</w:t>
            </w:r>
          </w:p>
          <w:p w14:paraId="044BAC62" w14:textId="77777777" w:rsidR="006D0AD8" w:rsidRPr="0085159D" w:rsidRDefault="006D0AD8" w:rsidP="000B051F">
            <w:pPr>
              <w:pStyle w:val="TableCell"/>
              <w:widowControl/>
              <w:jc w:val="center"/>
              <w:rPr>
                <w:lang w:val="pl-PL"/>
              </w:rPr>
            </w:pPr>
          </w:p>
        </w:tc>
        <w:tc>
          <w:tcPr>
            <w:tcW w:w="1027" w:type="pct"/>
          </w:tcPr>
          <w:p w14:paraId="6620E37F" w14:textId="77777777" w:rsidR="006D0AD8" w:rsidRPr="0085159D" w:rsidRDefault="006D0AD8" w:rsidP="000B051F">
            <w:pPr>
              <w:pStyle w:val="TableCell"/>
              <w:widowControl/>
              <w:jc w:val="center"/>
              <w:rPr>
                <w:lang w:val="pl-PL"/>
              </w:rPr>
            </w:pPr>
            <w:r w:rsidRPr="0085159D">
              <w:rPr>
                <w:lang w:val="pl-PL"/>
              </w:rPr>
              <w:t>8%</w:t>
            </w:r>
          </w:p>
        </w:tc>
        <w:tc>
          <w:tcPr>
            <w:tcW w:w="1370" w:type="pct"/>
          </w:tcPr>
          <w:p w14:paraId="16C46C4F" w14:textId="77777777" w:rsidR="006D0AD8" w:rsidRPr="0085159D" w:rsidRDefault="006D0AD8" w:rsidP="000B051F">
            <w:pPr>
              <w:pStyle w:val="TableCell"/>
              <w:widowControl/>
              <w:jc w:val="center"/>
              <w:rPr>
                <w:lang w:val="pl-PL"/>
              </w:rPr>
            </w:pPr>
            <w:r w:rsidRPr="0085159D">
              <w:rPr>
                <w:lang w:val="pl-PL"/>
              </w:rPr>
              <w:t>Badanie wiedzy i świadomości ekonomicznej Polaków 2020, NBP</w:t>
            </w:r>
          </w:p>
        </w:tc>
      </w:tr>
      <w:tr w:rsidR="006D0AD8" w:rsidRPr="004571F3" w14:paraId="6A168082" w14:textId="77777777" w:rsidTr="00E4736C">
        <w:trPr>
          <w:cantSplit/>
          <w:trHeight w:val="434"/>
          <w:jc w:val="center"/>
        </w:trPr>
        <w:tc>
          <w:tcPr>
            <w:tcW w:w="958" w:type="pct"/>
            <w:vMerge/>
          </w:tcPr>
          <w:p w14:paraId="132BB2F5" w14:textId="77777777" w:rsidR="006D0AD8" w:rsidRPr="0085159D" w:rsidRDefault="006D0AD8" w:rsidP="00AA45D8">
            <w:pPr>
              <w:pStyle w:val="TableRow"/>
              <w:jc w:val="left"/>
              <w:rPr>
                <w:lang w:val="pl-PL"/>
              </w:rPr>
            </w:pPr>
          </w:p>
        </w:tc>
        <w:tc>
          <w:tcPr>
            <w:tcW w:w="1644" w:type="pct"/>
            <w:vAlign w:val="bottom"/>
          </w:tcPr>
          <w:p w14:paraId="0E7D1CCD" w14:textId="77777777" w:rsidR="006D0AD8" w:rsidRPr="0085159D" w:rsidRDefault="006D0AD8" w:rsidP="000B051F">
            <w:pPr>
              <w:pStyle w:val="TableCell"/>
              <w:widowControl/>
              <w:jc w:val="center"/>
              <w:rPr>
                <w:lang w:val="pl-PL"/>
              </w:rPr>
            </w:pPr>
            <w:r w:rsidRPr="007C2542">
              <w:rPr>
                <w:lang w:val="pl-PL"/>
              </w:rPr>
              <w:t xml:space="preserve">% </w:t>
            </w:r>
            <w:r w:rsidR="00894165" w:rsidRPr="007C2542">
              <w:rPr>
                <w:lang w:val="pl-PL"/>
              </w:rPr>
              <w:t xml:space="preserve">osób </w:t>
            </w:r>
            <w:r w:rsidRPr="007C2542">
              <w:rPr>
                <w:lang w:val="pl-PL"/>
              </w:rPr>
              <w:t>z najwyższymi wynikami w teście kompetencji finansowych</w:t>
            </w:r>
          </w:p>
        </w:tc>
        <w:tc>
          <w:tcPr>
            <w:tcW w:w="1027" w:type="pct"/>
          </w:tcPr>
          <w:p w14:paraId="70C695FF" w14:textId="77777777" w:rsidR="006D0AD8" w:rsidRPr="0085159D" w:rsidRDefault="006D0AD8" w:rsidP="000B051F">
            <w:pPr>
              <w:pStyle w:val="TableCell"/>
              <w:widowControl/>
              <w:jc w:val="center"/>
              <w:rPr>
                <w:lang w:val="pl-PL"/>
              </w:rPr>
            </w:pPr>
            <w:r w:rsidRPr="0085159D">
              <w:rPr>
                <w:lang w:val="pl-PL"/>
              </w:rPr>
              <w:t>23%</w:t>
            </w:r>
          </w:p>
        </w:tc>
        <w:tc>
          <w:tcPr>
            <w:tcW w:w="1370" w:type="pct"/>
          </w:tcPr>
          <w:p w14:paraId="0D755A51" w14:textId="77777777" w:rsidR="006D0AD8" w:rsidRPr="0085159D" w:rsidRDefault="006D0AD8" w:rsidP="000B051F">
            <w:pPr>
              <w:pStyle w:val="TableCell"/>
              <w:widowControl/>
              <w:jc w:val="center"/>
              <w:rPr>
                <w:lang w:val="pl-PL"/>
              </w:rPr>
            </w:pPr>
            <w:r w:rsidRPr="0085159D">
              <w:rPr>
                <w:lang w:val="pl-PL"/>
              </w:rPr>
              <w:t>Badanie OECD/INFE Kompetencji finansowych dorosłych 2020 – dane krajowe</w:t>
            </w:r>
          </w:p>
        </w:tc>
      </w:tr>
      <w:tr w:rsidR="006D0AD8" w:rsidRPr="004571F3" w14:paraId="164D7B3B" w14:textId="77777777" w:rsidTr="00E4736C">
        <w:trPr>
          <w:cantSplit/>
          <w:trHeight w:val="239"/>
          <w:jc w:val="center"/>
        </w:trPr>
        <w:tc>
          <w:tcPr>
            <w:tcW w:w="958" w:type="pct"/>
            <w:vMerge/>
          </w:tcPr>
          <w:p w14:paraId="7C4CE612" w14:textId="77777777" w:rsidR="006D0AD8" w:rsidRPr="0085159D" w:rsidRDefault="006D0AD8" w:rsidP="00AA45D8">
            <w:pPr>
              <w:pStyle w:val="TableRow"/>
              <w:jc w:val="left"/>
              <w:rPr>
                <w:lang w:val="pl-PL"/>
              </w:rPr>
            </w:pPr>
          </w:p>
        </w:tc>
        <w:tc>
          <w:tcPr>
            <w:tcW w:w="1644" w:type="pct"/>
            <w:vAlign w:val="bottom"/>
          </w:tcPr>
          <w:p w14:paraId="2D23417E" w14:textId="77777777" w:rsidR="006D0AD8" w:rsidRPr="0085159D" w:rsidRDefault="006D0AD8" w:rsidP="000B051F">
            <w:pPr>
              <w:pStyle w:val="TableCell"/>
              <w:widowControl/>
              <w:jc w:val="center"/>
              <w:rPr>
                <w:lang w:val="pl-PL"/>
              </w:rPr>
            </w:pPr>
            <w:r w:rsidRPr="007C2542">
              <w:rPr>
                <w:lang w:val="pl-PL"/>
              </w:rPr>
              <w:t>% osób, które udzieliły poprawnych odpowiedzi w teście wiedzy ekonomicznej</w:t>
            </w:r>
          </w:p>
        </w:tc>
        <w:tc>
          <w:tcPr>
            <w:tcW w:w="1027" w:type="pct"/>
          </w:tcPr>
          <w:p w14:paraId="3C94497A" w14:textId="77777777" w:rsidR="006D0AD8" w:rsidRPr="0085159D" w:rsidRDefault="006D0AD8" w:rsidP="000B051F">
            <w:pPr>
              <w:pStyle w:val="TableCell"/>
              <w:widowControl/>
              <w:jc w:val="center"/>
              <w:rPr>
                <w:lang w:val="pl-PL"/>
              </w:rPr>
            </w:pPr>
            <w:r w:rsidRPr="0085159D">
              <w:rPr>
                <w:lang w:val="pl-PL"/>
              </w:rPr>
              <w:t>71%</w:t>
            </w:r>
          </w:p>
        </w:tc>
        <w:tc>
          <w:tcPr>
            <w:tcW w:w="1370" w:type="pct"/>
          </w:tcPr>
          <w:p w14:paraId="1FD3AAD5" w14:textId="77777777" w:rsidR="006D0AD8" w:rsidRPr="0085159D" w:rsidRDefault="006D0AD8" w:rsidP="000B051F">
            <w:pPr>
              <w:widowControl/>
              <w:jc w:val="center"/>
              <w:rPr>
                <w:lang w:val="pl-PL"/>
              </w:rPr>
            </w:pPr>
            <w:r w:rsidRPr="0085159D">
              <w:rPr>
                <w:lang w:val="pl-PL"/>
              </w:rPr>
              <w:t>Badanie OECD/INFE Kompetencji finansowych dorosłych 2020 – dane krajowe</w:t>
            </w:r>
          </w:p>
        </w:tc>
      </w:tr>
      <w:tr w:rsidR="006D0AD8" w:rsidRPr="004571F3" w14:paraId="529572D1" w14:textId="77777777" w:rsidTr="00E4736C">
        <w:trPr>
          <w:cantSplit/>
          <w:trHeight w:val="239"/>
          <w:jc w:val="center"/>
        </w:trPr>
        <w:tc>
          <w:tcPr>
            <w:tcW w:w="958" w:type="pct"/>
            <w:vMerge/>
          </w:tcPr>
          <w:p w14:paraId="357D55B5" w14:textId="77777777" w:rsidR="006D0AD8" w:rsidRPr="0085159D" w:rsidRDefault="006D0AD8" w:rsidP="00AA45D8">
            <w:pPr>
              <w:pStyle w:val="TableRow"/>
              <w:jc w:val="left"/>
              <w:rPr>
                <w:lang w:val="pl-PL"/>
              </w:rPr>
            </w:pPr>
          </w:p>
        </w:tc>
        <w:tc>
          <w:tcPr>
            <w:tcW w:w="1644" w:type="pct"/>
            <w:vAlign w:val="bottom"/>
          </w:tcPr>
          <w:p w14:paraId="244DE157" w14:textId="77777777" w:rsidR="006D0AD8" w:rsidRPr="0085159D" w:rsidRDefault="006D0AD8" w:rsidP="000B051F">
            <w:pPr>
              <w:pStyle w:val="TableCell"/>
              <w:widowControl/>
              <w:jc w:val="center"/>
              <w:rPr>
                <w:lang w:val="pl-PL"/>
              </w:rPr>
            </w:pPr>
            <w:r w:rsidRPr="0085159D">
              <w:rPr>
                <w:lang w:val="pl-PL"/>
              </w:rPr>
              <w:t>% osób, któr</w:t>
            </w:r>
            <w:r w:rsidR="00894165" w:rsidRPr="0085159D">
              <w:rPr>
                <w:lang w:val="pl-PL"/>
              </w:rPr>
              <w:t>e</w:t>
            </w:r>
            <w:r w:rsidRPr="0085159D">
              <w:rPr>
                <w:lang w:val="pl-PL"/>
              </w:rPr>
              <w:t xml:space="preserve"> planują sw</w:t>
            </w:r>
            <w:r w:rsidR="00894165" w:rsidRPr="0085159D">
              <w:rPr>
                <w:lang w:val="pl-PL"/>
              </w:rPr>
              <w:t>oje</w:t>
            </w:r>
            <w:r w:rsidRPr="0085159D">
              <w:rPr>
                <w:lang w:val="pl-PL"/>
              </w:rPr>
              <w:t xml:space="preserve"> dochody i wydatki</w:t>
            </w:r>
          </w:p>
        </w:tc>
        <w:tc>
          <w:tcPr>
            <w:tcW w:w="1027" w:type="pct"/>
          </w:tcPr>
          <w:p w14:paraId="5ACA7F40" w14:textId="77777777" w:rsidR="006D0AD8" w:rsidRPr="0085159D" w:rsidRDefault="006D0AD8" w:rsidP="000B051F">
            <w:pPr>
              <w:pStyle w:val="TableCell"/>
              <w:widowControl/>
              <w:jc w:val="center"/>
              <w:rPr>
                <w:lang w:val="pl-PL"/>
              </w:rPr>
            </w:pPr>
            <w:r w:rsidRPr="0085159D">
              <w:rPr>
                <w:lang w:val="pl-PL"/>
              </w:rPr>
              <w:t>7</w:t>
            </w:r>
            <w:r w:rsidR="00A115A0" w:rsidRPr="0085159D">
              <w:rPr>
                <w:lang w:val="pl-PL"/>
              </w:rPr>
              <w:t>1</w:t>
            </w:r>
            <w:r w:rsidRPr="0085159D">
              <w:rPr>
                <w:lang w:val="pl-PL"/>
              </w:rPr>
              <w:t>%</w:t>
            </w:r>
          </w:p>
        </w:tc>
        <w:tc>
          <w:tcPr>
            <w:tcW w:w="1370" w:type="pct"/>
          </w:tcPr>
          <w:p w14:paraId="2580A061" w14:textId="77777777" w:rsidR="006D0AD8" w:rsidRPr="0085159D" w:rsidRDefault="006D0AD8" w:rsidP="000B051F">
            <w:pPr>
              <w:pStyle w:val="TableCell"/>
              <w:widowControl/>
              <w:jc w:val="center"/>
              <w:rPr>
                <w:lang w:val="pl-PL"/>
              </w:rPr>
            </w:pPr>
            <w:r w:rsidRPr="0085159D">
              <w:rPr>
                <w:lang w:val="pl-PL"/>
              </w:rPr>
              <w:t>Badanie OECD/INFE Kompetencji finansowych dorosłych 2020</w:t>
            </w:r>
          </w:p>
        </w:tc>
      </w:tr>
      <w:tr w:rsidR="006D0AD8" w:rsidRPr="004571F3" w14:paraId="6AF247F8" w14:textId="77777777" w:rsidTr="00E4736C">
        <w:trPr>
          <w:cantSplit/>
          <w:trHeight w:val="239"/>
          <w:jc w:val="center"/>
        </w:trPr>
        <w:tc>
          <w:tcPr>
            <w:tcW w:w="958" w:type="pct"/>
            <w:vMerge/>
          </w:tcPr>
          <w:p w14:paraId="4A62A400" w14:textId="77777777" w:rsidR="006D0AD8" w:rsidRPr="0085159D" w:rsidRDefault="006D0AD8" w:rsidP="00AA45D8">
            <w:pPr>
              <w:pStyle w:val="TableRow"/>
              <w:jc w:val="left"/>
              <w:rPr>
                <w:lang w:val="pl-PL"/>
              </w:rPr>
            </w:pPr>
          </w:p>
        </w:tc>
        <w:tc>
          <w:tcPr>
            <w:tcW w:w="1644" w:type="pct"/>
            <w:vAlign w:val="bottom"/>
          </w:tcPr>
          <w:p w14:paraId="453A794E" w14:textId="77777777" w:rsidR="006D0AD8" w:rsidRPr="0085159D" w:rsidRDefault="006D0AD8" w:rsidP="000B051F">
            <w:pPr>
              <w:pStyle w:val="TableCell"/>
              <w:widowControl/>
              <w:jc w:val="center"/>
              <w:rPr>
                <w:lang w:val="pl-PL"/>
              </w:rPr>
            </w:pPr>
            <w:r w:rsidRPr="0085159D">
              <w:rPr>
                <w:lang w:val="pl-PL"/>
              </w:rPr>
              <w:t>% osób, któr</w:t>
            </w:r>
            <w:r w:rsidR="00894165" w:rsidRPr="0085159D">
              <w:rPr>
                <w:lang w:val="pl-PL"/>
              </w:rPr>
              <w:t>e</w:t>
            </w:r>
            <w:r w:rsidRPr="0085159D">
              <w:rPr>
                <w:lang w:val="pl-PL"/>
              </w:rPr>
              <w:t xml:space="preserve"> opłacają sw</w:t>
            </w:r>
            <w:r w:rsidR="00894165" w:rsidRPr="0085159D">
              <w:rPr>
                <w:lang w:val="pl-PL"/>
              </w:rPr>
              <w:t>oj</w:t>
            </w:r>
            <w:r w:rsidRPr="0085159D">
              <w:rPr>
                <w:lang w:val="pl-PL"/>
              </w:rPr>
              <w:t>e rachunki w terminie</w:t>
            </w:r>
          </w:p>
        </w:tc>
        <w:tc>
          <w:tcPr>
            <w:tcW w:w="1027" w:type="pct"/>
          </w:tcPr>
          <w:p w14:paraId="6F4C6EFD" w14:textId="77777777" w:rsidR="006D0AD8" w:rsidRPr="0085159D" w:rsidRDefault="006D0AD8" w:rsidP="000B051F">
            <w:pPr>
              <w:pStyle w:val="TableCell"/>
              <w:widowControl/>
              <w:jc w:val="center"/>
              <w:rPr>
                <w:lang w:val="pl-PL"/>
              </w:rPr>
            </w:pPr>
            <w:r w:rsidRPr="0085159D">
              <w:rPr>
                <w:lang w:val="pl-PL"/>
              </w:rPr>
              <w:t>78%</w:t>
            </w:r>
          </w:p>
        </w:tc>
        <w:tc>
          <w:tcPr>
            <w:tcW w:w="1370" w:type="pct"/>
          </w:tcPr>
          <w:p w14:paraId="624ACEF4" w14:textId="77777777" w:rsidR="006D0AD8" w:rsidRPr="0085159D" w:rsidRDefault="006D0AD8" w:rsidP="000B051F">
            <w:pPr>
              <w:pStyle w:val="TableCell"/>
              <w:widowControl/>
              <w:jc w:val="center"/>
              <w:rPr>
                <w:lang w:val="pl-PL"/>
              </w:rPr>
            </w:pPr>
            <w:r w:rsidRPr="0085159D">
              <w:rPr>
                <w:lang w:val="pl-PL"/>
              </w:rPr>
              <w:t>Badanie OECD/INFE Kompetencji finansowych dorosłych 2020</w:t>
            </w:r>
          </w:p>
        </w:tc>
      </w:tr>
      <w:tr w:rsidR="006D0AD8" w:rsidRPr="004571F3" w14:paraId="126727D2" w14:textId="77777777" w:rsidTr="00E4736C">
        <w:trPr>
          <w:cantSplit/>
          <w:trHeight w:val="239"/>
          <w:jc w:val="center"/>
        </w:trPr>
        <w:tc>
          <w:tcPr>
            <w:tcW w:w="958" w:type="pct"/>
            <w:vMerge/>
          </w:tcPr>
          <w:p w14:paraId="6BBFF36C" w14:textId="77777777" w:rsidR="006D0AD8" w:rsidRPr="0085159D" w:rsidRDefault="006D0AD8" w:rsidP="00AA45D8">
            <w:pPr>
              <w:pStyle w:val="TableRow"/>
              <w:jc w:val="left"/>
              <w:rPr>
                <w:lang w:val="pl-PL"/>
              </w:rPr>
            </w:pPr>
          </w:p>
        </w:tc>
        <w:tc>
          <w:tcPr>
            <w:tcW w:w="1644" w:type="pct"/>
            <w:vAlign w:val="bottom"/>
          </w:tcPr>
          <w:p w14:paraId="3DEA59AA" w14:textId="77777777" w:rsidR="006D0AD8" w:rsidRPr="0085159D" w:rsidRDefault="006D0AD8" w:rsidP="000B051F">
            <w:pPr>
              <w:pStyle w:val="TableCell"/>
              <w:widowControl/>
              <w:jc w:val="center"/>
              <w:rPr>
                <w:lang w:val="pl-PL"/>
              </w:rPr>
            </w:pPr>
            <w:r w:rsidRPr="0085159D">
              <w:rPr>
                <w:lang w:val="pl-PL"/>
              </w:rPr>
              <w:t>% osób, które oszczędzają lub inwestują pieniądze z myślą o osiągnięciu celów długoterminowych</w:t>
            </w:r>
          </w:p>
        </w:tc>
        <w:tc>
          <w:tcPr>
            <w:tcW w:w="1027" w:type="pct"/>
          </w:tcPr>
          <w:p w14:paraId="627EAA18" w14:textId="77777777" w:rsidR="006D0AD8" w:rsidRPr="0085159D" w:rsidRDefault="006D0AD8" w:rsidP="000B051F">
            <w:pPr>
              <w:pStyle w:val="TableCell"/>
              <w:widowControl/>
              <w:jc w:val="center"/>
              <w:rPr>
                <w:lang w:val="pl-PL"/>
              </w:rPr>
            </w:pPr>
            <w:r w:rsidRPr="0085159D">
              <w:rPr>
                <w:lang w:val="pl-PL"/>
              </w:rPr>
              <w:t>41% osób posiada cel długoterminowy, a 53% z nich inwestuje lub oszczędza z myślą o jego osiągnięciu</w:t>
            </w:r>
          </w:p>
        </w:tc>
        <w:tc>
          <w:tcPr>
            <w:tcW w:w="1370" w:type="pct"/>
          </w:tcPr>
          <w:p w14:paraId="305044AB" w14:textId="77777777" w:rsidR="006D0AD8" w:rsidRPr="0085159D" w:rsidRDefault="006D0AD8" w:rsidP="000B051F">
            <w:pPr>
              <w:pStyle w:val="TableCell"/>
              <w:widowControl/>
              <w:jc w:val="center"/>
              <w:rPr>
                <w:lang w:val="pl-PL"/>
              </w:rPr>
            </w:pPr>
            <w:r w:rsidRPr="0085159D">
              <w:rPr>
                <w:lang w:val="pl-PL"/>
              </w:rPr>
              <w:t>Badanie OECD/INFE Kompetencji finansowych dorosłych 2020</w:t>
            </w:r>
          </w:p>
        </w:tc>
      </w:tr>
      <w:tr w:rsidR="006D0AD8" w:rsidRPr="004571F3" w14:paraId="2F14BB6C" w14:textId="77777777" w:rsidTr="00E4736C">
        <w:trPr>
          <w:cantSplit/>
          <w:trHeight w:val="239"/>
          <w:jc w:val="center"/>
        </w:trPr>
        <w:tc>
          <w:tcPr>
            <w:tcW w:w="958" w:type="pct"/>
            <w:vMerge/>
          </w:tcPr>
          <w:p w14:paraId="1A6F52A5" w14:textId="77777777" w:rsidR="006D0AD8" w:rsidRPr="0085159D" w:rsidRDefault="006D0AD8" w:rsidP="00AA45D8">
            <w:pPr>
              <w:pStyle w:val="TableRow"/>
              <w:jc w:val="left"/>
              <w:rPr>
                <w:lang w:val="pl-PL"/>
              </w:rPr>
            </w:pPr>
          </w:p>
        </w:tc>
        <w:tc>
          <w:tcPr>
            <w:tcW w:w="1644" w:type="pct"/>
            <w:vAlign w:val="bottom"/>
          </w:tcPr>
          <w:p w14:paraId="3BC255FD" w14:textId="77777777" w:rsidR="006D0AD8" w:rsidRPr="0085159D" w:rsidRDefault="006D0AD8" w:rsidP="000B051F">
            <w:pPr>
              <w:pStyle w:val="TableCell"/>
              <w:widowControl/>
              <w:jc w:val="center"/>
              <w:rPr>
                <w:lang w:val="pl-PL"/>
              </w:rPr>
            </w:pPr>
            <w:r w:rsidRPr="0085159D">
              <w:rPr>
                <w:lang w:val="pl-PL"/>
              </w:rPr>
              <w:t xml:space="preserve">% osób, które szacują, że posiadają oszczędności wystarczające na pokrycie </w:t>
            </w:r>
            <w:r w:rsidR="00894165" w:rsidRPr="0085159D">
              <w:rPr>
                <w:lang w:val="pl-PL"/>
              </w:rPr>
              <w:t xml:space="preserve">swoich </w:t>
            </w:r>
            <w:r w:rsidRPr="0085159D">
              <w:rPr>
                <w:lang w:val="pl-PL"/>
              </w:rPr>
              <w:t xml:space="preserve">wydatków na życie przez przynajmniej dwa miesiące bez potrzeby obniżania standardu życia </w:t>
            </w:r>
          </w:p>
        </w:tc>
        <w:tc>
          <w:tcPr>
            <w:tcW w:w="1027" w:type="pct"/>
          </w:tcPr>
          <w:p w14:paraId="2969A0C8" w14:textId="77777777" w:rsidR="006D0AD8" w:rsidRPr="0085159D" w:rsidRDefault="006D0AD8" w:rsidP="000B051F">
            <w:pPr>
              <w:pStyle w:val="TableCell"/>
              <w:widowControl/>
              <w:jc w:val="center"/>
              <w:rPr>
                <w:lang w:val="pl-PL"/>
              </w:rPr>
            </w:pPr>
            <w:r w:rsidRPr="0085159D">
              <w:rPr>
                <w:lang w:val="pl-PL"/>
              </w:rPr>
              <w:t>75%</w:t>
            </w:r>
          </w:p>
        </w:tc>
        <w:tc>
          <w:tcPr>
            <w:tcW w:w="1370" w:type="pct"/>
          </w:tcPr>
          <w:p w14:paraId="5449D246" w14:textId="77777777" w:rsidR="006D0AD8" w:rsidRPr="0085159D" w:rsidRDefault="006D0AD8" w:rsidP="000B051F">
            <w:pPr>
              <w:pStyle w:val="TableCell"/>
              <w:widowControl/>
              <w:jc w:val="center"/>
              <w:rPr>
                <w:lang w:val="pl-PL"/>
              </w:rPr>
            </w:pPr>
            <w:r w:rsidRPr="0085159D">
              <w:rPr>
                <w:lang w:val="pl-PL"/>
              </w:rPr>
              <w:t>Centrum Badania Opinii Publicznej CBOS „Oszczędności i długi Polaków po dwóch latach pandemii”, maj</w:t>
            </w:r>
            <w:r w:rsidR="00AA45D8">
              <w:rPr>
                <w:lang w:val="pl-PL"/>
              </w:rPr>
              <w:t> </w:t>
            </w:r>
            <w:r w:rsidRPr="0085159D">
              <w:rPr>
                <w:lang w:val="pl-PL"/>
              </w:rPr>
              <w:t>2022</w:t>
            </w:r>
            <w:r w:rsidR="00AA45D8">
              <w:rPr>
                <w:lang w:val="pl-PL"/>
              </w:rPr>
              <w:t> </w:t>
            </w:r>
            <w:r w:rsidRPr="0085159D">
              <w:rPr>
                <w:lang w:val="pl-PL"/>
              </w:rPr>
              <w:t>r.</w:t>
            </w:r>
          </w:p>
        </w:tc>
      </w:tr>
      <w:tr w:rsidR="006D0AD8" w:rsidRPr="0085159D" w14:paraId="6F33243B" w14:textId="77777777" w:rsidTr="00E4736C">
        <w:trPr>
          <w:cantSplit/>
          <w:trHeight w:val="239"/>
          <w:jc w:val="center"/>
        </w:trPr>
        <w:tc>
          <w:tcPr>
            <w:tcW w:w="958" w:type="pct"/>
            <w:vMerge/>
          </w:tcPr>
          <w:p w14:paraId="4966D89A" w14:textId="77777777" w:rsidR="006D0AD8" w:rsidRPr="0085159D" w:rsidRDefault="006D0AD8" w:rsidP="00AA45D8">
            <w:pPr>
              <w:pStyle w:val="TableRow"/>
              <w:jc w:val="left"/>
              <w:rPr>
                <w:lang w:val="pl-PL"/>
              </w:rPr>
            </w:pPr>
          </w:p>
        </w:tc>
        <w:tc>
          <w:tcPr>
            <w:tcW w:w="1644" w:type="pct"/>
            <w:vAlign w:val="bottom"/>
          </w:tcPr>
          <w:p w14:paraId="099078E5" w14:textId="77777777" w:rsidR="006D0AD8" w:rsidRPr="0085159D" w:rsidRDefault="006D0AD8" w:rsidP="000B051F">
            <w:pPr>
              <w:pStyle w:val="TableCell"/>
              <w:widowControl/>
              <w:jc w:val="center"/>
              <w:rPr>
                <w:lang w:val="pl-PL"/>
              </w:rPr>
            </w:pPr>
            <w:r w:rsidRPr="0085159D">
              <w:rPr>
                <w:lang w:val="pl-PL"/>
              </w:rPr>
              <w:t xml:space="preserve">% </w:t>
            </w:r>
            <w:r w:rsidR="00894165" w:rsidRPr="0085159D">
              <w:rPr>
                <w:lang w:val="pl-PL"/>
              </w:rPr>
              <w:t>pożyczko</w:t>
            </w:r>
            <w:r w:rsidRPr="0085159D">
              <w:rPr>
                <w:lang w:val="pl-PL"/>
              </w:rPr>
              <w:t>biorców z zadłużeniem przeterminowanym o ponad 90 dni</w:t>
            </w:r>
          </w:p>
        </w:tc>
        <w:tc>
          <w:tcPr>
            <w:tcW w:w="1027" w:type="pct"/>
          </w:tcPr>
          <w:p w14:paraId="067AA0B8" w14:textId="77777777" w:rsidR="006D0AD8" w:rsidRPr="0085159D" w:rsidRDefault="006D0AD8" w:rsidP="000B051F">
            <w:pPr>
              <w:widowControl/>
              <w:jc w:val="center"/>
              <w:rPr>
                <w:lang w:val="pl-PL"/>
              </w:rPr>
            </w:pPr>
            <w:r w:rsidRPr="0085159D">
              <w:rPr>
                <w:rFonts w:eastAsia="Times New Roman"/>
                <w:lang w:val="pl-PL"/>
              </w:rPr>
              <w:t>7%</w:t>
            </w:r>
          </w:p>
        </w:tc>
        <w:tc>
          <w:tcPr>
            <w:tcW w:w="1370" w:type="pct"/>
          </w:tcPr>
          <w:p w14:paraId="297456D0" w14:textId="77777777" w:rsidR="006D0AD8" w:rsidRPr="0085159D" w:rsidRDefault="006D0AD8" w:rsidP="000B051F">
            <w:pPr>
              <w:pStyle w:val="TableCell"/>
              <w:widowControl/>
              <w:jc w:val="center"/>
              <w:rPr>
                <w:lang w:val="pl-PL"/>
              </w:rPr>
            </w:pPr>
            <w:r w:rsidRPr="0085159D">
              <w:rPr>
                <w:lang w:val="pl-PL"/>
              </w:rPr>
              <w:t>Biuro Informacji Kredytowej</w:t>
            </w:r>
          </w:p>
        </w:tc>
      </w:tr>
      <w:tr w:rsidR="006D0AD8" w:rsidRPr="004571F3" w14:paraId="4CBEE6B0" w14:textId="77777777" w:rsidTr="00E4736C">
        <w:trPr>
          <w:cantSplit/>
          <w:trHeight w:val="239"/>
          <w:jc w:val="center"/>
        </w:trPr>
        <w:tc>
          <w:tcPr>
            <w:tcW w:w="958" w:type="pct"/>
            <w:vMerge/>
          </w:tcPr>
          <w:p w14:paraId="1801CDE4" w14:textId="77777777" w:rsidR="006D0AD8" w:rsidRPr="0085159D" w:rsidRDefault="006D0AD8" w:rsidP="00AA45D8">
            <w:pPr>
              <w:pStyle w:val="TableRow"/>
              <w:jc w:val="left"/>
              <w:rPr>
                <w:lang w:val="pl-PL"/>
              </w:rPr>
            </w:pPr>
          </w:p>
        </w:tc>
        <w:tc>
          <w:tcPr>
            <w:tcW w:w="1644" w:type="pct"/>
            <w:vAlign w:val="bottom"/>
          </w:tcPr>
          <w:p w14:paraId="18447162" w14:textId="77777777" w:rsidR="006D0AD8" w:rsidRPr="0085159D" w:rsidRDefault="006D0AD8" w:rsidP="000B051F">
            <w:pPr>
              <w:pStyle w:val="TableCell"/>
              <w:widowControl/>
              <w:jc w:val="center"/>
              <w:rPr>
                <w:lang w:val="pl-PL"/>
              </w:rPr>
            </w:pPr>
            <w:r w:rsidRPr="0085159D">
              <w:rPr>
                <w:lang w:val="pl-PL"/>
              </w:rPr>
              <w:t xml:space="preserve">% osób, które uważają, że posiadanie </w:t>
            </w:r>
            <w:r w:rsidR="00894165" w:rsidRPr="0085159D">
              <w:rPr>
                <w:lang w:val="pl-PL"/>
              </w:rPr>
              <w:t xml:space="preserve">większej </w:t>
            </w:r>
            <w:r w:rsidRPr="0085159D">
              <w:rPr>
                <w:lang w:val="pl-PL"/>
              </w:rPr>
              <w:t>wiedzy ekonomicznej pomoże im uniknąć pułapek kredytowych (nadmiernego zadłużenia)</w:t>
            </w:r>
          </w:p>
        </w:tc>
        <w:tc>
          <w:tcPr>
            <w:tcW w:w="1027" w:type="pct"/>
          </w:tcPr>
          <w:p w14:paraId="14BE7001" w14:textId="77777777" w:rsidR="006D0AD8" w:rsidRPr="0085159D" w:rsidRDefault="006D0AD8" w:rsidP="000B051F">
            <w:pPr>
              <w:pStyle w:val="TableCell"/>
              <w:widowControl/>
              <w:jc w:val="center"/>
              <w:rPr>
                <w:lang w:val="pl-PL"/>
              </w:rPr>
            </w:pPr>
            <w:r w:rsidRPr="0085159D">
              <w:rPr>
                <w:lang w:val="pl-PL"/>
              </w:rPr>
              <w:t>35%</w:t>
            </w:r>
          </w:p>
        </w:tc>
        <w:tc>
          <w:tcPr>
            <w:tcW w:w="1370" w:type="pct"/>
          </w:tcPr>
          <w:p w14:paraId="68DBA111" w14:textId="77777777" w:rsidR="006D0AD8" w:rsidRPr="0085159D" w:rsidRDefault="006D0AD8" w:rsidP="000B051F">
            <w:pPr>
              <w:pStyle w:val="TableCell"/>
              <w:widowControl/>
              <w:jc w:val="center"/>
              <w:rPr>
                <w:lang w:val="pl-PL"/>
              </w:rPr>
            </w:pPr>
            <w:r w:rsidRPr="0085159D">
              <w:rPr>
                <w:lang w:val="pl-PL"/>
              </w:rPr>
              <w:t>Badanie wiedzy i świadomości ekonomicznej Polaków 2020, NBP</w:t>
            </w:r>
          </w:p>
        </w:tc>
      </w:tr>
      <w:tr w:rsidR="006D0AD8" w:rsidRPr="004571F3" w14:paraId="4515DE20" w14:textId="77777777" w:rsidTr="00E4736C">
        <w:trPr>
          <w:cantSplit/>
          <w:trHeight w:val="675"/>
          <w:jc w:val="center"/>
        </w:trPr>
        <w:tc>
          <w:tcPr>
            <w:tcW w:w="958" w:type="pct"/>
            <w:vMerge/>
          </w:tcPr>
          <w:p w14:paraId="52A4BBCA" w14:textId="77777777" w:rsidR="006D0AD8" w:rsidRPr="0085159D" w:rsidRDefault="006D0AD8" w:rsidP="00AA45D8">
            <w:pPr>
              <w:pStyle w:val="TableRow"/>
              <w:jc w:val="left"/>
              <w:rPr>
                <w:lang w:val="pl-PL"/>
              </w:rPr>
            </w:pPr>
          </w:p>
        </w:tc>
        <w:tc>
          <w:tcPr>
            <w:tcW w:w="1644" w:type="pct"/>
            <w:vAlign w:val="bottom"/>
          </w:tcPr>
          <w:p w14:paraId="14C503A9" w14:textId="77777777" w:rsidR="006D0AD8" w:rsidRPr="0085159D" w:rsidRDefault="006D0AD8" w:rsidP="000B051F">
            <w:pPr>
              <w:pStyle w:val="TableCell"/>
              <w:widowControl/>
              <w:jc w:val="center"/>
              <w:rPr>
                <w:lang w:val="pl-PL"/>
              </w:rPr>
            </w:pPr>
            <w:r w:rsidRPr="0085159D">
              <w:rPr>
                <w:lang w:val="pl-PL"/>
              </w:rPr>
              <w:t xml:space="preserve">% osób, które </w:t>
            </w:r>
            <w:r w:rsidR="00894165" w:rsidRPr="0085159D">
              <w:rPr>
                <w:lang w:val="pl-PL"/>
              </w:rPr>
              <w:t xml:space="preserve">czują potrzebę zwiększenia swojej </w:t>
            </w:r>
            <w:r w:rsidRPr="0085159D">
              <w:rPr>
                <w:lang w:val="pl-PL"/>
              </w:rPr>
              <w:t>wiedz</w:t>
            </w:r>
            <w:r w:rsidR="00894165" w:rsidRPr="0085159D">
              <w:rPr>
                <w:lang w:val="pl-PL"/>
              </w:rPr>
              <w:t>y</w:t>
            </w:r>
            <w:r w:rsidRPr="0085159D">
              <w:rPr>
                <w:lang w:val="pl-PL"/>
              </w:rPr>
              <w:t xml:space="preserve"> na temat bezpieczeństwa </w:t>
            </w:r>
            <w:r w:rsidR="00894165" w:rsidRPr="0085159D">
              <w:rPr>
                <w:lang w:val="pl-PL"/>
              </w:rPr>
              <w:t xml:space="preserve">finansów </w:t>
            </w:r>
            <w:r w:rsidRPr="0085159D">
              <w:rPr>
                <w:lang w:val="pl-PL"/>
              </w:rPr>
              <w:t xml:space="preserve">w Internecie </w:t>
            </w:r>
          </w:p>
        </w:tc>
        <w:tc>
          <w:tcPr>
            <w:tcW w:w="1027" w:type="pct"/>
          </w:tcPr>
          <w:p w14:paraId="652A249D" w14:textId="77777777" w:rsidR="006D0AD8" w:rsidRPr="0085159D" w:rsidRDefault="006D0AD8" w:rsidP="000B051F">
            <w:pPr>
              <w:pStyle w:val="TableCell"/>
              <w:widowControl/>
              <w:jc w:val="center"/>
              <w:rPr>
                <w:lang w:val="pl-PL"/>
              </w:rPr>
            </w:pPr>
            <w:r w:rsidRPr="0085159D">
              <w:rPr>
                <w:lang w:val="pl-PL"/>
              </w:rPr>
              <w:t>51%</w:t>
            </w:r>
          </w:p>
        </w:tc>
        <w:tc>
          <w:tcPr>
            <w:tcW w:w="1370" w:type="pct"/>
          </w:tcPr>
          <w:p w14:paraId="1CCB7A0C" w14:textId="77777777" w:rsidR="006D0AD8" w:rsidRPr="0085159D" w:rsidRDefault="006D0AD8" w:rsidP="000B051F">
            <w:pPr>
              <w:pStyle w:val="TableCell"/>
              <w:widowControl/>
              <w:jc w:val="center"/>
              <w:rPr>
                <w:lang w:val="pl-PL"/>
              </w:rPr>
            </w:pPr>
            <w:r w:rsidRPr="0085159D">
              <w:rPr>
                <w:lang w:val="pl-PL"/>
              </w:rPr>
              <w:t>Poziom wiedzy finansowej Polaków 2022, Fundacja Warszawski Instytut Bankowości, Fundacja GPW</w:t>
            </w:r>
          </w:p>
        </w:tc>
      </w:tr>
      <w:tr w:rsidR="006D0AD8" w:rsidRPr="004571F3" w14:paraId="1DE5A6AC" w14:textId="77777777" w:rsidTr="00E4736C">
        <w:trPr>
          <w:cantSplit/>
          <w:trHeight w:val="45"/>
          <w:jc w:val="center"/>
        </w:trPr>
        <w:tc>
          <w:tcPr>
            <w:tcW w:w="958" w:type="pct"/>
            <w:vMerge/>
          </w:tcPr>
          <w:p w14:paraId="72F73B34" w14:textId="77777777" w:rsidR="006D0AD8" w:rsidRPr="0085159D" w:rsidRDefault="006D0AD8" w:rsidP="00AA45D8">
            <w:pPr>
              <w:pStyle w:val="TableRow"/>
              <w:jc w:val="left"/>
              <w:rPr>
                <w:lang w:val="pl-PL"/>
              </w:rPr>
            </w:pPr>
          </w:p>
        </w:tc>
        <w:tc>
          <w:tcPr>
            <w:tcW w:w="1644" w:type="pct"/>
            <w:vAlign w:val="bottom"/>
          </w:tcPr>
          <w:p w14:paraId="11A721F8" w14:textId="77777777" w:rsidR="006D0AD8" w:rsidRPr="0085159D" w:rsidRDefault="006D0AD8" w:rsidP="000B051F">
            <w:pPr>
              <w:pStyle w:val="TableCell"/>
              <w:widowControl/>
              <w:jc w:val="center"/>
              <w:rPr>
                <w:lang w:val="pl-PL"/>
              </w:rPr>
            </w:pPr>
            <w:r w:rsidRPr="0085159D">
              <w:rPr>
                <w:lang w:val="pl-PL"/>
              </w:rPr>
              <w:t>Wyniki badania PISA w zakresie kompetencji finansowych</w:t>
            </w:r>
            <w:r w:rsidR="00894165" w:rsidRPr="0085159D">
              <w:rPr>
                <w:lang w:val="pl-PL"/>
              </w:rPr>
              <w:t xml:space="preserve"> 15-latków</w:t>
            </w:r>
          </w:p>
        </w:tc>
        <w:tc>
          <w:tcPr>
            <w:tcW w:w="1027" w:type="pct"/>
          </w:tcPr>
          <w:p w14:paraId="53CEE61C" w14:textId="77777777" w:rsidR="006D0AD8" w:rsidRPr="0085159D" w:rsidRDefault="006D0AD8" w:rsidP="000B051F">
            <w:pPr>
              <w:pStyle w:val="TableCell"/>
              <w:widowControl/>
              <w:jc w:val="center"/>
              <w:rPr>
                <w:lang w:val="pl-PL"/>
              </w:rPr>
            </w:pPr>
          </w:p>
        </w:tc>
        <w:tc>
          <w:tcPr>
            <w:tcW w:w="1370" w:type="pct"/>
          </w:tcPr>
          <w:p w14:paraId="435E90CB" w14:textId="77777777" w:rsidR="006D0AD8" w:rsidRPr="0085159D" w:rsidRDefault="006D0AD8" w:rsidP="000B051F">
            <w:pPr>
              <w:pStyle w:val="TableCell"/>
              <w:widowControl/>
              <w:jc w:val="center"/>
              <w:rPr>
                <w:lang w:val="pl-PL"/>
              </w:rPr>
            </w:pPr>
            <w:r w:rsidRPr="0085159D">
              <w:rPr>
                <w:lang w:val="pl-PL"/>
              </w:rPr>
              <w:t>Badanie PISA w zakresie kompetencji finansowych (dla Polski: Instytut Badań Edukacyjnych)</w:t>
            </w:r>
          </w:p>
        </w:tc>
      </w:tr>
      <w:tr w:rsidR="006D0AD8" w:rsidRPr="004571F3" w14:paraId="7E31A71B" w14:textId="77777777" w:rsidTr="00E4736C">
        <w:trPr>
          <w:cantSplit/>
          <w:trHeight w:val="337"/>
          <w:jc w:val="center"/>
        </w:trPr>
        <w:tc>
          <w:tcPr>
            <w:tcW w:w="958" w:type="pct"/>
            <w:vMerge w:val="restart"/>
          </w:tcPr>
          <w:p w14:paraId="0E37CFAE" w14:textId="77777777" w:rsidR="006D0AD8" w:rsidRPr="0085159D" w:rsidRDefault="00E14925" w:rsidP="00AA45D8">
            <w:pPr>
              <w:pStyle w:val="TableRow"/>
              <w:jc w:val="left"/>
              <w:rPr>
                <w:lang w:val="pl-PL"/>
              </w:rPr>
            </w:pPr>
            <w:r w:rsidRPr="0085159D">
              <w:rPr>
                <w:lang w:val="pl-PL"/>
              </w:rPr>
              <w:t xml:space="preserve">2. Poprawa zdolności mieszkańców Polski do podejmowania długoterminowych decyzji finansowych oraz zabezpieczenia własnego </w:t>
            </w:r>
            <w:r w:rsidR="00540D2F" w:rsidRPr="0085159D">
              <w:rPr>
                <w:lang w:val="pl-PL"/>
              </w:rPr>
              <w:t xml:space="preserve">dobrostanu </w:t>
            </w:r>
            <w:r w:rsidRPr="0085159D">
              <w:rPr>
                <w:lang w:val="pl-PL"/>
              </w:rPr>
              <w:t>finansowego w perspektywie długookresowej i na starość</w:t>
            </w:r>
          </w:p>
        </w:tc>
        <w:tc>
          <w:tcPr>
            <w:tcW w:w="1644" w:type="pct"/>
            <w:vAlign w:val="bottom"/>
          </w:tcPr>
          <w:p w14:paraId="0E270CB9" w14:textId="77777777" w:rsidR="006D0AD8" w:rsidRPr="0085159D" w:rsidRDefault="006D0AD8" w:rsidP="000B051F">
            <w:pPr>
              <w:pStyle w:val="TableCell"/>
              <w:widowControl/>
              <w:jc w:val="center"/>
              <w:rPr>
                <w:lang w:val="pl-PL"/>
              </w:rPr>
            </w:pPr>
            <w:r w:rsidRPr="0085159D">
              <w:rPr>
                <w:lang w:val="pl-PL"/>
              </w:rPr>
              <w:t>% osób, które rozumieją podstawowe pojęcia z zakresu oszczęd</w:t>
            </w:r>
            <w:r w:rsidR="00894165" w:rsidRPr="0085159D">
              <w:rPr>
                <w:lang w:val="pl-PL"/>
              </w:rPr>
              <w:t>zania</w:t>
            </w:r>
            <w:r w:rsidRPr="0085159D">
              <w:rPr>
                <w:lang w:val="pl-PL"/>
              </w:rPr>
              <w:t xml:space="preserve"> na emerytur</w:t>
            </w:r>
            <w:r w:rsidR="00894165" w:rsidRPr="0085159D">
              <w:rPr>
                <w:lang w:val="pl-PL"/>
              </w:rPr>
              <w:t>ę</w:t>
            </w:r>
            <w:r w:rsidRPr="0085159D">
              <w:rPr>
                <w:lang w:val="pl-PL"/>
              </w:rPr>
              <w:t xml:space="preserve"> </w:t>
            </w:r>
          </w:p>
        </w:tc>
        <w:tc>
          <w:tcPr>
            <w:tcW w:w="1027" w:type="pct"/>
          </w:tcPr>
          <w:p w14:paraId="5CF2984A" w14:textId="77777777" w:rsidR="006D0AD8" w:rsidRPr="0085159D" w:rsidRDefault="006D0AD8" w:rsidP="000B051F">
            <w:pPr>
              <w:pStyle w:val="TableCell"/>
              <w:widowControl/>
              <w:jc w:val="center"/>
              <w:rPr>
                <w:lang w:val="pl-PL"/>
              </w:rPr>
            </w:pPr>
            <w:r w:rsidRPr="0085159D">
              <w:rPr>
                <w:lang w:val="pl-PL"/>
              </w:rPr>
              <w:t>76%</w:t>
            </w:r>
          </w:p>
        </w:tc>
        <w:tc>
          <w:tcPr>
            <w:tcW w:w="1370" w:type="pct"/>
          </w:tcPr>
          <w:p w14:paraId="61C92F8A" w14:textId="77777777" w:rsidR="006D0AD8" w:rsidRPr="0085159D" w:rsidRDefault="006D0AD8" w:rsidP="000B051F">
            <w:pPr>
              <w:pStyle w:val="TableCell"/>
              <w:widowControl/>
              <w:jc w:val="center"/>
              <w:rPr>
                <w:lang w:val="pl-PL"/>
              </w:rPr>
            </w:pPr>
            <w:r w:rsidRPr="0085159D">
              <w:rPr>
                <w:lang w:val="pl-PL"/>
              </w:rPr>
              <w:t>Badanie wiedzy i świadomości ekonomicznej Polaków 2020, NBP</w:t>
            </w:r>
          </w:p>
        </w:tc>
      </w:tr>
      <w:tr w:rsidR="006D0AD8" w:rsidRPr="004571F3" w14:paraId="7E0BA05D" w14:textId="77777777" w:rsidTr="00E4736C">
        <w:trPr>
          <w:cantSplit/>
          <w:trHeight w:val="239"/>
          <w:jc w:val="center"/>
        </w:trPr>
        <w:tc>
          <w:tcPr>
            <w:tcW w:w="958" w:type="pct"/>
            <w:vMerge/>
          </w:tcPr>
          <w:p w14:paraId="51E4BF2D" w14:textId="77777777" w:rsidR="006D0AD8" w:rsidRPr="0085159D" w:rsidRDefault="006D0AD8" w:rsidP="00AA45D8">
            <w:pPr>
              <w:pStyle w:val="TableRow"/>
              <w:jc w:val="left"/>
              <w:rPr>
                <w:lang w:val="pl-PL"/>
              </w:rPr>
            </w:pPr>
          </w:p>
        </w:tc>
        <w:tc>
          <w:tcPr>
            <w:tcW w:w="1644" w:type="pct"/>
            <w:vAlign w:val="bottom"/>
          </w:tcPr>
          <w:p w14:paraId="4F8711AA" w14:textId="77777777" w:rsidR="006D0AD8" w:rsidRPr="0085159D" w:rsidRDefault="006D0AD8" w:rsidP="000B051F">
            <w:pPr>
              <w:pStyle w:val="TableCell"/>
              <w:widowControl/>
              <w:jc w:val="center"/>
              <w:rPr>
                <w:lang w:val="pl-PL"/>
              </w:rPr>
            </w:pPr>
            <w:r w:rsidRPr="0085159D">
              <w:rPr>
                <w:lang w:val="pl-PL"/>
              </w:rPr>
              <w:t>% osób, które poprawnie rozumieją pojęcie zarówno procentu prostego, jak i procentu składanego</w:t>
            </w:r>
          </w:p>
        </w:tc>
        <w:tc>
          <w:tcPr>
            <w:tcW w:w="1027" w:type="pct"/>
          </w:tcPr>
          <w:p w14:paraId="0BBD8B51" w14:textId="77777777" w:rsidR="006D0AD8" w:rsidRPr="0085159D" w:rsidRDefault="006D0AD8" w:rsidP="000B051F">
            <w:pPr>
              <w:pStyle w:val="TableCell"/>
              <w:widowControl/>
              <w:jc w:val="center"/>
              <w:rPr>
                <w:lang w:val="pl-PL"/>
              </w:rPr>
            </w:pPr>
            <w:r w:rsidRPr="0085159D">
              <w:rPr>
                <w:lang w:val="pl-PL"/>
              </w:rPr>
              <w:t>36,5%</w:t>
            </w:r>
          </w:p>
        </w:tc>
        <w:tc>
          <w:tcPr>
            <w:tcW w:w="1370" w:type="pct"/>
          </w:tcPr>
          <w:p w14:paraId="01964CC4" w14:textId="77777777" w:rsidR="006D0AD8" w:rsidRPr="0085159D" w:rsidRDefault="006D0AD8" w:rsidP="000B051F">
            <w:pPr>
              <w:pStyle w:val="TableCell"/>
              <w:widowControl/>
              <w:jc w:val="center"/>
              <w:rPr>
                <w:lang w:val="pl-PL"/>
              </w:rPr>
            </w:pPr>
            <w:r w:rsidRPr="0085159D">
              <w:rPr>
                <w:lang w:val="pl-PL"/>
              </w:rPr>
              <w:t>Badanie OECD/INFE Kompetencji finansowych dorosłych 2020</w:t>
            </w:r>
          </w:p>
        </w:tc>
      </w:tr>
      <w:tr w:rsidR="006D0AD8" w:rsidRPr="004571F3" w14:paraId="05A11865" w14:textId="77777777" w:rsidTr="00E4736C">
        <w:trPr>
          <w:cantSplit/>
          <w:trHeight w:val="421"/>
          <w:jc w:val="center"/>
        </w:trPr>
        <w:tc>
          <w:tcPr>
            <w:tcW w:w="958" w:type="pct"/>
            <w:vMerge/>
          </w:tcPr>
          <w:p w14:paraId="1F141396" w14:textId="77777777" w:rsidR="006D0AD8" w:rsidRPr="0085159D" w:rsidRDefault="006D0AD8" w:rsidP="00AA45D8">
            <w:pPr>
              <w:pStyle w:val="TableRow"/>
              <w:jc w:val="left"/>
              <w:rPr>
                <w:lang w:val="pl-PL"/>
              </w:rPr>
            </w:pPr>
          </w:p>
        </w:tc>
        <w:tc>
          <w:tcPr>
            <w:tcW w:w="1644" w:type="pct"/>
            <w:vAlign w:val="bottom"/>
          </w:tcPr>
          <w:p w14:paraId="604033FD" w14:textId="77777777" w:rsidR="006D0AD8" w:rsidRPr="0085159D" w:rsidRDefault="006D0AD8" w:rsidP="000B051F">
            <w:pPr>
              <w:pStyle w:val="TableCell"/>
              <w:widowControl/>
              <w:jc w:val="center"/>
              <w:rPr>
                <w:lang w:val="pl-PL"/>
              </w:rPr>
            </w:pPr>
            <w:r w:rsidRPr="0085159D">
              <w:rPr>
                <w:lang w:val="pl-PL"/>
              </w:rPr>
              <w:t xml:space="preserve">% osób przekonanych o poprawności planowania </w:t>
            </w:r>
            <w:r w:rsidR="00894165" w:rsidRPr="0085159D">
              <w:rPr>
                <w:lang w:val="pl-PL"/>
              </w:rPr>
              <w:t xml:space="preserve">swojego zabezpieczenia finansowego </w:t>
            </w:r>
            <w:r w:rsidRPr="0085159D">
              <w:rPr>
                <w:lang w:val="pl-PL"/>
              </w:rPr>
              <w:t xml:space="preserve">na czas emerytury (dane </w:t>
            </w:r>
            <w:r w:rsidR="00894165" w:rsidRPr="0085159D">
              <w:rPr>
                <w:lang w:val="pl-PL"/>
              </w:rPr>
              <w:t xml:space="preserve">z podziałem na </w:t>
            </w:r>
            <w:r w:rsidRPr="0085159D">
              <w:rPr>
                <w:lang w:val="pl-PL"/>
              </w:rPr>
              <w:t>wiek, pł</w:t>
            </w:r>
            <w:r w:rsidR="00894165" w:rsidRPr="0085159D">
              <w:rPr>
                <w:lang w:val="pl-PL"/>
              </w:rPr>
              <w:t>eć</w:t>
            </w:r>
            <w:r w:rsidRPr="0085159D">
              <w:rPr>
                <w:lang w:val="pl-PL"/>
              </w:rPr>
              <w:t xml:space="preserve"> i miejsc</w:t>
            </w:r>
            <w:r w:rsidR="00894165" w:rsidRPr="0085159D">
              <w:rPr>
                <w:lang w:val="pl-PL"/>
              </w:rPr>
              <w:t>e zamieszkania</w:t>
            </w:r>
            <w:r w:rsidRPr="0085159D">
              <w:rPr>
                <w:lang w:val="pl-PL"/>
              </w:rPr>
              <w:t>)</w:t>
            </w:r>
          </w:p>
        </w:tc>
        <w:tc>
          <w:tcPr>
            <w:tcW w:w="1027" w:type="pct"/>
          </w:tcPr>
          <w:p w14:paraId="1A174A3A" w14:textId="77777777" w:rsidR="006D0AD8" w:rsidRPr="0085159D" w:rsidRDefault="006D0AD8" w:rsidP="000B051F">
            <w:pPr>
              <w:pStyle w:val="TableCell"/>
              <w:widowControl/>
              <w:jc w:val="center"/>
              <w:rPr>
                <w:lang w:val="pl-PL"/>
              </w:rPr>
            </w:pPr>
            <w:r w:rsidRPr="0085159D">
              <w:rPr>
                <w:lang w:val="pl-PL"/>
              </w:rPr>
              <w:t>26%</w:t>
            </w:r>
          </w:p>
        </w:tc>
        <w:tc>
          <w:tcPr>
            <w:tcW w:w="1370" w:type="pct"/>
          </w:tcPr>
          <w:p w14:paraId="0A875A55" w14:textId="77777777" w:rsidR="006D0AD8" w:rsidRPr="0085159D" w:rsidRDefault="006D0AD8" w:rsidP="000B051F">
            <w:pPr>
              <w:pStyle w:val="TableCell"/>
              <w:widowControl/>
              <w:jc w:val="center"/>
              <w:rPr>
                <w:lang w:val="pl-PL"/>
              </w:rPr>
            </w:pPr>
            <w:r w:rsidRPr="0085159D">
              <w:rPr>
                <w:lang w:val="pl-PL"/>
              </w:rPr>
              <w:t>Badanie OECD/INFE Kompetencji finansowych dorosłych 2020 – dane krajowe</w:t>
            </w:r>
          </w:p>
        </w:tc>
      </w:tr>
      <w:tr w:rsidR="006D0AD8" w:rsidRPr="004571F3" w14:paraId="19555C4F" w14:textId="77777777" w:rsidTr="00E4736C">
        <w:trPr>
          <w:cantSplit/>
          <w:trHeight w:val="871"/>
          <w:jc w:val="center"/>
        </w:trPr>
        <w:tc>
          <w:tcPr>
            <w:tcW w:w="958" w:type="pct"/>
            <w:vMerge/>
          </w:tcPr>
          <w:p w14:paraId="10317FEF" w14:textId="77777777" w:rsidR="006D0AD8" w:rsidRPr="0085159D" w:rsidRDefault="006D0AD8" w:rsidP="00AA45D8">
            <w:pPr>
              <w:pStyle w:val="TableRow"/>
              <w:jc w:val="left"/>
              <w:rPr>
                <w:lang w:val="pl-PL"/>
              </w:rPr>
            </w:pPr>
          </w:p>
        </w:tc>
        <w:tc>
          <w:tcPr>
            <w:tcW w:w="1644" w:type="pct"/>
            <w:vAlign w:val="bottom"/>
          </w:tcPr>
          <w:p w14:paraId="5605B1DD" w14:textId="77777777" w:rsidR="006D0AD8" w:rsidRPr="0085159D" w:rsidRDefault="006D0AD8" w:rsidP="000B051F">
            <w:pPr>
              <w:pStyle w:val="TableCell"/>
              <w:widowControl/>
              <w:jc w:val="center"/>
              <w:rPr>
                <w:lang w:val="pl-PL"/>
              </w:rPr>
            </w:pPr>
            <w:r w:rsidRPr="0085159D">
              <w:rPr>
                <w:lang w:val="pl-PL"/>
              </w:rPr>
              <w:t>% osób, które przystąpił</w:t>
            </w:r>
            <w:r w:rsidR="00361A67" w:rsidRPr="0085159D">
              <w:rPr>
                <w:lang w:val="pl-PL"/>
              </w:rPr>
              <w:t>y</w:t>
            </w:r>
            <w:r w:rsidRPr="0085159D">
              <w:rPr>
                <w:lang w:val="pl-PL"/>
              </w:rPr>
              <w:t xml:space="preserve"> do dobrowolnych programów emerytalnych (takich jak PPK, PPE, IKE, IKZE)</w:t>
            </w:r>
          </w:p>
          <w:p w14:paraId="33855469" w14:textId="77777777" w:rsidR="006D0AD8" w:rsidRPr="0085159D" w:rsidRDefault="006D0AD8" w:rsidP="000B051F">
            <w:pPr>
              <w:pStyle w:val="TableCell"/>
              <w:widowControl/>
              <w:jc w:val="center"/>
              <w:rPr>
                <w:lang w:val="pl-PL"/>
              </w:rPr>
            </w:pPr>
          </w:p>
        </w:tc>
        <w:tc>
          <w:tcPr>
            <w:tcW w:w="1027" w:type="pct"/>
          </w:tcPr>
          <w:p w14:paraId="3D595D7B" w14:textId="77777777" w:rsidR="00985DCB" w:rsidRPr="00985DCB" w:rsidRDefault="00985DCB" w:rsidP="00985DCB">
            <w:pPr>
              <w:pStyle w:val="TableCell"/>
              <w:widowControl/>
              <w:jc w:val="center"/>
              <w:rPr>
                <w:lang w:val="pl-PL"/>
              </w:rPr>
            </w:pPr>
            <w:r w:rsidRPr="00985DCB">
              <w:rPr>
                <w:lang w:val="pl-PL"/>
              </w:rPr>
              <w:t>Liczba uczestników na 31 grudnia 2022 r.</w:t>
            </w:r>
          </w:p>
          <w:p w14:paraId="28641F3C" w14:textId="77777777" w:rsidR="00985DCB" w:rsidRPr="00985DCB" w:rsidRDefault="00985DCB" w:rsidP="00985DCB">
            <w:pPr>
              <w:pStyle w:val="TableCell"/>
              <w:widowControl/>
              <w:jc w:val="center"/>
              <w:rPr>
                <w:lang w:val="pl-PL"/>
              </w:rPr>
            </w:pPr>
            <w:r w:rsidRPr="00985DCB">
              <w:rPr>
                <w:lang w:val="pl-PL"/>
              </w:rPr>
              <w:t>PPK – 3 000 000</w:t>
            </w:r>
          </w:p>
          <w:p w14:paraId="240F1BB0" w14:textId="77777777" w:rsidR="00985DCB" w:rsidRPr="00985DCB" w:rsidRDefault="00985DCB" w:rsidP="00985DCB">
            <w:pPr>
              <w:pStyle w:val="TableCell"/>
              <w:widowControl/>
              <w:jc w:val="center"/>
              <w:rPr>
                <w:lang w:val="pl-PL"/>
              </w:rPr>
            </w:pPr>
            <w:r w:rsidRPr="00985DCB">
              <w:rPr>
                <w:lang w:val="pl-PL"/>
              </w:rPr>
              <w:t>PPE – 652 000</w:t>
            </w:r>
          </w:p>
          <w:p w14:paraId="72A5EF13" w14:textId="77777777" w:rsidR="00985DCB" w:rsidRPr="00985DCB" w:rsidRDefault="00985DCB" w:rsidP="00985DCB">
            <w:pPr>
              <w:pStyle w:val="TableCell"/>
              <w:widowControl/>
              <w:jc w:val="center"/>
              <w:rPr>
                <w:lang w:val="pl-PL"/>
              </w:rPr>
            </w:pPr>
            <w:r w:rsidRPr="00985DCB">
              <w:rPr>
                <w:lang w:val="pl-PL"/>
              </w:rPr>
              <w:t>IKE – 800 100;</w:t>
            </w:r>
          </w:p>
          <w:p w14:paraId="7272CA0A" w14:textId="62D19852" w:rsidR="00985DCB" w:rsidRDefault="00985DCB" w:rsidP="00985DCB">
            <w:pPr>
              <w:pStyle w:val="TableCell"/>
              <w:widowControl/>
              <w:jc w:val="center"/>
              <w:rPr>
                <w:lang w:val="pl-PL"/>
              </w:rPr>
            </w:pPr>
            <w:r w:rsidRPr="00985DCB">
              <w:rPr>
                <w:lang w:val="pl-PL"/>
              </w:rPr>
              <w:t>IKZE – 475 500</w:t>
            </w:r>
          </w:p>
          <w:p w14:paraId="3BBDC48B" w14:textId="0199A1AF" w:rsidR="006D0AD8" w:rsidRPr="0085159D" w:rsidRDefault="006D0AD8" w:rsidP="000B051F">
            <w:pPr>
              <w:pStyle w:val="TableCell"/>
              <w:widowControl/>
              <w:jc w:val="center"/>
              <w:rPr>
                <w:lang w:val="pl-PL"/>
              </w:rPr>
            </w:pPr>
          </w:p>
        </w:tc>
        <w:tc>
          <w:tcPr>
            <w:tcW w:w="1370" w:type="pct"/>
          </w:tcPr>
          <w:p w14:paraId="7A29E7E0" w14:textId="77777777" w:rsidR="00E14925" w:rsidRPr="0085159D" w:rsidRDefault="006D0AD8" w:rsidP="000B051F">
            <w:pPr>
              <w:pStyle w:val="TableCell"/>
              <w:widowControl/>
              <w:jc w:val="center"/>
              <w:rPr>
                <w:lang w:val="pl-PL"/>
              </w:rPr>
            </w:pPr>
            <w:r w:rsidRPr="0085159D">
              <w:rPr>
                <w:lang w:val="pl-PL"/>
              </w:rPr>
              <w:t>Dane Polskiego Funduszu Rozwoju</w:t>
            </w:r>
          </w:p>
          <w:p w14:paraId="34B18558" w14:textId="7DDC57B0" w:rsidR="006D0AD8" w:rsidRPr="0085159D" w:rsidRDefault="006D0AD8" w:rsidP="000B051F">
            <w:pPr>
              <w:pStyle w:val="TableCell"/>
              <w:widowControl/>
              <w:jc w:val="center"/>
              <w:rPr>
                <w:lang w:val="pl-PL"/>
              </w:rPr>
            </w:pPr>
            <w:r w:rsidRPr="0085159D">
              <w:rPr>
                <w:lang w:val="pl-PL"/>
              </w:rPr>
              <w:t>Sprawozdanie z działalności Komisji Nadzoru Finansowego (PPK, PPE, IKE, IKZE), 202</w:t>
            </w:r>
            <w:r w:rsidR="00985DCB">
              <w:rPr>
                <w:lang w:val="pl-PL"/>
              </w:rPr>
              <w:t>2</w:t>
            </w:r>
            <w:r w:rsidRPr="0085159D">
              <w:rPr>
                <w:lang w:val="pl-PL"/>
              </w:rPr>
              <w:t xml:space="preserve"> r.</w:t>
            </w:r>
          </w:p>
        </w:tc>
      </w:tr>
      <w:tr w:rsidR="006D0AD8" w:rsidRPr="004571F3" w14:paraId="5E06AEA9" w14:textId="77777777" w:rsidTr="00E4736C">
        <w:trPr>
          <w:cantSplit/>
          <w:trHeight w:val="239"/>
          <w:jc w:val="center"/>
        </w:trPr>
        <w:tc>
          <w:tcPr>
            <w:tcW w:w="958" w:type="pct"/>
            <w:vMerge w:val="restart"/>
          </w:tcPr>
          <w:p w14:paraId="7AC30648" w14:textId="77777777" w:rsidR="006D0AD8" w:rsidRPr="0085159D" w:rsidRDefault="00E14925" w:rsidP="00AA45D8">
            <w:pPr>
              <w:pStyle w:val="TableRow"/>
              <w:keepNext/>
              <w:jc w:val="left"/>
              <w:rPr>
                <w:lang w:val="pl-PL"/>
              </w:rPr>
            </w:pPr>
            <w:r w:rsidRPr="0085159D">
              <w:rPr>
                <w:lang w:val="pl-PL"/>
              </w:rPr>
              <w:lastRenderedPageBreak/>
              <w:t>3. Poprawa zrozumienia i zdolności mieszkańców Polski do korzystania z możliwości związanych z inwestycjami na rynku finansowym, przy jednoczesnym zarządzaniu ryzykiem</w:t>
            </w:r>
          </w:p>
        </w:tc>
        <w:tc>
          <w:tcPr>
            <w:tcW w:w="1644" w:type="pct"/>
          </w:tcPr>
          <w:p w14:paraId="26D4F237" w14:textId="77777777" w:rsidR="006D0AD8" w:rsidRPr="0085159D" w:rsidRDefault="006D0AD8" w:rsidP="00AA45D8">
            <w:pPr>
              <w:pStyle w:val="TableCell"/>
              <w:keepNext/>
              <w:widowControl/>
              <w:jc w:val="center"/>
              <w:rPr>
                <w:lang w:val="pl-PL"/>
              </w:rPr>
            </w:pPr>
            <w:r w:rsidRPr="0085159D">
              <w:rPr>
                <w:lang w:val="pl-PL"/>
              </w:rPr>
              <w:t xml:space="preserve">% osób, które oszczędzają, regularnie odkładając </w:t>
            </w:r>
            <w:r w:rsidR="00361A67" w:rsidRPr="0085159D">
              <w:rPr>
                <w:lang w:val="pl-PL"/>
              </w:rPr>
              <w:t xml:space="preserve">pewną </w:t>
            </w:r>
            <w:r w:rsidRPr="0085159D">
              <w:rPr>
                <w:lang w:val="pl-PL"/>
              </w:rPr>
              <w:t xml:space="preserve">kwotę pieniędzy </w:t>
            </w:r>
          </w:p>
        </w:tc>
        <w:tc>
          <w:tcPr>
            <w:tcW w:w="1027" w:type="pct"/>
          </w:tcPr>
          <w:p w14:paraId="525CFDC6" w14:textId="77777777" w:rsidR="006D0AD8" w:rsidRPr="0085159D" w:rsidRDefault="006D0AD8" w:rsidP="00AA45D8">
            <w:pPr>
              <w:pStyle w:val="TableCell"/>
              <w:keepNext/>
              <w:widowControl/>
              <w:jc w:val="center"/>
              <w:rPr>
                <w:lang w:val="pl-PL"/>
              </w:rPr>
            </w:pPr>
            <w:r w:rsidRPr="0085159D">
              <w:rPr>
                <w:lang w:val="pl-PL"/>
              </w:rPr>
              <w:t>26%</w:t>
            </w:r>
          </w:p>
        </w:tc>
        <w:tc>
          <w:tcPr>
            <w:tcW w:w="1370" w:type="pct"/>
          </w:tcPr>
          <w:p w14:paraId="54806DF2" w14:textId="77777777" w:rsidR="006D0AD8" w:rsidRPr="0085159D" w:rsidRDefault="006D0AD8" w:rsidP="00AA45D8">
            <w:pPr>
              <w:pStyle w:val="TableCell"/>
              <w:keepNext/>
              <w:widowControl/>
              <w:jc w:val="center"/>
              <w:rPr>
                <w:lang w:val="pl-PL"/>
              </w:rPr>
            </w:pPr>
            <w:r w:rsidRPr="0085159D">
              <w:rPr>
                <w:lang w:val="pl-PL"/>
              </w:rPr>
              <w:t>Badanie wiedzy i świadomości ekonomicznej Polaków 2020, NBP</w:t>
            </w:r>
          </w:p>
        </w:tc>
      </w:tr>
      <w:tr w:rsidR="006D0AD8" w:rsidRPr="00E4736C" w14:paraId="04D2A7CA" w14:textId="77777777" w:rsidTr="00E4736C">
        <w:trPr>
          <w:cantSplit/>
          <w:trHeight w:val="239"/>
          <w:jc w:val="center"/>
        </w:trPr>
        <w:tc>
          <w:tcPr>
            <w:tcW w:w="958" w:type="pct"/>
            <w:vMerge/>
          </w:tcPr>
          <w:p w14:paraId="416769C1" w14:textId="77777777" w:rsidR="006D0AD8" w:rsidRPr="0085159D" w:rsidRDefault="006D0AD8" w:rsidP="00AA45D8">
            <w:pPr>
              <w:pStyle w:val="TableRow"/>
              <w:jc w:val="left"/>
              <w:rPr>
                <w:lang w:val="pl-PL"/>
              </w:rPr>
            </w:pPr>
          </w:p>
        </w:tc>
        <w:tc>
          <w:tcPr>
            <w:tcW w:w="1644" w:type="pct"/>
          </w:tcPr>
          <w:p w14:paraId="3750DB38" w14:textId="77777777" w:rsidR="006D0AD8" w:rsidRPr="0085159D" w:rsidRDefault="006D0AD8" w:rsidP="000B051F">
            <w:pPr>
              <w:pStyle w:val="TableCell"/>
              <w:widowControl/>
              <w:jc w:val="center"/>
              <w:rPr>
                <w:lang w:val="pl-PL"/>
              </w:rPr>
            </w:pPr>
            <w:r w:rsidRPr="0085159D">
              <w:rPr>
                <w:lang w:val="pl-PL"/>
              </w:rPr>
              <w:t>% osób, które inwestują na rynku kapitałowym</w:t>
            </w:r>
          </w:p>
        </w:tc>
        <w:tc>
          <w:tcPr>
            <w:tcW w:w="1027" w:type="pct"/>
          </w:tcPr>
          <w:p w14:paraId="33F6BF79" w14:textId="77777777" w:rsidR="006D0AD8" w:rsidRPr="0085159D" w:rsidRDefault="006D0AD8" w:rsidP="000B051F">
            <w:pPr>
              <w:pStyle w:val="TableCell"/>
              <w:widowControl/>
              <w:jc w:val="center"/>
              <w:rPr>
                <w:lang w:val="pl-PL"/>
              </w:rPr>
            </w:pPr>
            <w:r w:rsidRPr="0085159D">
              <w:rPr>
                <w:lang w:val="pl-PL"/>
              </w:rPr>
              <w:t>8%</w:t>
            </w:r>
          </w:p>
        </w:tc>
        <w:tc>
          <w:tcPr>
            <w:tcW w:w="1370" w:type="pct"/>
          </w:tcPr>
          <w:p w14:paraId="1C1C4D6A" w14:textId="77777777" w:rsidR="006D0AD8" w:rsidRPr="0085159D" w:rsidRDefault="006D0AD8" w:rsidP="000B051F">
            <w:pPr>
              <w:pStyle w:val="TableCell"/>
              <w:widowControl/>
              <w:jc w:val="center"/>
              <w:rPr>
                <w:lang w:val="pl-PL"/>
              </w:rPr>
            </w:pPr>
            <w:r w:rsidRPr="0085159D">
              <w:rPr>
                <w:lang w:val="pl-PL"/>
              </w:rPr>
              <w:t xml:space="preserve">Badanie „Postawy Polaków wobec finansów 2022”, Fundacja [Rozwoju Społeczeństwa Wiedzy] </w:t>
            </w:r>
            <w:proofErr w:type="spellStart"/>
            <w:r w:rsidRPr="0085159D">
              <w:rPr>
                <w:lang w:val="pl-PL"/>
              </w:rPr>
              <w:t>Think</w:t>
            </w:r>
            <w:proofErr w:type="spellEnd"/>
            <w:r w:rsidRPr="0085159D">
              <w:rPr>
                <w:lang w:val="pl-PL"/>
              </w:rPr>
              <w:t>!</w:t>
            </w:r>
            <w:r w:rsidR="00CB1EF0">
              <w:rPr>
                <w:lang w:val="pl-PL"/>
              </w:rPr>
              <w:t>,</w:t>
            </w:r>
            <w:r w:rsidRPr="0085159D">
              <w:rPr>
                <w:lang w:val="pl-PL"/>
              </w:rPr>
              <w:t xml:space="preserve"> Fundacja </w:t>
            </w:r>
            <w:proofErr w:type="spellStart"/>
            <w:r w:rsidRPr="0085159D">
              <w:rPr>
                <w:lang w:val="pl-PL"/>
              </w:rPr>
              <w:t>Citi</w:t>
            </w:r>
            <w:proofErr w:type="spellEnd"/>
            <w:r w:rsidRPr="0085159D">
              <w:rPr>
                <w:lang w:val="pl-PL"/>
              </w:rPr>
              <w:t xml:space="preserve"> Handlowy im. Leopolda Kronenberga</w:t>
            </w:r>
          </w:p>
        </w:tc>
      </w:tr>
      <w:tr w:rsidR="006D0AD8" w:rsidRPr="004571F3" w14:paraId="3CCBE655" w14:textId="77777777" w:rsidTr="00E4736C">
        <w:trPr>
          <w:cantSplit/>
          <w:trHeight w:val="239"/>
          <w:jc w:val="center"/>
        </w:trPr>
        <w:tc>
          <w:tcPr>
            <w:tcW w:w="958" w:type="pct"/>
            <w:vMerge/>
          </w:tcPr>
          <w:p w14:paraId="207BA06A" w14:textId="77777777" w:rsidR="006D0AD8" w:rsidRPr="0085159D" w:rsidRDefault="006D0AD8" w:rsidP="00AA45D8">
            <w:pPr>
              <w:pStyle w:val="TableRow"/>
              <w:jc w:val="left"/>
              <w:rPr>
                <w:lang w:val="pl-PL"/>
              </w:rPr>
            </w:pPr>
          </w:p>
        </w:tc>
        <w:tc>
          <w:tcPr>
            <w:tcW w:w="1644" w:type="pct"/>
          </w:tcPr>
          <w:p w14:paraId="41C5C68B" w14:textId="77777777" w:rsidR="006D0AD8" w:rsidRPr="0085159D" w:rsidRDefault="006D0AD8" w:rsidP="000B051F">
            <w:pPr>
              <w:pStyle w:val="TableCell"/>
              <w:widowControl/>
              <w:jc w:val="center"/>
              <w:rPr>
                <w:lang w:val="pl-PL"/>
              </w:rPr>
            </w:pPr>
            <w:r w:rsidRPr="0085159D">
              <w:rPr>
                <w:lang w:val="pl-PL"/>
              </w:rPr>
              <w:t>% osób, które inwestują samodzielnie i uważają, że sam</w:t>
            </w:r>
            <w:r w:rsidR="00361A67" w:rsidRPr="0085159D">
              <w:rPr>
                <w:lang w:val="pl-PL"/>
              </w:rPr>
              <w:t>e</w:t>
            </w:r>
            <w:r w:rsidRPr="0085159D">
              <w:rPr>
                <w:lang w:val="pl-PL"/>
              </w:rPr>
              <w:t xml:space="preserve"> są w stanie wybrać dla siebie najlepsze formy inwestowania</w:t>
            </w:r>
          </w:p>
        </w:tc>
        <w:tc>
          <w:tcPr>
            <w:tcW w:w="1027" w:type="pct"/>
          </w:tcPr>
          <w:p w14:paraId="5B5E99A3" w14:textId="77777777" w:rsidR="006D0AD8" w:rsidRPr="0085159D" w:rsidRDefault="006D0AD8" w:rsidP="000B051F">
            <w:pPr>
              <w:pStyle w:val="TableCell"/>
              <w:widowControl/>
              <w:jc w:val="center"/>
              <w:rPr>
                <w:lang w:val="pl-PL"/>
              </w:rPr>
            </w:pPr>
            <w:r w:rsidRPr="0085159D">
              <w:rPr>
                <w:lang w:val="pl-PL"/>
              </w:rPr>
              <w:t>5%</w:t>
            </w:r>
          </w:p>
        </w:tc>
        <w:tc>
          <w:tcPr>
            <w:tcW w:w="1370" w:type="pct"/>
          </w:tcPr>
          <w:p w14:paraId="5738E592" w14:textId="77777777" w:rsidR="006D0AD8" w:rsidRPr="0085159D" w:rsidRDefault="006D0AD8" w:rsidP="000B051F">
            <w:pPr>
              <w:pStyle w:val="TableCell"/>
              <w:widowControl/>
              <w:jc w:val="center"/>
              <w:rPr>
                <w:lang w:val="pl-PL"/>
              </w:rPr>
            </w:pPr>
            <w:proofErr w:type="spellStart"/>
            <w:r w:rsidRPr="0085159D">
              <w:rPr>
                <w:lang w:val="pl-PL"/>
              </w:rPr>
              <w:t>Assay</w:t>
            </w:r>
            <w:proofErr w:type="spellEnd"/>
            <w:r w:rsidRPr="0085159D">
              <w:rPr>
                <w:lang w:val="pl-PL"/>
              </w:rPr>
              <w:t xml:space="preserve"> </w:t>
            </w:r>
            <w:r w:rsidR="00A115A0" w:rsidRPr="0085159D">
              <w:rPr>
                <w:lang w:val="pl-PL"/>
              </w:rPr>
              <w:t>Index</w:t>
            </w:r>
            <w:r w:rsidR="00361A67" w:rsidRPr="0085159D">
              <w:rPr>
                <w:lang w:val="pl-PL"/>
              </w:rPr>
              <w:t xml:space="preserve"> </w:t>
            </w:r>
            <w:r w:rsidRPr="0085159D">
              <w:rPr>
                <w:lang w:val="pl-PL"/>
              </w:rPr>
              <w:t>2022 – Indeks gotowości inwestycyjnej Polaków</w:t>
            </w:r>
          </w:p>
        </w:tc>
      </w:tr>
      <w:tr w:rsidR="006D0AD8" w:rsidRPr="004571F3" w14:paraId="5C03A31E" w14:textId="77777777" w:rsidTr="00E4736C">
        <w:trPr>
          <w:cantSplit/>
          <w:trHeight w:val="239"/>
          <w:jc w:val="center"/>
        </w:trPr>
        <w:tc>
          <w:tcPr>
            <w:tcW w:w="958" w:type="pct"/>
            <w:vMerge/>
          </w:tcPr>
          <w:p w14:paraId="755031FA" w14:textId="77777777" w:rsidR="006D0AD8" w:rsidRPr="0085159D" w:rsidRDefault="006D0AD8" w:rsidP="00AA45D8">
            <w:pPr>
              <w:pStyle w:val="TableRow"/>
              <w:jc w:val="left"/>
              <w:rPr>
                <w:lang w:val="pl-PL"/>
              </w:rPr>
            </w:pPr>
          </w:p>
        </w:tc>
        <w:tc>
          <w:tcPr>
            <w:tcW w:w="1644" w:type="pct"/>
          </w:tcPr>
          <w:p w14:paraId="209A41A1" w14:textId="77777777" w:rsidR="006D0AD8" w:rsidRPr="0085159D" w:rsidRDefault="006D0AD8" w:rsidP="000B051F">
            <w:pPr>
              <w:pStyle w:val="TableCell"/>
              <w:widowControl/>
              <w:jc w:val="center"/>
              <w:rPr>
                <w:lang w:val="pl-PL"/>
              </w:rPr>
            </w:pPr>
            <w:r w:rsidRPr="0085159D">
              <w:rPr>
                <w:lang w:val="pl-PL"/>
              </w:rPr>
              <w:t>% osób, które nie planują samodzielnego inwestowania</w:t>
            </w:r>
          </w:p>
        </w:tc>
        <w:tc>
          <w:tcPr>
            <w:tcW w:w="1027" w:type="pct"/>
          </w:tcPr>
          <w:p w14:paraId="58D47010" w14:textId="77777777" w:rsidR="006D0AD8" w:rsidRPr="0085159D" w:rsidRDefault="006D0AD8" w:rsidP="000B051F">
            <w:pPr>
              <w:pStyle w:val="TableCell"/>
              <w:widowControl/>
              <w:jc w:val="center"/>
              <w:rPr>
                <w:lang w:val="pl-PL"/>
              </w:rPr>
            </w:pPr>
            <w:r w:rsidRPr="0085159D">
              <w:rPr>
                <w:lang w:val="pl-PL"/>
              </w:rPr>
              <w:t>81%</w:t>
            </w:r>
          </w:p>
        </w:tc>
        <w:tc>
          <w:tcPr>
            <w:tcW w:w="1370" w:type="pct"/>
          </w:tcPr>
          <w:p w14:paraId="68DC06F4" w14:textId="091D0616" w:rsidR="006D0AD8" w:rsidRPr="0085159D" w:rsidRDefault="006D0AD8" w:rsidP="000B051F">
            <w:pPr>
              <w:pStyle w:val="TableCell"/>
              <w:widowControl/>
              <w:jc w:val="center"/>
              <w:rPr>
                <w:lang w:val="pl-PL"/>
              </w:rPr>
            </w:pPr>
            <w:r w:rsidRPr="0085159D">
              <w:rPr>
                <w:lang w:val="pl-PL"/>
              </w:rPr>
              <w:t>Poziom wiedzy finansowej Polaków, 202</w:t>
            </w:r>
            <w:r w:rsidR="00D61129">
              <w:rPr>
                <w:lang w:val="pl-PL"/>
              </w:rPr>
              <w:t>2</w:t>
            </w:r>
            <w:r w:rsidRPr="0085159D">
              <w:rPr>
                <w:lang w:val="pl-PL"/>
              </w:rPr>
              <w:t xml:space="preserve"> r., Fundacja Warszawski Instytut Bankowości, Fundacja GPW</w:t>
            </w:r>
          </w:p>
        </w:tc>
      </w:tr>
      <w:tr w:rsidR="006D0AD8" w:rsidRPr="004571F3" w14:paraId="37FD8F97" w14:textId="77777777" w:rsidTr="00E4736C">
        <w:trPr>
          <w:cantSplit/>
          <w:trHeight w:val="584"/>
          <w:jc w:val="center"/>
        </w:trPr>
        <w:tc>
          <w:tcPr>
            <w:tcW w:w="958" w:type="pct"/>
            <w:vMerge/>
          </w:tcPr>
          <w:p w14:paraId="1295A5FF" w14:textId="77777777" w:rsidR="006D0AD8" w:rsidRPr="0085159D" w:rsidRDefault="006D0AD8" w:rsidP="00AA45D8">
            <w:pPr>
              <w:pStyle w:val="TableRow"/>
              <w:jc w:val="left"/>
              <w:rPr>
                <w:lang w:val="pl-PL"/>
              </w:rPr>
            </w:pPr>
          </w:p>
        </w:tc>
        <w:tc>
          <w:tcPr>
            <w:tcW w:w="1644" w:type="pct"/>
          </w:tcPr>
          <w:p w14:paraId="120DD0ED" w14:textId="77777777" w:rsidR="006D0AD8" w:rsidRPr="0085159D" w:rsidRDefault="006D0AD8" w:rsidP="000B051F">
            <w:pPr>
              <w:pStyle w:val="TableCell"/>
              <w:widowControl/>
              <w:jc w:val="center"/>
              <w:rPr>
                <w:lang w:val="pl-PL"/>
              </w:rPr>
            </w:pPr>
            <w:r w:rsidRPr="0085159D">
              <w:rPr>
                <w:lang w:val="pl-PL"/>
              </w:rPr>
              <w:t xml:space="preserve">% osób, które rozumieją podstawowe pojęcia dotyczące dywersyfikacji </w:t>
            </w:r>
            <w:r w:rsidR="00361A67" w:rsidRPr="0085159D">
              <w:rPr>
                <w:lang w:val="pl-PL"/>
              </w:rPr>
              <w:t xml:space="preserve">ryzyka </w:t>
            </w:r>
            <w:r w:rsidRPr="0085159D">
              <w:rPr>
                <w:lang w:val="pl-PL"/>
              </w:rPr>
              <w:t xml:space="preserve">oraz relacji pomiędzy ryzykiem a </w:t>
            </w:r>
            <w:r w:rsidR="007B1FE5" w:rsidRPr="0085159D">
              <w:rPr>
                <w:lang w:val="pl-PL"/>
              </w:rPr>
              <w:t xml:space="preserve">zyskiem </w:t>
            </w:r>
            <w:r w:rsidRPr="0085159D">
              <w:rPr>
                <w:lang w:val="pl-PL"/>
              </w:rPr>
              <w:t>z inwestycji</w:t>
            </w:r>
          </w:p>
        </w:tc>
        <w:tc>
          <w:tcPr>
            <w:tcW w:w="1027" w:type="pct"/>
          </w:tcPr>
          <w:p w14:paraId="3714CACC" w14:textId="77777777" w:rsidR="006D0AD8" w:rsidRPr="0085159D" w:rsidDel="003B36AC" w:rsidRDefault="006D0AD8" w:rsidP="000B051F">
            <w:pPr>
              <w:pStyle w:val="TableCell"/>
              <w:widowControl/>
              <w:jc w:val="center"/>
              <w:rPr>
                <w:lang w:val="pl-PL"/>
              </w:rPr>
            </w:pPr>
            <w:r w:rsidRPr="0085159D">
              <w:rPr>
                <w:lang w:val="pl-PL"/>
              </w:rPr>
              <w:t>60</w:t>
            </w:r>
            <w:r w:rsidR="000B051F" w:rsidRPr="0085159D">
              <w:rPr>
                <w:lang w:val="pl-PL"/>
              </w:rPr>
              <w:t>–</w:t>
            </w:r>
            <w:r w:rsidRPr="0085159D">
              <w:rPr>
                <w:lang w:val="pl-PL"/>
              </w:rPr>
              <w:t>70%</w:t>
            </w:r>
          </w:p>
        </w:tc>
        <w:tc>
          <w:tcPr>
            <w:tcW w:w="1370" w:type="pct"/>
          </w:tcPr>
          <w:p w14:paraId="33B4BE84" w14:textId="77777777" w:rsidR="006D0AD8" w:rsidRPr="0085159D" w:rsidRDefault="006D0AD8" w:rsidP="000B051F">
            <w:pPr>
              <w:pStyle w:val="TableCell"/>
              <w:widowControl/>
              <w:jc w:val="center"/>
              <w:rPr>
                <w:lang w:val="pl-PL"/>
              </w:rPr>
            </w:pPr>
            <w:r w:rsidRPr="0085159D">
              <w:rPr>
                <w:lang w:val="pl-PL"/>
              </w:rPr>
              <w:t>Badanie wiedzy i świadomości ekonomicznej Polaków 2020, NBP</w:t>
            </w:r>
          </w:p>
        </w:tc>
      </w:tr>
      <w:tr w:rsidR="006D0AD8" w:rsidRPr="004571F3" w14:paraId="385CF529" w14:textId="77777777" w:rsidTr="00E4736C">
        <w:trPr>
          <w:cantSplit/>
          <w:trHeight w:val="554"/>
          <w:jc w:val="center"/>
        </w:trPr>
        <w:tc>
          <w:tcPr>
            <w:tcW w:w="958" w:type="pct"/>
            <w:vMerge/>
          </w:tcPr>
          <w:p w14:paraId="157A7231" w14:textId="77777777" w:rsidR="006D0AD8" w:rsidRPr="0085159D" w:rsidRDefault="006D0AD8" w:rsidP="00AA45D8">
            <w:pPr>
              <w:pStyle w:val="TableRow"/>
              <w:jc w:val="left"/>
              <w:rPr>
                <w:lang w:val="pl-PL"/>
              </w:rPr>
            </w:pPr>
          </w:p>
        </w:tc>
        <w:tc>
          <w:tcPr>
            <w:tcW w:w="1644" w:type="pct"/>
          </w:tcPr>
          <w:p w14:paraId="157B8F94" w14:textId="77777777" w:rsidR="006D0AD8" w:rsidRPr="0085159D" w:rsidRDefault="006D0AD8" w:rsidP="000B051F">
            <w:pPr>
              <w:pStyle w:val="TableCell"/>
              <w:widowControl/>
              <w:jc w:val="center"/>
              <w:rPr>
                <w:lang w:val="pl-PL"/>
              </w:rPr>
            </w:pPr>
            <w:r w:rsidRPr="0085159D">
              <w:rPr>
                <w:lang w:val="pl-PL"/>
              </w:rPr>
              <w:t>% osób, które rozumieją pojęcie dywersyfikacji ryzyka</w:t>
            </w:r>
          </w:p>
        </w:tc>
        <w:tc>
          <w:tcPr>
            <w:tcW w:w="1027" w:type="pct"/>
          </w:tcPr>
          <w:p w14:paraId="403FE912" w14:textId="77777777" w:rsidR="006D0AD8" w:rsidRPr="0085159D" w:rsidRDefault="006D0AD8" w:rsidP="000B051F">
            <w:pPr>
              <w:pStyle w:val="TableCell"/>
              <w:widowControl/>
              <w:jc w:val="center"/>
              <w:rPr>
                <w:lang w:val="pl-PL"/>
              </w:rPr>
            </w:pPr>
            <w:r w:rsidRPr="0085159D">
              <w:rPr>
                <w:lang w:val="pl-PL"/>
              </w:rPr>
              <w:t>71%</w:t>
            </w:r>
          </w:p>
        </w:tc>
        <w:tc>
          <w:tcPr>
            <w:tcW w:w="1370" w:type="pct"/>
          </w:tcPr>
          <w:p w14:paraId="6EDD3C3D" w14:textId="77777777" w:rsidR="006D0AD8" w:rsidRPr="0085159D" w:rsidRDefault="006D0AD8" w:rsidP="000B051F">
            <w:pPr>
              <w:pStyle w:val="TableCell"/>
              <w:widowControl/>
              <w:jc w:val="center"/>
              <w:rPr>
                <w:lang w:val="pl-PL"/>
              </w:rPr>
            </w:pPr>
            <w:r w:rsidRPr="0085159D">
              <w:rPr>
                <w:lang w:val="pl-PL"/>
              </w:rPr>
              <w:t>Badanie OECD/INFE Kompetencji finansowych dorosłych 2020</w:t>
            </w:r>
          </w:p>
        </w:tc>
      </w:tr>
      <w:tr w:rsidR="006D0AD8" w:rsidRPr="0085159D" w14:paraId="285FC803" w14:textId="77777777" w:rsidTr="00E4736C">
        <w:trPr>
          <w:cantSplit/>
          <w:trHeight w:val="649"/>
          <w:jc w:val="center"/>
        </w:trPr>
        <w:tc>
          <w:tcPr>
            <w:tcW w:w="958" w:type="pct"/>
            <w:vMerge w:val="restart"/>
          </w:tcPr>
          <w:p w14:paraId="6135E941" w14:textId="77777777" w:rsidR="00E14925" w:rsidRPr="0085159D" w:rsidRDefault="00E14925" w:rsidP="00AA45D8">
            <w:pPr>
              <w:widowControl/>
              <w:jc w:val="left"/>
              <w:rPr>
                <w:rFonts w:ascii="Calibri" w:hAnsi="Calibri" w:cs="Calibri"/>
                <w:lang w:val="pl-PL"/>
              </w:rPr>
            </w:pPr>
            <w:r w:rsidRPr="0085159D">
              <w:rPr>
                <w:lang w:val="pl-PL"/>
              </w:rPr>
              <w:t xml:space="preserve">4. Podnoszenie świadomości </w:t>
            </w:r>
            <w:r w:rsidR="0014739C" w:rsidRPr="0085159D">
              <w:rPr>
                <w:lang w:val="pl-PL"/>
              </w:rPr>
              <w:t xml:space="preserve">w </w:t>
            </w:r>
            <w:r w:rsidR="00540D2F" w:rsidRPr="0085159D">
              <w:rPr>
                <w:lang w:val="pl-PL"/>
              </w:rPr>
              <w:t xml:space="preserve">kwestii </w:t>
            </w:r>
            <w:r w:rsidRPr="0085159D">
              <w:rPr>
                <w:lang w:val="pl-PL"/>
              </w:rPr>
              <w:t xml:space="preserve">edukacji finansowej dla mieszkańców Polski oraz ich wiedzy o tym, gdzie znaleźć rzetelne i </w:t>
            </w:r>
            <w:r w:rsidR="0014739C" w:rsidRPr="0085159D">
              <w:rPr>
                <w:lang w:val="pl-PL"/>
              </w:rPr>
              <w:t xml:space="preserve">obiektywne </w:t>
            </w:r>
            <w:r w:rsidRPr="0085159D">
              <w:rPr>
                <w:lang w:val="pl-PL"/>
              </w:rPr>
              <w:t>informacje finansowe, edukację lub pomoc</w:t>
            </w:r>
          </w:p>
          <w:p w14:paraId="6C4247C4" w14:textId="77777777" w:rsidR="006D0AD8" w:rsidRPr="0085159D" w:rsidRDefault="006D0AD8" w:rsidP="00AA45D8">
            <w:pPr>
              <w:pStyle w:val="TableRow"/>
              <w:jc w:val="left"/>
              <w:rPr>
                <w:lang w:val="pl-PL"/>
              </w:rPr>
            </w:pPr>
          </w:p>
        </w:tc>
        <w:tc>
          <w:tcPr>
            <w:tcW w:w="1644" w:type="pct"/>
          </w:tcPr>
          <w:p w14:paraId="45C80C49" w14:textId="77777777" w:rsidR="006D0AD8" w:rsidRPr="0085159D" w:rsidRDefault="006D0AD8" w:rsidP="000B051F">
            <w:pPr>
              <w:pStyle w:val="TableCell"/>
              <w:widowControl/>
              <w:jc w:val="center"/>
              <w:rPr>
                <w:lang w:val="pl-PL"/>
              </w:rPr>
            </w:pPr>
            <w:r w:rsidRPr="0085159D">
              <w:rPr>
                <w:lang w:val="pl-PL"/>
              </w:rPr>
              <w:t>Jakościowa ocena treści prezentowanych na portalu internetowym oraz ich</w:t>
            </w:r>
            <w:r w:rsidR="007B1FE5" w:rsidRPr="0085159D">
              <w:rPr>
                <w:lang w:val="pl-PL"/>
              </w:rPr>
              <w:t xml:space="preserve"> dopasowania do </w:t>
            </w:r>
            <w:r w:rsidRPr="0085159D">
              <w:rPr>
                <w:lang w:val="pl-PL"/>
              </w:rPr>
              <w:t>potrzeb</w:t>
            </w:r>
            <w:r w:rsidR="007B1FE5" w:rsidRPr="0085159D">
              <w:rPr>
                <w:lang w:val="pl-PL"/>
              </w:rPr>
              <w:t xml:space="preserve"> odbiorców</w:t>
            </w:r>
            <w:r w:rsidRPr="0085159D">
              <w:rPr>
                <w:lang w:val="pl-PL"/>
              </w:rPr>
              <w:t>, uzyskana w badaniach użytkowników i grupach fokusowych</w:t>
            </w:r>
          </w:p>
        </w:tc>
        <w:tc>
          <w:tcPr>
            <w:tcW w:w="1027" w:type="pct"/>
          </w:tcPr>
          <w:p w14:paraId="268C1D85" w14:textId="6E9A6F9C" w:rsidR="006D0AD8" w:rsidRPr="0085159D" w:rsidRDefault="00361A67" w:rsidP="000B051F">
            <w:pPr>
              <w:pStyle w:val="TableCell"/>
              <w:widowControl/>
              <w:jc w:val="center"/>
              <w:rPr>
                <w:lang w:val="pl-PL"/>
              </w:rPr>
            </w:pPr>
            <w:r w:rsidRPr="0085159D">
              <w:rPr>
                <w:lang w:val="pl-PL"/>
              </w:rPr>
              <w:t>Dane zbierane w okresie wdrażania Strategii</w:t>
            </w:r>
          </w:p>
        </w:tc>
        <w:tc>
          <w:tcPr>
            <w:tcW w:w="1370" w:type="pct"/>
          </w:tcPr>
          <w:p w14:paraId="6855385A" w14:textId="77777777" w:rsidR="006D0AD8" w:rsidRPr="0085159D" w:rsidRDefault="006D0AD8" w:rsidP="000B051F">
            <w:pPr>
              <w:pStyle w:val="TableCell"/>
              <w:widowControl/>
              <w:jc w:val="center"/>
              <w:rPr>
                <w:lang w:val="pl-PL"/>
              </w:rPr>
            </w:pPr>
            <w:r w:rsidRPr="0085159D">
              <w:rPr>
                <w:lang w:val="pl-PL"/>
              </w:rPr>
              <w:t>Brak danych</w:t>
            </w:r>
          </w:p>
        </w:tc>
      </w:tr>
      <w:tr w:rsidR="00E4736C" w:rsidRPr="0085159D" w14:paraId="02526BEC" w14:textId="77777777" w:rsidTr="00E4736C">
        <w:trPr>
          <w:cantSplit/>
          <w:trHeight w:val="239"/>
          <w:jc w:val="center"/>
        </w:trPr>
        <w:tc>
          <w:tcPr>
            <w:tcW w:w="958" w:type="pct"/>
            <w:vMerge/>
          </w:tcPr>
          <w:p w14:paraId="7D88E378" w14:textId="77777777" w:rsidR="00E4736C" w:rsidRPr="0085159D" w:rsidRDefault="00E4736C" w:rsidP="000B051F">
            <w:pPr>
              <w:pStyle w:val="TableRow"/>
              <w:rPr>
                <w:lang w:val="pl-PL"/>
              </w:rPr>
            </w:pPr>
          </w:p>
        </w:tc>
        <w:tc>
          <w:tcPr>
            <w:tcW w:w="1644" w:type="pct"/>
            <w:vAlign w:val="bottom"/>
          </w:tcPr>
          <w:p w14:paraId="078B5E45" w14:textId="77777777" w:rsidR="00E4736C" w:rsidRPr="0085159D" w:rsidRDefault="00E4736C" w:rsidP="000B051F">
            <w:pPr>
              <w:pStyle w:val="TableCell"/>
              <w:widowControl/>
              <w:jc w:val="center"/>
              <w:rPr>
                <w:lang w:val="pl-PL"/>
              </w:rPr>
            </w:pPr>
            <w:r w:rsidRPr="0085159D">
              <w:rPr>
                <w:lang w:val="pl-PL"/>
              </w:rPr>
              <w:t>% nauczycieli przeszkolonych w zakresie prowadzenia edukacji finansowej w szkole i pozytywnie oceniających swoje umiejętności w tym obszarze</w:t>
            </w:r>
          </w:p>
        </w:tc>
        <w:tc>
          <w:tcPr>
            <w:tcW w:w="1027" w:type="pct"/>
          </w:tcPr>
          <w:p w14:paraId="08AC314C" w14:textId="77777777" w:rsidR="00E4736C" w:rsidRPr="0085159D" w:rsidRDefault="00E4736C" w:rsidP="000B051F">
            <w:pPr>
              <w:pStyle w:val="TableCell"/>
              <w:widowControl/>
              <w:jc w:val="center"/>
              <w:rPr>
                <w:lang w:val="pl-PL"/>
              </w:rPr>
            </w:pPr>
            <w:r w:rsidRPr="0085159D">
              <w:rPr>
                <w:lang w:val="pl-PL"/>
              </w:rPr>
              <w:t>Brak danych</w:t>
            </w:r>
          </w:p>
        </w:tc>
        <w:tc>
          <w:tcPr>
            <w:tcW w:w="1370" w:type="pct"/>
          </w:tcPr>
          <w:p w14:paraId="50EBD4E0" w14:textId="77777777" w:rsidR="00E4736C" w:rsidRPr="0085159D" w:rsidRDefault="00E4736C" w:rsidP="000B051F">
            <w:pPr>
              <w:pStyle w:val="TableCell"/>
              <w:widowControl/>
              <w:jc w:val="center"/>
              <w:rPr>
                <w:lang w:val="pl-PL"/>
              </w:rPr>
            </w:pPr>
            <w:r w:rsidRPr="0085159D">
              <w:rPr>
                <w:lang w:val="pl-PL"/>
              </w:rPr>
              <w:t>Brak danych</w:t>
            </w:r>
          </w:p>
        </w:tc>
      </w:tr>
      <w:tr w:rsidR="00E4736C" w:rsidRPr="004571F3" w14:paraId="2F6143C5" w14:textId="77777777" w:rsidTr="00E4736C">
        <w:trPr>
          <w:cantSplit/>
          <w:trHeight w:val="239"/>
          <w:jc w:val="center"/>
        </w:trPr>
        <w:tc>
          <w:tcPr>
            <w:tcW w:w="958" w:type="pct"/>
            <w:vMerge/>
          </w:tcPr>
          <w:p w14:paraId="2F02E858" w14:textId="77777777" w:rsidR="00E4736C" w:rsidRPr="0085159D" w:rsidRDefault="00E4736C" w:rsidP="000B051F">
            <w:pPr>
              <w:pStyle w:val="TableRow"/>
              <w:rPr>
                <w:lang w:val="pl-PL"/>
              </w:rPr>
            </w:pPr>
          </w:p>
        </w:tc>
        <w:tc>
          <w:tcPr>
            <w:tcW w:w="1644" w:type="pct"/>
            <w:vAlign w:val="bottom"/>
          </w:tcPr>
          <w:p w14:paraId="1D9846DF" w14:textId="77777777" w:rsidR="00E4736C" w:rsidRPr="0085159D" w:rsidRDefault="00E4736C" w:rsidP="000B051F">
            <w:pPr>
              <w:pStyle w:val="TableCell"/>
              <w:widowControl/>
              <w:jc w:val="center"/>
              <w:rPr>
                <w:lang w:val="pl-PL"/>
              </w:rPr>
            </w:pPr>
            <w:r w:rsidRPr="0085159D">
              <w:rPr>
                <w:lang w:val="pl-PL"/>
              </w:rPr>
              <w:t>% uczniów uczęszczających na zajęcia z zakresu edukacji finansowej w szkole</w:t>
            </w:r>
          </w:p>
          <w:p w14:paraId="75E3ADC1" w14:textId="77777777" w:rsidR="00E4736C" w:rsidRPr="0085159D" w:rsidRDefault="00E4736C" w:rsidP="000B051F">
            <w:pPr>
              <w:pStyle w:val="TableCell"/>
              <w:widowControl/>
              <w:jc w:val="center"/>
              <w:rPr>
                <w:lang w:val="pl-PL"/>
              </w:rPr>
            </w:pPr>
          </w:p>
        </w:tc>
        <w:tc>
          <w:tcPr>
            <w:tcW w:w="1027" w:type="pct"/>
          </w:tcPr>
          <w:p w14:paraId="3A8DAFA9" w14:textId="77777777" w:rsidR="00E4736C" w:rsidRPr="0085159D" w:rsidRDefault="00E4736C" w:rsidP="000B051F">
            <w:pPr>
              <w:pStyle w:val="TableCell"/>
              <w:widowControl/>
              <w:jc w:val="center"/>
              <w:rPr>
                <w:lang w:val="pl-PL"/>
              </w:rPr>
            </w:pPr>
            <w:r w:rsidRPr="0085159D">
              <w:rPr>
                <w:lang w:val="pl-PL"/>
              </w:rPr>
              <w:t>54% szóstoklasistów (szkoła podstawowa)</w:t>
            </w:r>
          </w:p>
          <w:p w14:paraId="6898CB9F" w14:textId="77777777" w:rsidR="00E4736C" w:rsidRPr="0085159D" w:rsidRDefault="00E4736C" w:rsidP="000B051F">
            <w:pPr>
              <w:pStyle w:val="TableCell"/>
              <w:widowControl/>
              <w:jc w:val="center"/>
              <w:rPr>
                <w:lang w:val="pl-PL"/>
              </w:rPr>
            </w:pPr>
            <w:r w:rsidRPr="0085159D">
              <w:rPr>
                <w:lang w:val="pl-PL"/>
              </w:rPr>
              <w:t>82% ósmoklasistów (szkoła podstawowa)</w:t>
            </w:r>
          </w:p>
          <w:p w14:paraId="48C87BD0" w14:textId="77777777" w:rsidR="00E4736C" w:rsidRPr="0085159D" w:rsidRDefault="00E4736C" w:rsidP="000B051F">
            <w:pPr>
              <w:pStyle w:val="TableCell"/>
              <w:widowControl/>
              <w:jc w:val="center"/>
              <w:rPr>
                <w:lang w:val="pl-PL"/>
              </w:rPr>
            </w:pPr>
            <w:r w:rsidRPr="0085159D">
              <w:rPr>
                <w:lang w:val="pl-PL"/>
              </w:rPr>
              <w:t>90% uczniów przedostatniej klasy szkoły ponadpodstawowej</w:t>
            </w:r>
          </w:p>
        </w:tc>
        <w:tc>
          <w:tcPr>
            <w:tcW w:w="1370" w:type="pct"/>
          </w:tcPr>
          <w:p w14:paraId="4E42A75D" w14:textId="77777777" w:rsidR="00E4736C" w:rsidRPr="0085159D" w:rsidRDefault="00E4736C" w:rsidP="000B051F">
            <w:pPr>
              <w:pStyle w:val="TableCell"/>
              <w:widowControl/>
              <w:jc w:val="center"/>
              <w:rPr>
                <w:lang w:val="pl-PL"/>
              </w:rPr>
            </w:pPr>
            <w:r w:rsidRPr="0085159D">
              <w:rPr>
                <w:lang w:val="pl-PL"/>
              </w:rPr>
              <w:t>Badanie wiedzy i świadomości ekonomicznej dzieci i młodzieży w Polsce 2022, NBP</w:t>
            </w:r>
          </w:p>
          <w:p w14:paraId="6E1B7B97" w14:textId="77777777" w:rsidR="00E4736C" w:rsidRPr="0085159D" w:rsidRDefault="00E4736C" w:rsidP="000B051F">
            <w:pPr>
              <w:pStyle w:val="TableCell"/>
              <w:widowControl/>
              <w:jc w:val="center"/>
              <w:rPr>
                <w:lang w:val="pl-PL"/>
              </w:rPr>
            </w:pPr>
          </w:p>
        </w:tc>
      </w:tr>
      <w:tr w:rsidR="00E4736C" w:rsidRPr="004571F3" w14:paraId="0F8E119B" w14:textId="77777777" w:rsidTr="00E4736C">
        <w:trPr>
          <w:cantSplit/>
          <w:trHeight w:val="239"/>
          <w:jc w:val="center"/>
        </w:trPr>
        <w:tc>
          <w:tcPr>
            <w:tcW w:w="958" w:type="pct"/>
            <w:vMerge/>
          </w:tcPr>
          <w:p w14:paraId="4171B668" w14:textId="77777777" w:rsidR="00E4736C" w:rsidRPr="0085159D" w:rsidRDefault="00E4736C" w:rsidP="000B051F">
            <w:pPr>
              <w:pStyle w:val="TableRow"/>
              <w:rPr>
                <w:lang w:val="pl-PL"/>
              </w:rPr>
            </w:pPr>
          </w:p>
        </w:tc>
        <w:tc>
          <w:tcPr>
            <w:tcW w:w="1644" w:type="pct"/>
            <w:vAlign w:val="bottom"/>
          </w:tcPr>
          <w:p w14:paraId="426F8574" w14:textId="77777777" w:rsidR="00E4736C" w:rsidRPr="0085159D" w:rsidRDefault="00E4736C" w:rsidP="000B051F">
            <w:pPr>
              <w:pStyle w:val="TableCell"/>
              <w:widowControl/>
              <w:jc w:val="center"/>
              <w:rPr>
                <w:lang w:val="pl-PL"/>
              </w:rPr>
            </w:pPr>
            <w:r w:rsidRPr="0085159D">
              <w:rPr>
                <w:lang w:val="pl-PL"/>
              </w:rPr>
              <w:t>% osób w wieku 15 lat lub więcej, które mają lub miały</w:t>
            </w:r>
            <w:r w:rsidRPr="0085159D" w:rsidDel="00361A67">
              <w:rPr>
                <w:lang w:val="pl-PL"/>
              </w:rPr>
              <w:t xml:space="preserve"> </w:t>
            </w:r>
            <w:r w:rsidRPr="0085159D">
              <w:rPr>
                <w:lang w:val="pl-PL"/>
              </w:rPr>
              <w:t>zajęcia z zakresu edukacji finansowej w szkole</w:t>
            </w:r>
          </w:p>
        </w:tc>
        <w:tc>
          <w:tcPr>
            <w:tcW w:w="1027" w:type="pct"/>
          </w:tcPr>
          <w:p w14:paraId="4B5F8C88" w14:textId="77777777" w:rsidR="00E4736C" w:rsidRPr="0085159D" w:rsidRDefault="00E4736C" w:rsidP="000B051F">
            <w:pPr>
              <w:pStyle w:val="TableCell"/>
              <w:widowControl/>
              <w:jc w:val="center"/>
              <w:rPr>
                <w:lang w:val="pl-PL"/>
              </w:rPr>
            </w:pPr>
            <w:r w:rsidRPr="0085159D">
              <w:rPr>
                <w:lang w:val="pl-PL"/>
              </w:rPr>
              <w:t>27%</w:t>
            </w:r>
          </w:p>
        </w:tc>
        <w:tc>
          <w:tcPr>
            <w:tcW w:w="1370" w:type="pct"/>
          </w:tcPr>
          <w:p w14:paraId="2B9F0BA2" w14:textId="77777777" w:rsidR="00E4736C" w:rsidRPr="0085159D" w:rsidRDefault="00E4736C" w:rsidP="000B051F">
            <w:pPr>
              <w:pStyle w:val="TableCell"/>
              <w:widowControl/>
              <w:jc w:val="center"/>
              <w:rPr>
                <w:lang w:val="pl-PL"/>
              </w:rPr>
            </w:pPr>
            <w:r w:rsidRPr="0085159D">
              <w:rPr>
                <w:lang w:val="pl-PL"/>
              </w:rPr>
              <w:t>Badanie wiedzy i świadomości ekonomicznej Polaków 2020, NBP</w:t>
            </w:r>
          </w:p>
        </w:tc>
      </w:tr>
      <w:tr w:rsidR="00E4736C" w:rsidRPr="004571F3" w14:paraId="736A2574" w14:textId="77777777" w:rsidTr="00E4736C">
        <w:trPr>
          <w:cantSplit/>
          <w:trHeight w:val="239"/>
          <w:jc w:val="center"/>
        </w:trPr>
        <w:tc>
          <w:tcPr>
            <w:tcW w:w="958" w:type="pct"/>
            <w:vMerge/>
          </w:tcPr>
          <w:p w14:paraId="58463349" w14:textId="77777777" w:rsidR="00E4736C" w:rsidRPr="0085159D" w:rsidRDefault="00E4736C" w:rsidP="000B051F">
            <w:pPr>
              <w:pStyle w:val="TableRow"/>
              <w:rPr>
                <w:lang w:val="pl-PL"/>
              </w:rPr>
            </w:pPr>
          </w:p>
        </w:tc>
        <w:tc>
          <w:tcPr>
            <w:tcW w:w="1644" w:type="pct"/>
            <w:vAlign w:val="bottom"/>
          </w:tcPr>
          <w:p w14:paraId="182A5868" w14:textId="77777777" w:rsidR="00E4736C" w:rsidRPr="0085159D" w:rsidRDefault="00E4736C" w:rsidP="000B051F">
            <w:pPr>
              <w:pStyle w:val="TableCell"/>
              <w:widowControl/>
              <w:jc w:val="center"/>
              <w:rPr>
                <w:lang w:val="pl-PL"/>
              </w:rPr>
            </w:pPr>
            <w:r w:rsidRPr="0085159D">
              <w:rPr>
                <w:lang w:val="pl-PL"/>
              </w:rPr>
              <w:t>% osób, które uważają, że dzieci należy uczyć oszczędzania od najmłodszych lat</w:t>
            </w:r>
          </w:p>
        </w:tc>
        <w:tc>
          <w:tcPr>
            <w:tcW w:w="1027" w:type="pct"/>
          </w:tcPr>
          <w:p w14:paraId="2B8E3BF0" w14:textId="77777777" w:rsidR="00E4736C" w:rsidRPr="0085159D" w:rsidRDefault="00E4736C" w:rsidP="000B051F">
            <w:pPr>
              <w:pStyle w:val="TableCell"/>
              <w:widowControl/>
              <w:jc w:val="center"/>
              <w:rPr>
                <w:lang w:val="pl-PL"/>
              </w:rPr>
            </w:pPr>
            <w:r w:rsidRPr="0085159D">
              <w:rPr>
                <w:lang w:val="pl-PL"/>
              </w:rPr>
              <w:t>84%</w:t>
            </w:r>
          </w:p>
        </w:tc>
        <w:tc>
          <w:tcPr>
            <w:tcW w:w="1370" w:type="pct"/>
          </w:tcPr>
          <w:p w14:paraId="0A9E3BD6" w14:textId="77777777" w:rsidR="00E4736C" w:rsidRPr="0085159D" w:rsidRDefault="00E4736C" w:rsidP="000B051F">
            <w:pPr>
              <w:pStyle w:val="TableCell"/>
              <w:widowControl/>
              <w:jc w:val="center"/>
              <w:rPr>
                <w:lang w:val="pl-PL"/>
              </w:rPr>
            </w:pPr>
            <w:r w:rsidRPr="0085159D">
              <w:rPr>
                <w:lang w:val="pl-PL"/>
              </w:rPr>
              <w:t>Badanie wiedzy i świadomości ekonomicznej Polaków 2020, NBP</w:t>
            </w:r>
          </w:p>
        </w:tc>
      </w:tr>
      <w:tr w:rsidR="00E4736C" w:rsidRPr="004571F3" w14:paraId="37B2407C" w14:textId="77777777" w:rsidTr="00E4736C">
        <w:trPr>
          <w:cantSplit/>
          <w:trHeight w:val="239"/>
          <w:jc w:val="center"/>
        </w:trPr>
        <w:tc>
          <w:tcPr>
            <w:tcW w:w="958" w:type="pct"/>
            <w:vMerge/>
          </w:tcPr>
          <w:p w14:paraId="4A2BD37E" w14:textId="77777777" w:rsidR="00E4736C" w:rsidRPr="0085159D" w:rsidRDefault="00E4736C" w:rsidP="000B051F">
            <w:pPr>
              <w:pStyle w:val="TableRow"/>
              <w:rPr>
                <w:lang w:val="pl-PL"/>
              </w:rPr>
            </w:pPr>
          </w:p>
        </w:tc>
        <w:tc>
          <w:tcPr>
            <w:tcW w:w="1644" w:type="pct"/>
          </w:tcPr>
          <w:p w14:paraId="0E5D6876" w14:textId="77777777" w:rsidR="00E4736C" w:rsidRPr="0085159D" w:rsidRDefault="00E4736C" w:rsidP="000B051F">
            <w:pPr>
              <w:pStyle w:val="TableCell"/>
              <w:widowControl/>
              <w:jc w:val="center"/>
              <w:rPr>
                <w:lang w:val="pl-PL"/>
              </w:rPr>
            </w:pPr>
            <w:bookmarkStart w:id="57" w:name="_Hlk151623640"/>
            <w:r w:rsidRPr="0085159D">
              <w:rPr>
                <w:lang w:val="pl-PL"/>
              </w:rPr>
              <w:t>% uczniów szkół ponadpodstawowych, którzy wybrali przedmiot biznes i zarządzanie na poziomie rozszerzonym</w:t>
            </w:r>
            <w:bookmarkEnd w:id="57"/>
          </w:p>
        </w:tc>
        <w:tc>
          <w:tcPr>
            <w:tcW w:w="1027" w:type="pct"/>
          </w:tcPr>
          <w:p w14:paraId="307D289F" w14:textId="38A48A50" w:rsidR="00E4736C" w:rsidRPr="0085159D" w:rsidRDefault="00E4736C" w:rsidP="000B051F">
            <w:pPr>
              <w:pStyle w:val="TableCell"/>
              <w:widowControl/>
              <w:jc w:val="center"/>
              <w:rPr>
                <w:lang w:val="pl-PL"/>
              </w:rPr>
            </w:pPr>
            <w:r w:rsidRPr="0085159D">
              <w:rPr>
                <w:lang w:val="pl-PL"/>
              </w:rPr>
              <w:t>Dane zbierane od 2023 r.</w:t>
            </w:r>
          </w:p>
        </w:tc>
        <w:tc>
          <w:tcPr>
            <w:tcW w:w="1370" w:type="pct"/>
          </w:tcPr>
          <w:p w14:paraId="4C8C269D" w14:textId="77777777" w:rsidR="00E4736C" w:rsidRPr="0085159D" w:rsidRDefault="00E4736C" w:rsidP="000B051F">
            <w:pPr>
              <w:pStyle w:val="TableCell"/>
              <w:widowControl/>
              <w:jc w:val="center"/>
              <w:rPr>
                <w:lang w:val="pl-PL"/>
              </w:rPr>
            </w:pPr>
            <w:r w:rsidRPr="0085159D">
              <w:rPr>
                <w:lang w:val="pl-PL"/>
              </w:rPr>
              <w:t>Dane Ministerstwa Edukacji i Nauki (*przedmiot wprowadzony do programu nauczania począwszy od roku szkolnego 2023/2024)</w:t>
            </w:r>
          </w:p>
        </w:tc>
      </w:tr>
      <w:tr w:rsidR="00E4736C" w:rsidRPr="004571F3" w14:paraId="79DD4564" w14:textId="77777777" w:rsidTr="00E4736C">
        <w:trPr>
          <w:cantSplit/>
          <w:trHeight w:val="605"/>
          <w:jc w:val="center"/>
        </w:trPr>
        <w:tc>
          <w:tcPr>
            <w:tcW w:w="958" w:type="pct"/>
            <w:vMerge/>
          </w:tcPr>
          <w:p w14:paraId="4C609AA8" w14:textId="77777777" w:rsidR="00E4736C" w:rsidRPr="0085159D" w:rsidRDefault="00E4736C" w:rsidP="000B051F">
            <w:pPr>
              <w:pStyle w:val="TableRow"/>
              <w:rPr>
                <w:lang w:val="pl-PL"/>
              </w:rPr>
            </w:pPr>
          </w:p>
        </w:tc>
        <w:tc>
          <w:tcPr>
            <w:tcW w:w="1644" w:type="pct"/>
          </w:tcPr>
          <w:p w14:paraId="3119EF0E" w14:textId="77777777" w:rsidR="00E4736C" w:rsidRPr="0085159D" w:rsidRDefault="00E4736C" w:rsidP="000B051F">
            <w:pPr>
              <w:pStyle w:val="TableCell"/>
              <w:widowControl/>
              <w:jc w:val="center"/>
              <w:rPr>
                <w:lang w:val="pl-PL"/>
              </w:rPr>
            </w:pPr>
          </w:p>
        </w:tc>
        <w:tc>
          <w:tcPr>
            <w:tcW w:w="1027" w:type="pct"/>
          </w:tcPr>
          <w:p w14:paraId="4AF4C5A0" w14:textId="77777777" w:rsidR="00E4736C" w:rsidRPr="0085159D" w:rsidRDefault="00E4736C" w:rsidP="000B051F">
            <w:pPr>
              <w:pStyle w:val="TableCell"/>
              <w:widowControl/>
              <w:jc w:val="center"/>
              <w:rPr>
                <w:lang w:val="pl-PL"/>
              </w:rPr>
            </w:pPr>
          </w:p>
        </w:tc>
        <w:tc>
          <w:tcPr>
            <w:tcW w:w="1370" w:type="pct"/>
          </w:tcPr>
          <w:p w14:paraId="2B4E674A" w14:textId="77777777" w:rsidR="00E4736C" w:rsidRPr="0085159D" w:rsidRDefault="00E4736C" w:rsidP="000B051F">
            <w:pPr>
              <w:pStyle w:val="TableCell"/>
              <w:widowControl/>
              <w:jc w:val="center"/>
              <w:rPr>
                <w:lang w:val="pl-PL"/>
              </w:rPr>
            </w:pPr>
          </w:p>
        </w:tc>
      </w:tr>
    </w:tbl>
    <w:p w14:paraId="38BC006B" w14:textId="77777777" w:rsidR="006D0AD8" w:rsidRPr="0085159D" w:rsidRDefault="006D0AD8" w:rsidP="000B051F">
      <w:pPr>
        <w:pStyle w:val="Para0"/>
        <w:rPr>
          <w:lang w:val="pl-PL"/>
        </w:rPr>
        <w:sectPr w:rsidR="006D0AD8" w:rsidRPr="0085159D" w:rsidSect="008A10C5">
          <w:headerReference w:type="even" r:id="rId19"/>
          <w:headerReference w:type="default" r:id="rId20"/>
          <w:footerReference w:type="even" r:id="rId21"/>
          <w:footerReference w:type="default" r:id="rId22"/>
          <w:endnotePr>
            <w:numFmt w:val="decimal"/>
            <w:numRestart w:val="eachSect"/>
          </w:endnotePr>
          <w:type w:val="continuous"/>
          <w:pgSz w:w="11906" w:h="16838" w:code="9"/>
          <w:pgMar w:top="1814" w:right="1304" w:bottom="1758" w:left="1304" w:header="1247" w:footer="1020" w:gutter="0"/>
          <w:cols w:space="708"/>
          <w:noEndnote/>
          <w:docGrid w:linePitch="360"/>
        </w:sectPr>
      </w:pPr>
    </w:p>
    <w:p w14:paraId="1F68E2B6" w14:textId="77777777" w:rsidR="006D0AD8" w:rsidRPr="004A096F" w:rsidRDefault="006D0AD8" w:rsidP="000B051F">
      <w:pPr>
        <w:pStyle w:val="Nagwek7"/>
        <w:numPr>
          <w:ilvl w:val="6"/>
          <w:numId w:val="10"/>
        </w:numPr>
        <w:rPr>
          <w:color w:val="auto"/>
          <w:lang w:val="pl-PL"/>
        </w:rPr>
      </w:pPr>
      <w:bookmarkStart w:id="58" w:name="_Toc131520824"/>
      <w:r w:rsidRPr="004A096F">
        <w:rPr>
          <w:bCs/>
          <w:iCs w:val="0"/>
          <w:color w:val="auto"/>
          <w:lang w:val="pl-PL"/>
        </w:rPr>
        <w:lastRenderedPageBreak/>
        <w:t xml:space="preserve">Pierwszy </w:t>
      </w:r>
      <w:r w:rsidR="007B1FE5" w:rsidRPr="004A096F">
        <w:rPr>
          <w:bCs/>
          <w:iCs w:val="0"/>
          <w:color w:val="auto"/>
          <w:lang w:val="pl-PL"/>
        </w:rPr>
        <w:t xml:space="preserve">plan </w:t>
      </w:r>
      <w:r w:rsidRPr="004A096F">
        <w:rPr>
          <w:bCs/>
          <w:iCs w:val="0"/>
          <w:color w:val="auto"/>
          <w:lang w:val="pl-PL"/>
        </w:rPr>
        <w:t>wdr</w:t>
      </w:r>
      <w:r w:rsidR="007B1FE5" w:rsidRPr="004A096F">
        <w:rPr>
          <w:bCs/>
          <w:iCs w:val="0"/>
          <w:color w:val="auto"/>
          <w:lang w:val="pl-PL"/>
        </w:rPr>
        <w:t>a</w:t>
      </w:r>
      <w:r w:rsidRPr="004A096F">
        <w:rPr>
          <w:bCs/>
          <w:iCs w:val="0"/>
          <w:color w:val="auto"/>
          <w:lang w:val="pl-PL"/>
        </w:rPr>
        <w:t>ż</w:t>
      </w:r>
      <w:r w:rsidR="007B1FE5" w:rsidRPr="004A096F">
        <w:rPr>
          <w:bCs/>
          <w:iCs w:val="0"/>
          <w:color w:val="auto"/>
          <w:lang w:val="pl-PL"/>
        </w:rPr>
        <w:t>a</w:t>
      </w:r>
      <w:r w:rsidRPr="004A096F">
        <w:rPr>
          <w:bCs/>
          <w:iCs w:val="0"/>
          <w:color w:val="auto"/>
          <w:lang w:val="pl-PL"/>
        </w:rPr>
        <w:t>nia</w:t>
      </w:r>
      <w:bookmarkEnd w:id="58"/>
      <w:r w:rsidR="00AE2ABB">
        <w:rPr>
          <w:bCs/>
          <w:iCs w:val="0"/>
          <w:color w:val="auto"/>
          <w:lang w:val="pl-PL"/>
        </w:rPr>
        <w:t xml:space="preserve"> KSEF</w:t>
      </w:r>
    </w:p>
    <w:p w14:paraId="15CE31CB" w14:textId="425F65AA" w:rsidR="00E14925" w:rsidRPr="0085159D" w:rsidRDefault="006D0AD8" w:rsidP="000B051F">
      <w:pPr>
        <w:pStyle w:val="Para0"/>
        <w:rPr>
          <w:lang w:val="pl-PL"/>
        </w:rPr>
      </w:pPr>
      <w:r w:rsidRPr="0085159D">
        <w:rPr>
          <w:lang w:val="pl-PL"/>
        </w:rPr>
        <w:t xml:space="preserve">W niniejszym </w:t>
      </w:r>
      <w:r w:rsidR="0014739C" w:rsidRPr="0085159D">
        <w:rPr>
          <w:lang w:val="pl-PL"/>
        </w:rPr>
        <w:t xml:space="preserve">załączniku </w:t>
      </w:r>
      <w:r w:rsidRPr="0085159D">
        <w:rPr>
          <w:lang w:val="pl-PL"/>
        </w:rPr>
        <w:t xml:space="preserve">przestawiono </w:t>
      </w:r>
      <w:r w:rsidR="00AE2ABB">
        <w:rPr>
          <w:lang w:val="pl-PL"/>
        </w:rPr>
        <w:t>kluczowe wskaźniki efektywności</w:t>
      </w:r>
      <w:r w:rsidRPr="0085159D">
        <w:rPr>
          <w:lang w:val="pl-PL"/>
        </w:rPr>
        <w:t xml:space="preserve">, </w:t>
      </w:r>
      <w:r w:rsidR="006B2DAD">
        <w:rPr>
          <w:lang w:val="pl-PL"/>
        </w:rPr>
        <w:t xml:space="preserve">które mogą być wykorzystywane do </w:t>
      </w:r>
      <w:r w:rsidRPr="0085159D">
        <w:rPr>
          <w:lang w:val="pl-PL"/>
        </w:rPr>
        <w:t>monitorowani</w:t>
      </w:r>
      <w:r w:rsidR="006B2DAD">
        <w:rPr>
          <w:lang w:val="pl-PL"/>
        </w:rPr>
        <w:t>a</w:t>
      </w:r>
      <w:r w:rsidRPr="0085159D">
        <w:rPr>
          <w:lang w:val="pl-PL"/>
        </w:rPr>
        <w:t xml:space="preserve"> realizacji pierwszego </w:t>
      </w:r>
      <w:r w:rsidR="0014739C" w:rsidRPr="0085159D">
        <w:rPr>
          <w:lang w:val="pl-PL"/>
        </w:rPr>
        <w:t>planu wdrażania</w:t>
      </w:r>
      <w:r w:rsidRPr="0085159D">
        <w:rPr>
          <w:lang w:val="pl-PL"/>
        </w:rPr>
        <w:t xml:space="preserve">. Każdy wskaźnik powiązany jest z konkretnym działaniem realizowanym w ramach </w:t>
      </w:r>
      <w:r w:rsidR="00C75D1D" w:rsidRPr="0085159D">
        <w:rPr>
          <w:lang w:val="pl-PL"/>
        </w:rPr>
        <w:t>planu</w:t>
      </w:r>
      <w:r w:rsidRPr="0085159D">
        <w:rPr>
          <w:lang w:val="pl-PL"/>
        </w:rPr>
        <w:t>. Są to wskaźniki o charakterze wynikowym i</w:t>
      </w:r>
      <w:r w:rsidR="00755984">
        <w:rPr>
          <w:lang w:val="pl-PL"/>
        </w:rPr>
        <w:t> </w:t>
      </w:r>
      <w:r w:rsidRPr="0085159D">
        <w:rPr>
          <w:lang w:val="pl-PL"/>
        </w:rPr>
        <w:t>krótkoterminowym, których wartości przypisać można bezpośrednio wdrożeniu konkretnych działań.</w:t>
      </w:r>
    </w:p>
    <w:p w14:paraId="4859D928" w14:textId="6C148C82" w:rsidR="00282A62" w:rsidRPr="004A096F" w:rsidRDefault="00282A62" w:rsidP="000B051F">
      <w:pPr>
        <w:pStyle w:val="Legenda"/>
        <w:rPr>
          <w:color w:val="auto"/>
          <w:lang w:val="pl-PL"/>
        </w:rPr>
      </w:pPr>
      <w:bookmarkStart w:id="59" w:name="_Toc131521244"/>
      <w:bookmarkStart w:id="60" w:name="_Hlk130804490"/>
      <w:r w:rsidRPr="004A096F">
        <w:rPr>
          <w:bCs/>
          <w:iCs w:val="0"/>
          <w:color w:val="auto"/>
          <w:lang w:val="pl-PL"/>
        </w:rPr>
        <w:t>Tabela A </w:t>
      </w:r>
      <w:r w:rsidR="00FB72F4" w:rsidRPr="004A096F">
        <w:rPr>
          <w:color w:val="auto"/>
          <w:lang w:val="pl-PL"/>
        </w:rPr>
        <w:fldChar w:fldCharType="begin"/>
      </w:r>
      <w:r w:rsidR="00FB72F4" w:rsidRPr="004A096F">
        <w:rPr>
          <w:color w:val="auto"/>
          <w:lang w:val="pl-PL"/>
        </w:rPr>
        <w:instrText xml:space="preserve"> STYLEREF 7 \s </w:instrText>
      </w:r>
      <w:r w:rsidR="00FB72F4" w:rsidRPr="004A096F">
        <w:rPr>
          <w:color w:val="auto"/>
          <w:lang w:val="pl-PL"/>
        </w:rPr>
        <w:fldChar w:fldCharType="separate"/>
      </w:r>
      <w:r w:rsidR="001C3129">
        <w:rPr>
          <w:noProof/>
          <w:color w:val="auto"/>
          <w:lang w:val="pl-PL"/>
        </w:rPr>
        <w:t>B</w:t>
      </w:r>
      <w:r w:rsidR="00FB72F4" w:rsidRPr="004A096F">
        <w:rPr>
          <w:bCs/>
          <w:iCs w:val="0"/>
          <w:noProof/>
          <w:color w:val="auto"/>
          <w:lang w:val="pl-PL"/>
        </w:rPr>
        <w:fldChar w:fldCharType="end"/>
      </w:r>
      <w:r w:rsidRPr="004A096F">
        <w:rPr>
          <w:bCs/>
          <w:iCs w:val="0"/>
          <w:color w:val="auto"/>
          <w:lang w:val="pl-PL"/>
        </w:rPr>
        <w:t>.</w:t>
      </w:r>
      <w:r w:rsidRPr="004A096F">
        <w:rPr>
          <w:bCs/>
          <w:iCs w:val="0"/>
          <w:noProof/>
          <w:color w:val="auto"/>
          <w:lang w:val="pl-PL"/>
        </w:rPr>
        <w:fldChar w:fldCharType="begin"/>
      </w:r>
      <w:r w:rsidRPr="004A096F">
        <w:rPr>
          <w:bCs/>
          <w:iCs w:val="0"/>
          <w:noProof/>
          <w:color w:val="auto"/>
          <w:lang w:val="pl-PL"/>
        </w:rPr>
        <w:instrText xml:space="preserve"> SEQ Table_A \* ARABIC \s 7 </w:instrText>
      </w:r>
      <w:r w:rsidRPr="004A096F">
        <w:rPr>
          <w:bCs/>
          <w:iCs w:val="0"/>
          <w:noProof/>
          <w:color w:val="auto"/>
          <w:lang w:val="pl-PL"/>
        </w:rPr>
        <w:fldChar w:fldCharType="separate"/>
      </w:r>
      <w:r w:rsidR="001C3129">
        <w:rPr>
          <w:bCs/>
          <w:iCs w:val="0"/>
          <w:noProof/>
          <w:color w:val="auto"/>
          <w:lang w:val="pl-PL"/>
        </w:rPr>
        <w:t>1</w:t>
      </w:r>
      <w:r w:rsidRPr="004A096F">
        <w:rPr>
          <w:bCs/>
          <w:iCs w:val="0"/>
          <w:noProof/>
          <w:color w:val="auto"/>
          <w:lang w:val="pl-PL"/>
        </w:rPr>
        <w:fldChar w:fldCharType="end"/>
      </w:r>
      <w:r w:rsidRPr="004A096F">
        <w:rPr>
          <w:bCs/>
          <w:iCs w:val="0"/>
          <w:color w:val="auto"/>
          <w:lang w:val="pl-PL"/>
        </w:rPr>
        <w:t xml:space="preserve">. Kluczowe wskaźniki efektywności, </w:t>
      </w:r>
      <w:r w:rsidR="006B2DAD">
        <w:rPr>
          <w:bCs/>
          <w:iCs w:val="0"/>
          <w:color w:val="auto"/>
          <w:lang w:val="pl-PL"/>
        </w:rPr>
        <w:t xml:space="preserve">które mogą być wykorzystywane do </w:t>
      </w:r>
      <w:r w:rsidRPr="004A096F">
        <w:rPr>
          <w:bCs/>
          <w:iCs w:val="0"/>
          <w:color w:val="auto"/>
          <w:lang w:val="pl-PL"/>
        </w:rPr>
        <w:t>monitorowani</w:t>
      </w:r>
      <w:r w:rsidR="006B2DAD">
        <w:rPr>
          <w:bCs/>
          <w:iCs w:val="0"/>
          <w:color w:val="auto"/>
          <w:lang w:val="pl-PL"/>
        </w:rPr>
        <w:t>a</w:t>
      </w:r>
      <w:r w:rsidRPr="004A096F">
        <w:rPr>
          <w:bCs/>
          <w:iCs w:val="0"/>
          <w:color w:val="auto"/>
          <w:lang w:val="pl-PL"/>
        </w:rPr>
        <w:t xml:space="preserve"> realizacji pierwszego </w:t>
      </w:r>
      <w:r w:rsidR="00C75D1D" w:rsidRPr="004A096F">
        <w:rPr>
          <w:bCs/>
          <w:iCs w:val="0"/>
          <w:color w:val="auto"/>
          <w:lang w:val="pl-PL"/>
        </w:rPr>
        <w:t xml:space="preserve">planu </w:t>
      </w:r>
      <w:r w:rsidRPr="004A096F">
        <w:rPr>
          <w:bCs/>
          <w:iCs w:val="0"/>
          <w:color w:val="auto"/>
          <w:lang w:val="pl-PL"/>
        </w:rPr>
        <w:t>wdr</w:t>
      </w:r>
      <w:r w:rsidR="00C75D1D" w:rsidRPr="004A096F">
        <w:rPr>
          <w:bCs/>
          <w:iCs w:val="0"/>
          <w:color w:val="auto"/>
          <w:lang w:val="pl-PL"/>
        </w:rPr>
        <w:t>a</w:t>
      </w:r>
      <w:r w:rsidRPr="004A096F">
        <w:rPr>
          <w:bCs/>
          <w:iCs w:val="0"/>
          <w:color w:val="auto"/>
          <w:lang w:val="pl-PL"/>
        </w:rPr>
        <w:t>ż</w:t>
      </w:r>
      <w:r w:rsidR="00C75D1D" w:rsidRPr="004A096F">
        <w:rPr>
          <w:bCs/>
          <w:iCs w:val="0"/>
          <w:color w:val="auto"/>
          <w:lang w:val="pl-PL"/>
        </w:rPr>
        <w:t>a</w:t>
      </w:r>
      <w:r w:rsidRPr="004A096F">
        <w:rPr>
          <w:bCs/>
          <w:iCs w:val="0"/>
          <w:color w:val="auto"/>
          <w:lang w:val="pl-PL"/>
        </w:rPr>
        <w:t>nia</w:t>
      </w:r>
      <w:bookmarkEnd w:id="59"/>
      <w:r w:rsidR="007F62F6">
        <w:rPr>
          <w:bCs/>
          <w:iCs w:val="0"/>
          <w:color w:val="auto"/>
          <w:lang w:val="pl-PL"/>
        </w:rPr>
        <w:t xml:space="preserve"> KSEF</w:t>
      </w:r>
    </w:p>
    <w:tbl>
      <w:tblPr>
        <w:tblStyle w:val="OECD"/>
        <w:tblW w:w="13867" w:type="dxa"/>
        <w:tblLayout w:type="fixed"/>
        <w:tblLook w:val="04A0" w:firstRow="1" w:lastRow="0" w:firstColumn="1" w:lastColumn="0" w:noHBand="0" w:noVBand="1"/>
      </w:tblPr>
      <w:tblGrid>
        <w:gridCol w:w="2717"/>
        <w:gridCol w:w="6290"/>
        <w:gridCol w:w="4860"/>
      </w:tblGrid>
      <w:tr w:rsidR="006D0AD8" w:rsidRPr="0085159D" w14:paraId="4C80F056" w14:textId="77777777" w:rsidTr="00262D62">
        <w:trPr>
          <w:cnfStyle w:val="100000000000" w:firstRow="1" w:lastRow="0" w:firstColumn="0" w:lastColumn="0" w:oddVBand="0" w:evenVBand="0" w:oddHBand="0" w:evenHBand="0" w:firstRowFirstColumn="0" w:firstRowLastColumn="0" w:lastRowFirstColumn="0" w:lastRowLastColumn="0"/>
          <w:tblHeader/>
        </w:trPr>
        <w:tc>
          <w:tcPr>
            <w:tcW w:w="2717" w:type="dxa"/>
            <w:hideMark/>
          </w:tcPr>
          <w:bookmarkEnd w:id="60"/>
          <w:p w14:paraId="39EC9F49" w14:textId="77777777" w:rsidR="006D0AD8" w:rsidRPr="0085159D" w:rsidRDefault="006D0AD8" w:rsidP="000B051F">
            <w:pPr>
              <w:pStyle w:val="TableColumn"/>
              <w:rPr>
                <w:b/>
                <w:bCs/>
                <w:lang w:val="pl-PL"/>
              </w:rPr>
            </w:pPr>
            <w:r w:rsidRPr="0085159D">
              <w:rPr>
                <w:b/>
                <w:bCs/>
                <w:lang w:val="pl-PL"/>
              </w:rPr>
              <w:t>Kluczowe priorytety</w:t>
            </w:r>
          </w:p>
        </w:tc>
        <w:tc>
          <w:tcPr>
            <w:tcW w:w="6290" w:type="dxa"/>
            <w:hideMark/>
          </w:tcPr>
          <w:p w14:paraId="45A77F7F" w14:textId="77777777" w:rsidR="006D0AD8" w:rsidRPr="0085159D" w:rsidRDefault="006D0AD8" w:rsidP="000B051F">
            <w:pPr>
              <w:pStyle w:val="TableColumn"/>
              <w:rPr>
                <w:b/>
                <w:bCs/>
                <w:lang w:val="pl-PL"/>
              </w:rPr>
            </w:pPr>
            <w:r w:rsidRPr="0085159D">
              <w:rPr>
                <w:b/>
                <w:bCs/>
                <w:lang w:val="pl-PL"/>
              </w:rPr>
              <w:t>Działania</w:t>
            </w:r>
          </w:p>
        </w:tc>
        <w:tc>
          <w:tcPr>
            <w:tcW w:w="4860" w:type="dxa"/>
            <w:hideMark/>
          </w:tcPr>
          <w:p w14:paraId="45D30C05" w14:textId="77777777" w:rsidR="006D0AD8" w:rsidRPr="0085159D" w:rsidRDefault="006D0AD8" w:rsidP="005704CE">
            <w:pPr>
              <w:pStyle w:val="TableColumn"/>
              <w:rPr>
                <w:b/>
                <w:bCs/>
                <w:lang w:val="pl-PL"/>
              </w:rPr>
            </w:pPr>
            <w:r w:rsidRPr="0085159D">
              <w:rPr>
                <w:b/>
                <w:bCs/>
                <w:lang w:val="pl-PL"/>
              </w:rPr>
              <w:t xml:space="preserve">Kluczowe wskaźniki efektywności </w:t>
            </w:r>
          </w:p>
        </w:tc>
      </w:tr>
      <w:tr w:rsidR="006D0AD8" w:rsidRPr="004571F3" w14:paraId="56FD1697" w14:textId="77777777" w:rsidTr="00262D62">
        <w:tc>
          <w:tcPr>
            <w:tcW w:w="2717" w:type="dxa"/>
            <w:vMerge w:val="restart"/>
            <w:hideMark/>
          </w:tcPr>
          <w:p w14:paraId="0990E8E4" w14:textId="77777777" w:rsidR="006D0AD8" w:rsidRPr="0085159D" w:rsidRDefault="00E14925" w:rsidP="000B051F">
            <w:pPr>
              <w:pStyle w:val="TableCell"/>
              <w:widowControl/>
              <w:jc w:val="left"/>
              <w:rPr>
                <w:lang w:val="pl-PL"/>
              </w:rPr>
            </w:pPr>
            <w:r w:rsidRPr="0085159D">
              <w:rPr>
                <w:lang w:val="pl-PL"/>
              </w:rPr>
              <w:t>1. </w:t>
            </w:r>
            <w:r w:rsidR="00262D62" w:rsidRPr="0085159D">
              <w:rPr>
                <w:lang w:val="pl-PL"/>
              </w:rPr>
              <w:t>Zwiększenie i utrzymanie odporności finansowej i dobrostanu finansowego mieszkańców Polski poprzez odpowiedzialne planowanie finansów osobistych, unikanie nadmiernego zadłużenia i doskonalenie umiejętności zarządzania ryzykiem</w:t>
            </w:r>
          </w:p>
        </w:tc>
        <w:tc>
          <w:tcPr>
            <w:tcW w:w="6290" w:type="dxa"/>
            <w:noWrap/>
            <w:hideMark/>
          </w:tcPr>
          <w:p w14:paraId="1743178C" w14:textId="77777777" w:rsidR="006D0AD8" w:rsidRPr="0085159D" w:rsidRDefault="00262D62">
            <w:pPr>
              <w:pStyle w:val="TableCell"/>
              <w:widowControl/>
              <w:jc w:val="left"/>
              <w:rPr>
                <w:lang w:val="pl-PL"/>
              </w:rPr>
            </w:pPr>
            <w:r w:rsidRPr="0085159D">
              <w:rPr>
                <w:lang w:val="pl-PL"/>
              </w:rPr>
              <w:t xml:space="preserve">Opracowanie i wdrożenie nowych oraz istniejących programów edukacji finansowej dla priorytetowych grup docelowych, które mogą być narażane na trudności finansowe (osoby o niskich dochodach, uchodźcy, konsumenci zagrożeni nadmiernym zadłużeniem lub już nadmiernie zadłużeni), z uwzględnieniem ich potrzeb oraz preferencji w zakresie uczenia się, określonych na podstawie wyników badań ilościowych i jakościowych (w tym sondaży badających ich obecny poziom kompetencji finansowych, zainteresowania oraz preferowane kanały uczenia się, istniejące bariery w dostępie do nauki itp.). Owe programy edukacji finansowej mogą koncentrować się, między innymi, na umiejętnościach podstawowych, takich jak planowanie budżetu domowego, zarządzanie finansami osobistymi, oszczędzanie w ramach tworzenia poduszki finansowej, konieczność posiadania odpowiedniego ubezpieczenia, </w:t>
            </w:r>
            <w:r w:rsidR="001E5B9C">
              <w:rPr>
                <w:lang w:val="pl-PL"/>
              </w:rPr>
              <w:t>racjonalne</w:t>
            </w:r>
            <w:r w:rsidR="001E5B9C" w:rsidRPr="0085159D">
              <w:rPr>
                <w:lang w:val="pl-PL"/>
              </w:rPr>
              <w:t xml:space="preserve"> </w:t>
            </w:r>
            <w:r w:rsidRPr="0085159D">
              <w:rPr>
                <w:lang w:val="pl-PL"/>
              </w:rPr>
              <w:t>zaciąganie zobowiązań i zarządzanie nimi, oraz na działaniach podnoszących świadomość na temat podatków i budżetu (na poziomie krajowym i lokalnym</w:t>
            </w:r>
            <w:r w:rsidR="006D0AD8" w:rsidRPr="0085159D">
              <w:rPr>
                <w:lang w:val="pl-PL"/>
              </w:rPr>
              <w:t>).</w:t>
            </w:r>
          </w:p>
        </w:tc>
        <w:tc>
          <w:tcPr>
            <w:tcW w:w="4860" w:type="dxa"/>
            <w:hideMark/>
          </w:tcPr>
          <w:p w14:paraId="03EB097D" w14:textId="77777777" w:rsidR="006D0AD8" w:rsidRPr="0085159D" w:rsidRDefault="006D0AD8" w:rsidP="000B051F">
            <w:pPr>
              <w:pStyle w:val="TableCell"/>
              <w:widowControl/>
              <w:numPr>
                <w:ilvl w:val="0"/>
                <w:numId w:val="12"/>
              </w:numPr>
              <w:jc w:val="left"/>
              <w:rPr>
                <w:lang w:val="pl-PL"/>
              </w:rPr>
            </w:pPr>
            <w:r w:rsidRPr="0085159D">
              <w:rPr>
                <w:lang w:val="pl-PL"/>
              </w:rPr>
              <w:t>Liczba programów edukacji finansowej koncentrujących się na konkretnych grupach docelowych</w:t>
            </w:r>
          </w:p>
          <w:p w14:paraId="6AD7B9A7" w14:textId="77777777" w:rsidR="006D0AD8" w:rsidRPr="0085159D" w:rsidRDefault="006D0AD8" w:rsidP="000B051F">
            <w:pPr>
              <w:pStyle w:val="TableCell"/>
              <w:widowControl/>
              <w:numPr>
                <w:ilvl w:val="0"/>
                <w:numId w:val="12"/>
              </w:numPr>
              <w:jc w:val="left"/>
              <w:rPr>
                <w:lang w:val="pl-PL"/>
              </w:rPr>
            </w:pPr>
            <w:r w:rsidRPr="0085159D">
              <w:rPr>
                <w:lang w:val="pl-PL"/>
              </w:rPr>
              <w:t>Liczba uczestników każdej grupy docelowej w programach</w:t>
            </w:r>
            <w:r w:rsidR="005704CE">
              <w:rPr>
                <w:lang w:val="pl-PL"/>
              </w:rPr>
              <w:t xml:space="preserve"> edukacji finansowej</w:t>
            </w:r>
          </w:p>
          <w:p w14:paraId="70FA332D" w14:textId="77777777" w:rsidR="006D0AD8" w:rsidRPr="0085159D" w:rsidRDefault="006D0AD8" w:rsidP="000B051F">
            <w:pPr>
              <w:pStyle w:val="TableCell"/>
              <w:widowControl/>
              <w:numPr>
                <w:ilvl w:val="0"/>
                <w:numId w:val="12"/>
              </w:numPr>
              <w:jc w:val="left"/>
              <w:rPr>
                <w:lang w:val="pl-PL"/>
              </w:rPr>
            </w:pPr>
            <w:r w:rsidRPr="0085159D">
              <w:rPr>
                <w:lang w:val="pl-PL"/>
              </w:rPr>
              <w:t>Liczba osób, które uczestniczą/ukończyły programy</w:t>
            </w:r>
            <w:r w:rsidR="005704CE">
              <w:rPr>
                <w:lang w:val="pl-PL"/>
              </w:rPr>
              <w:t xml:space="preserve"> edukacji finansowej</w:t>
            </w:r>
          </w:p>
          <w:p w14:paraId="498A3AC3"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nowych kampanii podnoszących świadomość opracowanych w odniesieniu do konkretnych zagadnień interesujących konsumentów </w:t>
            </w:r>
          </w:p>
        </w:tc>
      </w:tr>
      <w:tr w:rsidR="006D0AD8" w:rsidRPr="004571F3" w14:paraId="5D631961" w14:textId="77777777" w:rsidTr="00262D62">
        <w:tc>
          <w:tcPr>
            <w:tcW w:w="2717" w:type="dxa"/>
            <w:vMerge/>
            <w:hideMark/>
          </w:tcPr>
          <w:p w14:paraId="46589132" w14:textId="77777777" w:rsidR="006D0AD8" w:rsidRPr="0085159D" w:rsidRDefault="006D0AD8" w:rsidP="000B051F">
            <w:pPr>
              <w:pStyle w:val="TableCell"/>
              <w:widowControl/>
              <w:jc w:val="left"/>
              <w:rPr>
                <w:lang w:val="pl-PL"/>
              </w:rPr>
            </w:pPr>
          </w:p>
        </w:tc>
        <w:tc>
          <w:tcPr>
            <w:tcW w:w="6290" w:type="dxa"/>
            <w:noWrap/>
            <w:hideMark/>
          </w:tcPr>
          <w:p w14:paraId="4EC70C0C" w14:textId="77777777" w:rsidR="006D0AD8" w:rsidRPr="0085159D" w:rsidRDefault="00262D62" w:rsidP="000B051F">
            <w:pPr>
              <w:pStyle w:val="TableCell"/>
              <w:widowControl/>
              <w:jc w:val="left"/>
              <w:rPr>
                <w:lang w:val="pl-PL"/>
              </w:rPr>
            </w:pPr>
            <w:r w:rsidRPr="0085159D">
              <w:rPr>
                <w:lang w:val="pl-PL"/>
              </w:rPr>
              <w:t>Nawiązanie współpracy z instytucjami pomocy społecznej lub organizacjami udzielającymi porad w zakresie zadłużenia, w celu zbadania możliwości dostarczania treści edukacji finansowej dokładnie w czasie, gdy są one potrzebne, osobom borykającym się z problemami zadłużenia (konsumenci zagrożeni nadmiernym zadłużeniem lub już nadmiernie zadłużeni</w:t>
            </w:r>
            <w:r w:rsidR="006D0AD8" w:rsidRPr="0085159D">
              <w:rPr>
                <w:lang w:val="pl-PL"/>
              </w:rPr>
              <w:t>).</w:t>
            </w:r>
          </w:p>
        </w:tc>
        <w:tc>
          <w:tcPr>
            <w:tcW w:w="4860" w:type="dxa"/>
            <w:hideMark/>
          </w:tcPr>
          <w:p w14:paraId="4525FCE1" w14:textId="77777777" w:rsidR="006D0AD8" w:rsidRPr="0085159D" w:rsidRDefault="006D0AD8" w:rsidP="000B051F">
            <w:pPr>
              <w:pStyle w:val="TableCell"/>
              <w:widowControl/>
              <w:numPr>
                <w:ilvl w:val="0"/>
                <w:numId w:val="12"/>
              </w:numPr>
              <w:jc w:val="left"/>
              <w:rPr>
                <w:lang w:val="pl-PL"/>
              </w:rPr>
            </w:pPr>
            <w:r w:rsidRPr="0085159D">
              <w:rPr>
                <w:lang w:val="pl-PL"/>
              </w:rPr>
              <w:t>Liczba instytucji pomocy społecznej, z którymi nawiązano współpracę</w:t>
            </w:r>
          </w:p>
        </w:tc>
      </w:tr>
      <w:tr w:rsidR="006D0AD8" w:rsidRPr="0085159D" w14:paraId="74106442" w14:textId="77777777" w:rsidTr="00262D62">
        <w:tc>
          <w:tcPr>
            <w:tcW w:w="2717" w:type="dxa"/>
            <w:vMerge/>
            <w:hideMark/>
          </w:tcPr>
          <w:p w14:paraId="3DD18FAE" w14:textId="77777777" w:rsidR="006D0AD8" w:rsidRPr="0085159D" w:rsidRDefault="006D0AD8" w:rsidP="000B051F">
            <w:pPr>
              <w:pStyle w:val="TableCell"/>
              <w:widowControl/>
              <w:jc w:val="left"/>
              <w:rPr>
                <w:lang w:val="pl-PL"/>
              </w:rPr>
            </w:pPr>
          </w:p>
        </w:tc>
        <w:tc>
          <w:tcPr>
            <w:tcW w:w="6290" w:type="dxa"/>
            <w:noWrap/>
            <w:hideMark/>
          </w:tcPr>
          <w:p w14:paraId="2B81E034" w14:textId="77777777" w:rsidR="006D0AD8" w:rsidRPr="0085159D" w:rsidRDefault="00262D62" w:rsidP="000B051F">
            <w:pPr>
              <w:pStyle w:val="TableCell"/>
              <w:widowControl/>
              <w:jc w:val="left"/>
              <w:rPr>
                <w:lang w:val="pl-PL"/>
              </w:rPr>
            </w:pPr>
            <w:r w:rsidRPr="0085159D">
              <w:rPr>
                <w:lang w:val="pl-PL"/>
              </w:rPr>
              <w:t xml:space="preserve">Opracowanie i przeprowadzenie szeroko zakrojonych kampanii informacyjnych na temat różnego rodzaju ryzyka związanego z zaciąganiem kredytów i pożyczek oraz nadmiernym zadłużeniem, jak również na temat znaczenia tworzenia „buforów” finansowych lub pozyskania ubezpieczenia w </w:t>
            </w:r>
            <w:r w:rsidRPr="0085159D">
              <w:rPr>
                <w:lang w:val="pl-PL"/>
              </w:rPr>
              <w:lastRenderedPageBreak/>
              <w:t>celu ochrony odporności finansowej gospodarstw domowych w sytuacji nieoczekiwanych zdarzeń finansowych</w:t>
            </w:r>
            <w:r w:rsidR="00101CE4" w:rsidRPr="0085159D">
              <w:rPr>
                <w:lang w:val="pl-PL"/>
              </w:rPr>
              <w:t xml:space="preserve"> (osoby o niskich dochodach, konsumenci zagrożeni nadmiernym zadłużeniem lub już nadmiernie zadłużeni)</w:t>
            </w:r>
            <w:r w:rsidRPr="0085159D">
              <w:rPr>
                <w:lang w:val="pl-PL"/>
              </w:rPr>
              <w:t>.</w:t>
            </w:r>
          </w:p>
        </w:tc>
        <w:tc>
          <w:tcPr>
            <w:tcW w:w="4860" w:type="dxa"/>
            <w:hideMark/>
          </w:tcPr>
          <w:p w14:paraId="3082E423" w14:textId="77777777" w:rsidR="00E14925" w:rsidRPr="0085159D" w:rsidRDefault="006D0AD8" w:rsidP="000B051F">
            <w:pPr>
              <w:pStyle w:val="TableCell"/>
              <w:widowControl/>
              <w:numPr>
                <w:ilvl w:val="0"/>
                <w:numId w:val="12"/>
              </w:numPr>
              <w:jc w:val="left"/>
              <w:rPr>
                <w:lang w:val="pl-PL"/>
              </w:rPr>
            </w:pPr>
            <w:r w:rsidRPr="0085159D">
              <w:rPr>
                <w:lang w:val="pl-PL"/>
              </w:rPr>
              <w:lastRenderedPageBreak/>
              <w:t>Liczba nowych kampanii podnoszących świadomość opracowanych w odniesieniu do konkretnych nowo pojawiających się zagadnień interesujących konsumentów</w:t>
            </w:r>
          </w:p>
          <w:p w14:paraId="2876E3DD" w14:textId="77777777" w:rsidR="006D0AD8" w:rsidRPr="0085159D" w:rsidRDefault="006D0AD8" w:rsidP="000B051F">
            <w:pPr>
              <w:pStyle w:val="TableCell"/>
              <w:widowControl/>
              <w:numPr>
                <w:ilvl w:val="0"/>
                <w:numId w:val="12"/>
              </w:numPr>
              <w:jc w:val="left"/>
              <w:rPr>
                <w:lang w:val="pl-PL"/>
              </w:rPr>
            </w:pPr>
            <w:r w:rsidRPr="0085159D">
              <w:rPr>
                <w:lang w:val="pl-PL"/>
              </w:rPr>
              <w:lastRenderedPageBreak/>
              <w:t>Zasięg kampanii podnoszących świadomość</w:t>
            </w:r>
          </w:p>
        </w:tc>
      </w:tr>
      <w:tr w:rsidR="006D0AD8" w:rsidRPr="004571F3" w14:paraId="1FA15536" w14:textId="77777777" w:rsidTr="00262D62">
        <w:tc>
          <w:tcPr>
            <w:tcW w:w="2717" w:type="dxa"/>
            <w:vMerge/>
            <w:hideMark/>
          </w:tcPr>
          <w:p w14:paraId="33E3230D" w14:textId="77777777" w:rsidR="006D0AD8" w:rsidRPr="0085159D" w:rsidRDefault="006D0AD8" w:rsidP="000B051F">
            <w:pPr>
              <w:pStyle w:val="TableCell"/>
              <w:widowControl/>
              <w:jc w:val="left"/>
              <w:rPr>
                <w:lang w:val="pl-PL"/>
              </w:rPr>
            </w:pPr>
          </w:p>
        </w:tc>
        <w:tc>
          <w:tcPr>
            <w:tcW w:w="6290" w:type="dxa"/>
            <w:hideMark/>
          </w:tcPr>
          <w:p w14:paraId="2BC472EE" w14:textId="77777777" w:rsidR="006D0AD8" w:rsidRPr="0085159D" w:rsidRDefault="00262D62" w:rsidP="000B051F">
            <w:pPr>
              <w:pStyle w:val="TableCell"/>
              <w:widowControl/>
              <w:jc w:val="left"/>
              <w:rPr>
                <w:lang w:val="pl-PL"/>
              </w:rPr>
            </w:pPr>
            <w:r w:rsidRPr="0085159D">
              <w:rPr>
                <w:lang w:val="pl-PL"/>
              </w:rPr>
              <w:t>Opracowanie i wdrożenie programów mających na celu podniesienie poziomu cyfrowych kompetencji finansowych mieszkańców Polski</w:t>
            </w:r>
            <w:r w:rsidR="006D0AD8" w:rsidRPr="0085159D">
              <w:rPr>
                <w:lang w:val="pl-PL"/>
              </w:rPr>
              <w:t>.</w:t>
            </w:r>
          </w:p>
        </w:tc>
        <w:tc>
          <w:tcPr>
            <w:tcW w:w="4860" w:type="dxa"/>
            <w:hideMark/>
          </w:tcPr>
          <w:p w14:paraId="2A79D9B2"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programów edukacji finansowej mających na celu podniesienie </w:t>
            </w:r>
            <w:r w:rsidR="0014739C" w:rsidRPr="0085159D">
              <w:rPr>
                <w:lang w:val="pl-PL"/>
              </w:rPr>
              <w:t xml:space="preserve">poziomu cyfrowych kompetencji cyfrowych </w:t>
            </w:r>
            <w:r w:rsidRPr="0085159D">
              <w:rPr>
                <w:lang w:val="pl-PL"/>
              </w:rPr>
              <w:t xml:space="preserve">lub odnoszących się do </w:t>
            </w:r>
            <w:r w:rsidR="0014739C" w:rsidRPr="0085159D">
              <w:rPr>
                <w:lang w:val="pl-PL"/>
              </w:rPr>
              <w:t xml:space="preserve">cyfrowych usług finansowych </w:t>
            </w:r>
            <w:r w:rsidRPr="0085159D">
              <w:rPr>
                <w:lang w:val="pl-PL"/>
              </w:rPr>
              <w:t>wdrożonych w Polsce</w:t>
            </w:r>
          </w:p>
        </w:tc>
      </w:tr>
      <w:tr w:rsidR="006D0AD8" w:rsidRPr="004571F3" w14:paraId="7ABA3F04" w14:textId="77777777" w:rsidTr="00262D62">
        <w:tc>
          <w:tcPr>
            <w:tcW w:w="2717" w:type="dxa"/>
            <w:vMerge/>
            <w:hideMark/>
          </w:tcPr>
          <w:p w14:paraId="0B4EC067" w14:textId="77777777" w:rsidR="006D0AD8" w:rsidRPr="0085159D" w:rsidRDefault="006D0AD8" w:rsidP="000B051F">
            <w:pPr>
              <w:pStyle w:val="TableCell"/>
              <w:widowControl/>
              <w:jc w:val="left"/>
              <w:rPr>
                <w:lang w:val="pl-PL"/>
              </w:rPr>
            </w:pPr>
          </w:p>
        </w:tc>
        <w:tc>
          <w:tcPr>
            <w:tcW w:w="6290" w:type="dxa"/>
            <w:noWrap/>
            <w:hideMark/>
          </w:tcPr>
          <w:p w14:paraId="6737E357" w14:textId="77777777" w:rsidR="006D0AD8" w:rsidRPr="0085159D" w:rsidRDefault="00262D62" w:rsidP="000B051F">
            <w:pPr>
              <w:pStyle w:val="TableCell"/>
              <w:widowControl/>
              <w:jc w:val="left"/>
              <w:rPr>
                <w:lang w:val="pl-PL"/>
              </w:rPr>
            </w:pPr>
            <w:r w:rsidRPr="0085159D">
              <w:rPr>
                <w:lang w:val="pl-PL"/>
              </w:rPr>
              <w:t xml:space="preserve">Opracowanie i wdrożenie działań podnoszących świadomość na temat różnych rodzajów ryzyka związanego z </w:t>
            </w:r>
            <w:proofErr w:type="spellStart"/>
            <w:r w:rsidRPr="0085159D">
              <w:rPr>
                <w:lang w:val="pl-PL"/>
              </w:rPr>
              <w:t>cyberbezpieczeństwem</w:t>
            </w:r>
            <w:proofErr w:type="spellEnd"/>
            <w:r w:rsidRPr="0085159D">
              <w:rPr>
                <w:lang w:val="pl-PL"/>
              </w:rPr>
              <w:t xml:space="preserve"> oraz oszustwami i próbami wyłudzenia w Internecie, tak by mieszkańcy Polski wiedzieli, jak bezpiecznie korzystać z narzędzi i usług online</w:t>
            </w:r>
            <w:r w:rsidR="006D0AD8" w:rsidRPr="0085159D">
              <w:rPr>
                <w:lang w:val="pl-PL"/>
              </w:rPr>
              <w:t>.</w:t>
            </w:r>
          </w:p>
        </w:tc>
        <w:tc>
          <w:tcPr>
            <w:tcW w:w="4860" w:type="dxa"/>
            <w:hideMark/>
          </w:tcPr>
          <w:p w14:paraId="66197C16"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nowych kampanii podnoszących świadomość i innych działań opracowanych w odniesieniu do konkretnych nowo pojawiających się zagadnień interesujących konsumentów związanych z </w:t>
            </w:r>
            <w:r w:rsidR="00521B11" w:rsidRPr="0085159D">
              <w:rPr>
                <w:lang w:val="pl-PL"/>
              </w:rPr>
              <w:t>cyfryzacją</w:t>
            </w:r>
            <w:r w:rsidR="0014739C" w:rsidRPr="0085159D">
              <w:rPr>
                <w:lang w:val="pl-PL"/>
              </w:rPr>
              <w:t xml:space="preserve"> </w:t>
            </w:r>
            <w:r w:rsidRPr="0085159D">
              <w:rPr>
                <w:lang w:val="pl-PL"/>
              </w:rPr>
              <w:t xml:space="preserve">produktów i usług finansowych </w:t>
            </w:r>
          </w:p>
        </w:tc>
      </w:tr>
      <w:tr w:rsidR="006D0AD8" w:rsidRPr="004571F3" w14:paraId="44A49551" w14:textId="77777777" w:rsidTr="00262D62">
        <w:tc>
          <w:tcPr>
            <w:tcW w:w="2717" w:type="dxa"/>
            <w:vMerge w:val="restart"/>
            <w:hideMark/>
          </w:tcPr>
          <w:p w14:paraId="5610734A" w14:textId="77777777" w:rsidR="006D0AD8" w:rsidRPr="0085159D" w:rsidRDefault="00E14925" w:rsidP="000B051F">
            <w:pPr>
              <w:pStyle w:val="TableCell"/>
              <w:widowControl/>
              <w:jc w:val="left"/>
              <w:rPr>
                <w:lang w:val="pl-PL"/>
              </w:rPr>
            </w:pPr>
            <w:r w:rsidRPr="0085159D">
              <w:rPr>
                <w:lang w:val="pl-PL"/>
              </w:rPr>
              <w:t>2. </w:t>
            </w:r>
            <w:r w:rsidR="00262D62" w:rsidRPr="0085159D">
              <w:rPr>
                <w:lang w:val="pl-PL"/>
              </w:rPr>
              <w:t>Poprawa zdolności mieszkańców Polski do podejmowania długoterminowych decyzji finansowych oraz zabezpieczenia własnego dobrostanu finansowego w długim okresie i na starość</w:t>
            </w:r>
          </w:p>
        </w:tc>
        <w:tc>
          <w:tcPr>
            <w:tcW w:w="6290" w:type="dxa"/>
            <w:noWrap/>
            <w:hideMark/>
          </w:tcPr>
          <w:p w14:paraId="5023BB05" w14:textId="77777777" w:rsidR="006D0AD8" w:rsidRPr="0085159D" w:rsidRDefault="00262D62" w:rsidP="000B051F">
            <w:pPr>
              <w:pStyle w:val="TableCell"/>
              <w:widowControl/>
              <w:jc w:val="left"/>
              <w:rPr>
                <w:lang w:val="pl-PL"/>
              </w:rPr>
            </w:pPr>
            <w:r w:rsidRPr="0085159D">
              <w:rPr>
                <w:lang w:val="pl-PL"/>
              </w:rPr>
              <w:t>Nawiązanie współpracy z Zakładem Ubezpieczeń Społecznych i innymi podmiotami systemu emerytalnego w celu opracowania programów rozwijania świadomości na temat znaczenia długoterminowego oszczędzania, znajomości systemu emerytalnego oraz ustalania oczekiwanego poziomu dochodu na emeryturze na podstawie kwoty wniesionych składek</w:t>
            </w:r>
            <w:r w:rsidR="006D0AD8" w:rsidRPr="0085159D">
              <w:rPr>
                <w:lang w:val="pl-PL"/>
              </w:rPr>
              <w:t>.</w:t>
            </w:r>
          </w:p>
        </w:tc>
        <w:tc>
          <w:tcPr>
            <w:tcW w:w="4860" w:type="dxa"/>
            <w:hideMark/>
          </w:tcPr>
          <w:p w14:paraId="05CA8031" w14:textId="77777777" w:rsidR="006D0AD8" w:rsidRPr="0085159D" w:rsidRDefault="006D0AD8" w:rsidP="000B051F">
            <w:pPr>
              <w:pStyle w:val="TableCell"/>
              <w:widowControl/>
              <w:numPr>
                <w:ilvl w:val="0"/>
                <w:numId w:val="12"/>
              </w:numPr>
              <w:jc w:val="left"/>
              <w:rPr>
                <w:lang w:val="pl-PL"/>
              </w:rPr>
            </w:pPr>
            <w:r w:rsidRPr="0085159D">
              <w:rPr>
                <w:lang w:val="pl-PL"/>
              </w:rPr>
              <w:t>Liczba partnerstw utworzonych z organizacjami działającymi w dziedzinie zagadnień związanych z emeryturą</w:t>
            </w:r>
          </w:p>
        </w:tc>
      </w:tr>
      <w:tr w:rsidR="006D0AD8" w:rsidRPr="004571F3" w14:paraId="711A3714" w14:textId="77777777" w:rsidTr="00262D62">
        <w:tc>
          <w:tcPr>
            <w:tcW w:w="2717" w:type="dxa"/>
            <w:vMerge/>
            <w:hideMark/>
          </w:tcPr>
          <w:p w14:paraId="79012322" w14:textId="77777777" w:rsidR="006D0AD8" w:rsidRPr="0085159D" w:rsidRDefault="006D0AD8" w:rsidP="000B051F">
            <w:pPr>
              <w:pStyle w:val="TableCell"/>
              <w:widowControl/>
              <w:jc w:val="left"/>
              <w:rPr>
                <w:lang w:val="pl-PL"/>
              </w:rPr>
            </w:pPr>
          </w:p>
        </w:tc>
        <w:tc>
          <w:tcPr>
            <w:tcW w:w="6290" w:type="dxa"/>
            <w:noWrap/>
            <w:hideMark/>
          </w:tcPr>
          <w:p w14:paraId="3BADBFF8" w14:textId="77777777" w:rsidR="006D0AD8" w:rsidRPr="0085159D" w:rsidRDefault="00262D62" w:rsidP="000B051F">
            <w:pPr>
              <w:pStyle w:val="TableCell"/>
              <w:widowControl/>
              <w:jc w:val="left"/>
              <w:rPr>
                <w:lang w:val="pl-PL"/>
              </w:rPr>
            </w:pPr>
            <w:r w:rsidRPr="0085159D">
              <w:rPr>
                <w:lang w:val="pl-PL"/>
              </w:rPr>
              <w:t>Przygotowanie kampanii dnia/tygodnia świadomości emerytalnej, organizowanej raz w roku z udziałem wszystkich właściwych interesariuszy, w celu promowania wiedzy na temat emerytur</w:t>
            </w:r>
            <w:r w:rsidR="006D0AD8" w:rsidRPr="0085159D">
              <w:rPr>
                <w:lang w:val="pl-PL"/>
              </w:rPr>
              <w:t>.</w:t>
            </w:r>
          </w:p>
        </w:tc>
        <w:tc>
          <w:tcPr>
            <w:tcW w:w="4860" w:type="dxa"/>
            <w:hideMark/>
          </w:tcPr>
          <w:p w14:paraId="13AA673C" w14:textId="1A2385B1" w:rsidR="006D0AD8" w:rsidRPr="0085159D" w:rsidRDefault="006D0AD8" w:rsidP="000B051F">
            <w:pPr>
              <w:pStyle w:val="TableCell"/>
              <w:widowControl/>
              <w:numPr>
                <w:ilvl w:val="0"/>
                <w:numId w:val="12"/>
              </w:numPr>
              <w:jc w:val="left"/>
              <w:rPr>
                <w:lang w:val="pl-PL"/>
              </w:rPr>
            </w:pPr>
            <w:r w:rsidRPr="0085159D">
              <w:rPr>
                <w:lang w:val="pl-PL"/>
              </w:rPr>
              <w:t xml:space="preserve">Dzień/tydzień świadomości emerytalnej organizowany raz </w:t>
            </w:r>
            <w:r w:rsidR="00CA1CF8">
              <w:rPr>
                <w:lang w:val="pl-PL"/>
              </w:rPr>
              <w:t>w</w:t>
            </w:r>
            <w:r w:rsidRPr="0085159D">
              <w:rPr>
                <w:lang w:val="pl-PL"/>
              </w:rPr>
              <w:t xml:space="preserve"> roku</w:t>
            </w:r>
          </w:p>
          <w:p w14:paraId="0B472FFB" w14:textId="77777777" w:rsidR="006D0AD8" w:rsidRPr="0085159D" w:rsidRDefault="006D0AD8" w:rsidP="000B051F">
            <w:pPr>
              <w:pStyle w:val="TableCell"/>
              <w:widowControl/>
              <w:numPr>
                <w:ilvl w:val="0"/>
                <w:numId w:val="12"/>
              </w:numPr>
              <w:jc w:val="left"/>
              <w:rPr>
                <w:lang w:val="pl-PL"/>
              </w:rPr>
            </w:pPr>
            <w:r w:rsidRPr="0085159D">
              <w:rPr>
                <w:lang w:val="pl-PL"/>
              </w:rPr>
              <w:t>Liczba interesariuszy uczestniczących w dniu/tygodniu świadomości emerytalnej</w:t>
            </w:r>
          </w:p>
          <w:p w14:paraId="45087917" w14:textId="77777777" w:rsidR="006D0AD8" w:rsidRPr="0085159D" w:rsidRDefault="006D0AD8" w:rsidP="000B051F">
            <w:pPr>
              <w:pStyle w:val="TableCell"/>
              <w:widowControl/>
              <w:numPr>
                <w:ilvl w:val="0"/>
                <w:numId w:val="12"/>
              </w:numPr>
              <w:jc w:val="left"/>
              <w:rPr>
                <w:lang w:val="pl-PL"/>
              </w:rPr>
            </w:pPr>
            <w:r w:rsidRPr="0085159D">
              <w:rPr>
                <w:lang w:val="pl-PL"/>
              </w:rPr>
              <w:t>Liczba osób uczestniczących w dniu/tygodniu świadomości emerytalnej</w:t>
            </w:r>
          </w:p>
        </w:tc>
      </w:tr>
      <w:tr w:rsidR="006D0AD8" w:rsidRPr="004571F3" w14:paraId="31EBCFDF" w14:textId="77777777" w:rsidTr="00262D62">
        <w:tc>
          <w:tcPr>
            <w:tcW w:w="2717" w:type="dxa"/>
            <w:vMerge/>
            <w:hideMark/>
          </w:tcPr>
          <w:p w14:paraId="15BFDE4C" w14:textId="77777777" w:rsidR="006D0AD8" w:rsidRPr="0085159D" w:rsidRDefault="006D0AD8" w:rsidP="000B051F">
            <w:pPr>
              <w:pStyle w:val="TableCell"/>
              <w:widowControl/>
              <w:jc w:val="left"/>
              <w:rPr>
                <w:lang w:val="pl-PL"/>
              </w:rPr>
            </w:pPr>
          </w:p>
        </w:tc>
        <w:tc>
          <w:tcPr>
            <w:tcW w:w="6290" w:type="dxa"/>
            <w:noWrap/>
            <w:hideMark/>
          </w:tcPr>
          <w:p w14:paraId="7CBFCFF7" w14:textId="77777777" w:rsidR="006D0AD8" w:rsidRPr="0085159D" w:rsidRDefault="00262D62" w:rsidP="000B051F">
            <w:pPr>
              <w:pStyle w:val="TableCell"/>
              <w:widowControl/>
              <w:jc w:val="left"/>
              <w:rPr>
                <w:lang w:val="pl-PL"/>
              </w:rPr>
            </w:pPr>
            <w:r w:rsidRPr="0085159D">
              <w:rPr>
                <w:lang w:val="pl-PL"/>
              </w:rPr>
              <w:t>Opracowanie i promowanie narzędzi cyfrowych (takich jak kalkulatory emerytury i oszczędności), które wykorzystać można do obliczenia świadczeń emerytalnych w oparciu o zgromadzone oszczędności, okres opłacania składek oraz inne parametry. Jeżeli jest to możliwe, narzędzia takie powinny być skrojone na miarę potrzeb konkretnych grupy docelowych</w:t>
            </w:r>
            <w:r w:rsidR="006D0AD8" w:rsidRPr="0085159D">
              <w:rPr>
                <w:lang w:val="pl-PL"/>
              </w:rPr>
              <w:t>.</w:t>
            </w:r>
          </w:p>
        </w:tc>
        <w:tc>
          <w:tcPr>
            <w:tcW w:w="4860" w:type="dxa"/>
            <w:hideMark/>
          </w:tcPr>
          <w:p w14:paraId="659A2612" w14:textId="525029FF" w:rsidR="00E14925" w:rsidRPr="0085159D" w:rsidRDefault="006D0AD8" w:rsidP="000B051F">
            <w:pPr>
              <w:pStyle w:val="TableCell"/>
              <w:widowControl/>
              <w:numPr>
                <w:ilvl w:val="0"/>
                <w:numId w:val="12"/>
              </w:numPr>
              <w:jc w:val="left"/>
              <w:rPr>
                <w:lang w:val="pl-PL"/>
              </w:rPr>
            </w:pPr>
            <w:r w:rsidRPr="0085159D">
              <w:rPr>
                <w:lang w:val="pl-PL"/>
              </w:rPr>
              <w:t>Liczba osób korzystających z narzędzi cyfrowych do obliczenia świadczeń emerytalnych/ubezpieczeniowych</w:t>
            </w:r>
            <w:r w:rsidR="00F005FF">
              <w:rPr>
                <w:lang w:val="pl-PL"/>
              </w:rPr>
              <w:t>/oszczędności</w:t>
            </w:r>
          </w:p>
          <w:p w14:paraId="65B37DBE"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osób uważających kalkulator cyfrowy za przydatne narzędzie </w:t>
            </w:r>
          </w:p>
        </w:tc>
      </w:tr>
      <w:tr w:rsidR="006D0AD8" w:rsidRPr="004571F3" w14:paraId="463F38A5" w14:textId="77777777" w:rsidTr="00262D62">
        <w:tc>
          <w:tcPr>
            <w:tcW w:w="2717" w:type="dxa"/>
            <w:vMerge/>
            <w:hideMark/>
          </w:tcPr>
          <w:p w14:paraId="3E925C6D" w14:textId="77777777" w:rsidR="006D0AD8" w:rsidRPr="0085159D" w:rsidRDefault="006D0AD8" w:rsidP="000B051F">
            <w:pPr>
              <w:pStyle w:val="TableCell"/>
              <w:widowControl/>
              <w:jc w:val="left"/>
              <w:rPr>
                <w:lang w:val="pl-PL"/>
              </w:rPr>
            </w:pPr>
          </w:p>
        </w:tc>
        <w:tc>
          <w:tcPr>
            <w:tcW w:w="6290" w:type="dxa"/>
            <w:noWrap/>
            <w:hideMark/>
          </w:tcPr>
          <w:p w14:paraId="0FF0A734" w14:textId="77777777" w:rsidR="006D0AD8" w:rsidRPr="0085159D" w:rsidRDefault="00262D62" w:rsidP="000B051F">
            <w:pPr>
              <w:pStyle w:val="TableCell"/>
              <w:widowControl/>
              <w:jc w:val="left"/>
              <w:rPr>
                <w:lang w:val="pl-PL"/>
              </w:rPr>
            </w:pPr>
            <w:r w:rsidRPr="0085159D">
              <w:rPr>
                <w:lang w:val="pl-PL"/>
              </w:rPr>
              <w:t>Opracowanie i realizacja programów edukacji finansowej koncentrujących się na pomocy w zrozumieniu systemu emerytalnego, podnoszeniu świadomości na temat konieczności gromadzenia oszczędności w dłuższym okresie w celu uzupełnienia emerytury oraz wsparciu w wyborze indywidualnych planów emerytalnych lub jakiejkolwiek innej długoterminowej inwestycji, a także gromadzeniu aktywów oraz oszczędności emerytalnych, z jednoczesnym uwzględnieniem wpływu podwyższonej inflacji</w:t>
            </w:r>
            <w:r w:rsidR="006D0AD8" w:rsidRPr="0085159D">
              <w:rPr>
                <w:lang w:val="pl-PL"/>
              </w:rPr>
              <w:t>.</w:t>
            </w:r>
          </w:p>
        </w:tc>
        <w:tc>
          <w:tcPr>
            <w:tcW w:w="4860" w:type="dxa"/>
            <w:hideMark/>
          </w:tcPr>
          <w:p w14:paraId="1E4B350F"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programów </w:t>
            </w:r>
            <w:r w:rsidR="0014739C" w:rsidRPr="0085159D">
              <w:rPr>
                <w:lang w:val="pl-PL"/>
              </w:rPr>
              <w:t xml:space="preserve">edukacji finansowej </w:t>
            </w:r>
            <w:r w:rsidRPr="0085159D">
              <w:rPr>
                <w:lang w:val="pl-PL"/>
              </w:rPr>
              <w:t>koncentrujących się na oszczędnościach długoterminowych, systemie emerytalnym, wysokości dochodów w okresie emerytury, budowaniu aktywów</w:t>
            </w:r>
          </w:p>
        </w:tc>
      </w:tr>
      <w:tr w:rsidR="006D0AD8" w:rsidRPr="004571F3" w14:paraId="35872570" w14:textId="77777777" w:rsidTr="00262D62">
        <w:tc>
          <w:tcPr>
            <w:tcW w:w="2717" w:type="dxa"/>
            <w:vMerge/>
            <w:hideMark/>
          </w:tcPr>
          <w:p w14:paraId="026CF4A0" w14:textId="77777777" w:rsidR="006D0AD8" w:rsidRPr="0085159D" w:rsidRDefault="006D0AD8" w:rsidP="000B051F">
            <w:pPr>
              <w:pStyle w:val="TableCell"/>
              <w:widowControl/>
              <w:jc w:val="left"/>
              <w:rPr>
                <w:lang w:val="pl-PL"/>
              </w:rPr>
            </w:pPr>
          </w:p>
        </w:tc>
        <w:tc>
          <w:tcPr>
            <w:tcW w:w="6290" w:type="dxa"/>
            <w:noWrap/>
            <w:hideMark/>
          </w:tcPr>
          <w:p w14:paraId="28F15A12" w14:textId="77777777" w:rsidR="006D0AD8" w:rsidRPr="0085159D" w:rsidRDefault="00101CE4" w:rsidP="000B051F">
            <w:pPr>
              <w:pStyle w:val="TableCell"/>
              <w:widowControl/>
              <w:jc w:val="left"/>
              <w:rPr>
                <w:lang w:val="pl-PL"/>
              </w:rPr>
            </w:pPr>
            <w:r w:rsidRPr="0085159D">
              <w:rPr>
                <w:lang w:val="pl-PL"/>
              </w:rPr>
              <w:t>Nawiązanie współpracy z instytucjami publicznymi oraz organizacjami pracodawców, w celu pomocy pracodawcom w promowaniu programów edukacji finansowej w miejscu pracy, które koncentrują się, między innymi, na podnoszeniu wiedzy pracowników, jak również kształtowaniu ich postaw oraz rozwoju umiejętności w zakresie planowania/oszczędzania z myślą o emeryturze</w:t>
            </w:r>
            <w:r w:rsidR="006D0AD8" w:rsidRPr="0085159D">
              <w:rPr>
                <w:lang w:val="pl-PL"/>
              </w:rPr>
              <w:t xml:space="preserve">. </w:t>
            </w:r>
          </w:p>
        </w:tc>
        <w:tc>
          <w:tcPr>
            <w:tcW w:w="4860" w:type="dxa"/>
            <w:hideMark/>
          </w:tcPr>
          <w:p w14:paraId="4E192401"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partnerstw/projektów współpracy z podmiotami sektora publicznego/organizacjami pracodawców </w:t>
            </w:r>
          </w:p>
        </w:tc>
      </w:tr>
      <w:tr w:rsidR="006D0AD8" w:rsidRPr="004571F3" w14:paraId="21BE3806" w14:textId="77777777" w:rsidTr="00262D62">
        <w:tc>
          <w:tcPr>
            <w:tcW w:w="2717" w:type="dxa"/>
            <w:hideMark/>
          </w:tcPr>
          <w:p w14:paraId="1CB402D2" w14:textId="77777777" w:rsidR="006D0AD8" w:rsidRPr="0085159D" w:rsidRDefault="00E14925" w:rsidP="000B051F">
            <w:pPr>
              <w:pStyle w:val="TableCell"/>
              <w:widowControl/>
              <w:jc w:val="left"/>
              <w:rPr>
                <w:lang w:val="pl-PL"/>
              </w:rPr>
            </w:pPr>
            <w:r w:rsidRPr="0085159D">
              <w:rPr>
                <w:lang w:val="pl-PL"/>
              </w:rPr>
              <w:t>3. </w:t>
            </w:r>
            <w:r w:rsidR="00101CE4" w:rsidRPr="0085159D">
              <w:rPr>
                <w:lang w:val="pl-PL"/>
              </w:rPr>
              <w:t xml:space="preserve">Poprawa zrozumienia i zdolności mieszkańców Polski do korzystania z </w:t>
            </w:r>
            <w:r w:rsidR="00101CE4" w:rsidRPr="0085159D">
              <w:rPr>
                <w:lang w:val="pl-PL"/>
              </w:rPr>
              <w:lastRenderedPageBreak/>
              <w:t>możliwości związanych z inwestycjami na rynku finansowym, przy jednoczesnym zarządzaniu ryzykiem</w:t>
            </w:r>
          </w:p>
        </w:tc>
        <w:tc>
          <w:tcPr>
            <w:tcW w:w="6290" w:type="dxa"/>
            <w:noWrap/>
            <w:hideMark/>
          </w:tcPr>
          <w:p w14:paraId="40DCF08E" w14:textId="77777777" w:rsidR="006D0AD8" w:rsidRPr="0085159D" w:rsidRDefault="00101CE4" w:rsidP="000B051F">
            <w:pPr>
              <w:pStyle w:val="TableCell"/>
              <w:widowControl/>
              <w:jc w:val="left"/>
              <w:rPr>
                <w:lang w:val="pl-PL"/>
              </w:rPr>
            </w:pPr>
            <w:r w:rsidRPr="0085159D">
              <w:rPr>
                <w:lang w:val="pl-PL"/>
              </w:rPr>
              <w:lastRenderedPageBreak/>
              <w:t xml:space="preserve">Opracowanie programów edukacji finansowej koncentrujących się na oszczędzaniu i inwestowaniu, prezentujących charakterystykę oraz ryzyka związane różnymi rodzajami </w:t>
            </w:r>
            <w:r w:rsidRPr="0085159D">
              <w:rPr>
                <w:lang w:val="pl-PL"/>
              </w:rPr>
              <w:lastRenderedPageBreak/>
              <w:t>produktów w tych obszarach. Tego typu programy edukacji finansowej mogłyby być dostarczane w miejscu pracy lub na uczelniach oraz – tam, gdzie to właściwe – w szkołach (koncentrując się na zagrożeniach związanych z takimi produktami</w:t>
            </w:r>
            <w:r w:rsidR="006D0AD8" w:rsidRPr="0085159D">
              <w:rPr>
                <w:lang w:val="pl-PL"/>
              </w:rPr>
              <w:t xml:space="preserve">). </w:t>
            </w:r>
          </w:p>
        </w:tc>
        <w:tc>
          <w:tcPr>
            <w:tcW w:w="4860" w:type="dxa"/>
            <w:hideMark/>
          </w:tcPr>
          <w:p w14:paraId="77054F40" w14:textId="77777777" w:rsidR="006D0AD8" w:rsidRPr="0085159D" w:rsidRDefault="006D0AD8" w:rsidP="000B051F">
            <w:pPr>
              <w:pStyle w:val="TableCell"/>
              <w:widowControl/>
              <w:numPr>
                <w:ilvl w:val="0"/>
                <w:numId w:val="12"/>
              </w:numPr>
              <w:jc w:val="left"/>
              <w:rPr>
                <w:lang w:val="pl-PL"/>
              </w:rPr>
            </w:pPr>
            <w:r w:rsidRPr="0085159D">
              <w:rPr>
                <w:lang w:val="pl-PL"/>
              </w:rPr>
              <w:lastRenderedPageBreak/>
              <w:t>Liczba programów edukacji finansowej, które skupiają się na tematach związanych z oszczędzaniem i inwestycjami</w:t>
            </w:r>
          </w:p>
        </w:tc>
      </w:tr>
      <w:tr w:rsidR="006D0AD8" w:rsidRPr="004571F3" w14:paraId="49E11ED5" w14:textId="77777777" w:rsidTr="00262D62">
        <w:tc>
          <w:tcPr>
            <w:tcW w:w="2717" w:type="dxa"/>
          </w:tcPr>
          <w:p w14:paraId="1977F5B4" w14:textId="77777777" w:rsidR="006D0AD8" w:rsidRPr="0085159D" w:rsidRDefault="006D0AD8" w:rsidP="000B051F">
            <w:pPr>
              <w:pStyle w:val="TableCell"/>
              <w:widowControl/>
              <w:jc w:val="left"/>
              <w:rPr>
                <w:lang w:val="pl-PL"/>
              </w:rPr>
            </w:pPr>
          </w:p>
        </w:tc>
        <w:tc>
          <w:tcPr>
            <w:tcW w:w="6290" w:type="dxa"/>
            <w:noWrap/>
          </w:tcPr>
          <w:p w14:paraId="2A19C4B9" w14:textId="77777777" w:rsidR="006D0AD8" w:rsidRPr="0085159D" w:rsidRDefault="00101CE4" w:rsidP="000B051F">
            <w:pPr>
              <w:pStyle w:val="TableCell"/>
              <w:widowControl/>
              <w:jc w:val="left"/>
              <w:rPr>
                <w:lang w:val="pl-PL"/>
              </w:rPr>
            </w:pPr>
            <w:r w:rsidRPr="0085159D">
              <w:rPr>
                <w:lang w:val="pl-PL"/>
              </w:rPr>
              <w:t>Podnoszenie poprzez kampanie informacyjne świadomości konsumentów w zakresie zrównoważonego finansowania, korzyści oraz potencjalnych związanych z nimi pułapek</w:t>
            </w:r>
            <w:r w:rsidR="006D0AD8" w:rsidRPr="0085159D">
              <w:rPr>
                <w:lang w:val="pl-PL"/>
              </w:rPr>
              <w:t>.</w:t>
            </w:r>
          </w:p>
        </w:tc>
        <w:tc>
          <w:tcPr>
            <w:tcW w:w="4860" w:type="dxa"/>
          </w:tcPr>
          <w:p w14:paraId="399CA7E0" w14:textId="77777777" w:rsidR="006D0AD8" w:rsidRPr="0085159D" w:rsidRDefault="006D0AD8" w:rsidP="000B051F">
            <w:pPr>
              <w:pStyle w:val="TableCell"/>
              <w:widowControl/>
              <w:numPr>
                <w:ilvl w:val="0"/>
                <w:numId w:val="12"/>
              </w:numPr>
              <w:jc w:val="left"/>
              <w:rPr>
                <w:lang w:val="pl-PL"/>
              </w:rPr>
            </w:pPr>
            <w:r w:rsidRPr="0085159D">
              <w:rPr>
                <w:lang w:val="pl-PL"/>
              </w:rPr>
              <w:t>Liczba programów edukacji finansowej, które integrują informacje i wysiłki na rzecz podnoszenia świadomości w zakresie zrównoważon</w:t>
            </w:r>
            <w:r w:rsidR="0014739C" w:rsidRPr="0085159D">
              <w:rPr>
                <w:lang w:val="pl-PL"/>
              </w:rPr>
              <w:t>ego</w:t>
            </w:r>
            <w:r w:rsidRPr="0085159D">
              <w:rPr>
                <w:lang w:val="pl-PL"/>
              </w:rPr>
              <w:t xml:space="preserve"> finans</w:t>
            </w:r>
            <w:r w:rsidR="0014739C" w:rsidRPr="0085159D">
              <w:rPr>
                <w:lang w:val="pl-PL"/>
              </w:rPr>
              <w:t>owania</w:t>
            </w:r>
          </w:p>
        </w:tc>
      </w:tr>
      <w:tr w:rsidR="006D0AD8" w:rsidRPr="004571F3" w14:paraId="05A8520A" w14:textId="77777777" w:rsidTr="00262D62">
        <w:tc>
          <w:tcPr>
            <w:tcW w:w="2717" w:type="dxa"/>
            <w:vMerge w:val="restart"/>
            <w:hideMark/>
          </w:tcPr>
          <w:p w14:paraId="5C689EC7" w14:textId="77777777" w:rsidR="006D0AD8" w:rsidRPr="0085159D" w:rsidRDefault="00E14925" w:rsidP="000B051F">
            <w:pPr>
              <w:pStyle w:val="TableCell"/>
              <w:widowControl/>
              <w:jc w:val="left"/>
              <w:rPr>
                <w:lang w:val="pl-PL"/>
              </w:rPr>
            </w:pPr>
            <w:r w:rsidRPr="0085159D">
              <w:rPr>
                <w:lang w:val="pl-PL"/>
              </w:rPr>
              <w:t>4. </w:t>
            </w:r>
            <w:r w:rsidR="00101CE4" w:rsidRPr="0085159D">
              <w:rPr>
                <w:lang w:val="pl-PL"/>
              </w:rPr>
              <w:t>Podnoszenie świadomości w kwestii znaczenia edukacji finansowej dla mieszkańców Polski oraz ich wiedzy o tym, gdzie znaleźć rzetelne i obiektywne informacje finansowe, edukację lub pomoc</w:t>
            </w:r>
          </w:p>
        </w:tc>
        <w:tc>
          <w:tcPr>
            <w:tcW w:w="6290" w:type="dxa"/>
            <w:noWrap/>
            <w:hideMark/>
          </w:tcPr>
          <w:p w14:paraId="34A02A7C" w14:textId="77777777" w:rsidR="006D0AD8" w:rsidRPr="0085159D" w:rsidRDefault="00101CE4" w:rsidP="000B051F">
            <w:pPr>
              <w:pStyle w:val="TableCell"/>
              <w:widowControl/>
              <w:jc w:val="left"/>
              <w:rPr>
                <w:lang w:val="pl-PL"/>
              </w:rPr>
            </w:pPr>
            <w:r w:rsidRPr="0085159D">
              <w:rPr>
                <w:lang w:val="pl-PL"/>
              </w:rPr>
              <w:t>Stworzenie wspólnego, godnego zaufania, rozpoznawalnego, cieszącego się zaufaniem i uznaniem użytkowników oraz łatwego w użyciu</w:t>
            </w:r>
            <w:r w:rsidR="00892E00">
              <w:rPr>
                <w:lang w:val="pl-PL"/>
              </w:rPr>
              <w:t xml:space="preserve"> </w:t>
            </w:r>
            <w:r w:rsidRPr="0085159D">
              <w:rPr>
                <w:lang w:val="pl-PL"/>
              </w:rPr>
              <w:t>portalu internetowego poświęconego edukacji finansowej (kompleksowa (</w:t>
            </w:r>
            <w:r w:rsidRPr="0085159D">
              <w:rPr>
                <w:i/>
                <w:iCs/>
                <w:lang w:val="pl-PL"/>
              </w:rPr>
              <w:t>one</w:t>
            </w:r>
            <w:r w:rsidRPr="0085159D">
              <w:rPr>
                <w:i/>
                <w:iCs/>
                <w:lang w:val="pl-PL"/>
              </w:rPr>
              <w:noBreakHyphen/>
              <w:t>stop-shop</w:t>
            </w:r>
            <w:r w:rsidRPr="0085159D">
              <w:rPr>
                <w:lang w:val="pl-PL"/>
              </w:rPr>
              <w:t>) strona internetowa dotycząca edukacji finansowej), regularnie aktualizowanego, na przykład w odpowiedzi na potrzeby konsumentów i tendencje w sektorze finansowym. Portal taki opracowany i utrzymywany byłby w ramach wspólnych starań kluczowych interesariuszy edukacji finansowej</w:t>
            </w:r>
            <w:r w:rsidR="006D0AD8" w:rsidRPr="0085159D">
              <w:rPr>
                <w:lang w:val="pl-PL"/>
              </w:rPr>
              <w:t xml:space="preserve">. </w:t>
            </w:r>
          </w:p>
        </w:tc>
        <w:tc>
          <w:tcPr>
            <w:tcW w:w="4860" w:type="dxa"/>
            <w:hideMark/>
          </w:tcPr>
          <w:p w14:paraId="7F8AA9FD" w14:textId="77777777" w:rsidR="006D0AD8" w:rsidRPr="0085159D" w:rsidRDefault="006D0AD8" w:rsidP="000B051F">
            <w:pPr>
              <w:pStyle w:val="TableCell"/>
              <w:widowControl/>
              <w:numPr>
                <w:ilvl w:val="0"/>
                <w:numId w:val="12"/>
              </w:numPr>
              <w:jc w:val="left"/>
              <w:rPr>
                <w:lang w:val="pl-PL"/>
              </w:rPr>
            </w:pPr>
            <w:r w:rsidRPr="0085159D">
              <w:rPr>
                <w:lang w:val="pl-PL"/>
              </w:rPr>
              <w:t xml:space="preserve">Miesięczna liczba użytkowników </w:t>
            </w:r>
            <w:r w:rsidR="0014739C" w:rsidRPr="0085159D">
              <w:rPr>
                <w:lang w:val="pl-PL"/>
              </w:rPr>
              <w:t xml:space="preserve">strony internetowej poświęconej </w:t>
            </w:r>
            <w:r w:rsidRPr="0085159D">
              <w:rPr>
                <w:lang w:val="pl-PL"/>
              </w:rPr>
              <w:t xml:space="preserve">edukacji finansowej </w:t>
            </w:r>
          </w:p>
        </w:tc>
      </w:tr>
      <w:tr w:rsidR="006D0AD8" w:rsidRPr="004571F3" w14:paraId="6ED787CD" w14:textId="77777777" w:rsidTr="00262D62">
        <w:tc>
          <w:tcPr>
            <w:tcW w:w="2717" w:type="dxa"/>
            <w:vMerge/>
            <w:hideMark/>
          </w:tcPr>
          <w:p w14:paraId="255FF851" w14:textId="77777777" w:rsidR="006D0AD8" w:rsidRPr="0085159D" w:rsidRDefault="006D0AD8" w:rsidP="000B051F">
            <w:pPr>
              <w:pStyle w:val="TableCell"/>
              <w:widowControl/>
              <w:jc w:val="left"/>
              <w:rPr>
                <w:lang w:val="pl-PL"/>
              </w:rPr>
            </w:pPr>
          </w:p>
        </w:tc>
        <w:tc>
          <w:tcPr>
            <w:tcW w:w="6290" w:type="dxa"/>
            <w:noWrap/>
            <w:hideMark/>
          </w:tcPr>
          <w:p w14:paraId="6DC5F51E" w14:textId="77777777" w:rsidR="006D0AD8" w:rsidRPr="0085159D" w:rsidRDefault="00101CE4" w:rsidP="000B051F">
            <w:pPr>
              <w:pStyle w:val="TableCell"/>
              <w:widowControl/>
              <w:jc w:val="left"/>
              <w:rPr>
                <w:lang w:val="pl-PL"/>
              </w:rPr>
            </w:pPr>
            <w:r w:rsidRPr="0085159D">
              <w:rPr>
                <w:lang w:val="pl-PL"/>
              </w:rPr>
              <w:t>Ustanowienie programów szkolenia nauczycieli w zakresie edukacji finansowej, w ramach ich rozwoju zawodowego oraz w celu zachęcenia nauczycieli do udziału w takich szkoleniach. Rozwiązanie to może być częścią formalnego systemu edukacji (w ośrodkach szkolenia nauczycieli) lub wprowadzone we współpracy z doświadczonymi interesariuszami</w:t>
            </w:r>
            <w:r w:rsidR="006D0AD8" w:rsidRPr="0085159D">
              <w:rPr>
                <w:lang w:val="pl-PL"/>
              </w:rPr>
              <w:t>. </w:t>
            </w:r>
          </w:p>
        </w:tc>
        <w:tc>
          <w:tcPr>
            <w:tcW w:w="4860" w:type="dxa"/>
            <w:hideMark/>
          </w:tcPr>
          <w:p w14:paraId="5E597ADB" w14:textId="77777777" w:rsidR="00E14925" w:rsidRPr="0085159D" w:rsidRDefault="006D0AD8" w:rsidP="000B051F">
            <w:pPr>
              <w:pStyle w:val="TableCell"/>
              <w:widowControl/>
              <w:numPr>
                <w:ilvl w:val="0"/>
                <w:numId w:val="12"/>
              </w:numPr>
              <w:jc w:val="left"/>
              <w:rPr>
                <w:lang w:val="pl-PL"/>
              </w:rPr>
            </w:pPr>
            <w:r w:rsidRPr="0085159D">
              <w:rPr>
                <w:lang w:val="pl-PL"/>
              </w:rPr>
              <w:t xml:space="preserve">Liczba programów </w:t>
            </w:r>
            <w:r w:rsidR="0014739C" w:rsidRPr="0085159D">
              <w:rPr>
                <w:lang w:val="pl-PL"/>
              </w:rPr>
              <w:t xml:space="preserve">edukacji finansowej adresowanych do </w:t>
            </w:r>
            <w:r w:rsidRPr="0085159D">
              <w:rPr>
                <w:lang w:val="pl-PL"/>
              </w:rPr>
              <w:t>nauczycieli</w:t>
            </w:r>
          </w:p>
          <w:p w14:paraId="29CB003F" w14:textId="77777777" w:rsidR="00E14925" w:rsidRPr="0085159D" w:rsidRDefault="006D0AD8" w:rsidP="000B051F">
            <w:pPr>
              <w:pStyle w:val="TableCell"/>
              <w:widowControl/>
              <w:numPr>
                <w:ilvl w:val="0"/>
                <w:numId w:val="12"/>
              </w:numPr>
              <w:jc w:val="left"/>
              <w:rPr>
                <w:lang w:val="pl-PL"/>
              </w:rPr>
            </w:pPr>
            <w:r w:rsidRPr="0085159D">
              <w:rPr>
                <w:lang w:val="pl-PL"/>
              </w:rPr>
              <w:t xml:space="preserve">Liczba organizacji pracujących nad opracowywaniem programów doskonalenia nauczycieli </w:t>
            </w:r>
            <w:r w:rsidR="0014739C" w:rsidRPr="0085159D">
              <w:rPr>
                <w:lang w:val="pl-PL"/>
              </w:rPr>
              <w:t>w obszarze edukacji finansowej</w:t>
            </w:r>
          </w:p>
          <w:p w14:paraId="6BD53ECF"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nauczycieli przeszkolonych w zakresie prowadzenia zajęć </w:t>
            </w:r>
            <w:r w:rsidR="0014739C" w:rsidRPr="0085159D">
              <w:rPr>
                <w:lang w:val="pl-PL"/>
              </w:rPr>
              <w:t>edukacji finansowej</w:t>
            </w:r>
          </w:p>
        </w:tc>
      </w:tr>
      <w:tr w:rsidR="006D0AD8" w:rsidRPr="004571F3" w14:paraId="5BCC4809" w14:textId="77777777" w:rsidTr="00262D62">
        <w:tc>
          <w:tcPr>
            <w:tcW w:w="2717" w:type="dxa"/>
            <w:vMerge/>
            <w:hideMark/>
          </w:tcPr>
          <w:p w14:paraId="5D81C65F" w14:textId="77777777" w:rsidR="006D0AD8" w:rsidRPr="0085159D" w:rsidRDefault="006D0AD8" w:rsidP="000B051F">
            <w:pPr>
              <w:pStyle w:val="TableCell"/>
              <w:widowControl/>
              <w:jc w:val="left"/>
              <w:rPr>
                <w:lang w:val="pl-PL"/>
              </w:rPr>
            </w:pPr>
          </w:p>
        </w:tc>
        <w:tc>
          <w:tcPr>
            <w:tcW w:w="6290" w:type="dxa"/>
            <w:noWrap/>
            <w:hideMark/>
          </w:tcPr>
          <w:p w14:paraId="56A410F0" w14:textId="77777777" w:rsidR="00E14925" w:rsidRPr="0085159D" w:rsidRDefault="00101CE4" w:rsidP="000B051F">
            <w:pPr>
              <w:pStyle w:val="TableCell"/>
              <w:widowControl/>
              <w:jc w:val="left"/>
              <w:rPr>
                <w:lang w:val="pl-PL"/>
              </w:rPr>
            </w:pPr>
            <w:r w:rsidRPr="0085159D">
              <w:rPr>
                <w:lang w:val="pl-PL"/>
              </w:rPr>
              <w:t>Opracowanie programów edukacji finansowej skierowanych do rodziców lub opiekunów, dostarczanych kanałami cyfrowymi lub przy wsparciu środowiska szkolnego</w:t>
            </w:r>
            <w:r w:rsidR="006D0AD8" w:rsidRPr="0085159D">
              <w:rPr>
                <w:lang w:val="pl-PL"/>
              </w:rPr>
              <w:t>.</w:t>
            </w:r>
          </w:p>
          <w:p w14:paraId="6F2AACA3" w14:textId="77777777" w:rsidR="006D0AD8" w:rsidRPr="0085159D" w:rsidRDefault="006D0AD8" w:rsidP="000B051F">
            <w:pPr>
              <w:pStyle w:val="TableCell"/>
              <w:widowControl/>
              <w:jc w:val="left"/>
              <w:rPr>
                <w:lang w:val="pl-PL"/>
              </w:rPr>
            </w:pPr>
          </w:p>
        </w:tc>
        <w:tc>
          <w:tcPr>
            <w:tcW w:w="4860" w:type="dxa"/>
            <w:hideMark/>
          </w:tcPr>
          <w:p w14:paraId="532DE72B" w14:textId="77777777" w:rsidR="00E14925" w:rsidRPr="0085159D" w:rsidRDefault="006D0AD8" w:rsidP="000B051F">
            <w:pPr>
              <w:pStyle w:val="TableCell"/>
              <w:widowControl/>
              <w:numPr>
                <w:ilvl w:val="0"/>
                <w:numId w:val="12"/>
              </w:numPr>
              <w:jc w:val="left"/>
              <w:rPr>
                <w:lang w:val="pl-PL"/>
              </w:rPr>
            </w:pPr>
            <w:r w:rsidRPr="0085159D">
              <w:rPr>
                <w:lang w:val="pl-PL"/>
              </w:rPr>
              <w:t>Liczba programów edukacji finansowej skierowanych do rodziców lub opiekunów</w:t>
            </w:r>
          </w:p>
          <w:p w14:paraId="230A4380" w14:textId="77777777" w:rsidR="006D0AD8" w:rsidRPr="0085159D" w:rsidRDefault="006D0AD8" w:rsidP="000B051F">
            <w:pPr>
              <w:pStyle w:val="TableCell"/>
              <w:widowControl/>
              <w:numPr>
                <w:ilvl w:val="0"/>
                <w:numId w:val="12"/>
              </w:numPr>
              <w:jc w:val="left"/>
              <w:rPr>
                <w:lang w:val="pl-PL"/>
              </w:rPr>
            </w:pPr>
            <w:r w:rsidRPr="0085159D">
              <w:rPr>
                <w:lang w:val="pl-PL"/>
              </w:rPr>
              <w:t>Liczba uczestników programów edukacji finansowej skierowanych do rodziców lub opiekunów</w:t>
            </w:r>
          </w:p>
        </w:tc>
      </w:tr>
      <w:tr w:rsidR="006D0AD8" w:rsidRPr="004571F3" w14:paraId="5F7AD4A5" w14:textId="77777777" w:rsidTr="00262D62">
        <w:tc>
          <w:tcPr>
            <w:tcW w:w="2717" w:type="dxa"/>
          </w:tcPr>
          <w:p w14:paraId="46F4667F" w14:textId="77777777" w:rsidR="006D0AD8" w:rsidRPr="0085159D" w:rsidRDefault="00E14925" w:rsidP="000B051F">
            <w:pPr>
              <w:pStyle w:val="TableCell"/>
              <w:widowControl/>
              <w:jc w:val="left"/>
              <w:rPr>
                <w:lang w:val="pl-PL"/>
              </w:rPr>
            </w:pPr>
            <w:r w:rsidRPr="0085159D">
              <w:rPr>
                <w:lang w:val="pl-PL"/>
              </w:rPr>
              <w:t>5. </w:t>
            </w:r>
            <w:r w:rsidR="00101CE4" w:rsidRPr="0085159D">
              <w:rPr>
                <w:lang w:val="pl-PL"/>
              </w:rPr>
              <w:t>Zapewnienie, aby programy edukacji finansowej były skoncentrowane na konsumencie</w:t>
            </w:r>
          </w:p>
        </w:tc>
        <w:tc>
          <w:tcPr>
            <w:tcW w:w="6290" w:type="dxa"/>
            <w:noWrap/>
          </w:tcPr>
          <w:p w14:paraId="290CFF30" w14:textId="77777777" w:rsidR="006D0AD8" w:rsidRPr="0085159D" w:rsidRDefault="00101CE4" w:rsidP="000B051F">
            <w:pPr>
              <w:pStyle w:val="TableCell"/>
              <w:widowControl/>
              <w:jc w:val="left"/>
              <w:rPr>
                <w:lang w:val="pl-PL"/>
              </w:rPr>
            </w:pPr>
            <w:r w:rsidRPr="0085159D">
              <w:rPr>
                <w:lang w:val="pl-PL"/>
              </w:rPr>
              <w:t>Opracowanie i zachęcanie interesariuszy edukacji finansowej do przyjęcia ram kompetencji kluczowych w zakresie edukacji finansowej dla dzieci i młodzieży w Polsce (lub do przystosowania do warunków polskich podobnych ram uznanych na arenie międzynarodowej</w:t>
            </w:r>
            <w:r w:rsidR="006D0AD8" w:rsidRPr="0085159D">
              <w:rPr>
                <w:lang w:val="pl-PL"/>
              </w:rPr>
              <w:t>)</w:t>
            </w:r>
            <w:r w:rsidRPr="0085159D">
              <w:rPr>
                <w:lang w:val="pl-PL"/>
              </w:rPr>
              <w:t>.</w:t>
            </w:r>
          </w:p>
        </w:tc>
        <w:tc>
          <w:tcPr>
            <w:tcW w:w="4860" w:type="dxa"/>
          </w:tcPr>
          <w:p w14:paraId="72A6A13C" w14:textId="77777777" w:rsidR="00E14925" w:rsidRPr="0085159D" w:rsidRDefault="006D0AD8" w:rsidP="000B051F">
            <w:pPr>
              <w:pStyle w:val="TableCell"/>
              <w:widowControl/>
              <w:numPr>
                <w:ilvl w:val="0"/>
                <w:numId w:val="12"/>
              </w:numPr>
              <w:jc w:val="left"/>
              <w:rPr>
                <w:lang w:val="pl-PL"/>
              </w:rPr>
            </w:pPr>
            <w:r w:rsidRPr="0085159D">
              <w:rPr>
                <w:lang w:val="pl-PL"/>
              </w:rPr>
              <w:t>Liczba interesariuszy wykorzystujących ramy kompetencji kluczowych w projektowaniu, wdrażaniu i ocenie swoich inicjatyw</w:t>
            </w:r>
          </w:p>
          <w:p w14:paraId="7D8481F7"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programów zgodnych z ramami kompetencji kluczowych </w:t>
            </w:r>
          </w:p>
        </w:tc>
      </w:tr>
      <w:tr w:rsidR="006D0AD8" w:rsidRPr="004571F3" w14:paraId="35DDB0FB" w14:textId="77777777" w:rsidTr="00262D62">
        <w:tc>
          <w:tcPr>
            <w:tcW w:w="2717" w:type="dxa"/>
          </w:tcPr>
          <w:p w14:paraId="063C97C9" w14:textId="77777777" w:rsidR="006D0AD8" w:rsidRPr="0085159D" w:rsidRDefault="006D0AD8" w:rsidP="000B051F">
            <w:pPr>
              <w:pStyle w:val="TableCell"/>
              <w:widowControl/>
              <w:jc w:val="left"/>
              <w:rPr>
                <w:lang w:val="pl-PL"/>
              </w:rPr>
            </w:pPr>
          </w:p>
        </w:tc>
        <w:tc>
          <w:tcPr>
            <w:tcW w:w="6290" w:type="dxa"/>
            <w:noWrap/>
          </w:tcPr>
          <w:p w14:paraId="5D97A554" w14:textId="77777777" w:rsidR="006D0AD8" w:rsidRPr="0085159D" w:rsidRDefault="00101CE4" w:rsidP="000B051F">
            <w:pPr>
              <w:pStyle w:val="TableCell"/>
              <w:widowControl/>
              <w:jc w:val="left"/>
              <w:rPr>
                <w:lang w:val="pl-PL"/>
              </w:rPr>
            </w:pPr>
            <w:r w:rsidRPr="0085159D">
              <w:rPr>
                <w:lang w:val="pl-PL"/>
              </w:rPr>
              <w:t>Opracowanie i zachęcanie interesariuszy edukacji finansowej do przyjęcia ram kompetencji kluczowych w zakresie edukacji finansowej dla dorosłych w Polsce (lub do przystosowania do warunków polskich podobnych ram uznanych na arenie międzynarodowej</w:t>
            </w:r>
            <w:r w:rsidR="006D0AD8" w:rsidRPr="0085159D">
              <w:rPr>
                <w:lang w:val="pl-PL"/>
              </w:rPr>
              <w:t>)</w:t>
            </w:r>
            <w:r w:rsidRPr="0085159D">
              <w:rPr>
                <w:lang w:val="pl-PL"/>
              </w:rPr>
              <w:t>.</w:t>
            </w:r>
          </w:p>
        </w:tc>
        <w:tc>
          <w:tcPr>
            <w:tcW w:w="4860" w:type="dxa"/>
          </w:tcPr>
          <w:p w14:paraId="1DAE60E8" w14:textId="77777777" w:rsidR="00E14925" w:rsidRPr="0085159D" w:rsidRDefault="006D0AD8" w:rsidP="000B051F">
            <w:pPr>
              <w:pStyle w:val="TableCell"/>
              <w:widowControl/>
              <w:numPr>
                <w:ilvl w:val="0"/>
                <w:numId w:val="12"/>
              </w:numPr>
              <w:jc w:val="left"/>
              <w:rPr>
                <w:lang w:val="pl-PL"/>
              </w:rPr>
            </w:pPr>
            <w:r w:rsidRPr="0085159D">
              <w:rPr>
                <w:lang w:val="pl-PL"/>
              </w:rPr>
              <w:t>Liczba interesariuszy wykorzystujących przyjęte ramy kompetencji kluczowych w projektowaniu, wdrażaniu i ocenie swoich inicjatyw</w:t>
            </w:r>
          </w:p>
          <w:p w14:paraId="45C87282"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programów zgodnych z ramami kompetencji kluczowych </w:t>
            </w:r>
          </w:p>
        </w:tc>
      </w:tr>
      <w:tr w:rsidR="006D0AD8" w:rsidRPr="004571F3" w14:paraId="76BEF934" w14:textId="77777777" w:rsidTr="00262D62">
        <w:tc>
          <w:tcPr>
            <w:tcW w:w="2717" w:type="dxa"/>
            <w:vMerge w:val="restart"/>
            <w:hideMark/>
          </w:tcPr>
          <w:p w14:paraId="14DB592A" w14:textId="77777777" w:rsidR="006D0AD8" w:rsidRPr="0085159D" w:rsidRDefault="00E14925" w:rsidP="000B051F">
            <w:pPr>
              <w:pStyle w:val="TableCell"/>
              <w:widowControl/>
              <w:jc w:val="left"/>
              <w:rPr>
                <w:lang w:val="pl-PL"/>
              </w:rPr>
            </w:pPr>
            <w:r w:rsidRPr="0085159D">
              <w:rPr>
                <w:lang w:val="pl-PL"/>
              </w:rPr>
              <w:t>6. </w:t>
            </w:r>
            <w:r w:rsidR="00101CE4" w:rsidRPr="0085159D">
              <w:rPr>
                <w:lang w:val="pl-PL"/>
              </w:rPr>
              <w:t>Zapewnienie, aby programy edukacji finansowej były oparte na dowodach, w tym wynikach monitoringu i ewaluacji</w:t>
            </w:r>
          </w:p>
        </w:tc>
        <w:tc>
          <w:tcPr>
            <w:tcW w:w="6290" w:type="dxa"/>
            <w:noWrap/>
          </w:tcPr>
          <w:p w14:paraId="3DF85AC7" w14:textId="77777777" w:rsidR="006D0AD8" w:rsidRPr="0085159D" w:rsidRDefault="00101CE4" w:rsidP="000B051F">
            <w:pPr>
              <w:pStyle w:val="TableCell"/>
              <w:widowControl/>
              <w:jc w:val="left"/>
              <w:rPr>
                <w:lang w:val="pl-PL"/>
              </w:rPr>
            </w:pPr>
            <w:r w:rsidRPr="0085159D">
              <w:rPr>
                <w:lang w:val="pl-PL"/>
              </w:rPr>
              <w:t>Gromadzenie w regularnych odstępach czasu (na przykład co trzy-cztery lata) danych na temat kompetencji finansowych, włączenia finansowego i powiązanych z nimi obszarów, w celu monitorowania wpływu KSEF oraz jako informacji wejściowych na potrzeby tworzenia programów edukacji finansowej.</w:t>
            </w:r>
          </w:p>
        </w:tc>
        <w:tc>
          <w:tcPr>
            <w:tcW w:w="4860" w:type="dxa"/>
          </w:tcPr>
          <w:p w14:paraId="7BBF58CF" w14:textId="77777777" w:rsidR="006D0AD8" w:rsidRPr="0085159D" w:rsidRDefault="006D0AD8" w:rsidP="000B051F">
            <w:pPr>
              <w:pStyle w:val="TableCell"/>
              <w:widowControl/>
              <w:numPr>
                <w:ilvl w:val="0"/>
                <w:numId w:val="12"/>
              </w:numPr>
              <w:jc w:val="left"/>
              <w:rPr>
                <w:lang w:val="pl-PL"/>
              </w:rPr>
            </w:pPr>
            <w:r w:rsidRPr="0085159D">
              <w:rPr>
                <w:lang w:val="pl-PL"/>
              </w:rPr>
              <w:t xml:space="preserve">Regularnie </w:t>
            </w:r>
            <w:r w:rsidR="0014739C" w:rsidRPr="0085159D">
              <w:rPr>
                <w:lang w:val="pl-PL"/>
              </w:rPr>
              <w:t xml:space="preserve">realizowane badania w zakresie kompetencji finansowych </w:t>
            </w:r>
          </w:p>
        </w:tc>
      </w:tr>
      <w:tr w:rsidR="006D0AD8" w:rsidRPr="004571F3" w14:paraId="70F93E37" w14:textId="77777777" w:rsidTr="00262D62">
        <w:tc>
          <w:tcPr>
            <w:tcW w:w="2717" w:type="dxa"/>
            <w:vMerge/>
            <w:hideMark/>
          </w:tcPr>
          <w:p w14:paraId="176B3169" w14:textId="77777777" w:rsidR="006D0AD8" w:rsidRPr="0085159D" w:rsidRDefault="006D0AD8" w:rsidP="000B051F">
            <w:pPr>
              <w:pStyle w:val="TableCell"/>
              <w:widowControl/>
              <w:jc w:val="left"/>
              <w:rPr>
                <w:lang w:val="pl-PL"/>
              </w:rPr>
            </w:pPr>
          </w:p>
        </w:tc>
        <w:tc>
          <w:tcPr>
            <w:tcW w:w="6290" w:type="dxa"/>
            <w:noWrap/>
          </w:tcPr>
          <w:p w14:paraId="065343D1" w14:textId="77777777" w:rsidR="006D0AD8" w:rsidRPr="0085159D" w:rsidRDefault="00101CE4" w:rsidP="000B051F">
            <w:pPr>
              <w:pStyle w:val="TableCell"/>
              <w:widowControl/>
              <w:jc w:val="left"/>
              <w:rPr>
                <w:lang w:val="pl-PL"/>
              </w:rPr>
            </w:pPr>
            <w:r w:rsidRPr="0085159D">
              <w:rPr>
                <w:lang w:val="pl-PL"/>
              </w:rPr>
              <w:t>Projekty realizacji pogłębionych danych ilościowych i/lub jakościowych w odniesieniu do konkretnych podgrup populacji, skoordynowanych z KSEF, w celu zapewnienia, że prace nie są duplikowane oraz że potrzeby tych podgrup są dobrze zrozumiane.</w:t>
            </w:r>
          </w:p>
        </w:tc>
        <w:tc>
          <w:tcPr>
            <w:tcW w:w="4860" w:type="dxa"/>
          </w:tcPr>
          <w:p w14:paraId="435D6505"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projektów gromadzenia pogłębionych danych w poszczególnych podgrupach przeprowadzonych w zależności od potrzeb </w:t>
            </w:r>
          </w:p>
        </w:tc>
      </w:tr>
      <w:tr w:rsidR="006D0AD8" w:rsidRPr="004571F3" w14:paraId="4598329A" w14:textId="77777777" w:rsidTr="00262D62">
        <w:tc>
          <w:tcPr>
            <w:tcW w:w="2717" w:type="dxa"/>
            <w:vMerge/>
            <w:hideMark/>
          </w:tcPr>
          <w:p w14:paraId="24D4B62C" w14:textId="77777777" w:rsidR="006D0AD8" w:rsidRPr="0085159D" w:rsidRDefault="006D0AD8" w:rsidP="000B051F">
            <w:pPr>
              <w:pStyle w:val="TableCell"/>
              <w:widowControl/>
              <w:jc w:val="left"/>
              <w:rPr>
                <w:lang w:val="pl-PL"/>
              </w:rPr>
            </w:pPr>
          </w:p>
        </w:tc>
        <w:tc>
          <w:tcPr>
            <w:tcW w:w="6290" w:type="dxa"/>
            <w:noWrap/>
          </w:tcPr>
          <w:p w14:paraId="0F5D88EF" w14:textId="77777777" w:rsidR="006D0AD8" w:rsidRPr="0085159D" w:rsidRDefault="00101CE4" w:rsidP="000B051F">
            <w:pPr>
              <w:pStyle w:val="TableCell"/>
              <w:widowControl/>
              <w:jc w:val="left"/>
              <w:rPr>
                <w:lang w:val="pl-PL"/>
              </w:rPr>
            </w:pPr>
            <w:r w:rsidRPr="0085159D">
              <w:rPr>
                <w:lang w:val="pl-PL"/>
              </w:rPr>
              <w:t>Środowisko akademickie zachęcane jest do podejmowania badań nad zrozumieniem potrzeb oraz preferowanych kanałów komunikacji i uczenia się różnych grup docelowych, w celu wspierania opracowywania programów edukacji finansowej lepiej skrojonych do potrzeb tych grup, co pozwoli na bardziej skuteczne docieranie do odbiorców, a co za tym idzie – doprowadzi do większej efektywności procesu edukacyjnego.</w:t>
            </w:r>
          </w:p>
        </w:tc>
        <w:tc>
          <w:tcPr>
            <w:tcW w:w="4860" w:type="dxa"/>
          </w:tcPr>
          <w:p w14:paraId="125AEF3A"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rocznych badań/publikacji dotyczących edukacji finansowej w Polsce </w:t>
            </w:r>
          </w:p>
        </w:tc>
      </w:tr>
      <w:tr w:rsidR="006D0AD8" w:rsidRPr="004571F3" w14:paraId="51FE5583" w14:textId="77777777" w:rsidTr="00262D62">
        <w:tc>
          <w:tcPr>
            <w:tcW w:w="2717" w:type="dxa"/>
            <w:vMerge/>
            <w:hideMark/>
          </w:tcPr>
          <w:p w14:paraId="7ADA1010" w14:textId="77777777" w:rsidR="006D0AD8" w:rsidRPr="0085159D" w:rsidRDefault="006D0AD8" w:rsidP="000B051F">
            <w:pPr>
              <w:pStyle w:val="TableCell"/>
              <w:widowControl/>
              <w:jc w:val="left"/>
              <w:rPr>
                <w:lang w:val="pl-PL"/>
              </w:rPr>
            </w:pPr>
          </w:p>
        </w:tc>
        <w:tc>
          <w:tcPr>
            <w:tcW w:w="6290" w:type="dxa"/>
            <w:noWrap/>
          </w:tcPr>
          <w:p w14:paraId="1AA73904" w14:textId="77777777" w:rsidR="006D0AD8" w:rsidRPr="0085159D" w:rsidRDefault="00101CE4" w:rsidP="000B051F">
            <w:pPr>
              <w:pStyle w:val="TableCell"/>
              <w:widowControl/>
              <w:jc w:val="left"/>
              <w:rPr>
                <w:lang w:val="pl-PL"/>
              </w:rPr>
            </w:pPr>
            <w:r w:rsidRPr="0085159D">
              <w:rPr>
                <w:lang w:val="pl-PL"/>
              </w:rPr>
              <w:t>Opracowanie wytycznych dotyczących monitorowania i ewaluacji programów edukacji finansowej oraz zachęcanie do ich przyjęcia i stosowania</w:t>
            </w:r>
            <w:r w:rsidR="006D0AD8" w:rsidRPr="0085159D">
              <w:rPr>
                <w:lang w:val="pl-PL"/>
              </w:rPr>
              <w:t>.</w:t>
            </w:r>
          </w:p>
        </w:tc>
        <w:tc>
          <w:tcPr>
            <w:tcW w:w="4860" w:type="dxa"/>
          </w:tcPr>
          <w:p w14:paraId="1C430408"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programów edukacji finansowej ocenionych na podstawie wytycznych </w:t>
            </w:r>
            <w:proofErr w:type="spellStart"/>
            <w:r w:rsidRPr="0085159D">
              <w:rPr>
                <w:lang w:val="pl-PL"/>
              </w:rPr>
              <w:t>M</w:t>
            </w:r>
            <w:r w:rsidR="0014739C" w:rsidRPr="0085159D">
              <w:rPr>
                <w:lang w:val="pl-PL"/>
              </w:rPr>
              <w:t>iE</w:t>
            </w:r>
            <w:proofErr w:type="spellEnd"/>
          </w:p>
        </w:tc>
      </w:tr>
      <w:tr w:rsidR="006D0AD8" w:rsidRPr="004571F3" w14:paraId="7EDA9CCF" w14:textId="77777777" w:rsidTr="00262D62">
        <w:tc>
          <w:tcPr>
            <w:tcW w:w="2717" w:type="dxa"/>
            <w:vMerge w:val="restart"/>
            <w:hideMark/>
          </w:tcPr>
          <w:p w14:paraId="25235BAE" w14:textId="77777777" w:rsidR="006D0AD8" w:rsidRPr="0085159D" w:rsidRDefault="00E14925" w:rsidP="000B051F">
            <w:pPr>
              <w:pStyle w:val="TableCell"/>
              <w:widowControl/>
              <w:jc w:val="left"/>
              <w:rPr>
                <w:lang w:val="pl-PL"/>
              </w:rPr>
            </w:pPr>
            <w:r w:rsidRPr="0085159D">
              <w:rPr>
                <w:lang w:val="pl-PL"/>
              </w:rPr>
              <w:t>7. </w:t>
            </w:r>
            <w:r w:rsidR="00101CE4" w:rsidRPr="0085159D">
              <w:rPr>
                <w:lang w:val="pl-PL"/>
              </w:rPr>
              <w:t>Zapewnienie szerokiego i bezstronnego udziału odpowiednich interesariuszy w edukacji finansowej</w:t>
            </w:r>
            <w:r w:rsidRPr="0085159D">
              <w:rPr>
                <w:lang w:val="pl-PL"/>
              </w:rPr>
              <w:t xml:space="preserve">. </w:t>
            </w:r>
          </w:p>
        </w:tc>
        <w:tc>
          <w:tcPr>
            <w:tcW w:w="6290" w:type="dxa"/>
            <w:noWrap/>
            <w:hideMark/>
          </w:tcPr>
          <w:p w14:paraId="5880FAED" w14:textId="77777777" w:rsidR="006D0AD8" w:rsidRPr="0085159D" w:rsidRDefault="00101CE4" w:rsidP="000B051F">
            <w:pPr>
              <w:pStyle w:val="TableCell"/>
              <w:widowControl/>
              <w:jc w:val="left"/>
              <w:rPr>
                <w:lang w:val="pl-PL"/>
              </w:rPr>
            </w:pPr>
            <w:r w:rsidRPr="0085159D">
              <w:rPr>
                <w:lang w:val="pl-PL"/>
              </w:rPr>
              <w:t>Zidentyfikowanie kluczowych interesariuszy obszaru edukacji finansowej wśród podmiotów prywatnych, organizacji pozarządowych oraz instytucji opieki społecznej, jak również – jeżeli to możliwe – nawiązanie współpracy z nimi w celu wzmocnienia zakresu potencjalnego dotarcia do konsumentów, zwłaszcza tych z grup zagrożonych trudnościami finansowymi (takich jak gospodarstwa domowe o niskich dochodach, konsumenci zagrożeni nadmiernym zadłużeniem lub już nadmiernie zadłużeni, uchodźcy).</w:t>
            </w:r>
          </w:p>
        </w:tc>
        <w:tc>
          <w:tcPr>
            <w:tcW w:w="4860" w:type="dxa"/>
            <w:hideMark/>
          </w:tcPr>
          <w:p w14:paraId="67273255" w14:textId="77777777" w:rsidR="00E14925" w:rsidRPr="0085159D" w:rsidRDefault="006D0AD8" w:rsidP="000B051F">
            <w:pPr>
              <w:pStyle w:val="TableCell"/>
              <w:widowControl/>
              <w:numPr>
                <w:ilvl w:val="0"/>
                <w:numId w:val="12"/>
              </w:numPr>
              <w:jc w:val="left"/>
              <w:rPr>
                <w:lang w:val="pl-PL"/>
              </w:rPr>
            </w:pPr>
            <w:r w:rsidRPr="0085159D">
              <w:rPr>
                <w:lang w:val="pl-PL"/>
              </w:rPr>
              <w:t xml:space="preserve">Liczba organizacji aktywnie zaangażowanych w </w:t>
            </w:r>
            <w:r w:rsidR="0014739C" w:rsidRPr="0085159D">
              <w:rPr>
                <w:lang w:val="pl-PL"/>
              </w:rPr>
              <w:t xml:space="preserve">realizację </w:t>
            </w:r>
            <w:r w:rsidRPr="0085159D">
              <w:rPr>
                <w:lang w:val="pl-PL"/>
              </w:rPr>
              <w:t>edukacji finansowej</w:t>
            </w:r>
          </w:p>
          <w:p w14:paraId="65C2D7B8"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organizacji aktywnie uczestniczących w komitetach KSEF, grupach roboczych itp. </w:t>
            </w:r>
          </w:p>
        </w:tc>
      </w:tr>
      <w:tr w:rsidR="006D0AD8" w:rsidRPr="004571F3" w14:paraId="1FE1BBA1" w14:textId="77777777" w:rsidTr="00262D62">
        <w:tc>
          <w:tcPr>
            <w:tcW w:w="2717" w:type="dxa"/>
            <w:vMerge/>
            <w:hideMark/>
          </w:tcPr>
          <w:p w14:paraId="23BEB1C7" w14:textId="77777777" w:rsidR="006D0AD8" w:rsidRPr="0085159D" w:rsidRDefault="006D0AD8" w:rsidP="000B051F">
            <w:pPr>
              <w:pStyle w:val="TableCell"/>
              <w:widowControl/>
              <w:jc w:val="left"/>
              <w:rPr>
                <w:lang w:val="pl-PL"/>
              </w:rPr>
            </w:pPr>
          </w:p>
        </w:tc>
        <w:tc>
          <w:tcPr>
            <w:tcW w:w="6290" w:type="dxa"/>
            <w:noWrap/>
            <w:hideMark/>
          </w:tcPr>
          <w:p w14:paraId="65B6ED71" w14:textId="77777777" w:rsidR="006D0AD8" w:rsidRPr="0085159D" w:rsidRDefault="00101CE4" w:rsidP="000B051F">
            <w:pPr>
              <w:pStyle w:val="TableCell"/>
              <w:widowControl/>
              <w:jc w:val="left"/>
              <w:rPr>
                <w:lang w:val="pl-PL"/>
              </w:rPr>
            </w:pPr>
            <w:r w:rsidRPr="0085159D">
              <w:rPr>
                <w:lang w:val="pl-PL"/>
              </w:rPr>
              <w:t>Opracowanie, wspólnie z właściwymi interesariuszami, wytycznych i/lub najlepszych praktyk dotyczących zaangażowania w edukację finansową instytucji publicznych, organizacji pozarządowych oraz podmiotów prywatnych i zachęcanie do ich stosowania.</w:t>
            </w:r>
          </w:p>
        </w:tc>
        <w:tc>
          <w:tcPr>
            <w:tcW w:w="4860" w:type="dxa"/>
            <w:hideMark/>
          </w:tcPr>
          <w:p w14:paraId="35BFF333" w14:textId="77777777" w:rsidR="006D0AD8" w:rsidRPr="0085159D" w:rsidRDefault="006D0AD8" w:rsidP="000B051F">
            <w:pPr>
              <w:pStyle w:val="TableCell"/>
              <w:widowControl/>
              <w:numPr>
                <w:ilvl w:val="0"/>
                <w:numId w:val="12"/>
              </w:numPr>
              <w:jc w:val="left"/>
              <w:rPr>
                <w:lang w:val="pl-PL"/>
              </w:rPr>
            </w:pPr>
            <w:r w:rsidRPr="0085159D">
              <w:rPr>
                <w:lang w:val="pl-PL"/>
              </w:rPr>
              <w:t xml:space="preserve">Liczba organizacji przyjmujących i przestrzegających wytycznych lub dobrych praktyk dotyczących zaangażowania organizacji publicznych, </w:t>
            </w:r>
            <w:r w:rsidR="00843A1D" w:rsidRPr="0085159D">
              <w:rPr>
                <w:lang w:val="pl-PL"/>
              </w:rPr>
              <w:t xml:space="preserve">pozarządowych </w:t>
            </w:r>
            <w:r w:rsidRPr="0085159D">
              <w:rPr>
                <w:lang w:val="pl-PL"/>
              </w:rPr>
              <w:t>i prywatnych w edukację finansową</w:t>
            </w:r>
          </w:p>
        </w:tc>
      </w:tr>
    </w:tbl>
    <w:p w14:paraId="31E7C9A2" w14:textId="77777777" w:rsidR="006D0AD8" w:rsidRPr="0085159D" w:rsidRDefault="006D0AD8" w:rsidP="000B051F">
      <w:pPr>
        <w:widowControl/>
        <w:spacing w:after="200" w:line="276" w:lineRule="auto"/>
        <w:jc w:val="left"/>
        <w:rPr>
          <w:color w:val="000000" w:themeColor="text1"/>
          <w:sz w:val="20"/>
          <w:lang w:val="pl-PL"/>
        </w:rPr>
      </w:pPr>
    </w:p>
    <w:p w14:paraId="242F23E5" w14:textId="77777777" w:rsidR="006D0AD8" w:rsidRPr="0085159D" w:rsidRDefault="006D0AD8" w:rsidP="000B051F">
      <w:pPr>
        <w:pStyle w:val="Para0"/>
        <w:rPr>
          <w:lang w:val="pl-PL"/>
        </w:rPr>
      </w:pPr>
    </w:p>
    <w:p w14:paraId="3F80CC14" w14:textId="77777777" w:rsidR="00282A62" w:rsidRPr="0085159D" w:rsidRDefault="00282A62" w:rsidP="000B051F">
      <w:pPr>
        <w:pStyle w:val="Para0"/>
        <w:rPr>
          <w:lang w:val="pl-PL"/>
        </w:rPr>
        <w:sectPr w:rsidR="00282A62" w:rsidRPr="0085159D" w:rsidSect="00EA3FB1">
          <w:headerReference w:type="even" r:id="rId23"/>
          <w:headerReference w:type="default" r:id="rId24"/>
          <w:footerReference w:type="even" r:id="rId25"/>
          <w:footerReference w:type="default" r:id="rId26"/>
          <w:headerReference w:type="first" r:id="rId27"/>
          <w:footerReference w:type="first" r:id="rId28"/>
          <w:endnotePr>
            <w:numFmt w:val="decimal"/>
            <w:numRestart w:val="eachSect"/>
          </w:endnotePr>
          <w:pgSz w:w="16838" w:h="11906" w:orient="landscape" w:code="9"/>
          <w:pgMar w:top="1814" w:right="1814" w:bottom="1758" w:left="1758" w:header="1247" w:footer="1020" w:gutter="0"/>
          <w:cols w:space="708"/>
          <w:noEndnote/>
          <w:docGrid w:linePitch="360"/>
        </w:sectPr>
      </w:pPr>
    </w:p>
    <w:bookmarkStart w:id="61" w:name="_Toc131520825" w:displacedByCustomXml="next"/>
    <w:sdt>
      <w:sdtPr>
        <w:rPr>
          <w:rFonts w:asciiTheme="minorHAnsi" w:eastAsiaTheme="minorHAnsi" w:hAnsiTheme="minorHAnsi" w:cstheme="minorBidi"/>
          <w:b w:val="0"/>
          <w:color w:val="auto"/>
          <w:sz w:val="22"/>
          <w:szCs w:val="22"/>
          <w:lang w:val="pl-PL"/>
        </w:rPr>
        <w:id w:val="2032836518"/>
        <w:docPartObj>
          <w:docPartGallery w:val="Bibliographies"/>
          <w:docPartUnique/>
        </w:docPartObj>
      </w:sdtPr>
      <w:sdtEndPr/>
      <w:sdtContent>
        <w:bookmarkEnd w:id="61" w:displacedByCustomXml="prev"/>
        <w:p w14:paraId="4B21E478" w14:textId="77777777" w:rsidR="006D0AD8" w:rsidRPr="0085159D" w:rsidRDefault="00AA45D8" w:rsidP="000B051F">
          <w:pPr>
            <w:pStyle w:val="Tytu"/>
            <w:rPr>
              <w:lang w:val="pl-PL"/>
            </w:rPr>
          </w:pPr>
          <w:r w:rsidRPr="004A096F">
            <w:rPr>
              <w:bCs/>
              <w:color w:val="auto"/>
              <w:lang w:val="pl-PL"/>
            </w:rPr>
            <w:t>Źródła</w:t>
          </w:r>
        </w:p>
        <w:sdt>
          <w:sdtPr>
            <w:rPr>
              <w:lang w:val="pl-PL"/>
            </w:rPr>
            <w:id w:val="1336032325"/>
            <w:bibliography/>
          </w:sdtPr>
          <w:sdtEndPr/>
          <w:sdtContent>
            <w:p w14:paraId="6E46BB30" w14:textId="77777777" w:rsidR="00EA3FB1" w:rsidRPr="0085159D" w:rsidRDefault="006D0AD8" w:rsidP="000B051F">
              <w:pPr>
                <w:widowControl/>
                <w:rPr>
                  <w:noProof/>
                  <w:lang w:val="pl-PL"/>
                </w:rPr>
              </w:pPr>
              <w:r w:rsidRPr="0085159D">
                <w:rPr>
                  <w:lang w:val="pl-PL"/>
                </w:rPr>
                <w:fldChar w:fldCharType="begin"/>
              </w:r>
              <w:r w:rsidRPr="0085159D">
                <w:rPr>
                  <w:lang w:val="pl-PL"/>
                </w:rPr>
                <w:instrText xml:space="preserve"> BIBLIOGRAPHY </w:instrText>
              </w:r>
              <w:r w:rsidRPr="0085159D">
                <w:rPr>
                  <w:lang w:val="pl-PL"/>
                </w:rPr>
                <w:fldChar w:fldCharType="separate"/>
              </w:r>
            </w:p>
            <w:tbl>
              <w:tblPr>
                <w:tblW w:w="9298" w:type="dxa"/>
                <w:tblInd w:w="60" w:type="dxa"/>
                <w:tblLayout w:type="fixed"/>
                <w:tblCellMar>
                  <w:top w:w="60" w:type="dxa"/>
                  <w:left w:w="60" w:type="dxa"/>
                  <w:bottom w:w="60" w:type="dxa"/>
                  <w:right w:w="60" w:type="dxa"/>
                </w:tblCellMar>
                <w:tblLook w:val="04A0" w:firstRow="1" w:lastRow="0" w:firstColumn="1" w:lastColumn="0" w:noHBand="0" w:noVBand="1"/>
              </w:tblPr>
              <w:tblGrid>
                <w:gridCol w:w="8698"/>
                <w:gridCol w:w="600"/>
              </w:tblGrid>
              <w:tr w:rsidR="00EA3FB1" w:rsidRPr="0085159D" w14:paraId="1A1362B2" w14:textId="77777777" w:rsidTr="00EA3FB1">
                <w:trPr>
                  <w:divId w:val="1248347839"/>
                  <w:cantSplit/>
                </w:trPr>
                <w:tc>
                  <w:tcPr>
                    <w:tcW w:w="8698" w:type="dxa"/>
                    <w:hideMark/>
                  </w:tcPr>
                  <w:p w14:paraId="2A881A59" w14:textId="77777777" w:rsidR="00EA3FB1" w:rsidRPr="0085159D" w:rsidRDefault="00EA3FB1" w:rsidP="000B051F">
                    <w:pPr>
                      <w:pStyle w:val="Bibliografia"/>
                      <w:widowControl/>
                      <w:rPr>
                        <w:noProof/>
                        <w:sz w:val="24"/>
                        <w:szCs w:val="24"/>
                        <w:lang w:val="pl-PL"/>
                      </w:rPr>
                    </w:pPr>
                    <w:r w:rsidRPr="0085159D">
                      <w:rPr>
                        <w:noProof/>
                        <w:lang w:val="pl-PL"/>
                      </w:rPr>
                      <w:t xml:space="preserve">Izba Zarządzających Funduszami i Aktywami (2021), </w:t>
                    </w:r>
                    <w:r w:rsidRPr="0085159D">
                      <w:rPr>
                        <w:i/>
                        <w:iCs/>
                        <w:noProof/>
                        <w:lang w:val="pl-PL"/>
                      </w:rPr>
                      <w:t>Badanie wiedzy, postaw wobec inwestowania oraz funduszy inwestycyjnych. Raport z badania</w:t>
                    </w:r>
                    <w:r w:rsidRPr="0085159D">
                      <w:rPr>
                        <w:noProof/>
                        <w:lang w:val="pl-PL"/>
                      </w:rPr>
                      <w:t xml:space="preserve">, </w:t>
                    </w:r>
                    <w:r w:rsidRPr="0085159D">
                      <w:rPr>
                        <w:noProof/>
                        <w:color w:val="0000FF"/>
                        <w:u w:val="single"/>
                        <w:lang w:val="pl-PL"/>
                      </w:rPr>
                      <w:t>https://www.izfa.pl/download/pobierz/raport-z-badania-izfia-2021</w:t>
                    </w:r>
                    <w:r w:rsidRPr="0085159D">
                      <w:rPr>
                        <w:noProof/>
                        <w:lang w:val="pl-PL"/>
                      </w:rPr>
                      <w:t>.</w:t>
                    </w:r>
                  </w:p>
                </w:tc>
                <w:tc>
                  <w:tcPr>
                    <w:tcW w:w="600" w:type="dxa"/>
                    <w:noWrap/>
                    <w:hideMark/>
                  </w:tcPr>
                  <w:p w14:paraId="42679030"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[26]</w:t>
                    </w:r>
                  </w:p>
                </w:tc>
              </w:tr>
              <w:tr w:rsidR="00EA3FB1" w:rsidRPr="0085159D" w14:paraId="4DE5800F" w14:textId="77777777" w:rsidTr="00EA3FB1">
                <w:trPr>
                  <w:divId w:val="1248347839"/>
                  <w:cantSplit/>
                </w:trPr>
                <w:tc>
                  <w:tcPr>
                    <w:tcW w:w="8698" w:type="dxa"/>
                    <w:hideMark/>
                  </w:tcPr>
                  <w:p w14:paraId="74BE17A9" w14:textId="77777777" w:rsidR="00EA3FB1" w:rsidRPr="00380228" w:rsidRDefault="00EA3FB1" w:rsidP="000B051F">
                    <w:pPr>
                      <w:pStyle w:val="Bibliografia"/>
                      <w:widowControl/>
                      <w:rPr>
                        <w:noProof/>
                      </w:rPr>
                    </w:pPr>
                    <w:r w:rsidRPr="00380228">
                      <w:rPr>
                        <w:noProof/>
                      </w:rPr>
                      <w:t xml:space="preserve">Demirgüç-Kunt, A. i in. (2022), </w:t>
                    </w:r>
                    <w:r w:rsidRPr="00380228">
                      <w:rPr>
                        <w:i/>
                        <w:iCs/>
                        <w:noProof/>
                      </w:rPr>
                      <w:t>Global Findex Database 2021: Financial Inclusion, Digital Payments, and Resilience in the Age of COVID-19</w:t>
                    </w:r>
                    <w:r w:rsidRPr="00380228">
                      <w:rPr>
                        <w:noProof/>
                      </w:rPr>
                      <w:t xml:space="preserve">, World Bank Group, Washington, DC, </w:t>
                    </w:r>
                    <w:r w:rsidRPr="00380228">
                      <w:rPr>
                        <w:noProof/>
                        <w:color w:val="0000FF"/>
                        <w:u w:val="single"/>
                      </w:rPr>
                      <w:t>https://doi.org/10.1596/978-1-4648-1897-4</w:t>
                    </w:r>
                    <w:r w:rsidRPr="00380228">
                      <w:rPr>
                        <w:noProof/>
                      </w:rPr>
                      <w:t>.</w:t>
                    </w:r>
                  </w:p>
                </w:tc>
                <w:tc>
                  <w:tcPr>
                    <w:tcW w:w="600" w:type="dxa"/>
                    <w:noWrap/>
                    <w:hideMark/>
                  </w:tcPr>
                  <w:p w14:paraId="3B9E95CC"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w:t>
                    </w:r>
                  </w:p>
                </w:tc>
              </w:tr>
              <w:tr w:rsidR="00EA3FB1" w:rsidRPr="0085159D" w14:paraId="0AC9F18D" w14:textId="77777777" w:rsidTr="00EA3FB1">
                <w:trPr>
                  <w:divId w:val="1248347839"/>
                  <w:cantSplit/>
                </w:trPr>
                <w:tc>
                  <w:tcPr>
                    <w:tcW w:w="8698" w:type="dxa"/>
                    <w:hideMark/>
                  </w:tcPr>
                  <w:p w14:paraId="786EAE31" w14:textId="77777777" w:rsidR="00EA3FB1" w:rsidRPr="00380228" w:rsidRDefault="00EA3FB1" w:rsidP="000B051F">
                    <w:pPr>
                      <w:pStyle w:val="Bibliografia"/>
                      <w:widowControl/>
                      <w:rPr>
                        <w:noProof/>
                      </w:rPr>
                    </w:pPr>
                    <w:r w:rsidRPr="00380228">
                      <w:rPr>
                        <w:noProof/>
                      </w:rPr>
                      <w:t xml:space="preserve">Eurofound (2020), </w:t>
                    </w:r>
                    <w:r w:rsidRPr="00380228">
                      <w:rPr>
                        <w:i/>
                        <w:iCs/>
                        <w:noProof/>
                      </w:rPr>
                      <w:t>Addressing household over-indebtedness</w:t>
                    </w:r>
                    <w:r w:rsidRPr="00380228">
                      <w:rPr>
                        <w:noProof/>
                      </w:rPr>
                      <w:t xml:space="preserve">, Urząd Publikacji UE, Luksemburg, </w:t>
                    </w:r>
                    <w:r w:rsidRPr="00380228">
                      <w:rPr>
                        <w:noProof/>
                        <w:color w:val="0000FF"/>
                        <w:u w:val="single"/>
                      </w:rPr>
                      <w:t>http://www.eurofound.europa.eu/publications/report/2020/addressing-household-over-indebtedness</w:t>
                    </w:r>
                    <w:r w:rsidRPr="00380228">
                      <w:rPr>
                        <w:noProof/>
                      </w:rPr>
                      <w:t>.</w:t>
                    </w:r>
                  </w:p>
                </w:tc>
                <w:tc>
                  <w:tcPr>
                    <w:tcW w:w="600" w:type="dxa"/>
                    <w:noWrap/>
                    <w:hideMark/>
                  </w:tcPr>
                  <w:p w14:paraId="491D7979"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[6]</w:t>
                    </w:r>
                  </w:p>
                </w:tc>
              </w:tr>
              <w:tr w:rsidR="00EA3FB1" w:rsidRPr="0085159D" w14:paraId="795D719C" w14:textId="77777777" w:rsidTr="00EA3FB1">
                <w:trPr>
                  <w:divId w:val="1248347839"/>
                  <w:cantSplit/>
                </w:trPr>
                <w:tc>
                  <w:tcPr>
                    <w:tcW w:w="8698" w:type="dxa"/>
                    <w:hideMark/>
                  </w:tcPr>
                  <w:p w14:paraId="0044527E" w14:textId="77777777" w:rsidR="00EA3FB1" w:rsidRPr="00380228" w:rsidRDefault="00EA3FB1" w:rsidP="000B051F">
                    <w:pPr>
                      <w:pStyle w:val="Bibliografia"/>
                      <w:widowControl/>
                      <w:rPr>
                        <w:noProof/>
                      </w:rPr>
                    </w:pPr>
                    <w:r w:rsidRPr="00380228">
                      <w:rPr>
                        <w:noProof/>
                      </w:rPr>
                      <w:t xml:space="preserve">Komisja Europejska (2021), </w:t>
                    </w:r>
                    <w:r w:rsidRPr="00380228">
                      <w:rPr>
                        <w:i/>
                        <w:iCs/>
                        <w:noProof/>
                      </w:rPr>
                      <w:t>Poland in the Digital Economy and Society Index</w:t>
                    </w:r>
                    <w:r w:rsidRPr="00380228">
                      <w:rPr>
                        <w:noProof/>
                      </w:rPr>
                      <w:t xml:space="preserve">, </w:t>
                    </w:r>
                    <w:r w:rsidRPr="00380228">
                      <w:rPr>
                        <w:noProof/>
                        <w:color w:val="0000FF"/>
                        <w:u w:val="single"/>
                      </w:rPr>
                      <w:t>https://digital-strategy.ec.europa.eu/en/policies/desi-poland</w:t>
                    </w:r>
                    <w:r w:rsidRPr="00380228">
                      <w:rPr>
                        <w:noProof/>
                      </w:rPr>
                      <w:t xml:space="preserve"> (dostęp z 20 marca 2022 r.).</w:t>
                    </w:r>
                  </w:p>
                </w:tc>
                <w:tc>
                  <w:tcPr>
                    <w:tcW w:w="600" w:type="dxa"/>
                    <w:noWrap/>
                    <w:hideMark/>
                  </w:tcPr>
                  <w:p w14:paraId="581D5BF4"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[7]</w:t>
                    </w:r>
                  </w:p>
                </w:tc>
              </w:tr>
              <w:tr w:rsidR="00EA3FB1" w:rsidRPr="0085159D" w14:paraId="7ACF1896" w14:textId="77777777" w:rsidTr="00EA3FB1">
                <w:trPr>
                  <w:divId w:val="1248347839"/>
                  <w:cantSplit/>
                </w:trPr>
                <w:tc>
                  <w:tcPr>
                    <w:tcW w:w="8698" w:type="dxa"/>
                    <w:hideMark/>
                  </w:tcPr>
                  <w:p w14:paraId="10DC7153" w14:textId="77777777" w:rsidR="00EA3FB1" w:rsidRPr="0085159D" w:rsidRDefault="00EA3FB1" w:rsidP="000B051F">
                    <w:pPr>
                      <w:pStyle w:val="Bibliografia"/>
                      <w:widowControl/>
                      <w:rPr>
                        <w:noProof/>
                        <w:lang w:val="pl-PL"/>
                      </w:rPr>
                    </w:pPr>
                    <w:r w:rsidRPr="0085159D">
                      <w:rPr>
                        <w:noProof/>
                        <w:lang w:val="pl-PL"/>
                      </w:rPr>
                      <w:t xml:space="preserve">Komisja Europejska, Dyrekcja Generalna ds. Edukacji, Młodzieży, Sportu i Kultury (2019), </w:t>
                    </w:r>
                    <w:r w:rsidRPr="0085159D">
                      <w:rPr>
                        <w:i/>
                        <w:iCs/>
                        <w:noProof/>
                        <w:lang w:val="pl-PL"/>
                      </w:rPr>
                      <w:t>Key competences for lifelong learning</w:t>
                    </w:r>
                    <w:r w:rsidRPr="0085159D">
                      <w:rPr>
                        <w:noProof/>
                        <w:lang w:val="pl-PL"/>
                      </w:rPr>
                      <w:t xml:space="preserve">, Urząd Publikacji UE, </w:t>
                    </w:r>
                    <w:r w:rsidRPr="0085159D">
                      <w:rPr>
                        <w:noProof/>
                        <w:color w:val="0000FF"/>
                        <w:u w:val="single"/>
                        <w:lang w:val="pl-PL"/>
                      </w:rPr>
                      <w:t>https://op.europa.eu/en/publication-detail/-/publication/297a33c8-a1f3-11e9-9d01-01aa75ed71a1/language-en</w:t>
                    </w:r>
                    <w:r w:rsidRPr="0085159D">
                      <w:rPr>
                        <w:noProof/>
                        <w:lang w:val="pl-PL"/>
                      </w:rPr>
                      <w:t xml:space="preserve"> (dostęp z 22 lutego 2023 r.).</w:t>
                    </w:r>
                  </w:p>
                </w:tc>
                <w:tc>
                  <w:tcPr>
                    <w:tcW w:w="600" w:type="dxa"/>
                    <w:noWrap/>
                    <w:hideMark/>
                  </w:tcPr>
                  <w:p w14:paraId="73F4362C"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[13]</w:t>
                    </w:r>
                  </w:p>
                </w:tc>
              </w:tr>
              <w:tr w:rsidR="00EA3FB1" w:rsidRPr="0085159D" w14:paraId="7161EA63" w14:textId="77777777" w:rsidTr="00EA3FB1">
                <w:trPr>
                  <w:divId w:val="1248347839"/>
                  <w:cantSplit/>
                </w:trPr>
                <w:tc>
                  <w:tcPr>
                    <w:tcW w:w="8698" w:type="dxa"/>
                    <w:hideMark/>
                  </w:tcPr>
                  <w:p w14:paraId="75EF3431" w14:textId="6F6720F2" w:rsidR="00EA3FB1" w:rsidRPr="0085159D" w:rsidRDefault="00EA3FB1" w:rsidP="000B051F">
                    <w:pPr>
                      <w:pStyle w:val="Bibliografia"/>
                      <w:widowControl/>
                      <w:rPr>
                        <w:noProof/>
                        <w:lang w:val="pl-PL"/>
                      </w:rPr>
                    </w:pPr>
                    <w:r w:rsidRPr="0085159D">
                      <w:rPr>
                        <w:noProof/>
                        <w:lang w:val="pl-PL"/>
                      </w:rPr>
                      <w:t xml:space="preserve">Komisja Europejska, (2016), </w:t>
                    </w:r>
                    <w:r w:rsidRPr="0085159D">
                      <w:rPr>
                        <w:i/>
                        <w:iCs/>
                        <w:noProof/>
                        <w:lang w:val="pl-PL"/>
                      </w:rPr>
                      <w:t>EntreComp: The Entrepreneurship Competence Framework</w:t>
                    </w:r>
                    <w:r w:rsidR="00843A1D" w:rsidRPr="0085159D">
                      <w:rPr>
                        <w:i/>
                        <w:iCs/>
                        <w:noProof/>
                        <w:lang w:val="pl-PL"/>
                      </w:rPr>
                      <w:t xml:space="preserve"> </w:t>
                    </w:r>
                    <w:r w:rsidR="00843A1D" w:rsidRPr="0085159D">
                      <w:rPr>
                        <w:noProof/>
                        <w:lang w:val="pl-PL"/>
                      </w:rPr>
                      <w:t>[Ramowa struktura kompetencji w zakresie przedsiębiorczości]</w:t>
                    </w:r>
                    <w:r w:rsidRPr="0085159D">
                      <w:rPr>
                        <w:noProof/>
                        <w:lang w:val="pl-PL"/>
                      </w:rPr>
                      <w:t xml:space="preserve">, Urząd Publikacji UE, </w:t>
                    </w:r>
                    <w:r w:rsidRPr="0085159D">
                      <w:rPr>
                        <w:noProof/>
                        <w:color w:val="0000FF"/>
                        <w:u w:val="single"/>
                        <w:lang w:val="pl-PL"/>
                      </w:rPr>
                      <w:t>https://publications.jrc.ec.europa.eu/repository/handle/JRC101581</w:t>
                    </w:r>
                    <w:r w:rsidRPr="0085159D">
                      <w:rPr>
                        <w:noProof/>
                        <w:lang w:val="pl-PL"/>
                      </w:rPr>
                      <w:t xml:space="preserve"> (dostęp z 22 lutego 2023 r.).</w:t>
                    </w:r>
                  </w:p>
                </w:tc>
                <w:tc>
                  <w:tcPr>
                    <w:tcW w:w="600" w:type="dxa"/>
                    <w:noWrap/>
                    <w:hideMark/>
                  </w:tcPr>
                  <w:p w14:paraId="74B225D2"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[14]</w:t>
                    </w:r>
                  </w:p>
                </w:tc>
              </w:tr>
              <w:tr w:rsidR="00EA3FB1" w:rsidRPr="0085159D" w14:paraId="7C384741" w14:textId="77777777" w:rsidTr="00EA3FB1">
                <w:trPr>
                  <w:divId w:val="1248347839"/>
                  <w:cantSplit/>
                </w:trPr>
                <w:tc>
                  <w:tcPr>
                    <w:tcW w:w="8698" w:type="dxa"/>
                    <w:hideMark/>
                  </w:tcPr>
                  <w:p w14:paraId="5469D6F8" w14:textId="77777777" w:rsidR="00EA3FB1" w:rsidRPr="0085159D" w:rsidRDefault="00EA3FB1" w:rsidP="000B051F">
                    <w:pPr>
                      <w:pStyle w:val="Bibliografia"/>
                      <w:widowControl/>
                      <w:rPr>
                        <w:noProof/>
                        <w:lang w:val="pl-PL"/>
                      </w:rPr>
                    </w:pPr>
                    <w:r w:rsidRPr="0085159D">
                      <w:rPr>
                        <w:noProof/>
                        <w:lang w:val="pl-PL"/>
                      </w:rPr>
                      <w:t xml:space="preserve">Rząd RP (2017), </w:t>
                    </w:r>
                    <w:r w:rsidRPr="0085159D">
                      <w:rPr>
                        <w:i/>
                        <w:iCs/>
                        <w:noProof/>
                        <w:lang w:val="pl-PL"/>
                      </w:rPr>
                      <w:t>Strategia Odpowiedzialnego Rozwoju</w:t>
                    </w:r>
                    <w:r w:rsidRPr="0085159D">
                      <w:rPr>
                        <w:noProof/>
                        <w:lang w:val="pl-PL"/>
                      </w:rPr>
                      <w:t xml:space="preserve">, </w:t>
                    </w:r>
                    <w:r w:rsidRPr="0085159D">
                      <w:rPr>
                        <w:noProof/>
                        <w:color w:val="0000FF"/>
                        <w:u w:val="single"/>
                        <w:lang w:val="pl-PL"/>
                      </w:rPr>
                      <w:t>https://www.gov.pl/documents/33377/436740/SOR_2017_streszczenie_en.pdf</w:t>
                    </w:r>
                    <w:r w:rsidRPr="0085159D">
                      <w:rPr>
                        <w:noProof/>
                        <w:lang w:val="pl-PL"/>
                      </w:rPr>
                      <w:t xml:space="preserve"> (dostęp z dnia 2 marca 2023 r.).</w:t>
                    </w:r>
                  </w:p>
                </w:tc>
                <w:tc>
                  <w:tcPr>
                    <w:tcW w:w="600" w:type="dxa"/>
                    <w:noWrap/>
                    <w:hideMark/>
                  </w:tcPr>
                  <w:p w14:paraId="7B68BD6F"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[10]</w:t>
                    </w:r>
                  </w:p>
                </w:tc>
              </w:tr>
              <w:tr w:rsidR="00EA3FB1" w:rsidRPr="0085159D" w14:paraId="731F0554" w14:textId="77777777" w:rsidTr="00EA3FB1">
                <w:trPr>
                  <w:divId w:val="1248347839"/>
                  <w:cantSplit/>
                </w:trPr>
                <w:tc>
                  <w:tcPr>
                    <w:tcW w:w="8698" w:type="dxa"/>
                    <w:hideMark/>
                  </w:tcPr>
                  <w:p w14:paraId="1612733D" w14:textId="77777777" w:rsidR="00EA3FB1" w:rsidRPr="0085159D" w:rsidRDefault="00EA3FB1" w:rsidP="000B051F">
                    <w:pPr>
                      <w:pStyle w:val="Bibliografia"/>
                      <w:widowControl/>
                      <w:rPr>
                        <w:noProof/>
                        <w:lang w:val="pl-PL"/>
                      </w:rPr>
                    </w:pPr>
                    <w:r w:rsidRPr="0085159D">
                      <w:rPr>
                        <w:noProof/>
                        <w:lang w:val="pl-PL"/>
                      </w:rPr>
                      <w:t xml:space="preserve">Kolanowska, E. (2021), </w:t>
                    </w:r>
                    <w:r w:rsidRPr="0085159D">
                      <w:rPr>
                        <w:i/>
                        <w:iCs/>
                        <w:noProof/>
                        <w:lang w:val="pl-PL"/>
                      </w:rPr>
                      <w:t>The System of Education in Poland 2020</w:t>
                    </w:r>
                    <w:r w:rsidRPr="0085159D">
                      <w:rPr>
                        <w:noProof/>
                        <w:lang w:val="pl-PL"/>
                      </w:rPr>
                      <w:t xml:space="preserve">, Fundacja Rozwoju Systemu Edukacji, </w:t>
                    </w:r>
                    <w:r w:rsidRPr="0085159D">
                      <w:rPr>
                        <w:noProof/>
                        <w:color w:val="0000FF"/>
                        <w:u w:val="single"/>
                        <w:lang w:val="pl-PL"/>
                      </w:rPr>
                      <w:t>https://doi.org/10.47050/66515222</w:t>
                    </w:r>
                    <w:r w:rsidRPr="0085159D">
                      <w:rPr>
                        <w:noProof/>
                        <w:lang w:val="pl-PL"/>
                      </w:rPr>
                      <w:t>.</w:t>
                    </w:r>
                  </w:p>
                </w:tc>
                <w:tc>
                  <w:tcPr>
                    <w:tcW w:w="600" w:type="dxa"/>
                    <w:noWrap/>
                    <w:hideMark/>
                  </w:tcPr>
                  <w:p w14:paraId="5CDBB0EB"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[35]</w:t>
                    </w:r>
                  </w:p>
                </w:tc>
              </w:tr>
              <w:tr w:rsidR="00EA3FB1" w:rsidRPr="0085159D" w14:paraId="0BA48CAE" w14:textId="77777777" w:rsidTr="00EA3FB1">
                <w:trPr>
                  <w:divId w:val="1248347839"/>
                  <w:cantSplit/>
                </w:trPr>
                <w:tc>
                  <w:tcPr>
                    <w:tcW w:w="8698" w:type="dxa"/>
                    <w:hideMark/>
                  </w:tcPr>
                  <w:p w14:paraId="081C5F2E" w14:textId="001BD213" w:rsidR="00EA3FB1" w:rsidRPr="00380228" w:rsidRDefault="00EA3FB1" w:rsidP="000B051F">
                    <w:pPr>
                      <w:pStyle w:val="Bibliografia"/>
                      <w:widowControl/>
                      <w:rPr>
                        <w:noProof/>
                      </w:rPr>
                    </w:pPr>
                    <w:r w:rsidRPr="00380228">
                      <w:rPr>
                        <w:noProof/>
                      </w:rPr>
                      <w:t>Vestergaard, </w:t>
                    </w:r>
                    <w:r w:rsidR="00F005FF">
                      <w:rPr>
                        <w:noProof/>
                      </w:rPr>
                      <w:t xml:space="preserve">L., </w:t>
                    </w:r>
                    <w:r w:rsidRPr="00380228">
                      <w:rPr>
                        <w:noProof/>
                      </w:rPr>
                      <w:t xml:space="preserve">K. (red.) (2011), </w:t>
                    </w:r>
                    <w:r w:rsidRPr="00380228">
                      <w:rPr>
                        <w:i/>
                        <w:iCs/>
                        <w:noProof/>
                      </w:rPr>
                      <w:t>Impact of Entrepreneurship Education in Denmark</w:t>
                    </w:r>
                    <w:r w:rsidRPr="00380228">
                      <w:rPr>
                        <w:noProof/>
                      </w:rPr>
                      <w:t xml:space="preserve">, Odense: Duńska Fundacja na rzecz Przedsiębiorczości – Young Enterprise, </w:t>
                    </w:r>
                    <w:r w:rsidRPr="00380228">
                      <w:rPr>
                        <w:noProof/>
                        <w:color w:val="0000FF"/>
                        <w:u w:val="single"/>
                      </w:rPr>
                      <w:t>https://eng.ffe-ye.dk/media/202248/impact_of_entrepreneurship_education_in_denmark_2011.pdf</w:t>
                    </w:r>
                    <w:r w:rsidRPr="00380228">
                      <w:rPr>
                        <w:noProof/>
                      </w:rPr>
                      <w:t xml:space="preserve"> (dostęp z dnia 22 lutego 2023 r.).</w:t>
                    </w:r>
                  </w:p>
                </w:tc>
                <w:tc>
                  <w:tcPr>
                    <w:tcW w:w="600" w:type="dxa"/>
                    <w:noWrap/>
                    <w:hideMark/>
                  </w:tcPr>
                  <w:p w14:paraId="437C1E55"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[12]</w:t>
                    </w:r>
                  </w:p>
                </w:tc>
              </w:tr>
              <w:tr w:rsidR="00EA3FB1" w:rsidRPr="0085159D" w14:paraId="3BFA2662" w14:textId="77777777" w:rsidTr="00EA3FB1">
                <w:trPr>
                  <w:divId w:val="1248347839"/>
                  <w:cantSplit/>
                </w:trPr>
                <w:tc>
                  <w:tcPr>
                    <w:tcW w:w="8698" w:type="dxa"/>
                    <w:hideMark/>
                  </w:tcPr>
                  <w:p w14:paraId="42B5B4F8" w14:textId="77777777" w:rsidR="00EA3FB1" w:rsidRPr="0085159D" w:rsidRDefault="00EA3FB1" w:rsidP="000B051F">
                    <w:pPr>
                      <w:pStyle w:val="Bibliografia"/>
                      <w:widowControl/>
                      <w:rPr>
                        <w:noProof/>
                        <w:lang w:val="pl-PL"/>
                      </w:rPr>
                    </w:pPr>
                    <w:r w:rsidRPr="0085159D">
                      <w:rPr>
                        <w:noProof/>
                        <w:lang w:val="pl-PL"/>
                      </w:rPr>
                      <w:t xml:space="preserve">Narodowy Bank Polski (2020), </w:t>
                    </w:r>
                    <w:r w:rsidRPr="0085159D">
                      <w:rPr>
                        <w:i/>
                        <w:iCs/>
                        <w:noProof/>
                        <w:lang w:val="pl-PL"/>
                      </w:rPr>
                      <w:t>Financial System in Poland 2019</w:t>
                    </w:r>
                    <w:r w:rsidRPr="0085159D">
                      <w:rPr>
                        <w:noProof/>
                        <w:lang w:val="pl-PL"/>
                      </w:rPr>
                      <w:t xml:space="preserve">, </w:t>
                    </w:r>
                    <w:r w:rsidRPr="0085159D">
                      <w:rPr>
                        <w:noProof/>
                        <w:color w:val="0000FF"/>
                        <w:u w:val="single"/>
                        <w:lang w:val="pl-PL"/>
                      </w:rPr>
                      <w:t>http://www.nbp.pl/en/systemfinansowy/fsd_2019.pdf</w:t>
                    </w:r>
                    <w:r w:rsidRPr="0085159D">
                      <w:rPr>
                        <w:noProof/>
                        <w:lang w:val="pl-PL"/>
                      </w:rPr>
                      <w:t>.</w:t>
                    </w:r>
                  </w:p>
                </w:tc>
                <w:tc>
                  <w:tcPr>
                    <w:tcW w:w="600" w:type="dxa"/>
                    <w:noWrap/>
                    <w:hideMark/>
                  </w:tcPr>
                  <w:p w14:paraId="4FEC6C0E"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[23]</w:t>
                    </w:r>
                  </w:p>
                </w:tc>
              </w:tr>
              <w:tr w:rsidR="00EA3FB1" w:rsidRPr="0085159D" w14:paraId="4814971D" w14:textId="77777777" w:rsidTr="00EA3FB1">
                <w:trPr>
                  <w:divId w:val="1248347839"/>
                  <w:cantSplit/>
                </w:trPr>
                <w:tc>
                  <w:tcPr>
                    <w:tcW w:w="8698" w:type="dxa"/>
                    <w:hideMark/>
                  </w:tcPr>
                  <w:p w14:paraId="069F5A84" w14:textId="77777777" w:rsidR="00EA3FB1" w:rsidRPr="0085159D" w:rsidRDefault="00EA3FB1" w:rsidP="000B051F">
                    <w:pPr>
                      <w:pStyle w:val="Bibliografia"/>
                      <w:widowControl/>
                      <w:rPr>
                        <w:noProof/>
                        <w:lang w:val="pl-PL"/>
                      </w:rPr>
                    </w:pPr>
                    <w:r w:rsidRPr="0085159D">
                      <w:rPr>
                        <w:noProof/>
                        <w:lang w:val="pl-PL"/>
                      </w:rPr>
                      <w:lastRenderedPageBreak/>
                      <w:t xml:space="preserve">Narodowy Bank Polski (2020), </w:t>
                    </w:r>
                    <w:r w:rsidRPr="0085159D">
                      <w:rPr>
                        <w:i/>
                        <w:iCs/>
                        <w:noProof/>
                        <w:lang w:val="pl-PL"/>
                      </w:rPr>
                      <w:t xml:space="preserve">Prezentacja wyników „Badania świadomości i wiedzy ekonomicznej Polaków”, </w:t>
                    </w:r>
                    <w:r w:rsidRPr="0085159D">
                      <w:rPr>
                        <w:noProof/>
                        <w:color w:val="0000FF"/>
                        <w:u w:val="single"/>
                        <w:lang w:val="pl-PL"/>
                      </w:rPr>
                      <w:t>http://www.nbp.pl/home.aspx?f=/edukacja/badania/wiedza-ekonomiczna-polakow.html,</w:t>
                    </w:r>
                    <w:r w:rsidRPr="0085159D">
                      <w:rPr>
                        <w:noProof/>
                        <w:lang w:val="pl-PL"/>
                      </w:rPr>
                      <w:t xml:space="preserve"> (dostęp z dnia 20 lipca 2022 r.).</w:t>
                    </w:r>
                  </w:p>
                </w:tc>
                <w:tc>
                  <w:tcPr>
                    <w:tcW w:w="600" w:type="dxa"/>
                    <w:noWrap/>
                    <w:hideMark/>
                  </w:tcPr>
                  <w:p w14:paraId="2A60366C"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w:t>
                    </w:r>
                  </w:p>
                </w:tc>
              </w:tr>
              <w:tr w:rsidR="00EA3FB1" w:rsidRPr="0085159D" w14:paraId="3B459BC8" w14:textId="77777777" w:rsidTr="00EA3FB1">
                <w:trPr>
                  <w:divId w:val="1248347839"/>
                  <w:cantSplit/>
                </w:trPr>
                <w:tc>
                  <w:tcPr>
                    <w:tcW w:w="8698" w:type="dxa"/>
                    <w:hideMark/>
                  </w:tcPr>
                  <w:p w14:paraId="58F6111F" w14:textId="77777777" w:rsidR="00EA3FB1" w:rsidRPr="0085159D" w:rsidRDefault="00EA3FB1" w:rsidP="000B051F">
                    <w:pPr>
                      <w:pStyle w:val="Bibliografia"/>
                      <w:widowControl/>
                      <w:rPr>
                        <w:noProof/>
                        <w:lang w:val="pl-PL"/>
                      </w:rPr>
                    </w:pPr>
                    <w:r w:rsidRPr="0085159D">
                      <w:rPr>
                        <w:noProof/>
                        <w:lang w:val="pl-PL"/>
                      </w:rPr>
                      <w:t xml:space="preserve">Narodowy Bank Polski (2018), </w:t>
                    </w:r>
                    <w:r w:rsidRPr="0085159D">
                      <w:rPr>
                        <w:i/>
                        <w:iCs/>
                        <w:noProof/>
                        <w:lang w:val="pl-PL"/>
                      </w:rPr>
                      <w:t>Diagnoza stanu wiedzy i świadomości ekonomicznej dzieci i młodzieży w Polsce</w:t>
                    </w:r>
                    <w:r w:rsidRPr="0085159D">
                      <w:rPr>
                        <w:noProof/>
                        <w:lang w:val="pl-PL"/>
                      </w:rPr>
                      <w:t xml:space="preserve">, </w:t>
                    </w:r>
                    <w:r w:rsidRPr="0085159D">
                      <w:rPr>
                        <w:noProof/>
                        <w:color w:val="0000FF"/>
                        <w:u w:val="single"/>
                        <w:lang w:val="pl-PL"/>
                      </w:rPr>
                      <w:t>http://www.nbp.pl/edukacja/badania/diagnoza-stanu-wiedzy-i-swiadomosci-ekonomicznej-dzieci-mlodziezy.pdf</w:t>
                    </w:r>
                    <w:r w:rsidRPr="0085159D">
                      <w:rPr>
                        <w:noProof/>
                        <w:lang w:val="pl-PL"/>
                      </w:rPr>
                      <w:t>.</w:t>
                    </w:r>
                  </w:p>
                </w:tc>
                <w:tc>
                  <w:tcPr>
                    <w:tcW w:w="600" w:type="dxa"/>
                    <w:noWrap/>
                    <w:hideMark/>
                  </w:tcPr>
                  <w:p w14:paraId="72FBA714"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[27]</w:t>
                    </w:r>
                  </w:p>
                </w:tc>
              </w:tr>
              <w:tr w:rsidR="00EA3FB1" w:rsidRPr="0085159D" w14:paraId="7478523D" w14:textId="77777777" w:rsidTr="00EA3FB1">
                <w:trPr>
                  <w:divId w:val="1248347839"/>
                  <w:cantSplit/>
                </w:trPr>
                <w:tc>
                  <w:tcPr>
                    <w:tcW w:w="8698" w:type="dxa"/>
                    <w:hideMark/>
                  </w:tcPr>
                  <w:p w14:paraId="787628AF" w14:textId="77777777" w:rsidR="00EA3FB1" w:rsidRPr="0085159D" w:rsidRDefault="00EA3FB1" w:rsidP="000B051F">
                    <w:pPr>
                      <w:pStyle w:val="Bibliografia"/>
                      <w:widowControl/>
                      <w:rPr>
                        <w:noProof/>
                        <w:lang w:val="pl-PL"/>
                      </w:rPr>
                    </w:pPr>
                    <w:r w:rsidRPr="0085159D">
                      <w:rPr>
                        <w:noProof/>
                        <w:lang w:val="pl-PL"/>
                      </w:rPr>
                      <w:t xml:space="preserve">Narodowy Bank Polski (2016), </w:t>
                    </w:r>
                    <w:r w:rsidRPr="0085159D">
                      <w:rPr>
                        <w:i/>
                        <w:iCs/>
                        <w:noProof/>
                        <w:lang w:val="pl-PL"/>
                      </w:rPr>
                      <w:t>Diagnoza stanu wiedzy i świadomości ekonomicznej studentów w Polsce</w:t>
                    </w:r>
                    <w:r w:rsidRPr="0085159D">
                      <w:rPr>
                        <w:noProof/>
                        <w:lang w:val="pl-PL"/>
                      </w:rPr>
                      <w:t xml:space="preserve">, </w:t>
                    </w:r>
                    <w:r w:rsidRPr="0085159D">
                      <w:rPr>
                        <w:noProof/>
                        <w:color w:val="0000FF"/>
                        <w:u w:val="single"/>
                        <w:lang w:val="pl-PL"/>
                      </w:rPr>
                      <w:t>http://www.nbp.pl/home.aspx?f=/edukacja/badania/diagnoza-studentow.html</w:t>
                    </w:r>
                    <w:r w:rsidRPr="0085159D">
                      <w:rPr>
                        <w:noProof/>
                        <w:lang w:val="pl-PL"/>
                      </w:rPr>
                      <w:t>.</w:t>
                    </w:r>
                  </w:p>
                </w:tc>
                <w:tc>
                  <w:tcPr>
                    <w:tcW w:w="600" w:type="dxa"/>
                    <w:noWrap/>
                    <w:hideMark/>
                  </w:tcPr>
                  <w:p w14:paraId="6803CA64"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[34]</w:t>
                    </w:r>
                  </w:p>
                </w:tc>
              </w:tr>
              <w:tr w:rsidR="00EA3FB1" w:rsidRPr="0085159D" w14:paraId="539BB2BE" w14:textId="77777777" w:rsidTr="00EA3FB1">
                <w:trPr>
                  <w:divId w:val="1248347839"/>
                  <w:cantSplit/>
                </w:trPr>
                <w:tc>
                  <w:tcPr>
                    <w:tcW w:w="8698" w:type="dxa"/>
                    <w:hideMark/>
                  </w:tcPr>
                  <w:p w14:paraId="46F7EE4A" w14:textId="77777777" w:rsidR="00EA3FB1" w:rsidRPr="0085159D" w:rsidRDefault="00EA3FB1" w:rsidP="000B051F">
                    <w:pPr>
                      <w:pStyle w:val="Bibliografia"/>
                      <w:widowControl/>
                      <w:rPr>
                        <w:noProof/>
                        <w:lang w:val="pl-PL"/>
                      </w:rPr>
                    </w:pPr>
                    <w:r w:rsidRPr="0085159D">
                      <w:rPr>
                        <w:noProof/>
                        <w:lang w:val="pl-PL"/>
                      </w:rPr>
                      <w:t xml:space="preserve">Krajowy Rejestr Długów Biura Informacji Gospodarczej (2022), </w:t>
                    </w:r>
                    <w:r w:rsidRPr="0085159D">
                      <w:rPr>
                        <w:i/>
                        <w:iCs/>
                        <w:noProof/>
                        <w:lang w:val="pl-PL"/>
                      </w:rPr>
                      <w:t>Portfel statystycznego Polaka w pandemii</w:t>
                    </w:r>
                    <w:r w:rsidRPr="0085159D">
                      <w:rPr>
                        <w:noProof/>
                        <w:lang w:val="pl-PL"/>
                      </w:rPr>
                      <w:t xml:space="preserve">, </w:t>
                    </w:r>
                    <w:r w:rsidRPr="0085159D">
                      <w:rPr>
                        <w:noProof/>
                        <w:color w:val="0000FF"/>
                        <w:u w:val="single"/>
                        <w:lang w:val="pl-PL"/>
                      </w:rPr>
                      <w:t>https://krd.pl/getattachment/88708ecb-e201-4c21-9ed4-42f70988061c?stamp=637837131344170000</w:t>
                    </w:r>
                    <w:r w:rsidRPr="0085159D">
                      <w:rPr>
                        <w:noProof/>
                        <w:lang w:val="pl-PL"/>
                      </w:rPr>
                      <w:t>.</w:t>
                    </w:r>
                  </w:p>
                </w:tc>
                <w:tc>
                  <w:tcPr>
                    <w:tcW w:w="600" w:type="dxa"/>
                    <w:noWrap/>
                    <w:hideMark/>
                  </w:tcPr>
                  <w:p w14:paraId="307D57BD"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[17]</w:t>
                    </w:r>
                  </w:p>
                </w:tc>
              </w:tr>
              <w:tr w:rsidR="00EA3FB1" w:rsidRPr="0085159D" w14:paraId="090158F0" w14:textId="77777777" w:rsidTr="00EA3FB1">
                <w:trPr>
                  <w:divId w:val="1248347839"/>
                  <w:cantSplit/>
                </w:trPr>
                <w:tc>
                  <w:tcPr>
                    <w:tcW w:w="8698" w:type="dxa"/>
                    <w:hideMark/>
                  </w:tcPr>
                  <w:p w14:paraId="17250EFF" w14:textId="77777777" w:rsidR="00EA3FB1" w:rsidRPr="00380228" w:rsidRDefault="00EA3FB1" w:rsidP="000B051F">
                    <w:pPr>
                      <w:pStyle w:val="Bibliografia"/>
                      <w:widowControl/>
                      <w:rPr>
                        <w:noProof/>
                      </w:rPr>
                    </w:pPr>
                    <w:r w:rsidRPr="00380228">
                      <w:rPr>
                        <w:noProof/>
                      </w:rPr>
                      <w:t xml:space="preserve">OECD (2022), </w:t>
                    </w:r>
                    <w:r w:rsidRPr="00380228">
                      <w:rPr>
                        <w:i/>
                        <w:iCs/>
                        <w:noProof/>
                      </w:rPr>
                      <w:t>Evaluation of National Strategies for Financial Literacy</w:t>
                    </w:r>
                    <w:r w:rsidRPr="00380228">
                      <w:rPr>
                        <w:noProof/>
                      </w:rPr>
                      <w:t xml:space="preserve">, OECD, Paryż, </w:t>
                    </w:r>
                    <w:r w:rsidRPr="00380228">
                      <w:rPr>
                        <w:noProof/>
                        <w:color w:val="0000FF"/>
                        <w:u w:val="single"/>
                      </w:rPr>
                      <w:t>http://www.oecd.org/financial/education/evaluation-of-national-strategies-for-financial-literacy.htm</w:t>
                    </w:r>
                    <w:r w:rsidRPr="00380228">
                      <w:rPr>
                        <w:noProof/>
                      </w:rPr>
                      <w:t xml:space="preserve"> (dostęp z 21 lipca 2022 r.).</w:t>
                    </w:r>
                  </w:p>
                </w:tc>
                <w:tc>
                  <w:tcPr>
                    <w:tcW w:w="600" w:type="dxa"/>
                    <w:noWrap/>
                    <w:hideMark/>
                  </w:tcPr>
                  <w:p w14:paraId="03BD1CAA"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[29]</w:t>
                    </w:r>
                  </w:p>
                </w:tc>
              </w:tr>
              <w:tr w:rsidR="00EA3FB1" w:rsidRPr="0085159D" w14:paraId="602D98F6" w14:textId="77777777" w:rsidTr="00EA3FB1">
                <w:trPr>
                  <w:divId w:val="1248347839"/>
                  <w:cantSplit/>
                </w:trPr>
                <w:tc>
                  <w:tcPr>
                    <w:tcW w:w="8698" w:type="dxa"/>
                    <w:hideMark/>
                  </w:tcPr>
                  <w:p w14:paraId="13BDA4FD" w14:textId="77777777" w:rsidR="00EA3FB1" w:rsidRPr="0085159D" w:rsidRDefault="00EA3FB1" w:rsidP="000B051F">
                    <w:pPr>
                      <w:pStyle w:val="Bibliografia"/>
                      <w:widowControl/>
                      <w:rPr>
                        <w:noProof/>
                        <w:lang w:val="pl-PL"/>
                      </w:rPr>
                    </w:pPr>
                    <w:r w:rsidRPr="0085159D">
                      <w:rPr>
                        <w:noProof/>
                        <w:lang w:val="pl-PL"/>
                      </w:rPr>
                      <w:t xml:space="preserve">OECD (2022), </w:t>
                    </w:r>
                    <w:r w:rsidRPr="0085159D">
                      <w:rPr>
                        <w:i/>
                        <w:iCs/>
                        <w:noProof/>
                        <w:lang w:val="pl-PL"/>
                      </w:rPr>
                      <w:t>Znajomość zagadnień finansowych w Polsce: Znaczenie, dowody i oferta edukacyjna</w:t>
                    </w:r>
                    <w:r w:rsidRPr="0085159D">
                      <w:rPr>
                        <w:noProof/>
                        <w:lang w:val="pl-PL"/>
                      </w:rPr>
                      <w:t>, OECD, Paryż.</w:t>
                    </w:r>
                  </w:p>
                </w:tc>
                <w:tc>
                  <w:tcPr>
                    <w:tcW w:w="600" w:type="dxa"/>
                    <w:noWrap/>
                    <w:hideMark/>
                  </w:tcPr>
                  <w:p w14:paraId="6D6F416B"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[3]</w:t>
                    </w:r>
                  </w:p>
                </w:tc>
              </w:tr>
              <w:tr w:rsidR="00EA3FB1" w:rsidRPr="0085159D" w14:paraId="654E7E7C" w14:textId="77777777" w:rsidTr="00EA3FB1">
                <w:trPr>
                  <w:divId w:val="1248347839"/>
                  <w:cantSplit/>
                </w:trPr>
                <w:tc>
                  <w:tcPr>
                    <w:tcW w:w="8698" w:type="dxa"/>
                    <w:hideMark/>
                  </w:tcPr>
                  <w:p w14:paraId="5051EF35" w14:textId="77777777" w:rsidR="00EA3FB1" w:rsidRPr="00380228" w:rsidRDefault="00EA3FB1" w:rsidP="000B051F">
                    <w:pPr>
                      <w:pStyle w:val="Bibliografia"/>
                      <w:widowControl/>
                      <w:rPr>
                        <w:noProof/>
                      </w:rPr>
                    </w:pPr>
                    <w:r w:rsidRPr="00380228">
                      <w:rPr>
                        <w:noProof/>
                      </w:rPr>
                      <w:t xml:space="preserve">OECD (2022), </w:t>
                    </w:r>
                    <w:r w:rsidRPr="00380228">
                      <w:rPr>
                        <w:i/>
                        <w:iCs/>
                        <w:noProof/>
                      </w:rPr>
                      <w:t>OECD/INFE Guidance on Digital Delivery of Financial Education</w:t>
                    </w:r>
                    <w:r w:rsidRPr="00380228">
                      <w:rPr>
                        <w:noProof/>
                      </w:rPr>
                      <w:t xml:space="preserve">, </w:t>
                    </w:r>
                    <w:r w:rsidRPr="00380228">
                      <w:rPr>
                        <w:noProof/>
                        <w:color w:val="0000FF"/>
                        <w:u w:val="single"/>
                      </w:rPr>
                      <w:t>https://www.oecd.org/financial/education/INFE-guidance-on-digital-delivery-of-financial-education.pdf</w:t>
                    </w:r>
                    <w:r w:rsidRPr="00380228">
                      <w:rPr>
                        <w:noProof/>
                      </w:rPr>
                      <w:t xml:space="preserve"> (dostęp z dnia 22 lutego 2023 r.).</w:t>
                    </w:r>
                  </w:p>
                </w:tc>
                <w:tc>
                  <w:tcPr>
                    <w:tcW w:w="600" w:type="dxa"/>
                    <w:noWrap/>
                    <w:hideMark/>
                  </w:tcPr>
                  <w:p w14:paraId="725295EC"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[15]</w:t>
                    </w:r>
                  </w:p>
                </w:tc>
              </w:tr>
              <w:tr w:rsidR="00EA3FB1" w:rsidRPr="0085159D" w14:paraId="5E2DBEF6" w14:textId="77777777" w:rsidTr="00EA3FB1">
                <w:trPr>
                  <w:divId w:val="1248347839"/>
                  <w:cantSplit/>
                </w:trPr>
                <w:tc>
                  <w:tcPr>
                    <w:tcW w:w="8698" w:type="dxa"/>
                    <w:hideMark/>
                  </w:tcPr>
                  <w:p w14:paraId="0F574FB7" w14:textId="77777777" w:rsidR="00EA3FB1" w:rsidRPr="00380228" w:rsidRDefault="00EA3FB1" w:rsidP="000B051F">
                    <w:pPr>
                      <w:pStyle w:val="Bibliografia"/>
                      <w:widowControl/>
                      <w:rPr>
                        <w:noProof/>
                      </w:rPr>
                    </w:pPr>
                    <w:r w:rsidRPr="00380228">
                      <w:rPr>
                        <w:noProof/>
                      </w:rPr>
                      <w:t>OECD (2022), „Policy handbook on financial education in the workplace”</w:t>
                    </w:r>
                    <w:r w:rsidRPr="00380228">
                      <w:rPr>
                        <w:i/>
                        <w:iCs/>
                        <w:noProof/>
                      </w:rPr>
                      <w:t>, OECD Business and Finance Policy Papers</w:t>
                    </w:r>
                    <w:r w:rsidRPr="00380228">
                      <w:rPr>
                        <w:noProof/>
                      </w:rPr>
                      <w:t xml:space="preserve">, nr 07, OECD Publishing, Paryż, </w:t>
                    </w:r>
                    <w:r w:rsidRPr="00380228">
                      <w:rPr>
                        <w:noProof/>
                        <w:color w:val="0000FF"/>
                        <w:u w:val="single"/>
                      </w:rPr>
                      <w:t>https://doi.org/10.1787/b211112e-en</w:t>
                    </w:r>
                    <w:r w:rsidRPr="00380228">
                      <w:rPr>
                        <w:noProof/>
                      </w:rPr>
                      <w:t>.</w:t>
                    </w:r>
                  </w:p>
                </w:tc>
                <w:tc>
                  <w:tcPr>
                    <w:tcW w:w="600" w:type="dxa"/>
                    <w:noWrap/>
                    <w:hideMark/>
                  </w:tcPr>
                  <w:p w14:paraId="2399CBD7"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[30]</w:t>
                    </w:r>
                  </w:p>
                </w:tc>
              </w:tr>
              <w:tr w:rsidR="00EA3FB1" w:rsidRPr="0085159D" w14:paraId="703A2FA9" w14:textId="77777777" w:rsidTr="00EA3FB1">
                <w:trPr>
                  <w:divId w:val="1248347839"/>
                  <w:cantSplit/>
                </w:trPr>
                <w:tc>
                  <w:tcPr>
                    <w:tcW w:w="8698" w:type="dxa"/>
                    <w:hideMark/>
                  </w:tcPr>
                  <w:p w14:paraId="1C03C4A0" w14:textId="77777777" w:rsidR="00EA3FB1" w:rsidRPr="00380228" w:rsidRDefault="00EA3FB1" w:rsidP="000B051F">
                    <w:pPr>
                      <w:pStyle w:val="Bibliografia"/>
                      <w:widowControl/>
                      <w:rPr>
                        <w:noProof/>
                      </w:rPr>
                    </w:pPr>
                    <w:r w:rsidRPr="00380228">
                      <w:rPr>
                        <w:noProof/>
                      </w:rPr>
                      <w:t xml:space="preserve">OECD (2022), </w:t>
                    </w:r>
                    <w:r w:rsidRPr="00380228">
                      <w:rPr>
                        <w:i/>
                        <w:iCs/>
                        <w:noProof/>
                      </w:rPr>
                      <w:t>Recommendation of the Council on High-Level Principles on Financial Consumer Protection</w:t>
                    </w:r>
                    <w:r w:rsidRPr="00380228">
                      <w:rPr>
                        <w:noProof/>
                      </w:rPr>
                      <w:t xml:space="preserve">, </w:t>
                    </w:r>
                    <w:r w:rsidRPr="00380228">
                      <w:rPr>
                        <w:noProof/>
                        <w:color w:val="0000FF"/>
                        <w:u w:val="single"/>
                      </w:rPr>
                      <w:t>https://legalinstruments.oecd.org/en/instruments/OECD-LEGAL-0394</w:t>
                    </w:r>
                    <w:r w:rsidRPr="00380228">
                      <w:rPr>
                        <w:noProof/>
                      </w:rPr>
                      <w:t xml:space="preserve"> (dostęp z dnia 4 marca 2023 r.).</w:t>
                    </w:r>
                  </w:p>
                </w:tc>
                <w:tc>
                  <w:tcPr>
                    <w:tcW w:w="600" w:type="dxa"/>
                    <w:noWrap/>
                    <w:hideMark/>
                  </w:tcPr>
                  <w:p w14:paraId="579AFF1F"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[28]</w:t>
                    </w:r>
                  </w:p>
                </w:tc>
              </w:tr>
              <w:tr w:rsidR="00EA3FB1" w:rsidRPr="0085159D" w14:paraId="1A59CAAF" w14:textId="77777777" w:rsidTr="00EA3FB1">
                <w:trPr>
                  <w:divId w:val="1248347839"/>
                  <w:cantSplit/>
                </w:trPr>
                <w:tc>
                  <w:tcPr>
                    <w:tcW w:w="8698" w:type="dxa"/>
                    <w:hideMark/>
                  </w:tcPr>
                  <w:p w14:paraId="034359B7" w14:textId="77777777" w:rsidR="00EA3FB1" w:rsidRPr="00380228" w:rsidRDefault="00EA3FB1" w:rsidP="000B051F">
                    <w:pPr>
                      <w:pStyle w:val="Bibliografia"/>
                      <w:widowControl/>
                      <w:rPr>
                        <w:noProof/>
                      </w:rPr>
                    </w:pPr>
                    <w:r w:rsidRPr="00380228">
                      <w:rPr>
                        <w:noProof/>
                      </w:rPr>
                      <w:t xml:space="preserve">OECD (2020), </w:t>
                    </w:r>
                    <w:r w:rsidRPr="00380228">
                      <w:rPr>
                        <w:i/>
                        <w:iCs/>
                        <w:noProof/>
                      </w:rPr>
                      <w:t>OECD/INFE 2020 International Survey of Adult Financial Literacy</w:t>
                    </w:r>
                    <w:r w:rsidRPr="00380228">
                      <w:rPr>
                        <w:noProof/>
                      </w:rPr>
                      <w:t xml:space="preserve">, OECD, Paryż, </w:t>
                    </w:r>
                    <w:r w:rsidRPr="00380228">
                      <w:rPr>
                        <w:noProof/>
                        <w:color w:val="0000FF"/>
                        <w:u w:val="single"/>
                      </w:rPr>
                      <w:t>http://www.oecd.org/financial/education/launchoftheoecdinfeglobalfinancialliteracysurveyreport.htm</w:t>
                    </w:r>
                    <w:r w:rsidRPr="00380228">
                      <w:rPr>
                        <w:noProof/>
                      </w:rPr>
                      <w:t xml:space="preserve"> (dostęp z 20 lipca 2022 r.).</w:t>
                    </w:r>
                  </w:p>
                </w:tc>
                <w:tc>
                  <w:tcPr>
                    <w:tcW w:w="600" w:type="dxa"/>
                    <w:noWrap/>
                    <w:hideMark/>
                  </w:tcPr>
                  <w:p w14:paraId="49D56393"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[5]</w:t>
                    </w:r>
                  </w:p>
                </w:tc>
              </w:tr>
              <w:tr w:rsidR="00EA3FB1" w:rsidRPr="0085159D" w14:paraId="17752C8D" w14:textId="77777777" w:rsidTr="00EA3FB1">
                <w:trPr>
                  <w:divId w:val="1248347839"/>
                  <w:cantSplit/>
                </w:trPr>
                <w:tc>
                  <w:tcPr>
                    <w:tcW w:w="8698" w:type="dxa"/>
                    <w:hideMark/>
                  </w:tcPr>
                  <w:p w14:paraId="01C1629C" w14:textId="77777777" w:rsidR="00EA3FB1" w:rsidRPr="00380228" w:rsidRDefault="00EA3FB1" w:rsidP="000B051F">
                    <w:pPr>
                      <w:pStyle w:val="Bibliografia"/>
                      <w:widowControl/>
                      <w:rPr>
                        <w:noProof/>
                      </w:rPr>
                    </w:pPr>
                    <w:r w:rsidRPr="00380228">
                      <w:rPr>
                        <w:noProof/>
                      </w:rPr>
                      <w:t xml:space="preserve">OECD (2020), </w:t>
                    </w:r>
                    <w:r w:rsidRPr="00380228">
                      <w:rPr>
                        <w:i/>
                        <w:iCs/>
                        <w:noProof/>
                      </w:rPr>
                      <w:t>PISA 2018 Results (Volume IV): Are Students Smart about Money?</w:t>
                    </w:r>
                    <w:r w:rsidRPr="00380228">
                      <w:rPr>
                        <w:noProof/>
                      </w:rPr>
                      <w:t xml:space="preserve">, PISA, OECD Publishing, Paryż, </w:t>
                    </w:r>
                    <w:r w:rsidRPr="00380228">
                      <w:rPr>
                        <w:noProof/>
                        <w:color w:val="0000FF"/>
                        <w:u w:val="single"/>
                      </w:rPr>
                      <w:t>https://doi.org/10.1787/48ebd1ba-en</w:t>
                    </w:r>
                    <w:r w:rsidRPr="00380228">
                      <w:rPr>
                        <w:noProof/>
                      </w:rPr>
                      <w:t>.</w:t>
                    </w:r>
                  </w:p>
                </w:tc>
                <w:tc>
                  <w:tcPr>
                    <w:tcW w:w="600" w:type="dxa"/>
                    <w:noWrap/>
                    <w:hideMark/>
                  </w:tcPr>
                  <w:p w14:paraId="72F0B5A3"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[4]</w:t>
                    </w:r>
                  </w:p>
                </w:tc>
              </w:tr>
              <w:tr w:rsidR="00EA3FB1" w:rsidRPr="0085159D" w14:paraId="782F4CF1" w14:textId="77777777" w:rsidTr="00EA3FB1">
                <w:trPr>
                  <w:divId w:val="1248347839"/>
                  <w:cantSplit/>
                </w:trPr>
                <w:tc>
                  <w:tcPr>
                    <w:tcW w:w="8698" w:type="dxa"/>
                    <w:hideMark/>
                  </w:tcPr>
                  <w:p w14:paraId="053ACADC" w14:textId="77777777" w:rsidR="00EA3FB1" w:rsidRPr="00380228" w:rsidRDefault="00EA3FB1" w:rsidP="000B051F">
                    <w:pPr>
                      <w:pStyle w:val="Bibliografia"/>
                      <w:widowControl/>
                      <w:rPr>
                        <w:noProof/>
                      </w:rPr>
                    </w:pPr>
                    <w:r w:rsidRPr="00380228">
                      <w:rPr>
                        <w:noProof/>
                      </w:rPr>
                      <w:t xml:space="preserve">OECD (2020), </w:t>
                    </w:r>
                    <w:r w:rsidRPr="00380228">
                      <w:rPr>
                        <w:i/>
                        <w:iCs/>
                        <w:noProof/>
                      </w:rPr>
                      <w:t>Recommendation of the Council on Financial Literacy</w:t>
                    </w:r>
                    <w:r w:rsidRPr="00380228">
                      <w:rPr>
                        <w:noProof/>
                      </w:rPr>
                      <w:t xml:space="preserve">, OECD, Paryż, </w:t>
                    </w:r>
                    <w:r w:rsidRPr="00380228">
                      <w:rPr>
                        <w:noProof/>
                        <w:color w:val="0000FF"/>
                        <w:u w:val="single"/>
                      </w:rPr>
                      <w:t>http://www.oecd.org/finance/OECD-Recommendation-on-Financial-Literacy.htm</w:t>
                    </w:r>
                    <w:r w:rsidRPr="00380228">
                      <w:rPr>
                        <w:noProof/>
                      </w:rPr>
                      <w:t xml:space="preserve"> (dostęp z 20 lipca 2022 r.).</w:t>
                    </w:r>
                  </w:p>
                </w:tc>
                <w:tc>
                  <w:tcPr>
                    <w:tcW w:w="600" w:type="dxa"/>
                    <w:noWrap/>
                    <w:hideMark/>
                  </w:tcPr>
                  <w:p w14:paraId="3B84FECA"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[9]</w:t>
                    </w:r>
                  </w:p>
                </w:tc>
              </w:tr>
              <w:tr w:rsidR="00EA3FB1" w:rsidRPr="0085159D" w14:paraId="2399FBC3" w14:textId="77777777" w:rsidTr="00EA3FB1">
                <w:trPr>
                  <w:divId w:val="1248347839"/>
                  <w:cantSplit/>
                </w:trPr>
                <w:tc>
                  <w:tcPr>
                    <w:tcW w:w="8698" w:type="dxa"/>
                    <w:hideMark/>
                  </w:tcPr>
                  <w:p w14:paraId="49A7B748" w14:textId="77777777" w:rsidR="00EA3FB1" w:rsidRPr="00380228" w:rsidRDefault="00EA3FB1" w:rsidP="000B051F">
                    <w:pPr>
                      <w:pStyle w:val="Bibliografia"/>
                      <w:widowControl/>
                      <w:rPr>
                        <w:noProof/>
                      </w:rPr>
                    </w:pPr>
                    <w:r w:rsidRPr="00380228">
                      <w:rPr>
                        <w:noProof/>
                      </w:rPr>
                      <w:t xml:space="preserve">OECD (2019), </w:t>
                    </w:r>
                    <w:r w:rsidRPr="00380228">
                      <w:rPr>
                        <w:i/>
                        <w:iCs/>
                        <w:noProof/>
                      </w:rPr>
                      <w:t>Pensions at a Glance 2019: OECD and G20 Indicators</w:t>
                    </w:r>
                    <w:r w:rsidRPr="00380228">
                      <w:rPr>
                        <w:noProof/>
                      </w:rPr>
                      <w:t xml:space="preserve">, OECD Publishing, Paryż, </w:t>
                    </w:r>
                    <w:r w:rsidRPr="00380228">
                      <w:rPr>
                        <w:noProof/>
                        <w:color w:val="0000FF"/>
                        <w:u w:val="single"/>
                      </w:rPr>
                      <w:t>https://doi.org/10.1787/b6d3dcfc-en</w:t>
                    </w:r>
                    <w:r w:rsidRPr="00380228">
                      <w:rPr>
                        <w:noProof/>
                      </w:rPr>
                      <w:t>.</w:t>
                    </w:r>
                  </w:p>
                </w:tc>
                <w:tc>
                  <w:tcPr>
                    <w:tcW w:w="600" w:type="dxa"/>
                    <w:noWrap/>
                    <w:hideMark/>
                  </w:tcPr>
                  <w:p w14:paraId="422F1734"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[21]</w:t>
                    </w:r>
                  </w:p>
                </w:tc>
              </w:tr>
              <w:tr w:rsidR="00EA3FB1" w:rsidRPr="0085159D" w14:paraId="344DB782" w14:textId="77777777" w:rsidTr="00EA3FB1">
                <w:trPr>
                  <w:divId w:val="1248347839"/>
                  <w:cantSplit/>
                </w:trPr>
                <w:tc>
                  <w:tcPr>
                    <w:tcW w:w="8698" w:type="dxa"/>
                    <w:hideMark/>
                  </w:tcPr>
                  <w:p w14:paraId="655C2175" w14:textId="77777777" w:rsidR="00EA3FB1" w:rsidRPr="00380228" w:rsidRDefault="00EA3FB1" w:rsidP="000B051F">
                    <w:pPr>
                      <w:pStyle w:val="Bibliografia"/>
                      <w:widowControl/>
                      <w:rPr>
                        <w:noProof/>
                      </w:rPr>
                    </w:pPr>
                    <w:r w:rsidRPr="00380228">
                      <w:rPr>
                        <w:noProof/>
                      </w:rPr>
                      <w:t xml:space="preserve">OECD (2019), </w:t>
                    </w:r>
                    <w:r w:rsidRPr="00380228">
                      <w:rPr>
                        <w:i/>
                        <w:iCs/>
                        <w:noProof/>
                      </w:rPr>
                      <w:t>Policy Handbook on Financial Education for Young People in the Commonwealth of Independent States (CIS)</w:t>
                    </w:r>
                    <w:r w:rsidRPr="00380228">
                      <w:rPr>
                        <w:noProof/>
                      </w:rPr>
                      <w:t xml:space="preserve">, OECD, Paryż, </w:t>
                    </w:r>
                    <w:r w:rsidRPr="00380228">
                      <w:rPr>
                        <w:noProof/>
                        <w:color w:val="0000FF"/>
                        <w:u w:val="single"/>
                      </w:rPr>
                      <w:t>https://www.oecd.org/financial/education/Youth-Policy-Handbook-on-Financial-Education-CIS-EN.pdf</w:t>
                    </w:r>
                    <w:r w:rsidRPr="00380228">
                      <w:rPr>
                        <w:noProof/>
                      </w:rPr>
                      <w:t>.</w:t>
                    </w:r>
                  </w:p>
                </w:tc>
                <w:tc>
                  <w:tcPr>
                    <w:tcW w:w="600" w:type="dxa"/>
                    <w:noWrap/>
                    <w:hideMark/>
                  </w:tcPr>
                  <w:p w14:paraId="1A7C797F"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[36]</w:t>
                    </w:r>
                  </w:p>
                </w:tc>
              </w:tr>
              <w:tr w:rsidR="00EA3FB1" w:rsidRPr="0085159D" w14:paraId="2A802953" w14:textId="77777777" w:rsidTr="00EA3FB1">
                <w:trPr>
                  <w:divId w:val="1248347839"/>
                  <w:cantSplit/>
                </w:trPr>
                <w:tc>
                  <w:tcPr>
                    <w:tcW w:w="8698" w:type="dxa"/>
                    <w:hideMark/>
                  </w:tcPr>
                  <w:p w14:paraId="2485BCD0" w14:textId="77777777" w:rsidR="00EA3FB1" w:rsidRPr="00380228" w:rsidRDefault="00EA3FB1" w:rsidP="000B051F">
                    <w:pPr>
                      <w:pStyle w:val="Bibliografia"/>
                      <w:widowControl/>
                      <w:rPr>
                        <w:noProof/>
                      </w:rPr>
                    </w:pPr>
                    <w:r w:rsidRPr="00380228">
                      <w:rPr>
                        <w:noProof/>
                      </w:rPr>
                      <w:t xml:space="preserve">OECD (2017), </w:t>
                    </w:r>
                    <w:r w:rsidRPr="00380228">
                      <w:rPr>
                        <w:i/>
                        <w:iCs/>
                        <w:noProof/>
                      </w:rPr>
                      <w:t>G20/OECD INFE Core Competencies framework on financial literacy for adults</w:t>
                    </w:r>
                    <w:r w:rsidRPr="00380228">
                      <w:rPr>
                        <w:noProof/>
                      </w:rPr>
                      <w:t xml:space="preserve">, </w:t>
                    </w:r>
                    <w:r w:rsidRPr="00380228">
                      <w:rPr>
                        <w:noProof/>
                        <w:color w:val="0000FF"/>
                        <w:u w:val="single"/>
                      </w:rPr>
                      <w:t>http://www.oecd.org/finance/financial-education/HIGHLIGHTS-G20-OECD-INFE-Report-Financial-education-</w:t>
                    </w:r>
                    <w:r w:rsidRPr="00380228">
                      <w:rPr>
                        <w:noProof/>
                      </w:rPr>
                      <w:t>.</w:t>
                    </w:r>
                  </w:p>
                </w:tc>
                <w:tc>
                  <w:tcPr>
                    <w:tcW w:w="600" w:type="dxa"/>
                    <w:noWrap/>
                    <w:hideMark/>
                  </w:tcPr>
                  <w:p w14:paraId="39A92F16"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[16]</w:t>
                    </w:r>
                  </w:p>
                </w:tc>
              </w:tr>
              <w:tr w:rsidR="00EA3FB1" w:rsidRPr="0085159D" w14:paraId="7FEEE5C9" w14:textId="77777777" w:rsidTr="00EA3FB1">
                <w:trPr>
                  <w:divId w:val="1248347839"/>
                  <w:cantSplit/>
                </w:trPr>
                <w:tc>
                  <w:tcPr>
                    <w:tcW w:w="8698" w:type="dxa"/>
                    <w:hideMark/>
                  </w:tcPr>
                  <w:p w14:paraId="11BE0FD3" w14:textId="77777777" w:rsidR="00EA3FB1" w:rsidRPr="00380228" w:rsidRDefault="00EA3FB1" w:rsidP="000B051F">
                    <w:pPr>
                      <w:pStyle w:val="Bibliografia"/>
                      <w:widowControl/>
                      <w:rPr>
                        <w:noProof/>
                      </w:rPr>
                    </w:pPr>
                    <w:r w:rsidRPr="00380228">
                      <w:rPr>
                        <w:noProof/>
                      </w:rPr>
                      <w:lastRenderedPageBreak/>
                      <w:t xml:space="preserve">OECD (2012), </w:t>
                    </w:r>
                    <w:r w:rsidRPr="00380228">
                      <w:rPr>
                        <w:i/>
                        <w:iCs/>
                        <w:noProof/>
                      </w:rPr>
                      <w:t>OECD/INFE High-Level Principles on National Strategies for Financial Education</w:t>
                    </w:r>
                    <w:r w:rsidRPr="00380228">
                      <w:rPr>
                        <w:noProof/>
                      </w:rPr>
                      <w:t xml:space="preserve">, OECD, </w:t>
                    </w:r>
                    <w:r w:rsidRPr="00380228">
                      <w:rPr>
                        <w:noProof/>
                        <w:color w:val="0000FF"/>
                        <w:u w:val="single"/>
                      </w:rPr>
                      <w:t>https://www.oecd.org/finance/financial-education/OECD-INFE-Principles-National-Strategies-Financial-Education.pdf</w:t>
                    </w:r>
                    <w:r w:rsidRPr="00380228">
                      <w:rPr>
                        <w:noProof/>
                      </w:rPr>
                      <w:t xml:space="preserve"> (dostęp z 20 lipca 2022 r.).</w:t>
                    </w:r>
                  </w:p>
                </w:tc>
                <w:tc>
                  <w:tcPr>
                    <w:tcW w:w="600" w:type="dxa"/>
                    <w:noWrap/>
                    <w:hideMark/>
                  </w:tcPr>
                  <w:p w14:paraId="4371CDBF"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[11]</w:t>
                    </w:r>
                  </w:p>
                </w:tc>
              </w:tr>
              <w:tr w:rsidR="00EA3FB1" w:rsidRPr="0085159D" w14:paraId="3D674513" w14:textId="77777777" w:rsidTr="00EA3FB1">
                <w:trPr>
                  <w:divId w:val="1248347839"/>
                  <w:cantSplit/>
                </w:trPr>
                <w:tc>
                  <w:tcPr>
                    <w:tcW w:w="8698" w:type="dxa"/>
                    <w:hideMark/>
                  </w:tcPr>
                  <w:p w14:paraId="0AF24237" w14:textId="2CBF4F05" w:rsidR="00EA3FB1" w:rsidRPr="0085159D" w:rsidRDefault="00EA3FB1" w:rsidP="000B051F">
                    <w:pPr>
                      <w:pStyle w:val="Bibliografia"/>
                      <w:widowControl/>
                      <w:rPr>
                        <w:noProof/>
                        <w:lang w:val="pl-PL"/>
                      </w:rPr>
                    </w:pPr>
                    <w:r w:rsidRPr="0085159D">
                      <w:rPr>
                        <w:noProof/>
                        <w:lang w:val="pl-PL"/>
                      </w:rPr>
                      <w:t xml:space="preserve">Stowarzyszenie Inwestorów Indywidualnych (2021), </w:t>
                    </w:r>
                    <w:r w:rsidRPr="0085159D">
                      <w:rPr>
                        <w:i/>
                        <w:iCs/>
                        <w:noProof/>
                        <w:lang w:val="pl-PL"/>
                      </w:rPr>
                      <w:t>Ogólnopolskie Badanie Inwestorów 2021</w:t>
                    </w:r>
                    <w:r w:rsidRPr="0085159D">
                      <w:rPr>
                        <w:noProof/>
                        <w:lang w:val="pl-PL"/>
                      </w:rPr>
                      <w:t xml:space="preserve">, </w:t>
                    </w:r>
                    <w:r w:rsidRPr="0085159D">
                      <w:rPr>
                        <w:noProof/>
                        <w:color w:val="0000FF"/>
                        <w:u w:val="single"/>
                        <w:lang w:val="pl-PL"/>
                      </w:rPr>
                      <w:t>https://www.sii.org.pl/14446/aktualnosci/badania-i-rankingi/wyniki-ogolnopolskiego-badania-inwestorow-2021.html</w:t>
                    </w:r>
                    <w:r w:rsidR="009736C0">
                      <w:rPr>
                        <w:noProof/>
                        <w:color w:val="0000FF"/>
                        <w:u w:val="single"/>
                        <w:lang w:val="pl-PL"/>
                      </w:rPr>
                      <w:t xml:space="preserve"> </w:t>
                    </w:r>
                    <w:r w:rsidRPr="0085159D">
                      <w:rPr>
                        <w:noProof/>
                        <w:lang w:val="pl-PL"/>
                      </w:rPr>
                      <w:t>.</w:t>
                    </w:r>
                  </w:p>
                </w:tc>
                <w:tc>
                  <w:tcPr>
                    <w:tcW w:w="600" w:type="dxa"/>
                    <w:noWrap/>
                    <w:hideMark/>
                  </w:tcPr>
                  <w:p w14:paraId="0AE2E491"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[25]</w:t>
                    </w:r>
                  </w:p>
                </w:tc>
              </w:tr>
              <w:tr w:rsidR="00EA3FB1" w:rsidRPr="0085159D" w14:paraId="0FA53646" w14:textId="77777777" w:rsidTr="00EA3FB1">
                <w:trPr>
                  <w:divId w:val="1248347839"/>
                  <w:cantSplit/>
                </w:trPr>
                <w:tc>
                  <w:tcPr>
                    <w:tcW w:w="8698" w:type="dxa"/>
                    <w:hideMark/>
                  </w:tcPr>
                  <w:p w14:paraId="3DD1BECC" w14:textId="77777777" w:rsidR="00EA3FB1" w:rsidRPr="0085159D" w:rsidRDefault="00EA3FB1" w:rsidP="000B051F">
                    <w:pPr>
                      <w:pStyle w:val="Bibliografia"/>
                      <w:widowControl/>
                      <w:rPr>
                        <w:noProof/>
                        <w:lang w:val="pl-PL"/>
                      </w:rPr>
                    </w:pPr>
                    <w:r w:rsidRPr="0085159D">
                      <w:rPr>
                        <w:noProof/>
                        <w:lang w:val="pl-PL"/>
                      </w:rPr>
                      <w:t xml:space="preserve">Polska Izba Ubezpieczeń (2021), </w:t>
                    </w:r>
                    <w:r w:rsidRPr="0085159D">
                      <w:rPr>
                        <w:i/>
                        <w:iCs/>
                        <w:noProof/>
                        <w:lang w:val="pl-PL"/>
                      </w:rPr>
                      <w:t>Mapa ryzyka Polaków</w:t>
                    </w:r>
                    <w:r w:rsidRPr="0085159D">
                      <w:rPr>
                        <w:noProof/>
                        <w:lang w:val="pl-PL"/>
                      </w:rPr>
                      <w:t xml:space="preserve">, </w:t>
                    </w:r>
                    <w:r w:rsidRPr="0085159D">
                      <w:rPr>
                        <w:noProof/>
                        <w:color w:val="0000FF"/>
                        <w:u w:val="single"/>
                        <w:lang w:val="pl-PL"/>
                      </w:rPr>
                      <w:t>https://piu.org.pl/wp-content/uploads/2022/02/Mapa-ryzyka-Polakow-2022.02.23 ENG.pdf</w:t>
                    </w:r>
                    <w:r w:rsidRPr="0085159D">
                      <w:rPr>
                        <w:noProof/>
                        <w:lang w:val="pl-PL"/>
                      </w:rPr>
                      <w:t>.</w:t>
                    </w:r>
                  </w:p>
                </w:tc>
                <w:tc>
                  <w:tcPr>
                    <w:tcW w:w="600" w:type="dxa"/>
                    <w:noWrap/>
                    <w:hideMark/>
                  </w:tcPr>
                  <w:p w14:paraId="32916A3B"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[22]</w:t>
                    </w:r>
                  </w:p>
                </w:tc>
              </w:tr>
              <w:tr w:rsidR="00EA3FB1" w:rsidRPr="0085159D" w14:paraId="43147414" w14:textId="77777777" w:rsidTr="00EA3FB1">
                <w:trPr>
                  <w:divId w:val="1248347839"/>
                  <w:cantSplit/>
                </w:trPr>
                <w:tc>
                  <w:tcPr>
                    <w:tcW w:w="8698" w:type="dxa"/>
                    <w:hideMark/>
                  </w:tcPr>
                  <w:p w14:paraId="501FD0EE" w14:textId="7730FBEE" w:rsidR="00EA3FB1" w:rsidRPr="0085159D" w:rsidRDefault="00EA3FB1" w:rsidP="000B051F">
                    <w:pPr>
                      <w:pStyle w:val="Bibliografia"/>
                      <w:widowControl/>
                      <w:rPr>
                        <w:noProof/>
                        <w:lang w:val="pl-PL"/>
                      </w:rPr>
                    </w:pPr>
                    <w:r w:rsidRPr="0085159D">
                      <w:rPr>
                        <w:noProof/>
                        <w:lang w:val="pl-PL"/>
                      </w:rPr>
                      <w:t>Sitek, M., Ostrowska</w:t>
                    </w:r>
                    <w:r w:rsidR="00F005FF">
                      <w:rPr>
                        <w:noProof/>
                        <w:lang w:val="pl-PL"/>
                      </w:rPr>
                      <w:t>, E,</w:t>
                    </w:r>
                    <w:r w:rsidRPr="0085159D">
                      <w:rPr>
                        <w:noProof/>
                        <w:lang w:val="pl-PL"/>
                      </w:rPr>
                      <w:t xml:space="preserve"> Badiak</w:t>
                    </w:r>
                    <w:r w:rsidR="00F005FF">
                      <w:rPr>
                        <w:noProof/>
                        <w:lang w:val="pl-PL"/>
                      </w:rPr>
                      <w:t>, M.</w:t>
                    </w:r>
                    <w:r w:rsidRPr="0085159D">
                      <w:rPr>
                        <w:noProof/>
                        <w:lang w:val="pl-PL"/>
                      </w:rPr>
                      <w:t xml:space="preserve"> (2020), </w:t>
                    </w:r>
                    <w:r w:rsidRPr="00F005FF">
                      <w:rPr>
                        <w:i/>
                        <w:iCs/>
                        <w:noProof/>
                        <w:lang w:val="pl-PL"/>
                      </w:rPr>
                      <w:t>Wyniki badania PI</w:t>
                    </w:r>
                    <w:r w:rsidRPr="0085159D">
                      <w:rPr>
                        <w:i/>
                        <w:iCs/>
                        <w:noProof/>
                        <w:lang w:val="pl-PL"/>
                      </w:rPr>
                      <w:t>SA 2018 w Polsce</w:t>
                    </w:r>
                    <w:r w:rsidRPr="0085159D">
                      <w:rPr>
                        <w:noProof/>
                        <w:lang w:val="pl-PL"/>
                      </w:rPr>
                      <w:t xml:space="preserve">, Instytut Badań Edukacyjnych, </w:t>
                    </w:r>
                    <w:r w:rsidRPr="0085159D">
                      <w:rPr>
                        <w:noProof/>
                        <w:color w:val="0000FF"/>
                        <w:u w:val="single"/>
                        <w:lang w:val="pl-PL"/>
                      </w:rPr>
                      <w:t>https://pisa.ibe.edu.pl/wp-content/uploads/2020/05/Raport_PISA_umiejetnosci-postawy-i-zachowania-finansowe-mlodziezy-w-Polsce.pdf</w:t>
                    </w:r>
                    <w:r w:rsidRPr="0085159D">
                      <w:rPr>
                        <w:noProof/>
                        <w:lang w:val="pl-PL"/>
                      </w:rPr>
                      <w:t>.</w:t>
                    </w:r>
                  </w:p>
                </w:tc>
                <w:tc>
                  <w:tcPr>
                    <w:tcW w:w="600" w:type="dxa"/>
                    <w:noWrap/>
                    <w:hideMark/>
                  </w:tcPr>
                  <w:p w14:paraId="6F9F0875"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[33]</w:t>
                    </w:r>
                  </w:p>
                </w:tc>
              </w:tr>
              <w:tr w:rsidR="00EA3FB1" w:rsidRPr="0085159D" w14:paraId="1339F044" w14:textId="77777777" w:rsidTr="00EA3FB1">
                <w:trPr>
                  <w:divId w:val="1248347839"/>
                  <w:cantSplit/>
                </w:trPr>
                <w:tc>
                  <w:tcPr>
                    <w:tcW w:w="8698" w:type="dxa"/>
                    <w:hideMark/>
                  </w:tcPr>
                  <w:p w14:paraId="02B5FB9C" w14:textId="77777777" w:rsidR="00EA3FB1" w:rsidRPr="0085159D" w:rsidRDefault="00EA3FB1" w:rsidP="000B051F">
                    <w:pPr>
                      <w:pStyle w:val="Bibliografia"/>
                      <w:widowControl/>
                      <w:rPr>
                        <w:noProof/>
                        <w:lang w:val="pl-PL"/>
                      </w:rPr>
                    </w:pPr>
                    <w:r w:rsidRPr="0085159D">
                      <w:rPr>
                        <w:noProof/>
                        <w:lang w:val="pl-PL"/>
                      </w:rPr>
                      <w:t xml:space="preserve">Zakład Ubezpieczeń Społecznych (2016), </w:t>
                    </w:r>
                    <w:r w:rsidRPr="0085159D">
                      <w:rPr>
                        <w:i/>
                        <w:iCs/>
                        <w:noProof/>
                        <w:lang w:val="pl-PL"/>
                      </w:rPr>
                      <w:t>Wiedza i postawy wobec ubezpieczeń społecznych</w:t>
                    </w:r>
                    <w:r w:rsidRPr="0085159D">
                      <w:rPr>
                        <w:noProof/>
                        <w:lang w:val="pl-PL"/>
                      </w:rPr>
                      <w:t xml:space="preserve">, </w:t>
                    </w:r>
                    <w:r w:rsidRPr="0085159D">
                      <w:rPr>
                        <w:noProof/>
                        <w:color w:val="0000FF"/>
                        <w:u w:val="single"/>
                        <w:lang w:val="pl-PL"/>
                      </w:rPr>
                      <w:t>http://www.zus.pl/documents/10182/44573/Raport+wiedza+system+emerytalny/040bd2a1-094a-4d97-9d77-e0bddc19e845?version=1.1</w:t>
                    </w:r>
                    <w:r w:rsidRPr="0085159D">
                      <w:rPr>
                        <w:noProof/>
                        <w:lang w:val="pl-PL"/>
                      </w:rPr>
                      <w:t>.</w:t>
                    </w:r>
                  </w:p>
                </w:tc>
                <w:tc>
                  <w:tcPr>
                    <w:tcW w:w="600" w:type="dxa"/>
                    <w:noWrap/>
                    <w:hideMark/>
                  </w:tcPr>
                  <w:p w14:paraId="1A824912"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[19]</w:t>
                    </w:r>
                  </w:p>
                </w:tc>
              </w:tr>
              <w:tr w:rsidR="00EA3FB1" w:rsidRPr="0085159D" w14:paraId="7F84DD4D" w14:textId="77777777" w:rsidTr="00EA3FB1">
                <w:trPr>
                  <w:divId w:val="1248347839"/>
                  <w:cantSplit/>
                </w:trPr>
                <w:tc>
                  <w:tcPr>
                    <w:tcW w:w="8698" w:type="dxa"/>
                    <w:hideMark/>
                  </w:tcPr>
                  <w:p w14:paraId="30C31814" w14:textId="3BCF7687" w:rsidR="00EA3FB1" w:rsidRPr="0085159D" w:rsidRDefault="00EA3FB1" w:rsidP="000B051F">
                    <w:pPr>
                      <w:pStyle w:val="Bibliografia"/>
                      <w:widowControl/>
                      <w:rPr>
                        <w:noProof/>
                        <w:lang w:val="pl-PL"/>
                      </w:rPr>
                    </w:pPr>
                    <w:r w:rsidRPr="0085159D">
                      <w:rPr>
                        <w:noProof/>
                        <w:lang w:val="pl-PL"/>
                      </w:rPr>
                      <w:t xml:space="preserve">Solarz, M. (2019), </w:t>
                    </w:r>
                    <w:r w:rsidRPr="00F005FF">
                      <w:rPr>
                        <w:i/>
                        <w:iCs/>
                        <w:noProof/>
                        <w:lang w:val="pl-PL"/>
                      </w:rPr>
                      <w:t>Wiedza finansowa a świadomość ryzyka towarzyszącego decyzjom emerytalnym Polaków w świetle wyników badań własnych</w:t>
                    </w:r>
                    <w:r w:rsidRPr="0085159D">
                      <w:rPr>
                        <w:noProof/>
                        <w:lang w:val="pl-PL"/>
                      </w:rPr>
                      <w:t xml:space="preserve">, </w:t>
                    </w:r>
                    <w:r w:rsidRPr="0085159D">
                      <w:rPr>
                        <w:i/>
                        <w:iCs/>
                        <w:noProof/>
                        <w:lang w:val="pl-PL"/>
                      </w:rPr>
                      <w:t>The Central European Journal of Social Sciences and Humanities</w:t>
                    </w:r>
                    <w:r w:rsidRPr="0085159D">
                      <w:rPr>
                        <w:noProof/>
                        <w:lang w:val="pl-PL"/>
                      </w:rPr>
                      <w:t xml:space="preserve"> 4, s. 23-40, </w:t>
                    </w:r>
                    <w:r w:rsidRPr="0085159D">
                      <w:rPr>
                        <w:noProof/>
                        <w:color w:val="0000FF"/>
                        <w:u w:val="single"/>
                        <w:lang w:val="pl-PL"/>
                      </w:rPr>
                      <w:t>http://cejsh.icm.edu.pl/cejsh/element/bwmeta1.element.desklight-ed85a2f5-ce23-4f42-8f37-aa62262b82e2</w:t>
                    </w:r>
                    <w:r w:rsidRPr="0085159D">
                      <w:rPr>
                        <w:noProof/>
                        <w:lang w:val="pl-PL"/>
                      </w:rPr>
                      <w:t>.</w:t>
                    </w:r>
                  </w:p>
                </w:tc>
                <w:tc>
                  <w:tcPr>
                    <w:tcW w:w="600" w:type="dxa"/>
                    <w:noWrap/>
                    <w:hideMark/>
                  </w:tcPr>
                  <w:p w14:paraId="477F73A8"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[20]</w:t>
                    </w:r>
                  </w:p>
                </w:tc>
              </w:tr>
              <w:tr w:rsidR="00EA3FB1" w:rsidRPr="0085159D" w14:paraId="5ED102B9" w14:textId="77777777" w:rsidTr="00EA3FB1">
                <w:trPr>
                  <w:divId w:val="1248347839"/>
                  <w:cantSplit/>
                </w:trPr>
                <w:tc>
                  <w:tcPr>
                    <w:tcW w:w="8698" w:type="dxa"/>
                    <w:hideMark/>
                  </w:tcPr>
                  <w:p w14:paraId="272ADB0B" w14:textId="77777777" w:rsidR="00EA3FB1" w:rsidRPr="0085159D" w:rsidRDefault="00EA3FB1" w:rsidP="000B051F">
                    <w:pPr>
                      <w:pStyle w:val="Bibliografia"/>
                      <w:widowControl/>
                      <w:rPr>
                        <w:noProof/>
                        <w:lang w:val="pl-PL"/>
                      </w:rPr>
                    </w:pPr>
                    <w:r w:rsidRPr="0085159D">
                      <w:rPr>
                        <w:noProof/>
                        <w:lang w:val="pl-PL"/>
                      </w:rPr>
                      <w:t xml:space="preserve">Główny Urząd Statystyczny (2021), </w:t>
                    </w:r>
                    <w:r w:rsidRPr="0085159D">
                      <w:rPr>
                        <w:i/>
                        <w:iCs/>
                        <w:noProof/>
                        <w:lang w:val="pl-PL"/>
                      </w:rPr>
                      <w:t>Household budget survey</w:t>
                    </w:r>
                    <w:r w:rsidR="0041258F" w:rsidRPr="0085159D">
                      <w:rPr>
                        <w:i/>
                        <w:iCs/>
                        <w:noProof/>
                        <w:lang w:val="pl-PL"/>
                      </w:rPr>
                      <w:t xml:space="preserve"> – </w:t>
                    </w:r>
                    <w:r w:rsidRPr="0085159D">
                      <w:rPr>
                        <w:i/>
                        <w:iCs/>
                        <w:noProof/>
                        <w:lang w:val="pl-PL"/>
                      </w:rPr>
                      <w:t>2020</w:t>
                    </w:r>
                    <w:r w:rsidRPr="0085159D">
                      <w:rPr>
                        <w:noProof/>
                        <w:lang w:val="pl-PL"/>
                      </w:rPr>
                      <w:t xml:space="preserve">, </w:t>
                    </w:r>
                    <w:r w:rsidRPr="0085159D">
                      <w:rPr>
                        <w:noProof/>
                        <w:color w:val="0000FF"/>
                        <w:u w:val="single"/>
                        <w:lang w:val="pl-PL"/>
                      </w:rPr>
                      <w:t>https://stat.gov.pl/en/topics/living-conditions/living-conditions/household-budget-survey-in-2020,2,16.html</w:t>
                    </w:r>
                    <w:r w:rsidRPr="0085159D">
                      <w:rPr>
                        <w:noProof/>
                        <w:lang w:val="pl-PL"/>
                      </w:rPr>
                      <w:t xml:space="preserve"> (dostęp z 10 sierpnia 2022 r.).</w:t>
                    </w:r>
                  </w:p>
                </w:tc>
                <w:tc>
                  <w:tcPr>
                    <w:tcW w:w="600" w:type="dxa"/>
                    <w:noWrap/>
                    <w:hideMark/>
                  </w:tcPr>
                  <w:p w14:paraId="32220971"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[18]</w:t>
                    </w:r>
                  </w:p>
                </w:tc>
              </w:tr>
              <w:tr w:rsidR="00EA3FB1" w:rsidRPr="0085159D" w14:paraId="3A9DF2D7" w14:textId="77777777" w:rsidTr="00EA3FB1">
                <w:trPr>
                  <w:divId w:val="1248347839"/>
                  <w:cantSplit/>
                </w:trPr>
                <w:tc>
                  <w:tcPr>
                    <w:tcW w:w="8698" w:type="dxa"/>
                    <w:hideMark/>
                  </w:tcPr>
                  <w:p w14:paraId="136268C6" w14:textId="77777777" w:rsidR="00EA3FB1" w:rsidRPr="0085159D" w:rsidRDefault="00754E03" w:rsidP="000B051F">
                    <w:pPr>
                      <w:pStyle w:val="Bibliografia"/>
                      <w:widowControl/>
                      <w:rPr>
                        <w:noProof/>
                        <w:lang w:val="pl-PL"/>
                      </w:rPr>
                    </w:pPr>
                    <w:r w:rsidRPr="0085159D">
                      <w:rPr>
                        <w:noProof/>
                        <w:lang w:val="pl-PL"/>
                      </w:rPr>
                      <w:t xml:space="preserve">Fundacja </w:t>
                    </w:r>
                    <w:r w:rsidR="00EA3FB1" w:rsidRPr="0085159D">
                      <w:rPr>
                        <w:noProof/>
                        <w:lang w:val="pl-PL"/>
                      </w:rPr>
                      <w:t xml:space="preserve">Think!, </w:t>
                    </w:r>
                    <w:r w:rsidRPr="0085159D">
                      <w:rPr>
                        <w:noProof/>
                        <w:lang w:val="pl-PL"/>
                      </w:rPr>
                      <w:t xml:space="preserve">Fundacja Citi Handlowy im. Leopolda Kronenberga </w:t>
                    </w:r>
                    <w:r w:rsidR="00EA3FB1" w:rsidRPr="0085159D">
                      <w:rPr>
                        <w:noProof/>
                        <w:lang w:val="pl-PL"/>
                      </w:rPr>
                      <w:t xml:space="preserve">i Uniwersytet Warszawski (2022), </w:t>
                    </w:r>
                    <w:r w:rsidR="00EA3FB1" w:rsidRPr="0085159D">
                      <w:rPr>
                        <w:i/>
                        <w:iCs/>
                        <w:noProof/>
                        <w:lang w:val="pl-PL"/>
                      </w:rPr>
                      <w:t>Attitudes of Poles towards Finance 2022</w:t>
                    </w:r>
                    <w:r w:rsidR="00EA3FB1" w:rsidRPr="0085159D">
                      <w:rPr>
                        <w:noProof/>
                        <w:lang w:val="pl-PL"/>
                      </w:rPr>
                      <w:t xml:space="preserve">, </w:t>
                    </w:r>
                    <w:r w:rsidR="00EA3FB1" w:rsidRPr="0085159D">
                      <w:rPr>
                        <w:noProof/>
                        <w:color w:val="0000FF"/>
                        <w:u w:val="single"/>
                        <w:lang w:val="pl-PL"/>
                      </w:rPr>
                      <w:t>http://www.think.org.pl/projekty/aktualnosci/318-podejscie-polakow-do-oszczedzania-po-dwoch-latach-pandemii</w:t>
                    </w:r>
                    <w:r w:rsidR="00EA3FB1" w:rsidRPr="0085159D">
                      <w:rPr>
                        <w:noProof/>
                        <w:lang w:val="pl-PL"/>
                      </w:rPr>
                      <w:t xml:space="preserve"> (dostęp z 20 lipca 2022 r.).</w:t>
                    </w:r>
                  </w:p>
                </w:tc>
                <w:tc>
                  <w:tcPr>
                    <w:tcW w:w="600" w:type="dxa"/>
                    <w:noWrap/>
                    <w:hideMark/>
                  </w:tcPr>
                  <w:p w14:paraId="415A272E"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[24]</w:t>
                    </w:r>
                  </w:p>
                </w:tc>
              </w:tr>
              <w:tr w:rsidR="00EA3FB1" w:rsidRPr="0085159D" w14:paraId="0DE6CC80" w14:textId="77777777" w:rsidTr="00EA3FB1">
                <w:trPr>
                  <w:divId w:val="1248347839"/>
                  <w:cantSplit/>
                </w:trPr>
                <w:tc>
                  <w:tcPr>
                    <w:tcW w:w="8698" w:type="dxa"/>
                    <w:hideMark/>
                  </w:tcPr>
                  <w:p w14:paraId="587A07DB" w14:textId="77777777" w:rsidR="00EA3FB1" w:rsidRPr="0085159D" w:rsidRDefault="00EA3FB1" w:rsidP="000B051F">
                    <w:pPr>
                      <w:pStyle w:val="Bibliografia"/>
                      <w:widowControl/>
                      <w:rPr>
                        <w:noProof/>
                        <w:lang w:val="pl-PL"/>
                      </w:rPr>
                    </w:pPr>
                    <w:r w:rsidRPr="0085159D">
                      <w:rPr>
                        <w:noProof/>
                        <w:lang w:val="pl-PL"/>
                      </w:rPr>
                      <w:t xml:space="preserve">Fundacja Warszawski Instytut Bankowości, Fundacja Giełdy Papierów Wartościowych w Warszawie (2021), </w:t>
                    </w:r>
                    <w:r w:rsidRPr="0085159D">
                      <w:rPr>
                        <w:i/>
                        <w:iCs/>
                        <w:noProof/>
                        <w:lang w:val="pl-PL"/>
                      </w:rPr>
                      <w:t>Poziom wiedzy finansowej Polaków 2021</w:t>
                    </w:r>
                    <w:r w:rsidRPr="0085159D">
                      <w:rPr>
                        <w:noProof/>
                        <w:lang w:val="pl-PL"/>
                      </w:rPr>
                      <w:t xml:space="preserve">, </w:t>
                    </w:r>
                    <w:r w:rsidRPr="0085159D">
                      <w:rPr>
                        <w:noProof/>
                        <w:color w:val="0000FF"/>
                        <w:u w:val="single"/>
                        <w:lang w:val="pl-PL"/>
                      </w:rPr>
                      <w:t>http://www.wib.org.pl/wp-content/uploads/2021/03/Poziom-wiedzy-finansowej-Polakow-2021_badanie-WIB-i-FGPW.pdf</w:t>
                    </w:r>
                    <w:r w:rsidRPr="0085159D">
                      <w:rPr>
                        <w:noProof/>
                        <w:lang w:val="pl-PL"/>
                      </w:rPr>
                      <w:t>.</w:t>
                    </w:r>
                  </w:p>
                </w:tc>
                <w:tc>
                  <w:tcPr>
                    <w:tcW w:w="600" w:type="dxa"/>
                    <w:noWrap/>
                    <w:hideMark/>
                  </w:tcPr>
                  <w:p w14:paraId="5C8C5006"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[8]</w:t>
                    </w:r>
                  </w:p>
                </w:tc>
              </w:tr>
              <w:tr w:rsidR="00EA3FB1" w:rsidRPr="0085159D" w14:paraId="034F7A2C" w14:textId="77777777" w:rsidTr="00EA3FB1">
                <w:trPr>
                  <w:divId w:val="1248347839"/>
                  <w:cantSplit/>
                </w:trPr>
                <w:tc>
                  <w:tcPr>
                    <w:tcW w:w="8698" w:type="dxa"/>
                    <w:hideMark/>
                  </w:tcPr>
                  <w:p w14:paraId="6A400790" w14:textId="77777777" w:rsidR="00EA3FB1" w:rsidRPr="0085159D" w:rsidRDefault="00EA3FB1" w:rsidP="000B051F">
                    <w:pPr>
                      <w:pStyle w:val="Bibliografia"/>
                      <w:widowControl/>
                      <w:rPr>
                        <w:noProof/>
                        <w:lang w:val="pl-PL"/>
                      </w:rPr>
                    </w:pPr>
                    <w:r w:rsidRPr="0085159D">
                      <w:rPr>
                        <w:noProof/>
                        <w:lang w:val="pl-PL"/>
                      </w:rPr>
                      <w:t xml:space="preserve">Warszawski Instytut Bankowości, Fundacja Giełdy Papierów Wartościowych w Warszawie (2021), </w:t>
                    </w:r>
                    <w:r w:rsidRPr="0085159D">
                      <w:rPr>
                        <w:i/>
                        <w:iCs/>
                        <w:noProof/>
                        <w:lang w:val="pl-PL"/>
                      </w:rPr>
                      <w:t>Poziom wiedzy finansowej Polaków 2021</w:t>
                    </w:r>
                    <w:r w:rsidRPr="0085159D">
                      <w:rPr>
                        <w:noProof/>
                        <w:lang w:val="pl-PL"/>
                      </w:rPr>
                      <w:t xml:space="preserve">, </w:t>
                    </w:r>
                    <w:r w:rsidRPr="0085159D">
                      <w:rPr>
                        <w:noProof/>
                        <w:color w:val="0000FF"/>
                        <w:u w:val="single"/>
                        <w:lang w:val="pl-PL"/>
                      </w:rPr>
                      <w:t>http://www.wib.org.pl/wp-content/uploads/2021/03/Poziom-wiedzy-finansowej-Polakow-2021_badanie-WIB-i-FGPW.pdf</w:t>
                    </w:r>
                    <w:r w:rsidRPr="0085159D">
                      <w:rPr>
                        <w:noProof/>
                        <w:lang w:val="pl-PL"/>
                      </w:rPr>
                      <w:t>.</w:t>
                    </w:r>
                  </w:p>
                </w:tc>
                <w:tc>
                  <w:tcPr>
                    <w:tcW w:w="600" w:type="dxa"/>
                    <w:noWrap/>
                    <w:hideMark/>
                  </w:tcPr>
                  <w:p w14:paraId="356F20F0"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[32]</w:t>
                    </w:r>
                  </w:p>
                </w:tc>
              </w:tr>
              <w:tr w:rsidR="00EA3FB1" w:rsidRPr="0085159D" w14:paraId="062B387B" w14:textId="77777777" w:rsidTr="00EA3FB1">
                <w:trPr>
                  <w:divId w:val="1248347839"/>
                  <w:cantSplit/>
                </w:trPr>
                <w:tc>
                  <w:tcPr>
                    <w:tcW w:w="8698" w:type="dxa"/>
                    <w:hideMark/>
                  </w:tcPr>
                  <w:p w14:paraId="1B0E9B71" w14:textId="77777777" w:rsidR="00EA3FB1" w:rsidRPr="0085159D" w:rsidRDefault="00EA3FB1" w:rsidP="000B051F">
                    <w:pPr>
                      <w:pStyle w:val="Bibliografia"/>
                      <w:widowControl/>
                      <w:rPr>
                        <w:noProof/>
                        <w:lang w:val="pl-PL"/>
                      </w:rPr>
                    </w:pPr>
                    <w:r w:rsidRPr="0085159D">
                      <w:rPr>
                        <w:noProof/>
                        <w:lang w:val="pl-PL"/>
                      </w:rPr>
                      <w:t xml:space="preserve">Giełda Papierów Wartościowych w Warszawie (2021), </w:t>
                    </w:r>
                    <w:r w:rsidRPr="0085159D">
                      <w:rPr>
                        <w:i/>
                        <w:iCs/>
                        <w:noProof/>
                        <w:lang w:val="pl-PL"/>
                      </w:rPr>
                      <w:t>Analysis</w:t>
                    </w:r>
                    <w:r w:rsidR="0041258F" w:rsidRPr="0085159D">
                      <w:rPr>
                        <w:i/>
                        <w:iCs/>
                        <w:noProof/>
                        <w:lang w:val="pl-PL"/>
                      </w:rPr>
                      <w:t xml:space="preserve"> – </w:t>
                    </w:r>
                    <w:r w:rsidRPr="0085159D">
                      <w:rPr>
                        <w:i/>
                        <w:iCs/>
                        <w:noProof/>
                        <w:lang w:val="pl-PL"/>
                      </w:rPr>
                      <w:t>investor share in trading</w:t>
                    </w:r>
                    <w:r w:rsidRPr="0085159D">
                      <w:rPr>
                        <w:noProof/>
                        <w:lang w:val="pl-PL"/>
                      </w:rPr>
                      <w:t xml:space="preserve">, </w:t>
                    </w:r>
                    <w:r w:rsidRPr="0085159D">
                      <w:rPr>
                        <w:noProof/>
                        <w:color w:val="0000FF"/>
                        <w:u w:val="single"/>
                        <w:lang w:val="pl-PL"/>
                      </w:rPr>
                      <w:t>http://www.gpw.pl/analysis-investor-share-in-trading</w:t>
                    </w:r>
                    <w:r w:rsidRPr="0085159D">
                      <w:rPr>
                        <w:noProof/>
                        <w:lang w:val="pl-PL"/>
                      </w:rPr>
                      <w:t xml:space="preserve"> (dostęp z 20 lipca 2022 r.).</w:t>
                    </w:r>
                  </w:p>
                </w:tc>
                <w:tc>
                  <w:tcPr>
                    <w:tcW w:w="600" w:type="dxa"/>
                    <w:noWrap/>
                    <w:hideMark/>
                  </w:tcPr>
                  <w:p w14:paraId="1A6DED09" w14:textId="77777777" w:rsidR="00EA3FB1" w:rsidRPr="0085159D" w:rsidRDefault="00EA3FB1" w:rsidP="000B051F">
                    <w:pPr>
                      <w:widowControl/>
                      <w:spacing w:before="100" w:beforeAutospacing="1" w:after="100" w:afterAutospacing="1"/>
                      <w:jc w:val="right"/>
                      <w:rPr>
                        <w:noProof/>
                        <w:lang w:val="pl-PL"/>
                      </w:rPr>
                    </w:pPr>
                    <w:r w:rsidRPr="0085159D">
                      <w:rPr>
                        <w:noProof/>
                        <w:color w:val="000000"/>
                        <w:sz w:val="16"/>
                        <w:szCs w:val="16"/>
                        <w:lang w:val="pl-PL"/>
                      </w:rPr>
                      <w:t>[31]</w:t>
                    </w:r>
                  </w:p>
                </w:tc>
              </w:tr>
            </w:tbl>
            <w:p w14:paraId="432281BA" w14:textId="77777777" w:rsidR="00EA3FB1" w:rsidRPr="0085159D" w:rsidRDefault="00EA3FB1" w:rsidP="000B051F">
              <w:pPr>
                <w:widowControl/>
                <w:divId w:val="1248347839"/>
                <w:rPr>
                  <w:rFonts w:eastAsia="Times New Roman"/>
                  <w:noProof/>
                  <w:lang w:val="pl-PL"/>
                </w:rPr>
              </w:pPr>
            </w:p>
            <w:p w14:paraId="1DD79B82" w14:textId="77777777" w:rsidR="00E14925" w:rsidRPr="0085159D" w:rsidRDefault="006D0AD8" w:rsidP="000B051F">
              <w:pPr>
                <w:widowControl/>
                <w:rPr>
                  <w:lang w:val="pl-PL"/>
                </w:rPr>
              </w:pPr>
              <w:r w:rsidRPr="0085159D">
                <w:rPr>
                  <w:b/>
                  <w:bCs/>
                  <w:noProof/>
                  <w:lang w:val="pl-PL"/>
                </w:rPr>
                <w:fldChar w:fldCharType="end"/>
              </w:r>
            </w:p>
          </w:sdtContent>
        </w:sdt>
      </w:sdtContent>
    </w:sdt>
    <w:p w14:paraId="73758305" w14:textId="77777777" w:rsidR="006D0AD8" w:rsidRPr="0085159D" w:rsidRDefault="006D0AD8" w:rsidP="00AA45D8">
      <w:pPr>
        <w:pStyle w:val="Tytu"/>
        <w:spacing w:after="1200"/>
        <w:rPr>
          <w:lang w:val="pl-PL"/>
        </w:rPr>
      </w:pPr>
    </w:p>
    <w:sectPr w:rsidR="006D0AD8" w:rsidRPr="0085159D" w:rsidSect="00EA3FB1">
      <w:headerReference w:type="even" r:id="rId29"/>
      <w:headerReference w:type="default" r:id="rId30"/>
      <w:footerReference w:type="even" r:id="rId31"/>
      <w:footerReference w:type="default" r:id="rId32"/>
      <w:endnotePr>
        <w:numFmt w:val="decimal"/>
        <w:numRestart w:val="eachSect"/>
      </w:endnotePr>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E93C" w14:textId="77777777" w:rsidR="003938DA" w:rsidRDefault="003938DA" w:rsidP="00CC3749"/>
  </w:endnote>
  <w:endnote w:type="continuationSeparator" w:id="0">
    <w:p w14:paraId="06ABC42A" w14:textId="77777777" w:rsidR="003938DA" w:rsidRPr="00CF4424" w:rsidRDefault="003938DA" w:rsidP="00CF4424">
      <w:pPr>
        <w:pStyle w:val="Stopka"/>
        <w:jc w:val="both"/>
      </w:pPr>
    </w:p>
  </w:endnote>
  <w:endnote w:type="continuationNotice" w:id="1">
    <w:p w14:paraId="0DAA0D13" w14:textId="77777777" w:rsidR="003938DA" w:rsidRDefault="00393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610733549"/>
      <w:lock w:val="sdtLocked"/>
      <w:showingPlcHdr/>
    </w:sdtPr>
    <w:sdtEndPr/>
    <w:sdtContent>
      <w:p w14:paraId="4BC9BB58" w14:textId="77777777" w:rsidR="00B935F0" w:rsidRPr="00754E03" w:rsidRDefault="00B935F0" w:rsidP="007E70B7">
        <w:pPr>
          <w:pStyle w:val="Stopka"/>
          <w:jc w:val="both"/>
          <w:rPr>
            <w:lang w:val="pl-PL"/>
          </w:rPr>
        </w:pPr>
        <w:r>
          <w:t xml:space="preserve">     </w:t>
        </w:r>
      </w:p>
    </w:sdtContent>
  </w:sdt>
  <w:sdt>
    <w:sdtPr>
      <w:alias w:val="Classification"/>
      <w:tag w:val="txtHeaderClassif"/>
      <w:id w:val="-1589153676"/>
      <w:lock w:val="sdtLocked"/>
    </w:sdtPr>
    <w:sdtEndPr/>
    <w:sdtContent>
      <w:p w14:paraId="1524F8BC" w14:textId="77777777" w:rsidR="00B935F0" w:rsidRDefault="00B935F0" w:rsidP="004E100F">
        <w:pPr>
          <w:pStyle w:val="FooterClassification"/>
          <w:jc w:val="left"/>
        </w:pPr>
        <w:r>
          <w:rPr>
            <w:lang w:val="pl"/>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782718668"/>
      <w:lock w:val="sdtLocked"/>
      <w:showingPlcHdr/>
    </w:sdtPr>
    <w:sdtEndPr/>
    <w:sdtContent>
      <w:p w14:paraId="7AB75082" w14:textId="77777777" w:rsidR="00B935F0" w:rsidRPr="00754E03" w:rsidRDefault="00B935F0" w:rsidP="004E100F">
        <w:pPr>
          <w:pStyle w:val="Stopka"/>
          <w:jc w:val="left"/>
          <w:rPr>
            <w:caps w:val="0"/>
            <w:szCs w:val="16"/>
            <w:lang w:val="pl-PL"/>
          </w:rPr>
        </w:pPr>
        <w:r>
          <w:t xml:space="preserve">     </w:t>
        </w:r>
      </w:p>
    </w:sdtContent>
  </w:sdt>
  <w:sdt>
    <w:sdtPr>
      <w:alias w:val="Classification"/>
      <w:tag w:val="txtHeaderClassif"/>
      <w:id w:val="1167130426"/>
      <w:lock w:val="sdtLocked"/>
    </w:sdtPr>
    <w:sdtEndPr/>
    <w:sdtContent>
      <w:p w14:paraId="65987F70" w14:textId="77777777" w:rsidR="00B935F0" w:rsidRPr="00FD7BD8" w:rsidRDefault="00B935F0" w:rsidP="004E100F">
        <w:pPr>
          <w:pStyle w:val="FooterClassification"/>
          <w:rPr>
            <w:szCs w:val="16"/>
          </w:rPr>
        </w:pPr>
        <w:r>
          <w:rPr>
            <w:lang w:val="pl"/>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146635266"/>
      <w:lock w:val="sdtLocked"/>
    </w:sdtPr>
    <w:sdtEndPr/>
    <w:sdtContent>
      <w:p w14:paraId="6ADF79F1" w14:textId="77777777" w:rsidR="00B935F0" w:rsidRPr="00754E03" w:rsidRDefault="00B935F0" w:rsidP="004E100F">
        <w:pPr>
          <w:pStyle w:val="Stopka"/>
          <w:jc w:val="right"/>
          <w:rPr>
            <w:lang w:val="pl-PL"/>
          </w:rPr>
        </w:pPr>
        <w:r>
          <w:rPr>
            <w:lang w:val="pl"/>
          </w:rPr>
          <w:t>Krajowa Strategia Edukacji Finansowej DLA POLSKI © OECD 2023</w:t>
        </w:r>
      </w:p>
    </w:sdtContent>
  </w:sdt>
  <w:sdt>
    <w:sdtPr>
      <w:alias w:val="Classification"/>
      <w:tag w:val="txtHeaderClassif"/>
      <w:id w:val="1102221585"/>
      <w:lock w:val="sdtLocked"/>
    </w:sdtPr>
    <w:sdtEndPr/>
    <w:sdtContent>
      <w:p w14:paraId="1A55F5FC" w14:textId="77777777" w:rsidR="00B935F0" w:rsidRDefault="00B935F0" w:rsidP="004E100F">
        <w:pPr>
          <w:pStyle w:val="FooterClassification"/>
          <w:jc w:val="left"/>
        </w:pPr>
        <w:r>
          <w:rPr>
            <w:lang w:val="pl"/>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075010546"/>
      <w:lock w:val="sdtLocked"/>
    </w:sdtPr>
    <w:sdtEndPr/>
    <w:sdtContent>
      <w:p w14:paraId="68A4CD43" w14:textId="77777777" w:rsidR="00B935F0" w:rsidRPr="00754E03" w:rsidRDefault="00B935F0" w:rsidP="004E100F">
        <w:pPr>
          <w:pStyle w:val="Stopka"/>
          <w:jc w:val="left"/>
          <w:rPr>
            <w:caps w:val="0"/>
            <w:szCs w:val="16"/>
            <w:lang w:val="pl-PL"/>
          </w:rPr>
        </w:pPr>
        <w:r>
          <w:rPr>
            <w:lang w:val="pl"/>
          </w:rPr>
          <w:t>Krajowa Strategia Edukacji Finansowej DLA POLSKI © OECD 2023</w:t>
        </w:r>
      </w:p>
    </w:sdtContent>
  </w:sdt>
  <w:sdt>
    <w:sdtPr>
      <w:alias w:val="Classification"/>
      <w:tag w:val="txtHeaderClassif"/>
      <w:id w:val="-1581130748"/>
      <w:lock w:val="sdtLocked"/>
    </w:sdtPr>
    <w:sdtEndPr/>
    <w:sdtContent>
      <w:p w14:paraId="15637D8D" w14:textId="77777777" w:rsidR="00B935F0" w:rsidRPr="00FD7BD8" w:rsidRDefault="00B935F0" w:rsidP="004E100F">
        <w:pPr>
          <w:pStyle w:val="FooterClassification"/>
          <w:rPr>
            <w:szCs w:val="16"/>
          </w:rPr>
        </w:pPr>
        <w:r>
          <w:rPr>
            <w:lang w:val="pl"/>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52A8" w14:textId="77777777" w:rsidR="00B935F0" w:rsidRDefault="00B935F0">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217002386"/>
      <w:lock w:val="sdtLocked"/>
    </w:sdtPr>
    <w:sdtEndPr/>
    <w:sdtContent>
      <w:p w14:paraId="4FCD5F5B" w14:textId="77777777" w:rsidR="00B935F0" w:rsidRPr="00754E03" w:rsidRDefault="00B935F0" w:rsidP="004E100F">
        <w:pPr>
          <w:pStyle w:val="Stopka"/>
          <w:jc w:val="right"/>
          <w:rPr>
            <w:lang w:val="pl-PL"/>
          </w:rPr>
        </w:pPr>
        <w:r>
          <w:rPr>
            <w:lang w:val="pl"/>
          </w:rPr>
          <w:t>Krajowa Strategia Edukacji Finansowej DLA POLSKI © OECD 2023</w:t>
        </w:r>
      </w:p>
    </w:sdtContent>
  </w:sdt>
  <w:sdt>
    <w:sdtPr>
      <w:alias w:val="Classification"/>
      <w:tag w:val="txtHeaderClassif"/>
      <w:id w:val="-1918931641"/>
      <w:lock w:val="sdtLocked"/>
    </w:sdtPr>
    <w:sdtEndPr/>
    <w:sdtContent>
      <w:p w14:paraId="14D00E10" w14:textId="77777777" w:rsidR="00B935F0" w:rsidRDefault="00B935F0" w:rsidP="004E100F">
        <w:pPr>
          <w:pStyle w:val="FooterClassification"/>
          <w:jc w:val="left"/>
        </w:pPr>
        <w:r>
          <w:rPr>
            <w:lang w:val="pl"/>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884096409"/>
      <w:lock w:val="sdtLocked"/>
      <w:showingPlcHdr/>
    </w:sdtPr>
    <w:sdtEndPr/>
    <w:sdtContent>
      <w:p w14:paraId="11A773CC" w14:textId="77777777" w:rsidR="00B935F0" w:rsidRPr="00754E03" w:rsidRDefault="00B935F0" w:rsidP="004E100F">
        <w:pPr>
          <w:pStyle w:val="Stopka"/>
          <w:jc w:val="left"/>
          <w:rPr>
            <w:caps w:val="0"/>
            <w:szCs w:val="16"/>
            <w:lang w:val="pl-PL"/>
          </w:rPr>
        </w:pPr>
        <w:r>
          <w:t xml:space="preserve">     </w:t>
        </w:r>
      </w:p>
    </w:sdtContent>
  </w:sdt>
  <w:sdt>
    <w:sdtPr>
      <w:alias w:val="Classification"/>
      <w:tag w:val="txtHeaderClassif"/>
      <w:id w:val="-311407045"/>
      <w:lock w:val="sdtLocked"/>
    </w:sdtPr>
    <w:sdtEndPr/>
    <w:sdtContent>
      <w:p w14:paraId="6012216A" w14:textId="77777777" w:rsidR="00B935F0" w:rsidRPr="00FD7BD8" w:rsidRDefault="00B935F0" w:rsidP="004E100F">
        <w:pPr>
          <w:pStyle w:val="FooterClassification"/>
          <w:rPr>
            <w:szCs w:val="16"/>
          </w:rPr>
        </w:pPr>
        <w:r>
          <w:rPr>
            <w:lang w:val="p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32E0" w14:textId="77777777" w:rsidR="003938DA" w:rsidRDefault="003938DA" w:rsidP="00CC3749">
      <w:r>
        <w:separator/>
      </w:r>
    </w:p>
  </w:footnote>
  <w:footnote w:type="continuationSeparator" w:id="0">
    <w:p w14:paraId="72D86AC2" w14:textId="77777777" w:rsidR="003938DA" w:rsidRDefault="003938DA" w:rsidP="00CC3749">
      <w:r>
        <w:continuationSeparator/>
      </w:r>
    </w:p>
  </w:footnote>
  <w:footnote w:id="1">
    <w:p w14:paraId="4CDDC2E6" w14:textId="460C6135" w:rsidR="00B935F0" w:rsidRPr="00B826AD" w:rsidRDefault="00B935F0" w:rsidP="00F02D73">
      <w:pPr>
        <w:pStyle w:val="Tekstprzypisudolnego"/>
        <w:jc w:val="left"/>
        <w:rPr>
          <w:szCs w:val="18"/>
          <w:lang w:val="pl-PL"/>
        </w:rPr>
      </w:pPr>
      <w:r>
        <w:rPr>
          <w:rStyle w:val="Odwoanieprzypisudolnego"/>
        </w:rPr>
        <w:footnoteRef/>
      </w:r>
      <w:r w:rsidR="009736C0">
        <w:rPr>
          <w:lang w:val="pl-PL"/>
        </w:rPr>
        <w:t> </w:t>
      </w:r>
      <w:r w:rsidRPr="00B826AD">
        <w:rPr>
          <w:i/>
          <w:iCs/>
          <w:szCs w:val="18"/>
          <w:lang w:val="pl-PL"/>
        </w:rPr>
        <w:t xml:space="preserve">OECD (2023), </w:t>
      </w:r>
      <w:r w:rsidR="008F05C5" w:rsidRPr="008F05C5">
        <w:rPr>
          <w:i/>
          <w:iCs/>
          <w:szCs w:val="18"/>
          <w:lang w:val="pl-PL"/>
        </w:rPr>
        <w:t>National Strategy for Financial Education for Poland</w:t>
      </w:r>
      <w:r w:rsidRPr="00B826AD">
        <w:rPr>
          <w:i/>
          <w:iCs/>
          <w:szCs w:val="18"/>
          <w:lang w:val="pl-PL"/>
        </w:rPr>
        <w:t>,</w:t>
      </w:r>
      <w:r w:rsidR="008F05C5">
        <w:rPr>
          <w:i/>
          <w:iCs/>
          <w:szCs w:val="18"/>
          <w:lang w:val="pl-PL"/>
        </w:rPr>
        <w:t xml:space="preserve"> </w:t>
      </w:r>
      <w:bookmarkStart w:id="0" w:name="_Hlk152105039"/>
      <w:r w:rsidR="008F05C5">
        <w:rPr>
          <w:i/>
          <w:iCs/>
          <w:szCs w:val="18"/>
          <w:lang w:val="pl-PL"/>
        </w:rPr>
        <w:fldChar w:fldCharType="begin"/>
      </w:r>
      <w:r w:rsidR="008F05C5">
        <w:rPr>
          <w:i/>
          <w:iCs/>
          <w:szCs w:val="18"/>
          <w:lang w:val="pl-PL"/>
        </w:rPr>
        <w:instrText xml:space="preserve"> HYPERLINK "</w:instrText>
      </w:r>
      <w:r w:rsidR="008F05C5" w:rsidRPr="008F05C5">
        <w:rPr>
          <w:i/>
          <w:iCs/>
          <w:szCs w:val="18"/>
          <w:lang w:val="pl-PL"/>
        </w:rPr>
        <w:instrText>https://www.oecd.org/finance/financial-education/financial-literacy-poland.htm</w:instrText>
      </w:r>
      <w:r w:rsidR="008F05C5">
        <w:rPr>
          <w:i/>
          <w:iCs/>
          <w:szCs w:val="18"/>
          <w:lang w:val="pl-PL"/>
        </w:rPr>
        <w:instrText xml:space="preserve">" </w:instrText>
      </w:r>
      <w:r w:rsidR="008F05C5">
        <w:rPr>
          <w:i/>
          <w:iCs/>
          <w:szCs w:val="18"/>
          <w:lang w:val="pl-PL"/>
        </w:rPr>
        <w:fldChar w:fldCharType="separate"/>
      </w:r>
      <w:r w:rsidR="008F05C5" w:rsidRPr="0079112A">
        <w:rPr>
          <w:rStyle w:val="Hipercze"/>
          <w:i/>
          <w:iCs/>
          <w:szCs w:val="18"/>
          <w:lang w:val="pl-PL"/>
        </w:rPr>
        <w:t>https://www.oecd.org/finance/financial-education/financial-literacy-poland.htm</w:t>
      </w:r>
      <w:r w:rsidR="008F05C5">
        <w:rPr>
          <w:i/>
          <w:iCs/>
          <w:szCs w:val="18"/>
          <w:lang w:val="pl-PL"/>
        </w:rPr>
        <w:fldChar w:fldCharType="end"/>
      </w:r>
      <w:r w:rsidR="008F05C5">
        <w:rPr>
          <w:i/>
          <w:iCs/>
          <w:szCs w:val="18"/>
          <w:lang w:val="pl-PL"/>
        </w:rPr>
        <w:t xml:space="preserve"> </w:t>
      </w:r>
    </w:p>
    <w:bookmarkEnd w:id="0"/>
  </w:footnote>
  <w:footnote w:id="2">
    <w:p w14:paraId="728ACFBD" w14:textId="24EB51C4" w:rsidR="00B935F0" w:rsidRPr="008F05C5" w:rsidRDefault="00B935F0" w:rsidP="00F02D73">
      <w:pPr>
        <w:pStyle w:val="Tekstprzypisudolnego"/>
        <w:jc w:val="left"/>
        <w:rPr>
          <w:i/>
          <w:iCs/>
          <w:szCs w:val="18"/>
          <w:lang w:val="pl-PL"/>
        </w:rPr>
      </w:pPr>
      <w:r w:rsidRPr="00F66504">
        <w:rPr>
          <w:rStyle w:val="Odwoanieprzypisudolnego"/>
          <w:sz w:val="18"/>
          <w:szCs w:val="18"/>
        </w:rPr>
        <w:footnoteRef/>
      </w:r>
      <w:r w:rsidR="009736C0">
        <w:rPr>
          <w:szCs w:val="18"/>
        </w:rPr>
        <w:t> </w:t>
      </w:r>
      <w:bookmarkStart w:id="1" w:name="_Hlk152327380"/>
      <w:r w:rsidRPr="00F66504">
        <w:rPr>
          <w:i/>
          <w:iCs/>
          <w:szCs w:val="18"/>
        </w:rPr>
        <w:t>OECD (2022), Financial Literacy in Poland: Relevance, evidence and provision</w:t>
      </w:r>
      <w:r w:rsidR="008F05C5">
        <w:rPr>
          <w:i/>
          <w:iCs/>
          <w:szCs w:val="18"/>
        </w:rPr>
        <w:t>,</w:t>
      </w:r>
      <w:r w:rsidR="00F02D73">
        <w:rPr>
          <w:i/>
          <w:iCs/>
          <w:szCs w:val="18"/>
        </w:rPr>
        <w:t xml:space="preserve"> </w:t>
      </w:r>
      <w:r w:rsidR="008F05C5">
        <w:rPr>
          <w:i/>
          <w:iCs/>
          <w:szCs w:val="18"/>
        </w:rPr>
        <w:t xml:space="preserve"> </w:t>
      </w:r>
      <w:hyperlink r:id="rId1" w:history="1">
        <w:r w:rsidR="008F05C5" w:rsidRPr="008F05C5">
          <w:rPr>
            <w:rStyle w:val="Hipercze"/>
            <w:i/>
            <w:iCs/>
            <w:szCs w:val="18"/>
            <w:lang w:val="pl-PL"/>
          </w:rPr>
          <w:t>https://www.oecd.org/finance/financial-education/financial-literacy-poland.htm</w:t>
        </w:r>
      </w:hyperlink>
      <w:bookmarkEnd w:id="1"/>
      <w:r w:rsidR="008F05C5" w:rsidRPr="008F05C5">
        <w:rPr>
          <w:i/>
          <w:iCs/>
          <w:szCs w:val="18"/>
          <w:lang w:val="pl-PL"/>
        </w:rPr>
        <w:t xml:space="preserve"> </w:t>
      </w:r>
    </w:p>
  </w:footnote>
  <w:footnote w:id="3">
    <w:p w14:paraId="21534856" w14:textId="4339FA25" w:rsidR="00B935F0" w:rsidRPr="00A62A40" w:rsidRDefault="00B935F0" w:rsidP="007E525D">
      <w:pPr>
        <w:pStyle w:val="Tekstprzypisudolnego"/>
        <w:rPr>
          <w:lang w:val="pl-PL"/>
        </w:rPr>
      </w:pPr>
      <w:r>
        <w:rPr>
          <w:rStyle w:val="Odwoanieprzypisudolnego"/>
        </w:rPr>
        <w:footnoteRef/>
      </w:r>
      <w:r w:rsidRPr="00032051">
        <w:rPr>
          <w:lang w:val="pl-PL"/>
        </w:rPr>
        <w:t xml:space="preserve"> </w:t>
      </w:r>
      <w:r>
        <w:rPr>
          <w:lang w:val="pl"/>
        </w:rPr>
        <w:t>Szczegółową analizę aktualnego kontekstu społeczno-ekonomicznego Polski oraz trendów, jakie mogą wywierać wpływ na sytuację finansową mieszkańców Polski, zawiera</w:t>
      </w:r>
      <w:r w:rsidR="00F02D73">
        <w:rPr>
          <w:lang w:val="pl"/>
        </w:rPr>
        <w:t xml:space="preserve"> raport </w:t>
      </w:r>
      <w:bookmarkStart w:id="9" w:name="_Hlk151630661"/>
      <w:r w:rsidR="00F02D73">
        <w:rPr>
          <w:i/>
          <w:iCs/>
          <w:lang w:val="pl"/>
        </w:rPr>
        <w:t>Znajomość zagadnień finansowych w Polsce: Znaczenie, dane i oferta edukacyjna,</w:t>
      </w:r>
      <w:r w:rsidR="00F02D73">
        <w:rPr>
          <w:lang w:val="pl"/>
        </w:rPr>
        <w:t xml:space="preserve"> (</w:t>
      </w:r>
      <w:r w:rsidR="00F02D73" w:rsidRPr="00F02D73">
        <w:rPr>
          <w:i/>
          <w:iCs/>
        </w:rPr>
        <w:t>Financial Literacy in Poland: Relevance, evidence and provision</w:t>
      </w:r>
      <w:r w:rsidR="00F02D73">
        <w:rPr>
          <w:i/>
          <w:iCs/>
        </w:rPr>
        <w:t>)</w:t>
      </w:r>
      <w:r w:rsidR="00F02D73" w:rsidRPr="00F02D73">
        <w:rPr>
          <w:i/>
          <w:iCs/>
        </w:rPr>
        <w:t xml:space="preserve">,  </w:t>
      </w:r>
      <w:hyperlink r:id="rId2" w:history="1">
        <w:r w:rsidR="00F02D73" w:rsidRPr="00F02D73">
          <w:rPr>
            <w:rStyle w:val="Hipercze"/>
            <w:i/>
            <w:iCs/>
            <w:lang w:val="pl-PL"/>
          </w:rPr>
          <w:t>https://www.oecd.org/finance/financial-education/financial-literacy-poland.htm</w:t>
        </w:r>
      </w:hyperlink>
      <w:bookmarkEnd w:id="9"/>
      <w:r w:rsidR="00F02D73">
        <w:rPr>
          <w:lang w:val="pl"/>
        </w:rPr>
        <w:t xml:space="preserve"> </w:t>
      </w:r>
    </w:p>
  </w:footnote>
  <w:footnote w:id="4">
    <w:p w14:paraId="130ACAB6" w14:textId="77777777" w:rsidR="00B935F0" w:rsidRPr="00A62A40" w:rsidRDefault="00B935F0">
      <w:pPr>
        <w:pStyle w:val="Tekstprzypisudolnego"/>
        <w:rPr>
          <w:lang w:val="pl-PL"/>
        </w:rPr>
      </w:pPr>
      <w:r>
        <w:rPr>
          <w:rStyle w:val="Odwoanieprzypisudolnego"/>
        </w:rPr>
        <w:footnoteRef/>
      </w:r>
      <w:r w:rsidRPr="00032051">
        <w:rPr>
          <w:lang w:val="pl-PL"/>
        </w:rPr>
        <w:t xml:space="preserve"> </w:t>
      </w:r>
      <w:r>
        <w:rPr>
          <w:lang w:val="pl"/>
        </w:rPr>
        <w:t>Szacunki te opierają się na odpowiedziach otrzymanych w kwestionariuszu inwentaryzacyjnym przeprowadzonym przez OECD od grudnia 2021 r. do stycznia 2022 r., a także na szeroko zakrojonych badaniach źródłowych przeprowadzonych przez OECD. Możliwe jest jednak, że niektórzy interesariusze, inicjatywy lub programy mogły zostać pominięte w raporcie.</w:t>
      </w:r>
    </w:p>
  </w:footnote>
  <w:footnote w:id="5">
    <w:p w14:paraId="200F55D3" w14:textId="77777777" w:rsidR="00B935F0" w:rsidRPr="00A62A40" w:rsidRDefault="00B935F0">
      <w:pPr>
        <w:pStyle w:val="Tekstprzypisudolnego"/>
        <w:rPr>
          <w:lang w:val="pl-PL"/>
        </w:rPr>
      </w:pPr>
      <w:r>
        <w:rPr>
          <w:rStyle w:val="Odwoanieprzypisudolnego"/>
        </w:rPr>
        <w:footnoteRef/>
      </w:r>
      <w:r w:rsidRPr="003821D4">
        <w:rPr>
          <w:lang w:val="pl-PL"/>
        </w:rPr>
        <w:t xml:space="preserve"> </w:t>
      </w:r>
      <w:r>
        <w:rPr>
          <w:lang w:val="pl"/>
        </w:rPr>
        <w:t>Rekomendacja ta stanowi jednolity i wszechstronny instrument w zakresie kompetencji finansowych, którego celem jest wsparcie rządów w wysiłkach na rzecz projektowania, wdrażania i oceniania polityk w dziedzinie kompetencji finansowych. Jest ona częścią całościowego podejścia do zagadnień konsumenckich, zakładającego, że kompetencje finansowe, wraz z lepszym dostępem do finansowania, właściwym zakresem ochrony konsumenta oraz ramami regulacyjnymi, powinny być czynnikiem wzmacniającym odporność i dobrostan finansowy.</w:t>
      </w:r>
    </w:p>
  </w:footnote>
  <w:footnote w:id="6">
    <w:p w14:paraId="075C51DA" w14:textId="77777777" w:rsidR="00B935F0" w:rsidRPr="00A62A40" w:rsidRDefault="00B935F0">
      <w:pPr>
        <w:pStyle w:val="Tekstprzypisudolnego"/>
        <w:rPr>
          <w:lang w:val="pl-PL"/>
        </w:rPr>
      </w:pPr>
      <w:r>
        <w:rPr>
          <w:rStyle w:val="Odwoanieprzypisudolnego"/>
        </w:rPr>
        <w:footnoteRef/>
      </w:r>
      <w:r w:rsidRPr="00053032">
        <w:rPr>
          <w:lang w:val="pl-PL"/>
        </w:rPr>
        <w:t xml:space="preserve"> </w:t>
      </w:r>
      <w:r>
        <w:rPr>
          <w:lang w:val="pl"/>
        </w:rPr>
        <w:t xml:space="preserve">The G20/OECD High-Level </w:t>
      </w:r>
      <w:r>
        <w:rPr>
          <w:lang w:val="pl"/>
        </w:rPr>
        <w:t xml:space="preserve">Principles on Financial Consumer Protection </w:t>
      </w:r>
      <w:sdt>
        <w:sdtPr>
          <w:id w:val="-1453390339"/>
          <w:citation/>
        </w:sdtPr>
        <w:sdtEndPr/>
        <w:sdtContent>
          <w:r>
            <w:rPr>
              <w:lang w:val="pl"/>
            </w:rPr>
            <w:fldChar w:fldCharType="begin"/>
          </w:r>
          <w:r>
            <w:rPr>
              <w:lang w:val="pl"/>
            </w:rPr>
            <w:instrText xml:space="preserve"> CITATION Mendeley_zFn5f96XpD2ZgmNs8s__Krg \l 2057 </w:instrText>
          </w:r>
          <w:r>
            <w:rPr>
              <w:lang w:val="pl"/>
            </w:rPr>
            <w:fldChar w:fldCharType="separate"/>
          </w:r>
          <w:r>
            <w:rPr>
              <w:noProof/>
              <w:lang w:val="pl"/>
            </w:rPr>
            <w:t>(OECD, 2022</w:t>
          </w:r>
          <w:r>
            <w:rPr>
              <w:noProof/>
              <w:vertAlign w:val="subscript"/>
              <w:lang w:val="pl"/>
            </w:rPr>
            <w:t>[28]</w:t>
          </w:r>
          <w:r>
            <w:rPr>
              <w:noProof/>
              <w:lang w:val="pl"/>
            </w:rPr>
            <w:t>)</w:t>
          </w:r>
          <w:r>
            <w:rPr>
              <w:lang w:val="pl"/>
            </w:rPr>
            <w:fldChar w:fldCharType="end"/>
          </w:r>
        </w:sdtContent>
      </w:sdt>
      <w:r w:rsidRPr="007B4B5D">
        <w:rPr>
          <w:lang w:val="pl-PL"/>
        </w:rPr>
        <w:t xml:space="preserve"> </w:t>
      </w:r>
      <w:r>
        <w:rPr>
          <w:lang w:val="pl"/>
        </w:rPr>
        <w:t>dostrzegają znaczenie kompetencji finansowych i świadomości finansowej jako części całościowego podejścia do ochrony konsumentów finansowych w ich kontaktach z dostawcami usług finansowych i przyczynianiu się do ich dobrostanu finansowego.</w:t>
      </w:r>
    </w:p>
  </w:footnote>
  <w:footnote w:id="7">
    <w:p w14:paraId="7BBCD5A2" w14:textId="3DC1E59A" w:rsidR="00B935F0" w:rsidRPr="00E10AFC" w:rsidRDefault="00B935F0">
      <w:pPr>
        <w:pStyle w:val="Tekstprzypisudolnego"/>
        <w:rPr>
          <w:lang w:val="pl-PL"/>
        </w:rPr>
      </w:pPr>
      <w:r>
        <w:rPr>
          <w:rStyle w:val="Odwoanieprzypisudolnego"/>
        </w:rPr>
        <w:footnoteRef/>
      </w:r>
      <w:r w:rsidRPr="00E10AFC">
        <w:rPr>
          <w:lang w:val="pl-PL"/>
        </w:rPr>
        <w:t xml:space="preserve"> </w:t>
      </w:r>
      <w:r>
        <w:rPr>
          <w:lang w:val="pl-PL"/>
        </w:rPr>
        <w:t>Rada Rozwoju Rynku Finansowego jest</w:t>
      </w:r>
      <w:r w:rsidRPr="00711E9F">
        <w:rPr>
          <w:lang w:val="pl-PL"/>
        </w:rPr>
        <w:t xml:space="preserve"> organ</w:t>
      </w:r>
      <w:r>
        <w:rPr>
          <w:lang w:val="pl-PL"/>
        </w:rPr>
        <w:t>em</w:t>
      </w:r>
      <w:r w:rsidRPr="00711E9F">
        <w:rPr>
          <w:lang w:val="pl-PL"/>
        </w:rPr>
        <w:t xml:space="preserve"> opiniodawczy</w:t>
      </w:r>
      <w:r>
        <w:rPr>
          <w:lang w:val="pl-PL"/>
        </w:rPr>
        <w:t>m</w:t>
      </w:r>
      <w:r w:rsidRPr="00711E9F">
        <w:rPr>
          <w:lang w:val="pl-PL"/>
        </w:rPr>
        <w:t xml:space="preserve"> i doradczy</w:t>
      </w:r>
      <w:r>
        <w:rPr>
          <w:lang w:val="pl-PL"/>
        </w:rPr>
        <w:t>m</w:t>
      </w:r>
      <w:r w:rsidRPr="00711E9F">
        <w:rPr>
          <w:lang w:val="pl-PL"/>
        </w:rPr>
        <w:t xml:space="preserve"> ministra właściwego </w:t>
      </w:r>
      <w:r>
        <w:rPr>
          <w:lang w:val="pl-PL"/>
        </w:rPr>
        <w:t>do spraw instytucji finansowych, którego c</w:t>
      </w:r>
      <w:r w:rsidRPr="00711E9F">
        <w:rPr>
          <w:lang w:val="pl-PL"/>
        </w:rPr>
        <w:t>elem jest wspieranie rozwoju rynku finansowego w Polsce</w:t>
      </w:r>
      <w:r>
        <w:rPr>
          <w:lang w:val="pl-PL"/>
        </w:rPr>
        <w:t xml:space="preserve"> (</w:t>
      </w:r>
      <w:r w:rsidRPr="00E10AFC">
        <w:rPr>
          <w:lang w:val="pl-PL"/>
        </w:rPr>
        <w:t>Dz.</w:t>
      </w:r>
      <w:r>
        <w:rPr>
          <w:lang w:val="pl-PL"/>
        </w:rPr>
        <w:t> </w:t>
      </w:r>
      <w:r w:rsidRPr="00E10AFC">
        <w:rPr>
          <w:lang w:val="pl-PL"/>
        </w:rPr>
        <w:t>Urz.</w:t>
      </w:r>
      <w:r>
        <w:rPr>
          <w:lang w:val="pl-PL"/>
        </w:rPr>
        <w:t> </w:t>
      </w:r>
      <w:r w:rsidRPr="00711E9F">
        <w:rPr>
          <w:lang w:val="pl-PL"/>
        </w:rPr>
        <w:t xml:space="preserve">MF z </w:t>
      </w:r>
      <w:r w:rsidRPr="00E10AFC">
        <w:rPr>
          <w:lang w:val="pl-PL"/>
        </w:rPr>
        <w:t>2014</w:t>
      </w:r>
      <w:r>
        <w:rPr>
          <w:lang w:val="pl-PL"/>
        </w:rPr>
        <w:t> r. poz</w:t>
      </w:r>
      <w:r w:rsidRPr="00E10AFC">
        <w:rPr>
          <w:lang w:val="pl-PL"/>
        </w:rPr>
        <w:t>.</w:t>
      </w:r>
      <w:r>
        <w:rPr>
          <w:lang w:val="pl-PL"/>
        </w:rPr>
        <w:t xml:space="preserve"> </w:t>
      </w:r>
      <w:r w:rsidRPr="00E10AFC">
        <w:rPr>
          <w:lang w:val="pl-PL"/>
        </w:rPr>
        <w:t>50</w:t>
      </w:r>
      <w:r>
        <w:rPr>
          <w:lang w:val="pl-PL"/>
        </w:rPr>
        <w:t>).</w:t>
      </w:r>
    </w:p>
  </w:footnote>
  <w:footnote w:id="8">
    <w:p w14:paraId="165CA5F5" w14:textId="1F4B95B2" w:rsidR="00B935F0" w:rsidRPr="00F66504" w:rsidRDefault="00B935F0">
      <w:pPr>
        <w:pStyle w:val="Tekstprzypisudolnego"/>
        <w:rPr>
          <w:lang w:val="pl-PL"/>
        </w:rPr>
      </w:pPr>
      <w:r>
        <w:rPr>
          <w:rStyle w:val="Odwoanieprzypisudolnego"/>
        </w:rPr>
        <w:footnoteRef/>
      </w:r>
      <w:r w:rsidRPr="00380228">
        <w:rPr>
          <w:lang w:val="pl-PL"/>
        </w:rPr>
        <w:t xml:space="preserve"> </w:t>
      </w:r>
      <w:r>
        <w:rPr>
          <w:lang w:val="pl"/>
        </w:rPr>
        <w:t xml:space="preserve">Fundusz Edukacji Finansowej jest państwowym funduszem celowym. </w:t>
      </w:r>
      <w:r w:rsidRPr="006B4543">
        <w:rPr>
          <w:lang w:val="pl"/>
        </w:rPr>
        <w:t>Dysponentem Funduszu jest minister właściwy do spraw instytucji finansowych</w:t>
      </w:r>
      <w:r>
        <w:rPr>
          <w:lang w:val="pl"/>
        </w:rPr>
        <w:t>. Przychody Funduszu pochodzą m.in. z tytułu kar nakładanych przez Komisję Nadzoru Finansowego, Prezesa Urzędu Ochrony Konkurencji i Konsumentów, Rzecznika Finansowego oraz z innych źródeł. Kierunki realizacji zadań finansowanych z Funduszu oraz sposób ich realizacji określa Rada Edukacji Finansowej.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31C2" w14:textId="77777777" w:rsidR="00B935F0" w:rsidRDefault="003938DA" w:rsidP="004E100F">
    <w:pPr>
      <w:pStyle w:val="Nagwek"/>
    </w:pPr>
    <w:sdt>
      <w:sdtPr>
        <w:rPr>
          <w:rStyle w:val="Numerstrony"/>
        </w:rPr>
        <w:alias w:val="Page Number"/>
        <w:tag w:val="TxtPageNumber"/>
        <w:id w:val="-1047530696"/>
        <w:lock w:val="sdtLocked"/>
      </w:sdtPr>
      <w:sdtEndPr>
        <w:rPr>
          <w:rStyle w:val="Domylnaczcionkaakapitu"/>
          <w:b w:val="0"/>
        </w:rPr>
      </w:sdtEndPr>
      <w:sdtContent>
        <w:r w:rsidR="00B935F0">
          <w:rPr>
            <w:rStyle w:val="Numerstrony"/>
            <w:b w:val="0"/>
            <w:lang w:val="pl"/>
          </w:rPr>
          <w:fldChar w:fldCharType="begin"/>
        </w:r>
        <w:r w:rsidR="00B935F0">
          <w:rPr>
            <w:rStyle w:val="Numerstrony"/>
            <w:b w:val="0"/>
            <w:lang w:val="pl"/>
          </w:rPr>
          <w:instrText xml:space="preserve"> PAGE   \* MERGEFORMAT </w:instrText>
        </w:r>
        <w:r w:rsidR="00B935F0">
          <w:rPr>
            <w:rStyle w:val="Numerstrony"/>
            <w:b w:val="0"/>
            <w:lang w:val="pl"/>
          </w:rPr>
          <w:fldChar w:fldCharType="separate"/>
        </w:r>
        <w:r w:rsidR="00B935F0" w:rsidRPr="000A59BA">
          <w:rPr>
            <w:rStyle w:val="Numerstrony"/>
            <w:bCs/>
            <w:noProof/>
            <w:lang w:val="pl"/>
          </w:rPr>
          <w:t>34</w:t>
        </w:r>
        <w:r w:rsidR="00B935F0">
          <w:rPr>
            <w:rStyle w:val="Numerstrony"/>
            <w:b w:val="0"/>
            <w:noProof/>
            <w:lang w:val="pl"/>
          </w:rPr>
          <w:fldChar w:fldCharType="end"/>
        </w:r>
      </w:sdtContent>
    </w:sdt>
    <w:r w:rsidR="00B935F0">
      <w:rPr>
        <w:lang w:val="pl"/>
      </w:rPr>
      <w:t xml:space="preserve"> </w:t>
    </w:r>
    <w:r w:rsidR="00B935F0">
      <w:rPr>
        <w:lang w:val="pl"/>
      </w:rPr>
      <w:sym w:font="Symbol" w:char="F07C"/>
    </w:r>
    <w:r w:rsidR="00B935F0">
      <w:rPr>
        <w:lang w:val="pl"/>
      </w:rPr>
      <w:t xml:space="preserve"> </w:t>
    </w:r>
    <w:sdt>
      <w:sdtPr>
        <w:rPr>
          <w:rStyle w:val="HeaderTitle"/>
        </w:rPr>
        <w:alias w:val="Cote/Chapter"/>
        <w:tag w:val="txtHeaderValue"/>
        <w:id w:val="169531382"/>
        <w:lock w:val="sdtLocked"/>
      </w:sdtPr>
      <w:sdtEndPr>
        <w:rPr>
          <w:rStyle w:val="Domylnaczcionkaakapitu"/>
          <w:caps w:val="0"/>
          <w:sz w:val="22"/>
        </w:rPr>
      </w:sdtEndPr>
      <w:sdtContent>
        <w:r w:rsidR="00B935F0">
          <w:rPr>
            <w:rStyle w:val="HeaderTitle"/>
            <w:lang w:val="pl"/>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AFD7" w14:textId="77777777" w:rsidR="00B935F0" w:rsidRDefault="003938DA" w:rsidP="004E100F">
    <w:pPr>
      <w:pStyle w:val="Nagwek"/>
      <w:jc w:val="right"/>
    </w:pPr>
    <w:sdt>
      <w:sdtPr>
        <w:rPr>
          <w:rStyle w:val="HeaderTitle"/>
        </w:rPr>
        <w:alias w:val="Cote/Chapter"/>
        <w:tag w:val="txtHeaderValue"/>
        <w:id w:val="342286989"/>
        <w:lock w:val="sdtLocked"/>
      </w:sdtPr>
      <w:sdtEndPr>
        <w:rPr>
          <w:rStyle w:val="Domylnaczcionkaakapitu"/>
          <w:caps w:val="0"/>
          <w:sz w:val="22"/>
        </w:rPr>
      </w:sdtEndPr>
      <w:sdtContent>
        <w:r w:rsidR="00B935F0">
          <w:rPr>
            <w:rStyle w:val="HeaderTitle"/>
            <w:lang w:val="pl"/>
          </w:rPr>
          <w:t xml:space="preserve"> </w:t>
        </w:r>
      </w:sdtContent>
    </w:sdt>
    <w:r w:rsidR="00B935F0">
      <w:rPr>
        <w:rStyle w:val="Numerstrony"/>
        <w:bCs/>
        <w:lang w:val="pl"/>
      </w:rPr>
      <w:t xml:space="preserve"> </w:t>
    </w:r>
    <w:r w:rsidR="00B935F0">
      <w:rPr>
        <w:rStyle w:val="Numerstrony"/>
        <w:bCs/>
        <w:lang w:val="pl"/>
      </w:rPr>
      <w:sym w:font="Symbol" w:char="F07C"/>
    </w:r>
    <w:r w:rsidR="00B935F0">
      <w:rPr>
        <w:rStyle w:val="Numerstrony"/>
        <w:bCs/>
        <w:lang w:val="pl"/>
      </w:rPr>
      <w:t xml:space="preserve"> </w:t>
    </w:r>
    <w:sdt>
      <w:sdtPr>
        <w:rPr>
          <w:rStyle w:val="Numerstrony"/>
        </w:rPr>
        <w:alias w:val="Page Number"/>
        <w:tag w:val="TxtPageNumber"/>
        <w:id w:val="-1670253049"/>
        <w:lock w:val="sdtLocked"/>
      </w:sdtPr>
      <w:sdtEndPr>
        <w:rPr>
          <w:rStyle w:val="Domylnaczcionkaakapitu"/>
          <w:b w:val="0"/>
        </w:rPr>
      </w:sdtEndPr>
      <w:sdtContent>
        <w:r w:rsidR="00B935F0">
          <w:rPr>
            <w:rStyle w:val="Numerstrony"/>
            <w:bCs/>
            <w:lang w:val="pl"/>
          </w:rPr>
          <w:fldChar w:fldCharType="begin"/>
        </w:r>
        <w:r w:rsidR="00B935F0">
          <w:rPr>
            <w:rStyle w:val="Numerstrony"/>
            <w:bCs/>
            <w:lang w:val="pl"/>
          </w:rPr>
          <w:instrText xml:space="preserve"> PAGE   \* MERGEFORMAT </w:instrText>
        </w:r>
        <w:r w:rsidR="00B935F0">
          <w:rPr>
            <w:rStyle w:val="Numerstrony"/>
            <w:bCs/>
            <w:lang w:val="pl"/>
          </w:rPr>
          <w:fldChar w:fldCharType="separate"/>
        </w:r>
        <w:r w:rsidR="00E14F68">
          <w:rPr>
            <w:rStyle w:val="Numerstrony"/>
            <w:bCs/>
            <w:noProof/>
            <w:lang w:val="pl"/>
          </w:rPr>
          <w:t>27</w:t>
        </w:r>
        <w:r w:rsidR="00B935F0">
          <w:rPr>
            <w:rStyle w:val="Numerstrony"/>
            <w:b w:val="0"/>
            <w:noProof/>
            <w:lang w:val="pl"/>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ED9A" w14:textId="77777777" w:rsidR="00B935F0" w:rsidRDefault="003938DA" w:rsidP="004E100F">
    <w:pPr>
      <w:pStyle w:val="Nagwek"/>
    </w:pPr>
    <w:sdt>
      <w:sdtPr>
        <w:rPr>
          <w:rStyle w:val="Numerstrony"/>
        </w:rPr>
        <w:alias w:val="Page Number"/>
        <w:tag w:val="TxtPageNumber"/>
        <w:id w:val="638231162"/>
        <w:lock w:val="sdtLocked"/>
      </w:sdtPr>
      <w:sdtEndPr>
        <w:rPr>
          <w:rStyle w:val="Domylnaczcionkaakapitu"/>
          <w:b w:val="0"/>
        </w:rPr>
      </w:sdtEndPr>
      <w:sdtContent>
        <w:r w:rsidR="00B935F0">
          <w:rPr>
            <w:rStyle w:val="Numerstrony"/>
            <w:b w:val="0"/>
            <w:lang w:val="pl"/>
          </w:rPr>
          <w:fldChar w:fldCharType="begin"/>
        </w:r>
        <w:r w:rsidR="00B935F0">
          <w:rPr>
            <w:rStyle w:val="Numerstrony"/>
            <w:b w:val="0"/>
            <w:lang w:val="pl"/>
          </w:rPr>
          <w:instrText xml:space="preserve"> PAGE   \* MERGEFORMAT </w:instrText>
        </w:r>
        <w:r w:rsidR="00B935F0">
          <w:rPr>
            <w:rStyle w:val="Numerstrony"/>
            <w:b w:val="0"/>
            <w:lang w:val="pl"/>
          </w:rPr>
          <w:fldChar w:fldCharType="separate"/>
        </w:r>
        <w:r w:rsidR="00B935F0" w:rsidRPr="000A59BA">
          <w:rPr>
            <w:rStyle w:val="Numerstrony"/>
            <w:bCs/>
            <w:noProof/>
            <w:lang w:val="pl"/>
          </w:rPr>
          <w:t>52</w:t>
        </w:r>
        <w:r w:rsidR="00B935F0">
          <w:rPr>
            <w:rStyle w:val="Numerstrony"/>
            <w:b w:val="0"/>
            <w:noProof/>
            <w:lang w:val="pl"/>
          </w:rPr>
          <w:fldChar w:fldCharType="end"/>
        </w:r>
      </w:sdtContent>
    </w:sdt>
    <w:r w:rsidR="00B935F0">
      <w:rPr>
        <w:lang w:val="pl"/>
      </w:rPr>
      <w:t xml:space="preserve"> </w:t>
    </w:r>
    <w:r w:rsidR="00B935F0">
      <w:rPr>
        <w:lang w:val="pl"/>
      </w:rPr>
      <w:sym w:font="Symbol" w:char="F07C"/>
    </w:r>
    <w:r w:rsidR="00B935F0">
      <w:rPr>
        <w:lang w:val="pl"/>
      </w:rPr>
      <w:t xml:space="preserve"> </w:t>
    </w:r>
    <w:sdt>
      <w:sdtPr>
        <w:rPr>
          <w:rStyle w:val="HeaderTitle"/>
        </w:rPr>
        <w:alias w:val="Cote/Chapter"/>
        <w:tag w:val="txtHeaderValue"/>
        <w:id w:val="-1819026095"/>
        <w:lock w:val="sdtLocked"/>
      </w:sdtPr>
      <w:sdtEndPr>
        <w:rPr>
          <w:rStyle w:val="Domylnaczcionkaakapitu"/>
          <w:caps w:val="0"/>
          <w:sz w:val="22"/>
        </w:rPr>
      </w:sdtEndPr>
      <w:sdtContent>
        <w:r w:rsidR="00B935F0">
          <w:rPr>
            <w:rStyle w:val="HeaderTitle"/>
            <w:lang w:val="pl"/>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1ABE" w14:textId="77777777" w:rsidR="00B935F0" w:rsidRDefault="003938DA" w:rsidP="004E100F">
    <w:pPr>
      <w:pStyle w:val="Nagwek"/>
      <w:jc w:val="right"/>
    </w:pPr>
    <w:sdt>
      <w:sdtPr>
        <w:rPr>
          <w:rStyle w:val="HeaderTitle"/>
        </w:rPr>
        <w:alias w:val="Cote/Chapter"/>
        <w:tag w:val="txtHeaderValue"/>
        <w:id w:val="336743648"/>
        <w:lock w:val="sdtLocked"/>
      </w:sdtPr>
      <w:sdtEndPr>
        <w:rPr>
          <w:rStyle w:val="Domylnaczcionkaakapitu"/>
          <w:caps w:val="0"/>
          <w:sz w:val="22"/>
        </w:rPr>
      </w:sdtEndPr>
      <w:sdtContent>
        <w:r w:rsidR="00B935F0">
          <w:rPr>
            <w:rStyle w:val="HeaderTitle"/>
            <w:lang w:val="pl"/>
          </w:rPr>
          <w:t xml:space="preserve"> </w:t>
        </w:r>
      </w:sdtContent>
    </w:sdt>
    <w:r w:rsidR="00B935F0">
      <w:rPr>
        <w:rStyle w:val="Numerstrony"/>
        <w:bCs/>
        <w:lang w:val="pl"/>
      </w:rPr>
      <w:t xml:space="preserve"> </w:t>
    </w:r>
    <w:r w:rsidR="00B935F0">
      <w:rPr>
        <w:rStyle w:val="Numerstrony"/>
        <w:bCs/>
        <w:lang w:val="pl"/>
      </w:rPr>
      <w:sym w:font="Symbol" w:char="F07C"/>
    </w:r>
    <w:r w:rsidR="00B935F0">
      <w:rPr>
        <w:rStyle w:val="Numerstrony"/>
        <w:bCs/>
        <w:lang w:val="pl"/>
      </w:rPr>
      <w:t xml:space="preserve"> </w:t>
    </w:r>
    <w:sdt>
      <w:sdtPr>
        <w:rPr>
          <w:rStyle w:val="Numerstrony"/>
        </w:rPr>
        <w:alias w:val="Page Number"/>
        <w:tag w:val="TxtPageNumber"/>
        <w:id w:val="-1983070069"/>
        <w:lock w:val="sdtLocked"/>
      </w:sdtPr>
      <w:sdtEndPr>
        <w:rPr>
          <w:rStyle w:val="Domylnaczcionkaakapitu"/>
          <w:b w:val="0"/>
        </w:rPr>
      </w:sdtEndPr>
      <w:sdtContent>
        <w:r w:rsidR="00B935F0">
          <w:rPr>
            <w:rStyle w:val="Numerstrony"/>
            <w:bCs/>
            <w:lang w:val="pl"/>
          </w:rPr>
          <w:fldChar w:fldCharType="begin"/>
        </w:r>
        <w:r w:rsidR="00B935F0">
          <w:rPr>
            <w:rStyle w:val="Numerstrony"/>
            <w:bCs/>
            <w:lang w:val="pl"/>
          </w:rPr>
          <w:instrText xml:space="preserve"> PAGE   \* MERGEFORMAT </w:instrText>
        </w:r>
        <w:r w:rsidR="00B935F0">
          <w:rPr>
            <w:rStyle w:val="Numerstrony"/>
            <w:bCs/>
            <w:lang w:val="pl"/>
          </w:rPr>
          <w:fldChar w:fldCharType="separate"/>
        </w:r>
        <w:r w:rsidR="00EC157D">
          <w:rPr>
            <w:rStyle w:val="Numerstrony"/>
            <w:bCs/>
            <w:noProof/>
            <w:lang w:val="pl"/>
          </w:rPr>
          <w:t>46</w:t>
        </w:r>
        <w:r w:rsidR="00B935F0">
          <w:rPr>
            <w:rStyle w:val="Numerstrony"/>
            <w:b w:val="0"/>
            <w:noProof/>
            <w:lang w:val="pl"/>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5CC1" w14:textId="77777777" w:rsidR="00B935F0" w:rsidRDefault="00B935F0">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C477" w14:textId="77777777" w:rsidR="00B935F0" w:rsidRDefault="003938DA" w:rsidP="004E100F">
    <w:pPr>
      <w:pStyle w:val="Nagwek"/>
    </w:pPr>
    <w:sdt>
      <w:sdtPr>
        <w:rPr>
          <w:rStyle w:val="Numerstrony"/>
        </w:rPr>
        <w:alias w:val="Page Number"/>
        <w:tag w:val="TxtPageNumber"/>
        <w:id w:val="-1835755985"/>
        <w:lock w:val="sdtLocked"/>
      </w:sdtPr>
      <w:sdtEndPr>
        <w:rPr>
          <w:rStyle w:val="Domylnaczcionkaakapitu"/>
          <w:b w:val="0"/>
        </w:rPr>
      </w:sdtEndPr>
      <w:sdtContent>
        <w:r w:rsidR="00B935F0">
          <w:rPr>
            <w:rStyle w:val="Numerstrony"/>
            <w:b w:val="0"/>
            <w:lang w:val="pl"/>
          </w:rPr>
          <w:fldChar w:fldCharType="begin"/>
        </w:r>
        <w:r w:rsidR="00B935F0">
          <w:rPr>
            <w:rStyle w:val="Numerstrony"/>
            <w:b w:val="0"/>
            <w:lang w:val="pl"/>
          </w:rPr>
          <w:instrText xml:space="preserve"> PAGE   \* MERGEFORMAT </w:instrText>
        </w:r>
        <w:r w:rsidR="00B935F0">
          <w:rPr>
            <w:rStyle w:val="Numerstrony"/>
            <w:b w:val="0"/>
            <w:lang w:val="pl"/>
          </w:rPr>
          <w:fldChar w:fldCharType="separate"/>
        </w:r>
        <w:r w:rsidR="00B935F0" w:rsidRPr="000A59BA">
          <w:rPr>
            <w:rStyle w:val="Numerstrony"/>
            <w:bCs/>
            <w:noProof/>
            <w:lang w:val="pl"/>
          </w:rPr>
          <w:t>56</w:t>
        </w:r>
        <w:r w:rsidR="00B935F0">
          <w:rPr>
            <w:rStyle w:val="Numerstrony"/>
            <w:b w:val="0"/>
            <w:noProof/>
            <w:lang w:val="pl"/>
          </w:rPr>
          <w:fldChar w:fldCharType="end"/>
        </w:r>
      </w:sdtContent>
    </w:sdt>
    <w:r w:rsidR="00B935F0">
      <w:rPr>
        <w:lang w:val="pl"/>
      </w:rPr>
      <w:t xml:space="preserve"> </w:t>
    </w:r>
    <w:r w:rsidR="00B935F0">
      <w:rPr>
        <w:lang w:val="pl"/>
      </w:rPr>
      <w:sym w:font="Symbol" w:char="F07C"/>
    </w:r>
    <w:r w:rsidR="00B935F0">
      <w:rPr>
        <w:lang w:val="pl"/>
      </w:rPr>
      <w:t xml:space="preserve"> </w:t>
    </w:r>
    <w:sdt>
      <w:sdtPr>
        <w:rPr>
          <w:rStyle w:val="HeaderTitle"/>
        </w:rPr>
        <w:alias w:val="Cote/Chapter"/>
        <w:tag w:val="txtHeaderValue"/>
        <w:id w:val="-308635562"/>
        <w:lock w:val="sdtLocked"/>
      </w:sdtPr>
      <w:sdtEndPr>
        <w:rPr>
          <w:rStyle w:val="Domylnaczcionkaakapitu"/>
          <w:caps w:val="0"/>
          <w:sz w:val="22"/>
        </w:rPr>
      </w:sdtEndPr>
      <w:sdtContent>
        <w:r w:rsidR="00B935F0">
          <w:rPr>
            <w:rStyle w:val="HeaderTitle"/>
            <w:lang w:val="pl"/>
          </w:rPr>
          <w:t xml:space="preserve"> </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F704" w14:textId="77777777" w:rsidR="00B935F0" w:rsidRDefault="003938DA" w:rsidP="004E100F">
    <w:pPr>
      <w:pStyle w:val="Nagwek"/>
      <w:jc w:val="right"/>
    </w:pPr>
    <w:sdt>
      <w:sdtPr>
        <w:rPr>
          <w:rStyle w:val="HeaderTitle"/>
        </w:rPr>
        <w:alias w:val="Cote/Chapter"/>
        <w:tag w:val="txtHeaderValue"/>
        <w:id w:val="-244348000"/>
        <w:lock w:val="sdtLocked"/>
      </w:sdtPr>
      <w:sdtEndPr>
        <w:rPr>
          <w:rStyle w:val="Domylnaczcionkaakapitu"/>
          <w:caps w:val="0"/>
          <w:sz w:val="22"/>
        </w:rPr>
      </w:sdtEndPr>
      <w:sdtContent>
        <w:r w:rsidR="00B935F0">
          <w:rPr>
            <w:rStyle w:val="HeaderTitle"/>
            <w:lang w:val="pl"/>
          </w:rPr>
          <w:t xml:space="preserve"> </w:t>
        </w:r>
      </w:sdtContent>
    </w:sdt>
    <w:r w:rsidR="00B935F0">
      <w:rPr>
        <w:rStyle w:val="Numerstrony"/>
        <w:bCs/>
        <w:lang w:val="pl"/>
      </w:rPr>
      <w:t xml:space="preserve"> </w:t>
    </w:r>
    <w:r w:rsidR="00B935F0">
      <w:rPr>
        <w:rStyle w:val="Numerstrony"/>
        <w:bCs/>
        <w:lang w:val="pl"/>
      </w:rPr>
      <w:sym w:font="Symbol" w:char="F07C"/>
    </w:r>
    <w:r w:rsidR="00B935F0">
      <w:rPr>
        <w:rStyle w:val="Numerstrony"/>
        <w:bCs/>
        <w:lang w:val="pl"/>
      </w:rPr>
      <w:t xml:space="preserve"> </w:t>
    </w:r>
    <w:sdt>
      <w:sdtPr>
        <w:rPr>
          <w:rStyle w:val="Numerstrony"/>
        </w:rPr>
        <w:alias w:val="Page Number"/>
        <w:tag w:val="TxtPageNumber"/>
        <w:id w:val="1076251128"/>
        <w:lock w:val="sdtLocked"/>
      </w:sdtPr>
      <w:sdtEndPr>
        <w:rPr>
          <w:rStyle w:val="Domylnaczcionkaakapitu"/>
          <w:b w:val="0"/>
        </w:rPr>
      </w:sdtEndPr>
      <w:sdtContent>
        <w:r w:rsidR="00B935F0">
          <w:rPr>
            <w:rStyle w:val="Numerstrony"/>
            <w:bCs/>
            <w:lang w:val="pl"/>
          </w:rPr>
          <w:fldChar w:fldCharType="begin"/>
        </w:r>
        <w:r w:rsidR="00B935F0">
          <w:rPr>
            <w:rStyle w:val="Numerstrony"/>
            <w:bCs/>
            <w:lang w:val="pl"/>
          </w:rPr>
          <w:instrText xml:space="preserve"> PAGE   \* MERGEFORMAT </w:instrText>
        </w:r>
        <w:r w:rsidR="00B935F0">
          <w:rPr>
            <w:rStyle w:val="Numerstrony"/>
            <w:bCs/>
            <w:lang w:val="pl"/>
          </w:rPr>
          <w:fldChar w:fldCharType="separate"/>
        </w:r>
        <w:r w:rsidR="00EC157D">
          <w:rPr>
            <w:rStyle w:val="Numerstrony"/>
            <w:bCs/>
            <w:noProof/>
            <w:lang w:val="pl"/>
          </w:rPr>
          <w:t>49</w:t>
        </w:r>
        <w:r w:rsidR="00B935F0">
          <w:rPr>
            <w:rStyle w:val="Numerstrony"/>
            <w:b w:val="0"/>
            <w:noProof/>
            <w:lang w:val="pl"/>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9398F"/>
    <w:multiLevelType w:val="hybridMultilevel"/>
    <w:tmpl w:val="8EAA47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08BF1F"/>
    <w:multiLevelType w:val="hybridMultilevel"/>
    <w:tmpl w:val="2225CF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03013"/>
    <w:multiLevelType w:val="hybridMultilevel"/>
    <w:tmpl w:val="072EC0D4"/>
    <w:lvl w:ilvl="0" w:tplc="B6685E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5112EE"/>
    <w:multiLevelType w:val="hybridMultilevel"/>
    <w:tmpl w:val="372E5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E526B"/>
    <w:multiLevelType w:val="hybridMultilevel"/>
    <w:tmpl w:val="39C81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7358FB"/>
    <w:multiLevelType w:val="hybridMultilevel"/>
    <w:tmpl w:val="D52EF614"/>
    <w:lvl w:ilvl="0" w:tplc="60040E0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7"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C396B"/>
    <w:multiLevelType w:val="hybridMultilevel"/>
    <w:tmpl w:val="D02A67CC"/>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45067"/>
    <w:multiLevelType w:val="hybridMultilevel"/>
    <w:tmpl w:val="7612F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C018F"/>
    <w:multiLevelType w:val="hybridMultilevel"/>
    <w:tmpl w:val="9B44FF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557EA"/>
    <w:multiLevelType w:val="multilevel"/>
    <w:tmpl w:val="FD7C2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C679A"/>
    <w:multiLevelType w:val="hybridMultilevel"/>
    <w:tmpl w:val="88D4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4" w15:restartNumberingAfterBreak="0">
    <w:nsid w:val="2E7E516C"/>
    <w:multiLevelType w:val="hybridMultilevel"/>
    <w:tmpl w:val="775EE682"/>
    <w:lvl w:ilvl="0" w:tplc="B51EEB26">
      <w:start w:val="1"/>
      <w:numFmt w:val="decimal"/>
      <w:pStyle w:val="NumberedList"/>
      <w:lvlText w:val="%1."/>
      <w:lvlJc w:val="left"/>
      <w:pPr>
        <w:ind w:left="680" w:hanging="340"/>
      </w:pPr>
      <w:rPr>
        <w:rFonts w:hint="default"/>
        <w:b w:val="0"/>
        <w:bCs w:val="0"/>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029494A"/>
    <w:multiLevelType w:val="hybridMultilevel"/>
    <w:tmpl w:val="A2E4A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E0CCE"/>
    <w:multiLevelType w:val="hybridMultilevel"/>
    <w:tmpl w:val="874048D4"/>
    <w:lvl w:ilvl="0" w:tplc="A4B087B6">
      <w:start w:val="1"/>
      <w:numFmt w:val="bullet"/>
      <w:lvlText w:val=""/>
      <w:lvlJc w:val="left"/>
      <w:pPr>
        <w:ind w:left="680" w:hanging="340"/>
      </w:pPr>
      <w:rPr>
        <w:rFonts w:ascii="Symbol" w:hAnsi="Symbol" w:hint="default"/>
        <w:color w:val="auto"/>
      </w:rPr>
    </w:lvl>
    <w:lvl w:ilvl="1" w:tplc="B6685E72">
      <w:start w:val="1"/>
      <w:numFmt w:val="bullet"/>
      <w:lvlText w:val=""/>
      <w:lvlJc w:val="left"/>
      <w:pPr>
        <w:tabs>
          <w:tab w:val="num" w:pos="680"/>
        </w:tabs>
        <w:ind w:left="1021" w:hanging="341"/>
      </w:pPr>
      <w:rPr>
        <w:rFonts w:ascii="Symbol" w:hAnsi="Symbol"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44D567AB"/>
    <w:multiLevelType w:val="hybridMultilevel"/>
    <w:tmpl w:val="9D74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F566E"/>
    <w:multiLevelType w:val="multilevel"/>
    <w:tmpl w:val="B9F0BDBA"/>
    <w:lvl w:ilvl="0">
      <w:start w:val="1"/>
      <w:numFmt w:val="decimal"/>
      <w:suff w:val="space"/>
      <w:lvlText w:val="%1"/>
      <w:lvlJc w:val="left"/>
      <w:pPr>
        <w:ind w:left="1247" w:hanging="1134"/>
      </w:pPr>
      <w:rPr>
        <w:rFonts w:asciiTheme="majorHAnsi" w:hAnsiTheme="majorHAnsi" w:hint="default"/>
        <w:w w:val="10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68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Annex %7."/>
      <w:lvlJc w:val="left"/>
      <w:pPr>
        <w:ind w:left="0" w:firstLine="0"/>
      </w:pPr>
      <w:rPr>
        <w:rFonts w:asciiTheme="majorHAnsi" w:hAnsiTheme="majorHAnsi" w:hint="default"/>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20" w15:restartNumberingAfterBreak="0">
    <w:nsid w:val="5176726A"/>
    <w:multiLevelType w:val="hybridMultilevel"/>
    <w:tmpl w:val="9192257C"/>
    <w:lvl w:ilvl="0" w:tplc="A4B087B6">
      <w:start w:val="1"/>
      <w:numFmt w:val="bullet"/>
      <w:pStyle w:val="BulletedList"/>
      <w:lvlText w:val=""/>
      <w:lvlJc w:val="left"/>
      <w:pPr>
        <w:ind w:left="680" w:hanging="340"/>
      </w:pPr>
      <w:rPr>
        <w:rFonts w:ascii="Symbol" w:hAnsi="Symbol" w:hint="default"/>
        <w:color w:val="auto"/>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54CC60C9"/>
    <w:multiLevelType w:val="multilevel"/>
    <w:tmpl w:val="41BC1EB4"/>
    <w:lvl w:ilvl="0">
      <w:start w:val="1"/>
      <w:numFmt w:val="decimal"/>
      <w:suff w:val="space"/>
      <w:lvlText w:val="%1"/>
      <w:lvlJc w:val="left"/>
      <w:pPr>
        <w:ind w:left="1247" w:hanging="1134"/>
      </w:pPr>
      <w:rPr>
        <w:rFonts w:asciiTheme="majorHAnsi" w:hAnsiTheme="majorHAnsi" w:hint="default"/>
        <w:b/>
        <w:w w:val="100"/>
        <w:sz w:val="130"/>
        <w:u w:val="thick"/>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decimal"/>
      <w:lvlRestart w:val="1"/>
      <w:lvlText w:val="%1.%5."/>
      <w:lvlJc w:val="left"/>
      <w:pPr>
        <w:tabs>
          <w:tab w:val="num" w:pos="720"/>
        </w:tabs>
        <w:ind w:left="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Załącznik %7."/>
      <w:lvlJc w:val="left"/>
      <w:pPr>
        <w:ind w:left="0" w:firstLine="0"/>
      </w:pPr>
      <w:rPr>
        <w:rFonts w:asciiTheme="majorHAnsi" w:hAnsiTheme="majorHAnsi" w:hint="default"/>
        <w:color w:val="auto"/>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22" w15:restartNumberingAfterBreak="0">
    <w:nsid w:val="54EF0B80"/>
    <w:multiLevelType w:val="hybridMultilevel"/>
    <w:tmpl w:val="E4EE32EA"/>
    <w:lvl w:ilvl="0" w:tplc="3A5E97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67B7D0C"/>
    <w:multiLevelType w:val="hybridMultilevel"/>
    <w:tmpl w:val="EE7CB11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DB00149"/>
    <w:multiLevelType w:val="hybridMultilevel"/>
    <w:tmpl w:val="FEEC3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B4588F"/>
    <w:multiLevelType w:val="multilevel"/>
    <w:tmpl w:val="D6982892"/>
    <w:lvl w:ilvl="0">
      <w:start w:val="1"/>
      <w:numFmt w:val="none"/>
      <w:pStyle w:val="Nagwek1"/>
      <w:suff w:val="nothing"/>
      <w:lvlText w:val=""/>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680" w:firstLine="0"/>
      </w:pPr>
      <w:rPr>
        <w:rFonts w:hint="default"/>
      </w:rPr>
    </w:lvl>
    <w:lvl w:ilvl="3">
      <w:start w:val="1"/>
      <w:numFmt w:val="none"/>
      <w:pStyle w:val="Nagwek4"/>
      <w:suff w:val="nothing"/>
      <w:lvlText w:val=""/>
      <w:lvlJc w:val="left"/>
      <w:pPr>
        <w:ind w:left="680" w:firstLine="0"/>
      </w:pPr>
      <w:rPr>
        <w:rFonts w:hint="default"/>
      </w:rPr>
    </w:lvl>
    <w:lvl w:ilvl="4">
      <w:start w:val="1"/>
      <w:numFmt w:val="none"/>
      <w:pStyle w:val="Nagwek5"/>
      <w:suff w:val="nothing"/>
      <w:lvlText w:val=""/>
      <w:lvlJc w:val="left"/>
      <w:pPr>
        <w:ind w:left="851" w:firstLine="0"/>
      </w:pPr>
      <w:rPr>
        <w:rFonts w:hint="default"/>
      </w:rPr>
    </w:lvl>
    <w:lvl w:ilvl="5">
      <w:start w:val="1"/>
      <w:numFmt w:val="none"/>
      <w:pStyle w:val="Nagwek6"/>
      <w:suff w:val="nothing"/>
      <w:lvlText w:val=""/>
      <w:lvlJc w:val="left"/>
      <w:pPr>
        <w:ind w:left="0" w:firstLine="0"/>
      </w:pPr>
      <w:rPr>
        <w:rFonts w:hint="default"/>
      </w:rPr>
    </w:lvl>
    <w:lvl w:ilvl="6">
      <w:start w:val="1"/>
      <w:numFmt w:val="upperLetter"/>
      <w:lvlRestart w:val="0"/>
      <w:pStyle w:val="Nagwek7"/>
      <w:suff w:val="space"/>
      <w:lvlText w:val="Annex %7."/>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26" w15:restartNumberingAfterBreak="0">
    <w:nsid w:val="6E29572B"/>
    <w:multiLevelType w:val="hybridMultilevel"/>
    <w:tmpl w:val="B5760D9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7"/>
  </w:num>
  <w:num w:numId="4">
    <w:abstractNumId w:val="16"/>
  </w:num>
  <w:num w:numId="5">
    <w:abstractNumId w:val="6"/>
  </w:num>
  <w:num w:numId="6">
    <w:abstractNumId w:val="20"/>
  </w:num>
  <w:num w:numId="7">
    <w:abstractNumId w:val="19"/>
  </w:num>
  <w:num w:numId="8">
    <w:abstractNumId w:val="12"/>
  </w:num>
  <w:num w:numId="9">
    <w:abstractNumId w:val="25"/>
  </w:num>
  <w:num w:numId="10">
    <w:abstractNumId w:val="21"/>
  </w:num>
  <w:num w:numId="11">
    <w:abstractNumId w:val="27"/>
  </w:num>
  <w:num w:numId="12">
    <w:abstractNumId w:val="18"/>
  </w:num>
  <w:num w:numId="13">
    <w:abstractNumId w:val="14"/>
  </w:num>
  <w:num w:numId="14">
    <w:abstractNumId w:val="0"/>
  </w:num>
  <w:num w:numId="15">
    <w:abstractNumId w:val="1"/>
  </w:num>
  <w:num w:numId="16">
    <w:abstractNumId w:val="14"/>
  </w:num>
  <w:num w:numId="17">
    <w:abstractNumId w:val="14"/>
  </w:num>
  <w:num w:numId="18">
    <w:abstractNumId w:val="14"/>
  </w:num>
  <w:num w:numId="19">
    <w:abstractNumId w:val="5"/>
  </w:num>
  <w:num w:numId="20">
    <w:abstractNumId w:val="9"/>
  </w:num>
  <w:num w:numId="21">
    <w:abstractNumId w:val="17"/>
  </w:num>
  <w:num w:numId="22">
    <w:abstractNumId w:val="2"/>
  </w:num>
  <w:num w:numId="23">
    <w:abstractNumId w:val="26"/>
  </w:num>
  <w:num w:numId="24">
    <w:abstractNumId w:val="22"/>
  </w:num>
  <w:num w:numId="25">
    <w:abstractNumId w:val="11"/>
  </w:num>
  <w:num w:numId="26">
    <w:abstractNumId w:val="15"/>
  </w:num>
  <w:num w:numId="27">
    <w:abstractNumId w:val="3"/>
  </w:num>
  <w:num w:numId="28">
    <w:abstractNumId w:val="4"/>
  </w:num>
  <w:num w:numId="29">
    <w:abstractNumId w:val="10"/>
  </w:num>
  <w:num w:numId="30">
    <w:abstractNumId w:val="23"/>
  </w:num>
  <w:num w:numId="31">
    <w:abstractNumId w:val="8"/>
  </w:num>
  <w:num w:numId="32">
    <w:abstractNumId w:val="2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jciechowska Monika">
    <w15:presenceInfo w15:providerId="AD" w15:userId="S::Monika.Wojciechowska@mf.gov.pl::5c2eb3f9-03b3-42e5-a255-47c71da9e4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attachedTemplate r:id="rId1"/>
  <w:stylePaneSortMethod w:val="0000"/>
  <w:defaultTabStop w:val="720"/>
  <w:hyphenationZone w:val="425"/>
  <w:characterSpacingControl w:val="doNotCompress"/>
  <w:hdrShapeDefaults>
    <o:shapedefaults v:ext="edit" spidmax="2049"/>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tInPropertywdPropertyAuthor" w:val="GUDMUNDSON Liv"/>
    <w:docVar w:name="BuiltInPropertywdPropertySubject" w:val=" "/>
    <w:docVar w:name="OECDCitationsCount" w:val="68"/>
    <w:docVar w:name="OECDDocumentDocumentLanguage" w:val="English"/>
    <w:docVar w:name="OECDDocumentId" w:val="D65C878D8DA04779C96CED4FDA6DC8463C92E6726C76F90A196FC9C1FC2DC010"/>
    <w:docVar w:name="OECDDocumentOriginalLanguage" w:val="English"/>
    <w:docVar w:name="OECDDocumentValidationDate" w:val="03/27/2023 17:26:24"/>
    <w:docVar w:name="OECDDocumentValidationErrors" w:val="2"/>
    <w:docVar w:name="OECDDocumentValidationWarnings" w:val="4"/>
    <w:docVar w:name="OECDDocumentValidationWordCount" w:val="26710"/>
    <w:docVar w:name="OECDKappaEnrichment" w:val="Online"/>
    <w:docVar w:name="OECDLastSourcesRefreshDate" w:val="2023-03-27"/>
    <w:docVar w:name="OECDSourcesHash" w:val="9EF7E92EA7C8FCA3CA6DE36DB43AEE3A317C4ED0127AC6C7161560C3086BE120"/>
    <w:docVar w:name="OECDTemplateLocation" w:val="W:\Office2016\Workgroup Templates"/>
    <w:docVar w:name="OECDTemplateName" w:val="ONE Author ODPub.dotx"/>
    <w:docVar w:name="OECDTemplateVersion" w:val="3.24"/>
    <w:docVar w:name="OECDTemplateVersionOriginal" w:val="3.24"/>
  </w:docVars>
  <w:rsids>
    <w:rsidRoot w:val="006D0AD8"/>
    <w:rsid w:val="0000198F"/>
    <w:rsid w:val="00001C10"/>
    <w:rsid w:val="0000379F"/>
    <w:rsid w:val="000037D9"/>
    <w:rsid w:val="00003F88"/>
    <w:rsid w:val="00004DAB"/>
    <w:rsid w:val="000064D6"/>
    <w:rsid w:val="00011D3A"/>
    <w:rsid w:val="00012B81"/>
    <w:rsid w:val="00017230"/>
    <w:rsid w:val="00020C48"/>
    <w:rsid w:val="00021010"/>
    <w:rsid w:val="0002209A"/>
    <w:rsid w:val="00024130"/>
    <w:rsid w:val="00024178"/>
    <w:rsid w:val="00025999"/>
    <w:rsid w:val="00027D14"/>
    <w:rsid w:val="00030E8C"/>
    <w:rsid w:val="00032051"/>
    <w:rsid w:val="000338B2"/>
    <w:rsid w:val="00033E50"/>
    <w:rsid w:val="00034AF5"/>
    <w:rsid w:val="00043748"/>
    <w:rsid w:val="0004402D"/>
    <w:rsid w:val="00044517"/>
    <w:rsid w:val="000454E8"/>
    <w:rsid w:val="0005102C"/>
    <w:rsid w:val="00052575"/>
    <w:rsid w:val="00052588"/>
    <w:rsid w:val="00053032"/>
    <w:rsid w:val="0005336E"/>
    <w:rsid w:val="000542B8"/>
    <w:rsid w:val="00055124"/>
    <w:rsid w:val="00055536"/>
    <w:rsid w:val="0005578C"/>
    <w:rsid w:val="00056AD4"/>
    <w:rsid w:val="000620CC"/>
    <w:rsid w:val="000626C2"/>
    <w:rsid w:val="00064C7A"/>
    <w:rsid w:val="00072134"/>
    <w:rsid w:val="00076C4A"/>
    <w:rsid w:val="0007759B"/>
    <w:rsid w:val="00077B17"/>
    <w:rsid w:val="00081836"/>
    <w:rsid w:val="00085197"/>
    <w:rsid w:val="000A0407"/>
    <w:rsid w:val="000A2AD9"/>
    <w:rsid w:val="000A4CBE"/>
    <w:rsid w:val="000A5133"/>
    <w:rsid w:val="000A59BA"/>
    <w:rsid w:val="000A655C"/>
    <w:rsid w:val="000A69AD"/>
    <w:rsid w:val="000A76DC"/>
    <w:rsid w:val="000B03E2"/>
    <w:rsid w:val="000B051F"/>
    <w:rsid w:val="000B1A2D"/>
    <w:rsid w:val="000B74AE"/>
    <w:rsid w:val="000B7665"/>
    <w:rsid w:val="000B7A3F"/>
    <w:rsid w:val="000B7B86"/>
    <w:rsid w:val="000C0B0C"/>
    <w:rsid w:val="000C0FE0"/>
    <w:rsid w:val="000C1DF4"/>
    <w:rsid w:val="000D34F9"/>
    <w:rsid w:val="000D4550"/>
    <w:rsid w:val="000E0DC7"/>
    <w:rsid w:val="000E0F10"/>
    <w:rsid w:val="000E0FFF"/>
    <w:rsid w:val="000E2815"/>
    <w:rsid w:val="000E5876"/>
    <w:rsid w:val="000E5F57"/>
    <w:rsid w:val="000E6CCA"/>
    <w:rsid w:val="000F02D9"/>
    <w:rsid w:val="000F040F"/>
    <w:rsid w:val="000F54F6"/>
    <w:rsid w:val="000F5AD3"/>
    <w:rsid w:val="000F665E"/>
    <w:rsid w:val="000F68AF"/>
    <w:rsid w:val="00100629"/>
    <w:rsid w:val="00101225"/>
    <w:rsid w:val="00101323"/>
    <w:rsid w:val="00101CE4"/>
    <w:rsid w:val="00102955"/>
    <w:rsid w:val="0010546B"/>
    <w:rsid w:val="00105A8F"/>
    <w:rsid w:val="00111592"/>
    <w:rsid w:val="00111A19"/>
    <w:rsid w:val="00112690"/>
    <w:rsid w:val="00115F6D"/>
    <w:rsid w:val="0011701E"/>
    <w:rsid w:val="001210DC"/>
    <w:rsid w:val="00123CF7"/>
    <w:rsid w:val="00124203"/>
    <w:rsid w:val="001309BF"/>
    <w:rsid w:val="00130B1E"/>
    <w:rsid w:val="001313D9"/>
    <w:rsid w:val="001316AC"/>
    <w:rsid w:val="0013171A"/>
    <w:rsid w:val="00132E78"/>
    <w:rsid w:val="0013420B"/>
    <w:rsid w:val="00137A2F"/>
    <w:rsid w:val="001428CC"/>
    <w:rsid w:val="0014321B"/>
    <w:rsid w:val="00145E52"/>
    <w:rsid w:val="00146063"/>
    <w:rsid w:val="0014717B"/>
    <w:rsid w:val="0014739C"/>
    <w:rsid w:val="001505A7"/>
    <w:rsid w:val="0015065F"/>
    <w:rsid w:val="00150E91"/>
    <w:rsid w:val="00151485"/>
    <w:rsid w:val="00151AE5"/>
    <w:rsid w:val="00151E1C"/>
    <w:rsid w:val="00153468"/>
    <w:rsid w:val="001535B9"/>
    <w:rsid w:val="00157A58"/>
    <w:rsid w:val="00160B10"/>
    <w:rsid w:val="00160D78"/>
    <w:rsid w:val="00161C0E"/>
    <w:rsid w:val="00170C55"/>
    <w:rsid w:val="00170D80"/>
    <w:rsid w:val="00172497"/>
    <w:rsid w:val="001727F5"/>
    <w:rsid w:val="0017294D"/>
    <w:rsid w:val="00173418"/>
    <w:rsid w:val="00173C00"/>
    <w:rsid w:val="00176B86"/>
    <w:rsid w:val="00180EAA"/>
    <w:rsid w:val="00182BFF"/>
    <w:rsid w:val="00183469"/>
    <w:rsid w:val="00192BE9"/>
    <w:rsid w:val="001931F5"/>
    <w:rsid w:val="001933C5"/>
    <w:rsid w:val="00193F4B"/>
    <w:rsid w:val="00195DEC"/>
    <w:rsid w:val="00196642"/>
    <w:rsid w:val="001B03E9"/>
    <w:rsid w:val="001B2144"/>
    <w:rsid w:val="001B25A1"/>
    <w:rsid w:val="001B2FAD"/>
    <w:rsid w:val="001B3596"/>
    <w:rsid w:val="001B4E01"/>
    <w:rsid w:val="001B5437"/>
    <w:rsid w:val="001B5FCE"/>
    <w:rsid w:val="001B7889"/>
    <w:rsid w:val="001C0B13"/>
    <w:rsid w:val="001C1F73"/>
    <w:rsid w:val="001C3129"/>
    <w:rsid w:val="001C4E4F"/>
    <w:rsid w:val="001C617B"/>
    <w:rsid w:val="001D0DCC"/>
    <w:rsid w:val="001D3952"/>
    <w:rsid w:val="001D4B7B"/>
    <w:rsid w:val="001E1F22"/>
    <w:rsid w:val="001E5B9C"/>
    <w:rsid w:val="001F10F7"/>
    <w:rsid w:val="001F11B3"/>
    <w:rsid w:val="001F18A8"/>
    <w:rsid w:val="001F525C"/>
    <w:rsid w:val="001F6232"/>
    <w:rsid w:val="001F63FD"/>
    <w:rsid w:val="001F6920"/>
    <w:rsid w:val="001F76B3"/>
    <w:rsid w:val="001F76C1"/>
    <w:rsid w:val="001F7A7B"/>
    <w:rsid w:val="00201266"/>
    <w:rsid w:val="002012A4"/>
    <w:rsid w:val="002022D7"/>
    <w:rsid w:val="00202409"/>
    <w:rsid w:val="00203113"/>
    <w:rsid w:val="00203CC1"/>
    <w:rsid w:val="0020685F"/>
    <w:rsid w:val="00210A5D"/>
    <w:rsid w:val="00214F90"/>
    <w:rsid w:val="00215E64"/>
    <w:rsid w:val="002225BA"/>
    <w:rsid w:val="00224AC3"/>
    <w:rsid w:val="0022556E"/>
    <w:rsid w:val="00230444"/>
    <w:rsid w:val="0023220C"/>
    <w:rsid w:val="00237A1B"/>
    <w:rsid w:val="00242C03"/>
    <w:rsid w:val="00243FC1"/>
    <w:rsid w:val="002461C2"/>
    <w:rsid w:val="002508B4"/>
    <w:rsid w:val="00252587"/>
    <w:rsid w:val="0025481A"/>
    <w:rsid w:val="00255E82"/>
    <w:rsid w:val="002565E1"/>
    <w:rsid w:val="00262D62"/>
    <w:rsid w:val="00263627"/>
    <w:rsid w:val="00265856"/>
    <w:rsid w:val="00265ECD"/>
    <w:rsid w:val="00266790"/>
    <w:rsid w:val="00266DAF"/>
    <w:rsid w:val="00267039"/>
    <w:rsid w:val="00270E4C"/>
    <w:rsid w:val="00273D1D"/>
    <w:rsid w:val="00275477"/>
    <w:rsid w:val="00280041"/>
    <w:rsid w:val="0028025E"/>
    <w:rsid w:val="002808B4"/>
    <w:rsid w:val="002818F4"/>
    <w:rsid w:val="00282A62"/>
    <w:rsid w:val="00284BEB"/>
    <w:rsid w:val="00287ED5"/>
    <w:rsid w:val="00287F4D"/>
    <w:rsid w:val="0029043D"/>
    <w:rsid w:val="00290676"/>
    <w:rsid w:val="00291450"/>
    <w:rsid w:val="00296389"/>
    <w:rsid w:val="00296CE1"/>
    <w:rsid w:val="002A0888"/>
    <w:rsid w:val="002A2091"/>
    <w:rsid w:val="002A226D"/>
    <w:rsid w:val="002A3FAF"/>
    <w:rsid w:val="002A6B56"/>
    <w:rsid w:val="002B0225"/>
    <w:rsid w:val="002B15CF"/>
    <w:rsid w:val="002B353F"/>
    <w:rsid w:val="002B5A77"/>
    <w:rsid w:val="002B5B6C"/>
    <w:rsid w:val="002B7992"/>
    <w:rsid w:val="002B7E05"/>
    <w:rsid w:val="002C1DD6"/>
    <w:rsid w:val="002C22CE"/>
    <w:rsid w:val="002C25B8"/>
    <w:rsid w:val="002C39A7"/>
    <w:rsid w:val="002C6D93"/>
    <w:rsid w:val="002D1272"/>
    <w:rsid w:val="002D4090"/>
    <w:rsid w:val="002D46A9"/>
    <w:rsid w:val="002D69D1"/>
    <w:rsid w:val="002D6B22"/>
    <w:rsid w:val="002E0230"/>
    <w:rsid w:val="002F1806"/>
    <w:rsid w:val="002F3603"/>
    <w:rsid w:val="002F3A06"/>
    <w:rsid w:val="002F605B"/>
    <w:rsid w:val="002F6CA3"/>
    <w:rsid w:val="002F7432"/>
    <w:rsid w:val="003016BE"/>
    <w:rsid w:val="00303173"/>
    <w:rsid w:val="00305C43"/>
    <w:rsid w:val="00307CBA"/>
    <w:rsid w:val="00310601"/>
    <w:rsid w:val="00312DD8"/>
    <w:rsid w:val="00323108"/>
    <w:rsid w:val="00324483"/>
    <w:rsid w:val="00326CAE"/>
    <w:rsid w:val="003276FA"/>
    <w:rsid w:val="00327F33"/>
    <w:rsid w:val="00333261"/>
    <w:rsid w:val="00335F73"/>
    <w:rsid w:val="00336266"/>
    <w:rsid w:val="00337396"/>
    <w:rsid w:val="00340990"/>
    <w:rsid w:val="00343F20"/>
    <w:rsid w:val="00346211"/>
    <w:rsid w:val="00347302"/>
    <w:rsid w:val="0034757B"/>
    <w:rsid w:val="003475D4"/>
    <w:rsid w:val="00347AA2"/>
    <w:rsid w:val="00350116"/>
    <w:rsid w:val="00350662"/>
    <w:rsid w:val="00350963"/>
    <w:rsid w:val="00350CCC"/>
    <w:rsid w:val="0035293B"/>
    <w:rsid w:val="00352AAA"/>
    <w:rsid w:val="003570CA"/>
    <w:rsid w:val="003578FC"/>
    <w:rsid w:val="00361A67"/>
    <w:rsid w:val="00362106"/>
    <w:rsid w:val="00362CFE"/>
    <w:rsid w:val="00366A93"/>
    <w:rsid w:val="00366BED"/>
    <w:rsid w:val="003675B7"/>
    <w:rsid w:val="00372918"/>
    <w:rsid w:val="003738B1"/>
    <w:rsid w:val="00375A7C"/>
    <w:rsid w:val="00376570"/>
    <w:rsid w:val="00380228"/>
    <w:rsid w:val="003805AB"/>
    <w:rsid w:val="00381AB2"/>
    <w:rsid w:val="003821D4"/>
    <w:rsid w:val="00382D25"/>
    <w:rsid w:val="00386F03"/>
    <w:rsid w:val="003938DA"/>
    <w:rsid w:val="003957E7"/>
    <w:rsid w:val="003961AF"/>
    <w:rsid w:val="00397A39"/>
    <w:rsid w:val="003A3A69"/>
    <w:rsid w:val="003A72FB"/>
    <w:rsid w:val="003B0FCE"/>
    <w:rsid w:val="003B2EF0"/>
    <w:rsid w:val="003B312C"/>
    <w:rsid w:val="003B4072"/>
    <w:rsid w:val="003B42F8"/>
    <w:rsid w:val="003B5534"/>
    <w:rsid w:val="003C4666"/>
    <w:rsid w:val="003C4738"/>
    <w:rsid w:val="003C6E42"/>
    <w:rsid w:val="003D0071"/>
    <w:rsid w:val="003D0145"/>
    <w:rsid w:val="003D0D81"/>
    <w:rsid w:val="003D283F"/>
    <w:rsid w:val="003D64D7"/>
    <w:rsid w:val="003D7715"/>
    <w:rsid w:val="003E034D"/>
    <w:rsid w:val="003E0362"/>
    <w:rsid w:val="003E16DD"/>
    <w:rsid w:val="003E1DF4"/>
    <w:rsid w:val="003E2486"/>
    <w:rsid w:val="003E2E5C"/>
    <w:rsid w:val="003E30FF"/>
    <w:rsid w:val="003E5BE5"/>
    <w:rsid w:val="003E6393"/>
    <w:rsid w:val="003E6912"/>
    <w:rsid w:val="003E7235"/>
    <w:rsid w:val="003F3341"/>
    <w:rsid w:val="003F3E9F"/>
    <w:rsid w:val="003F4D2A"/>
    <w:rsid w:val="004002F6"/>
    <w:rsid w:val="00401653"/>
    <w:rsid w:val="004036CB"/>
    <w:rsid w:val="00403A1F"/>
    <w:rsid w:val="00404331"/>
    <w:rsid w:val="00404539"/>
    <w:rsid w:val="00404A52"/>
    <w:rsid w:val="004058EF"/>
    <w:rsid w:val="00407712"/>
    <w:rsid w:val="004120ED"/>
    <w:rsid w:val="0041258F"/>
    <w:rsid w:val="00412FD0"/>
    <w:rsid w:val="004171BE"/>
    <w:rsid w:val="004230BA"/>
    <w:rsid w:val="004234CE"/>
    <w:rsid w:val="00423E27"/>
    <w:rsid w:val="004243B4"/>
    <w:rsid w:val="004259A6"/>
    <w:rsid w:val="00427182"/>
    <w:rsid w:val="004348F1"/>
    <w:rsid w:val="0043790B"/>
    <w:rsid w:val="00440FA5"/>
    <w:rsid w:val="00444C08"/>
    <w:rsid w:val="00450CF3"/>
    <w:rsid w:val="004529B7"/>
    <w:rsid w:val="00452DA0"/>
    <w:rsid w:val="00456142"/>
    <w:rsid w:val="00456E03"/>
    <w:rsid w:val="004571F3"/>
    <w:rsid w:val="00461C3F"/>
    <w:rsid w:val="0046201C"/>
    <w:rsid w:val="004622CF"/>
    <w:rsid w:val="00462721"/>
    <w:rsid w:val="00463542"/>
    <w:rsid w:val="00464477"/>
    <w:rsid w:val="00464ED3"/>
    <w:rsid w:val="00465A61"/>
    <w:rsid w:val="004661B2"/>
    <w:rsid w:val="0046639F"/>
    <w:rsid w:val="00473532"/>
    <w:rsid w:val="00474B66"/>
    <w:rsid w:val="00481A59"/>
    <w:rsid w:val="00485931"/>
    <w:rsid w:val="004A00A8"/>
    <w:rsid w:val="004A096F"/>
    <w:rsid w:val="004A117A"/>
    <w:rsid w:val="004A1A3F"/>
    <w:rsid w:val="004A1A7B"/>
    <w:rsid w:val="004A6F9B"/>
    <w:rsid w:val="004B163D"/>
    <w:rsid w:val="004B3675"/>
    <w:rsid w:val="004B3CA4"/>
    <w:rsid w:val="004B7B10"/>
    <w:rsid w:val="004C102F"/>
    <w:rsid w:val="004C72D3"/>
    <w:rsid w:val="004D2C0A"/>
    <w:rsid w:val="004D2E9C"/>
    <w:rsid w:val="004D3A00"/>
    <w:rsid w:val="004D7BDA"/>
    <w:rsid w:val="004E100F"/>
    <w:rsid w:val="004E2541"/>
    <w:rsid w:val="004E4993"/>
    <w:rsid w:val="004E511E"/>
    <w:rsid w:val="004E5FC1"/>
    <w:rsid w:val="004E65C6"/>
    <w:rsid w:val="004F0273"/>
    <w:rsid w:val="004F0F1B"/>
    <w:rsid w:val="004F17E4"/>
    <w:rsid w:val="004F1D9C"/>
    <w:rsid w:val="004F591D"/>
    <w:rsid w:val="004F644E"/>
    <w:rsid w:val="004F6BF2"/>
    <w:rsid w:val="004F6CB7"/>
    <w:rsid w:val="005011D9"/>
    <w:rsid w:val="00502163"/>
    <w:rsid w:val="00502342"/>
    <w:rsid w:val="00504C33"/>
    <w:rsid w:val="005059C6"/>
    <w:rsid w:val="00510995"/>
    <w:rsid w:val="00510E93"/>
    <w:rsid w:val="00511263"/>
    <w:rsid w:val="00511D13"/>
    <w:rsid w:val="00513E87"/>
    <w:rsid w:val="005214E6"/>
    <w:rsid w:val="00521B11"/>
    <w:rsid w:val="00523806"/>
    <w:rsid w:val="00524708"/>
    <w:rsid w:val="00524825"/>
    <w:rsid w:val="00524A2D"/>
    <w:rsid w:val="00527131"/>
    <w:rsid w:val="0052749E"/>
    <w:rsid w:val="00532488"/>
    <w:rsid w:val="00532688"/>
    <w:rsid w:val="00532FB1"/>
    <w:rsid w:val="00535F2B"/>
    <w:rsid w:val="005360A8"/>
    <w:rsid w:val="005361EC"/>
    <w:rsid w:val="00536278"/>
    <w:rsid w:val="00537CA0"/>
    <w:rsid w:val="00540D2F"/>
    <w:rsid w:val="0054294A"/>
    <w:rsid w:val="00543135"/>
    <w:rsid w:val="0054374B"/>
    <w:rsid w:val="00545FC9"/>
    <w:rsid w:val="005527A6"/>
    <w:rsid w:val="00556F43"/>
    <w:rsid w:val="005608A8"/>
    <w:rsid w:val="00563D46"/>
    <w:rsid w:val="0056606B"/>
    <w:rsid w:val="00567146"/>
    <w:rsid w:val="005704CE"/>
    <w:rsid w:val="00572C73"/>
    <w:rsid w:val="00575855"/>
    <w:rsid w:val="00576984"/>
    <w:rsid w:val="00582A21"/>
    <w:rsid w:val="00582D40"/>
    <w:rsid w:val="00584968"/>
    <w:rsid w:val="00593D13"/>
    <w:rsid w:val="00595FDA"/>
    <w:rsid w:val="00597DB9"/>
    <w:rsid w:val="005A0A55"/>
    <w:rsid w:val="005A3467"/>
    <w:rsid w:val="005A41B4"/>
    <w:rsid w:val="005A4A42"/>
    <w:rsid w:val="005A512B"/>
    <w:rsid w:val="005A5A4B"/>
    <w:rsid w:val="005A6B81"/>
    <w:rsid w:val="005B0F92"/>
    <w:rsid w:val="005B1446"/>
    <w:rsid w:val="005B2B22"/>
    <w:rsid w:val="005B2C86"/>
    <w:rsid w:val="005B6628"/>
    <w:rsid w:val="005B675A"/>
    <w:rsid w:val="005B734D"/>
    <w:rsid w:val="005B7CA2"/>
    <w:rsid w:val="005C682D"/>
    <w:rsid w:val="005D25FC"/>
    <w:rsid w:val="005D450E"/>
    <w:rsid w:val="005D5F8F"/>
    <w:rsid w:val="005D7D42"/>
    <w:rsid w:val="005E06A3"/>
    <w:rsid w:val="005E3782"/>
    <w:rsid w:val="005E39C7"/>
    <w:rsid w:val="005F3560"/>
    <w:rsid w:val="005F799C"/>
    <w:rsid w:val="005F7A90"/>
    <w:rsid w:val="00601C02"/>
    <w:rsid w:val="00602B33"/>
    <w:rsid w:val="00603615"/>
    <w:rsid w:val="00603681"/>
    <w:rsid w:val="00605F48"/>
    <w:rsid w:val="00611F42"/>
    <w:rsid w:val="0061216A"/>
    <w:rsid w:val="006128C8"/>
    <w:rsid w:val="0061484F"/>
    <w:rsid w:val="00616296"/>
    <w:rsid w:val="00616F88"/>
    <w:rsid w:val="0062089E"/>
    <w:rsid w:val="006218BD"/>
    <w:rsid w:val="00622E0C"/>
    <w:rsid w:val="00623AEC"/>
    <w:rsid w:val="00625626"/>
    <w:rsid w:val="006304BF"/>
    <w:rsid w:val="0063288C"/>
    <w:rsid w:val="00635AEE"/>
    <w:rsid w:val="006368CC"/>
    <w:rsid w:val="00637E1E"/>
    <w:rsid w:val="00640254"/>
    <w:rsid w:val="00640529"/>
    <w:rsid w:val="00644510"/>
    <w:rsid w:val="00644FCE"/>
    <w:rsid w:val="00652EBF"/>
    <w:rsid w:val="00653432"/>
    <w:rsid w:val="00655362"/>
    <w:rsid w:val="00665C39"/>
    <w:rsid w:val="0066666E"/>
    <w:rsid w:val="00666C06"/>
    <w:rsid w:val="00674F2E"/>
    <w:rsid w:val="006774EB"/>
    <w:rsid w:val="0067780E"/>
    <w:rsid w:val="00680162"/>
    <w:rsid w:val="006821F3"/>
    <w:rsid w:val="006822AE"/>
    <w:rsid w:val="0068291C"/>
    <w:rsid w:val="0068361F"/>
    <w:rsid w:val="00687D9C"/>
    <w:rsid w:val="0069712F"/>
    <w:rsid w:val="006A1139"/>
    <w:rsid w:val="006B2DAD"/>
    <w:rsid w:val="006B33E7"/>
    <w:rsid w:val="006B38E2"/>
    <w:rsid w:val="006B4543"/>
    <w:rsid w:val="006B47F6"/>
    <w:rsid w:val="006B4BAA"/>
    <w:rsid w:val="006B5128"/>
    <w:rsid w:val="006B7345"/>
    <w:rsid w:val="006B7A61"/>
    <w:rsid w:val="006C0750"/>
    <w:rsid w:val="006C35CC"/>
    <w:rsid w:val="006C646C"/>
    <w:rsid w:val="006C7B61"/>
    <w:rsid w:val="006D0AD8"/>
    <w:rsid w:val="006D1C15"/>
    <w:rsid w:val="006D2420"/>
    <w:rsid w:val="006D2B23"/>
    <w:rsid w:val="006D375A"/>
    <w:rsid w:val="006D58F0"/>
    <w:rsid w:val="006D6017"/>
    <w:rsid w:val="006D688D"/>
    <w:rsid w:val="006D7AB0"/>
    <w:rsid w:val="006E1DA7"/>
    <w:rsid w:val="006E32B0"/>
    <w:rsid w:val="006E50BA"/>
    <w:rsid w:val="006E5AA5"/>
    <w:rsid w:val="006E7B1C"/>
    <w:rsid w:val="006E7F45"/>
    <w:rsid w:val="006F0A20"/>
    <w:rsid w:val="006F2A23"/>
    <w:rsid w:val="006F3A08"/>
    <w:rsid w:val="006F5DC8"/>
    <w:rsid w:val="006F7E98"/>
    <w:rsid w:val="007001AE"/>
    <w:rsid w:val="0070033F"/>
    <w:rsid w:val="00710E8C"/>
    <w:rsid w:val="00711AEB"/>
    <w:rsid w:val="00711E9F"/>
    <w:rsid w:val="00711F1B"/>
    <w:rsid w:val="0071208E"/>
    <w:rsid w:val="00712B15"/>
    <w:rsid w:val="007135D0"/>
    <w:rsid w:val="0072201C"/>
    <w:rsid w:val="00722339"/>
    <w:rsid w:val="00723212"/>
    <w:rsid w:val="00724820"/>
    <w:rsid w:val="00724905"/>
    <w:rsid w:val="0072513F"/>
    <w:rsid w:val="00726150"/>
    <w:rsid w:val="007306FA"/>
    <w:rsid w:val="007323ED"/>
    <w:rsid w:val="007339A4"/>
    <w:rsid w:val="00733ED1"/>
    <w:rsid w:val="00734135"/>
    <w:rsid w:val="00735C39"/>
    <w:rsid w:val="00735D67"/>
    <w:rsid w:val="00736BB7"/>
    <w:rsid w:val="00743058"/>
    <w:rsid w:val="00743381"/>
    <w:rsid w:val="007472AD"/>
    <w:rsid w:val="00752E21"/>
    <w:rsid w:val="00753095"/>
    <w:rsid w:val="00753EEE"/>
    <w:rsid w:val="00754C15"/>
    <w:rsid w:val="00754E03"/>
    <w:rsid w:val="00755984"/>
    <w:rsid w:val="00757D43"/>
    <w:rsid w:val="00761EFF"/>
    <w:rsid w:val="007622EA"/>
    <w:rsid w:val="00762B89"/>
    <w:rsid w:val="00770C09"/>
    <w:rsid w:val="007712AC"/>
    <w:rsid w:val="00771361"/>
    <w:rsid w:val="00771A89"/>
    <w:rsid w:val="00772294"/>
    <w:rsid w:val="007728EB"/>
    <w:rsid w:val="00773083"/>
    <w:rsid w:val="007751E4"/>
    <w:rsid w:val="007804B3"/>
    <w:rsid w:val="007815D7"/>
    <w:rsid w:val="007823FE"/>
    <w:rsid w:val="007836B4"/>
    <w:rsid w:val="00783CD7"/>
    <w:rsid w:val="00785A1E"/>
    <w:rsid w:val="00793A67"/>
    <w:rsid w:val="007950F6"/>
    <w:rsid w:val="00796525"/>
    <w:rsid w:val="007968CA"/>
    <w:rsid w:val="007A2095"/>
    <w:rsid w:val="007A2102"/>
    <w:rsid w:val="007A2AF3"/>
    <w:rsid w:val="007A6027"/>
    <w:rsid w:val="007A76BA"/>
    <w:rsid w:val="007A7747"/>
    <w:rsid w:val="007B110D"/>
    <w:rsid w:val="007B1A88"/>
    <w:rsid w:val="007B1D56"/>
    <w:rsid w:val="007B1FE5"/>
    <w:rsid w:val="007B31F6"/>
    <w:rsid w:val="007B32B0"/>
    <w:rsid w:val="007B4B5D"/>
    <w:rsid w:val="007B5FD0"/>
    <w:rsid w:val="007B64FE"/>
    <w:rsid w:val="007C2542"/>
    <w:rsid w:val="007C25CC"/>
    <w:rsid w:val="007C3714"/>
    <w:rsid w:val="007C5CAD"/>
    <w:rsid w:val="007C678F"/>
    <w:rsid w:val="007C6866"/>
    <w:rsid w:val="007C73E4"/>
    <w:rsid w:val="007D09AE"/>
    <w:rsid w:val="007D21CF"/>
    <w:rsid w:val="007D7250"/>
    <w:rsid w:val="007D7784"/>
    <w:rsid w:val="007D790F"/>
    <w:rsid w:val="007E03FA"/>
    <w:rsid w:val="007E4C18"/>
    <w:rsid w:val="007E525D"/>
    <w:rsid w:val="007E70B7"/>
    <w:rsid w:val="007F20A8"/>
    <w:rsid w:val="007F41F9"/>
    <w:rsid w:val="007F484B"/>
    <w:rsid w:val="007F62F6"/>
    <w:rsid w:val="007F712B"/>
    <w:rsid w:val="007F7FAD"/>
    <w:rsid w:val="00801456"/>
    <w:rsid w:val="00803F69"/>
    <w:rsid w:val="00804ACC"/>
    <w:rsid w:val="008127BF"/>
    <w:rsid w:val="008127CA"/>
    <w:rsid w:val="008129C4"/>
    <w:rsid w:val="00813D75"/>
    <w:rsid w:val="00814FD3"/>
    <w:rsid w:val="00816695"/>
    <w:rsid w:val="00816AAA"/>
    <w:rsid w:val="00820362"/>
    <w:rsid w:val="008207DE"/>
    <w:rsid w:val="00821370"/>
    <w:rsid w:val="00822613"/>
    <w:rsid w:val="0082285C"/>
    <w:rsid w:val="008230ED"/>
    <w:rsid w:val="008232BC"/>
    <w:rsid w:val="0082335A"/>
    <w:rsid w:val="00823C21"/>
    <w:rsid w:val="00824A0C"/>
    <w:rsid w:val="00825BF9"/>
    <w:rsid w:val="00826139"/>
    <w:rsid w:val="00827FB5"/>
    <w:rsid w:val="00833FF5"/>
    <w:rsid w:val="0083466C"/>
    <w:rsid w:val="00835022"/>
    <w:rsid w:val="00835614"/>
    <w:rsid w:val="00835D01"/>
    <w:rsid w:val="00843A1D"/>
    <w:rsid w:val="00845534"/>
    <w:rsid w:val="00845DAB"/>
    <w:rsid w:val="008460B0"/>
    <w:rsid w:val="00846824"/>
    <w:rsid w:val="0085159D"/>
    <w:rsid w:val="00852CCF"/>
    <w:rsid w:val="008542C2"/>
    <w:rsid w:val="008543E6"/>
    <w:rsid w:val="008566CB"/>
    <w:rsid w:val="00857920"/>
    <w:rsid w:val="00860F87"/>
    <w:rsid w:val="008668B4"/>
    <w:rsid w:val="0086742E"/>
    <w:rsid w:val="00867D18"/>
    <w:rsid w:val="00871533"/>
    <w:rsid w:val="0087178B"/>
    <w:rsid w:val="008728E0"/>
    <w:rsid w:val="00874D01"/>
    <w:rsid w:val="008757C6"/>
    <w:rsid w:val="00880E82"/>
    <w:rsid w:val="00881A83"/>
    <w:rsid w:val="00881F9B"/>
    <w:rsid w:val="00882314"/>
    <w:rsid w:val="00882609"/>
    <w:rsid w:val="00885B3D"/>
    <w:rsid w:val="00887538"/>
    <w:rsid w:val="00891C0A"/>
    <w:rsid w:val="00892E00"/>
    <w:rsid w:val="00893FC7"/>
    <w:rsid w:val="00894165"/>
    <w:rsid w:val="00895D73"/>
    <w:rsid w:val="00897A70"/>
    <w:rsid w:val="008A10C5"/>
    <w:rsid w:val="008A1B56"/>
    <w:rsid w:val="008A21D5"/>
    <w:rsid w:val="008A334B"/>
    <w:rsid w:val="008A6B69"/>
    <w:rsid w:val="008B2350"/>
    <w:rsid w:val="008B5E8B"/>
    <w:rsid w:val="008C38B5"/>
    <w:rsid w:val="008C5973"/>
    <w:rsid w:val="008C7702"/>
    <w:rsid w:val="008D1AD3"/>
    <w:rsid w:val="008D1C5B"/>
    <w:rsid w:val="008D2D40"/>
    <w:rsid w:val="008D2EAF"/>
    <w:rsid w:val="008D486B"/>
    <w:rsid w:val="008D7257"/>
    <w:rsid w:val="008E2C7C"/>
    <w:rsid w:val="008E2F6C"/>
    <w:rsid w:val="008E4158"/>
    <w:rsid w:val="008F05C5"/>
    <w:rsid w:val="008F0DBD"/>
    <w:rsid w:val="008F0F36"/>
    <w:rsid w:val="008F0F84"/>
    <w:rsid w:val="008F1437"/>
    <w:rsid w:val="008F1E6C"/>
    <w:rsid w:val="008F632C"/>
    <w:rsid w:val="008F66D2"/>
    <w:rsid w:val="008F6A6F"/>
    <w:rsid w:val="008F6F27"/>
    <w:rsid w:val="008F76AE"/>
    <w:rsid w:val="008F7A96"/>
    <w:rsid w:val="008F7B1F"/>
    <w:rsid w:val="009018D4"/>
    <w:rsid w:val="00904F11"/>
    <w:rsid w:val="0090590C"/>
    <w:rsid w:val="009062C4"/>
    <w:rsid w:val="009064AE"/>
    <w:rsid w:val="00907352"/>
    <w:rsid w:val="00907E59"/>
    <w:rsid w:val="00907ECE"/>
    <w:rsid w:val="009106FA"/>
    <w:rsid w:val="009116AB"/>
    <w:rsid w:val="00912E14"/>
    <w:rsid w:val="009139C8"/>
    <w:rsid w:val="009149EF"/>
    <w:rsid w:val="00916AA1"/>
    <w:rsid w:val="00916BDE"/>
    <w:rsid w:val="0092327D"/>
    <w:rsid w:val="009305C4"/>
    <w:rsid w:val="009321E4"/>
    <w:rsid w:val="0093281A"/>
    <w:rsid w:val="00932DFC"/>
    <w:rsid w:val="0093398D"/>
    <w:rsid w:val="00941214"/>
    <w:rsid w:val="00943271"/>
    <w:rsid w:val="009439ED"/>
    <w:rsid w:val="00944410"/>
    <w:rsid w:val="009463B8"/>
    <w:rsid w:val="0094705D"/>
    <w:rsid w:val="009523B5"/>
    <w:rsid w:val="0095333B"/>
    <w:rsid w:val="00955250"/>
    <w:rsid w:val="0095692C"/>
    <w:rsid w:val="009616A4"/>
    <w:rsid w:val="00961C60"/>
    <w:rsid w:val="0096394A"/>
    <w:rsid w:val="0096519D"/>
    <w:rsid w:val="00965A21"/>
    <w:rsid w:val="0096612A"/>
    <w:rsid w:val="00966A58"/>
    <w:rsid w:val="0096728F"/>
    <w:rsid w:val="0097116C"/>
    <w:rsid w:val="0097275C"/>
    <w:rsid w:val="009736C0"/>
    <w:rsid w:val="00975D13"/>
    <w:rsid w:val="009801B7"/>
    <w:rsid w:val="009811DE"/>
    <w:rsid w:val="009814DC"/>
    <w:rsid w:val="00982C10"/>
    <w:rsid w:val="0098377F"/>
    <w:rsid w:val="00983984"/>
    <w:rsid w:val="00985DCB"/>
    <w:rsid w:val="0098751A"/>
    <w:rsid w:val="009877F0"/>
    <w:rsid w:val="00991A9A"/>
    <w:rsid w:val="0099203B"/>
    <w:rsid w:val="00992413"/>
    <w:rsid w:val="00992AB5"/>
    <w:rsid w:val="009A22AE"/>
    <w:rsid w:val="009A3363"/>
    <w:rsid w:val="009A4284"/>
    <w:rsid w:val="009B0690"/>
    <w:rsid w:val="009B180E"/>
    <w:rsid w:val="009B1C40"/>
    <w:rsid w:val="009B32E9"/>
    <w:rsid w:val="009B36EC"/>
    <w:rsid w:val="009B3725"/>
    <w:rsid w:val="009B4679"/>
    <w:rsid w:val="009B4728"/>
    <w:rsid w:val="009B4E98"/>
    <w:rsid w:val="009B73DE"/>
    <w:rsid w:val="009C1452"/>
    <w:rsid w:val="009C1A11"/>
    <w:rsid w:val="009C532B"/>
    <w:rsid w:val="009C5C0B"/>
    <w:rsid w:val="009C68E3"/>
    <w:rsid w:val="009C697D"/>
    <w:rsid w:val="009D0A30"/>
    <w:rsid w:val="009D0EC4"/>
    <w:rsid w:val="009D208C"/>
    <w:rsid w:val="009D30C1"/>
    <w:rsid w:val="009D4EB5"/>
    <w:rsid w:val="009D559F"/>
    <w:rsid w:val="009D640E"/>
    <w:rsid w:val="009D6989"/>
    <w:rsid w:val="009E03B9"/>
    <w:rsid w:val="009E05F9"/>
    <w:rsid w:val="009E1A99"/>
    <w:rsid w:val="009E3337"/>
    <w:rsid w:val="009E7C04"/>
    <w:rsid w:val="009F116E"/>
    <w:rsid w:val="009F4FCE"/>
    <w:rsid w:val="009F7287"/>
    <w:rsid w:val="00A004CC"/>
    <w:rsid w:val="00A01981"/>
    <w:rsid w:val="00A07625"/>
    <w:rsid w:val="00A078CC"/>
    <w:rsid w:val="00A104FC"/>
    <w:rsid w:val="00A115A0"/>
    <w:rsid w:val="00A1253E"/>
    <w:rsid w:val="00A12B7B"/>
    <w:rsid w:val="00A14DC4"/>
    <w:rsid w:val="00A16510"/>
    <w:rsid w:val="00A1735A"/>
    <w:rsid w:val="00A20967"/>
    <w:rsid w:val="00A21E27"/>
    <w:rsid w:val="00A21EBA"/>
    <w:rsid w:val="00A24972"/>
    <w:rsid w:val="00A24C91"/>
    <w:rsid w:val="00A30385"/>
    <w:rsid w:val="00A30764"/>
    <w:rsid w:val="00A31E05"/>
    <w:rsid w:val="00A33D14"/>
    <w:rsid w:val="00A37D0A"/>
    <w:rsid w:val="00A40263"/>
    <w:rsid w:val="00A4062A"/>
    <w:rsid w:val="00A424D1"/>
    <w:rsid w:val="00A42716"/>
    <w:rsid w:val="00A47122"/>
    <w:rsid w:val="00A506C1"/>
    <w:rsid w:val="00A51D7E"/>
    <w:rsid w:val="00A52921"/>
    <w:rsid w:val="00A53CF6"/>
    <w:rsid w:val="00A5566B"/>
    <w:rsid w:val="00A56D1E"/>
    <w:rsid w:val="00A57FE9"/>
    <w:rsid w:val="00A60403"/>
    <w:rsid w:val="00A606F5"/>
    <w:rsid w:val="00A61DC4"/>
    <w:rsid w:val="00A61E44"/>
    <w:rsid w:val="00A62A40"/>
    <w:rsid w:val="00A64551"/>
    <w:rsid w:val="00A64F28"/>
    <w:rsid w:val="00A67A00"/>
    <w:rsid w:val="00A73BFF"/>
    <w:rsid w:val="00A74AFD"/>
    <w:rsid w:val="00A752EA"/>
    <w:rsid w:val="00A76883"/>
    <w:rsid w:val="00A76B1A"/>
    <w:rsid w:val="00A8126B"/>
    <w:rsid w:val="00A81F07"/>
    <w:rsid w:val="00A87A8A"/>
    <w:rsid w:val="00A9059A"/>
    <w:rsid w:val="00A92F3D"/>
    <w:rsid w:val="00A95B06"/>
    <w:rsid w:val="00A961E9"/>
    <w:rsid w:val="00AA04BF"/>
    <w:rsid w:val="00AA0CC2"/>
    <w:rsid w:val="00AA2011"/>
    <w:rsid w:val="00AA2F60"/>
    <w:rsid w:val="00AA45D8"/>
    <w:rsid w:val="00AA591D"/>
    <w:rsid w:val="00AA7673"/>
    <w:rsid w:val="00AB2D1E"/>
    <w:rsid w:val="00AB3205"/>
    <w:rsid w:val="00AB34FF"/>
    <w:rsid w:val="00AB3C9C"/>
    <w:rsid w:val="00AB4DF4"/>
    <w:rsid w:val="00AB5A6F"/>
    <w:rsid w:val="00AB6768"/>
    <w:rsid w:val="00AB7465"/>
    <w:rsid w:val="00AC0A0D"/>
    <w:rsid w:val="00AC2BA8"/>
    <w:rsid w:val="00AC41C0"/>
    <w:rsid w:val="00AC4AE2"/>
    <w:rsid w:val="00AC5E9B"/>
    <w:rsid w:val="00AC7B0C"/>
    <w:rsid w:val="00AD08D5"/>
    <w:rsid w:val="00AD15C4"/>
    <w:rsid w:val="00AD196B"/>
    <w:rsid w:val="00AD32A7"/>
    <w:rsid w:val="00AD373D"/>
    <w:rsid w:val="00AD5B1D"/>
    <w:rsid w:val="00AE0BD5"/>
    <w:rsid w:val="00AE1133"/>
    <w:rsid w:val="00AE1B2E"/>
    <w:rsid w:val="00AE1CEF"/>
    <w:rsid w:val="00AE1E42"/>
    <w:rsid w:val="00AE2ABB"/>
    <w:rsid w:val="00AE2E57"/>
    <w:rsid w:val="00AE48DF"/>
    <w:rsid w:val="00AE5121"/>
    <w:rsid w:val="00AE51D3"/>
    <w:rsid w:val="00AE5FED"/>
    <w:rsid w:val="00B01D0C"/>
    <w:rsid w:val="00B0250B"/>
    <w:rsid w:val="00B03859"/>
    <w:rsid w:val="00B06D82"/>
    <w:rsid w:val="00B11109"/>
    <w:rsid w:val="00B11E2C"/>
    <w:rsid w:val="00B12F75"/>
    <w:rsid w:val="00B15058"/>
    <w:rsid w:val="00B16E93"/>
    <w:rsid w:val="00B26343"/>
    <w:rsid w:val="00B269D6"/>
    <w:rsid w:val="00B302A7"/>
    <w:rsid w:val="00B34036"/>
    <w:rsid w:val="00B363EB"/>
    <w:rsid w:val="00B4005A"/>
    <w:rsid w:val="00B4460B"/>
    <w:rsid w:val="00B45145"/>
    <w:rsid w:val="00B455F5"/>
    <w:rsid w:val="00B45934"/>
    <w:rsid w:val="00B46C8D"/>
    <w:rsid w:val="00B51B93"/>
    <w:rsid w:val="00B52BED"/>
    <w:rsid w:val="00B636D8"/>
    <w:rsid w:val="00B63DD3"/>
    <w:rsid w:val="00B66B2E"/>
    <w:rsid w:val="00B67859"/>
    <w:rsid w:val="00B720F6"/>
    <w:rsid w:val="00B7351B"/>
    <w:rsid w:val="00B7516A"/>
    <w:rsid w:val="00B826AD"/>
    <w:rsid w:val="00B84729"/>
    <w:rsid w:val="00B86C5B"/>
    <w:rsid w:val="00B935F0"/>
    <w:rsid w:val="00B941A8"/>
    <w:rsid w:val="00BA01C3"/>
    <w:rsid w:val="00BA1ADD"/>
    <w:rsid w:val="00BA2081"/>
    <w:rsid w:val="00BA28FD"/>
    <w:rsid w:val="00BA4D9E"/>
    <w:rsid w:val="00BB1BE3"/>
    <w:rsid w:val="00BB2524"/>
    <w:rsid w:val="00BB6876"/>
    <w:rsid w:val="00BC6AD2"/>
    <w:rsid w:val="00BD45CA"/>
    <w:rsid w:val="00BD46F8"/>
    <w:rsid w:val="00BD4F7D"/>
    <w:rsid w:val="00BD584D"/>
    <w:rsid w:val="00BE0005"/>
    <w:rsid w:val="00BE05A7"/>
    <w:rsid w:val="00BE1395"/>
    <w:rsid w:val="00BE268B"/>
    <w:rsid w:val="00BE47F6"/>
    <w:rsid w:val="00BE532B"/>
    <w:rsid w:val="00BE62CB"/>
    <w:rsid w:val="00BE74FC"/>
    <w:rsid w:val="00BF1697"/>
    <w:rsid w:val="00BF38A7"/>
    <w:rsid w:val="00BF53D8"/>
    <w:rsid w:val="00BF69F3"/>
    <w:rsid w:val="00BF773A"/>
    <w:rsid w:val="00C0190E"/>
    <w:rsid w:val="00C03008"/>
    <w:rsid w:val="00C03067"/>
    <w:rsid w:val="00C061A9"/>
    <w:rsid w:val="00C106BB"/>
    <w:rsid w:val="00C112A9"/>
    <w:rsid w:val="00C13FAB"/>
    <w:rsid w:val="00C17CA6"/>
    <w:rsid w:val="00C21E6D"/>
    <w:rsid w:val="00C241AE"/>
    <w:rsid w:val="00C24704"/>
    <w:rsid w:val="00C2511B"/>
    <w:rsid w:val="00C2677C"/>
    <w:rsid w:val="00C26DD0"/>
    <w:rsid w:val="00C3149B"/>
    <w:rsid w:val="00C3172F"/>
    <w:rsid w:val="00C31CB1"/>
    <w:rsid w:val="00C3513F"/>
    <w:rsid w:val="00C352D9"/>
    <w:rsid w:val="00C378D9"/>
    <w:rsid w:val="00C37C3D"/>
    <w:rsid w:val="00C40110"/>
    <w:rsid w:val="00C40164"/>
    <w:rsid w:val="00C4249B"/>
    <w:rsid w:val="00C43213"/>
    <w:rsid w:val="00C45851"/>
    <w:rsid w:val="00C45E14"/>
    <w:rsid w:val="00C5382F"/>
    <w:rsid w:val="00C549BA"/>
    <w:rsid w:val="00C57F3F"/>
    <w:rsid w:val="00C611FD"/>
    <w:rsid w:val="00C6171E"/>
    <w:rsid w:val="00C61EE7"/>
    <w:rsid w:val="00C62385"/>
    <w:rsid w:val="00C62AD2"/>
    <w:rsid w:val="00C6581E"/>
    <w:rsid w:val="00C70D6A"/>
    <w:rsid w:val="00C710A7"/>
    <w:rsid w:val="00C71392"/>
    <w:rsid w:val="00C732F4"/>
    <w:rsid w:val="00C75D1D"/>
    <w:rsid w:val="00C77599"/>
    <w:rsid w:val="00C82521"/>
    <w:rsid w:val="00C82815"/>
    <w:rsid w:val="00C83CC5"/>
    <w:rsid w:val="00C86BAD"/>
    <w:rsid w:val="00C90679"/>
    <w:rsid w:val="00C9248B"/>
    <w:rsid w:val="00C9339D"/>
    <w:rsid w:val="00CA10B3"/>
    <w:rsid w:val="00CA1A65"/>
    <w:rsid w:val="00CA1CF8"/>
    <w:rsid w:val="00CA2765"/>
    <w:rsid w:val="00CA27CC"/>
    <w:rsid w:val="00CA364D"/>
    <w:rsid w:val="00CA3CB5"/>
    <w:rsid w:val="00CB1EF0"/>
    <w:rsid w:val="00CB479D"/>
    <w:rsid w:val="00CB4B68"/>
    <w:rsid w:val="00CB5576"/>
    <w:rsid w:val="00CB6B34"/>
    <w:rsid w:val="00CC171D"/>
    <w:rsid w:val="00CC1A99"/>
    <w:rsid w:val="00CC3749"/>
    <w:rsid w:val="00CC41F7"/>
    <w:rsid w:val="00CD0DAD"/>
    <w:rsid w:val="00CD271D"/>
    <w:rsid w:val="00CD38A0"/>
    <w:rsid w:val="00CD6A6F"/>
    <w:rsid w:val="00CE1D0A"/>
    <w:rsid w:val="00CE1D2B"/>
    <w:rsid w:val="00CE2207"/>
    <w:rsid w:val="00CE245D"/>
    <w:rsid w:val="00CE347A"/>
    <w:rsid w:val="00CE4300"/>
    <w:rsid w:val="00CE4798"/>
    <w:rsid w:val="00CE6E7E"/>
    <w:rsid w:val="00CF4424"/>
    <w:rsid w:val="00CF4F8D"/>
    <w:rsid w:val="00CF6580"/>
    <w:rsid w:val="00CF6762"/>
    <w:rsid w:val="00CF69EC"/>
    <w:rsid w:val="00CF6DE3"/>
    <w:rsid w:val="00D02666"/>
    <w:rsid w:val="00D02F02"/>
    <w:rsid w:val="00D03CC5"/>
    <w:rsid w:val="00D047D4"/>
    <w:rsid w:val="00D048EC"/>
    <w:rsid w:val="00D05A24"/>
    <w:rsid w:val="00D131D4"/>
    <w:rsid w:val="00D15234"/>
    <w:rsid w:val="00D20610"/>
    <w:rsid w:val="00D20C3E"/>
    <w:rsid w:val="00D216F4"/>
    <w:rsid w:val="00D21923"/>
    <w:rsid w:val="00D21B35"/>
    <w:rsid w:val="00D2223D"/>
    <w:rsid w:val="00D2267D"/>
    <w:rsid w:val="00D22EC8"/>
    <w:rsid w:val="00D27A8B"/>
    <w:rsid w:val="00D31CBF"/>
    <w:rsid w:val="00D33BA3"/>
    <w:rsid w:val="00D34AF7"/>
    <w:rsid w:val="00D34E37"/>
    <w:rsid w:val="00D36A3C"/>
    <w:rsid w:val="00D41D86"/>
    <w:rsid w:val="00D43B52"/>
    <w:rsid w:val="00D445FD"/>
    <w:rsid w:val="00D45551"/>
    <w:rsid w:val="00D460AE"/>
    <w:rsid w:val="00D505FB"/>
    <w:rsid w:val="00D52504"/>
    <w:rsid w:val="00D53CFA"/>
    <w:rsid w:val="00D5651D"/>
    <w:rsid w:val="00D57D08"/>
    <w:rsid w:val="00D60305"/>
    <w:rsid w:val="00D61129"/>
    <w:rsid w:val="00D669A9"/>
    <w:rsid w:val="00D70A73"/>
    <w:rsid w:val="00D73C3A"/>
    <w:rsid w:val="00D75444"/>
    <w:rsid w:val="00D81E01"/>
    <w:rsid w:val="00D82260"/>
    <w:rsid w:val="00D854FA"/>
    <w:rsid w:val="00D860F3"/>
    <w:rsid w:val="00D919C2"/>
    <w:rsid w:val="00D92EA8"/>
    <w:rsid w:val="00D93FAD"/>
    <w:rsid w:val="00D942EC"/>
    <w:rsid w:val="00D952A6"/>
    <w:rsid w:val="00D95817"/>
    <w:rsid w:val="00D95933"/>
    <w:rsid w:val="00D96407"/>
    <w:rsid w:val="00D972AE"/>
    <w:rsid w:val="00DA07DE"/>
    <w:rsid w:val="00DA12AF"/>
    <w:rsid w:val="00DA6E50"/>
    <w:rsid w:val="00DA70B9"/>
    <w:rsid w:val="00DA79F8"/>
    <w:rsid w:val="00DB100A"/>
    <w:rsid w:val="00DB159C"/>
    <w:rsid w:val="00DB2DE9"/>
    <w:rsid w:val="00DB40ED"/>
    <w:rsid w:val="00DB462C"/>
    <w:rsid w:val="00DB4EBE"/>
    <w:rsid w:val="00DB5EA7"/>
    <w:rsid w:val="00DB7564"/>
    <w:rsid w:val="00DC18F9"/>
    <w:rsid w:val="00DC1CEC"/>
    <w:rsid w:val="00DC2C6D"/>
    <w:rsid w:val="00DC314E"/>
    <w:rsid w:val="00DC330D"/>
    <w:rsid w:val="00DC4416"/>
    <w:rsid w:val="00DC45FC"/>
    <w:rsid w:val="00DC4A0A"/>
    <w:rsid w:val="00DC4A8A"/>
    <w:rsid w:val="00DC4A8C"/>
    <w:rsid w:val="00DC7E9E"/>
    <w:rsid w:val="00DD518A"/>
    <w:rsid w:val="00DD6B42"/>
    <w:rsid w:val="00DE288A"/>
    <w:rsid w:val="00DE3D1B"/>
    <w:rsid w:val="00DF1A57"/>
    <w:rsid w:val="00DF5910"/>
    <w:rsid w:val="00DF6E7E"/>
    <w:rsid w:val="00E00E25"/>
    <w:rsid w:val="00E02847"/>
    <w:rsid w:val="00E02BBF"/>
    <w:rsid w:val="00E02F2E"/>
    <w:rsid w:val="00E078A2"/>
    <w:rsid w:val="00E10498"/>
    <w:rsid w:val="00E10AFC"/>
    <w:rsid w:val="00E1112C"/>
    <w:rsid w:val="00E11E64"/>
    <w:rsid w:val="00E1286D"/>
    <w:rsid w:val="00E14045"/>
    <w:rsid w:val="00E14850"/>
    <w:rsid w:val="00E14925"/>
    <w:rsid w:val="00E14F68"/>
    <w:rsid w:val="00E1792A"/>
    <w:rsid w:val="00E2019F"/>
    <w:rsid w:val="00E20495"/>
    <w:rsid w:val="00E24605"/>
    <w:rsid w:val="00E2659A"/>
    <w:rsid w:val="00E35131"/>
    <w:rsid w:val="00E43676"/>
    <w:rsid w:val="00E4492C"/>
    <w:rsid w:val="00E471BD"/>
    <w:rsid w:val="00E4736C"/>
    <w:rsid w:val="00E53877"/>
    <w:rsid w:val="00E538AB"/>
    <w:rsid w:val="00E57157"/>
    <w:rsid w:val="00E62789"/>
    <w:rsid w:val="00E62D2A"/>
    <w:rsid w:val="00E630F4"/>
    <w:rsid w:val="00E6592E"/>
    <w:rsid w:val="00E674CA"/>
    <w:rsid w:val="00E67FB6"/>
    <w:rsid w:val="00E713A3"/>
    <w:rsid w:val="00E71E47"/>
    <w:rsid w:val="00E7474A"/>
    <w:rsid w:val="00E75F42"/>
    <w:rsid w:val="00E82D9D"/>
    <w:rsid w:val="00E83500"/>
    <w:rsid w:val="00E852E3"/>
    <w:rsid w:val="00E855C5"/>
    <w:rsid w:val="00E86874"/>
    <w:rsid w:val="00E8719C"/>
    <w:rsid w:val="00E90680"/>
    <w:rsid w:val="00E926A1"/>
    <w:rsid w:val="00E93B69"/>
    <w:rsid w:val="00E951AC"/>
    <w:rsid w:val="00EA3FB1"/>
    <w:rsid w:val="00EA656D"/>
    <w:rsid w:val="00EA6A82"/>
    <w:rsid w:val="00EA7649"/>
    <w:rsid w:val="00EB164C"/>
    <w:rsid w:val="00EB24D5"/>
    <w:rsid w:val="00EB361B"/>
    <w:rsid w:val="00EB6949"/>
    <w:rsid w:val="00EC157D"/>
    <w:rsid w:val="00EC45EF"/>
    <w:rsid w:val="00EC52BC"/>
    <w:rsid w:val="00EC61F0"/>
    <w:rsid w:val="00EC6387"/>
    <w:rsid w:val="00EC7323"/>
    <w:rsid w:val="00ED074B"/>
    <w:rsid w:val="00ED1FCF"/>
    <w:rsid w:val="00ED238F"/>
    <w:rsid w:val="00ED2996"/>
    <w:rsid w:val="00ED300D"/>
    <w:rsid w:val="00ED4F96"/>
    <w:rsid w:val="00ED567B"/>
    <w:rsid w:val="00ED7AD3"/>
    <w:rsid w:val="00EE0BE9"/>
    <w:rsid w:val="00EE2E27"/>
    <w:rsid w:val="00EE5B62"/>
    <w:rsid w:val="00EE64E3"/>
    <w:rsid w:val="00EE7050"/>
    <w:rsid w:val="00EF12E6"/>
    <w:rsid w:val="00EF1E23"/>
    <w:rsid w:val="00EF332B"/>
    <w:rsid w:val="00EF6B7C"/>
    <w:rsid w:val="00EF6F77"/>
    <w:rsid w:val="00F005FF"/>
    <w:rsid w:val="00F02D73"/>
    <w:rsid w:val="00F02DE9"/>
    <w:rsid w:val="00F03142"/>
    <w:rsid w:val="00F058BE"/>
    <w:rsid w:val="00F066DD"/>
    <w:rsid w:val="00F12B2A"/>
    <w:rsid w:val="00F15B0A"/>
    <w:rsid w:val="00F16C6F"/>
    <w:rsid w:val="00F17CB9"/>
    <w:rsid w:val="00F21E3D"/>
    <w:rsid w:val="00F2231D"/>
    <w:rsid w:val="00F24F1E"/>
    <w:rsid w:val="00F32D51"/>
    <w:rsid w:val="00F33C07"/>
    <w:rsid w:val="00F34274"/>
    <w:rsid w:val="00F34BDA"/>
    <w:rsid w:val="00F36642"/>
    <w:rsid w:val="00F40E07"/>
    <w:rsid w:val="00F426C7"/>
    <w:rsid w:val="00F4273D"/>
    <w:rsid w:val="00F443C5"/>
    <w:rsid w:val="00F47BCF"/>
    <w:rsid w:val="00F47D46"/>
    <w:rsid w:val="00F509A8"/>
    <w:rsid w:val="00F515A6"/>
    <w:rsid w:val="00F51757"/>
    <w:rsid w:val="00F51BC3"/>
    <w:rsid w:val="00F52EE2"/>
    <w:rsid w:val="00F6022E"/>
    <w:rsid w:val="00F61E62"/>
    <w:rsid w:val="00F64656"/>
    <w:rsid w:val="00F66504"/>
    <w:rsid w:val="00F66528"/>
    <w:rsid w:val="00F70A93"/>
    <w:rsid w:val="00F71E0B"/>
    <w:rsid w:val="00F733B8"/>
    <w:rsid w:val="00F7680F"/>
    <w:rsid w:val="00F76FA7"/>
    <w:rsid w:val="00F77034"/>
    <w:rsid w:val="00F77250"/>
    <w:rsid w:val="00F804D3"/>
    <w:rsid w:val="00F81399"/>
    <w:rsid w:val="00F82B3D"/>
    <w:rsid w:val="00F84F5A"/>
    <w:rsid w:val="00F85065"/>
    <w:rsid w:val="00F85C83"/>
    <w:rsid w:val="00F8612D"/>
    <w:rsid w:val="00F86193"/>
    <w:rsid w:val="00F86CCC"/>
    <w:rsid w:val="00F874F2"/>
    <w:rsid w:val="00F9011F"/>
    <w:rsid w:val="00F90C20"/>
    <w:rsid w:val="00F92475"/>
    <w:rsid w:val="00F9308A"/>
    <w:rsid w:val="00F936EA"/>
    <w:rsid w:val="00F95E8C"/>
    <w:rsid w:val="00F96A0F"/>
    <w:rsid w:val="00F96C9D"/>
    <w:rsid w:val="00FA2184"/>
    <w:rsid w:val="00FA4D10"/>
    <w:rsid w:val="00FA5500"/>
    <w:rsid w:val="00FA7E95"/>
    <w:rsid w:val="00FB0CE9"/>
    <w:rsid w:val="00FB41E3"/>
    <w:rsid w:val="00FB5E31"/>
    <w:rsid w:val="00FB6DA4"/>
    <w:rsid w:val="00FB72F4"/>
    <w:rsid w:val="00FB7886"/>
    <w:rsid w:val="00FD0A01"/>
    <w:rsid w:val="00FD1935"/>
    <w:rsid w:val="00FD55BA"/>
    <w:rsid w:val="00FD659A"/>
    <w:rsid w:val="00FD66EC"/>
    <w:rsid w:val="00FD6C4D"/>
    <w:rsid w:val="00FD7BD8"/>
    <w:rsid w:val="00FE164A"/>
    <w:rsid w:val="00FE1D5D"/>
    <w:rsid w:val="00FE3A2E"/>
    <w:rsid w:val="00FE5A4B"/>
    <w:rsid w:val="00FE64B1"/>
    <w:rsid w:val="00FF2512"/>
    <w:rsid w:val="00FF25F6"/>
    <w:rsid w:val="00FF381E"/>
    <w:rsid w:val="00FF4054"/>
    <w:rsid w:val="00FF4B3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F183C"/>
  <w15:chartTrackingRefBased/>
  <w15:docId w15:val="{049AE6F7-5C16-4016-9BAE-29E78977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3" w:qFormat="1"/>
    <w:lsdException w:name="heading 7" w:uiPriority="19" w:qFormat="1"/>
    <w:lsdException w:name="heading 8" w:uiPriority="9"/>
    <w:lsdException w:name="heading 9" w:uiPriority="2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B34FF"/>
    <w:pPr>
      <w:widowControl w:val="0"/>
      <w:spacing w:after="0" w:line="240" w:lineRule="auto"/>
      <w:jc w:val="both"/>
    </w:pPr>
  </w:style>
  <w:style w:type="paragraph" w:styleId="Nagwek1">
    <w:name w:val="heading 1"/>
    <w:next w:val="Para0"/>
    <w:link w:val="Nagwek1Znak"/>
    <w:uiPriority w:val="4"/>
    <w:qFormat/>
    <w:rsid w:val="009B73DE"/>
    <w:pPr>
      <w:keepNext/>
      <w:keepLines/>
      <w:pageBreakBefore/>
      <w:framePr w:w="9072" w:wrap="notBeside" w:vAnchor="text" w:hAnchor="page" w:xAlign="center" w:y="1"/>
      <w:numPr>
        <w:numId w:val="9"/>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000000" w:themeColor="text1"/>
      <w:sz w:val="56"/>
      <w:szCs w:val="32"/>
    </w:rPr>
  </w:style>
  <w:style w:type="paragraph" w:styleId="Nagwek2">
    <w:name w:val="heading 2"/>
    <w:next w:val="Para0"/>
    <w:link w:val="Nagwek2Znak"/>
    <w:uiPriority w:val="7"/>
    <w:qFormat/>
    <w:rsid w:val="009B73DE"/>
    <w:pPr>
      <w:keepNext/>
      <w:numPr>
        <w:ilvl w:val="1"/>
        <w:numId w:val="9"/>
      </w:numPr>
      <w:spacing w:before="440" w:after="240" w:line="320" w:lineRule="exact"/>
      <w:outlineLvl w:val="1"/>
    </w:pPr>
    <w:rPr>
      <w:rFonts w:eastAsiaTheme="majorEastAsia" w:cstheme="majorBidi"/>
      <w:b/>
      <w:color w:val="000000" w:themeColor="text1"/>
      <w:sz w:val="24"/>
      <w:szCs w:val="26"/>
    </w:rPr>
  </w:style>
  <w:style w:type="paragraph" w:styleId="Nagwek3">
    <w:name w:val="heading 3"/>
    <w:next w:val="Para0"/>
    <w:link w:val="Nagwek3Znak"/>
    <w:uiPriority w:val="9"/>
    <w:qFormat/>
    <w:rsid w:val="000E5F57"/>
    <w:pPr>
      <w:keepNext/>
      <w:keepLines/>
      <w:numPr>
        <w:ilvl w:val="2"/>
        <w:numId w:val="9"/>
      </w:numPr>
      <w:spacing w:before="280" w:after="180" w:line="280" w:lineRule="exact"/>
      <w:outlineLvl w:val="2"/>
    </w:pPr>
    <w:rPr>
      <w:rFonts w:eastAsiaTheme="majorEastAsia" w:cstheme="majorBidi"/>
      <w:b/>
      <w:i/>
      <w:color w:val="000000" w:themeColor="text1"/>
      <w:szCs w:val="24"/>
    </w:rPr>
  </w:style>
  <w:style w:type="paragraph" w:styleId="Nagwek4">
    <w:name w:val="heading 4"/>
    <w:next w:val="Para0"/>
    <w:link w:val="Nagwek4Znak"/>
    <w:uiPriority w:val="9"/>
    <w:qFormat/>
    <w:rsid w:val="000E5F57"/>
    <w:pPr>
      <w:keepNext/>
      <w:keepLines/>
      <w:numPr>
        <w:ilvl w:val="3"/>
        <w:numId w:val="9"/>
      </w:numPr>
      <w:spacing w:before="240" w:after="180" w:line="280" w:lineRule="exact"/>
      <w:outlineLvl w:val="3"/>
    </w:pPr>
    <w:rPr>
      <w:rFonts w:eastAsiaTheme="majorEastAsia" w:cstheme="majorBidi"/>
      <w:i/>
      <w:iCs/>
      <w:color w:val="3F3F3F" w:themeColor="text2"/>
    </w:rPr>
  </w:style>
  <w:style w:type="paragraph" w:styleId="Nagwek5">
    <w:name w:val="heading 5"/>
    <w:next w:val="Para0"/>
    <w:link w:val="Nagwek5Znak"/>
    <w:uiPriority w:val="9"/>
    <w:qFormat/>
    <w:rsid w:val="000E5F57"/>
    <w:pPr>
      <w:keepNext/>
      <w:keepLines/>
      <w:numPr>
        <w:ilvl w:val="4"/>
        <w:numId w:val="9"/>
      </w:numPr>
      <w:spacing w:before="240" w:after="180" w:line="260" w:lineRule="exact"/>
      <w:outlineLvl w:val="4"/>
    </w:pPr>
    <w:rPr>
      <w:rFonts w:eastAsiaTheme="majorEastAsia" w:cstheme="majorBidi"/>
      <w:b/>
      <w:color w:val="000000" w:themeColor="text1"/>
      <w:sz w:val="20"/>
    </w:rPr>
  </w:style>
  <w:style w:type="paragraph" w:styleId="Nagwek6">
    <w:name w:val="heading 6"/>
    <w:aliases w:val="Part"/>
    <w:next w:val="Nagwek1"/>
    <w:link w:val="Nagwek6Znak"/>
    <w:uiPriority w:val="3"/>
    <w:qFormat/>
    <w:rsid w:val="00C0190E"/>
    <w:pPr>
      <w:keepNext/>
      <w:pageBreakBefore/>
      <w:framePr w:w="7938" w:h="13325" w:hRule="exact" w:wrap="notBeside" w:vAnchor="page" w:hAnchor="page" w:xAlign="center" w:yAlign="center"/>
      <w:numPr>
        <w:ilvl w:val="5"/>
        <w:numId w:val="9"/>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Nagwek7">
    <w:name w:val="heading 7"/>
    <w:aliases w:val="Doc AnnX"/>
    <w:basedOn w:val="Nagwek9"/>
    <w:next w:val="Para0"/>
    <w:link w:val="Nagwek7Znak"/>
    <w:uiPriority w:val="19"/>
    <w:qFormat/>
    <w:rsid w:val="00BF1697"/>
    <w:pPr>
      <w:numPr>
        <w:ilvl w:val="6"/>
      </w:numPr>
      <w:spacing w:after="1500" w:line="600" w:lineRule="exact"/>
      <w:outlineLvl w:val="6"/>
    </w:pPr>
  </w:style>
  <w:style w:type="paragraph" w:styleId="Nagwek8">
    <w:name w:val="heading 8"/>
    <w:aliases w:val="Part AnnX"/>
    <w:next w:val="Para0"/>
    <w:link w:val="Nagwek8Znak"/>
    <w:uiPriority w:val="9"/>
    <w:rsid w:val="00B06D82"/>
    <w:pPr>
      <w:keepNext/>
      <w:pageBreakBefore/>
      <w:numPr>
        <w:ilvl w:val="7"/>
        <w:numId w:val="9"/>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Nagwek9">
    <w:name w:val="heading 9"/>
    <w:aliases w:val="Chap AnnX"/>
    <w:next w:val="Para0"/>
    <w:link w:val="Nagwek9Znak"/>
    <w:uiPriority w:val="20"/>
    <w:qFormat/>
    <w:rsid w:val="00BF1697"/>
    <w:pPr>
      <w:keepNext/>
      <w:pageBreakBefore/>
      <w:numPr>
        <w:ilvl w:val="8"/>
        <w:numId w:val="9"/>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ytu">
    <w:name w:val="Title"/>
    <w:next w:val="Para0"/>
    <w:link w:val="TytuZnak"/>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omylnaczcionkaakapitu"/>
    <w:link w:val="Para0"/>
    <w:uiPriority w:val="4"/>
    <w:rsid w:val="00991A9A"/>
    <w:rPr>
      <w:color w:val="000000" w:themeColor="text1"/>
      <w:sz w:val="20"/>
    </w:rPr>
  </w:style>
  <w:style w:type="character" w:customStyle="1" w:styleId="TytuZnak">
    <w:name w:val="Tytuł Znak"/>
    <w:basedOn w:val="Domylnaczcionkaakapitu"/>
    <w:link w:val="Tytu"/>
    <w:rsid w:val="00E951AC"/>
    <w:rPr>
      <w:rFonts w:asciiTheme="majorHAnsi" w:eastAsiaTheme="majorEastAsia" w:hAnsiTheme="majorHAnsi" w:cstheme="majorBidi"/>
      <w:b/>
      <w:color w:val="4E81BD" w:themeColor="accent1"/>
      <w:sz w:val="72"/>
      <w:szCs w:val="56"/>
    </w:rPr>
  </w:style>
  <w:style w:type="character" w:customStyle="1" w:styleId="Nagwek1Znak">
    <w:name w:val="Nagłówek 1 Znak"/>
    <w:basedOn w:val="Domylnaczcionkaakapitu"/>
    <w:link w:val="Nagwek1"/>
    <w:uiPriority w:val="4"/>
    <w:rsid w:val="009B73DE"/>
    <w:rPr>
      <w:rFonts w:asciiTheme="majorHAnsi" w:eastAsiaTheme="majorEastAsia" w:hAnsiTheme="majorHAnsi" w:cstheme="majorBidi"/>
      <w:b/>
      <w:color w:val="000000" w:themeColor="text1"/>
      <w:sz w:val="56"/>
      <w:szCs w:val="32"/>
      <w:shd w:val="clear" w:color="auto" w:fill="FFFFFF" w:themeFill="accent2"/>
    </w:rPr>
  </w:style>
  <w:style w:type="character" w:customStyle="1" w:styleId="Nagwek2Znak">
    <w:name w:val="Nagłówek 2 Znak"/>
    <w:basedOn w:val="Domylnaczcionkaakapitu"/>
    <w:link w:val="Nagwek2"/>
    <w:uiPriority w:val="7"/>
    <w:rsid w:val="009B73DE"/>
    <w:rPr>
      <w:rFonts w:eastAsiaTheme="majorEastAsia" w:cstheme="majorBidi"/>
      <w:b/>
      <w:color w:val="000000" w:themeColor="text1"/>
      <w:sz w:val="24"/>
      <w:szCs w:val="26"/>
    </w:rPr>
  </w:style>
  <w:style w:type="character" w:customStyle="1" w:styleId="Nagwek3Znak">
    <w:name w:val="Nagłówek 3 Znak"/>
    <w:basedOn w:val="Domylnaczcionkaakapitu"/>
    <w:link w:val="Nagwek3"/>
    <w:uiPriority w:val="9"/>
    <w:rsid w:val="000E5F57"/>
    <w:rPr>
      <w:rFonts w:eastAsiaTheme="majorEastAsia" w:cstheme="majorBidi"/>
      <w:b/>
      <w:i/>
      <w:color w:val="000000" w:themeColor="text1"/>
      <w:szCs w:val="24"/>
    </w:rPr>
  </w:style>
  <w:style w:type="character" w:customStyle="1" w:styleId="Nagwek4Znak">
    <w:name w:val="Nagłówek 4 Znak"/>
    <w:basedOn w:val="Domylnaczcionkaakapitu"/>
    <w:link w:val="Nagwek4"/>
    <w:uiPriority w:val="9"/>
    <w:rsid w:val="000E5F57"/>
    <w:rPr>
      <w:rFonts w:eastAsiaTheme="majorEastAsia" w:cstheme="majorBidi"/>
      <w:i/>
      <w:iCs/>
      <w:color w:val="3F3F3F" w:themeColor="text2"/>
    </w:rPr>
  </w:style>
  <w:style w:type="character" w:customStyle="1" w:styleId="Nagwek5Znak">
    <w:name w:val="Nagłówek 5 Znak"/>
    <w:basedOn w:val="Domylnaczcionkaakapitu"/>
    <w:link w:val="Nagwek5"/>
    <w:uiPriority w:val="9"/>
    <w:rsid w:val="000E5F57"/>
    <w:rPr>
      <w:rFonts w:eastAsiaTheme="majorEastAsia" w:cstheme="majorBidi"/>
      <w:b/>
      <w:color w:val="000000" w:themeColor="text1"/>
      <w:sz w:val="20"/>
    </w:rPr>
  </w:style>
  <w:style w:type="character" w:customStyle="1" w:styleId="Nagwek6Znak">
    <w:name w:val="Nagłówek 6 Znak"/>
    <w:aliases w:val="Part Znak"/>
    <w:basedOn w:val="Domylnaczcionkaakapitu"/>
    <w:link w:val="Nagwek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Nagwek7Znak">
    <w:name w:val="Nagłówek 7 Znak"/>
    <w:aliases w:val="Doc AnnX Znak"/>
    <w:basedOn w:val="Domylnaczcionkaakapitu"/>
    <w:link w:val="Nagwek7"/>
    <w:uiPriority w:val="19"/>
    <w:rsid w:val="001931F5"/>
    <w:rPr>
      <w:rFonts w:asciiTheme="majorHAnsi" w:eastAsiaTheme="majorEastAsia" w:hAnsiTheme="majorHAnsi" w:cstheme="majorBidi"/>
      <w:b/>
      <w:iCs/>
      <w:color w:val="4E81BD" w:themeColor="accent1"/>
      <w:sz w:val="48"/>
      <w:szCs w:val="21"/>
    </w:rPr>
  </w:style>
  <w:style w:type="character" w:customStyle="1" w:styleId="Nagwek8Znak">
    <w:name w:val="Nagłówek 8 Znak"/>
    <w:aliases w:val="Part AnnX Znak"/>
    <w:basedOn w:val="Domylnaczcionkaakapitu"/>
    <w:link w:val="Nagwek8"/>
    <w:uiPriority w:val="9"/>
    <w:rsid w:val="00B06D82"/>
    <w:rPr>
      <w:rFonts w:asciiTheme="majorHAnsi" w:eastAsiaTheme="majorEastAsia" w:hAnsiTheme="majorHAnsi" w:cstheme="majorBidi"/>
      <w:b/>
      <w:color w:val="4E81BD" w:themeColor="accent1"/>
      <w:sz w:val="28"/>
      <w:szCs w:val="21"/>
    </w:rPr>
  </w:style>
  <w:style w:type="character" w:customStyle="1" w:styleId="Nagwek9Znak">
    <w:name w:val="Nagłówek 9 Znak"/>
    <w:aliases w:val="Chap AnnX Znak"/>
    <w:basedOn w:val="Domylnaczcionkaakapitu"/>
    <w:link w:val="Nagwek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
      </w:numPr>
      <w:spacing w:before="120" w:after="120" w:line="260" w:lineRule="atLeast"/>
      <w:jc w:val="both"/>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Akapitzlist">
    <w:name w:val="List Paragraph"/>
    <w:basedOn w:val="Normalny"/>
    <w:uiPriority w:val="34"/>
    <w:qFormat/>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Legenda">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ny"/>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Cytat">
    <w:name w:val="Quote"/>
    <w:aliases w:val="Quotation (long)"/>
    <w:basedOn w:val="Normalny"/>
    <w:link w:val="CytatZnak"/>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CytatZnak">
    <w:name w:val="Cytat Znak"/>
    <w:aliases w:val="Quotation (long) Znak"/>
    <w:basedOn w:val="Domylnaczcionkaakapitu"/>
    <w:link w:val="Cytat"/>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Nagwek2"/>
    <w:rsid w:val="00326CAE"/>
    <w:rPr>
      <w:u w:val="single"/>
    </w:rPr>
  </w:style>
  <w:style w:type="paragraph" w:customStyle="1" w:styleId="Annotation">
    <w:name w:val="Annotation"/>
    <w:basedOn w:val="Normalny"/>
    <w:rsid w:val="004243B4"/>
    <w:pPr>
      <w:numPr>
        <w:numId w:val="3"/>
      </w:numPr>
      <w:pBdr>
        <w:bottom w:val="single" w:sz="4" w:space="10" w:color="auto"/>
      </w:pBdr>
      <w:spacing w:before="120" w:after="120"/>
      <w:ind w:left="981" w:hanging="414"/>
      <w:jc w:val="left"/>
    </w:pPr>
  </w:style>
  <w:style w:type="paragraph" w:styleId="Bibliografia">
    <w:name w:val="Bibliography"/>
    <w:basedOn w:val="Normalny"/>
    <w:next w:val="Normalny"/>
    <w:uiPriority w:val="37"/>
    <w:unhideWhenUsed/>
    <w:rsid w:val="00033E50"/>
    <w:pPr>
      <w:spacing w:after="60" w:line="260" w:lineRule="exact"/>
      <w:ind w:left="284" w:hanging="284"/>
      <w:jc w:val="left"/>
    </w:pPr>
    <w:rPr>
      <w:sz w:val="20"/>
    </w:rPr>
  </w:style>
  <w:style w:type="paragraph" w:customStyle="1" w:styleId="Break">
    <w:name w:val="Break"/>
    <w:basedOn w:val="Normalny"/>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ny"/>
    <w:next w:val="Para0"/>
    <w:rsid w:val="00E67FB6"/>
    <w:pPr>
      <w:keepNext/>
      <w:spacing w:before="240" w:after="120"/>
      <w:ind w:left="851"/>
    </w:pPr>
    <w:rPr>
      <w:b/>
      <w:i/>
    </w:rPr>
  </w:style>
  <w:style w:type="paragraph" w:customStyle="1" w:styleId="Conclusion">
    <w:name w:val="Conclusion"/>
    <w:basedOn w:val="Para0"/>
    <w:next w:val="Nagwek1"/>
    <w:rsid w:val="0052749E"/>
    <w:pPr>
      <w:jc w:val="center"/>
    </w:pPr>
    <w:rPr>
      <w:b/>
    </w:rPr>
  </w:style>
  <w:style w:type="character" w:styleId="Odwoanieprzypisukocowego">
    <w:name w:val="endnote reference"/>
    <w:basedOn w:val="Domylnaczcionkaakapitu"/>
    <w:uiPriority w:val="99"/>
    <w:semiHidden/>
    <w:unhideWhenUsed/>
    <w:rsid w:val="00F443C5"/>
    <w:rPr>
      <w:rFonts w:asciiTheme="minorHAnsi" w:hAnsiTheme="minorHAnsi"/>
      <w:sz w:val="22"/>
      <w:vertAlign w:val="superscript"/>
    </w:rPr>
  </w:style>
  <w:style w:type="paragraph" w:styleId="Tekstprzypisudolnego">
    <w:name w:val="footnote text"/>
    <w:link w:val="TekstprzypisudolnegoZnak"/>
    <w:uiPriority w:val="99"/>
    <w:unhideWhenUsed/>
    <w:rsid w:val="00EA6A82"/>
    <w:pPr>
      <w:spacing w:after="120" w:line="240" w:lineRule="exact"/>
      <w:jc w:val="both"/>
    </w:pPr>
    <w:rPr>
      <w:sz w:val="18"/>
      <w:szCs w:val="20"/>
    </w:rPr>
  </w:style>
  <w:style w:type="character" w:customStyle="1" w:styleId="TekstprzypisudolnegoZnak">
    <w:name w:val="Tekst przypisu dolnego Znak"/>
    <w:basedOn w:val="Domylnaczcionkaakapitu"/>
    <w:link w:val="Tekstprzypisudolnego"/>
    <w:uiPriority w:val="99"/>
    <w:rsid w:val="00EA6A82"/>
    <w:rPr>
      <w:sz w:val="18"/>
      <w:szCs w:val="20"/>
    </w:rPr>
  </w:style>
  <w:style w:type="paragraph" w:styleId="Tekstprzypisukocowego">
    <w:name w:val="endnote text"/>
    <w:link w:val="TekstprzypisukocowegoZnak"/>
    <w:uiPriority w:val="99"/>
    <w:semiHidden/>
    <w:unhideWhenUsed/>
    <w:rsid w:val="000A5133"/>
    <w:pPr>
      <w:jc w:val="both"/>
    </w:pPr>
    <w:rPr>
      <w:sz w:val="20"/>
      <w:szCs w:val="20"/>
    </w:rPr>
  </w:style>
  <w:style w:type="character" w:customStyle="1" w:styleId="TekstprzypisukocowegoZnak">
    <w:name w:val="Tekst przypisu końcowego Znak"/>
    <w:basedOn w:val="Domylnaczcionkaakapitu"/>
    <w:link w:val="Tekstprzypisukocowego"/>
    <w:uiPriority w:val="99"/>
    <w:semiHidden/>
    <w:rsid w:val="000A5133"/>
    <w:rPr>
      <w:sz w:val="20"/>
      <w:szCs w:val="20"/>
    </w:rPr>
  </w:style>
  <w:style w:type="paragraph" w:customStyle="1" w:styleId="Figure">
    <w:name w:val="Figure"/>
    <w:basedOn w:val="Normalny"/>
    <w:rsid w:val="000E2815"/>
    <w:pPr>
      <w:jc w:val="center"/>
    </w:pPr>
  </w:style>
  <w:style w:type="paragraph" w:styleId="Stopka">
    <w:name w:val="footer"/>
    <w:basedOn w:val="Normalny"/>
    <w:link w:val="StopkaZnak"/>
    <w:uiPriority w:val="99"/>
    <w:rsid w:val="00404A52"/>
    <w:pPr>
      <w:tabs>
        <w:tab w:val="center" w:pos="4513"/>
        <w:tab w:val="right" w:pos="9026"/>
      </w:tabs>
      <w:spacing w:before="120"/>
      <w:jc w:val="center"/>
    </w:pPr>
    <w:rPr>
      <w:caps/>
      <w:sz w:val="16"/>
    </w:rPr>
  </w:style>
  <w:style w:type="character" w:customStyle="1" w:styleId="StopkaZnak">
    <w:name w:val="Stopka Znak"/>
    <w:basedOn w:val="Domylnaczcionkaakapitu"/>
    <w:link w:val="Stopka"/>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ny"/>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omylnaczcionkaakapitu"/>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ny"/>
    <w:rsid w:val="00404A52"/>
    <w:pPr>
      <w:jc w:val="right"/>
    </w:pPr>
    <w:rPr>
      <w:sz w:val="16"/>
    </w:rPr>
  </w:style>
  <w:style w:type="character" w:styleId="Odwoanieprzypisudolnego">
    <w:name w:val="footnote reference"/>
    <w:basedOn w:val="Domylnaczcionkaakapitu"/>
    <w:uiPriority w:val="99"/>
    <w:semiHidden/>
    <w:unhideWhenUsed/>
    <w:rsid w:val="00F443C5"/>
    <w:rPr>
      <w:rFonts w:asciiTheme="minorHAnsi" w:hAnsiTheme="minorHAnsi"/>
      <w:sz w:val="22"/>
      <w:vertAlign w:val="superscript"/>
    </w:rPr>
  </w:style>
  <w:style w:type="paragraph" w:customStyle="1" w:styleId="GroupHeading">
    <w:name w:val="Group Heading"/>
    <w:basedOn w:val="Normalny"/>
    <w:next w:val="Para0"/>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Nagwek">
    <w:name w:val="header"/>
    <w:basedOn w:val="Normalny"/>
    <w:link w:val="NagwekZnak"/>
    <w:uiPriority w:val="99"/>
    <w:rsid w:val="00CC1A99"/>
    <w:pPr>
      <w:tabs>
        <w:tab w:val="center" w:pos="4513"/>
        <w:tab w:val="right" w:pos="9026"/>
      </w:tabs>
    </w:pPr>
  </w:style>
  <w:style w:type="character" w:customStyle="1" w:styleId="NagwekZnak">
    <w:name w:val="Nagłówek Znak"/>
    <w:basedOn w:val="Domylnaczcionkaakapitu"/>
    <w:link w:val="Nagwek"/>
    <w:uiPriority w:val="99"/>
    <w:rsid w:val="0056606B"/>
    <w:rPr>
      <w:rFonts w:ascii="Times New Roman" w:hAnsi="Times New Roman"/>
    </w:rPr>
  </w:style>
  <w:style w:type="character" w:customStyle="1" w:styleId="HeaderCoteChar">
    <w:name w:val="Header Cote (Char)"/>
    <w:basedOn w:val="Domylnaczcionkaakapitu"/>
    <w:uiPriority w:val="1"/>
    <w:semiHidden/>
    <w:rsid w:val="00CC1A99"/>
    <w:rPr>
      <w:rFonts w:ascii="Times New Roman" w:hAnsi="Times New Roman"/>
      <w:sz w:val="22"/>
    </w:rPr>
  </w:style>
  <w:style w:type="paragraph" w:customStyle="1" w:styleId="HeaderOdd">
    <w:name w:val="Header Odd"/>
    <w:basedOn w:val="Normalny"/>
    <w:next w:val="Normalny"/>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ny"/>
    <w:rsid w:val="00024178"/>
    <w:pPr>
      <w:keepNext/>
      <w:keepLines/>
      <w:spacing w:before="120"/>
      <w:ind w:left="680" w:right="680"/>
      <w:contextualSpacing/>
    </w:pPr>
    <w:rPr>
      <w:sz w:val="18"/>
    </w:rPr>
  </w:style>
  <w:style w:type="character" w:styleId="Numerstrony">
    <w:name w:val="page number"/>
    <w:basedOn w:val="Domylnaczcionkaakapitu"/>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ny"/>
    <w:next w:val="Time"/>
    <w:rsid w:val="002C1DD6"/>
    <w:pPr>
      <w:keepNext/>
      <w:spacing w:after="240"/>
      <w:jc w:val="left"/>
    </w:pPr>
    <w:rPr>
      <w:i/>
      <w:u w:val="single"/>
    </w:rPr>
  </w:style>
  <w:style w:type="paragraph" w:customStyle="1" w:styleId="SpecialItem">
    <w:name w:val="Special Item"/>
    <w:basedOn w:val="Normalny"/>
    <w:next w:val="Time"/>
    <w:rsid w:val="002C1DD6"/>
    <w:pPr>
      <w:spacing w:before="240" w:after="240"/>
    </w:pPr>
    <w:rPr>
      <w:i/>
    </w:rPr>
  </w:style>
  <w:style w:type="character" w:customStyle="1" w:styleId="StatLinkDOI">
    <w:name w:val="StatLink DOI"/>
    <w:basedOn w:val="Domylnaczcionkaakapitu"/>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Spisilustracji">
    <w:name w:val="table of figures"/>
    <w:next w:val="Normalny"/>
    <w:uiPriority w:val="99"/>
    <w:rsid w:val="00907E59"/>
    <w:pPr>
      <w:tabs>
        <w:tab w:val="right" w:pos="9072"/>
      </w:tabs>
      <w:spacing w:after="0" w:line="220" w:lineRule="exact"/>
      <w:ind w:right="510"/>
    </w:pPr>
    <w:rPr>
      <w:color w:val="000000" w:themeColor="text1"/>
      <w:sz w:val="18"/>
    </w:rPr>
  </w:style>
  <w:style w:type="paragraph" w:styleId="Spistreci1">
    <w:name w:val="toc 1"/>
    <w:next w:val="Normalny"/>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Spistreci2">
    <w:name w:val="toc 2"/>
    <w:next w:val="Normalny"/>
    <w:uiPriority w:val="39"/>
    <w:unhideWhenUsed/>
    <w:rsid w:val="00A81F07"/>
    <w:pPr>
      <w:tabs>
        <w:tab w:val="right" w:pos="9072"/>
      </w:tabs>
      <w:spacing w:before="20" w:after="20" w:line="240" w:lineRule="exact"/>
      <w:ind w:left="284" w:right="510"/>
    </w:pPr>
    <w:rPr>
      <w:color w:val="000000" w:themeColor="text1"/>
      <w:sz w:val="20"/>
    </w:rPr>
  </w:style>
  <w:style w:type="paragraph" w:styleId="Spistreci3">
    <w:name w:val="toc 3"/>
    <w:next w:val="Normalny"/>
    <w:autoRedefine/>
    <w:uiPriority w:val="39"/>
    <w:unhideWhenUsed/>
    <w:rsid w:val="00C03067"/>
    <w:pPr>
      <w:tabs>
        <w:tab w:val="right" w:pos="9072"/>
      </w:tabs>
      <w:spacing w:after="0" w:line="240" w:lineRule="exact"/>
      <w:ind w:left="454" w:right="510"/>
    </w:pPr>
    <w:rPr>
      <w:color w:val="000000" w:themeColor="text1"/>
      <w:sz w:val="20"/>
    </w:rPr>
  </w:style>
  <w:style w:type="paragraph" w:styleId="Spistreci4">
    <w:name w:val="toc 4"/>
    <w:basedOn w:val="Normalny"/>
    <w:next w:val="Normalny"/>
    <w:uiPriority w:val="39"/>
    <w:semiHidden/>
    <w:unhideWhenUsed/>
    <w:rsid w:val="0025481A"/>
    <w:pPr>
      <w:tabs>
        <w:tab w:val="right" w:leader="dot" w:pos="9072"/>
      </w:tabs>
      <w:ind w:left="595" w:right="510"/>
      <w:jc w:val="left"/>
    </w:pPr>
  </w:style>
  <w:style w:type="paragraph" w:styleId="Spistreci5">
    <w:name w:val="toc 5"/>
    <w:aliases w:val="Annotated Item"/>
    <w:basedOn w:val="Normalny"/>
    <w:next w:val="Normalny"/>
    <w:uiPriority w:val="39"/>
    <w:semiHidden/>
    <w:unhideWhenUsed/>
    <w:rsid w:val="0025481A"/>
    <w:pPr>
      <w:keepNext/>
      <w:spacing w:after="120"/>
    </w:pPr>
    <w:rPr>
      <w:b/>
      <w:color w:val="4E81BD"/>
    </w:rPr>
  </w:style>
  <w:style w:type="paragraph" w:styleId="Nagwekspisutreci">
    <w:name w:val="TOC Heading"/>
    <w:next w:val="Normalny"/>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Podtytu">
    <w:name w:val="Subtitle"/>
    <w:next w:val="Para0"/>
    <w:link w:val="PodtytuZnak"/>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PodtytuZnak">
    <w:name w:val="Podtytuł Znak"/>
    <w:basedOn w:val="Domylnaczcionkaakapitu"/>
    <w:link w:val="Podtytu"/>
    <w:uiPriority w:val="11"/>
    <w:rsid w:val="00160B10"/>
    <w:rPr>
      <w:rFonts w:asciiTheme="majorHAnsi" w:eastAsiaTheme="minorEastAsia" w:hAnsiTheme="majorHAnsi"/>
      <w:b/>
      <w:color w:val="4E81BD" w:themeColor="accent1"/>
      <w:sz w:val="24"/>
    </w:rPr>
  </w:style>
  <w:style w:type="character" w:styleId="Tekstzastpczy">
    <w:name w:val="Placeholder Text"/>
    <w:basedOn w:val="Domylnaczcionkaakapitu"/>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ela-Siatka">
    <w:name w:val="Table Grid"/>
    <w:basedOn w:val="Standardowy"/>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omylnaczcionkaakapitu"/>
    <w:link w:val="CoverNormal"/>
    <w:rsid w:val="00EF6B7C"/>
    <w:rPr>
      <w:rFonts w:asciiTheme="majorHAnsi" w:hAnsiTheme="majorHAnsi"/>
    </w:rPr>
  </w:style>
  <w:style w:type="character" w:customStyle="1" w:styleId="CoverSubTitleChar">
    <w:name w:val="CoverSubTitle Char"/>
    <w:basedOn w:val="Domylnaczcionkaakapitu"/>
    <w:link w:val="CoverSubTitle"/>
    <w:rsid w:val="00FB0CE9"/>
    <w:rPr>
      <w:rFonts w:ascii="Times New Roman" w:hAnsi="Times New Roman"/>
      <w:b/>
    </w:rPr>
  </w:style>
  <w:style w:type="character" w:customStyle="1" w:styleId="CoverTitleChar">
    <w:name w:val="CoverTitle Char"/>
    <w:basedOn w:val="Domylnaczcionkaakapitu"/>
    <w:link w:val="CoverTitle"/>
    <w:rsid w:val="00FB0CE9"/>
    <w:rPr>
      <w:rFonts w:ascii="Times New Roman" w:hAnsi="Times New Roman"/>
      <w:b/>
      <w:sz w:val="24"/>
    </w:rPr>
  </w:style>
  <w:style w:type="character" w:customStyle="1" w:styleId="CoverCancelChar">
    <w:name w:val="CoverCancel Char"/>
    <w:basedOn w:val="Domylnaczcionkaakapitu"/>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ipercze">
    <w:name w:val="Hyperlink"/>
    <w:basedOn w:val="Domylnaczcionkaakapitu"/>
    <w:uiPriority w:val="99"/>
    <w:unhideWhenUsed/>
    <w:rsid w:val="00461C3F"/>
    <w:rPr>
      <w:color w:val="0000FF" w:themeColor="hyperlink"/>
      <w:u w:val="single"/>
    </w:rPr>
  </w:style>
  <w:style w:type="table" w:customStyle="1" w:styleId="OECDOld">
    <w:name w:val="OECD Old"/>
    <w:basedOn w:val="Jasnecieniowanieak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Jasnecieniowanieakcent1">
    <w:name w:val="Light Shading Accent 1"/>
    <w:basedOn w:val="Standardowy"/>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ela-Prosty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ela-Prosty1">
    <w:name w:val="Table Simple 1"/>
    <w:basedOn w:val="Standardowy"/>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pistreci9">
    <w:name w:val="toc 9"/>
    <w:next w:val="Normalny"/>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Legenda"/>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Nagwek2"/>
    <w:next w:val="Para0"/>
    <w:uiPriority w:val="9"/>
    <w:qFormat/>
    <w:rsid w:val="00F47BCF"/>
    <w:pPr>
      <w:outlineLvl w:val="2"/>
    </w:pPr>
  </w:style>
  <w:style w:type="character" w:styleId="Odwoaniedokomentarza">
    <w:name w:val="annotation reference"/>
    <w:basedOn w:val="Domylnaczcionkaakapitu"/>
    <w:uiPriority w:val="99"/>
    <w:semiHidden/>
    <w:unhideWhenUsed/>
    <w:rsid w:val="006D0AD8"/>
    <w:rPr>
      <w:sz w:val="16"/>
      <w:szCs w:val="16"/>
    </w:rPr>
  </w:style>
  <w:style w:type="paragraph" w:styleId="Tekstkomentarza">
    <w:name w:val="annotation text"/>
    <w:basedOn w:val="Normalny"/>
    <w:link w:val="TekstkomentarzaZnak"/>
    <w:uiPriority w:val="99"/>
    <w:unhideWhenUsed/>
    <w:qFormat/>
    <w:rsid w:val="006D0AD8"/>
    <w:rPr>
      <w:sz w:val="20"/>
      <w:szCs w:val="20"/>
    </w:rPr>
  </w:style>
  <w:style w:type="character" w:customStyle="1" w:styleId="TekstkomentarzaZnak">
    <w:name w:val="Tekst komentarza Znak"/>
    <w:basedOn w:val="Domylnaczcionkaakapitu"/>
    <w:link w:val="Tekstkomentarza"/>
    <w:uiPriority w:val="99"/>
    <w:qFormat/>
    <w:rsid w:val="006D0AD8"/>
    <w:rPr>
      <w:sz w:val="20"/>
      <w:szCs w:val="20"/>
    </w:rPr>
  </w:style>
  <w:style w:type="paragraph" w:styleId="Tematkomentarza">
    <w:name w:val="annotation subject"/>
    <w:basedOn w:val="Tekstkomentarza"/>
    <w:next w:val="Tekstkomentarza"/>
    <w:link w:val="TematkomentarzaZnak"/>
    <w:uiPriority w:val="99"/>
    <w:semiHidden/>
    <w:unhideWhenUsed/>
    <w:rsid w:val="006D0AD8"/>
    <w:rPr>
      <w:b/>
      <w:bCs/>
    </w:rPr>
  </w:style>
  <w:style w:type="character" w:customStyle="1" w:styleId="TematkomentarzaZnak">
    <w:name w:val="Temat komentarza Znak"/>
    <w:basedOn w:val="TekstkomentarzaZnak"/>
    <w:link w:val="Tematkomentarza"/>
    <w:uiPriority w:val="99"/>
    <w:semiHidden/>
    <w:rsid w:val="006D0AD8"/>
    <w:rPr>
      <w:b/>
      <w:bCs/>
      <w:sz w:val="20"/>
      <w:szCs w:val="20"/>
    </w:rPr>
  </w:style>
  <w:style w:type="paragraph" w:styleId="Tekstdymka">
    <w:name w:val="Balloon Text"/>
    <w:basedOn w:val="Normalny"/>
    <w:link w:val="TekstdymkaZnak"/>
    <w:uiPriority w:val="99"/>
    <w:semiHidden/>
    <w:unhideWhenUsed/>
    <w:rsid w:val="006D0AD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AD8"/>
    <w:rPr>
      <w:rFonts w:ascii="Segoe UI" w:hAnsi="Segoe UI" w:cs="Segoe UI"/>
      <w:sz w:val="18"/>
      <w:szCs w:val="18"/>
    </w:rPr>
  </w:style>
  <w:style w:type="paragraph" w:customStyle="1" w:styleId="Default">
    <w:name w:val="Default"/>
    <w:rsid w:val="006D0AD8"/>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6D0AD8"/>
    <w:rPr>
      <w:color w:val="800080" w:themeColor="followedHyperlink"/>
      <w:u w:val="single"/>
    </w:rPr>
  </w:style>
  <w:style w:type="paragraph" w:customStyle="1" w:styleId="ZPKTzmpktartykuempunktem">
    <w:name w:val="Z/PKT – zm. pkt artykułem (punktem)"/>
    <w:basedOn w:val="Normalny"/>
    <w:uiPriority w:val="31"/>
    <w:qFormat/>
    <w:rsid w:val="006D0AD8"/>
    <w:pPr>
      <w:widowControl/>
      <w:spacing w:line="360" w:lineRule="auto"/>
      <w:ind w:left="1020" w:hanging="510"/>
    </w:pPr>
    <w:rPr>
      <w:rFonts w:ascii="Times" w:eastAsiaTheme="minorEastAsia" w:hAnsi="Times" w:cs="Arial"/>
      <w:bCs/>
      <w:sz w:val="24"/>
      <w:szCs w:val="20"/>
      <w:lang w:val="pl-PL" w:eastAsia="pl-PL"/>
    </w:rPr>
  </w:style>
  <w:style w:type="paragraph" w:customStyle="1" w:styleId="ZARTzmartartykuempunktem">
    <w:name w:val="Z/ART(§) – zm. art. (§) artykułem (punktem)"/>
    <w:basedOn w:val="Normalny"/>
    <w:uiPriority w:val="30"/>
    <w:qFormat/>
    <w:rsid w:val="006D0AD8"/>
    <w:pPr>
      <w:widowControl/>
      <w:suppressAutoHyphens/>
      <w:autoSpaceDE w:val="0"/>
      <w:autoSpaceDN w:val="0"/>
      <w:adjustRightInd w:val="0"/>
      <w:spacing w:line="360" w:lineRule="auto"/>
      <w:ind w:left="510" w:firstLine="510"/>
    </w:pPr>
    <w:rPr>
      <w:rFonts w:ascii="Times" w:eastAsiaTheme="minorEastAsia" w:hAnsi="Times" w:cs="Arial"/>
      <w:sz w:val="24"/>
      <w:szCs w:val="20"/>
      <w:lang w:val="pl-PL" w:eastAsia="pl-PL"/>
    </w:rPr>
  </w:style>
  <w:style w:type="paragraph" w:styleId="Poprawka">
    <w:name w:val="Revision"/>
    <w:hidden/>
    <w:uiPriority w:val="99"/>
    <w:semiHidden/>
    <w:rsid w:val="006D0AD8"/>
    <w:pPr>
      <w:spacing w:after="0" w:line="240" w:lineRule="auto"/>
    </w:pPr>
  </w:style>
  <w:style w:type="character" w:customStyle="1" w:styleId="UnresolvedMention1">
    <w:name w:val="Unresolved Mention1"/>
    <w:basedOn w:val="Domylnaczcionkaakapitu"/>
    <w:uiPriority w:val="99"/>
    <w:semiHidden/>
    <w:unhideWhenUsed/>
    <w:rsid w:val="006D0AD8"/>
    <w:rPr>
      <w:color w:val="605E5C"/>
      <w:shd w:val="clear" w:color="auto" w:fill="E1DFDD"/>
    </w:rPr>
  </w:style>
  <w:style w:type="character" w:customStyle="1" w:styleId="UnresolvedMention2">
    <w:name w:val="Unresolved Mention2"/>
    <w:basedOn w:val="Domylnaczcionkaakapitu"/>
    <w:uiPriority w:val="99"/>
    <w:semiHidden/>
    <w:unhideWhenUsed/>
    <w:rsid w:val="006D0AD8"/>
    <w:rPr>
      <w:color w:val="605E5C"/>
      <w:shd w:val="clear" w:color="auto" w:fill="E1DFDD"/>
    </w:rPr>
  </w:style>
  <w:style w:type="character" w:customStyle="1" w:styleId="Nierozpoznanawzmianka1">
    <w:name w:val="Nierozpoznana wzmianka1"/>
    <w:basedOn w:val="Domylnaczcionkaakapitu"/>
    <w:uiPriority w:val="99"/>
    <w:semiHidden/>
    <w:unhideWhenUsed/>
    <w:rsid w:val="006D0AD8"/>
    <w:rPr>
      <w:color w:val="605E5C"/>
      <w:shd w:val="clear" w:color="auto" w:fill="E1DFDD"/>
    </w:rPr>
  </w:style>
  <w:style w:type="character" w:customStyle="1" w:styleId="UnresolvedMention3">
    <w:name w:val="Unresolved Mention3"/>
    <w:basedOn w:val="Domylnaczcionkaakapitu"/>
    <w:uiPriority w:val="99"/>
    <w:semiHidden/>
    <w:unhideWhenUsed/>
    <w:rsid w:val="006D0AD8"/>
    <w:rPr>
      <w:color w:val="605E5C"/>
      <w:shd w:val="clear" w:color="auto" w:fill="E1DFDD"/>
    </w:rPr>
  </w:style>
  <w:style w:type="character" w:customStyle="1" w:styleId="Nierozpoznanawzmianka2">
    <w:name w:val="Nierozpoznana wzmianka2"/>
    <w:basedOn w:val="Domylnaczcionkaakapitu"/>
    <w:uiPriority w:val="99"/>
    <w:semiHidden/>
    <w:unhideWhenUsed/>
    <w:rsid w:val="00771A89"/>
    <w:rPr>
      <w:color w:val="605E5C"/>
      <w:shd w:val="clear" w:color="auto" w:fill="E1DFDD"/>
    </w:rPr>
  </w:style>
  <w:style w:type="character" w:styleId="Nierozpoznanawzmianka">
    <w:name w:val="Unresolved Mention"/>
    <w:basedOn w:val="Domylnaczcionkaakapitu"/>
    <w:uiPriority w:val="99"/>
    <w:semiHidden/>
    <w:unhideWhenUsed/>
    <w:rsid w:val="00FE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328">
      <w:bodyDiv w:val="1"/>
      <w:marLeft w:val="0"/>
      <w:marRight w:val="0"/>
      <w:marTop w:val="0"/>
      <w:marBottom w:val="0"/>
      <w:divBdr>
        <w:top w:val="none" w:sz="0" w:space="0" w:color="auto"/>
        <w:left w:val="none" w:sz="0" w:space="0" w:color="auto"/>
        <w:bottom w:val="none" w:sz="0" w:space="0" w:color="auto"/>
        <w:right w:val="none" w:sz="0" w:space="0" w:color="auto"/>
      </w:divBdr>
    </w:div>
    <w:div w:id="28116046">
      <w:bodyDiv w:val="1"/>
      <w:marLeft w:val="0"/>
      <w:marRight w:val="0"/>
      <w:marTop w:val="0"/>
      <w:marBottom w:val="0"/>
      <w:divBdr>
        <w:top w:val="none" w:sz="0" w:space="0" w:color="auto"/>
        <w:left w:val="none" w:sz="0" w:space="0" w:color="auto"/>
        <w:bottom w:val="none" w:sz="0" w:space="0" w:color="auto"/>
        <w:right w:val="none" w:sz="0" w:space="0" w:color="auto"/>
      </w:divBdr>
    </w:div>
    <w:div w:id="32004613">
      <w:bodyDiv w:val="1"/>
      <w:marLeft w:val="0"/>
      <w:marRight w:val="0"/>
      <w:marTop w:val="0"/>
      <w:marBottom w:val="0"/>
      <w:divBdr>
        <w:top w:val="none" w:sz="0" w:space="0" w:color="auto"/>
        <w:left w:val="none" w:sz="0" w:space="0" w:color="auto"/>
        <w:bottom w:val="none" w:sz="0" w:space="0" w:color="auto"/>
        <w:right w:val="none" w:sz="0" w:space="0" w:color="auto"/>
      </w:divBdr>
    </w:div>
    <w:div w:id="44451376">
      <w:bodyDiv w:val="1"/>
      <w:marLeft w:val="0"/>
      <w:marRight w:val="0"/>
      <w:marTop w:val="0"/>
      <w:marBottom w:val="0"/>
      <w:divBdr>
        <w:top w:val="none" w:sz="0" w:space="0" w:color="auto"/>
        <w:left w:val="none" w:sz="0" w:space="0" w:color="auto"/>
        <w:bottom w:val="none" w:sz="0" w:space="0" w:color="auto"/>
        <w:right w:val="none" w:sz="0" w:space="0" w:color="auto"/>
      </w:divBdr>
    </w:div>
    <w:div w:id="83231835">
      <w:bodyDiv w:val="1"/>
      <w:marLeft w:val="0"/>
      <w:marRight w:val="0"/>
      <w:marTop w:val="0"/>
      <w:marBottom w:val="0"/>
      <w:divBdr>
        <w:top w:val="none" w:sz="0" w:space="0" w:color="auto"/>
        <w:left w:val="none" w:sz="0" w:space="0" w:color="auto"/>
        <w:bottom w:val="none" w:sz="0" w:space="0" w:color="auto"/>
        <w:right w:val="none" w:sz="0" w:space="0" w:color="auto"/>
      </w:divBdr>
    </w:div>
    <w:div w:id="107700340">
      <w:bodyDiv w:val="1"/>
      <w:marLeft w:val="0"/>
      <w:marRight w:val="0"/>
      <w:marTop w:val="0"/>
      <w:marBottom w:val="0"/>
      <w:divBdr>
        <w:top w:val="none" w:sz="0" w:space="0" w:color="auto"/>
        <w:left w:val="none" w:sz="0" w:space="0" w:color="auto"/>
        <w:bottom w:val="none" w:sz="0" w:space="0" w:color="auto"/>
        <w:right w:val="none" w:sz="0" w:space="0" w:color="auto"/>
      </w:divBdr>
    </w:div>
    <w:div w:id="114103404">
      <w:bodyDiv w:val="1"/>
      <w:marLeft w:val="0"/>
      <w:marRight w:val="0"/>
      <w:marTop w:val="0"/>
      <w:marBottom w:val="0"/>
      <w:divBdr>
        <w:top w:val="none" w:sz="0" w:space="0" w:color="auto"/>
        <w:left w:val="none" w:sz="0" w:space="0" w:color="auto"/>
        <w:bottom w:val="none" w:sz="0" w:space="0" w:color="auto"/>
        <w:right w:val="none" w:sz="0" w:space="0" w:color="auto"/>
      </w:divBdr>
      <w:divsChild>
        <w:div w:id="1168473735">
          <w:marLeft w:val="225"/>
          <w:marRight w:val="0"/>
          <w:marTop w:val="0"/>
          <w:marBottom w:val="0"/>
          <w:divBdr>
            <w:top w:val="none" w:sz="0" w:space="0" w:color="auto"/>
            <w:left w:val="none" w:sz="0" w:space="0" w:color="auto"/>
            <w:bottom w:val="none" w:sz="0" w:space="0" w:color="auto"/>
            <w:right w:val="none" w:sz="0" w:space="0" w:color="auto"/>
          </w:divBdr>
        </w:div>
        <w:div w:id="957488572">
          <w:marLeft w:val="600"/>
          <w:marRight w:val="0"/>
          <w:marTop w:val="0"/>
          <w:marBottom w:val="0"/>
          <w:divBdr>
            <w:top w:val="none" w:sz="0" w:space="0" w:color="auto"/>
            <w:left w:val="none" w:sz="0" w:space="0" w:color="auto"/>
            <w:bottom w:val="none" w:sz="0" w:space="0" w:color="auto"/>
            <w:right w:val="none" w:sz="0" w:space="0" w:color="auto"/>
          </w:divBdr>
        </w:div>
        <w:div w:id="999650665">
          <w:marLeft w:val="225"/>
          <w:marRight w:val="0"/>
          <w:marTop w:val="0"/>
          <w:marBottom w:val="0"/>
          <w:divBdr>
            <w:top w:val="none" w:sz="0" w:space="0" w:color="auto"/>
            <w:left w:val="none" w:sz="0" w:space="0" w:color="auto"/>
            <w:bottom w:val="none" w:sz="0" w:space="0" w:color="auto"/>
            <w:right w:val="none" w:sz="0" w:space="0" w:color="auto"/>
          </w:divBdr>
        </w:div>
        <w:div w:id="1855270037">
          <w:marLeft w:val="600"/>
          <w:marRight w:val="0"/>
          <w:marTop w:val="0"/>
          <w:marBottom w:val="0"/>
          <w:divBdr>
            <w:top w:val="none" w:sz="0" w:space="0" w:color="auto"/>
            <w:left w:val="none" w:sz="0" w:space="0" w:color="auto"/>
            <w:bottom w:val="none" w:sz="0" w:space="0" w:color="auto"/>
            <w:right w:val="none" w:sz="0" w:space="0" w:color="auto"/>
          </w:divBdr>
        </w:div>
        <w:div w:id="1860046445">
          <w:marLeft w:val="225"/>
          <w:marRight w:val="0"/>
          <w:marTop w:val="0"/>
          <w:marBottom w:val="0"/>
          <w:divBdr>
            <w:top w:val="none" w:sz="0" w:space="0" w:color="auto"/>
            <w:left w:val="none" w:sz="0" w:space="0" w:color="auto"/>
            <w:bottom w:val="none" w:sz="0" w:space="0" w:color="auto"/>
            <w:right w:val="none" w:sz="0" w:space="0" w:color="auto"/>
          </w:divBdr>
        </w:div>
        <w:div w:id="2079478687">
          <w:marLeft w:val="600"/>
          <w:marRight w:val="0"/>
          <w:marTop w:val="0"/>
          <w:marBottom w:val="0"/>
          <w:divBdr>
            <w:top w:val="none" w:sz="0" w:space="0" w:color="auto"/>
            <w:left w:val="none" w:sz="0" w:space="0" w:color="auto"/>
            <w:bottom w:val="none" w:sz="0" w:space="0" w:color="auto"/>
            <w:right w:val="none" w:sz="0" w:space="0" w:color="auto"/>
          </w:divBdr>
        </w:div>
        <w:div w:id="498616205">
          <w:marLeft w:val="225"/>
          <w:marRight w:val="0"/>
          <w:marTop w:val="0"/>
          <w:marBottom w:val="0"/>
          <w:divBdr>
            <w:top w:val="none" w:sz="0" w:space="0" w:color="auto"/>
            <w:left w:val="none" w:sz="0" w:space="0" w:color="auto"/>
            <w:bottom w:val="none" w:sz="0" w:space="0" w:color="auto"/>
            <w:right w:val="none" w:sz="0" w:space="0" w:color="auto"/>
          </w:divBdr>
        </w:div>
        <w:div w:id="410932287">
          <w:marLeft w:val="600"/>
          <w:marRight w:val="0"/>
          <w:marTop w:val="0"/>
          <w:marBottom w:val="0"/>
          <w:divBdr>
            <w:top w:val="none" w:sz="0" w:space="0" w:color="auto"/>
            <w:left w:val="none" w:sz="0" w:space="0" w:color="auto"/>
            <w:bottom w:val="none" w:sz="0" w:space="0" w:color="auto"/>
            <w:right w:val="none" w:sz="0" w:space="0" w:color="auto"/>
          </w:divBdr>
        </w:div>
      </w:divsChild>
    </w:div>
    <w:div w:id="117915228">
      <w:bodyDiv w:val="1"/>
      <w:marLeft w:val="0"/>
      <w:marRight w:val="0"/>
      <w:marTop w:val="0"/>
      <w:marBottom w:val="0"/>
      <w:divBdr>
        <w:top w:val="none" w:sz="0" w:space="0" w:color="auto"/>
        <w:left w:val="none" w:sz="0" w:space="0" w:color="auto"/>
        <w:bottom w:val="none" w:sz="0" w:space="0" w:color="auto"/>
        <w:right w:val="none" w:sz="0" w:space="0" w:color="auto"/>
      </w:divBdr>
    </w:div>
    <w:div w:id="136998754">
      <w:bodyDiv w:val="1"/>
      <w:marLeft w:val="0"/>
      <w:marRight w:val="0"/>
      <w:marTop w:val="0"/>
      <w:marBottom w:val="0"/>
      <w:divBdr>
        <w:top w:val="none" w:sz="0" w:space="0" w:color="auto"/>
        <w:left w:val="none" w:sz="0" w:space="0" w:color="auto"/>
        <w:bottom w:val="none" w:sz="0" w:space="0" w:color="auto"/>
        <w:right w:val="none" w:sz="0" w:space="0" w:color="auto"/>
      </w:divBdr>
    </w:div>
    <w:div w:id="164781955">
      <w:bodyDiv w:val="1"/>
      <w:marLeft w:val="0"/>
      <w:marRight w:val="0"/>
      <w:marTop w:val="0"/>
      <w:marBottom w:val="0"/>
      <w:divBdr>
        <w:top w:val="none" w:sz="0" w:space="0" w:color="auto"/>
        <w:left w:val="none" w:sz="0" w:space="0" w:color="auto"/>
        <w:bottom w:val="none" w:sz="0" w:space="0" w:color="auto"/>
        <w:right w:val="none" w:sz="0" w:space="0" w:color="auto"/>
      </w:divBdr>
    </w:div>
    <w:div w:id="197743859">
      <w:bodyDiv w:val="1"/>
      <w:marLeft w:val="0"/>
      <w:marRight w:val="0"/>
      <w:marTop w:val="0"/>
      <w:marBottom w:val="0"/>
      <w:divBdr>
        <w:top w:val="none" w:sz="0" w:space="0" w:color="auto"/>
        <w:left w:val="none" w:sz="0" w:space="0" w:color="auto"/>
        <w:bottom w:val="none" w:sz="0" w:space="0" w:color="auto"/>
        <w:right w:val="none" w:sz="0" w:space="0" w:color="auto"/>
      </w:divBdr>
    </w:div>
    <w:div w:id="200094730">
      <w:bodyDiv w:val="1"/>
      <w:marLeft w:val="0"/>
      <w:marRight w:val="0"/>
      <w:marTop w:val="0"/>
      <w:marBottom w:val="0"/>
      <w:divBdr>
        <w:top w:val="none" w:sz="0" w:space="0" w:color="auto"/>
        <w:left w:val="none" w:sz="0" w:space="0" w:color="auto"/>
        <w:bottom w:val="none" w:sz="0" w:space="0" w:color="auto"/>
        <w:right w:val="none" w:sz="0" w:space="0" w:color="auto"/>
      </w:divBdr>
    </w:div>
    <w:div w:id="207105062">
      <w:bodyDiv w:val="1"/>
      <w:marLeft w:val="0"/>
      <w:marRight w:val="0"/>
      <w:marTop w:val="0"/>
      <w:marBottom w:val="0"/>
      <w:divBdr>
        <w:top w:val="none" w:sz="0" w:space="0" w:color="auto"/>
        <w:left w:val="none" w:sz="0" w:space="0" w:color="auto"/>
        <w:bottom w:val="none" w:sz="0" w:space="0" w:color="auto"/>
        <w:right w:val="none" w:sz="0" w:space="0" w:color="auto"/>
      </w:divBdr>
      <w:divsChild>
        <w:div w:id="968827249">
          <w:marLeft w:val="0"/>
          <w:marRight w:val="0"/>
          <w:marTop w:val="0"/>
          <w:marBottom w:val="0"/>
          <w:divBdr>
            <w:top w:val="none" w:sz="0" w:space="0" w:color="auto"/>
            <w:left w:val="none" w:sz="0" w:space="0" w:color="auto"/>
            <w:bottom w:val="none" w:sz="0" w:space="0" w:color="auto"/>
            <w:right w:val="none" w:sz="0" w:space="0" w:color="auto"/>
          </w:divBdr>
        </w:div>
        <w:div w:id="2086370546">
          <w:marLeft w:val="0"/>
          <w:marRight w:val="0"/>
          <w:marTop w:val="0"/>
          <w:marBottom w:val="0"/>
          <w:divBdr>
            <w:top w:val="none" w:sz="0" w:space="0" w:color="auto"/>
            <w:left w:val="none" w:sz="0" w:space="0" w:color="auto"/>
            <w:bottom w:val="none" w:sz="0" w:space="0" w:color="auto"/>
            <w:right w:val="none" w:sz="0" w:space="0" w:color="auto"/>
          </w:divBdr>
          <w:divsChild>
            <w:div w:id="403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8466">
      <w:bodyDiv w:val="1"/>
      <w:marLeft w:val="0"/>
      <w:marRight w:val="0"/>
      <w:marTop w:val="0"/>
      <w:marBottom w:val="0"/>
      <w:divBdr>
        <w:top w:val="none" w:sz="0" w:space="0" w:color="auto"/>
        <w:left w:val="none" w:sz="0" w:space="0" w:color="auto"/>
        <w:bottom w:val="none" w:sz="0" w:space="0" w:color="auto"/>
        <w:right w:val="none" w:sz="0" w:space="0" w:color="auto"/>
      </w:divBdr>
    </w:div>
    <w:div w:id="220946153">
      <w:bodyDiv w:val="1"/>
      <w:marLeft w:val="0"/>
      <w:marRight w:val="0"/>
      <w:marTop w:val="0"/>
      <w:marBottom w:val="0"/>
      <w:divBdr>
        <w:top w:val="none" w:sz="0" w:space="0" w:color="auto"/>
        <w:left w:val="none" w:sz="0" w:space="0" w:color="auto"/>
        <w:bottom w:val="none" w:sz="0" w:space="0" w:color="auto"/>
        <w:right w:val="none" w:sz="0" w:space="0" w:color="auto"/>
      </w:divBdr>
    </w:div>
    <w:div w:id="237329019">
      <w:bodyDiv w:val="1"/>
      <w:marLeft w:val="0"/>
      <w:marRight w:val="0"/>
      <w:marTop w:val="0"/>
      <w:marBottom w:val="0"/>
      <w:divBdr>
        <w:top w:val="none" w:sz="0" w:space="0" w:color="auto"/>
        <w:left w:val="none" w:sz="0" w:space="0" w:color="auto"/>
        <w:bottom w:val="none" w:sz="0" w:space="0" w:color="auto"/>
        <w:right w:val="none" w:sz="0" w:space="0" w:color="auto"/>
      </w:divBdr>
    </w:div>
    <w:div w:id="239021650">
      <w:bodyDiv w:val="1"/>
      <w:marLeft w:val="0"/>
      <w:marRight w:val="0"/>
      <w:marTop w:val="0"/>
      <w:marBottom w:val="0"/>
      <w:divBdr>
        <w:top w:val="none" w:sz="0" w:space="0" w:color="auto"/>
        <w:left w:val="none" w:sz="0" w:space="0" w:color="auto"/>
        <w:bottom w:val="none" w:sz="0" w:space="0" w:color="auto"/>
        <w:right w:val="none" w:sz="0" w:space="0" w:color="auto"/>
      </w:divBdr>
    </w:div>
    <w:div w:id="241986533">
      <w:bodyDiv w:val="1"/>
      <w:marLeft w:val="0"/>
      <w:marRight w:val="0"/>
      <w:marTop w:val="0"/>
      <w:marBottom w:val="0"/>
      <w:divBdr>
        <w:top w:val="none" w:sz="0" w:space="0" w:color="auto"/>
        <w:left w:val="none" w:sz="0" w:space="0" w:color="auto"/>
        <w:bottom w:val="none" w:sz="0" w:space="0" w:color="auto"/>
        <w:right w:val="none" w:sz="0" w:space="0" w:color="auto"/>
      </w:divBdr>
    </w:div>
    <w:div w:id="248119962">
      <w:bodyDiv w:val="1"/>
      <w:marLeft w:val="0"/>
      <w:marRight w:val="0"/>
      <w:marTop w:val="0"/>
      <w:marBottom w:val="0"/>
      <w:divBdr>
        <w:top w:val="none" w:sz="0" w:space="0" w:color="auto"/>
        <w:left w:val="none" w:sz="0" w:space="0" w:color="auto"/>
        <w:bottom w:val="none" w:sz="0" w:space="0" w:color="auto"/>
        <w:right w:val="none" w:sz="0" w:space="0" w:color="auto"/>
      </w:divBdr>
    </w:div>
    <w:div w:id="248850060">
      <w:bodyDiv w:val="1"/>
      <w:marLeft w:val="0"/>
      <w:marRight w:val="0"/>
      <w:marTop w:val="0"/>
      <w:marBottom w:val="0"/>
      <w:divBdr>
        <w:top w:val="none" w:sz="0" w:space="0" w:color="auto"/>
        <w:left w:val="none" w:sz="0" w:space="0" w:color="auto"/>
        <w:bottom w:val="none" w:sz="0" w:space="0" w:color="auto"/>
        <w:right w:val="none" w:sz="0" w:space="0" w:color="auto"/>
      </w:divBdr>
    </w:div>
    <w:div w:id="265309537">
      <w:bodyDiv w:val="1"/>
      <w:marLeft w:val="0"/>
      <w:marRight w:val="0"/>
      <w:marTop w:val="0"/>
      <w:marBottom w:val="0"/>
      <w:divBdr>
        <w:top w:val="none" w:sz="0" w:space="0" w:color="auto"/>
        <w:left w:val="none" w:sz="0" w:space="0" w:color="auto"/>
        <w:bottom w:val="none" w:sz="0" w:space="0" w:color="auto"/>
        <w:right w:val="none" w:sz="0" w:space="0" w:color="auto"/>
      </w:divBdr>
    </w:div>
    <w:div w:id="271792330">
      <w:bodyDiv w:val="1"/>
      <w:marLeft w:val="0"/>
      <w:marRight w:val="0"/>
      <w:marTop w:val="0"/>
      <w:marBottom w:val="0"/>
      <w:divBdr>
        <w:top w:val="none" w:sz="0" w:space="0" w:color="auto"/>
        <w:left w:val="none" w:sz="0" w:space="0" w:color="auto"/>
        <w:bottom w:val="none" w:sz="0" w:space="0" w:color="auto"/>
        <w:right w:val="none" w:sz="0" w:space="0" w:color="auto"/>
      </w:divBdr>
    </w:div>
    <w:div w:id="280116489">
      <w:bodyDiv w:val="1"/>
      <w:marLeft w:val="0"/>
      <w:marRight w:val="0"/>
      <w:marTop w:val="0"/>
      <w:marBottom w:val="0"/>
      <w:divBdr>
        <w:top w:val="none" w:sz="0" w:space="0" w:color="auto"/>
        <w:left w:val="none" w:sz="0" w:space="0" w:color="auto"/>
        <w:bottom w:val="none" w:sz="0" w:space="0" w:color="auto"/>
        <w:right w:val="none" w:sz="0" w:space="0" w:color="auto"/>
      </w:divBdr>
    </w:div>
    <w:div w:id="291401182">
      <w:bodyDiv w:val="1"/>
      <w:marLeft w:val="0"/>
      <w:marRight w:val="0"/>
      <w:marTop w:val="0"/>
      <w:marBottom w:val="0"/>
      <w:divBdr>
        <w:top w:val="none" w:sz="0" w:space="0" w:color="auto"/>
        <w:left w:val="none" w:sz="0" w:space="0" w:color="auto"/>
        <w:bottom w:val="none" w:sz="0" w:space="0" w:color="auto"/>
        <w:right w:val="none" w:sz="0" w:space="0" w:color="auto"/>
      </w:divBdr>
    </w:div>
    <w:div w:id="308827498">
      <w:bodyDiv w:val="1"/>
      <w:marLeft w:val="0"/>
      <w:marRight w:val="0"/>
      <w:marTop w:val="0"/>
      <w:marBottom w:val="0"/>
      <w:divBdr>
        <w:top w:val="none" w:sz="0" w:space="0" w:color="auto"/>
        <w:left w:val="none" w:sz="0" w:space="0" w:color="auto"/>
        <w:bottom w:val="none" w:sz="0" w:space="0" w:color="auto"/>
        <w:right w:val="none" w:sz="0" w:space="0" w:color="auto"/>
      </w:divBdr>
    </w:div>
    <w:div w:id="319115787">
      <w:bodyDiv w:val="1"/>
      <w:marLeft w:val="0"/>
      <w:marRight w:val="0"/>
      <w:marTop w:val="0"/>
      <w:marBottom w:val="0"/>
      <w:divBdr>
        <w:top w:val="none" w:sz="0" w:space="0" w:color="auto"/>
        <w:left w:val="none" w:sz="0" w:space="0" w:color="auto"/>
        <w:bottom w:val="none" w:sz="0" w:space="0" w:color="auto"/>
        <w:right w:val="none" w:sz="0" w:space="0" w:color="auto"/>
      </w:divBdr>
    </w:div>
    <w:div w:id="357463648">
      <w:bodyDiv w:val="1"/>
      <w:marLeft w:val="0"/>
      <w:marRight w:val="0"/>
      <w:marTop w:val="0"/>
      <w:marBottom w:val="0"/>
      <w:divBdr>
        <w:top w:val="none" w:sz="0" w:space="0" w:color="auto"/>
        <w:left w:val="none" w:sz="0" w:space="0" w:color="auto"/>
        <w:bottom w:val="none" w:sz="0" w:space="0" w:color="auto"/>
        <w:right w:val="none" w:sz="0" w:space="0" w:color="auto"/>
      </w:divBdr>
    </w:div>
    <w:div w:id="358894683">
      <w:bodyDiv w:val="1"/>
      <w:marLeft w:val="0"/>
      <w:marRight w:val="0"/>
      <w:marTop w:val="0"/>
      <w:marBottom w:val="0"/>
      <w:divBdr>
        <w:top w:val="none" w:sz="0" w:space="0" w:color="auto"/>
        <w:left w:val="none" w:sz="0" w:space="0" w:color="auto"/>
        <w:bottom w:val="none" w:sz="0" w:space="0" w:color="auto"/>
        <w:right w:val="none" w:sz="0" w:space="0" w:color="auto"/>
      </w:divBdr>
    </w:div>
    <w:div w:id="368996546">
      <w:bodyDiv w:val="1"/>
      <w:marLeft w:val="0"/>
      <w:marRight w:val="0"/>
      <w:marTop w:val="0"/>
      <w:marBottom w:val="0"/>
      <w:divBdr>
        <w:top w:val="none" w:sz="0" w:space="0" w:color="auto"/>
        <w:left w:val="none" w:sz="0" w:space="0" w:color="auto"/>
        <w:bottom w:val="none" w:sz="0" w:space="0" w:color="auto"/>
        <w:right w:val="none" w:sz="0" w:space="0" w:color="auto"/>
      </w:divBdr>
    </w:div>
    <w:div w:id="372270579">
      <w:bodyDiv w:val="1"/>
      <w:marLeft w:val="0"/>
      <w:marRight w:val="0"/>
      <w:marTop w:val="0"/>
      <w:marBottom w:val="0"/>
      <w:divBdr>
        <w:top w:val="none" w:sz="0" w:space="0" w:color="auto"/>
        <w:left w:val="none" w:sz="0" w:space="0" w:color="auto"/>
        <w:bottom w:val="none" w:sz="0" w:space="0" w:color="auto"/>
        <w:right w:val="none" w:sz="0" w:space="0" w:color="auto"/>
      </w:divBdr>
    </w:div>
    <w:div w:id="379549034">
      <w:bodyDiv w:val="1"/>
      <w:marLeft w:val="0"/>
      <w:marRight w:val="0"/>
      <w:marTop w:val="0"/>
      <w:marBottom w:val="0"/>
      <w:divBdr>
        <w:top w:val="none" w:sz="0" w:space="0" w:color="auto"/>
        <w:left w:val="none" w:sz="0" w:space="0" w:color="auto"/>
        <w:bottom w:val="none" w:sz="0" w:space="0" w:color="auto"/>
        <w:right w:val="none" w:sz="0" w:space="0" w:color="auto"/>
      </w:divBdr>
    </w:div>
    <w:div w:id="389043065">
      <w:bodyDiv w:val="1"/>
      <w:marLeft w:val="0"/>
      <w:marRight w:val="0"/>
      <w:marTop w:val="0"/>
      <w:marBottom w:val="0"/>
      <w:divBdr>
        <w:top w:val="none" w:sz="0" w:space="0" w:color="auto"/>
        <w:left w:val="none" w:sz="0" w:space="0" w:color="auto"/>
        <w:bottom w:val="none" w:sz="0" w:space="0" w:color="auto"/>
        <w:right w:val="none" w:sz="0" w:space="0" w:color="auto"/>
      </w:divBdr>
    </w:div>
    <w:div w:id="390619416">
      <w:bodyDiv w:val="1"/>
      <w:marLeft w:val="0"/>
      <w:marRight w:val="0"/>
      <w:marTop w:val="0"/>
      <w:marBottom w:val="0"/>
      <w:divBdr>
        <w:top w:val="none" w:sz="0" w:space="0" w:color="auto"/>
        <w:left w:val="none" w:sz="0" w:space="0" w:color="auto"/>
        <w:bottom w:val="none" w:sz="0" w:space="0" w:color="auto"/>
        <w:right w:val="none" w:sz="0" w:space="0" w:color="auto"/>
      </w:divBdr>
    </w:div>
    <w:div w:id="392002211">
      <w:bodyDiv w:val="1"/>
      <w:marLeft w:val="0"/>
      <w:marRight w:val="0"/>
      <w:marTop w:val="0"/>
      <w:marBottom w:val="0"/>
      <w:divBdr>
        <w:top w:val="none" w:sz="0" w:space="0" w:color="auto"/>
        <w:left w:val="none" w:sz="0" w:space="0" w:color="auto"/>
        <w:bottom w:val="none" w:sz="0" w:space="0" w:color="auto"/>
        <w:right w:val="none" w:sz="0" w:space="0" w:color="auto"/>
      </w:divBdr>
    </w:div>
    <w:div w:id="458037538">
      <w:bodyDiv w:val="1"/>
      <w:marLeft w:val="0"/>
      <w:marRight w:val="0"/>
      <w:marTop w:val="0"/>
      <w:marBottom w:val="0"/>
      <w:divBdr>
        <w:top w:val="none" w:sz="0" w:space="0" w:color="auto"/>
        <w:left w:val="none" w:sz="0" w:space="0" w:color="auto"/>
        <w:bottom w:val="none" w:sz="0" w:space="0" w:color="auto"/>
        <w:right w:val="none" w:sz="0" w:space="0" w:color="auto"/>
      </w:divBdr>
    </w:div>
    <w:div w:id="484316673">
      <w:bodyDiv w:val="1"/>
      <w:marLeft w:val="0"/>
      <w:marRight w:val="0"/>
      <w:marTop w:val="0"/>
      <w:marBottom w:val="0"/>
      <w:divBdr>
        <w:top w:val="none" w:sz="0" w:space="0" w:color="auto"/>
        <w:left w:val="none" w:sz="0" w:space="0" w:color="auto"/>
        <w:bottom w:val="none" w:sz="0" w:space="0" w:color="auto"/>
        <w:right w:val="none" w:sz="0" w:space="0" w:color="auto"/>
      </w:divBdr>
    </w:div>
    <w:div w:id="528297597">
      <w:bodyDiv w:val="1"/>
      <w:marLeft w:val="0"/>
      <w:marRight w:val="0"/>
      <w:marTop w:val="0"/>
      <w:marBottom w:val="0"/>
      <w:divBdr>
        <w:top w:val="none" w:sz="0" w:space="0" w:color="auto"/>
        <w:left w:val="none" w:sz="0" w:space="0" w:color="auto"/>
        <w:bottom w:val="none" w:sz="0" w:space="0" w:color="auto"/>
        <w:right w:val="none" w:sz="0" w:space="0" w:color="auto"/>
      </w:divBdr>
      <w:divsChild>
        <w:div w:id="406391030">
          <w:marLeft w:val="0"/>
          <w:marRight w:val="0"/>
          <w:marTop w:val="150"/>
          <w:marBottom w:val="168"/>
          <w:divBdr>
            <w:top w:val="none" w:sz="0" w:space="0" w:color="auto"/>
            <w:left w:val="none" w:sz="0" w:space="0" w:color="auto"/>
            <w:bottom w:val="none" w:sz="0" w:space="0" w:color="auto"/>
            <w:right w:val="none" w:sz="0" w:space="0" w:color="auto"/>
          </w:divBdr>
        </w:div>
        <w:div w:id="650865820">
          <w:marLeft w:val="0"/>
          <w:marRight w:val="0"/>
          <w:marTop w:val="0"/>
          <w:marBottom w:val="0"/>
          <w:divBdr>
            <w:top w:val="none" w:sz="0" w:space="0" w:color="auto"/>
            <w:left w:val="none" w:sz="0" w:space="0" w:color="auto"/>
            <w:bottom w:val="none" w:sz="0" w:space="0" w:color="auto"/>
            <w:right w:val="none" w:sz="0" w:space="0" w:color="auto"/>
          </w:divBdr>
          <w:divsChild>
            <w:div w:id="1657103802">
              <w:marLeft w:val="255"/>
              <w:marRight w:val="0"/>
              <w:marTop w:val="0"/>
              <w:marBottom w:val="0"/>
              <w:divBdr>
                <w:top w:val="none" w:sz="0" w:space="0" w:color="auto"/>
                <w:left w:val="none" w:sz="0" w:space="0" w:color="auto"/>
                <w:bottom w:val="none" w:sz="0" w:space="0" w:color="auto"/>
                <w:right w:val="none" w:sz="0" w:space="0" w:color="auto"/>
              </w:divBdr>
            </w:div>
          </w:divsChild>
        </w:div>
        <w:div w:id="1477064516">
          <w:marLeft w:val="0"/>
          <w:marRight w:val="0"/>
          <w:marTop w:val="0"/>
          <w:marBottom w:val="0"/>
          <w:divBdr>
            <w:top w:val="none" w:sz="0" w:space="0" w:color="auto"/>
            <w:left w:val="none" w:sz="0" w:space="0" w:color="auto"/>
            <w:bottom w:val="none" w:sz="0" w:space="0" w:color="auto"/>
            <w:right w:val="none" w:sz="0" w:space="0" w:color="auto"/>
          </w:divBdr>
          <w:divsChild>
            <w:div w:id="852302822">
              <w:marLeft w:val="255"/>
              <w:marRight w:val="0"/>
              <w:marTop w:val="0"/>
              <w:marBottom w:val="0"/>
              <w:divBdr>
                <w:top w:val="none" w:sz="0" w:space="0" w:color="auto"/>
                <w:left w:val="none" w:sz="0" w:space="0" w:color="auto"/>
                <w:bottom w:val="none" w:sz="0" w:space="0" w:color="auto"/>
                <w:right w:val="none" w:sz="0" w:space="0" w:color="auto"/>
              </w:divBdr>
            </w:div>
          </w:divsChild>
        </w:div>
        <w:div w:id="699932569">
          <w:marLeft w:val="0"/>
          <w:marRight w:val="0"/>
          <w:marTop w:val="0"/>
          <w:marBottom w:val="0"/>
          <w:divBdr>
            <w:top w:val="none" w:sz="0" w:space="0" w:color="auto"/>
            <w:left w:val="none" w:sz="0" w:space="0" w:color="auto"/>
            <w:bottom w:val="none" w:sz="0" w:space="0" w:color="auto"/>
            <w:right w:val="none" w:sz="0" w:space="0" w:color="auto"/>
          </w:divBdr>
          <w:divsChild>
            <w:div w:id="1061249582">
              <w:marLeft w:val="255"/>
              <w:marRight w:val="0"/>
              <w:marTop w:val="0"/>
              <w:marBottom w:val="0"/>
              <w:divBdr>
                <w:top w:val="none" w:sz="0" w:space="0" w:color="auto"/>
                <w:left w:val="none" w:sz="0" w:space="0" w:color="auto"/>
                <w:bottom w:val="none" w:sz="0" w:space="0" w:color="auto"/>
                <w:right w:val="none" w:sz="0" w:space="0" w:color="auto"/>
              </w:divBdr>
            </w:div>
          </w:divsChild>
        </w:div>
        <w:div w:id="181168977">
          <w:marLeft w:val="0"/>
          <w:marRight w:val="0"/>
          <w:marTop w:val="0"/>
          <w:marBottom w:val="0"/>
          <w:divBdr>
            <w:top w:val="none" w:sz="0" w:space="0" w:color="auto"/>
            <w:left w:val="none" w:sz="0" w:space="0" w:color="auto"/>
            <w:bottom w:val="none" w:sz="0" w:space="0" w:color="auto"/>
            <w:right w:val="none" w:sz="0" w:space="0" w:color="auto"/>
          </w:divBdr>
          <w:divsChild>
            <w:div w:id="10922369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41359526">
      <w:bodyDiv w:val="1"/>
      <w:marLeft w:val="0"/>
      <w:marRight w:val="0"/>
      <w:marTop w:val="0"/>
      <w:marBottom w:val="0"/>
      <w:divBdr>
        <w:top w:val="none" w:sz="0" w:space="0" w:color="auto"/>
        <w:left w:val="none" w:sz="0" w:space="0" w:color="auto"/>
        <w:bottom w:val="none" w:sz="0" w:space="0" w:color="auto"/>
        <w:right w:val="none" w:sz="0" w:space="0" w:color="auto"/>
      </w:divBdr>
    </w:div>
    <w:div w:id="579028488">
      <w:bodyDiv w:val="1"/>
      <w:marLeft w:val="0"/>
      <w:marRight w:val="0"/>
      <w:marTop w:val="0"/>
      <w:marBottom w:val="0"/>
      <w:divBdr>
        <w:top w:val="none" w:sz="0" w:space="0" w:color="auto"/>
        <w:left w:val="none" w:sz="0" w:space="0" w:color="auto"/>
        <w:bottom w:val="none" w:sz="0" w:space="0" w:color="auto"/>
        <w:right w:val="none" w:sz="0" w:space="0" w:color="auto"/>
      </w:divBdr>
    </w:div>
    <w:div w:id="604461963">
      <w:bodyDiv w:val="1"/>
      <w:marLeft w:val="0"/>
      <w:marRight w:val="0"/>
      <w:marTop w:val="0"/>
      <w:marBottom w:val="0"/>
      <w:divBdr>
        <w:top w:val="none" w:sz="0" w:space="0" w:color="auto"/>
        <w:left w:val="none" w:sz="0" w:space="0" w:color="auto"/>
        <w:bottom w:val="none" w:sz="0" w:space="0" w:color="auto"/>
        <w:right w:val="none" w:sz="0" w:space="0" w:color="auto"/>
      </w:divBdr>
    </w:div>
    <w:div w:id="605582729">
      <w:bodyDiv w:val="1"/>
      <w:marLeft w:val="0"/>
      <w:marRight w:val="0"/>
      <w:marTop w:val="0"/>
      <w:marBottom w:val="0"/>
      <w:divBdr>
        <w:top w:val="none" w:sz="0" w:space="0" w:color="auto"/>
        <w:left w:val="none" w:sz="0" w:space="0" w:color="auto"/>
        <w:bottom w:val="none" w:sz="0" w:space="0" w:color="auto"/>
        <w:right w:val="none" w:sz="0" w:space="0" w:color="auto"/>
      </w:divBdr>
    </w:div>
    <w:div w:id="622419580">
      <w:bodyDiv w:val="1"/>
      <w:marLeft w:val="0"/>
      <w:marRight w:val="0"/>
      <w:marTop w:val="0"/>
      <w:marBottom w:val="0"/>
      <w:divBdr>
        <w:top w:val="none" w:sz="0" w:space="0" w:color="auto"/>
        <w:left w:val="none" w:sz="0" w:space="0" w:color="auto"/>
        <w:bottom w:val="none" w:sz="0" w:space="0" w:color="auto"/>
        <w:right w:val="none" w:sz="0" w:space="0" w:color="auto"/>
      </w:divBdr>
    </w:div>
    <w:div w:id="657732145">
      <w:bodyDiv w:val="1"/>
      <w:marLeft w:val="0"/>
      <w:marRight w:val="0"/>
      <w:marTop w:val="0"/>
      <w:marBottom w:val="0"/>
      <w:divBdr>
        <w:top w:val="none" w:sz="0" w:space="0" w:color="auto"/>
        <w:left w:val="none" w:sz="0" w:space="0" w:color="auto"/>
        <w:bottom w:val="none" w:sz="0" w:space="0" w:color="auto"/>
        <w:right w:val="none" w:sz="0" w:space="0" w:color="auto"/>
      </w:divBdr>
    </w:div>
    <w:div w:id="669990621">
      <w:bodyDiv w:val="1"/>
      <w:marLeft w:val="0"/>
      <w:marRight w:val="0"/>
      <w:marTop w:val="0"/>
      <w:marBottom w:val="0"/>
      <w:divBdr>
        <w:top w:val="none" w:sz="0" w:space="0" w:color="auto"/>
        <w:left w:val="none" w:sz="0" w:space="0" w:color="auto"/>
        <w:bottom w:val="none" w:sz="0" w:space="0" w:color="auto"/>
        <w:right w:val="none" w:sz="0" w:space="0" w:color="auto"/>
      </w:divBdr>
    </w:div>
    <w:div w:id="671492041">
      <w:bodyDiv w:val="1"/>
      <w:marLeft w:val="0"/>
      <w:marRight w:val="0"/>
      <w:marTop w:val="0"/>
      <w:marBottom w:val="0"/>
      <w:divBdr>
        <w:top w:val="none" w:sz="0" w:space="0" w:color="auto"/>
        <w:left w:val="none" w:sz="0" w:space="0" w:color="auto"/>
        <w:bottom w:val="none" w:sz="0" w:space="0" w:color="auto"/>
        <w:right w:val="none" w:sz="0" w:space="0" w:color="auto"/>
      </w:divBdr>
    </w:div>
    <w:div w:id="677777214">
      <w:bodyDiv w:val="1"/>
      <w:marLeft w:val="0"/>
      <w:marRight w:val="0"/>
      <w:marTop w:val="0"/>
      <w:marBottom w:val="0"/>
      <w:divBdr>
        <w:top w:val="none" w:sz="0" w:space="0" w:color="auto"/>
        <w:left w:val="none" w:sz="0" w:space="0" w:color="auto"/>
        <w:bottom w:val="none" w:sz="0" w:space="0" w:color="auto"/>
        <w:right w:val="none" w:sz="0" w:space="0" w:color="auto"/>
      </w:divBdr>
    </w:div>
    <w:div w:id="680469994">
      <w:bodyDiv w:val="1"/>
      <w:marLeft w:val="0"/>
      <w:marRight w:val="0"/>
      <w:marTop w:val="0"/>
      <w:marBottom w:val="0"/>
      <w:divBdr>
        <w:top w:val="none" w:sz="0" w:space="0" w:color="auto"/>
        <w:left w:val="none" w:sz="0" w:space="0" w:color="auto"/>
        <w:bottom w:val="none" w:sz="0" w:space="0" w:color="auto"/>
        <w:right w:val="none" w:sz="0" w:space="0" w:color="auto"/>
      </w:divBdr>
    </w:div>
    <w:div w:id="690454322">
      <w:bodyDiv w:val="1"/>
      <w:marLeft w:val="0"/>
      <w:marRight w:val="0"/>
      <w:marTop w:val="0"/>
      <w:marBottom w:val="0"/>
      <w:divBdr>
        <w:top w:val="none" w:sz="0" w:space="0" w:color="auto"/>
        <w:left w:val="none" w:sz="0" w:space="0" w:color="auto"/>
        <w:bottom w:val="none" w:sz="0" w:space="0" w:color="auto"/>
        <w:right w:val="none" w:sz="0" w:space="0" w:color="auto"/>
      </w:divBdr>
    </w:div>
    <w:div w:id="696005385">
      <w:bodyDiv w:val="1"/>
      <w:marLeft w:val="0"/>
      <w:marRight w:val="0"/>
      <w:marTop w:val="0"/>
      <w:marBottom w:val="0"/>
      <w:divBdr>
        <w:top w:val="none" w:sz="0" w:space="0" w:color="auto"/>
        <w:left w:val="none" w:sz="0" w:space="0" w:color="auto"/>
        <w:bottom w:val="none" w:sz="0" w:space="0" w:color="auto"/>
        <w:right w:val="none" w:sz="0" w:space="0" w:color="auto"/>
      </w:divBdr>
    </w:div>
    <w:div w:id="705250057">
      <w:bodyDiv w:val="1"/>
      <w:marLeft w:val="0"/>
      <w:marRight w:val="0"/>
      <w:marTop w:val="0"/>
      <w:marBottom w:val="0"/>
      <w:divBdr>
        <w:top w:val="none" w:sz="0" w:space="0" w:color="auto"/>
        <w:left w:val="none" w:sz="0" w:space="0" w:color="auto"/>
        <w:bottom w:val="none" w:sz="0" w:space="0" w:color="auto"/>
        <w:right w:val="none" w:sz="0" w:space="0" w:color="auto"/>
      </w:divBdr>
    </w:div>
    <w:div w:id="708066687">
      <w:bodyDiv w:val="1"/>
      <w:marLeft w:val="0"/>
      <w:marRight w:val="0"/>
      <w:marTop w:val="0"/>
      <w:marBottom w:val="0"/>
      <w:divBdr>
        <w:top w:val="none" w:sz="0" w:space="0" w:color="auto"/>
        <w:left w:val="none" w:sz="0" w:space="0" w:color="auto"/>
        <w:bottom w:val="none" w:sz="0" w:space="0" w:color="auto"/>
        <w:right w:val="none" w:sz="0" w:space="0" w:color="auto"/>
      </w:divBdr>
    </w:div>
    <w:div w:id="712311906">
      <w:bodyDiv w:val="1"/>
      <w:marLeft w:val="0"/>
      <w:marRight w:val="0"/>
      <w:marTop w:val="0"/>
      <w:marBottom w:val="0"/>
      <w:divBdr>
        <w:top w:val="none" w:sz="0" w:space="0" w:color="auto"/>
        <w:left w:val="none" w:sz="0" w:space="0" w:color="auto"/>
        <w:bottom w:val="none" w:sz="0" w:space="0" w:color="auto"/>
        <w:right w:val="none" w:sz="0" w:space="0" w:color="auto"/>
      </w:divBdr>
    </w:div>
    <w:div w:id="737023376">
      <w:bodyDiv w:val="1"/>
      <w:marLeft w:val="0"/>
      <w:marRight w:val="0"/>
      <w:marTop w:val="0"/>
      <w:marBottom w:val="0"/>
      <w:divBdr>
        <w:top w:val="none" w:sz="0" w:space="0" w:color="auto"/>
        <w:left w:val="none" w:sz="0" w:space="0" w:color="auto"/>
        <w:bottom w:val="none" w:sz="0" w:space="0" w:color="auto"/>
        <w:right w:val="none" w:sz="0" w:space="0" w:color="auto"/>
      </w:divBdr>
    </w:div>
    <w:div w:id="751246096">
      <w:bodyDiv w:val="1"/>
      <w:marLeft w:val="0"/>
      <w:marRight w:val="0"/>
      <w:marTop w:val="0"/>
      <w:marBottom w:val="0"/>
      <w:divBdr>
        <w:top w:val="none" w:sz="0" w:space="0" w:color="auto"/>
        <w:left w:val="none" w:sz="0" w:space="0" w:color="auto"/>
        <w:bottom w:val="none" w:sz="0" w:space="0" w:color="auto"/>
        <w:right w:val="none" w:sz="0" w:space="0" w:color="auto"/>
      </w:divBdr>
    </w:div>
    <w:div w:id="757286208">
      <w:bodyDiv w:val="1"/>
      <w:marLeft w:val="0"/>
      <w:marRight w:val="0"/>
      <w:marTop w:val="0"/>
      <w:marBottom w:val="0"/>
      <w:divBdr>
        <w:top w:val="none" w:sz="0" w:space="0" w:color="auto"/>
        <w:left w:val="none" w:sz="0" w:space="0" w:color="auto"/>
        <w:bottom w:val="none" w:sz="0" w:space="0" w:color="auto"/>
        <w:right w:val="none" w:sz="0" w:space="0" w:color="auto"/>
      </w:divBdr>
    </w:div>
    <w:div w:id="763651572">
      <w:bodyDiv w:val="1"/>
      <w:marLeft w:val="0"/>
      <w:marRight w:val="0"/>
      <w:marTop w:val="0"/>
      <w:marBottom w:val="0"/>
      <w:divBdr>
        <w:top w:val="none" w:sz="0" w:space="0" w:color="auto"/>
        <w:left w:val="none" w:sz="0" w:space="0" w:color="auto"/>
        <w:bottom w:val="none" w:sz="0" w:space="0" w:color="auto"/>
        <w:right w:val="none" w:sz="0" w:space="0" w:color="auto"/>
      </w:divBdr>
    </w:div>
    <w:div w:id="777411340">
      <w:bodyDiv w:val="1"/>
      <w:marLeft w:val="0"/>
      <w:marRight w:val="0"/>
      <w:marTop w:val="0"/>
      <w:marBottom w:val="0"/>
      <w:divBdr>
        <w:top w:val="none" w:sz="0" w:space="0" w:color="auto"/>
        <w:left w:val="none" w:sz="0" w:space="0" w:color="auto"/>
        <w:bottom w:val="none" w:sz="0" w:space="0" w:color="auto"/>
        <w:right w:val="none" w:sz="0" w:space="0" w:color="auto"/>
      </w:divBdr>
    </w:div>
    <w:div w:id="785659667">
      <w:bodyDiv w:val="1"/>
      <w:marLeft w:val="0"/>
      <w:marRight w:val="0"/>
      <w:marTop w:val="0"/>
      <w:marBottom w:val="0"/>
      <w:divBdr>
        <w:top w:val="none" w:sz="0" w:space="0" w:color="auto"/>
        <w:left w:val="none" w:sz="0" w:space="0" w:color="auto"/>
        <w:bottom w:val="none" w:sz="0" w:space="0" w:color="auto"/>
        <w:right w:val="none" w:sz="0" w:space="0" w:color="auto"/>
      </w:divBdr>
    </w:div>
    <w:div w:id="786313415">
      <w:bodyDiv w:val="1"/>
      <w:marLeft w:val="0"/>
      <w:marRight w:val="0"/>
      <w:marTop w:val="0"/>
      <w:marBottom w:val="0"/>
      <w:divBdr>
        <w:top w:val="none" w:sz="0" w:space="0" w:color="auto"/>
        <w:left w:val="none" w:sz="0" w:space="0" w:color="auto"/>
        <w:bottom w:val="none" w:sz="0" w:space="0" w:color="auto"/>
        <w:right w:val="none" w:sz="0" w:space="0" w:color="auto"/>
      </w:divBdr>
    </w:div>
    <w:div w:id="786774632">
      <w:bodyDiv w:val="1"/>
      <w:marLeft w:val="0"/>
      <w:marRight w:val="0"/>
      <w:marTop w:val="0"/>
      <w:marBottom w:val="0"/>
      <w:divBdr>
        <w:top w:val="none" w:sz="0" w:space="0" w:color="auto"/>
        <w:left w:val="none" w:sz="0" w:space="0" w:color="auto"/>
        <w:bottom w:val="none" w:sz="0" w:space="0" w:color="auto"/>
        <w:right w:val="none" w:sz="0" w:space="0" w:color="auto"/>
      </w:divBdr>
    </w:div>
    <w:div w:id="789663311">
      <w:bodyDiv w:val="1"/>
      <w:marLeft w:val="0"/>
      <w:marRight w:val="0"/>
      <w:marTop w:val="0"/>
      <w:marBottom w:val="0"/>
      <w:divBdr>
        <w:top w:val="none" w:sz="0" w:space="0" w:color="auto"/>
        <w:left w:val="none" w:sz="0" w:space="0" w:color="auto"/>
        <w:bottom w:val="none" w:sz="0" w:space="0" w:color="auto"/>
        <w:right w:val="none" w:sz="0" w:space="0" w:color="auto"/>
      </w:divBdr>
    </w:div>
    <w:div w:id="793132778">
      <w:bodyDiv w:val="1"/>
      <w:marLeft w:val="0"/>
      <w:marRight w:val="0"/>
      <w:marTop w:val="0"/>
      <w:marBottom w:val="0"/>
      <w:divBdr>
        <w:top w:val="none" w:sz="0" w:space="0" w:color="auto"/>
        <w:left w:val="none" w:sz="0" w:space="0" w:color="auto"/>
        <w:bottom w:val="none" w:sz="0" w:space="0" w:color="auto"/>
        <w:right w:val="none" w:sz="0" w:space="0" w:color="auto"/>
      </w:divBdr>
    </w:div>
    <w:div w:id="801731277">
      <w:bodyDiv w:val="1"/>
      <w:marLeft w:val="0"/>
      <w:marRight w:val="0"/>
      <w:marTop w:val="0"/>
      <w:marBottom w:val="0"/>
      <w:divBdr>
        <w:top w:val="none" w:sz="0" w:space="0" w:color="auto"/>
        <w:left w:val="none" w:sz="0" w:space="0" w:color="auto"/>
        <w:bottom w:val="none" w:sz="0" w:space="0" w:color="auto"/>
        <w:right w:val="none" w:sz="0" w:space="0" w:color="auto"/>
      </w:divBdr>
    </w:div>
    <w:div w:id="808136082">
      <w:bodyDiv w:val="1"/>
      <w:marLeft w:val="0"/>
      <w:marRight w:val="0"/>
      <w:marTop w:val="0"/>
      <w:marBottom w:val="0"/>
      <w:divBdr>
        <w:top w:val="none" w:sz="0" w:space="0" w:color="auto"/>
        <w:left w:val="none" w:sz="0" w:space="0" w:color="auto"/>
        <w:bottom w:val="none" w:sz="0" w:space="0" w:color="auto"/>
        <w:right w:val="none" w:sz="0" w:space="0" w:color="auto"/>
      </w:divBdr>
    </w:div>
    <w:div w:id="849877046">
      <w:bodyDiv w:val="1"/>
      <w:marLeft w:val="0"/>
      <w:marRight w:val="0"/>
      <w:marTop w:val="0"/>
      <w:marBottom w:val="0"/>
      <w:divBdr>
        <w:top w:val="none" w:sz="0" w:space="0" w:color="auto"/>
        <w:left w:val="none" w:sz="0" w:space="0" w:color="auto"/>
        <w:bottom w:val="none" w:sz="0" w:space="0" w:color="auto"/>
        <w:right w:val="none" w:sz="0" w:space="0" w:color="auto"/>
      </w:divBdr>
    </w:div>
    <w:div w:id="851648222">
      <w:bodyDiv w:val="1"/>
      <w:marLeft w:val="0"/>
      <w:marRight w:val="0"/>
      <w:marTop w:val="0"/>
      <w:marBottom w:val="0"/>
      <w:divBdr>
        <w:top w:val="none" w:sz="0" w:space="0" w:color="auto"/>
        <w:left w:val="none" w:sz="0" w:space="0" w:color="auto"/>
        <w:bottom w:val="none" w:sz="0" w:space="0" w:color="auto"/>
        <w:right w:val="none" w:sz="0" w:space="0" w:color="auto"/>
      </w:divBdr>
    </w:div>
    <w:div w:id="856041620">
      <w:bodyDiv w:val="1"/>
      <w:marLeft w:val="0"/>
      <w:marRight w:val="0"/>
      <w:marTop w:val="0"/>
      <w:marBottom w:val="0"/>
      <w:divBdr>
        <w:top w:val="none" w:sz="0" w:space="0" w:color="auto"/>
        <w:left w:val="none" w:sz="0" w:space="0" w:color="auto"/>
        <w:bottom w:val="none" w:sz="0" w:space="0" w:color="auto"/>
        <w:right w:val="none" w:sz="0" w:space="0" w:color="auto"/>
      </w:divBdr>
    </w:div>
    <w:div w:id="856701231">
      <w:bodyDiv w:val="1"/>
      <w:marLeft w:val="0"/>
      <w:marRight w:val="0"/>
      <w:marTop w:val="0"/>
      <w:marBottom w:val="0"/>
      <w:divBdr>
        <w:top w:val="none" w:sz="0" w:space="0" w:color="auto"/>
        <w:left w:val="none" w:sz="0" w:space="0" w:color="auto"/>
        <w:bottom w:val="none" w:sz="0" w:space="0" w:color="auto"/>
        <w:right w:val="none" w:sz="0" w:space="0" w:color="auto"/>
      </w:divBdr>
    </w:div>
    <w:div w:id="877669235">
      <w:bodyDiv w:val="1"/>
      <w:marLeft w:val="0"/>
      <w:marRight w:val="0"/>
      <w:marTop w:val="0"/>
      <w:marBottom w:val="0"/>
      <w:divBdr>
        <w:top w:val="none" w:sz="0" w:space="0" w:color="auto"/>
        <w:left w:val="none" w:sz="0" w:space="0" w:color="auto"/>
        <w:bottom w:val="none" w:sz="0" w:space="0" w:color="auto"/>
        <w:right w:val="none" w:sz="0" w:space="0" w:color="auto"/>
      </w:divBdr>
    </w:div>
    <w:div w:id="881287407">
      <w:bodyDiv w:val="1"/>
      <w:marLeft w:val="0"/>
      <w:marRight w:val="0"/>
      <w:marTop w:val="0"/>
      <w:marBottom w:val="0"/>
      <w:divBdr>
        <w:top w:val="none" w:sz="0" w:space="0" w:color="auto"/>
        <w:left w:val="none" w:sz="0" w:space="0" w:color="auto"/>
        <w:bottom w:val="none" w:sz="0" w:space="0" w:color="auto"/>
        <w:right w:val="none" w:sz="0" w:space="0" w:color="auto"/>
      </w:divBdr>
    </w:div>
    <w:div w:id="881333439">
      <w:bodyDiv w:val="1"/>
      <w:marLeft w:val="0"/>
      <w:marRight w:val="0"/>
      <w:marTop w:val="0"/>
      <w:marBottom w:val="0"/>
      <w:divBdr>
        <w:top w:val="none" w:sz="0" w:space="0" w:color="auto"/>
        <w:left w:val="none" w:sz="0" w:space="0" w:color="auto"/>
        <w:bottom w:val="none" w:sz="0" w:space="0" w:color="auto"/>
        <w:right w:val="none" w:sz="0" w:space="0" w:color="auto"/>
      </w:divBdr>
    </w:div>
    <w:div w:id="881405074">
      <w:bodyDiv w:val="1"/>
      <w:marLeft w:val="0"/>
      <w:marRight w:val="0"/>
      <w:marTop w:val="0"/>
      <w:marBottom w:val="0"/>
      <w:divBdr>
        <w:top w:val="none" w:sz="0" w:space="0" w:color="auto"/>
        <w:left w:val="none" w:sz="0" w:space="0" w:color="auto"/>
        <w:bottom w:val="none" w:sz="0" w:space="0" w:color="auto"/>
        <w:right w:val="none" w:sz="0" w:space="0" w:color="auto"/>
      </w:divBdr>
    </w:div>
    <w:div w:id="888885034">
      <w:bodyDiv w:val="1"/>
      <w:marLeft w:val="0"/>
      <w:marRight w:val="0"/>
      <w:marTop w:val="0"/>
      <w:marBottom w:val="0"/>
      <w:divBdr>
        <w:top w:val="none" w:sz="0" w:space="0" w:color="auto"/>
        <w:left w:val="none" w:sz="0" w:space="0" w:color="auto"/>
        <w:bottom w:val="none" w:sz="0" w:space="0" w:color="auto"/>
        <w:right w:val="none" w:sz="0" w:space="0" w:color="auto"/>
      </w:divBdr>
    </w:div>
    <w:div w:id="890190809">
      <w:bodyDiv w:val="1"/>
      <w:marLeft w:val="0"/>
      <w:marRight w:val="0"/>
      <w:marTop w:val="0"/>
      <w:marBottom w:val="0"/>
      <w:divBdr>
        <w:top w:val="none" w:sz="0" w:space="0" w:color="auto"/>
        <w:left w:val="none" w:sz="0" w:space="0" w:color="auto"/>
        <w:bottom w:val="none" w:sz="0" w:space="0" w:color="auto"/>
        <w:right w:val="none" w:sz="0" w:space="0" w:color="auto"/>
      </w:divBdr>
    </w:div>
    <w:div w:id="900481179">
      <w:bodyDiv w:val="1"/>
      <w:marLeft w:val="0"/>
      <w:marRight w:val="0"/>
      <w:marTop w:val="0"/>
      <w:marBottom w:val="0"/>
      <w:divBdr>
        <w:top w:val="none" w:sz="0" w:space="0" w:color="auto"/>
        <w:left w:val="none" w:sz="0" w:space="0" w:color="auto"/>
        <w:bottom w:val="none" w:sz="0" w:space="0" w:color="auto"/>
        <w:right w:val="none" w:sz="0" w:space="0" w:color="auto"/>
      </w:divBdr>
    </w:div>
    <w:div w:id="911550008">
      <w:bodyDiv w:val="1"/>
      <w:marLeft w:val="0"/>
      <w:marRight w:val="0"/>
      <w:marTop w:val="0"/>
      <w:marBottom w:val="0"/>
      <w:divBdr>
        <w:top w:val="none" w:sz="0" w:space="0" w:color="auto"/>
        <w:left w:val="none" w:sz="0" w:space="0" w:color="auto"/>
        <w:bottom w:val="none" w:sz="0" w:space="0" w:color="auto"/>
        <w:right w:val="none" w:sz="0" w:space="0" w:color="auto"/>
      </w:divBdr>
    </w:div>
    <w:div w:id="946696913">
      <w:bodyDiv w:val="1"/>
      <w:marLeft w:val="0"/>
      <w:marRight w:val="0"/>
      <w:marTop w:val="0"/>
      <w:marBottom w:val="0"/>
      <w:divBdr>
        <w:top w:val="none" w:sz="0" w:space="0" w:color="auto"/>
        <w:left w:val="none" w:sz="0" w:space="0" w:color="auto"/>
        <w:bottom w:val="none" w:sz="0" w:space="0" w:color="auto"/>
        <w:right w:val="none" w:sz="0" w:space="0" w:color="auto"/>
      </w:divBdr>
    </w:div>
    <w:div w:id="947353242">
      <w:bodyDiv w:val="1"/>
      <w:marLeft w:val="0"/>
      <w:marRight w:val="0"/>
      <w:marTop w:val="0"/>
      <w:marBottom w:val="0"/>
      <w:divBdr>
        <w:top w:val="none" w:sz="0" w:space="0" w:color="auto"/>
        <w:left w:val="none" w:sz="0" w:space="0" w:color="auto"/>
        <w:bottom w:val="none" w:sz="0" w:space="0" w:color="auto"/>
        <w:right w:val="none" w:sz="0" w:space="0" w:color="auto"/>
      </w:divBdr>
    </w:div>
    <w:div w:id="969365012">
      <w:bodyDiv w:val="1"/>
      <w:marLeft w:val="0"/>
      <w:marRight w:val="0"/>
      <w:marTop w:val="0"/>
      <w:marBottom w:val="0"/>
      <w:divBdr>
        <w:top w:val="none" w:sz="0" w:space="0" w:color="auto"/>
        <w:left w:val="none" w:sz="0" w:space="0" w:color="auto"/>
        <w:bottom w:val="none" w:sz="0" w:space="0" w:color="auto"/>
        <w:right w:val="none" w:sz="0" w:space="0" w:color="auto"/>
      </w:divBdr>
    </w:div>
    <w:div w:id="975335730">
      <w:bodyDiv w:val="1"/>
      <w:marLeft w:val="0"/>
      <w:marRight w:val="0"/>
      <w:marTop w:val="0"/>
      <w:marBottom w:val="0"/>
      <w:divBdr>
        <w:top w:val="none" w:sz="0" w:space="0" w:color="auto"/>
        <w:left w:val="none" w:sz="0" w:space="0" w:color="auto"/>
        <w:bottom w:val="none" w:sz="0" w:space="0" w:color="auto"/>
        <w:right w:val="none" w:sz="0" w:space="0" w:color="auto"/>
      </w:divBdr>
    </w:div>
    <w:div w:id="981931092">
      <w:bodyDiv w:val="1"/>
      <w:marLeft w:val="0"/>
      <w:marRight w:val="0"/>
      <w:marTop w:val="0"/>
      <w:marBottom w:val="0"/>
      <w:divBdr>
        <w:top w:val="none" w:sz="0" w:space="0" w:color="auto"/>
        <w:left w:val="none" w:sz="0" w:space="0" w:color="auto"/>
        <w:bottom w:val="none" w:sz="0" w:space="0" w:color="auto"/>
        <w:right w:val="none" w:sz="0" w:space="0" w:color="auto"/>
      </w:divBdr>
    </w:div>
    <w:div w:id="988748097">
      <w:bodyDiv w:val="1"/>
      <w:marLeft w:val="0"/>
      <w:marRight w:val="0"/>
      <w:marTop w:val="0"/>
      <w:marBottom w:val="0"/>
      <w:divBdr>
        <w:top w:val="none" w:sz="0" w:space="0" w:color="auto"/>
        <w:left w:val="none" w:sz="0" w:space="0" w:color="auto"/>
        <w:bottom w:val="none" w:sz="0" w:space="0" w:color="auto"/>
        <w:right w:val="none" w:sz="0" w:space="0" w:color="auto"/>
      </w:divBdr>
    </w:div>
    <w:div w:id="994183921">
      <w:bodyDiv w:val="1"/>
      <w:marLeft w:val="0"/>
      <w:marRight w:val="0"/>
      <w:marTop w:val="0"/>
      <w:marBottom w:val="0"/>
      <w:divBdr>
        <w:top w:val="none" w:sz="0" w:space="0" w:color="auto"/>
        <w:left w:val="none" w:sz="0" w:space="0" w:color="auto"/>
        <w:bottom w:val="none" w:sz="0" w:space="0" w:color="auto"/>
        <w:right w:val="none" w:sz="0" w:space="0" w:color="auto"/>
      </w:divBdr>
    </w:div>
    <w:div w:id="1010912883">
      <w:bodyDiv w:val="1"/>
      <w:marLeft w:val="0"/>
      <w:marRight w:val="0"/>
      <w:marTop w:val="0"/>
      <w:marBottom w:val="0"/>
      <w:divBdr>
        <w:top w:val="none" w:sz="0" w:space="0" w:color="auto"/>
        <w:left w:val="none" w:sz="0" w:space="0" w:color="auto"/>
        <w:bottom w:val="none" w:sz="0" w:space="0" w:color="auto"/>
        <w:right w:val="none" w:sz="0" w:space="0" w:color="auto"/>
      </w:divBdr>
    </w:div>
    <w:div w:id="1026904829">
      <w:bodyDiv w:val="1"/>
      <w:marLeft w:val="0"/>
      <w:marRight w:val="0"/>
      <w:marTop w:val="0"/>
      <w:marBottom w:val="0"/>
      <w:divBdr>
        <w:top w:val="none" w:sz="0" w:space="0" w:color="auto"/>
        <w:left w:val="none" w:sz="0" w:space="0" w:color="auto"/>
        <w:bottom w:val="none" w:sz="0" w:space="0" w:color="auto"/>
        <w:right w:val="none" w:sz="0" w:space="0" w:color="auto"/>
      </w:divBdr>
    </w:div>
    <w:div w:id="1035304638">
      <w:bodyDiv w:val="1"/>
      <w:marLeft w:val="0"/>
      <w:marRight w:val="0"/>
      <w:marTop w:val="0"/>
      <w:marBottom w:val="0"/>
      <w:divBdr>
        <w:top w:val="none" w:sz="0" w:space="0" w:color="auto"/>
        <w:left w:val="none" w:sz="0" w:space="0" w:color="auto"/>
        <w:bottom w:val="none" w:sz="0" w:space="0" w:color="auto"/>
        <w:right w:val="none" w:sz="0" w:space="0" w:color="auto"/>
      </w:divBdr>
    </w:div>
    <w:div w:id="1093824189">
      <w:bodyDiv w:val="1"/>
      <w:marLeft w:val="0"/>
      <w:marRight w:val="0"/>
      <w:marTop w:val="0"/>
      <w:marBottom w:val="0"/>
      <w:divBdr>
        <w:top w:val="none" w:sz="0" w:space="0" w:color="auto"/>
        <w:left w:val="none" w:sz="0" w:space="0" w:color="auto"/>
        <w:bottom w:val="none" w:sz="0" w:space="0" w:color="auto"/>
        <w:right w:val="none" w:sz="0" w:space="0" w:color="auto"/>
      </w:divBdr>
    </w:div>
    <w:div w:id="1096751600">
      <w:bodyDiv w:val="1"/>
      <w:marLeft w:val="0"/>
      <w:marRight w:val="0"/>
      <w:marTop w:val="0"/>
      <w:marBottom w:val="0"/>
      <w:divBdr>
        <w:top w:val="none" w:sz="0" w:space="0" w:color="auto"/>
        <w:left w:val="none" w:sz="0" w:space="0" w:color="auto"/>
        <w:bottom w:val="none" w:sz="0" w:space="0" w:color="auto"/>
        <w:right w:val="none" w:sz="0" w:space="0" w:color="auto"/>
      </w:divBdr>
    </w:div>
    <w:div w:id="1103918850">
      <w:bodyDiv w:val="1"/>
      <w:marLeft w:val="0"/>
      <w:marRight w:val="0"/>
      <w:marTop w:val="0"/>
      <w:marBottom w:val="0"/>
      <w:divBdr>
        <w:top w:val="none" w:sz="0" w:space="0" w:color="auto"/>
        <w:left w:val="none" w:sz="0" w:space="0" w:color="auto"/>
        <w:bottom w:val="none" w:sz="0" w:space="0" w:color="auto"/>
        <w:right w:val="none" w:sz="0" w:space="0" w:color="auto"/>
      </w:divBdr>
    </w:div>
    <w:div w:id="1120689215">
      <w:bodyDiv w:val="1"/>
      <w:marLeft w:val="0"/>
      <w:marRight w:val="0"/>
      <w:marTop w:val="0"/>
      <w:marBottom w:val="0"/>
      <w:divBdr>
        <w:top w:val="none" w:sz="0" w:space="0" w:color="auto"/>
        <w:left w:val="none" w:sz="0" w:space="0" w:color="auto"/>
        <w:bottom w:val="none" w:sz="0" w:space="0" w:color="auto"/>
        <w:right w:val="none" w:sz="0" w:space="0" w:color="auto"/>
      </w:divBdr>
    </w:div>
    <w:div w:id="1144010900">
      <w:bodyDiv w:val="1"/>
      <w:marLeft w:val="0"/>
      <w:marRight w:val="0"/>
      <w:marTop w:val="0"/>
      <w:marBottom w:val="0"/>
      <w:divBdr>
        <w:top w:val="none" w:sz="0" w:space="0" w:color="auto"/>
        <w:left w:val="none" w:sz="0" w:space="0" w:color="auto"/>
        <w:bottom w:val="none" w:sz="0" w:space="0" w:color="auto"/>
        <w:right w:val="none" w:sz="0" w:space="0" w:color="auto"/>
      </w:divBdr>
    </w:div>
    <w:div w:id="1161429444">
      <w:bodyDiv w:val="1"/>
      <w:marLeft w:val="0"/>
      <w:marRight w:val="0"/>
      <w:marTop w:val="0"/>
      <w:marBottom w:val="0"/>
      <w:divBdr>
        <w:top w:val="none" w:sz="0" w:space="0" w:color="auto"/>
        <w:left w:val="none" w:sz="0" w:space="0" w:color="auto"/>
        <w:bottom w:val="none" w:sz="0" w:space="0" w:color="auto"/>
        <w:right w:val="none" w:sz="0" w:space="0" w:color="auto"/>
      </w:divBdr>
    </w:div>
    <w:div w:id="1164931382">
      <w:bodyDiv w:val="1"/>
      <w:marLeft w:val="0"/>
      <w:marRight w:val="0"/>
      <w:marTop w:val="0"/>
      <w:marBottom w:val="0"/>
      <w:divBdr>
        <w:top w:val="none" w:sz="0" w:space="0" w:color="auto"/>
        <w:left w:val="none" w:sz="0" w:space="0" w:color="auto"/>
        <w:bottom w:val="none" w:sz="0" w:space="0" w:color="auto"/>
        <w:right w:val="none" w:sz="0" w:space="0" w:color="auto"/>
      </w:divBdr>
    </w:div>
    <w:div w:id="1203178757">
      <w:bodyDiv w:val="1"/>
      <w:marLeft w:val="0"/>
      <w:marRight w:val="0"/>
      <w:marTop w:val="0"/>
      <w:marBottom w:val="0"/>
      <w:divBdr>
        <w:top w:val="none" w:sz="0" w:space="0" w:color="auto"/>
        <w:left w:val="none" w:sz="0" w:space="0" w:color="auto"/>
        <w:bottom w:val="none" w:sz="0" w:space="0" w:color="auto"/>
        <w:right w:val="none" w:sz="0" w:space="0" w:color="auto"/>
      </w:divBdr>
    </w:div>
    <w:div w:id="1223517313">
      <w:bodyDiv w:val="1"/>
      <w:marLeft w:val="0"/>
      <w:marRight w:val="0"/>
      <w:marTop w:val="0"/>
      <w:marBottom w:val="0"/>
      <w:divBdr>
        <w:top w:val="none" w:sz="0" w:space="0" w:color="auto"/>
        <w:left w:val="none" w:sz="0" w:space="0" w:color="auto"/>
        <w:bottom w:val="none" w:sz="0" w:space="0" w:color="auto"/>
        <w:right w:val="none" w:sz="0" w:space="0" w:color="auto"/>
      </w:divBdr>
    </w:div>
    <w:div w:id="1236938346">
      <w:bodyDiv w:val="1"/>
      <w:marLeft w:val="0"/>
      <w:marRight w:val="0"/>
      <w:marTop w:val="0"/>
      <w:marBottom w:val="0"/>
      <w:divBdr>
        <w:top w:val="none" w:sz="0" w:space="0" w:color="auto"/>
        <w:left w:val="none" w:sz="0" w:space="0" w:color="auto"/>
        <w:bottom w:val="none" w:sz="0" w:space="0" w:color="auto"/>
        <w:right w:val="none" w:sz="0" w:space="0" w:color="auto"/>
      </w:divBdr>
    </w:div>
    <w:div w:id="1245843287">
      <w:bodyDiv w:val="1"/>
      <w:marLeft w:val="0"/>
      <w:marRight w:val="0"/>
      <w:marTop w:val="0"/>
      <w:marBottom w:val="0"/>
      <w:divBdr>
        <w:top w:val="none" w:sz="0" w:space="0" w:color="auto"/>
        <w:left w:val="none" w:sz="0" w:space="0" w:color="auto"/>
        <w:bottom w:val="none" w:sz="0" w:space="0" w:color="auto"/>
        <w:right w:val="none" w:sz="0" w:space="0" w:color="auto"/>
      </w:divBdr>
    </w:div>
    <w:div w:id="1248347839">
      <w:bodyDiv w:val="1"/>
      <w:marLeft w:val="0"/>
      <w:marRight w:val="0"/>
      <w:marTop w:val="0"/>
      <w:marBottom w:val="0"/>
      <w:divBdr>
        <w:top w:val="none" w:sz="0" w:space="0" w:color="auto"/>
        <w:left w:val="none" w:sz="0" w:space="0" w:color="auto"/>
        <w:bottom w:val="none" w:sz="0" w:space="0" w:color="auto"/>
        <w:right w:val="none" w:sz="0" w:space="0" w:color="auto"/>
      </w:divBdr>
    </w:div>
    <w:div w:id="1260068297">
      <w:bodyDiv w:val="1"/>
      <w:marLeft w:val="0"/>
      <w:marRight w:val="0"/>
      <w:marTop w:val="0"/>
      <w:marBottom w:val="0"/>
      <w:divBdr>
        <w:top w:val="none" w:sz="0" w:space="0" w:color="auto"/>
        <w:left w:val="none" w:sz="0" w:space="0" w:color="auto"/>
        <w:bottom w:val="none" w:sz="0" w:space="0" w:color="auto"/>
        <w:right w:val="none" w:sz="0" w:space="0" w:color="auto"/>
      </w:divBdr>
    </w:div>
    <w:div w:id="1272208330">
      <w:bodyDiv w:val="1"/>
      <w:marLeft w:val="0"/>
      <w:marRight w:val="0"/>
      <w:marTop w:val="0"/>
      <w:marBottom w:val="0"/>
      <w:divBdr>
        <w:top w:val="none" w:sz="0" w:space="0" w:color="auto"/>
        <w:left w:val="none" w:sz="0" w:space="0" w:color="auto"/>
        <w:bottom w:val="none" w:sz="0" w:space="0" w:color="auto"/>
        <w:right w:val="none" w:sz="0" w:space="0" w:color="auto"/>
      </w:divBdr>
    </w:div>
    <w:div w:id="1292710011">
      <w:bodyDiv w:val="1"/>
      <w:marLeft w:val="0"/>
      <w:marRight w:val="0"/>
      <w:marTop w:val="0"/>
      <w:marBottom w:val="0"/>
      <w:divBdr>
        <w:top w:val="none" w:sz="0" w:space="0" w:color="auto"/>
        <w:left w:val="none" w:sz="0" w:space="0" w:color="auto"/>
        <w:bottom w:val="none" w:sz="0" w:space="0" w:color="auto"/>
        <w:right w:val="none" w:sz="0" w:space="0" w:color="auto"/>
      </w:divBdr>
    </w:div>
    <w:div w:id="1326742493">
      <w:bodyDiv w:val="1"/>
      <w:marLeft w:val="0"/>
      <w:marRight w:val="0"/>
      <w:marTop w:val="0"/>
      <w:marBottom w:val="0"/>
      <w:divBdr>
        <w:top w:val="none" w:sz="0" w:space="0" w:color="auto"/>
        <w:left w:val="none" w:sz="0" w:space="0" w:color="auto"/>
        <w:bottom w:val="none" w:sz="0" w:space="0" w:color="auto"/>
        <w:right w:val="none" w:sz="0" w:space="0" w:color="auto"/>
      </w:divBdr>
    </w:div>
    <w:div w:id="1331983733">
      <w:bodyDiv w:val="1"/>
      <w:marLeft w:val="0"/>
      <w:marRight w:val="0"/>
      <w:marTop w:val="0"/>
      <w:marBottom w:val="0"/>
      <w:divBdr>
        <w:top w:val="none" w:sz="0" w:space="0" w:color="auto"/>
        <w:left w:val="none" w:sz="0" w:space="0" w:color="auto"/>
        <w:bottom w:val="none" w:sz="0" w:space="0" w:color="auto"/>
        <w:right w:val="none" w:sz="0" w:space="0" w:color="auto"/>
      </w:divBdr>
    </w:div>
    <w:div w:id="1358847745">
      <w:bodyDiv w:val="1"/>
      <w:marLeft w:val="0"/>
      <w:marRight w:val="0"/>
      <w:marTop w:val="0"/>
      <w:marBottom w:val="0"/>
      <w:divBdr>
        <w:top w:val="none" w:sz="0" w:space="0" w:color="auto"/>
        <w:left w:val="none" w:sz="0" w:space="0" w:color="auto"/>
        <w:bottom w:val="none" w:sz="0" w:space="0" w:color="auto"/>
        <w:right w:val="none" w:sz="0" w:space="0" w:color="auto"/>
      </w:divBdr>
    </w:div>
    <w:div w:id="1370688582">
      <w:bodyDiv w:val="1"/>
      <w:marLeft w:val="0"/>
      <w:marRight w:val="0"/>
      <w:marTop w:val="0"/>
      <w:marBottom w:val="0"/>
      <w:divBdr>
        <w:top w:val="none" w:sz="0" w:space="0" w:color="auto"/>
        <w:left w:val="none" w:sz="0" w:space="0" w:color="auto"/>
        <w:bottom w:val="none" w:sz="0" w:space="0" w:color="auto"/>
        <w:right w:val="none" w:sz="0" w:space="0" w:color="auto"/>
      </w:divBdr>
    </w:div>
    <w:div w:id="1387218955">
      <w:bodyDiv w:val="1"/>
      <w:marLeft w:val="0"/>
      <w:marRight w:val="0"/>
      <w:marTop w:val="0"/>
      <w:marBottom w:val="0"/>
      <w:divBdr>
        <w:top w:val="none" w:sz="0" w:space="0" w:color="auto"/>
        <w:left w:val="none" w:sz="0" w:space="0" w:color="auto"/>
        <w:bottom w:val="none" w:sz="0" w:space="0" w:color="auto"/>
        <w:right w:val="none" w:sz="0" w:space="0" w:color="auto"/>
      </w:divBdr>
    </w:div>
    <w:div w:id="1387486597">
      <w:bodyDiv w:val="1"/>
      <w:marLeft w:val="0"/>
      <w:marRight w:val="0"/>
      <w:marTop w:val="0"/>
      <w:marBottom w:val="0"/>
      <w:divBdr>
        <w:top w:val="none" w:sz="0" w:space="0" w:color="auto"/>
        <w:left w:val="none" w:sz="0" w:space="0" w:color="auto"/>
        <w:bottom w:val="none" w:sz="0" w:space="0" w:color="auto"/>
        <w:right w:val="none" w:sz="0" w:space="0" w:color="auto"/>
      </w:divBdr>
    </w:div>
    <w:div w:id="1392848953">
      <w:bodyDiv w:val="1"/>
      <w:marLeft w:val="0"/>
      <w:marRight w:val="0"/>
      <w:marTop w:val="0"/>
      <w:marBottom w:val="0"/>
      <w:divBdr>
        <w:top w:val="none" w:sz="0" w:space="0" w:color="auto"/>
        <w:left w:val="none" w:sz="0" w:space="0" w:color="auto"/>
        <w:bottom w:val="none" w:sz="0" w:space="0" w:color="auto"/>
        <w:right w:val="none" w:sz="0" w:space="0" w:color="auto"/>
      </w:divBdr>
    </w:div>
    <w:div w:id="1406417983">
      <w:bodyDiv w:val="1"/>
      <w:marLeft w:val="0"/>
      <w:marRight w:val="0"/>
      <w:marTop w:val="0"/>
      <w:marBottom w:val="0"/>
      <w:divBdr>
        <w:top w:val="none" w:sz="0" w:space="0" w:color="auto"/>
        <w:left w:val="none" w:sz="0" w:space="0" w:color="auto"/>
        <w:bottom w:val="none" w:sz="0" w:space="0" w:color="auto"/>
        <w:right w:val="none" w:sz="0" w:space="0" w:color="auto"/>
      </w:divBdr>
    </w:div>
    <w:div w:id="1410809626">
      <w:bodyDiv w:val="1"/>
      <w:marLeft w:val="0"/>
      <w:marRight w:val="0"/>
      <w:marTop w:val="0"/>
      <w:marBottom w:val="0"/>
      <w:divBdr>
        <w:top w:val="none" w:sz="0" w:space="0" w:color="auto"/>
        <w:left w:val="none" w:sz="0" w:space="0" w:color="auto"/>
        <w:bottom w:val="none" w:sz="0" w:space="0" w:color="auto"/>
        <w:right w:val="none" w:sz="0" w:space="0" w:color="auto"/>
      </w:divBdr>
    </w:div>
    <w:div w:id="1424689986">
      <w:bodyDiv w:val="1"/>
      <w:marLeft w:val="0"/>
      <w:marRight w:val="0"/>
      <w:marTop w:val="0"/>
      <w:marBottom w:val="0"/>
      <w:divBdr>
        <w:top w:val="none" w:sz="0" w:space="0" w:color="auto"/>
        <w:left w:val="none" w:sz="0" w:space="0" w:color="auto"/>
        <w:bottom w:val="none" w:sz="0" w:space="0" w:color="auto"/>
        <w:right w:val="none" w:sz="0" w:space="0" w:color="auto"/>
      </w:divBdr>
    </w:div>
    <w:div w:id="1453203736">
      <w:bodyDiv w:val="1"/>
      <w:marLeft w:val="0"/>
      <w:marRight w:val="0"/>
      <w:marTop w:val="0"/>
      <w:marBottom w:val="0"/>
      <w:divBdr>
        <w:top w:val="none" w:sz="0" w:space="0" w:color="auto"/>
        <w:left w:val="none" w:sz="0" w:space="0" w:color="auto"/>
        <w:bottom w:val="none" w:sz="0" w:space="0" w:color="auto"/>
        <w:right w:val="none" w:sz="0" w:space="0" w:color="auto"/>
      </w:divBdr>
    </w:div>
    <w:div w:id="1465849690">
      <w:bodyDiv w:val="1"/>
      <w:marLeft w:val="0"/>
      <w:marRight w:val="0"/>
      <w:marTop w:val="0"/>
      <w:marBottom w:val="0"/>
      <w:divBdr>
        <w:top w:val="none" w:sz="0" w:space="0" w:color="auto"/>
        <w:left w:val="none" w:sz="0" w:space="0" w:color="auto"/>
        <w:bottom w:val="none" w:sz="0" w:space="0" w:color="auto"/>
        <w:right w:val="none" w:sz="0" w:space="0" w:color="auto"/>
      </w:divBdr>
    </w:div>
    <w:div w:id="1487277998">
      <w:bodyDiv w:val="1"/>
      <w:marLeft w:val="0"/>
      <w:marRight w:val="0"/>
      <w:marTop w:val="0"/>
      <w:marBottom w:val="0"/>
      <w:divBdr>
        <w:top w:val="none" w:sz="0" w:space="0" w:color="auto"/>
        <w:left w:val="none" w:sz="0" w:space="0" w:color="auto"/>
        <w:bottom w:val="none" w:sz="0" w:space="0" w:color="auto"/>
        <w:right w:val="none" w:sz="0" w:space="0" w:color="auto"/>
      </w:divBdr>
    </w:div>
    <w:div w:id="1489054812">
      <w:bodyDiv w:val="1"/>
      <w:marLeft w:val="0"/>
      <w:marRight w:val="0"/>
      <w:marTop w:val="0"/>
      <w:marBottom w:val="0"/>
      <w:divBdr>
        <w:top w:val="none" w:sz="0" w:space="0" w:color="auto"/>
        <w:left w:val="none" w:sz="0" w:space="0" w:color="auto"/>
        <w:bottom w:val="none" w:sz="0" w:space="0" w:color="auto"/>
        <w:right w:val="none" w:sz="0" w:space="0" w:color="auto"/>
      </w:divBdr>
    </w:div>
    <w:div w:id="1508247492">
      <w:bodyDiv w:val="1"/>
      <w:marLeft w:val="0"/>
      <w:marRight w:val="0"/>
      <w:marTop w:val="0"/>
      <w:marBottom w:val="0"/>
      <w:divBdr>
        <w:top w:val="none" w:sz="0" w:space="0" w:color="auto"/>
        <w:left w:val="none" w:sz="0" w:space="0" w:color="auto"/>
        <w:bottom w:val="none" w:sz="0" w:space="0" w:color="auto"/>
        <w:right w:val="none" w:sz="0" w:space="0" w:color="auto"/>
      </w:divBdr>
    </w:div>
    <w:div w:id="1533617418">
      <w:bodyDiv w:val="1"/>
      <w:marLeft w:val="0"/>
      <w:marRight w:val="0"/>
      <w:marTop w:val="0"/>
      <w:marBottom w:val="0"/>
      <w:divBdr>
        <w:top w:val="none" w:sz="0" w:space="0" w:color="auto"/>
        <w:left w:val="none" w:sz="0" w:space="0" w:color="auto"/>
        <w:bottom w:val="none" w:sz="0" w:space="0" w:color="auto"/>
        <w:right w:val="none" w:sz="0" w:space="0" w:color="auto"/>
      </w:divBdr>
    </w:div>
    <w:div w:id="1537620448">
      <w:bodyDiv w:val="1"/>
      <w:marLeft w:val="0"/>
      <w:marRight w:val="0"/>
      <w:marTop w:val="0"/>
      <w:marBottom w:val="0"/>
      <w:divBdr>
        <w:top w:val="none" w:sz="0" w:space="0" w:color="auto"/>
        <w:left w:val="none" w:sz="0" w:space="0" w:color="auto"/>
        <w:bottom w:val="none" w:sz="0" w:space="0" w:color="auto"/>
        <w:right w:val="none" w:sz="0" w:space="0" w:color="auto"/>
      </w:divBdr>
    </w:div>
    <w:div w:id="1553419299">
      <w:bodyDiv w:val="1"/>
      <w:marLeft w:val="0"/>
      <w:marRight w:val="0"/>
      <w:marTop w:val="0"/>
      <w:marBottom w:val="0"/>
      <w:divBdr>
        <w:top w:val="none" w:sz="0" w:space="0" w:color="auto"/>
        <w:left w:val="none" w:sz="0" w:space="0" w:color="auto"/>
        <w:bottom w:val="none" w:sz="0" w:space="0" w:color="auto"/>
        <w:right w:val="none" w:sz="0" w:space="0" w:color="auto"/>
      </w:divBdr>
    </w:div>
    <w:div w:id="1584993073">
      <w:bodyDiv w:val="1"/>
      <w:marLeft w:val="0"/>
      <w:marRight w:val="0"/>
      <w:marTop w:val="0"/>
      <w:marBottom w:val="0"/>
      <w:divBdr>
        <w:top w:val="none" w:sz="0" w:space="0" w:color="auto"/>
        <w:left w:val="none" w:sz="0" w:space="0" w:color="auto"/>
        <w:bottom w:val="none" w:sz="0" w:space="0" w:color="auto"/>
        <w:right w:val="none" w:sz="0" w:space="0" w:color="auto"/>
      </w:divBdr>
    </w:div>
    <w:div w:id="1593508742">
      <w:bodyDiv w:val="1"/>
      <w:marLeft w:val="0"/>
      <w:marRight w:val="0"/>
      <w:marTop w:val="0"/>
      <w:marBottom w:val="0"/>
      <w:divBdr>
        <w:top w:val="none" w:sz="0" w:space="0" w:color="auto"/>
        <w:left w:val="none" w:sz="0" w:space="0" w:color="auto"/>
        <w:bottom w:val="none" w:sz="0" w:space="0" w:color="auto"/>
        <w:right w:val="none" w:sz="0" w:space="0" w:color="auto"/>
      </w:divBdr>
    </w:div>
    <w:div w:id="1607419070">
      <w:bodyDiv w:val="1"/>
      <w:marLeft w:val="0"/>
      <w:marRight w:val="0"/>
      <w:marTop w:val="0"/>
      <w:marBottom w:val="0"/>
      <w:divBdr>
        <w:top w:val="none" w:sz="0" w:space="0" w:color="auto"/>
        <w:left w:val="none" w:sz="0" w:space="0" w:color="auto"/>
        <w:bottom w:val="none" w:sz="0" w:space="0" w:color="auto"/>
        <w:right w:val="none" w:sz="0" w:space="0" w:color="auto"/>
      </w:divBdr>
    </w:div>
    <w:div w:id="1608192298">
      <w:bodyDiv w:val="1"/>
      <w:marLeft w:val="0"/>
      <w:marRight w:val="0"/>
      <w:marTop w:val="0"/>
      <w:marBottom w:val="0"/>
      <w:divBdr>
        <w:top w:val="none" w:sz="0" w:space="0" w:color="auto"/>
        <w:left w:val="none" w:sz="0" w:space="0" w:color="auto"/>
        <w:bottom w:val="none" w:sz="0" w:space="0" w:color="auto"/>
        <w:right w:val="none" w:sz="0" w:space="0" w:color="auto"/>
      </w:divBdr>
    </w:div>
    <w:div w:id="1630472999">
      <w:bodyDiv w:val="1"/>
      <w:marLeft w:val="0"/>
      <w:marRight w:val="0"/>
      <w:marTop w:val="0"/>
      <w:marBottom w:val="0"/>
      <w:divBdr>
        <w:top w:val="none" w:sz="0" w:space="0" w:color="auto"/>
        <w:left w:val="none" w:sz="0" w:space="0" w:color="auto"/>
        <w:bottom w:val="none" w:sz="0" w:space="0" w:color="auto"/>
        <w:right w:val="none" w:sz="0" w:space="0" w:color="auto"/>
      </w:divBdr>
    </w:div>
    <w:div w:id="1633319994">
      <w:bodyDiv w:val="1"/>
      <w:marLeft w:val="0"/>
      <w:marRight w:val="0"/>
      <w:marTop w:val="0"/>
      <w:marBottom w:val="0"/>
      <w:divBdr>
        <w:top w:val="none" w:sz="0" w:space="0" w:color="auto"/>
        <w:left w:val="none" w:sz="0" w:space="0" w:color="auto"/>
        <w:bottom w:val="none" w:sz="0" w:space="0" w:color="auto"/>
        <w:right w:val="none" w:sz="0" w:space="0" w:color="auto"/>
      </w:divBdr>
    </w:div>
    <w:div w:id="1643537479">
      <w:bodyDiv w:val="1"/>
      <w:marLeft w:val="0"/>
      <w:marRight w:val="0"/>
      <w:marTop w:val="0"/>
      <w:marBottom w:val="0"/>
      <w:divBdr>
        <w:top w:val="none" w:sz="0" w:space="0" w:color="auto"/>
        <w:left w:val="none" w:sz="0" w:space="0" w:color="auto"/>
        <w:bottom w:val="none" w:sz="0" w:space="0" w:color="auto"/>
        <w:right w:val="none" w:sz="0" w:space="0" w:color="auto"/>
      </w:divBdr>
    </w:div>
    <w:div w:id="1644892917">
      <w:bodyDiv w:val="1"/>
      <w:marLeft w:val="0"/>
      <w:marRight w:val="0"/>
      <w:marTop w:val="0"/>
      <w:marBottom w:val="0"/>
      <w:divBdr>
        <w:top w:val="none" w:sz="0" w:space="0" w:color="auto"/>
        <w:left w:val="none" w:sz="0" w:space="0" w:color="auto"/>
        <w:bottom w:val="none" w:sz="0" w:space="0" w:color="auto"/>
        <w:right w:val="none" w:sz="0" w:space="0" w:color="auto"/>
      </w:divBdr>
    </w:div>
    <w:div w:id="1644893987">
      <w:bodyDiv w:val="1"/>
      <w:marLeft w:val="0"/>
      <w:marRight w:val="0"/>
      <w:marTop w:val="0"/>
      <w:marBottom w:val="0"/>
      <w:divBdr>
        <w:top w:val="none" w:sz="0" w:space="0" w:color="auto"/>
        <w:left w:val="none" w:sz="0" w:space="0" w:color="auto"/>
        <w:bottom w:val="none" w:sz="0" w:space="0" w:color="auto"/>
        <w:right w:val="none" w:sz="0" w:space="0" w:color="auto"/>
      </w:divBdr>
    </w:div>
    <w:div w:id="1655065343">
      <w:bodyDiv w:val="1"/>
      <w:marLeft w:val="0"/>
      <w:marRight w:val="0"/>
      <w:marTop w:val="0"/>
      <w:marBottom w:val="0"/>
      <w:divBdr>
        <w:top w:val="none" w:sz="0" w:space="0" w:color="auto"/>
        <w:left w:val="none" w:sz="0" w:space="0" w:color="auto"/>
        <w:bottom w:val="none" w:sz="0" w:space="0" w:color="auto"/>
        <w:right w:val="none" w:sz="0" w:space="0" w:color="auto"/>
      </w:divBdr>
    </w:div>
    <w:div w:id="1657494356">
      <w:bodyDiv w:val="1"/>
      <w:marLeft w:val="0"/>
      <w:marRight w:val="0"/>
      <w:marTop w:val="0"/>
      <w:marBottom w:val="0"/>
      <w:divBdr>
        <w:top w:val="none" w:sz="0" w:space="0" w:color="auto"/>
        <w:left w:val="none" w:sz="0" w:space="0" w:color="auto"/>
        <w:bottom w:val="none" w:sz="0" w:space="0" w:color="auto"/>
        <w:right w:val="none" w:sz="0" w:space="0" w:color="auto"/>
      </w:divBdr>
    </w:div>
    <w:div w:id="1663847159">
      <w:bodyDiv w:val="1"/>
      <w:marLeft w:val="0"/>
      <w:marRight w:val="0"/>
      <w:marTop w:val="0"/>
      <w:marBottom w:val="0"/>
      <w:divBdr>
        <w:top w:val="none" w:sz="0" w:space="0" w:color="auto"/>
        <w:left w:val="none" w:sz="0" w:space="0" w:color="auto"/>
        <w:bottom w:val="none" w:sz="0" w:space="0" w:color="auto"/>
        <w:right w:val="none" w:sz="0" w:space="0" w:color="auto"/>
      </w:divBdr>
    </w:div>
    <w:div w:id="1674796254">
      <w:bodyDiv w:val="1"/>
      <w:marLeft w:val="0"/>
      <w:marRight w:val="0"/>
      <w:marTop w:val="0"/>
      <w:marBottom w:val="0"/>
      <w:divBdr>
        <w:top w:val="none" w:sz="0" w:space="0" w:color="auto"/>
        <w:left w:val="none" w:sz="0" w:space="0" w:color="auto"/>
        <w:bottom w:val="none" w:sz="0" w:space="0" w:color="auto"/>
        <w:right w:val="none" w:sz="0" w:space="0" w:color="auto"/>
      </w:divBdr>
    </w:div>
    <w:div w:id="1676568362">
      <w:bodyDiv w:val="1"/>
      <w:marLeft w:val="0"/>
      <w:marRight w:val="0"/>
      <w:marTop w:val="0"/>
      <w:marBottom w:val="0"/>
      <w:divBdr>
        <w:top w:val="none" w:sz="0" w:space="0" w:color="auto"/>
        <w:left w:val="none" w:sz="0" w:space="0" w:color="auto"/>
        <w:bottom w:val="none" w:sz="0" w:space="0" w:color="auto"/>
        <w:right w:val="none" w:sz="0" w:space="0" w:color="auto"/>
      </w:divBdr>
    </w:div>
    <w:div w:id="1701928152">
      <w:bodyDiv w:val="1"/>
      <w:marLeft w:val="0"/>
      <w:marRight w:val="0"/>
      <w:marTop w:val="0"/>
      <w:marBottom w:val="0"/>
      <w:divBdr>
        <w:top w:val="none" w:sz="0" w:space="0" w:color="auto"/>
        <w:left w:val="none" w:sz="0" w:space="0" w:color="auto"/>
        <w:bottom w:val="none" w:sz="0" w:space="0" w:color="auto"/>
        <w:right w:val="none" w:sz="0" w:space="0" w:color="auto"/>
      </w:divBdr>
    </w:div>
    <w:div w:id="1704937288">
      <w:bodyDiv w:val="1"/>
      <w:marLeft w:val="0"/>
      <w:marRight w:val="0"/>
      <w:marTop w:val="0"/>
      <w:marBottom w:val="0"/>
      <w:divBdr>
        <w:top w:val="none" w:sz="0" w:space="0" w:color="auto"/>
        <w:left w:val="none" w:sz="0" w:space="0" w:color="auto"/>
        <w:bottom w:val="none" w:sz="0" w:space="0" w:color="auto"/>
        <w:right w:val="none" w:sz="0" w:space="0" w:color="auto"/>
      </w:divBdr>
    </w:div>
    <w:div w:id="1706252651">
      <w:bodyDiv w:val="1"/>
      <w:marLeft w:val="0"/>
      <w:marRight w:val="0"/>
      <w:marTop w:val="0"/>
      <w:marBottom w:val="0"/>
      <w:divBdr>
        <w:top w:val="none" w:sz="0" w:space="0" w:color="auto"/>
        <w:left w:val="none" w:sz="0" w:space="0" w:color="auto"/>
        <w:bottom w:val="none" w:sz="0" w:space="0" w:color="auto"/>
        <w:right w:val="none" w:sz="0" w:space="0" w:color="auto"/>
      </w:divBdr>
    </w:div>
    <w:div w:id="1724984823">
      <w:bodyDiv w:val="1"/>
      <w:marLeft w:val="0"/>
      <w:marRight w:val="0"/>
      <w:marTop w:val="0"/>
      <w:marBottom w:val="0"/>
      <w:divBdr>
        <w:top w:val="none" w:sz="0" w:space="0" w:color="auto"/>
        <w:left w:val="none" w:sz="0" w:space="0" w:color="auto"/>
        <w:bottom w:val="none" w:sz="0" w:space="0" w:color="auto"/>
        <w:right w:val="none" w:sz="0" w:space="0" w:color="auto"/>
      </w:divBdr>
    </w:div>
    <w:div w:id="1731614559">
      <w:bodyDiv w:val="1"/>
      <w:marLeft w:val="0"/>
      <w:marRight w:val="0"/>
      <w:marTop w:val="0"/>
      <w:marBottom w:val="0"/>
      <w:divBdr>
        <w:top w:val="none" w:sz="0" w:space="0" w:color="auto"/>
        <w:left w:val="none" w:sz="0" w:space="0" w:color="auto"/>
        <w:bottom w:val="none" w:sz="0" w:space="0" w:color="auto"/>
        <w:right w:val="none" w:sz="0" w:space="0" w:color="auto"/>
      </w:divBdr>
    </w:div>
    <w:div w:id="1736122901">
      <w:bodyDiv w:val="1"/>
      <w:marLeft w:val="0"/>
      <w:marRight w:val="0"/>
      <w:marTop w:val="0"/>
      <w:marBottom w:val="0"/>
      <w:divBdr>
        <w:top w:val="none" w:sz="0" w:space="0" w:color="auto"/>
        <w:left w:val="none" w:sz="0" w:space="0" w:color="auto"/>
        <w:bottom w:val="none" w:sz="0" w:space="0" w:color="auto"/>
        <w:right w:val="none" w:sz="0" w:space="0" w:color="auto"/>
      </w:divBdr>
    </w:div>
    <w:div w:id="1741436814">
      <w:bodyDiv w:val="1"/>
      <w:marLeft w:val="0"/>
      <w:marRight w:val="0"/>
      <w:marTop w:val="0"/>
      <w:marBottom w:val="0"/>
      <w:divBdr>
        <w:top w:val="none" w:sz="0" w:space="0" w:color="auto"/>
        <w:left w:val="none" w:sz="0" w:space="0" w:color="auto"/>
        <w:bottom w:val="none" w:sz="0" w:space="0" w:color="auto"/>
        <w:right w:val="none" w:sz="0" w:space="0" w:color="auto"/>
      </w:divBdr>
    </w:div>
    <w:div w:id="1749035513">
      <w:bodyDiv w:val="1"/>
      <w:marLeft w:val="0"/>
      <w:marRight w:val="0"/>
      <w:marTop w:val="0"/>
      <w:marBottom w:val="0"/>
      <w:divBdr>
        <w:top w:val="none" w:sz="0" w:space="0" w:color="auto"/>
        <w:left w:val="none" w:sz="0" w:space="0" w:color="auto"/>
        <w:bottom w:val="none" w:sz="0" w:space="0" w:color="auto"/>
        <w:right w:val="none" w:sz="0" w:space="0" w:color="auto"/>
      </w:divBdr>
    </w:div>
    <w:div w:id="1754089725">
      <w:bodyDiv w:val="1"/>
      <w:marLeft w:val="0"/>
      <w:marRight w:val="0"/>
      <w:marTop w:val="0"/>
      <w:marBottom w:val="0"/>
      <w:divBdr>
        <w:top w:val="none" w:sz="0" w:space="0" w:color="auto"/>
        <w:left w:val="none" w:sz="0" w:space="0" w:color="auto"/>
        <w:bottom w:val="none" w:sz="0" w:space="0" w:color="auto"/>
        <w:right w:val="none" w:sz="0" w:space="0" w:color="auto"/>
      </w:divBdr>
    </w:div>
    <w:div w:id="1764884672">
      <w:bodyDiv w:val="1"/>
      <w:marLeft w:val="0"/>
      <w:marRight w:val="0"/>
      <w:marTop w:val="0"/>
      <w:marBottom w:val="0"/>
      <w:divBdr>
        <w:top w:val="none" w:sz="0" w:space="0" w:color="auto"/>
        <w:left w:val="none" w:sz="0" w:space="0" w:color="auto"/>
        <w:bottom w:val="none" w:sz="0" w:space="0" w:color="auto"/>
        <w:right w:val="none" w:sz="0" w:space="0" w:color="auto"/>
      </w:divBdr>
    </w:div>
    <w:div w:id="1785996148">
      <w:bodyDiv w:val="1"/>
      <w:marLeft w:val="0"/>
      <w:marRight w:val="0"/>
      <w:marTop w:val="0"/>
      <w:marBottom w:val="0"/>
      <w:divBdr>
        <w:top w:val="none" w:sz="0" w:space="0" w:color="auto"/>
        <w:left w:val="none" w:sz="0" w:space="0" w:color="auto"/>
        <w:bottom w:val="none" w:sz="0" w:space="0" w:color="auto"/>
        <w:right w:val="none" w:sz="0" w:space="0" w:color="auto"/>
      </w:divBdr>
    </w:div>
    <w:div w:id="1803189513">
      <w:bodyDiv w:val="1"/>
      <w:marLeft w:val="0"/>
      <w:marRight w:val="0"/>
      <w:marTop w:val="0"/>
      <w:marBottom w:val="0"/>
      <w:divBdr>
        <w:top w:val="none" w:sz="0" w:space="0" w:color="auto"/>
        <w:left w:val="none" w:sz="0" w:space="0" w:color="auto"/>
        <w:bottom w:val="none" w:sz="0" w:space="0" w:color="auto"/>
        <w:right w:val="none" w:sz="0" w:space="0" w:color="auto"/>
      </w:divBdr>
    </w:div>
    <w:div w:id="1804153080">
      <w:bodyDiv w:val="1"/>
      <w:marLeft w:val="0"/>
      <w:marRight w:val="0"/>
      <w:marTop w:val="0"/>
      <w:marBottom w:val="0"/>
      <w:divBdr>
        <w:top w:val="none" w:sz="0" w:space="0" w:color="auto"/>
        <w:left w:val="none" w:sz="0" w:space="0" w:color="auto"/>
        <w:bottom w:val="none" w:sz="0" w:space="0" w:color="auto"/>
        <w:right w:val="none" w:sz="0" w:space="0" w:color="auto"/>
      </w:divBdr>
    </w:div>
    <w:div w:id="1818952209">
      <w:bodyDiv w:val="1"/>
      <w:marLeft w:val="0"/>
      <w:marRight w:val="0"/>
      <w:marTop w:val="0"/>
      <w:marBottom w:val="0"/>
      <w:divBdr>
        <w:top w:val="none" w:sz="0" w:space="0" w:color="auto"/>
        <w:left w:val="none" w:sz="0" w:space="0" w:color="auto"/>
        <w:bottom w:val="none" w:sz="0" w:space="0" w:color="auto"/>
        <w:right w:val="none" w:sz="0" w:space="0" w:color="auto"/>
      </w:divBdr>
    </w:div>
    <w:div w:id="1858496223">
      <w:bodyDiv w:val="1"/>
      <w:marLeft w:val="0"/>
      <w:marRight w:val="0"/>
      <w:marTop w:val="0"/>
      <w:marBottom w:val="0"/>
      <w:divBdr>
        <w:top w:val="none" w:sz="0" w:space="0" w:color="auto"/>
        <w:left w:val="none" w:sz="0" w:space="0" w:color="auto"/>
        <w:bottom w:val="none" w:sz="0" w:space="0" w:color="auto"/>
        <w:right w:val="none" w:sz="0" w:space="0" w:color="auto"/>
      </w:divBdr>
    </w:div>
    <w:div w:id="1859156978">
      <w:bodyDiv w:val="1"/>
      <w:marLeft w:val="0"/>
      <w:marRight w:val="0"/>
      <w:marTop w:val="0"/>
      <w:marBottom w:val="0"/>
      <w:divBdr>
        <w:top w:val="none" w:sz="0" w:space="0" w:color="auto"/>
        <w:left w:val="none" w:sz="0" w:space="0" w:color="auto"/>
        <w:bottom w:val="none" w:sz="0" w:space="0" w:color="auto"/>
        <w:right w:val="none" w:sz="0" w:space="0" w:color="auto"/>
      </w:divBdr>
    </w:div>
    <w:div w:id="1860587142">
      <w:bodyDiv w:val="1"/>
      <w:marLeft w:val="0"/>
      <w:marRight w:val="0"/>
      <w:marTop w:val="0"/>
      <w:marBottom w:val="0"/>
      <w:divBdr>
        <w:top w:val="none" w:sz="0" w:space="0" w:color="auto"/>
        <w:left w:val="none" w:sz="0" w:space="0" w:color="auto"/>
        <w:bottom w:val="none" w:sz="0" w:space="0" w:color="auto"/>
        <w:right w:val="none" w:sz="0" w:space="0" w:color="auto"/>
      </w:divBdr>
    </w:div>
    <w:div w:id="1860658688">
      <w:bodyDiv w:val="1"/>
      <w:marLeft w:val="0"/>
      <w:marRight w:val="0"/>
      <w:marTop w:val="0"/>
      <w:marBottom w:val="0"/>
      <w:divBdr>
        <w:top w:val="none" w:sz="0" w:space="0" w:color="auto"/>
        <w:left w:val="none" w:sz="0" w:space="0" w:color="auto"/>
        <w:bottom w:val="none" w:sz="0" w:space="0" w:color="auto"/>
        <w:right w:val="none" w:sz="0" w:space="0" w:color="auto"/>
      </w:divBdr>
    </w:div>
    <w:div w:id="1864901918">
      <w:bodyDiv w:val="1"/>
      <w:marLeft w:val="0"/>
      <w:marRight w:val="0"/>
      <w:marTop w:val="0"/>
      <w:marBottom w:val="0"/>
      <w:divBdr>
        <w:top w:val="none" w:sz="0" w:space="0" w:color="auto"/>
        <w:left w:val="none" w:sz="0" w:space="0" w:color="auto"/>
        <w:bottom w:val="none" w:sz="0" w:space="0" w:color="auto"/>
        <w:right w:val="none" w:sz="0" w:space="0" w:color="auto"/>
      </w:divBdr>
    </w:div>
    <w:div w:id="1872574226">
      <w:bodyDiv w:val="1"/>
      <w:marLeft w:val="0"/>
      <w:marRight w:val="0"/>
      <w:marTop w:val="0"/>
      <w:marBottom w:val="0"/>
      <w:divBdr>
        <w:top w:val="none" w:sz="0" w:space="0" w:color="auto"/>
        <w:left w:val="none" w:sz="0" w:space="0" w:color="auto"/>
        <w:bottom w:val="none" w:sz="0" w:space="0" w:color="auto"/>
        <w:right w:val="none" w:sz="0" w:space="0" w:color="auto"/>
      </w:divBdr>
    </w:div>
    <w:div w:id="1888686117">
      <w:bodyDiv w:val="1"/>
      <w:marLeft w:val="0"/>
      <w:marRight w:val="0"/>
      <w:marTop w:val="0"/>
      <w:marBottom w:val="0"/>
      <w:divBdr>
        <w:top w:val="none" w:sz="0" w:space="0" w:color="auto"/>
        <w:left w:val="none" w:sz="0" w:space="0" w:color="auto"/>
        <w:bottom w:val="none" w:sz="0" w:space="0" w:color="auto"/>
        <w:right w:val="none" w:sz="0" w:space="0" w:color="auto"/>
      </w:divBdr>
    </w:div>
    <w:div w:id="1893224835">
      <w:bodyDiv w:val="1"/>
      <w:marLeft w:val="0"/>
      <w:marRight w:val="0"/>
      <w:marTop w:val="0"/>
      <w:marBottom w:val="0"/>
      <w:divBdr>
        <w:top w:val="none" w:sz="0" w:space="0" w:color="auto"/>
        <w:left w:val="none" w:sz="0" w:space="0" w:color="auto"/>
        <w:bottom w:val="none" w:sz="0" w:space="0" w:color="auto"/>
        <w:right w:val="none" w:sz="0" w:space="0" w:color="auto"/>
      </w:divBdr>
    </w:div>
    <w:div w:id="1896352790">
      <w:bodyDiv w:val="1"/>
      <w:marLeft w:val="0"/>
      <w:marRight w:val="0"/>
      <w:marTop w:val="0"/>
      <w:marBottom w:val="0"/>
      <w:divBdr>
        <w:top w:val="none" w:sz="0" w:space="0" w:color="auto"/>
        <w:left w:val="none" w:sz="0" w:space="0" w:color="auto"/>
        <w:bottom w:val="none" w:sz="0" w:space="0" w:color="auto"/>
        <w:right w:val="none" w:sz="0" w:space="0" w:color="auto"/>
      </w:divBdr>
    </w:div>
    <w:div w:id="1898127558">
      <w:bodyDiv w:val="1"/>
      <w:marLeft w:val="0"/>
      <w:marRight w:val="0"/>
      <w:marTop w:val="0"/>
      <w:marBottom w:val="0"/>
      <w:divBdr>
        <w:top w:val="none" w:sz="0" w:space="0" w:color="auto"/>
        <w:left w:val="none" w:sz="0" w:space="0" w:color="auto"/>
        <w:bottom w:val="none" w:sz="0" w:space="0" w:color="auto"/>
        <w:right w:val="none" w:sz="0" w:space="0" w:color="auto"/>
      </w:divBdr>
    </w:div>
    <w:div w:id="1913586227">
      <w:bodyDiv w:val="1"/>
      <w:marLeft w:val="0"/>
      <w:marRight w:val="0"/>
      <w:marTop w:val="0"/>
      <w:marBottom w:val="0"/>
      <w:divBdr>
        <w:top w:val="none" w:sz="0" w:space="0" w:color="auto"/>
        <w:left w:val="none" w:sz="0" w:space="0" w:color="auto"/>
        <w:bottom w:val="none" w:sz="0" w:space="0" w:color="auto"/>
        <w:right w:val="none" w:sz="0" w:space="0" w:color="auto"/>
      </w:divBdr>
    </w:div>
    <w:div w:id="1919747207">
      <w:bodyDiv w:val="1"/>
      <w:marLeft w:val="0"/>
      <w:marRight w:val="0"/>
      <w:marTop w:val="0"/>
      <w:marBottom w:val="0"/>
      <w:divBdr>
        <w:top w:val="none" w:sz="0" w:space="0" w:color="auto"/>
        <w:left w:val="none" w:sz="0" w:space="0" w:color="auto"/>
        <w:bottom w:val="none" w:sz="0" w:space="0" w:color="auto"/>
        <w:right w:val="none" w:sz="0" w:space="0" w:color="auto"/>
      </w:divBdr>
    </w:div>
    <w:div w:id="1922715700">
      <w:bodyDiv w:val="1"/>
      <w:marLeft w:val="0"/>
      <w:marRight w:val="0"/>
      <w:marTop w:val="0"/>
      <w:marBottom w:val="0"/>
      <w:divBdr>
        <w:top w:val="none" w:sz="0" w:space="0" w:color="auto"/>
        <w:left w:val="none" w:sz="0" w:space="0" w:color="auto"/>
        <w:bottom w:val="none" w:sz="0" w:space="0" w:color="auto"/>
        <w:right w:val="none" w:sz="0" w:space="0" w:color="auto"/>
      </w:divBdr>
    </w:div>
    <w:div w:id="1925189786">
      <w:bodyDiv w:val="1"/>
      <w:marLeft w:val="0"/>
      <w:marRight w:val="0"/>
      <w:marTop w:val="0"/>
      <w:marBottom w:val="0"/>
      <w:divBdr>
        <w:top w:val="none" w:sz="0" w:space="0" w:color="auto"/>
        <w:left w:val="none" w:sz="0" w:space="0" w:color="auto"/>
        <w:bottom w:val="none" w:sz="0" w:space="0" w:color="auto"/>
        <w:right w:val="none" w:sz="0" w:space="0" w:color="auto"/>
      </w:divBdr>
    </w:div>
    <w:div w:id="1929384349">
      <w:bodyDiv w:val="1"/>
      <w:marLeft w:val="0"/>
      <w:marRight w:val="0"/>
      <w:marTop w:val="0"/>
      <w:marBottom w:val="0"/>
      <w:divBdr>
        <w:top w:val="none" w:sz="0" w:space="0" w:color="auto"/>
        <w:left w:val="none" w:sz="0" w:space="0" w:color="auto"/>
        <w:bottom w:val="none" w:sz="0" w:space="0" w:color="auto"/>
        <w:right w:val="none" w:sz="0" w:space="0" w:color="auto"/>
      </w:divBdr>
    </w:div>
    <w:div w:id="1952665278">
      <w:bodyDiv w:val="1"/>
      <w:marLeft w:val="0"/>
      <w:marRight w:val="0"/>
      <w:marTop w:val="0"/>
      <w:marBottom w:val="0"/>
      <w:divBdr>
        <w:top w:val="none" w:sz="0" w:space="0" w:color="auto"/>
        <w:left w:val="none" w:sz="0" w:space="0" w:color="auto"/>
        <w:bottom w:val="none" w:sz="0" w:space="0" w:color="auto"/>
        <w:right w:val="none" w:sz="0" w:space="0" w:color="auto"/>
      </w:divBdr>
    </w:div>
    <w:div w:id="1964575522">
      <w:bodyDiv w:val="1"/>
      <w:marLeft w:val="0"/>
      <w:marRight w:val="0"/>
      <w:marTop w:val="0"/>
      <w:marBottom w:val="0"/>
      <w:divBdr>
        <w:top w:val="none" w:sz="0" w:space="0" w:color="auto"/>
        <w:left w:val="none" w:sz="0" w:space="0" w:color="auto"/>
        <w:bottom w:val="none" w:sz="0" w:space="0" w:color="auto"/>
        <w:right w:val="none" w:sz="0" w:space="0" w:color="auto"/>
      </w:divBdr>
    </w:div>
    <w:div w:id="1969121920">
      <w:bodyDiv w:val="1"/>
      <w:marLeft w:val="0"/>
      <w:marRight w:val="0"/>
      <w:marTop w:val="0"/>
      <w:marBottom w:val="0"/>
      <w:divBdr>
        <w:top w:val="none" w:sz="0" w:space="0" w:color="auto"/>
        <w:left w:val="none" w:sz="0" w:space="0" w:color="auto"/>
        <w:bottom w:val="none" w:sz="0" w:space="0" w:color="auto"/>
        <w:right w:val="none" w:sz="0" w:space="0" w:color="auto"/>
      </w:divBdr>
    </w:div>
    <w:div w:id="2012371820">
      <w:bodyDiv w:val="1"/>
      <w:marLeft w:val="0"/>
      <w:marRight w:val="0"/>
      <w:marTop w:val="0"/>
      <w:marBottom w:val="0"/>
      <w:divBdr>
        <w:top w:val="none" w:sz="0" w:space="0" w:color="auto"/>
        <w:left w:val="none" w:sz="0" w:space="0" w:color="auto"/>
        <w:bottom w:val="none" w:sz="0" w:space="0" w:color="auto"/>
        <w:right w:val="none" w:sz="0" w:space="0" w:color="auto"/>
      </w:divBdr>
    </w:div>
    <w:div w:id="2025394402">
      <w:bodyDiv w:val="1"/>
      <w:marLeft w:val="0"/>
      <w:marRight w:val="0"/>
      <w:marTop w:val="0"/>
      <w:marBottom w:val="0"/>
      <w:divBdr>
        <w:top w:val="none" w:sz="0" w:space="0" w:color="auto"/>
        <w:left w:val="none" w:sz="0" w:space="0" w:color="auto"/>
        <w:bottom w:val="none" w:sz="0" w:space="0" w:color="auto"/>
        <w:right w:val="none" w:sz="0" w:space="0" w:color="auto"/>
      </w:divBdr>
    </w:div>
    <w:div w:id="2031372514">
      <w:bodyDiv w:val="1"/>
      <w:marLeft w:val="0"/>
      <w:marRight w:val="0"/>
      <w:marTop w:val="0"/>
      <w:marBottom w:val="0"/>
      <w:divBdr>
        <w:top w:val="none" w:sz="0" w:space="0" w:color="auto"/>
        <w:left w:val="none" w:sz="0" w:space="0" w:color="auto"/>
        <w:bottom w:val="none" w:sz="0" w:space="0" w:color="auto"/>
        <w:right w:val="none" w:sz="0" w:space="0" w:color="auto"/>
      </w:divBdr>
    </w:div>
    <w:div w:id="2044476341">
      <w:bodyDiv w:val="1"/>
      <w:marLeft w:val="0"/>
      <w:marRight w:val="0"/>
      <w:marTop w:val="0"/>
      <w:marBottom w:val="0"/>
      <w:divBdr>
        <w:top w:val="none" w:sz="0" w:space="0" w:color="auto"/>
        <w:left w:val="none" w:sz="0" w:space="0" w:color="auto"/>
        <w:bottom w:val="none" w:sz="0" w:space="0" w:color="auto"/>
        <w:right w:val="none" w:sz="0" w:space="0" w:color="auto"/>
      </w:divBdr>
    </w:div>
    <w:div w:id="211952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sip.legalis.pl/document-view.seam?documentId=mfrxilrtg4ytsmzwgiyti"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sip.legalis.pl/document-view.seam?documentId=mfrxilrtg4ytsmjvgq2da"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finance/financial-education/financial-literacy-poland.htm" TargetMode="External"/><Relationship Id="rId1" Type="http://schemas.openxmlformats.org/officeDocument/2006/relationships/hyperlink" Target="https://www.oecd.org/finance/financial-education/financial-literacy-poland.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CCDD97BACC81094AA9235912A0087CAC" ma:contentTypeVersion="87" ma:contentTypeDescription="" ma:contentTypeScope="" ma:versionID="5d04e6510d2d6acd9021bbf9df077368">
  <xsd:schema xmlns:xsd="http://www.w3.org/2001/XMLSchema" xmlns:xs="http://www.w3.org/2001/XMLSchema" xmlns:p="http://schemas.microsoft.com/office/2006/metadata/properties" xmlns:ns1="54c4cd27-f286-408f-9ce0-33c1e0f3ab39" xmlns:ns2="422d9e62-c95f-4be8-bc96-fc16e6e7af15" xmlns:ns3="ddbd984f-848b-4d59-a9eb-1760df3af461" xmlns:ns5="c9f238dd-bb73-4aef-a7a5-d644ad823e52" xmlns:ns6="ca82dde9-3436-4d3d-bddd-d31447390034" xmlns:ns7="http://schemas.microsoft.com/sharepoint/v4" targetNamespace="http://schemas.microsoft.com/office/2006/metadata/properties" ma:root="true" ma:fieldsID="67c4c0e0d04d1ffe6c5dfe1e52ef102c" ns1:_="" ns2:_="" ns3:_="" ns5:_="" ns6:_="" ns7:_="">
    <xsd:import namespace="54c4cd27-f286-408f-9ce0-33c1e0f3ab39"/>
    <xsd:import namespace="422d9e62-c95f-4be8-bc96-fc16e6e7af15"/>
    <xsd:import namespace="ddbd984f-848b-4d59-a9eb-1760df3af461"/>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3:OECDTagsCache" minOccurs="0"/>
                <xsd:element ref="ns2:_dlc_DocIdUrl"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mcabdfbcfcc34b0db2b26427245c13c6" minOccurs="0"/>
                <xsd:element ref="ns2:_dlc_DocId" minOccurs="0"/>
                <xsd:element ref="ns6:OECDlanguage" minOccurs="0"/>
                <xsd:element ref="ns6:TaxCatchAll" minOccurs="0"/>
                <xsd:element ref="ns6:TaxCatchAllLabel" minOccurs="0"/>
                <xsd:element ref="ns1:OECDMeetingDate" minOccurs="0"/>
                <xsd:element ref="ns2:_dlc_DocIdPersistId" minOccurs="0"/>
                <xsd:element ref="ns2:cdaa264386b64a5eb3931631587e1776" minOccurs="0"/>
                <xsd:element ref="ns3:nbb885e32ada4fa18483bd70230d535b" minOccurs="0"/>
                <xsd:element ref="ns3:OECDSharingStatus" minOccurs="0"/>
                <xsd:element ref="ns3:OECDCommunityDocumentURL" minOccurs="0"/>
                <xsd:element ref="ns3:OECDCommunityDocumentID" minOccurs="0"/>
                <xsd:element ref="ns2:eShareHorizProjTaxHTField0" minOccurs="0"/>
                <xsd:element ref="ns2:OECDAllRelatedUsers" minOccurs="0"/>
                <xsd:element ref="ns3:SharedWithUsers" minOccurs="0"/>
                <xsd:element ref="ns7:IconOverlay"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33" nillable="true" ma:displayName="Meeting Date" ma:default="" ma:format="DateOnly" ma:hidden="true" ma:internalName="OECDMeetingDate">
      <xsd:simpleType>
        <xsd:restriction base="dms:DateTime"/>
      </xsd:simpleType>
    </xsd:element>
    <xsd:element name="OECDYear" ma:index="47"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9e62-c95f-4be8-bc96-fc16e6e7af15"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ma:readOnly="fals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8" nillable="true" ma:displayName="Document ID" ma:description="" ma:hidden="true" ma:internalName="_dlc_DocId" ma:readOnly="true">
      <xsd:simpleType>
        <xsd:restriction base="dms:Text"/>
      </xsd:simpleType>
    </xsd:element>
    <xsd:element name="_dlc_DocIdPersistId" ma:index="34" nillable="true" ma:displayName="Persist ID" ma:description="Keep ID on add." ma:hidden="true" ma:internalName="_dlc_DocIdPersistId" ma:readOnly="true">
      <xsd:simpleType>
        <xsd:restriction base="dms:Boolean"/>
      </xsd:simpleType>
    </xsd:element>
    <xsd:element name="cdaa264386b64a5eb3931631587e1776" ma:index="36" nillable="true" ma:taxonomy="true" ma:internalName="cdaa264386b64a5eb3931631587e1776" ma:taxonomyFieldName="OECDHorizontalProjects" ma:displayName="Horizontal project" ma:default="" ma:fieldId="{cdaa2643-86b6-4a5e-b393-1631587e177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984f-848b-4d59-a9eb-1760df3af461"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bc83b2af-e160-442d-bd56-c59d584bfbe4" ma:internalName="OECDProjectLookup" ma:readOnly="false" ma:showField="OECDShortProjectName" ma:web="ddbd984f-848b-4d59-a9eb-1760df3af461">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bc83b2af-e160-442d-bd56-c59d584bfbe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mcabdfbcfcc34b0db2b26427245c13c6" ma:index="26" nillable="true" ma:displayName="Deliverable owner_0" ma:hidden="true" ma:internalName="mcabdfbcfcc34b0db2b26427245c13c6">
      <xsd:simpleType>
        <xsd:restriction base="dms:Note"/>
      </xsd:simpleType>
    </xsd:element>
    <xsd:element name="nbb885e32ada4fa18483bd70230d535b" ma:index="37" nillable="true" ma:taxonomy="true" ma:internalName="nbb885e32ada4fa18483bd70230d535b" ma:taxonomyFieldName="OECDProjectOwnerStructure" ma:displayName="Project owner" ma:readOnly="false" ma:default="" ma:fieldId="7bb885e3-2ada-4fa1-8483-bd70230d535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31" nillable="true" ma:displayName="Taxonomy Catch All Column" ma:hidden="true" ma:list="{4d2fa938-8d37-45fa-910f-cb0aa52e3ee4}" ma:internalName="TaxCatchAll" ma:showField="CatchAllData" ma:web="422d9e62-c95f-4be8-bc96-fc16e6e7af15">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4d2fa938-8d37-45fa-910f-cb0aa52e3ee4}" ma:internalName="TaxCatchAllLabel" ma:readOnly="true" ma:showField="CatchAllDataLabel" ma:web="422d9e62-c95f-4be8-bc96-fc16e6e7a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oecd-en.xsl" StyleName="APA" Version="20220221">
  <b:Source>
    <b:Tag>Mendeley_SHwBrEC8sjGzBrTIhDSUxg</b:Tag>
    <b:SourceType>Book</b:SourceType>
    <b:Guid>{AC017C48-BC40-31B2-B306-B4C8843494C6}</b:Guid>
    <b:Title>Research on economic knowledge and awareness of Poles: Presentation of the key results</b:Title>
    <b:Year>2020</b:Year>
    <b:Author>
      <b:Author>
        <b:NameList>
          <b:Person>
            <b:Last>National Bank of Poland</b:Last>
          </b:Person>
        </b:NameList>
      </b:Author>
    </b:Author>
    <b:YearAccessed>2022</b:YearAccessed>
    <b:MonthAccessed>07</b:MonthAccessed>
    <b:DayAccessed>20</b:DayAccessed>
    <b:URL>www.nbp.pl/home.aspx?f=/edukacja/badania/wiedza-ekonomiczna-polakow.html,</b:URL>
    <b:LCID>en-US</b:LCID>
    <b:Version>Mendeley</b:Version>
    <b:RefOrder>1</b:RefOrder>
  </b:Source>
  <b:Source>
    <b:Tag>Mendeley_n2B3t2wosDKEOKrxpqvBCA</b:Tag>
    <b:SourceType>Book</b:SourceType>
    <b:Guid>{B777609F-286C-32B0-8438-AAF1A6ABC108}</b:Guid>
    <b:Title>Global Findex Database 2021: Financial Inclusion, Digital Payments, and Resilience in the Age of COVID-19</b:Title>
    <b:Year>2022</b:Year>
    <b:Publisher>World Bank Group, Washington, DC</b:Publisher>
    <b:Author>
      <b:Author>
        <b:NameList>
          <b:Person>
            <b:Last>Demirgüç-Kunt</b:Last>
            <b:First>A</b:First>
          </b:Person>
          <b:Person>
            <b:Last>Klapper</b:Last>
            <b:First>Leora</b:First>
          </b:Person>
          <b:Person>
            <b:Last>Singer</b:Last>
            <b:First>Dorothe</b:First>
          </b:Person>
          <b:Person>
            <b:Last>Ansar</b:Last>
            <b:First>Saniya</b:First>
          </b:Person>
        </b:NameList>
      </b:Author>
    </b:Author>
    <b:DOI>10.1596/978-1-4648-1897-4</b:DOI>
    <b:LCID>en-US</b:LCID>
    <b:Version>Mendeley</b:Version>
    <b:RefOrder>2</b:RefOrder>
  </b:Source>
  <b:Source>
    <b:Tag>Mendeley_HL1LB5KKEzudIUMChZuI__A</b:Tag>
    <b:SourceType>Book</b:SourceType>
    <b:Guid>{074BBD1C-8A92-3B13-9D21-4302859B88F8}</b:Guid>
    <b:Title>Financial Literacy in Poland: Relevance, evidence and provision</b:Title>
    <b:Year>2022</b:Year>
    <b:Publisher>OECD, Paris </b:Publisher>
    <b:Author>
      <b:Author>
        <b:NameList>
          <b:Person>
            <b:Last>OECD</b:Last>
          </b:Person>
        </b:NameList>
      </b:Author>
    </b:Author>
    <b:LCID>en-US</b:LCID>
    <b:Version>Mendeley</b:Version>
    <b:RefOrder>3</b:RefOrder>
  </b:Source>
  <b:Source>
    <b:Tag>Kappa_48ebd1ba</b:Tag>
    <b:SourceType>BookSection</b:SourceType>
    <b:Title>PISA 2018 Results (Volume IV): Are Students Smart about Money?</b:Title>
    <b:Year>2020</b:Year>
    <b:Publisher>OECD Publishing, Paris</b:Publisher>
    <b:Author>
      <b:Author>
        <b:Corporate>OECD</b:Corporate>
      </b:Author>
    </b:Author>
    <b:BookTitle>PISA</b:BookTitle>
    <b:Medium>Series Book</b:Medium>
    <b:DOI>10.1787/48ebd1ba-en</b:DOI>
    <b:LCID>en-GB</b:LCID>
    <b:Version>Kappa</b:Version>
    <b:RefOrder>4</b:RefOrder>
  </b:Source>
  <b:Source>
    <b:Tag>Mendeley_8lCJr_J5ljC5UalIEA3Gvw</b:Tag>
    <b:SourceType>Book</b:SourceType>
    <b:Guid>{AF8950F2-79F2-3096-B951-A948100DC6BF}</b:Guid>
    <b:Title>OECD/INFE 2020 International Survey of Adult Financial Literacy</b:Title>
    <b:Year>2020</b:Year>
    <b:Publisher>OECD, Paris</b:Publisher>
    <b:Author>
      <b:Author>
        <b:NameList>
          <b:Person>
            <b:Last>OECD</b:Last>
          </b:Person>
        </b:NameList>
      </b:Author>
    </b:Author>
    <b:YearAccessed>2022</b:YearAccessed>
    <b:MonthAccessed>07</b:MonthAccessed>
    <b:DayAccessed>20</b:DayAccessed>
    <b:URL>www.oecd.org/financial/education/launchoftheoecdinfeglobalfinancialliteracysurveyreport.htm</b:URL>
    <b:LCID>en-US</b:LCID>
    <b:Version>Mendeley</b:Version>
    <b:RefOrder>5</b:RefOrder>
  </b:Source>
  <b:Source>
    <b:Tag>Mendeley_hqBJyXW93jmGPE__H8Cp6Gw</b:Tag>
    <b:SourceType>Book</b:SourceType>
    <b:Guid>{C949A086-BD75-39DE-863C-4F87F02A7A1B}</b:Guid>
    <b:Title>Addressing household over-indebtedness</b:Title>
    <b:Year>2020</b:Year>
    <b:Publisher>Publications Office of the European Union, Luxembourg</b:Publisher>
    <b:Author>
      <b:Author>
        <b:NameList>
          <b:Person>
            <b:Last>Eurofound</b:Last>
          </b:Person>
        </b:NameList>
      </b:Author>
    </b:Author>
    <b:URL>www.eurofound.europa.eu/publications/report/2020/addressing-household-over-indebtedness</b:URL>
    <b:LCID>en-US</b:LCID>
    <b:Version>Mendeley</b:Version>
    <b:RefOrder>6</b:RefOrder>
  </b:Source>
  <b:Source>
    <b:Tag>Mendeley_pSYuWD7K_jizcZPK6fpXeg</b:Tag>
    <b:SourceType>Book</b:SourceType>
    <b:Guid>{582E26A5-CA3E-38FE-B371-93CAE9FA577A}</b:Guid>
    <b:Title>Poland in the Digital Economy and Society Index</b:Title>
    <b:Year>2021</b:Year>
    <b:Author>
      <b:Author>
        <b:NameList>
          <b:Person>
            <b:Last>European Commission</b:Last>
          </b:Person>
        </b:NameList>
      </b:Author>
    </b:Author>
    <b:YearAccessed>2022</b:YearAccessed>
    <b:MonthAccessed>03</b:MonthAccessed>
    <b:DayAccessed>20</b:DayAccessed>
    <b:URL>https://digital-strategy.ec.europa.eu/en/policies/desi-poland</b:URL>
    <b:LCID>en-US</b:LCID>
    <b:Version>Mendeley</b:Version>
    <b:RefOrder>7</b:RefOrder>
  </b:Source>
  <b:Source>
    <b:Tag>Mendeley_ZwqRyr7PJTKw9Hg__VaRsg</b:Tag>
    <b:SourceType>Book</b:SourceType>
    <b:Guid>{2B40DBAA-5685-41F5-BFEC-356605A3D4E0}</b:Guid>
    <b:Title>Level of financial knowledge of Poles 2021</b:Title>
    <b:Year>2021</b:Year>
    <b:Author>
      <b:Author>
        <b:Corporate>Warsaw Institute of Banking Foundation and Warsaw Stock Exchange Foundation</b:Corporate>
      </b:Author>
    </b:Author>
    <b:URL>www.wib.org.pl/wp-content/uploads/2021/03/Poziom-wiedzy-finansowej-Polakow-2021_badanie-WIB-i-FGPW.pdf</b:URL>
    <b:LCID>en-US</b:LCID>
    <b:Version>Mendeley</b:Version>
    <b:RefOrder>8</b:RefOrder>
  </b:Source>
  <b:Source>
    <b:Tag>Mendeley_KgnJVBjRizqD0KFK1qRMww</b:Tag>
    <b:SourceType>Book</b:SourceType>
    <b:Guid>{6F9A3C73-60C2-4C58-B2B9-F0F1C93DBFCC}</b:Guid>
    <b:Title>Recommendation of the Council on Financial Literacy</b:Title>
    <b:Year>2020</b:Year>
    <b:Publisher>OECD, Paris</b:Publisher>
    <b:Author>
      <b:Author>
        <b:NameList>
          <b:Person>
            <b:Last>OECD</b:Last>
          </b:Person>
        </b:NameList>
      </b:Author>
    </b:Author>
    <b:YearAccessed>2022</b:YearAccessed>
    <b:MonthAccessed>07</b:MonthAccessed>
    <b:DayAccessed>20</b:DayAccessed>
    <b:URL>www.oecd.org/finance/OECD-Recommendation-on-Financial-Literacy.htm</b:URL>
    <b:LCID>en-US</b:LCID>
    <b:Version>Mendeley</b:Version>
    <b:RefOrder>9</b:RefOrder>
  </b:Source>
  <b:Source>
    <b:Tag>Mendeley_2oQj8irMJzW_OsYndM8_ew</b:Tag>
    <b:SourceType>Book</b:SourceType>
    <b:Guid>{F22384DA-CC2A-3527-BF3A-C62774CF3F7B}</b:Guid>
    <b:Title>Strategy for Responsible Development</b:Title>
    <b:Year>2017</b:Year>
    <b:Author>
      <b:Author>
        <b:NameList>
          <b:Person>
            <b:Last>Government of Poland</b:Last>
          </b:Person>
        </b:NameList>
      </b:Author>
    </b:Author>
    <b:YearAccessed>2023</b:YearAccessed>
    <b:MonthAccessed>03</b:MonthAccessed>
    <b:DayAccessed>02</b:DayAccessed>
    <b:URL>https://www.gov.pl/documents/33377/436740/SOR_2017_streszczenie_en.pdf</b:URL>
    <b:LCID>en-US</b:LCID>
    <b:Version>Mendeley</b:Version>
    <b:RefOrder>10</b:RefOrder>
  </b:Source>
  <b:Source>
    <b:Tag>Mendeley_I3lDmXM2qz2oyEvhRtQ85g</b:Tag>
    <b:SourceType>Book</b:SourceType>
    <b:Guid>{99437923-3673-3DAB-A8C8-4BE146D43CE6}</b:Guid>
    <b:Title>OECD/INFE High-Level Principles on National Strategies for Financial Education</b:Title>
    <b:Year>2012</b:Year>
    <b:Publisher>OECD</b:Publisher>
    <b:Author>
      <b:Author>
        <b:NameList>
          <b:Person>
            <b:Last>OECD</b:Last>
          </b:Person>
        </b:NameList>
      </b:Author>
    </b:Author>
    <b:YearAccessed>2022</b:YearAccessed>
    <b:MonthAccessed>07</b:MonthAccessed>
    <b:DayAccessed>20</b:DayAccessed>
    <b:URL>https://www.oecd.org/finance/financial-education/OECD-INFE-Principles-National-Strategies-Financial-Education.pdf</b:URL>
    <b:LCID>en-US</b:LCID>
    <b:Version>Mendeley</b:Version>
    <b:RefOrder>11</b:RefOrder>
  </b:Source>
  <b:Source>
    <b:Tag>Mendeley_YJeB4AA9jDW272w2rgRhhw</b:Tag>
    <b:SourceType>Book</b:SourceType>
    <b:Guid>{A65ADDA3-9218-4120-80A4-C93C29FB8BC1}</b:Guid>
    <b:Title>Impact of Entrepreneurship Education in Denmark</b:Title>
    <b:Year>2011</b:Year>
    <b:Author>
      <b:Author>
        <b:NameList>
          <b:Person>
            <b:Last>Young Enterprise Denmark</b:Last>
          </b:Person>
        </b:NameList>
      </b:Author>
      <b:Editor>
        <b:NameList>
          <b:Person>
            <b:Last>L. Vestergaard</b:Last>
            <b:First>K.</b:First>
            <b:Middle>Mober, C. Jørgensen</b:Middle>
          </b:Person>
        </b:NameList>
      </b:Editor>
    </b:Author>
    <b:YearAccessed>2023</b:YearAccessed>
    <b:MonthAccessed>02</b:MonthAccessed>
    <b:DayAccessed>22</b:DayAccessed>
    <b:URL>https://eng.ffe-ye.dk/media/202248/impact_of_entrepreneurship_education_in_denmark_2011.pdf</b:URL>
    <b:LCID>en-US</b:LCID>
    <b:Version>Mendeley</b:Version>
    <b:Publisher>Odense: The Danish Foundation for Entrepreneurship - Young Enterprise</b:Publisher>
    <b:RefOrder>12</b:RefOrder>
  </b:Source>
  <b:Source>
    <b:Tag>Mendeley_q_fE4ein_TKxPFA0OhPcKw</b:Tag>
    <b:SourceType>Book</b:SourceType>
    <b:Guid>{7AC17F20-19B2-4246-866C-0EBCB513F2EF}</b:Guid>
    <b:Title>Key competences for lifelong learning</b:Title>
    <b:Year>2019</b:Year>
    <b:Publisher>Publications Office of the EU</b:Publisher>
    <b:Author>
      <b:Author>
        <b:Corporate>European Commission, Directorate-General for Education Youth Sport and Culture</b:Corporate>
      </b:Author>
    </b:Author>
    <b:YearAccessed>2023</b:YearAccessed>
    <b:MonthAccessed>02</b:MonthAccessed>
    <b:DayAccessed>22</b:DayAccessed>
    <b:URL>https://op.europa.eu/en/publication-detail/-/publication/297a33c8-a1f3-11e9-9d01-01aa75ed71a1/language-en</b:URL>
    <b:LCID>en-US</b:LCID>
    <b:Version>Mendeley</b:Version>
    <b:RefOrder>13</b:RefOrder>
  </b:Source>
  <b:Source>
    <b:Tag>Mendeley_NIZ62b7hVz6SKhLtwVJsUw</b:Tag>
    <b:SourceType>Book</b:SourceType>
    <b:Guid>{D97A8634-E1BE-3E57-922A-12EDC1526C53}</b:Guid>
    <b:Title>EntreComp: The Entrepreneurship Competence Framework</b:Title>
    <b:Year>2016</b:Year>
    <b:Publisher>Publications Office of the European Union</b:Publisher>
    <b:Author>
      <b:Author>
        <b:NameList>
          <b:Person>
            <b:Last>European Commission</b:Last>
            <b:First>Bacigalupo M, Kampylis P, Punie Y and Van Den Brande L.</b:First>
          </b:Person>
        </b:NameList>
      </b:Author>
    </b:Author>
    <b:YearAccessed>2023</b:YearAccessed>
    <b:MonthAccessed>02</b:MonthAccessed>
    <b:DayAccessed>22</b:DayAccessed>
    <b:URL>https://publications.jrc.ec.europa.eu/repository/handle/JRC101581</b:URL>
    <b:LCID>en-US</b:LCID>
    <b:Version>Mendeley</b:Version>
    <b:RefOrder>14</b:RefOrder>
  </b:Source>
  <b:Source>
    <b:Tag>Mendeley_jUH2Emt6TT2fusqiyeRsBg</b:Tag>
    <b:SourceType>Book</b:SourceType>
    <b:Guid>{12F6418D-7A6B-3D4D-9FBA-CAA2C9E46C06}</b:Guid>
    <b:Title>OECD/INFE Guidance on Digital Delivery of Financial Education</b:Title>
    <b:Year>2022</b:Year>
    <b:Author>
      <b:Author>
        <b:NameList>
          <b:Person>
            <b:Last>OECD</b:Last>
          </b:Person>
        </b:NameList>
      </b:Author>
    </b:Author>
    <b:YearAccessed>2023</b:YearAccessed>
    <b:MonthAccessed>02</b:MonthAccessed>
    <b:DayAccessed>22</b:DayAccessed>
    <b:URL>https://www.oecd.org/financial/education/INFE-guidance-on-digital-delivery-of-financial-education.pdf</b:URL>
    <b:LCID>en-US</b:LCID>
    <b:Version>Mendeley</b:Version>
    <b:RefOrder>15</b:RefOrder>
  </b:Source>
  <b:Source>
    <b:Tag>Mendeley_tyOtdsgKyjiCnRR1lUtuDA</b:Tag>
    <b:SourceType>Book</b:SourceType>
    <b:Guid>{565DE2AF-0D85-4169-83DE-5C6C0A068902}</b:Guid>
    <b:Title>G20/OECD INFE Core Competencies framework on financial literacy for adults </b:Title>
    <b:Year>2017</b:Year>
    <b:URL>www.oecd.org/finance/financial-education/HIGHLIGHTS-G20-OECD-INFE-Report-Financial-education-</b:URL>
    <b:LCID>en-US</b:LCID>
    <b:Version>Mendeley</b:Version>
    <b:Author>
      <b:Author>
        <b:Corporate>OECD</b:Corporate>
      </b:Author>
    </b:Author>
    <b:RefOrder>16</b:RefOrder>
  </b:Source>
  <b:Source>
    <b:Tag>Mendeley_kEfi1_LvoziolF6vXet3hg</b:Tag>
    <b:SourceType>Book</b:SourceType>
    <b:Guid>{83A4AEC7-39F0-4DFF-B49E-1EAAD4FD9D78}</b:Guid>
    <b:Title>Portfel statystycznego Polaka w pandemii</b:Title>
    <b:Year>2022</b:Year>
    <b:Author>
      <b:Author>
        <b:Corporate>National Debt Register Economic Information Bureau</b:Corporate>
      </b:Author>
    </b:Author>
    <b:URL>https://krd.pl/getattachment/88708ecb-e201-4c21-9ed4-42f70988061c?stamp=637837131344170000</b:URL>
    <b:LCID>en-US</b:LCID>
    <b:Version>Mendeley</b:Version>
    <b:RefOrder>17</b:RefOrder>
  </b:Source>
  <b:Source>
    <b:Tag>Mendeley_woYa5cRGPziuMRpt0mK9sg</b:Tag>
    <b:SourceType>Book</b:SourceType>
    <b:Guid>{FB46F137-9051-4F8A-A860-D05E85E8958F}</b:Guid>
    <b:Title>Household budget survey - 2020</b:Title>
    <b:Year>2021</b:Year>
    <b:Author>
      <b:Author>
        <b:NameList>
          <b:Person>
            <b:Last>Statistics Poland</b:Last>
          </b:Person>
        </b:NameList>
      </b:Author>
    </b:Author>
    <b:YearAccessed>2022</b:YearAccessed>
    <b:MonthAccessed>08</b:MonthAccessed>
    <b:DayAccessed>10</b:DayAccessed>
    <b:URL>https://stat.gov.pl/en/topics/living-conditions/living-conditions/household-budget-survey-in-2020,2,16.html</b:URL>
    <b:LCID>en-US</b:LCID>
    <b:Version>Mendeley</b:Version>
    <b:RefOrder>18</b:RefOrder>
  </b:Source>
  <b:Source>
    <b:Tag>Mendeley_j3qfmEs9MDqQHLppccRyQQ</b:Tag>
    <b:SourceType>Book</b:SourceType>
    <b:Guid>{3F971719-045B-480B-95E1-4DD380A3916F}</b:Guid>
    <b:Title>Knowledge and attitudes of Poles in relation to social security</b:Title>
    <b:Year>2016</b:Year>
    <b:Author>
      <b:Author>
        <b:Corporate>Social Insurance Institution</b:Corporate>
      </b:Author>
    </b:Author>
    <b:URL>www.zus.pl/documents/10182/44573/Raport+wiedza+system+emerytalny/040bd2a1-094a-4d97-9d77-e0bddc19e845?version=1.1</b:URL>
    <b:LCID>en-US</b:LCID>
    <b:Version>Mendeley</b:Version>
    <b:RefOrder>19</b:RefOrder>
  </b:Source>
  <b:Source>
    <b:Tag>Mendeley_A6CjFYiIFjqQ6Ke1ppw1Zg</b:Tag>
    <b:SourceType>JournalArticle</b:SourceType>
    <b:Guid>{964A4211-71A2-4F96-A351-A7C520476835}</b:Guid>
    <b:Title>Financial knowledge vs. risk awareness associated with retirement decisions made by Poles in the light of own research results</b:Title>
    <b:Year>2019</b:Year>
    <b:Author>
      <b:Author>
        <b:NameList>
          <b:Person>
            <b:Last>Solarz</b:Last>
            <b:First>M.</b:First>
          </b:Person>
        </b:NameList>
      </b:Author>
    </b:Author>
    <b:BookTitle>The Central European Journal of social sciences and humanities </b:BookTitle>
    <b:Pages>23-40</b:Pages>
    <b:JournalName>The Central European Journal of social sciences and humanities</b:JournalName>
    <b:URL>http://cejsh.icm.edu.pl/cejsh/element/bwmeta1.element.desklight-ed85a2f5-ce23-4f42-8f37-aa62262b82e2</b:URL>
    <b:Issue>4</b:Issue>
    <b:LCID>en-US</b:LCID>
    <b:Version>Mendeley</b:Version>
    <b:RefOrder>20</b:RefOrder>
  </b:Source>
  <b:Source>
    <b:Tag>Kappa_b6d3dcfc</b:Tag>
    <b:SourceType>ArticleInAPeriodical</b:SourceType>
    <b:Title>Pensions at a Glance 2019: OECD and G20 Indicators</b:Title>
    <b:Year>2019</b:Year>
    <b:Publisher>OECD Publishing, Paris</b:Publisher>
    <b:Author>
      <b:Author>
        <b:Corporate>OECD</b:Corporate>
      </b:Author>
    </b:Author>
    <b:Medium>Book</b:Medium>
    <b:DOI>10.1787/b6d3dcfc-en</b:DOI>
    <b:LCID>en-GB</b:LCID>
    <b:Version>Kappa</b:Version>
    <b:RefOrder>21</b:RefOrder>
  </b:Source>
  <b:Source>
    <b:Tag>Mendeley_GN_iRXYc6T2zQoUS6HAyxg</b:Tag>
    <b:SourceType>Book</b:SourceType>
    <b:Guid>{AF2319F1-C46A-4A83-A001-744DCBFD9399}</b:Guid>
    <b:Title>Polish Risk Map</b:Title>
    <b:Year>2021</b:Year>
    <b:Author>
      <b:Author>
        <b:Corporate>Polish Chamber of Insurance</b:Corporate>
      </b:Author>
    </b:Author>
    <b:URL>https://piu.org.pl/wp-content/uploads/2022/02/Mapa-ryzyka-Polakow-2022.02.23 ENG.pdf</b:URL>
    <b:LCID>en-US</b:LCID>
    <b:Version>Mendeley</b:Version>
    <b:RefOrder>22</b:RefOrder>
  </b:Source>
  <b:Source>
    <b:Tag>Mendeley_EwZHIRDmWDut_hPNiW__JSQ</b:Tag>
    <b:SourceType>ElectronicSource</b:SourceType>
    <b:Guid>{D1AE2B7E-C35A-4424-9F18-7CF989A66E06}</b:Guid>
    <b:Title>Financial System in Poland 2019</b:Title>
    <b:Year>2020</b:Year>
    <b:Author>
      <b:Author>
        <b:Corporate>National Bank of Poland</b:Corporate>
      </b:Author>
    </b:Author>
    <b:Medium>Book Chapter</b:Medium>
    <b:URL>www.nbp.pl/en/systemfinansowy/fsd_2019.pdf</b:URL>
    <b:LCID>en-US</b:LCID>
    <b:Version>Mendeley</b:Version>
    <b:RefOrder>23</b:RefOrder>
  </b:Source>
  <b:Source>
    <b:Tag>Mendeley_Yoj99d8iYD__0D4w55_s5Nw</b:Tag>
    <b:SourceType>Book</b:SourceType>
    <b:Guid>{F5FD8862-22DF-3F60-B40F-8C39E7FB3937}</b:Guid>
    <b:Title>Attitudes of Poles towards Finance 2022</b:Title>
    <b:Year>2022</b:Year>
    <b:Author>
      <b:Author>
        <b:NameList>
          <b:Person>
            <b:Last>Think! Foundation</b:Last>
          </b:Person>
          <b:Person>
            <b:Last>Citi Handlowy Leopold Kronenberg Foundation</b:Last>
          </b:Person>
          <b:Person>
            <b:Last>University of Warsaw</b:Last>
          </b:Person>
        </b:NameList>
      </b:Author>
    </b:Author>
    <b:YearAccessed>2022</b:YearAccessed>
    <b:MonthAccessed>07</b:MonthAccessed>
    <b:DayAccessed>20</b:DayAccessed>
    <b:URL>www.think.org.pl/projekty/aktualnosci/318-podejscie-polakow-do-oszczedzania-po-dwoch-latach-pandemii</b:URL>
    <b:LCID>en-US</b:LCID>
    <b:Version>Mendeley</b:Version>
    <b:RefOrder>24</b:RefOrder>
  </b:Source>
  <b:Source>
    <b:Tag>Mendeley_ALI4g36UOD__7kK_5OKk3jQ</b:Tag>
    <b:SourceType>Book</b:SourceType>
    <b:Guid>{9F848063-9458-4A63-9993-A089A61C7F0D}</b:Guid>
    <b:Title>Nationwide Investor Survey 2021</b:Title>
    <b:Year>2021</b:Year>
    <b:Author>
      <b:Author>
        <b:Corporate>Polish Association of Individual Investors</b:Corporate>
      </b:Author>
    </b:Author>
    <b:URL>https://www.sii.org.pl/14446/aktualnosci/badania-i-rankingi/wyniki-ogolnopolskiego-badania-inwestorow-2021.html</b:URL>
    <b:LCID>en-US</b:LCID>
    <b:Version>Mendeley</b:Version>
    <b:RefOrder>25</b:RefOrder>
  </b:Source>
  <b:Source>
    <b:Tag>Mendeley_JBKOyUjppDOnBQsonJWvuQ</b:Tag>
    <b:SourceType>Book</b:SourceType>
    <b:Guid>{D3B0CC63-41B1-4378-AB01-37AFD859B4E7}</b:Guid>
    <b:Title>Research on knowledge, attitudes towards investment and investment funds. Research report</b:Title>
    <b:Year>2021</b:Year>
    <b:Author>
      <b:Author>
        <b:Corporate>Chamber of Fund and Asset Management</b:Corporate>
      </b:Author>
    </b:Author>
    <b:URL>https://www.izfa.pl/download/pobierz/raport-z-badania-izfia-2021</b:URL>
    <b:LCID>en-US</b:LCID>
    <b:Version>Mendeley</b:Version>
    <b:RefOrder>26</b:RefOrder>
  </b:Source>
  <b:Source>
    <b:Tag>Mendeley__HdaosyQSTOGVr___JVNESA</b:Tag>
    <b:SourceType>Book</b:SourceType>
    <b:Guid>{A99A7DE1-5D84-49AE-9297-8E44580B3E11}</b:Guid>
    <b:Title>Diagnosis of the state of economic knowledge and awareness of children and youth in Poland</b:Title>
    <b:Year>2018</b:Year>
    <b:Author>
      <b:Author>
        <b:NameList>
          <b:Person>
            <b:Last>National Bank of Poland</b:Last>
          </b:Person>
        </b:NameList>
      </b:Author>
    </b:Author>
    <b:URL>www.nbp.pl/edukacja/badania/diagnoza-stanu-wiedzy-i-swiadomosci-ekonomicznej-dzieci-mlodziezy.pdf</b:URL>
    <b:LCID>en-US</b:LCID>
    <b:Version>Mendeley</b:Version>
    <b:RefOrder>27</b:RefOrder>
  </b:Source>
  <b:Source>
    <b:Tag>Mendeley_zFn5f96XpD2ZgmNs8s__Krg</b:Tag>
    <b:SourceType>Book</b:SourceType>
    <b:Guid>{7FF959CC-97DE-3DA4-9982-636CF2CF8AAE}</b:Guid>
    <b:Title>Recommendation of the Council on High-Level Principles on Financial Consumer Protection</b:Title>
    <b:Year>2022</b:Year>
    <b:Author>
      <b:Author>
        <b:NameList>
          <b:Person>
            <b:Last>OECD</b:Last>
          </b:Person>
        </b:NameList>
      </b:Author>
    </b:Author>
    <b:YearAccessed>2023</b:YearAccessed>
    <b:MonthAccessed>03</b:MonthAccessed>
    <b:DayAccessed>04</b:DayAccessed>
    <b:URL>https://legalinstruments.oecd.org/en/instruments/OECD-LEGAL-0394</b:URL>
    <b:LCID>en-US</b:LCID>
    <b:Version>Mendeley</b:Version>
    <b:RefOrder>28</b:RefOrder>
  </b:Source>
  <b:Source>
    <b:Tag>Mendeley_jdiJqm_e0zmmLkeLP9O4cA</b:Tag>
    <b:SourceType>Book</b:SourceType>
    <b:Guid>{AA89D88D-DE6F-39D3-A62E-478B3FD3B870}</b:Guid>
    <b:Title>Evaluation of National Strategies for Financial Literacy</b:Title>
    <b:Year>2022</b:Year>
    <b:Publisher>OECD, Paris</b:Publisher>
    <b:Author>
      <b:Author>
        <b:NameList>
          <b:Person>
            <b:Last>OECD</b:Last>
          </b:Person>
        </b:NameList>
      </b:Author>
    </b:Author>
    <b:YearAccessed>2022</b:YearAccessed>
    <b:MonthAccessed>07</b:MonthAccessed>
    <b:DayAccessed>21</b:DayAccessed>
    <b:URL>www.oecd.org/financial/education/evaluation-of-national-strategies-for-financial-literacy.htm</b:URL>
    <b:LCID>en-US</b:LCID>
    <b:Version>Mendeley</b:Version>
    <b:RefOrder>29</b:RefOrder>
  </b:Source>
  <b:Source>
    <b:Tag>Kappa_b211112e</b:Tag>
    <b:SourceType>BookSection</b:SourceType>
    <b:Title>Policy handbook on financial education in the workplace</b:Title>
    <b:Year>2022</b:Year>
    <b:Publisher>OECD Publishing, Paris</b:Publisher>
    <b:Author>
      <b:Author>
        <b:Corporate>OECD</b:Corporate>
      </b:Author>
    </b:Author>
    <b:ChapterNumber>07</b:ChapterNumber>
    <b:BookTitle>OECD Business and Finance Policy Papers</b:BookTitle>
    <b:Medium>Working Paper</b:Medium>
    <b:DOI>10.1787/b211112e-en</b:DOI>
    <b:LCID>en-GB</b:LCID>
    <b:Version>Kappa</b:Version>
    <b:RefOrder>30</b:RefOrder>
  </b:Source>
  <b:Source>
    <b:Tag>Mendeley_BTWMrotzbzCzqY40smut6Q</b:Tag>
    <b:SourceType>Book</b:SourceType>
    <b:Guid>{800AC447-90A9-495B-B321-F4572C3C09C7}</b:Guid>
    <b:Title>Analysis - investor share in trading</b:Title>
    <b:Year>2021</b:Year>
    <b:Author>
      <b:Author>
        <b:Corporate>Warsaw Stock Exchange</b:Corporate>
      </b:Author>
    </b:Author>
    <b:YearAccessed>2022</b:YearAccessed>
    <b:MonthAccessed>07</b:MonthAccessed>
    <b:DayAccessed>20</b:DayAccessed>
    <b:URL>www.gpw.pl/analysis-investor-share-in-trading</b:URL>
    <b:LCID>en-US</b:LCID>
    <b:Version>Mendeley</b:Version>
    <b:RefOrder>31</b:RefOrder>
  </b:Source>
  <b:Source>
    <b:Tag>Placeholder1</b:Tag>
    <b:SourceType>Book</b:SourceType>
    <b:Guid>{82567894-2D94-43DC-AE2F-AFDDA7444FB5}</b:Guid>
    <b:Title>Level of financial knowledge of Poles 2021</b:Title>
    <b:Year>2021</b:Year>
    <b:Author>
      <b:Author>
        <b:Corporate>Warsaw Institute of Banking, Warsaw Stock Exchange Foundation</b:Corporate>
      </b:Author>
    </b:Author>
    <b:URL>www.wib.org.pl/wp-content/uploads/2021/03/Poziom-wiedzy-finansowej-Polakow-2021_badanie-WIB-i-FGPW.pdf</b:URL>
    <b:LCID>en-US</b:LCID>
    <b:Version>Mendeley</b:Version>
    <b:RefOrder>32</b:RefOrder>
  </b:Source>
  <b:Source>
    <b:Tag>Mendeley_Y_rGT3jK__jyskzFlB9Xoug</b:Tag>
    <b:SourceType>Book</b:SourceType>
    <b:Guid>{89A17C4D-1713-4995-A131-5600E20A3B81}</b:Guid>
    <b:Title>2018 PISA results in Poland</b:Title>
    <b:Year>2020</b:Year>
    <b:Publisher>Educational Research Institute</b:Publisher>
    <b:Author>
      <b:Author>
        <b:NameList>
          <b:Person>
            <b:Last>Sitek</b:Last>
            <b:First>M.</b:First>
          </b:Person>
          <b:Person>
            <b:Last>Ostrowska</b:Last>
            <b:First>E.B.</b:First>
          </b:Person>
          <b:Person>
            <b:Last>Badiak</b:Last>
            <b:First>M.</b:First>
          </b:Person>
        </b:NameList>
      </b:Author>
    </b:Author>
    <b:URL>https://pisa.ibe.edu.pl/wp-content/uploads/2020/05/Raport_PISA_umiejetnosci-postawy-i-zachowania-finansowe-mlodziezy-w-Polsce.pdf</b:URL>
    <b:LCID>en-US</b:LCID>
    <b:Version>Mendeley</b:Version>
    <b:RefOrder>33</b:RefOrder>
  </b:Source>
  <b:Source>
    <b:Tag>Mendeley_Fttcznq8LzON1IDmd9tbVg</b:Tag>
    <b:SourceType>Book</b:SourceType>
    <b:Guid>{CE5CDB16-BC7A-332F-8DD4-80E677DB5B56}</b:Guid>
    <b:Title>Diagnosis of the state of economic knowledge and awareness of students in Poland</b:Title>
    <b:Year>2016</b:Year>
    <b:Author>
      <b:Author>
        <b:NameList>
          <b:Person>
            <b:Last>National Bank of Poland</b:Last>
          </b:Person>
        </b:NameList>
      </b:Author>
    </b:Author>
    <b:URL>www.nbp.pl/home.aspx?f=/edukacja/badania/diagnoza-studentow.html</b:URL>
    <b:LCID>en-US</b:LCID>
    <b:Version>Mendeley</b:Version>
    <b:RefOrder>34</b:RefOrder>
  </b:Source>
  <b:Source>
    <b:Tag>CrossRef_l3SbmA7ZkAseoKYu_wuh3g</b:Tag>
    <b:SourceType>Book</b:SourceType>
    <b:Title>The System of Education in Poland 2020</b:Title>
    <b:Year>2021</b:Year>
    <b:Publisher>Foundation for the Development of the Education System</b:Publisher>
    <b:StandardNumber>9788366515222</b:StandardNumber>
    <b:DOI>10.47050/66515222</b:DOI>
    <b:LCID>en-US</b:LCID>
    <b:Version>CrossRef</b:Version>
    <b:Guid>{5F06B995-2830-4EBF-A6B9-EF81BEAECFD4}</b:Guid>
    <b:Author>
      <b:Author>
        <b:NameList>
          <b:Person>
            <b:Last>Kolanowska</b:Last>
            <b:First>E</b:First>
          </b:Person>
        </b:NameList>
      </b:Author>
    </b:Author>
    <b:RefOrder>35</b:RefOrder>
  </b:Source>
  <b:Source>
    <b:Tag>Mendeley_KUJISiJS9DKis2RfQrAZDQ</b:Tag>
    <b:SourceType>Book</b:SourceType>
    <b:Guid>{4A484229-5222-32F4-A2B3-645F42B0190D}</b:Guid>
    <b:Title>Policy Handbook on Financial Education for Young People in the Commonwealth of Independent States (CIS)</b:Title>
    <b:Year>2019</b:Year>
    <b:Publisher>OECD, Paris</b:Publisher>
    <b:Author>
      <b:Author>
        <b:NameList>
          <b:Person>
            <b:Last>OECD</b:Last>
          </b:Person>
        </b:NameList>
      </b:Author>
    </b:Author>
    <b:URL>https://www.oecd.org/financial/education/Youth-Policy-Handbook-on-Financial-Education-CIS-EN.pdf</b:URL>
    <b:LCID>en-US</b:LCID>
    <b:Version>Mendeley</b:Version>
    <b:RefOrder>36</b:RefOrder>
  </b:Source>
</b:Sources>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p:properties xmlns:p="http://schemas.microsoft.com/office/2006/metadata/properties" xmlns:xsi="http://www.w3.org/2001/XMLSchema-instance" xmlns:pc="http://schemas.microsoft.com/office/infopath/2007/PartnerControls">
  <documentManagement>
    <mcabdfbcfcc34b0db2b26427245c13c6 xmlns="ddbd984f-848b-4d59-a9eb-1760df3af461" xsi:nil="true"/>
    <eShareHorizProjTaxHTField0 xmlns="422d9e62-c95f-4be8-bc96-fc16e6e7af15" xsi:nil="true"/>
    <OECDAllRelatedUsers xmlns="422d9e62-c95f-4be8-bc96-fc16e6e7af15">
      <UserInfo>
        <DisplayName/>
        <AccountId xsi:nil="true"/>
        <AccountType/>
      </UserInfo>
    </OECDAllRelatedUsers>
    <OECDKimBussinessContext xmlns="54c4cd27-f286-408f-9ce0-33c1e0f3ab39" xsi:nil="true"/>
    <OECDTagsCache xmlns="ddbd984f-848b-4d59-a9eb-1760df3af461"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1 Promote Sustainable Economic Growth, Financial Stability and Structural Adjustment</TermName>
          <TermId xmlns="http://schemas.microsoft.com/office/infopath/2007/PartnerControls">7ca28bd3-b5b0-4105-ae17-567ac4d6dc79</TermId>
        </TermInfo>
      </Terms>
    </eSharePWBTaxHTField0>
    <OECDlanguage xmlns="ca82dde9-3436-4d3d-bddd-d31447390034">English</OECDlanguage>
    <OECDSharingStatus xmlns="ddbd984f-848b-4d59-a9eb-1760df3af461" xsi:nil="true"/>
    <IconOverlay xmlns="http://schemas.microsoft.com/sharepoint/v4" xsi:nil="true"/>
    <OECDCommunityDocumentURL xmlns="ddbd984f-848b-4d59-a9eb-1760df3af461" xsi:nil="true"/>
    <OECDPinnedBy xmlns="ddbd984f-848b-4d59-a9eb-1760df3af461">
      <UserInfo>
        <DisplayName/>
        <AccountId xsi:nil="true"/>
        <AccountType/>
      </UserInfo>
    </OECDPinnedBy>
    <OECDMeetingDate xmlns="54c4cd27-f286-408f-9ce0-33c1e0f3ab39" xsi:nil="true"/>
    <cdaa264386b64a5eb3931631587e1776 xmlns="422d9e62-c95f-4be8-bc96-fc16e6e7af15">
      <Terms xmlns="http://schemas.microsoft.com/office/infopath/2007/PartnerControls"/>
    </cdaa264386b64a5eb3931631587e1776>
    <nbb885e32ada4fa18483bd70230d535b xmlns="ddbd984f-848b-4d59-a9eb-1760df3af461">
      <Terms xmlns="http://schemas.microsoft.com/office/infopath/2007/PartnerControls">
        <TermInfo xmlns="http://schemas.microsoft.com/office/infopath/2007/PartnerControls">
          <TermName xmlns="http://schemas.microsoft.com/office/infopath/2007/PartnerControls">DAF</TermName>
          <TermId xmlns="http://schemas.microsoft.com/office/infopath/2007/PartnerControls">ea0f2a9c-5fcb-439f-baf9-c7a7c5ab244e</TermId>
        </TermInfo>
      </Terms>
    </nbb885e32ada4fa18483bd70230d535b>
    <OECDExpirationDate xmlns="422d9e62-c95f-4be8-bc96-fc16e6e7af15" xsi:nil="true"/>
    <OECDProjectMembers xmlns="ddbd984f-848b-4d59-a9eb-1760df3af461">
      <UserInfo>
        <DisplayName>GRIFONI Andrea, DAF/CM</DisplayName>
        <AccountId>385</AccountId>
        <AccountType/>
      </UserInfo>
      <UserInfo>
        <DisplayName>HUXLEY Jennah, DAF/CM</DisplayName>
        <AccountId>301</AccountId>
        <AccountType/>
      </UserInfo>
      <UserInfo>
        <DisplayName>MONTICONE Chiara, DAF/CM</DisplayName>
        <AccountId>355</AccountId>
        <AccountType/>
      </UserInfo>
      <UserInfo>
        <DisplayName>MESSY Flore-Anne, DAF</DisplayName>
        <AccountId>105</AccountId>
        <AccountType/>
      </UserInfo>
      <UserInfo>
        <DisplayName>DAWSON Anna, DAF/CM</DisplayName>
        <AccountId>3792</AccountId>
        <AccountType/>
      </UserInfo>
      <UserInfo>
        <DisplayName>ISAINCU Bianca, DAF/CM</DisplayName>
        <AccountId>2718</AccountId>
        <AccountType/>
      </UserInfo>
      <UserInfo>
        <DisplayName>MONTCOURRIER Thomas, DAF/CM</DisplayName>
        <AccountId>3854</AccountId>
        <AccountType/>
      </UserInfo>
      <UserInfo>
        <DisplayName>DOUCET Arnaud, STI/MSU</DisplayName>
        <AccountId>1253</AccountId>
        <AccountType/>
      </UserInfo>
      <UserInfo>
        <DisplayName>PELOSI Valeria, DAF/CM</DisplayName>
        <AccountId>4084</AccountId>
        <AccountType/>
      </UserInfo>
    </OECDProjectMembers>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KimStatus xmlns="54c4cd27-f286-408f-9ce0-33c1e0f3ab39">Draft</OECDKimStatus>
    <OECDProjectLookup xmlns="ddbd984f-848b-4d59-a9eb-1760df3af461">232</OECDProjectLookup>
    <OECDMainProject xmlns="ddbd984f-848b-4d59-a9eb-1760df3af461">229</OECDMainProject>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eShareTopicTaxHTField0>
    <OECDProjectManager xmlns="ddbd984f-848b-4d59-a9eb-1760df3af461">
      <UserInfo>
        <DisplayName/>
        <AccountId>385</AccountId>
        <AccountType/>
      </UserInfo>
    </OECDProjectManager>
    <eShareKeywordsTaxHTField0 xmlns="c9f238dd-bb73-4aef-a7a5-d644ad823e52">
      <Terms xmlns="http://schemas.microsoft.com/office/infopath/2007/PartnerControls"/>
    </eShareKeywordsTaxHTField0>
    <TaxCatchAll xmlns="ca82dde9-3436-4d3d-bddd-d31447390034">
      <Value>200</Value>
      <Value>1101</Value>
    </TaxCatchAll>
    <OECDCommunityDocumentID xmlns="ddbd984f-848b-4d59-a9eb-1760df3af461" xsi:nil="true"/>
    <_dlc_DocId xmlns="422d9e62-c95f-4be8-bc96-fc16e6e7af15">ESHAREDAF-38-355096</_dlc_DocId>
    <_dlc_DocIdUrl xmlns="422d9e62-c95f-4be8-bc96-fc16e6e7af15">
      <Url>https://portal.oecd.org/eshare/daf/pc/_layouts/15/DocIdRedir.aspx?ID=ESHAREDAF-38-355096</Url>
      <Description>ESHAREDAF-38-355096</Description>
    </_dlc_DocIdUrl>
  </documentManagement>
</p:properties>
</file>

<file path=customXml/item5.xml>��< ? x m l   v e r s i o n = " 1 . 0 "   e n c o d i n g = " u t f - 1 6 " ? > < r e f - c o t e s   x m l n s : x s d = " h t t p : / / w w w . w 3 . o r g / 2 0 0 1 / X M L S c h e m a "   x m l n s : x s i = " h t t p : / / w w w . w 3 . o r g / 2 0 0 1 / X M L S c h e m a - i n s t a n c e "   V e r s i o n = " 3 . 6 "   x m l n s = " h t t p : / / w w w . o e c d . o r g / o n e a u t h o r / 2 0 1 6 / c o t e s " / > 
</file>

<file path=customXml/item6.xml><?xml version="1.0" encoding="utf-8"?>
<?mso-contentType ?>
<CtFieldPriority xmlns="http://www.oecd.org/eshare/projectsentre/CtFieldPriority/" xmlns:i="http://www.w3.org/2001/XMLSchema-instance">
  <PriorityFields xmlns:a="http://schemas.microsoft.com/2003/10/Serialization/Arrays"/>
</CtFieldPriority>
</file>

<file path=customXml/item7.xml><?xml version="1.0" encoding="utf-8"?>
<?mso-contentType ?>
<FormTemplates xmlns="http://schemas.microsoft.com/sharepoint/v3/contenttype/forms">
  <Display>OECDListFormCollapsible</Display>
  <Edit>OECDListFormCollapsible</Edit>
  <New>OECDListFormCollapsible</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5996B1-3F6C-4DB8-A3DF-9599C1923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422d9e62-c95f-4be8-bc96-fc16e6e7af15"/>
    <ds:schemaRef ds:uri="ddbd984f-848b-4d59-a9eb-1760df3af461"/>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D88D2-2040-4AAE-A957-C284D3602949}">
  <ds:schemaRefs>
    <ds:schemaRef ds:uri="http://schemas.openxmlformats.org/officeDocument/2006/bibliography"/>
  </ds:schemaRefs>
</ds:datastoreItem>
</file>

<file path=customXml/itemProps3.xml><?xml version="1.0" encoding="utf-8"?>
<ds:datastoreItem xmlns:ds="http://schemas.openxmlformats.org/officeDocument/2006/customXml" ds:itemID="{61BDE134-08AE-490D-B2E3-E117A7529385}">
  <ds:schemaRefs>
    <ds:schemaRef ds:uri="Microsoft.SharePoint.Taxonomy.ContentTypeSync"/>
  </ds:schemaRefs>
</ds:datastoreItem>
</file>

<file path=customXml/itemProps4.xml><?xml version="1.0" encoding="utf-8"?>
<ds:datastoreItem xmlns:ds="http://schemas.openxmlformats.org/officeDocument/2006/customXml" ds:itemID="{8A29987A-A980-4225-955B-A16E6ABAE88B}">
  <ds:schemaRefs>
    <ds:schemaRef ds:uri="http://schemas.microsoft.com/office/2006/metadata/properties"/>
    <ds:schemaRef ds:uri="http://schemas.microsoft.com/office/infopath/2007/PartnerControls"/>
    <ds:schemaRef ds:uri="ddbd984f-848b-4d59-a9eb-1760df3af461"/>
    <ds:schemaRef ds:uri="422d9e62-c95f-4be8-bc96-fc16e6e7af15"/>
    <ds:schemaRef ds:uri="54c4cd27-f286-408f-9ce0-33c1e0f3ab39"/>
    <ds:schemaRef ds:uri="c9f238dd-bb73-4aef-a7a5-d644ad823e52"/>
    <ds:schemaRef ds:uri="ca82dde9-3436-4d3d-bddd-d31447390034"/>
    <ds:schemaRef ds:uri="http://schemas.microsoft.com/sharepoint/v4"/>
  </ds:schemaRefs>
</ds:datastoreItem>
</file>

<file path=customXml/itemProps5.xml><?xml version="1.0" encoding="utf-8"?>
<ds:datastoreItem xmlns:ds="http://schemas.openxmlformats.org/officeDocument/2006/customXml" ds:itemID="{15169110-9DBF-4227-BB23-E24918EFB5DC}">
  <ds:schemaRefs>
    <ds:schemaRef ds:uri="http://www.w3.org/2001/XMLSchema"/>
    <ds:schemaRef ds:uri="http://www.oecd.org/oneauthor/2016/cotes"/>
  </ds:schemaRefs>
</ds:datastoreItem>
</file>

<file path=customXml/itemProps6.xml><?xml version="1.0" encoding="utf-8"?>
<ds:datastoreItem xmlns:ds="http://schemas.openxmlformats.org/officeDocument/2006/customXml" ds:itemID="{16A62E85-68B9-429F-BD53-E3F481B3D48C}">
  <ds:schemaRefs>
    <ds:schemaRef ds:uri="http://www.oecd.org/eshare/projectsentre/CtFieldPriority/"/>
    <ds:schemaRef ds:uri="http://schemas.microsoft.com/2003/10/Serialization/Arrays"/>
  </ds:schemaRefs>
</ds:datastoreItem>
</file>

<file path=customXml/itemProps7.xml><?xml version="1.0" encoding="utf-8"?>
<ds:datastoreItem xmlns:ds="http://schemas.openxmlformats.org/officeDocument/2006/customXml" ds:itemID="{80FFA657-976A-4D80-92B3-26E579B2AC57}">
  <ds:schemaRefs>
    <ds:schemaRef ds:uri="http://schemas.microsoft.com/sharepoint/v3/contenttype/forms"/>
  </ds:schemaRefs>
</ds:datastoreItem>
</file>

<file path=customXml/itemProps8.xml><?xml version="1.0" encoding="utf-8"?>
<ds:datastoreItem xmlns:ds="http://schemas.openxmlformats.org/officeDocument/2006/customXml" ds:itemID="{075B833D-B31E-4862-8A46-FE8BDC5810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ONE Author ODPub</Template>
  <TotalTime>2</TotalTime>
  <Pages>50</Pages>
  <Words>21684</Words>
  <Characters>130109</Characters>
  <Application>Microsoft Office Word</Application>
  <DocSecurity>0</DocSecurity>
  <Lines>1084</Lines>
  <Paragraphs>302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National Strategy for Financial Education for Poland</vt:lpstr>
      <vt:lpstr>National Strategy for Financial Education for Poland</vt:lpstr>
    </vt:vector>
  </TitlesOfParts>
  <Company>OECD</Company>
  <LinksUpToDate>false</LinksUpToDate>
  <CharactersWithSpaces>151491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Strategy for Financial Education for Poland</dc:title>
  <dc:subject/>
  <dc:creator>Świąder Katarzyna</dc:creator>
  <cp:keywords/>
  <dc:description/>
  <cp:lastModifiedBy>Wojciechowska Monika</cp:lastModifiedBy>
  <cp:revision>2</cp:revision>
  <cp:lastPrinted>2023-12-01T14:46:00Z</cp:lastPrinted>
  <dcterms:created xsi:type="dcterms:W3CDTF">2024-02-09T13:59:00Z</dcterms:created>
  <dcterms:modified xsi:type="dcterms:W3CDTF">2024-02-09T13:59:00Z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D65C878D8DA04779C96CED4FDA6DC8463C92E6726C76F90A196FC9C1FC2DC010</vt:lpwstr>
  </property>
  <property fmtid="{D5CDD505-2E9C-101B-9397-08002B2CF9AE}" pid="7" name="OecdDocumentCoteLangHash">
    <vt:lpwstr/>
  </property>
  <property fmtid="{D5CDD505-2E9C-101B-9397-08002B2CF9AE}" pid="8" name="ContentTypeId">
    <vt:lpwstr>0x0101008B4DD370EC31429186F3AD49F0D3098F00D44DBCB9EB4F45278CB5C9765BE5299500A4858B360C6A491AA753F8BCA47AA91000CCDD97BACC81094AA9235912A0087CAC</vt:lpwstr>
  </property>
  <property fmtid="{D5CDD505-2E9C-101B-9397-08002B2CF9AE}" pid="9" name="OECDKappaEnrichment">
    <vt:lpwstr>Online</vt:lpwstr>
  </property>
  <property fmtid="{D5CDD505-2E9C-101B-9397-08002B2CF9AE}" pid="10" name="OECDSourcesHash">
    <vt:lpwstr>9EF7E92EA7C8FCA3CA6DE36DB43AEE3A317C4ED0127AC6C7161560C3086BE120</vt:lpwstr>
  </property>
  <property fmtid="{D5CDD505-2E9C-101B-9397-08002B2CF9AE}" pid="11" name="OECDLastSourcesRefreshDate">
    <vt:lpwstr>2023-03-27</vt:lpwstr>
  </property>
  <property fmtid="{D5CDD505-2E9C-101B-9397-08002B2CF9AE}" pid="12" name="OECDCitationsCount">
    <vt:lpwstr>68</vt:lpwstr>
  </property>
  <property fmtid="{D5CDD505-2E9C-101B-9397-08002B2CF9AE}" pid="13" name="OECDEventId">
    <vt:lpwstr/>
  </property>
  <property fmtid="{D5CDD505-2E9C-101B-9397-08002B2CF9AE}" pid="14" name="OECDDocumentValidationErrors">
    <vt:lpwstr>2</vt:lpwstr>
  </property>
  <property fmtid="{D5CDD505-2E9C-101B-9397-08002B2CF9AE}" pid="15" name="OECDDocumentValidationWarnings">
    <vt:lpwstr>4</vt:lpwstr>
  </property>
  <property fmtid="{D5CDD505-2E9C-101B-9397-08002B2CF9AE}" pid="16" name="OECDDocumentValidationWordCount">
    <vt:lpwstr>26710</vt:lpwstr>
  </property>
  <property fmtid="{D5CDD505-2E9C-101B-9397-08002B2CF9AE}" pid="17" name="OECDDocumentValidationDate">
    <vt:lpwstr>03/27/2023 17:26:24</vt:lpwstr>
  </property>
  <property fmtid="{D5CDD505-2E9C-101B-9397-08002B2CF9AE}" pid="18" name="OECDDocumentCote">
    <vt:lpwstr/>
  </property>
  <property fmtid="{D5CDD505-2E9C-101B-9397-08002B2CF9AE}" pid="19" name="OECDDocumentDirectorate">
    <vt:lpwstr/>
  </property>
  <property fmtid="{D5CDD505-2E9C-101B-9397-08002B2CF9AE}" pid="20" name="OECDDocumentCommittee">
    <vt:lpwstr/>
  </property>
  <property fmtid="{D5CDD505-2E9C-101B-9397-08002B2CF9AE}" pid="21" name="OECDDocumentWorkingParty">
    <vt:lpwstr/>
  </property>
  <property fmtid="{D5CDD505-2E9C-101B-9397-08002B2CF9AE}" pid="22" name="OECDDocumentClassification">
    <vt:lpwstr/>
  </property>
  <property fmtid="{D5CDD505-2E9C-101B-9397-08002B2CF9AE}" pid="23" name="OECDDocumentDocumentAbstract">
    <vt:lpwstr/>
  </property>
  <property fmtid="{D5CDD505-2E9C-101B-9397-08002B2CF9AE}" pid="24" name="OECDDocumentContactInfo">
    <vt:lpwstr/>
  </property>
  <property fmtid="{D5CDD505-2E9C-101B-9397-08002B2CF9AE}" pid="25" name="OECDDocumentDocumentLanguage">
    <vt:lpwstr>English</vt:lpwstr>
  </property>
  <property fmtid="{D5CDD505-2E9C-101B-9397-08002B2CF9AE}" pid="26" name="OECDDocumentOriginalLanguage">
    <vt:lpwstr>English</vt:lpwstr>
  </property>
  <property fmtid="{D5CDD505-2E9C-101B-9397-08002B2CF9AE}" pid="27" name="OECDTopic">
    <vt:lpwstr/>
  </property>
  <property fmtid="{D5CDD505-2E9C-101B-9397-08002B2CF9AE}" pid="28" name="OECDCommittee">
    <vt:lpwstr/>
  </property>
  <property fmtid="{D5CDD505-2E9C-101B-9397-08002B2CF9AE}" pid="29" name="OECDPWB">
    <vt:lpwstr>1101;#1 Promote Sustainable Economic Growth, Financial Stability and Structural Adjustment|7ca28bd3-b5b0-4105-ae17-567ac4d6dc79</vt:lpwstr>
  </property>
  <property fmtid="{D5CDD505-2E9C-101B-9397-08002B2CF9AE}" pid="30" name="OECDKeywords">
    <vt:lpwstr/>
  </property>
  <property fmtid="{D5CDD505-2E9C-101B-9397-08002B2CF9AE}" pid="31" name="OECDHorizontalProjects">
    <vt:lpwstr/>
  </property>
  <property fmtid="{D5CDD505-2E9C-101B-9397-08002B2CF9AE}" pid="32" name="OECDProjectOwnerStructure">
    <vt:lpwstr>200;#DAF|ea0f2a9c-5fcb-439f-baf9-c7a7c5ab244e</vt:lpwstr>
  </property>
  <property fmtid="{D5CDD505-2E9C-101B-9397-08002B2CF9AE}" pid="33" name="OECDCountry">
    <vt:lpwstr/>
  </property>
  <property fmtid="{D5CDD505-2E9C-101B-9397-08002B2CF9AE}" pid="34" name="_dlc_DocIdItemGuid">
    <vt:lpwstr>658d5d47-3c0b-41ed-9a9e-0837e40e4c1c</vt:lpwstr>
  </property>
  <property fmtid="{D5CDD505-2E9C-101B-9397-08002B2CF9AE}" pid="35" name="eShareOrganisationTaxHTField0">
    <vt:lpwstr/>
  </property>
  <property fmtid="{D5CDD505-2E9C-101B-9397-08002B2CF9AE}" pid="36" name="OECDOrganisation">
    <vt:lpwstr/>
  </property>
  <property fmtid="{D5CDD505-2E9C-101B-9397-08002B2CF9AE}" pid="37" name="MFCATEGORY">
    <vt:lpwstr>InformacjePubliczneInformacjeSektoraPublicznego</vt:lpwstr>
  </property>
  <property fmtid="{D5CDD505-2E9C-101B-9397-08002B2CF9AE}" pid="38" name="MFClassifiedBy">
    <vt:lpwstr>UxC4dwLulzfINJ8nQH+xvX5LNGipWa4BRSZhPgxsCvmWq/65jdfy9rNnP5DnAy9LdsU311KwOTCmNN71tgee1Q==</vt:lpwstr>
  </property>
  <property fmtid="{D5CDD505-2E9C-101B-9397-08002B2CF9AE}" pid="39" name="MFClassificationDate">
    <vt:lpwstr>2023-04-06T16:42:50.8915209+02:00</vt:lpwstr>
  </property>
  <property fmtid="{D5CDD505-2E9C-101B-9397-08002B2CF9AE}" pid="40" name="MFClassifiedBySID">
    <vt:lpwstr>UxC4dwLulzfINJ8nQH+xvX5LNGipWa4BRSZhPgxsCvm42mrIC/DSDv0ggS+FjUN/2v1BBotkLlY5aAiEhoi6uadqf9HqNOUldP2/ULjZjR4hwgkGIDx/pNRsDndLQTvc</vt:lpwstr>
  </property>
  <property fmtid="{D5CDD505-2E9C-101B-9397-08002B2CF9AE}" pid="41" name="MFGRNItemId">
    <vt:lpwstr>GRN-0cf79378-7fae-4920-b5da-1bb958cd1bb2</vt:lpwstr>
  </property>
  <property fmtid="{D5CDD505-2E9C-101B-9397-08002B2CF9AE}" pid="42" name="MFHash">
    <vt:lpwstr>4vr2IaLo1eSh6tm+/yzECnZsf7K4L/qh4bMlaSLeisY=</vt:lpwstr>
  </property>
  <property fmtid="{D5CDD505-2E9C-101B-9397-08002B2CF9AE}" pid="43" name="DLPManualFileClassification">
    <vt:lpwstr>{2755b7d9-e53d-4779-a40c-03797dcf43b3}</vt:lpwstr>
  </property>
  <property fmtid="{D5CDD505-2E9C-101B-9397-08002B2CF9AE}" pid="44" name="MFRefresh">
    <vt:lpwstr>False</vt:lpwstr>
  </property>
</Properties>
</file>