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60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DLŁ-WSR.053.1.2025.KK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4018196.16653622.13560110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Style w:val="CharStyle8"/>
        </w:rPr>
        <w:t>Warszawa, 15-12-2025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160" w:line="305" w:lineRule="auto"/>
        <w:ind w:left="0" w:right="0" w:firstLine="0"/>
        <w:jc w:val="both"/>
      </w:pPr>
      <w:r>
        <w:rPr>
          <w:rStyle w:val="CharStyle8"/>
          <w:b/>
          <w:bCs/>
        </w:rPr>
        <w:t xml:space="preserve">Dotyczy: </w:t>
      </w:r>
      <w:r>
        <w:rPr>
          <w:rStyle w:val="CharStyle8"/>
        </w:rPr>
        <w:t>odpowiedzi na petycję Warmińsko-Mazurskiej Izby Rolniczej o zmianę załącznika nr 1 do rozporządzenia Ministra Środowiska z dnia 16 kwietnia 2019 r. w sprawie szczegółowych warunków szacowania szkód w uprawach i płodach rolnych (Dz. U. z 2019 r. poz. 776), poprzez wprowadzenie współczynników do przeliczania plonu na jednostki zbożowe dla kukurydzy uprawianej z przeznaczeniem na zielonkę oraz z przeznaczeniem na kiszonkę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8"/>
        </w:rPr>
        <w:t>Szanowny Panie Prezesie,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8"/>
        </w:rPr>
        <w:t>Obecnie powszechnie stosuje się praktykę przyjmowania współczynnika 0,16 przy przeliczaniu plonu kukurydzy uprawianej na zielonkę lub kiszonkę na jednostki zbożowe – analogicznie jak dla zielonki z traw w uprawach polowych.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8"/>
        </w:rPr>
        <w:t>W celu oceny zasadności wprowadzenia do rozporządzenia Ministra Środowiska z dnia 16 kwietnia 2019 r. w sprawie szczegółowych warunków szacowania szkód w uprawach i płodach rolnych współczynników umożliwiających przeliczanie plonu kukurydzy (zielonki i kiszonki) na jednostki zbożowe, konieczne jest ustalenie skali problemu wynikającego z braku takich współczynników przy szacowaniu szkód łowieckich w skali kraju.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305" w:lineRule="auto"/>
        <w:ind w:left="0" w:right="0" w:firstLine="0"/>
        <w:jc w:val="both"/>
      </w:pPr>
      <w:r>
        <w:rPr>
          <w:rStyle w:val="CharStyle8"/>
        </w:rPr>
        <w:t>Należy podkreślić, że współczynniki do przeliczania plonu na jednostki zbożowe stosuje się wyłącznie w sytuacji, gdy plon danego gatunku roślin nie występuje w obrocie rynkowym w regionie powstania szkody. W większości przypadków wartość utraconego plonu można ustalić bez konieczności stosowania takich współczynników.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305" w:lineRule="auto"/>
        <w:ind w:left="0" w:right="0" w:firstLine="0"/>
        <w:jc w:val="both"/>
      </w:pPr>
      <w:r>
        <w:rPr>
          <w:rStyle w:val="CharStyle8"/>
        </w:rPr>
        <w:t>Niezależnie od powyższego, w przypadku podjęcia decyzji o nowelizacji rozporządzenia regulującego tryb szacowania szkód, omawiana kwestia zostanie poddana analizie.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8"/>
        </w:rPr>
        <w:t>Ponadto informujemy, że do ministerstwa od momentu wejście w życie ww. rozporządzenia wpłynęły pojedyncze wnioski świadczące o problemach wynikających z braku jednoznacznego wskazania współczynników do przeliczania plonu z kukurydzy na zielonkę i kiszonkę, co świadczy o braku powszechności tego zjawiska i faktu, że przyjęta interpretacja sprawdza się w praktyce.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8"/>
        </w:rPr>
        <w:t>Z wyrazami szacunku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0" w:name="bookmark0"/>
      <w:r>
        <w:rPr>
          <w:rStyle w:val="CharStyle11"/>
        </w:rPr>
        <w:t>Z up. Ministra</w:t>
      </w:r>
      <w:bookmarkEnd w:id="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11"/>
        </w:rPr>
        <w:t>Zastępca Dyrektora</w:t>
      </w:r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4" w:name="bookmark4"/>
      <w:r>
        <w:rPr>
          <w:rStyle w:val="CharStyle11"/>
        </w:rPr>
        <w:t>Departament Leśnictwa i Łowiectwa Ministerstwo Klimatu i Środowiska / – podpisany cyfrowo/</w:t>
      </w:r>
      <w:bookmarkEnd w:id="4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380"/>
        <w:ind w:left="0" w:right="0" w:firstLine="0"/>
        <w:jc w:val="center"/>
      </w:pPr>
      <w:bookmarkStart w:id="6" w:name="bookmark6"/>
      <w:r>
        <w:rPr>
          <w:rStyle w:val="CharStyle13"/>
          <w:b/>
          <w:bCs/>
        </w:rPr>
        <w:t>Klauzula informacyjna</w:t>
        <w:br/>
        <w:t>dotycząca przetwarzania danych osobowych osób wnoszących petycję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8" w:name="bookmark8"/>
      <w:r>
        <w:rPr>
          <w:rStyle w:val="CharStyle13"/>
          <w:b/>
          <w:bCs/>
        </w:rPr>
        <w:t>Tożsamość administratora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Administratorem Pani/Pana danych osobowych jest 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adres eDoręczeń: AE:PL-76338-88700-JTFJE-30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563C1"/>
          <w:u w:val="single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telefonicznie: 22 36 92 900.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" w:name="bookmark10"/>
      <w:r>
        <w:rPr>
          <w:rStyle w:val="CharStyle13"/>
          <w:b/>
          <w:bCs/>
        </w:rPr>
        <w:t>Dane kontaktowe inspektora ochrony danych osobowych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2" w:name="bookmark12"/>
      <w:r>
        <w:rPr>
          <w:rStyle w:val="CharStyle13"/>
          <w:b/>
          <w:bCs/>
        </w:rPr>
        <w:t>Cele przetwarzania danych osobowych i podstawa prawna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4" w:name="bookmark14"/>
      <w:r>
        <w:rPr>
          <w:rStyle w:val="CharStyle13"/>
          <w:b/>
          <w:bCs/>
        </w:rPr>
        <w:t>Odbiorcy danych osobowych lub kategorie odbiorców danych osobowych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6" w:name="bookmark16"/>
      <w:r>
        <w:rPr>
          <w:rStyle w:val="CharStyle13"/>
          <w:b/>
          <w:bCs/>
        </w:rPr>
        <w:t>Okres przechowywania danych osobowych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przechowywane przez okres niezbędny do realizacji celu przetwarzania, a następnie w przypadku realizacji sprawy przez Ministerstwo Klimatu i Środowiska – 25 lat (kat. archiwalna A) na podstawie Instrukcji Kancelaryjnej obowiązującej w Ministerstwie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Klimatu i Środowiska) i przepisów ustawy z dnia 14 lipca 1983 r. o narodowym zasobie archiwalnym i archiwach.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8" w:name="bookmark18"/>
      <w:r>
        <w:rPr>
          <w:rStyle w:val="CharStyle13"/>
          <w:b/>
          <w:bCs/>
        </w:rPr>
        <w:t>Przysługujące uprawnienia związane z przetwarzaniem danych osobowych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29" w:val="righ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prawo dostępu do danych osobowych i 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8" w:val="righ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prawo 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17" w:val="righ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prawo 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52" w:val="right"/>
        </w:tabs>
        <w:bidi w:val="0"/>
        <w:spacing w:before="0"/>
        <w:ind w:left="0" w:right="0" w:firstLine="380"/>
        <w:jc w:val="both"/>
      </w:pPr>
      <w:r>
        <w:rPr>
          <w:rStyle w:val="CharStyle3"/>
        </w:rPr>
        <w:t>prawo 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/>
        <w:ind w:left="740" w:right="0" w:hanging="360"/>
        <w:jc w:val="both"/>
      </w:pPr>
      <w:r>
        <w:rPr>
          <w:rStyle w:val="CharStyle3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0" w:name="bookmark20"/>
      <w:r>
        <w:rPr>
          <w:rStyle w:val="CharStyle13"/>
          <w:b/>
          <w:bCs/>
        </w:rPr>
        <w:t>Informacja o przekazywaniu danych osobowych do państw trzecich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Nie przekazujemy Pani/Pana danych osobowych do państw trzecich.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2" w:name="bookmark22"/>
      <w:r>
        <w:rPr>
          <w:rStyle w:val="CharStyle13"/>
          <w:b/>
          <w:bCs/>
        </w:rPr>
        <w:t>Informacja o profilowaniu</w:t>
      </w:r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4" w:name="bookmark24"/>
      <w:r>
        <w:rPr>
          <w:rStyle w:val="CharStyle13"/>
          <w:b/>
          <w:bCs/>
        </w:rPr>
        <w:t>Informacja o dowolności lub obowiązku podania danych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94" w:right="1955" w:bottom="651" w:left="1948" w:header="1666" w:footer="22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Body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Heading #2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6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after="14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680" w:line="264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Heading #2"/>
    <w:basedOn w:val="Normal"/>
    <w:link w:val="CharStyle13"/>
    <w:pPr>
      <w:widowControl w:val="0"/>
      <w:shd w:val="clear" w:color="auto" w:fill="auto"/>
      <w:spacing w:line="266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departament_kolor</dc:title>
  <dc:subject/>
  <dc:creator/>
  <cp:keywords>PL, KOLOR</cp:keywords>
</cp:coreProperties>
</file>