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D207C" w14:textId="503001C2" w:rsidR="00C1630E" w:rsidRPr="00C1630E" w:rsidRDefault="00C1630E" w:rsidP="00C1630E">
      <w:pPr>
        <w:spacing w:after="0" w:line="260" w:lineRule="exact"/>
        <w:rPr>
          <w:rFonts w:ascii="Lato" w:eastAsia="Calibri" w:hAnsi="Lato" w:cs="Times New Roman"/>
          <w:spacing w:val="4"/>
        </w:rPr>
      </w:pPr>
      <w:r w:rsidRPr="00C1630E">
        <w:rPr>
          <w:rFonts w:ascii="Lato" w:eastAsia="Calibri" w:hAnsi="Lato" w:cs="Times New Roman"/>
          <w:spacing w:val="4"/>
        </w:rPr>
        <w:t xml:space="preserve">Znak sprawy: </w:t>
      </w:r>
      <w:r w:rsidR="001C7EB7" w:rsidRPr="00CB30AF">
        <w:rPr>
          <w:rFonts w:ascii="Lato" w:eastAsia="Calibri" w:hAnsi="Lato" w:cs="Times New Roman"/>
          <w:spacing w:val="4"/>
        </w:rPr>
        <w:t>DLI-II.</w:t>
      </w:r>
      <w:r w:rsidR="001C7EB7" w:rsidRPr="00C00489">
        <w:rPr>
          <w:rFonts w:ascii="Lato" w:eastAsia="Calibri" w:hAnsi="Lato" w:cs="Times New Roman"/>
          <w:spacing w:val="4"/>
        </w:rPr>
        <w:t>7620.21.2022.AZ.23</w:t>
      </w:r>
    </w:p>
    <w:p w14:paraId="24F3F304" w14:textId="1573FF2E" w:rsidR="00C1630E" w:rsidRPr="00C1630E" w:rsidRDefault="00C1630E" w:rsidP="00BA20F7">
      <w:pPr>
        <w:spacing w:after="600" w:line="260" w:lineRule="exact"/>
        <w:rPr>
          <w:rFonts w:ascii="Lato" w:eastAsia="Calibri" w:hAnsi="Lato" w:cs="Times New Roman"/>
          <w:spacing w:val="4"/>
        </w:rPr>
      </w:pPr>
      <w:r w:rsidRPr="00C1630E">
        <w:rPr>
          <w:rFonts w:ascii="Lato" w:eastAsia="Calibri" w:hAnsi="Lato" w:cs="Times New Roman"/>
          <w:spacing w:val="4"/>
        </w:rPr>
        <w:t>Warszawa,</w:t>
      </w:r>
      <w:bookmarkStart w:id="0" w:name="ezdDataPodpisu"/>
      <w:r w:rsidR="00AE776C">
        <w:rPr>
          <w:rFonts w:ascii="Lato" w:eastAsia="Calibri" w:hAnsi="Lato" w:cs="Times New Roman"/>
          <w:spacing w:val="4"/>
        </w:rPr>
        <w:t xml:space="preserve"> 16 </w:t>
      </w:r>
      <w:r w:rsidR="00A743A5">
        <w:rPr>
          <w:rFonts w:ascii="Lato" w:eastAsia="Calibri" w:hAnsi="Lato" w:cs="Times New Roman"/>
          <w:spacing w:val="4"/>
        </w:rPr>
        <w:t>stycznia</w:t>
      </w:r>
      <w:r w:rsidRPr="00C1630E">
        <w:rPr>
          <w:rFonts w:ascii="Lato" w:eastAsia="Calibri" w:hAnsi="Lato" w:cs="Times New Roman"/>
          <w:spacing w:val="4"/>
        </w:rPr>
        <w:t xml:space="preserve"> 202</w:t>
      </w:r>
      <w:r w:rsidR="00A743A5">
        <w:rPr>
          <w:rFonts w:ascii="Lato" w:eastAsia="Calibri" w:hAnsi="Lato" w:cs="Times New Roman"/>
          <w:spacing w:val="4"/>
        </w:rPr>
        <w:t>6</w:t>
      </w:r>
      <w:r w:rsidRPr="00C1630E">
        <w:rPr>
          <w:rFonts w:ascii="Lato" w:eastAsia="Calibri" w:hAnsi="Lato" w:cs="Times New Roman"/>
          <w:spacing w:val="4"/>
        </w:rPr>
        <w:t xml:space="preserve"> r.</w:t>
      </w:r>
      <w:bookmarkEnd w:id="0"/>
    </w:p>
    <w:p w14:paraId="3DBE9C3F" w14:textId="77777777" w:rsidR="00C1630E" w:rsidRPr="00C1630E" w:rsidRDefault="00C1630E" w:rsidP="00C1630E">
      <w:pPr>
        <w:spacing w:after="360" w:line="240" w:lineRule="exact"/>
        <w:jc w:val="center"/>
        <w:rPr>
          <w:rFonts w:ascii="Lato" w:eastAsia="Calibri" w:hAnsi="Lato" w:cs="Times New Roman"/>
        </w:rPr>
      </w:pPr>
      <w:r w:rsidRPr="00C1630E">
        <w:rPr>
          <w:rFonts w:ascii="Lato" w:eastAsia="Calibri" w:hAnsi="Lato" w:cs="Times New Roman"/>
          <w:b/>
        </w:rPr>
        <w:t>DECYZJA</w:t>
      </w:r>
    </w:p>
    <w:p w14:paraId="2AD20928" w14:textId="5056DE09" w:rsidR="001C7EB7" w:rsidRDefault="00C1630E" w:rsidP="00C1630E">
      <w:pPr>
        <w:spacing w:after="240" w:line="240" w:lineRule="exact"/>
        <w:jc w:val="both"/>
        <w:outlineLvl w:val="0"/>
        <w:rPr>
          <w:rFonts w:ascii="Lato" w:eastAsia="Calibri" w:hAnsi="Lato" w:cs="Arial"/>
          <w:spacing w:val="4"/>
        </w:rPr>
      </w:pPr>
      <w:bookmarkStart w:id="1" w:name="_Hlk187401417"/>
      <w:r w:rsidRPr="003A41B0">
        <w:rPr>
          <w:rFonts w:ascii="Lato" w:eastAsia="Calibri" w:hAnsi="Lato" w:cs="Arial"/>
          <w:spacing w:val="4"/>
        </w:rPr>
        <w:t xml:space="preserve">Na podstawie art. 138 § 1 pkt </w:t>
      </w:r>
      <w:r w:rsidR="00A743A5" w:rsidRPr="003A41B0">
        <w:rPr>
          <w:rFonts w:ascii="Lato" w:eastAsia="Calibri" w:hAnsi="Lato" w:cs="Arial"/>
          <w:spacing w:val="4"/>
        </w:rPr>
        <w:t xml:space="preserve">2 </w:t>
      </w:r>
      <w:r w:rsidRPr="003A41B0">
        <w:rPr>
          <w:rFonts w:ascii="Lato" w:eastAsia="Calibri" w:hAnsi="Lato" w:cs="Arial"/>
          <w:spacing w:val="4"/>
        </w:rPr>
        <w:t xml:space="preserve">ustawy z dnia 14 czerwca 1960 r. Kodeks postępowania administracyjnego (t.j. </w:t>
      </w:r>
      <w:r w:rsidR="00A743A5" w:rsidRPr="003A41B0">
        <w:rPr>
          <w:rFonts w:ascii="Lato" w:eastAsia="Calibri" w:hAnsi="Lato" w:cs="Arial"/>
          <w:spacing w:val="4"/>
        </w:rPr>
        <w:t>Dz.U. z 2025 r. poz. 1691</w:t>
      </w:r>
      <w:r w:rsidRPr="003A41B0">
        <w:rPr>
          <w:rFonts w:ascii="Lato" w:eastAsia="Calibri" w:hAnsi="Lato" w:cs="Arial"/>
          <w:spacing w:val="4"/>
        </w:rPr>
        <w:t xml:space="preserve">), zwanej dalej „kpa”, oraz art. 5 ust. 3 </w:t>
      </w:r>
      <w:r w:rsidR="001C7EB7">
        <w:rPr>
          <w:rFonts w:ascii="Lato" w:eastAsia="Calibri" w:hAnsi="Lato" w:cs="Arial"/>
          <w:spacing w:val="4"/>
        </w:rPr>
        <w:br/>
      </w:r>
      <w:r w:rsidRPr="003A41B0">
        <w:rPr>
          <w:rFonts w:ascii="Lato" w:eastAsia="Calibri" w:hAnsi="Lato" w:cs="Arial"/>
          <w:spacing w:val="4"/>
        </w:rPr>
        <w:t xml:space="preserve">w zw. z art. 39 ust. 1 </w:t>
      </w:r>
      <w:bookmarkStart w:id="2" w:name="_Hlk144907730"/>
      <w:r w:rsidRPr="003A41B0">
        <w:rPr>
          <w:rFonts w:ascii="Lato" w:eastAsia="Calibri" w:hAnsi="Lato" w:cs="Arial"/>
          <w:spacing w:val="4"/>
        </w:rPr>
        <w:t xml:space="preserve">ustawy z dnia 24 kwietnia 2009 r. o inwestycjach w zakresie terminalu regazyfikacyjnego skroplonego gazu ziemnego w Świnoujściu </w:t>
      </w:r>
      <w:bookmarkEnd w:id="2"/>
      <w:r w:rsidRPr="003A41B0">
        <w:rPr>
          <w:rFonts w:ascii="Lato" w:eastAsia="Calibri" w:hAnsi="Lato" w:cs="Arial"/>
          <w:spacing w:val="4"/>
        </w:rPr>
        <w:t>(t.j.</w:t>
      </w:r>
      <w:r w:rsidR="00A743A5" w:rsidRPr="003A41B0">
        <w:t xml:space="preserve"> </w:t>
      </w:r>
      <w:r w:rsidR="00A743A5" w:rsidRPr="003A41B0">
        <w:rPr>
          <w:rFonts w:ascii="Lato" w:eastAsia="Calibri" w:hAnsi="Lato" w:cs="Arial"/>
          <w:spacing w:val="4"/>
        </w:rPr>
        <w:t xml:space="preserve">Dz.U. </w:t>
      </w:r>
      <w:r w:rsidR="001C7EB7">
        <w:rPr>
          <w:rFonts w:ascii="Lato" w:eastAsia="Calibri" w:hAnsi="Lato" w:cs="Arial"/>
          <w:spacing w:val="4"/>
        </w:rPr>
        <w:br/>
      </w:r>
      <w:r w:rsidR="00A743A5" w:rsidRPr="003A41B0">
        <w:rPr>
          <w:rFonts w:ascii="Lato" w:eastAsia="Calibri" w:hAnsi="Lato" w:cs="Arial"/>
          <w:spacing w:val="4"/>
        </w:rPr>
        <w:t>z 2025 r. poz. 1222)</w:t>
      </w:r>
      <w:r w:rsidRPr="003A41B0">
        <w:rPr>
          <w:rFonts w:ascii="Lato" w:eastAsia="Calibri" w:hAnsi="Lato" w:cs="Arial"/>
          <w:spacing w:val="4"/>
        </w:rPr>
        <w:t>, zwanej dalej „specustawą gazową”, po rozpatrzeniu odwoła</w:t>
      </w:r>
      <w:r w:rsidR="001C7EB7">
        <w:rPr>
          <w:rFonts w:ascii="Lato" w:eastAsia="Calibri" w:hAnsi="Lato" w:cs="Arial"/>
          <w:spacing w:val="4"/>
        </w:rPr>
        <w:t xml:space="preserve">nia </w:t>
      </w:r>
      <w:r w:rsidR="001C7EB7" w:rsidRPr="001C7EB7">
        <w:rPr>
          <w:rFonts w:ascii="Lato" w:eastAsia="Calibri" w:hAnsi="Lato" w:cs="Arial"/>
          <w:spacing w:val="4"/>
        </w:rPr>
        <w:t>Polsk</w:t>
      </w:r>
      <w:r w:rsidR="001C7EB7">
        <w:rPr>
          <w:rFonts w:ascii="Lato" w:eastAsia="Calibri" w:hAnsi="Lato" w:cs="Arial"/>
          <w:spacing w:val="4"/>
        </w:rPr>
        <w:t>iej</w:t>
      </w:r>
      <w:r w:rsidR="001C7EB7" w:rsidRPr="001C7EB7">
        <w:rPr>
          <w:rFonts w:ascii="Lato" w:eastAsia="Calibri" w:hAnsi="Lato" w:cs="Arial"/>
          <w:spacing w:val="4"/>
        </w:rPr>
        <w:t xml:space="preserve"> Spółk</w:t>
      </w:r>
      <w:r w:rsidR="001C7EB7">
        <w:rPr>
          <w:rFonts w:ascii="Lato" w:eastAsia="Calibri" w:hAnsi="Lato" w:cs="Arial"/>
          <w:spacing w:val="4"/>
        </w:rPr>
        <w:t>i</w:t>
      </w:r>
      <w:r w:rsidR="001C7EB7" w:rsidRPr="001C7EB7">
        <w:rPr>
          <w:rFonts w:ascii="Lato" w:eastAsia="Calibri" w:hAnsi="Lato" w:cs="Arial"/>
          <w:spacing w:val="4"/>
        </w:rPr>
        <w:t xml:space="preserve"> Gazownictwa Sp. z o.o. z siedzibą w Tarnowie</w:t>
      </w:r>
      <w:r w:rsidR="001C7EB7">
        <w:rPr>
          <w:rFonts w:ascii="Lato" w:eastAsia="Calibri" w:hAnsi="Lato" w:cs="Arial"/>
          <w:spacing w:val="4"/>
        </w:rPr>
        <w:t xml:space="preserve"> </w:t>
      </w:r>
      <w:r w:rsidR="001C7EB7" w:rsidRPr="001C7EB7">
        <w:rPr>
          <w:rFonts w:ascii="Lato" w:eastAsia="Calibri" w:hAnsi="Lato" w:cs="Arial"/>
          <w:spacing w:val="4"/>
        </w:rPr>
        <w:t xml:space="preserve">Oddział Zakład Gazowniczy </w:t>
      </w:r>
      <w:r w:rsidR="001C7EB7">
        <w:rPr>
          <w:rFonts w:ascii="Lato" w:eastAsia="Calibri" w:hAnsi="Lato" w:cs="Arial"/>
          <w:spacing w:val="4"/>
        </w:rPr>
        <w:br/>
      </w:r>
      <w:r w:rsidR="001C7EB7" w:rsidRPr="001C7EB7">
        <w:rPr>
          <w:rFonts w:ascii="Lato" w:eastAsia="Calibri" w:hAnsi="Lato" w:cs="Arial"/>
          <w:spacing w:val="4"/>
        </w:rPr>
        <w:t>w Gorzowie Wlkp.</w:t>
      </w:r>
      <w:r w:rsidR="001C7EB7">
        <w:rPr>
          <w:rFonts w:ascii="Lato" w:eastAsia="Calibri" w:hAnsi="Lato" w:cs="Arial"/>
          <w:spacing w:val="4"/>
        </w:rPr>
        <w:t xml:space="preserve"> </w:t>
      </w:r>
      <w:r w:rsidR="000A2F59">
        <w:rPr>
          <w:rFonts w:ascii="Lato" w:eastAsia="Calibri" w:hAnsi="Lato" w:cs="Arial"/>
          <w:spacing w:val="4"/>
        </w:rPr>
        <w:t>o</w:t>
      </w:r>
      <w:r w:rsidRPr="003A41B0">
        <w:rPr>
          <w:rFonts w:ascii="Lato" w:eastAsia="Calibri" w:hAnsi="Lato" w:cs="Arial"/>
          <w:spacing w:val="4"/>
        </w:rPr>
        <w:t>d</w:t>
      </w:r>
      <w:r w:rsidR="001C7EB7">
        <w:rPr>
          <w:rFonts w:ascii="Lato" w:eastAsia="Calibri" w:hAnsi="Lato" w:cs="Arial"/>
          <w:spacing w:val="4"/>
        </w:rPr>
        <w:t xml:space="preserve"> </w:t>
      </w:r>
      <w:r w:rsidRPr="003A41B0">
        <w:rPr>
          <w:rFonts w:ascii="Lato" w:eastAsia="Calibri" w:hAnsi="Lato" w:cs="Arial"/>
          <w:spacing w:val="4"/>
        </w:rPr>
        <w:t xml:space="preserve">decyzji </w:t>
      </w:r>
      <w:bookmarkStart w:id="3" w:name="_Hlk116986571"/>
      <w:r w:rsidR="001C7EB7" w:rsidRPr="001C7EB7">
        <w:rPr>
          <w:rFonts w:ascii="Lato" w:eastAsia="Calibri" w:hAnsi="Lato" w:cs="Arial"/>
          <w:spacing w:val="4"/>
        </w:rPr>
        <w:t xml:space="preserve">Wojewody Lubuskiego </w:t>
      </w:r>
      <w:bookmarkStart w:id="4" w:name="_Hlk116987189"/>
      <w:r w:rsidR="001C7EB7" w:rsidRPr="001C7EB7">
        <w:rPr>
          <w:rFonts w:ascii="Lato" w:eastAsia="Calibri" w:hAnsi="Lato" w:cs="Arial"/>
          <w:spacing w:val="4"/>
        </w:rPr>
        <w:t xml:space="preserve">Nr 2/2022 z dnia 29 kwietnia </w:t>
      </w:r>
      <w:r w:rsidR="001C7EB7">
        <w:rPr>
          <w:rFonts w:ascii="Lato" w:eastAsia="Calibri" w:hAnsi="Lato" w:cs="Arial"/>
          <w:spacing w:val="4"/>
        </w:rPr>
        <w:br/>
      </w:r>
      <w:r w:rsidR="001C7EB7" w:rsidRPr="001C7EB7">
        <w:rPr>
          <w:rFonts w:ascii="Lato" w:eastAsia="Calibri" w:hAnsi="Lato" w:cs="Arial"/>
          <w:spacing w:val="4"/>
        </w:rPr>
        <w:t xml:space="preserve">2022 r., znak: IB-I.747.4.2022.JRaj, </w:t>
      </w:r>
      <w:bookmarkEnd w:id="4"/>
      <w:r w:rsidR="001C7EB7" w:rsidRPr="001C7EB7">
        <w:rPr>
          <w:rFonts w:ascii="Lato" w:eastAsia="Calibri" w:hAnsi="Lato" w:cs="Arial"/>
          <w:spacing w:val="4"/>
        </w:rPr>
        <w:t xml:space="preserve">o ustaleniu lokalizacji inwestycji </w:t>
      </w:r>
      <w:bookmarkStart w:id="5" w:name="_Hlk218933940"/>
      <w:r w:rsidR="001C7EB7" w:rsidRPr="001C7EB7">
        <w:rPr>
          <w:rFonts w:ascii="Lato" w:eastAsia="Calibri" w:hAnsi="Lato" w:cs="Arial"/>
          <w:spacing w:val="4"/>
        </w:rPr>
        <w:t>towarzyszącej inwestycjom</w:t>
      </w:r>
      <w:bookmarkEnd w:id="5"/>
      <w:r w:rsidR="001C7EB7" w:rsidRPr="001C7EB7">
        <w:rPr>
          <w:rFonts w:ascii="Lato" w:eastAsia="Calibri" w:hAnsi="Lato" w:cs="Arial"/>
          <w:spacing w:val="4"/>
        </w:rPr>
        <w:t xml:space="preserve"> w zakresie terminalu </w:t>
      </w:r>
      <w:bookmarkEnd w:id="3"/>
      <w:r w:rsidR="001C7EB7" w:rsidRPr="001C7EB7">
        <w:rPr>
          <w:rFonts w:ascii="Lato" w:eastAsia="Calibri" w:hAnsi="Lato" w:cs="Arial"/>
          <w:spacing w:val="4"/>
        </w:rPr>
        <w:t xml:space="preserve">regazyfikacyjnego skroplonego gazu ziemnego </w:t>
      </w:r>
      <w:r w:rsidR="001C7EB7">
        <w:rPr>
          <w:rFonts w:ascii="Lato" w:eastAsia="Calibri" w:hAnsi="Lato" w:cs="Arial"/>
          <w:spacing w:val="4"/>
        </w:rPr>
        <w:br/>
      </w:r>
      <w:r w:rsidR="001C7EB7" w:rsidRPr="001C7EB7">
        <w:rPr>
          <w:rFonts w:ascii="Lato" w:eastAsia="Calibri" w:hAnsi="Lato" w:cs="Arial"/>
          <w:spacing w:val="4"/>
        </w:rPr>
        <w:t xml:space="preserve">w Świnoujściu dla inwestycji polegającej na budowie gazociągu MOP 8,4 MPa Nowe Tłoki – Sulechów w ramach budowy gazociągu Kotowo – Zielona Góra wraz </w:t>
      </w:r>
      <w:r w:rsidR="00CD7723">
        <w:rPr>
          <w:rFonts w:ascii="Lato" w:eastAsia="Calibri" w:hAnsi="Lato" w:cs="Arial"/>
          <w:spacing w:val="4"/>
        </w:rPr>
        <w:br/>
      </w:r>
      <w:r w:rsidR="001C7EB7" w:rsidRPr="001C7EB7">
        <w:rPr>
          <w:rFonts w:ascii="Lato" w:eastAsia="Calibri" w:hAnsi="Lato" w:cs="Arial"/>
          <w:spacing w:val="4"/>
        </w:rPr>
        <w:t>z infrastruktur</w:t>
      </w:r>
      <w:r w:rsidR="00BB2410">
        <w:rPr>
          <w:rFonts w:ascii="Lato" w:eastAsia="Calibri" w:hAnsi="Lato" w:cs="Arial"/>
          <w:spacing w:val="4"/>
        </w:rPr>
        <w:t>ą</w:t>
      </w:r>
      <w:r w:rsidR="001C7EB7" w:rsidRPr="001C7EB7">
        <w:rPr>
          <w:rFonts w:ascii="Lato" w:eastAsia="Calibri" w:hAnsi="Lato" w:cs="Arial"/>
          <w:spacing w:val="4"/>
        </w:rPr>
        <w:t xml:space="preserve"> niezbędną do ich obsługi na terenie gminy Sulechów (etap II),</w:t>
      </w:r>
    </w:p>
    <w:bookmarkEnd w:id="1"/>
    <w:p w14:paraId="58C7529A" w14:textId="77777777" w:rsidR="00C1630E" w:rsidRPr="00577C5E" w:rsidRDefault="00C1630E" w:rsidP="00257DC5">
      <w:pPr>
        <w:numPr>
          <w:ilvl w:val="0"/>
          <w:numId w:val="11"/>
        </w:numPr>
        <w:tabs>
          <w:tab w:val="left" w:pos="284"/>
        </w:tabs>
        <w:spacing w:after="240" w:line="240" w:lineRule="exact"/>
        <w:ind w:left="426" w:hanging="284"/>
        <w:jc w:val="both"/>
        <w:rPr>
          <w:rFonts w:ascii="Lato" w:eastAsia="Times New Roman" w:hAnsi="Lato" w:cs="Arial"/>
          <w:b/>
          <w:spacing w:val="4"/>
          <w:lang w:eastAsia="pl-PL"/>
        </w:rPr>
      </w:pPr>
      <w:r w:rsidRPr="00577C5E">
        <w:rPr>
          <w:rFonts w:ascii="Lato" w:eastAsia="Times New Roman" w:hAnsi="Lato" w:cs="Arial"/>
          <w:b/>
          <w:spacing w:val="4"/>
          <w:lang w:eastAsia="pl-PL"/>
        </w:rPr>
        <w:t>Uchylam:</w:t>
      </w:r>
    </w:p>
    <w:p w14:paraId="1B993BF3" w14:textId="70C9D686" w:rsidR="00577C5E" w:rsidRPr="00577C5E" w:rsidRDefault="00577C5E" w:rsidP="00577C5E">
      <w:pPr>
        <w:pStyle w:val="Akapitzlist"/>
        <w:numPr>
          <w:ilvl w:val="0"/>
          <w:numId w:val="12"/>
        </w:numPr>
        <w:spacing w:after="240" w:line="240" w:lineRule="exact"/>
        <w:ind w:left="567" w:hanging="283"/>
        <w:contextualSpacing w:val="0"/>
        <w:jc w:val="both"/>
        <w:rPr>
          <w:rFonts w:ascii="Lato" w:eastAsia="Times New Roman" w:hAnsi="Lato" w:cs="Arial"/>
          <w:spacing w:val="4"/>
          <w:lang w:eastAsia="pl-PL"/>
        </w:rPr>
      </w:pPr>
      <w:bookmarkStart w:id="6" w:name="_Hlk170371860"/>
      <w:r w:rsidRPr="00577C5E">
        <w:rPr>
          <w:rFonts w:ascii="Lato" w:eastAsia="Times New Roman" w:hAnsi="Lato" w:cs="Arial"/>
          <w:spacing w:val="4"/>
          <w:lang w:eastAsia="pl-PL"/>
        </w:rPr>
        <w:t>w rozstrzygnięciu zaskarżonej decyzji, znajdując</w:t>
      </w:r>
      <w:r w:rsidR="00CD7723">
        <w:rPr>
          <w:rFonts w:ascii="Lato" w:eastAsia="Times New Roman" w:hAnsi="Lato" w:cs="Arial"/>
          <w:spacing w:val="4"/>
          <w:lang w:eastAsia="pl-PL"/>
        </w:rPr>
        <w:t>y</w:t>
      </w:r>
      <w:r w:rsidRPr="00577C5E">
        <w:rPr>
          <w:rFonts w:ascii="Lato" w:eastAsia="Times New Roman" w:hAnsi="Lato" w:cs="Arial"/>
          <w:spacing w:val="4"/>
          <w:lang w:eastAsia="pl-PL"/>
        </w:rPr>
        <w:t xml:space="preserve"> się na stronie 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577C5E">
        <w:rPr>
          <w:rFonts w:ascii="Lato" w:eastAsia="Times New Roman" w:hAnsi="Lato" w:cs="Arial"/>
          <w:spacing w:val="4"/>
          <w:lang w:eastAsia="pl-PL"/>
        </w:rPr>
        <w:t>, zapis stanowiąc</w:t>
      </w:r>
      <w:r>
        <w:rPr>
          <w:rFonts w:ascii="Lato" w:eastAsia="Times New Roman" w:hAnsi="Lato" w:cs="Arial"/>
          <w:spacing w:val="4"/>
          <w:lang w:eastAsia="pl-PL"/>
        </w:rPr>
        <w:t>y</w:t>
      </w:r>
      <w:r w:rsidRPr="00577C5E">
        <w:rPr>
          <w:rFonts w:ascii="Lato" w:eastAsia="Times New Roman" w:hAnsi="Lato" w:cs="Arial"/>
          <w:spacing w:val="4"/>
          <w:lang w:eastAsia="pl-PL"/>
        </w:rPr>
        <w:t xml:space="preserve"> dotychczasową treść pkt VII zaskarżonej decyzji,  </w:t>
      </w:r>
    </w:p>
    <w:bookmarkEnd w:id="6"/>
    <w:p w14:paraId="6654E124" w14:textId="77777777" w:rsidR="00C1630E" w:rsidRPr="00CB30AF" w:rsidRDefault="00C1630E" w:rsidP="00665EBB">
      <w:pPr>
        <w:spacing w:after="240" w:line="240" w:lineRule="exact"/>
        <w:ind w:left="284"/>
        <w:rPr>
          <w:rFonts w:ascii="Lato" w:eastAsia="Times New Roman" w:hAnsi="Lato" w:cs="Arial"/>
          <w:b/>
          <w:spacing w:val="4"/>
          <w:lang w:eastAsia="pl-PL"/>
        </w:rPr>
      </w:pPr>
      <w:r w:rsidRPr="00CB30AF">
        <w:rPr>
          <w:rFonts w:ascii="Lato" w:eastAsia="Times New Roman" w:hAnsi="Lato" w:cs="Arial"/>
          <w:b/>
          <w:spacing w:val="4"/>
          <w:lang w:eastAsia="pl-PL"/>
        </w:rPr>
        <w:t xml:space="preserve">i orzekam w tym zakresie </w:t>
      </w:r>
      <w:r w:rsidRPr="00CB30AF">
        <w:rPr>
          <w:rFonts w:ascii="Lato" w:eastAsia="Times New Roman" w:hAnsi="Lato" w:cs="Arial"/>
          <w:spacing w:val="4"/>
          <w:lang w:eastAsia="pl-PL"/>
        </w:rPr>
        <w:t>poprzez:</w:t>
      </w:r>
    </w:p>
    <w:p w14:paraId="614E1744" w14:textId="0AD217EF" w:rsidR="00C1630E" w:rsidRDefault="00C1630E" w:rsidP="00847CB2">
      <w:pPr>
        <w:numPr>
          <w:ilvl w:val="0"/>
          <w:numId w:val="12"/>
        </w:numPr>
        <w:spacing w:after="240" w:line="240" w:lineRule="exact"/>
        <w:ind w:left="567" w:hanging="283"/>
        <w:jc w:val="both"/>
        <w:rPr>
          <w:rFonts w:ascii="Lato" w:eastAsia="Times New Roman" w:hAnsi="Lato" w:cs="Arial"/>
          <w:spacing w:val="4"/>
          <w:lang w:eastAsia="pl-PL"/>
        </w:rPr>
      </w:pPr>
      <w:r w:rsidRPr="00847CB2">
        <w:rPr>
          <w:rFonts w:ascii="Lato" w:eastAsia="Calibri" w:hAnsi="Lato" w:cs="Arial"/>
          <w:spacing w:val="4"/>
        </w:rPr>
        <w:t xml:space="preserve">ustalenie, w rozstrzygnięciu </w:t>
      </w:r>
      <w:r w:rsidR="003C428B" w:rsidRPr="00847CB2">
        <w:rPr>
          <w:rFonts w:ascii="Lato" w:eastAsia="Calibri" w:hAnsi="Lato" w:cs="Arial"/>
          <w:spacing w:val="4"/>
        </w:rPr>
        <w:t xml:space="preserve">zaskarżonej </w:t>
      </w:r>
      <w:r w:rsidRPr="00847CB2">
        <w:rPr>
          <w:rFonts w:ascii="Lato" w:eastAsia="Calibri" w:hAnsi="Lato" w:cs="Arial"/>
          <w:spacing w:val="4"/>
        </w:rPr>
        <w:t xml:space="preserve">decyzji, w miejsce uchylenia, </w:t>
      </w:r>
      <w:r w:rsidRPr="00847CB2">
        <w:rPr>
          <w:rFonts w:ascii="Lato" w:eastAsia="Times New Roman" w:hAnsi="Lato" w:cs="Arial"/>
          <w:spacing w:val="4"/>
          <w:lang w:eastAsia="pl-PL"/>
        </w:rPr>
        <w:t>now</w:t>
      </w:r>
      <w:r w:rsidR="00436B08">
        <w:rPr>
          <w:rFonts w:ascii="Lato" w:eastAsia="Times New Roman" w:hAnsi="Lato" w:cs="Arial"/>
          <w:spacing w:val="4"/>
          <w:lang w:eastAsia="pl-PL"/>
        </w:rPr>
        <w:t>ych</w:t>
      </w:r>
      <w:r w:rsidRPr="00847CB2">
        <w:rPr>
          <w:rFonts w:ascii="Lato" w:eastAsia="Times New Roman" w:hAnsi="Lato" w:cs="Arial"/>
          <w:spacing w:val="4"/>
          <w:lang w:eastAsia="pl-PL"/>
        </w:rPr>
        <w:t xml:space="preserve"> zapis</w:t>
      </w:r>
      <w:r w:rsidR="00436B08">
        <w:rPr>
          <w:rFonts w:ascii="Lato" w:eastAsia="Times New Roman" w:hAnsi="Lato" w:cs="Arial"/>
          <w:spacing w:val="4"/>
          <w:lang w:eastAsia="pl-PL"/>
        </w:rPr>
        <w:t>ów</w:t>
      </w:r>
      <w:r w:rsidRPr="00847CB2">
        <w:rPr>
          <w:rFonts w:ascii="Lato" w:eastAsia="Times New Roman" w:hAnsi="Lato" w:cs="Arial"/>
          <w:spacing w:val="4"/>
          <w:lang w:eastAsia="pl-PL"/>
        </w:rPr>
        <w:t>:</w:t>
      </w:r>
    </w:p>
    <w:p w14:paraId="7388B135" w14:textId="2E43D595" w:rsidR="00847CB2" w:rsidRPr="00847CB2" w:rsidRDefault="00847CB2" w:rsidP="00847CB2">
      <w:pPr>
        <w:spacing w:after="120" w:line="240" w:lineRule="exact"/>
        <w:ind w:left="567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>„</w:t>
      </w:r>
      <w:r w:rsidRPr="00847CB2">
        <w:rPr>
          <w:rFonts w:ascii="Lato" w:eastAsia="Times New Roman" w:hAnsi="Lato" w:cs="Arial"/>
          <w:b/>
          <w:bCs/>
          <w:spacing w:val="4"/>
          <w:lang w:eastAsia="pl-PL"/>
        </w:rPr>
        <w:t>VII.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847CB2">
        <w:rPr>
          <w:rFonts w:ascii="Lato" w:eastAsia="Times New Roman" w:hAnsi="Lato" w:cs="Arial"/>
          <w:b/>
          <w:bCs/>
          <w:spacing w:val="4"/>
          <w:lang w:eastAsia="pl-PL"/>
        </w:rPr>
        <w:t>Oznaczenie nieruchomości, w stosunku do któr</w:t>
      </w:r>
      <w:r w:rsidR="00AE5289">
        <w:rPr>
          <w:rFonts w:ascii="Lato" w:eastAsia="Times New Roman" w:hAnsi="Lato" w:cs="Arial"/>
          <w:b/>
          <w:bCs/>
          <w:spacing w:val="4"/>
          <w:lang w:eastAsia="pl-PL"/>
        </w:rPr>
        <w:t>ej</w:t>
      </w:r>
      <w:r w:rsidRPr="00847CB2">
        <w:rPr>
          <w:rFonts w:ascii="Lato" w:eastAsia="Times New Roman" w:hAnsi="Lato" w:cs="Arial"/>
          <w:b/>
          <w:bCs/>
          <w:spacing w:val="4"/>
          <w:lang w:eastAsia="pl-PL"/>
        </w:rPr>
        <w:t xml:space="preserve"> niniejsza decyzja ma wywołać skutek, o którym mowa w art. 20 ust. 3 i 6 ustawy z dnia 24 kwietnia 2009 r. o inwestycjach w zakresie terminalu regazyfikacyjnego skroplonego gazu ziemnego w Świnoujściu:</w:t>
      </w:r>
    </w:p>
    <w:p w14:paraId="414928FA" w14:textId="5A945402" w:rsidR="00847CB2" w:rsidRDefault="00847CB2" w:rsidP="00847CB2">
      <w:pPr>
        <w:pStyle w:val="Akapitzlist"/>
        <w:numPr>
          <w:ilvl w:val="0"/>
          <w:numId w:val="19"/>
        </w:numPr>
        <w:spacing w:after="120" w:line="240" w:lineRule="exact"/>
        <w:contextualSpacing w:val="0"/>
        <w:jc w:val="both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spacing w:val="4"/>
          <w:lang w:eastAsia="pl-PL"/>
        </w:rPr>
        <w:t xml:space="preserve">Ustalam, że </w:t>
      </w:r>
      <w:r w:rsidR="00715DDF">
        <w:rPr>
          <w:rFonts w:ascii="Lato" w:eastAsia="Times New Roman" w:hAnsi="Lato" w:cs="Arial"/>
          <w:spacing w:val="4"/>
          <w:lang w:eastAsia="pl-PL"/>
        </w:rPr>
        <w:t xml:space="preserve">nieruchomość oznaczona jako </w:t>
      </w:r>
      <w:r>
        <w:rPr>
          <w:rFonts w:ascii="Lato" w:eastAsia="Times New Roman" w:hAnsi="Lato" w:cs="Arial"/>
          <w:spacing w:val="4"/>
          <w:lang w:eastAsia="pl-PL"/>
        </w:rPr>
        <w:t>działka</w:t>
      </w:r>
      <w:r w:rsidR="00715DDF">
        <w:rPr>
          <w:rFonts w:ascii="Lato" w:eastAsia="Times New Roman" w:hAnsi="Lato" w:cs="Arial"/>
          <w:spacing w:val="4"/>
          <w:lang w:eastAsia="pl-PL"/>
        </w:rPr>
        <w:t xml:space="preserve"> </w:t>
      </w:r>
      <w:r>
        <w:rPr>
          <w:rFonts w:ascii="Lato" w:eastAsia="Times New Roman" w:hAnsi="Lato" w:cs="Arial"/>
          <w:spacing w:val="4"/>
          <w:lang w:eastAsia="pl-PL"/>
        </w:rPr>
        <w:t xml:space="preserve">nr 216/22 (powstała </w:t>
      </w:r>
      <w:r w:rsidR="00715DDF">
        <w:rPr>
          <w:rFonts w:ascii="Lato" w:eastAsia="Times New Roman" w:hAnsi="Lato" w:cs="Arial"/>
          <w:spacing w:val="4"/>
          <w:lang w:eastAsia="pl-PL"/>
        </w:rPr>
        <w:br/>
      </w:r>
      <w:r>
        <w:rPr>
          <w:rFonts w:ascii="Lato" w:eastAsia="Times New Roman" w:hAnsi="Lato" w:cs="Arial"/>
          <w:spacing w:val="4"/>
          <w:lang w:eastAsia="pl-PL"/>
        </w:rPr>
        <w:t>z podziału działki nr 216/8), z obrębu Krężoły, gmina Sulechów (oznaczona tłustym drukiem w tabeli nr 1 znajdującej się w pkt VI</w:t>
      </w:r>
      <w:r w:rsidR="00AE5289">
        <w:rPr>
          <w:rFonts w:ascii="Lato" w:eastAsia="Times New Roman" w:hAnsi="Lato" w:cs="Arial"/>
          <w:spacing w:val="4"/>
          <w:lang w:eastAsia="pl-PL"/>
        </w:rPr>
        <w:t>.3</w:t>
      </w:r>
      <w:r>
        <w:rPr>
          <w:rFonts w:ascii="Lato" w:eastAsia="Times New Roman" w:hAnsi="Lato" w:cs="Arial"/>
          <w:spacing w:val="4"/>
          <w:lang w:eastAsia="pl-PL"/>
        </w:rPr>
        <w:t xml:space="preserve"> decyzji)</w:t>
      </w:r>
      <w:r w:rsidRPr="00847CB2">
        <w:t xml:space="preserve"> </w:t>
      </w:r>
      <w:r w:rsidRPr="00847CB2">
        <w:rPr>
          <w:rFonts w:ascii="Lato" w:eastAsia="Times New Roman" w:hAnsi="Lato" w:cs="Arial"/>
          <w:spacing w:val="4"/>
          <w:lang w:eastAsia="pl-PL"/>
        </w:rPr>
        <w:t>staj</w:t>
      </w:r>
      <w:r>
        <w:rPr>
          <w:rFonts w:ascii="Lato" w:eastAsia="Times New Roman" w:hAnsi="Lato" w:cs="Arial"/>
          <w:spacing w:val="4"/>
          <w:lang w:eastAsia="pl-PL"/>
        </w:rPr>
        <w:t>e</w:t>
      </w:r>
      <w:r w:rsidRPr="00847CB2">
        <w:rPr>
          <w:rFonts w:ascii="Lato" w:eastAsia="Times New Roman" w:hAnsi="Lato" w:cs="Arial"/>
          <w:spacing w:val="4"/>
          <w:lang w:eastAsia="pl-PL"/>
        </w:rPr>
        <w:t xml:space="preserve"> się z mocy prawa własnością Skarbu Państwa z dniem, w którym </w:t>
      </w:r>
      <w:r>
        <w:rPr>
          <w:rFonts w:ascii="Lato" w:eastAsia="Times New Roman" w:hAnsi="Lato" w:cs="Arial"/>
          <w:spacing w:val="4"/>
          <w:lang w:eastAsia="pl-PL"/>
        </w:rPr>
        <w:t xml:space="preserve">niniejsza </w:t>
      </w:r>
      <w:r w:rsidRPr="00847CB2">
        <w:rPr>
          <w:rFonts w:ascii="Lato" w:eastAsia="Times New Roman" w:hAnsi="Lato" w:cs="Arial"/>
          <w:spacing w:val="4"/>
          <w:lang w:eastAsia="pl-PL"/>
        </w:rPr>
        <w:t xml:space="preserve">decyzja </w:t>
      </w:r>
      <w:r w:rsidR="004406DA">
        <w:rPr>
          <w:rFonts w:ascii="Lato" w:eastAsia="Times New Roman" w:hAnsi="Lato" w:cs="Arial"/>
          <w:spacing w:val="4"/>
          <w:lang w:eastAsia="pl-PL"/>
        </w:rPr>
        <w:br/>
      </w:r>
      <w:r w:rsidRPr="00847CB2">
        <w:rPr>
          <w:rFonts w:ascii="Lato" w:eastAsia="Times New Roman" w:hAnsi="Lato" w:cs="Arial"/>
          <w:spacing w:val="4"/>
          <w:lang w:eastAsia="pl-PL"/>
        </w:rPr>
        <w:t>o ustaleniu lokalizacji inwestycji towarzyszącej inwestycjom w zakresie terminalu stała się ostateczna, za odszkodowaniem.</w:t>
      </w:r>
    </w:p>
    <w:p w14:paraId="39A41F73" w14:textId="6380F426" w:rsidR="00847CB2" w:rsidRDefault="00E039A5" w:rsidP="00E039A5">
      <w:pPr>
        <w:pStyle w:val="Akapitzlist"/>
        <w:numPr>
          <w:ilvl w:val="0"/>
          <w:numId w:val="19"/>
        </w:numPr>
        <w:spacing w:after="240" w:line="240" w:lineRule="exact"/>
        <w:ind w:left="924" w:hanging="357"/>
        <w:contextualSpacing w:val="0"/>
        <w:jc w:val="both"/>
        <w:rPr>
          <w:rFonts w:ascii="Lato" w:eastAsia="Times New Roman" w:hAnsi="Lato" w:cs="Arial"/>
          <w:spacing w:val="4"/>
          <w:lang w:eastAsia="pl-PL"/>
        </w:rPr>
      </w:pPr>
      <w:r w:rsidRPr="00E039A5">
        <w:rPr>
          <w:rFonts w:ascii="Lato" w:eastAsia="Times New Roman" w:hAnsi="Lato" w:cs="Arial"/>
          <w:spacing w:val="4"/>
          <w:lang w:eastAsia="pl-PL"/>
        </w:rPr>
        <w:t xml:space="preserve">Inwestor - </w:t>
      </w:r>
      <w:r w:rsidRPr="00E039A5">
        <w:rPr>
          <w:rFonts w:ascii="Lato" w:eastAsia="Times New Roman" w:hAnsi="Lato" w:cs="Arial"/>
          <w:bCs/>
          <w:spacing w:val="4"/>
          <w:lang w:eastAsia="pl-PL"/>
        </w:rPr>
        <w:t xml:space="preserve">Operator Gazociągów Przesyłowych GAZ-SYSTEM S.A. </w:t>
      </w:r>
      <w:r w:rsidRPr="00E039A5">
        <w:rPr>
          <w:rFonts w:ascii="Lato" w:eastAsia="Times New Roman" w:hAnsi="Lato" w:cs="Arial"/>
          <w:spacing w:val="4"/>
          <w:lang w:eastAsia="pl-PL"/>
        </w:rPr>
        <w:t xml:space="preserve">nabywa </w:t>
      </w:r>
      <w:r w:rsidR="004406DA">
        <w:rPr>
          <w:rFonts w:ascii="Lato" w:eastAsia="Times New Roman" w:hAnsi="Lato" w:cs="Arial"/>
          <w:spacing w:val="4"/>
          <w:lang w:eastAsia="pl-PL"/>
        </w:rPr>
        <w:br/>
      </w:r>
      <w:r w:rsidRPr="00E039A5">
        <w:rPr>
          <w:rFonts w:ascii="Lato" w:eastAsia="Times New Roman" w:hAnsi="Lato" w:cs="Arial"/>
          <w:spacing w:val="4"/>
          <w:lang w:eastAsia="pl-PL"/>
        </w:rPr>
        <w:t xml:space="preserve">z mocy prawa z dniem, w którym niniejsza decyzja o ustaleniu lokalizacji inwestycji towarzyszącej inwestycjom w zakresie terminalu stała się ostateczna, prawo użytkowania wieczystego </w:t>
      </w:r>
      <w:r w:rsidR="00715DDF">
        <w:rPr>
          <w:rFonts w:ascii="Lato" w:eastAsia="Times New Roman" w:hAnsi="Lato" w:cs="Arial"/>
          <w:spacing w:val="4"/>
          <w:lang w:eastAsia="pl-PL"/>
        </w:rPr>
        <w:t xml:space="preserve">nieruchomości oznaczonej jako </w:t>
      </w:r>
      <w:r w:rsidRPr="00E039A5">
        <w:rPr>
          <w:rFonts w:ascii="Lato" w:eastAsia="Times New Roman" w:hAnsi="Lato" w:cs="Arial"/>
          <w:spacing w:val="4"/>
          <w:lang w:eastAsia="pl-PL"/>
        </w:rPr>
        <w:t>działk</w:t>
      </w:r>
      <w:r w:rsidR="00715DDF">
        <w:rPr>
          <w:rFonts w:ascii="Lato" w:eastAsia="Times New Roman" w:hAnsi="Lato" w:cs="Arial"/>
          <w:spacing w:val="4"/>
          <w:lang w:eastAsia="pl-PL"/>
        </w:rPr>
        <w:t>a</w:t>
      </w:r>
      <w:r w:rsidRPr="00E039A5">
        <w:rPr>
          <w:rFonts w:ascii="Lato" w:eastAsia="Times New Roman" w:hAnsi="Lato" w:cs="Arial"/>
          <w:spacing w:val="4"/>
          <w:lang w:eastAsia="pl-PL"/>
        </w:rPr>
        <w:t xml:space="preserve"> nr 216/22 (powstałej z podziału działki nr 216/8), z obrębu Krężoły, oraz prawo własności budynków, innych urządzeń trwale z gruntem związanych i lokali znajdując</w:t>
      </w:r>
      <w:r w:rsidR="00CD7723">
        <w:rPr>
          <w:rFonts w:ascii="Lato" w:eastAsia="Times New Roman" w:hAnsi="Lato" w:cs="Arial"/>
          <w:spacing w:val="4"/>
          <w:lang w:eastAsia="pl-PL"/>
        </w:rPr>
        <w:t>ych</w:t>
      </w:r>
      <w:r w:rsidRPr="00E039A5">
        <w:rPr>
          <w:rFonts w:ascii="Lato" w:eastAsia="Times New Roman" w:hAnsi="Lato" w:cs="Arial"/>
          <w:spacing w:val="4"/>
          <w:lang w:eastAsia="pl-PL"/>
        </w:rPr>
        <w:t xml:space="preserve"> się na </w:t>
      </w:r>
      <w:r>
        <w:rPr>
          <w:rFonts w:ascii="Lato" w:eastAsia="Times New Roman" w:hAnsi="Lato" w:cs="Arial"/>
          <w:spacing w:val="4"/>
          <w:lang w:eastAsia="pl-PL"/>
        </w:rPr>
        <w:t xml:space="preserve">tej </w:t>
      </w:r>
      <w:r w:rsidRPr="00E039A5">
        <w:rPr>
          <w:rFonts w:ascii="Lato" w:eastAsia="Times New Roman" w:hAnsi="Lato" w:cs="Arial"/>
          <w:spacing w:val="4"/>
          <w:lang w:eastAsia="pl-PL"/>
        </w:rPr>
        <w:t>nieruchomości</w:t>
      </w:r>
      <w:r>
        <w:rPr>
          <w:rFonts w:ascii="Lato" w:eastAsia="Times New Roman" w:hAnsi="Lato" w:cs="Arial"/>
          <w:spacing w:val="4"/>
          <w:lang w:eastAsia="pl-PL"/>
        </w:rPr>
        <w:t>.</w:t>
      </w:r>
      <w:r w:rsidR="00715DDF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E039A5">
        <w:rPr>
          <w:rFonts w:ascii="Lato" w:eastAsia="Times New Roman" w:hAnsi="Lato" w:cs="Arial"/>
          <w:spacing w:val="4"/>
          <w:lang w:eastAsia="pl-PL"/>
        </w:rPr>
        <w:t>Nabycie prawa użytkowania wieczystego, prawa własności budynków, innych urządzeń trwale z gruntem związanych i lokali stwierdza wojewoda w drodze decyzji.</w:t>
      </w:r>
    </w:p>
    <w:p w14:paraId="274DEDBB" w14:textId="41F20BEE" w:rsidR="00E039A5" w:rsidRDefault="00E039A5" w:rsidP="00715DDF">
      <w:pPr>
        <w:pStyle w:val="Akapitzlist"/>
        <w:spacing w:after="120" w:line="240" w:lineRule="auto"/>
        <w:ind w:left="567"/>
        <w:contextualSpacing w:val="0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E039A5">
        <w:rPr>
          <w:rFonts w:ascii="Lato" w:eastAsia="Times New Roman" w:hAnsi="Lato" w:cs="Arial"/>
          <w:b/>
          <w:bCs/>
          <w:spacing w:val="4"/>
          <w:lang w:eastAsia="pl-PL"/>
        </w:rPr>
        <w:t>VII.1</w:t>
      </w:r>
      <w:r>
        <w:rPr>
          <w:rFonts w:ascii="Lato" w:eastAsia="Times New Roman" w:hAnsi="Lato" w:cs="Arial"/>
          <w:b/>
          <w:bCs/>
          <w:spacing w:val="4"/>
          <w:lang w:eastAsia="pl-PL"/>
        </w:rPr>
        <w:t>.</w:t>
      </w:r>
      <w:r w:rsidRPr="00E039A5">
        <w:rPr>
          <w:rFonts w:ascii="Lato" w:eastAsia="Times New Roman" w:hAnsi="Lato" w:cs="Arial"/>
          <w:b/>
          <w:bCs/>
          <w:spacing w:val="4"/>
          <w:lang w:eastAsia="x-none"/>
        </w:rPr>
        <w:t xml:space="preserve"> </w:t>
      </w:r>
      <w:r w:rsidRPr="00E039A5">
        <w:rPr>
          <w:rFonts w:ascii="Lato" w:eastAsia="Times New Roman" w:hAnsi="Lato" w:cs="Arial"/>
          <w:b/>
          <w:bCs/>
          <w:spacing w:val="4"/>
          <w:lang w:eastAsia="pl-PL"/>
        </w:rPr>
        <w:t>Oznaczenie nieruchomości, w stosunku do któr</w:t>
      </w:r>
      <w:r w:rsidR="00AE5289">
        <w:rPr>
          <w:rFonts w:ascii="Lato" w:eastAsia="Times New Roman" w:hAnsi="Lato" w:cs="Arial"/>
          <w:b/>
          <w:bCs/>
          <w:spacing w:val="4"/>
          <w:lang w:eastAsia="pl-PL"/>
        </w:rPr>
        <w:t>ej</w:t>
      </w:r>
      <w:r w:rsidRPr="00E039A5">
        <w:rPr>
          <w:rFonts w:ascii="Lato" w:eastAsia="Times New Roman" w:hAnsi="Lato" w:cs="Arial"/>
          <w:b/>
          <w:bCs/>
          <w:spacing w:val="4"/>
          <w:lang w:eastAsia="pl-PL"/>
        </w:rPr>
        <w:t xml:space="preserve"> niniejsza decyzja ma wywołać skutek, o którym mowa w art. 20 ust. 6a ustawy z dnia 24 kwietnia </w:t>
      </w:r>
      <w:r>
        <w:rPr>
          <w:rFonts w:ascii="Lato" w:eastAsia="Times New Roman" w:hAnsi="Lato" w:cs="Arial"/>
          <w:b/>
          <w:bCs/>
          <w:spacing w:val="4"/>
          <w:lang w:eastAsia="pl-PL"/>
        </w:rPr>
        <w:br/>
      </w:r>
      <w:r w:rsidRPr="00E039A5">
        <w:rPr>
          <w:rFonts w:ascii="Lato" w:eastAsia="Times New Roman" w:hAnsi="Lato" w:cs="Arial"/>
          <w:b/>
          <w:bCs/>
          <w:spacing w:val="4"/>
          <w:lang w:eastAsia="pl-PL"/>
        </w:rPr>
        <w:lastRenderedPageBreak/>
        <w:t>2009 r. o inwestycjach w zakresie terminalu regazyfikacyjnego skroplonego gazu ziemnego w Świnoujściu:</w:t>
      </w:r>
    </w:p>
    <w:p w14:paraId="1F3645F0" w14:textId="45AF7700" w:rsidR="00E039A5" w:rsidRPr="00F4523F" w:rsidRDefault="00E039A5" w:rsidP="00F4523F">
      <w:pPr>
        <w:pStyle w:val="Akapitzlist"/>
        <w:numPr>
          <w:ilvl w:val="0"/>
          <w:numId w:val="20"/>
        </w:numPr>
        <w:spacing w:after="120" w:line="240" w:lineRule="exact"/>
        <w:ind w:left="924" w:hanging="357"/>
        <w:contextualSpacing w:val="0"/>
        <w:jc w:val="both"/>
        <w:rPr>
          <w:rFonts w:ascii="Lato" w:eastAsia="Times New Roman" w:hAnsi="Lato" w:cs="Arial"/>
          <w:spacing w:val="4"/>
          <w:lang w:eastAsia="pl-PL"/>
        </w:rPr>
      </w:pPr>
      <w:r w:rsidRPr="00F4523F">
        <w:rPr>
          <w:rFonts w:ascii="Lato" w:eastAsia="Times New Roman" w:hAnsi="Lato" w:cs="Arial"/>
          <w:spacing w:val="4"/>
          <w:lang w:eastAsia="pl-PL"/>
        </w:rPr>
        <w:t xml:space="preserve">Inwestor - Operator Gazociągów Przesyłowych GAZ-SYSTEM S.A. nabywa </w:t>
      </w:r>
      <w:r w:rsidR="004406DA">
        <w:rPr>
          <w:rFonts w:ascii="Lato" w:eastAsia="Times New Roman" w:hAnsi="Lato" w:cs="Arial"/>
          <w:spacing w:val="4"/>
          <w:lang w:eastAsia="pl-PL"/>
        </w:rPr>
        <w:br/>
      </w:r>
      <w:r w:rsidRPr="00F4523F">
        <w:rPr>
          <w:rFonts w:ascii="Lato" w:eastAsia="Times New Roman" w:hAnsi="Lato" w:cs="Arial"/>
          <w:spacing w:val="4"/>
          <w:lang w:eastAsia="pl-PL"/>
        </w:rPr>
        <w:t xml:space="preserve">z mocy prawa z dniem, w którym </w:t>
      </w:r>
      <w:r w:rsidR="0009666A" w:rsidRPr="00F4523F">
        <w:rPr>
          <w:rFonts w:ascii="Lato" w:eastAsia="Times New Roman" w:hAnsi="Lato" w:cs="Arial"/>
          <w:spacing w:val="4"/>
          <w:lang w:eastAsia="pl-PL"/>
        </w:rPr>
        <w:t xml:space="preserve">niniejsza </w:t>
      </w:r>
      <w:r w:rsidRPr="00F4523F">
        <w:rPr>
          <w:rFonts w:ascii="Lato" w:eastAsia="Times New Roman" w:hAnsi="Lato" w:cs="Arial"/>
          <w:spacing w:val="4"/>
          <w:lang w:eastAsia="pl-PL"/>
        </w:rPr>
        <w:t xml:space="preserve">decyzja o ustaleniu lokalizacji inwestycji </w:t>
      </w:r>
      <w:r w:rsidR="0009666A" w:rsidRPr="00F4523F">
        <w:rPr>
          <w:rFonts w:ascii="Lato" w:eastAsia="Times New Roman" w:hAnsi="Lato" w:cs="Arial"/>
          <w:spacing w:val="4"/>
          <w:lang w:eastAsia="pl-PL"/>
        </w:rPr>
        <w:t xml:space="preserve">towarzyszącej inwestycjom w zakresie terminalu </w:t>
      </w:r>
      <w:r w:rsidR="0009666A" w:rsidRPr="0009666A">
        <w:rPr>
          <w:rFonts w:ascii="Lato" w:eastAsia="Times New Roman" w:hAnsi="Lato" w:cs="Arial"/>
          <w:spacing w:val="4"/>
          <w:lang w:eastAsia="pl-PL"/>
        </w:rPr>
        <w:t>stała się ostateczna</w:t>
      </w:r>
      <w:r w:rsidRPr="00F4523F">
        <w:rPr>
          <w:rFonts w:ascii="Lato" w:eastAsia="Times New Roman" w:hAnsi="Lato" w:cs="Arial"/>
          <w:spacing w:val="4"/>
          <w:lang w:eastAsia="pl-PL"/>
        </w:rPr>
        <w:t xml:space="preserve">, prawo użytkowania wieczystego </w:t>
      </w:r>
      <w:r w:rsidR="00715DDF" w:rsidRPr="00F4523F">
        <w:rPr>
          <w:rFonts w:ascii="Lato" w:eastAsia="Times New Roman" w:hAnsi="Lato" w:cs="Arial"/>
          <w:spacing w:val="4"/>
          <w:lang w:eastAsia="pl-PL"/>
        </w:rPr>
        <w:t xml:space="preserve">nieruchomości oznaczonej jako </w:t>
      </w:r>
      <w:r w:rsidR="0009666A" w:rsidRPr="00F4523F">
        <w:rPr>
          <w:rFonts w:ascii="Lato" w:eastAsia="Times New Roman" w:hAnsi="Lato" w:cs="Arial"/>
          <w:spacing w:val="4"/>
          <w:lang w:eastAsia="pl-PL"/>
        </w:rPr>
        <w:t>działk</w:t>
      </w:r>
      <w:r w:rsidR="00715DDF" w:rsidRPr="00F4523F">
        <w:rPr>
          <w:rFonts w:ascii="Lato" w:eastAsia="Times New Roman" w:hAnsi="Lato" w:cs="Arial"/>
          <w:spacing w:val="4"/>
          <w:lang w:eastAsia="pl-PL"/>
        </w:rPr>
        <w:t>a</w:t>
      </w:r>
      <w:r w:rsidR="0009666A" w:rsidRPr="00F4523F">
        <w:rPr>
          <w:rFonts w:ascii="Lato" w:eastAsia="Times New Roman" w:hAnsi="Lato" w:cs="Arial"/>
          <w:spacing w:val="4"/>
          <w:lang w:eastAsia="pl-PL"/>
        </w:rPr>
        <w:t xml:space="preserve"> nr 600/9 (powstałej z podziału działki nr 600/6), z </w:t>
      </w:r>
      <w:r w:rsidR="00715DDF" w:rsidRPr="00F4523F">
        <w:rPr>
          <w:rFonts w:ascii="Lato" w:eastAsia="Times New Roman" w:hAnsi="Lato" w:cs="Arial"/>
          <w:spacing w:val="4"/>
          <w:lang w:eastAsia="pl-PL"/>
        </w:rPr>
        <w:t xml:space="preserve">obrębu </w:t>
      </w:r>
      <w:r w:rsidR="0009666A" w:rsidRPr="00F4523F">
        <w:rPr>
          <w:rFonts w:ascii="Lato" w:eastAsia="Times New Roman" w:hAnsi="Lato" w:cs="Arial"/>
          <w:spacing w:val="4"/>
          <w:lang w:eastAsia="pl-PL"/>
        </w:rPr>
        <w:t>0001 Sulechów, gmina Sulechów (oznaczonej tłustym drukiem w tabeli nr 1 znajdującej się w pkt VI</w:t>
      </w:r>
      <w:r w:rsidR="00AE5289">
        <w:rPr>
          <w:rFonts w:ascii="Lato" w:eastAsia="Times New Roman" w:hAnsi="Lato" w:cs="Arial"/>
          <w:spacing w:val="4"/>
          <w:lang w:eastAsia="pl-PL"/>
        </w:rPr>
        <w:t>.3</w:t>
      </w:r>
      <w:r w:rsidR="0009666A" w:rsidRPr="00F4523F">
        <w:rPr>
          <w:rFonts w:ascii="Lato" w:eastAsia="Times New Roman" w:hAnsi="Lato" w:cs="Arial"/>
          <w:spacing w:val="4"/>
          <w:lang w:eastAsia="pl-PL"/>
        </w:rPr>
        <w:t xml:space="preserve"> decyzji)</w:t>
      </w:r>
      <w:r w:rsidRPr="00F4523F">
        <w:rPr>
          <w:rFonts w:ascii="Lato" w:eastAsia="Times New Roman" w:hAnsi="Lato" w:cs="Arial"/>
          <w:spacing w:val="4"/>
          <w:lang w:eastAsia="pl-PL"/>
        </w:rPr>
        <w:t>, oraz prawo własności budynków, innych urządzeń trwale z gruntem związanych i lokali znajdując</w:t>
      </w:r>
      <w:r w:rsidR="00CD7723">
        <w:rPr>
          <w:rFonts w:ascii="Lato" w:eastAsia="Times New Roman" w:hAnsi="Lato" w:cs="Arial"/>
          <w:spacing w:val="4"/>
          <w:lang w:eastAsia="pl-PL"/>
        </w:rPr>
        <w:t>ych</w:t>
      </w:r>
      <w:r w:rsidRPr="00F4523F">
        <w:rPr>
          <w:rFonts w:ascii="Lato" w:eastAsia="Times New Roman" w:hAnsi="Lato" w:cs="Arial"/>
          <w:spacing w:val="4"/>
          <w:lang w:eastAsia="pl-PL"/>
        </w:rPr>
        <w:t xml:space="preserve"> się na </w:t>
      </w:r>
      <w:r w:rsidR="00715DDF" w:rsidRPr="00F4523F">
        <w:rPr>
          <w:rFonts w:ascii="Lato" w:eastAsia="Times New Roman" w:hAnsi="Lato" w:cs="Arial"/>
          <w:spacing w:val="4"/>
          <w:lang w:eastAsia="pl-PL"/>
        </w:rPr>
        <w:t xml:space="preserve">tej </w:t>
      </w:r>
      <w:r w:rsidRPr="00F4523F">
        <w:rPr>
          <w:rFonts w:ascii="Lato" w:eastAsia="Times New Roman" w:hAnsi="Lato" w:cs="Arial"/>
          <w:spacing w:val="4"/>
          <w:lang w:eastAsia="pl-PL"/>
        </w:rPr>
        <w:t>nieruchomości.</w:t>
      </w:r>
      <w:r w:rsidR="00715DDF" w:rsidRPr="00F4523F">
        <w:rPr>
          <w:rFonts w:ascii="Lato" w:eastAsia="Times New Roman" w:hAnsi="Lato" w:cs="Arial"/>
          <w:spacing w:val="4"/>
          <w:lang w:eastAsia="pl-PL"/>
        </w:rPr>
        <w:t xml:space="preserve"> Nabycie prawa użytkowania wieczystego, prawa własności budynków, innych urządzeń trwale z gruntem związanych i lokali stwierdza wojewoda w drodze decyzji.</w:t>
      </w:r>
    </w:p>
    <w:p w14:paraId="15D2FB75" w14:textId="2B3A7F96" w:rsidR="00715DDF" w:rsidRPr="00D52902" w:rsidRDefault="00715DDF" w:rsidP="00436B08">
      <w:pPr>
        <w:pStyle w:val="Akapitzlist"/>
        <w:numPr>
          <w:ilvl w:val="0"/>
          <w:numId w:val="20"/>
        </w:numPr>
        <w:spacing w:after="240" w:line="240" w:lineRule="exact"/>
        <w:ind w:left="924" w:hanging="357"/>
        <w:contextualSpacing w:val="0"/>
        <w:jc w:val="both"/>
        <w:rPr>
          <w:rFonts w:ascii="Lato" w:eastAsia="Times New Roman" w:hAnsi="Lato" w:cs="Arial"/>
          <w:spacing w:val="4"/>
          <w:lang w:eastAsia="pl-PL"/>
        </w:rPr>
      </w:pPr>
      <w:r w:rsidRPr="00F4523F">
        <w:rPr>
          <w:rFonts w:ascii="Lato" w:eastAsia="Times New Roman" w:hAnsi="Lato" w:cs="Arial"/>
          <w:bCs/>
          <w:spacing w:val="4"/>
          <w:lang w:eastAsia="pl-PL"/>
        </w:rPr>
        <w:t xml:space="preserve">Prawo użytkowania wieczystego </w:t>
      </w:r>
      <w:r w:rsidR="00002B25">
        <w:rPr>
          <w:rFonts w:ascii="Lato" w:eastAsia="Times New Roman" w:hAnsi="Lato" w:cs="Arial"/>
          <w:bCs/>
          <w:spacing w:val="4"/>
          <w:lang w:eastAsia="pl-PL"/>
        </w:rPr>
        <w:t xml:space="preserve">przysługujące </w:t>
      </w:r>
      <w:r w:rsidR="00002B25" w:rsidRPr="00002B25">
        <w:rPr>
          <w:rFonts w:ascii="Lato" w:eastAsia="Times New Roman" w:hAnsi="Lato" w:cs="Arial"/>
          <w:bCs/>
          <w:iCs/>
          <w:spacing w:val="4"/>
          <w:lang w:eastAsia="pl-PL" w:bidi="pl-PL"/>
        </w:rPr>
        <w:t>Polskiej Spół</w:t>
      </w:r>
      <w:r w:rsidR="00002B25">
        <w:rPr>
          <w:rFonts w:ascii="Lato" w:eastAsia="Times New Roman" w:hAnsi="Lato" w:cs="Arial"/>
          <w:bCs/>
          <w:iCs/>
          <w:spacing w:val="4"/>
          <w:lang w:eastAsia="pl-PL" w:bidi="pl-PL"/>
        </w:rPr>
        <w:t>ce</w:t>
      </w:r>
      <w:r w:rsidR="00002B25" w:rsidRPr="00002B25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Gazownictwa </w:t>
      </w:r>
      <w:r w:rsidR="00002B25" w:rsidRPr="00002B25"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>Sp. z o.o.</w:t>
      </w:r>
      <w:r w:rsidR="00002B25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w odniesieniu do </w:t>
      </w:r>
      <w:r w:rsidRPr="00F4523F">
        <w:rPr>
          <w:rFonts w:ascii="Lato" w:eastAsia="Times New Roman" w:hAnsi="Lato" w:cs="Arial"/>
          <w:bCs/>
          <w:spacing w:val="4"/>
          <w:lang w:eastAsia="pl-PL"/>
        </w:rPr>
        <w:t xml:space="preserve">nieruchomości oznaczonej jako działka </w:t>
      </w:r>
      <w:r w:rsidR="00F4523F" w:rsidRPr="00F4523F">
        <w:rPr>
          <w:rFonts w:ascii="Lato" w:eastAsia="Times New Roman" w:hAnsi="Lato" w:cs="Arial"/>
          <w:bCs/>
          <w:spacing w:val="4"/>
          <w:lang w:eastAsia="pl-PL"/>
        </w:rPr>
        <w:t>nr 600/9 (powstałej z podziału działki nr 600/6), z obrębu 0001 Sulechów</w:t>
      </w:r>
      <w:r w:rsidRPr="00F4523F">
        <w:rPr>
          <w:rFonts w:ascii="Lato" w:eastAsia="Times New Roman" w:hAnsi="Lato" w:cs="Arial"/>
          <w:bCs/>
          <w:spacing w:val="4"/>
          <w:lang w:eastAsia="pl-PL"/>
        </w:rPr>
        <w:t xml:space="preserve">, wygasa </w:t>
      </w:r>
      <w:r w:rsidR="00002B25">
        <w:rPr>
          <w:rFonts w:ascii="Lato" w:eastAsia="Times New Roman" w:hAnsi="Lato" w:cs="Arial"/>
          <w:bCs/>
          <w:spacing w:val="4"/>
          <w:lang w:eastAsia="pl-PL"/>
        </w:rPr>
        <w:br/>
      </w:r>
      <w:r w:rsidRPr="00F4523F">
        <w:rPr>
          <w:rFonts w:ascii="Lato" w:eastAsia="Times New Roman" w:hAnsi="Lato" w:cs="Arial"/>
          <w:bCs/>
          <w:spacing w:val="4"/>
          <w:lang w:eastAsia="pl-PL"/>
        </w:rPr>
        <w:t xml:space="preserve">za odszkodowaniem z dniem, w którym </w:t>
      </w:r>
      <w:r w:rsidR="00F4523F" w:rsidRPr="00F4523F">
        <w:rPr>
          <w:rFonts w:ascii="Lato" w:eastAsia="Times New Roman" w:hAnsi="Lato" w:cs="Arial"/>
          <w:bCs/>
          <w:spacing w:val="4"/>
          <w:lang w:eastAsia="pl-PL"/>
        </w:rPr>
        <w:t xml:space="preserve">niniejsza decyzja o ustaleniu lokalizacji inwestycji towarzyszącej inwestycjom w zakresie terminalu </w:t>
      </w:r>
      <w:r w:rsidRPr="00F4523F">
        <w:rPr>
          <w:rFonts w:ascii="Lato" w:hAnsi="Lato"/>
          <w:spacing w:val="4"/>
        </w:rPr>
        <w:t>stała się ostateczna.</w:t>
      </w:r>
    </w:p>
    <w:p w14:paraId="76F32DB3" w14:textId="7F59E7A9" w:rsidR="00910E7C" w:rsidRDefault="00D52902" w:rsidP="00257DC5">
      <w:pPr>
        <w:spacing w:after="120" w:line="240" w:lineRule="exact"/>
        <w:ind w:left="567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910E7C">
        <w:rPr>
          <w:rFonts w:ascii="Lato" w:eastAsia="Times New Roman" w:hAnsi="Lato" w:cs="Arial"/>
          <w:spacing w:val="4"/>
          <w:lang w:eastAsia="pl-PL"/>
        </w:rPr>
        <w:t>Jednocześnie</w:t>
      </w:r>
      <w:r w:rsidR="00FB17BA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910E7C">
        <w:rPr>
          <w:rFonts w:ascii="Lato" w:eastAsia="Times New Roman" w:hAnsi="Lato" w:cs="Arial"/>
          <w:spacing w:val="4"/>
          <w:lang w:eastAsia="pl-PL"/>
        </w:rPr>
        <w:t xml:space="preserve">działając na </w:t>
      </w:r>
      <w:r w:rsidRPr="00910E7C">
        <w:rPr>
          <w:rFonts w:ascii="Lato" w:eastAsia="Times New Roman" w:hAnsi="Lato" w:cs="Arial"/>
          <w:iCs/>
          <w:spacing w:val="4"/>
          <w:lang w:eastAsia="pl-PL" w:bidi="pl-PL"/>
        </w:rPr>
        <w:t xml:space="preserve">podstawie art. 120 ustawy z dnia 21 sierpnia 1997 r. </w:t>
      </w:r>
      <w:r w:rsidRPr="00910E7C">
        <w:rPr>
          <w:rFonts w:ascii="Lato" w:eastAsia="Times New Roman" w:hAnsi="Lato" w:cs="Arial"/>
          <w:iCs/>
          <w:spacing w:val="4"/>
          <w:lang w:eastAsia="pl-PL" w:bidi="pl-PL"/>
        </w:rPr>
        <w:br/>
        <w:t xml:space="preserve">o gospodarce nieruchomościami w związku z art. </w:t>
      </w:r>
      <w:r w:rsidR="00910E7C" w:rsidRPr="00910E7C">
        <w:rPr>
          <w:rFonts w:ascii="Lato" w:eastAsia="Times New Roman" w:hAnsi="Lato" w:cs="Arial"/>
          <w:iCs/>
          <w:spacing w:val="4"/>
          <w:lang w:eastAsia="pl-PL" w:bidi="pl-PL"/>
        </w:rPr>
        <w:t>30</w:t>
      </w:r>
      <w:r w:rsidR="00910E7C" w:rsidRPr="00910E7C">
        <w:rPr>
          <w:rFonts w:ascii="Lato" w:eastAsia="Times New Roman" w:hAnsi="Lato" w:cs="Arial"/>
          <w:spacing w:val="4"/>
          <w:lang w:eastAsia="pl-PL"/>
        </w:rPr>
        <w:t xml:space="preserve"> </w:t>
      </w:r>
      <w:r w:rsidR="00910E7C" w:rsidRPr="00910E7C">
        <w:rPr>
          <w:rFonts w:ascii="Lato" w:eastAsia="Times New Roman" w:hAnsi="Lato" w:cs="Arial"/>
          <w:iCs/>
          <w:spacing w:val="4"/>
          <w:lang w:eastAsia="pl-PL" w:bidi="pl-PL"/>
        </w:rPr>
        <w:t xml:space="preserve">ustawy z dnia 24 kwietnia </w:t>
      </w:r>
      <w:r w:rsidR="00910E7C" w:rsidRPr="00910E7C">
        <w:rPr>
          <w:rFonts w:ascii="Lato" w:eastAsia="Times New Roman" w:hAnsi="Lato" w:cs="Arial"/>
          <w:iCs/>
          <w:spacing w:val="4"/>
          <w:lang w:eastAsia="pl-PL" w:bidi="pl-PL"/>
        </w:rPr>
        <w:br/>
        <w:t>2009 r. o inwestycjach w zakresie terminalu regazyfikacyjnego skroplonego gazu ziemnego w Świnoujściu</w:t>
      </w:r>
      <w:r w:rsidR="00910E7C">
        <w:rPr>
          <w:rFonts w:ascii="Lato" w:eastAsia="Times New Roman" w:hAnsi="Lato" w:cs="Arial"/>
          <w:iCs/>
          <w:spacing w:val="4"/>
          <w:lang w:eastAsia="pl-PL" w:bidi="pl-PL"/>
        </w:rPr>
        <w:t xml:space="preserve">, </w:t>
      </w:r>
      <w:r w:rsidR="00CB30AF">
        <w:rPr>
          <w:rFonts w:ascii="Lato" w:eastAsia="Times New Roman" w:hAnsi="Lato" w:cs="Arial"/>
          <w:iCs/>
          <w:spacing w:val="4"/>
          <w:lang w:eastAsia="pl-PL" w:bidi="pl-PL"/>
        </w:rPr>
        <w:t xml:space="preserve">ustanawiam </w:t>
      </w:r>
      <w:r w:rsidR="00FB17BA">
        <w:rPr>
          <w:rFonts w:ascii="Lato" w:eastAsia="Times New Roman" w:hAnsi="Lato" w:cs="Arial"/>
          <w:iCs/>
          <w:spacing w:val="4"/>
          <w:lang w:eastAsia="pl-PL" w:bidi="pl-PL"/>
        </w:rPr>
        <w:t xml:space="preserve">na rzecz </w:t>
      </w:r>
      <w:r w:rsidR="00FB17BA" w:rsidRPr="00FB17BA">
        <w:rPr>
          <w:rFonts w:ascii="Lato" w:eastAsia="Times New Roman" w:hAnsi="Lato" w:cs="Arial"/>
          <w:iCs/>
          <w:spacing w:val="4"/>
          <w:lang w:eastAsia="pl-PL" w:bidi="pl-PL"/>
        </w:rPr>
        <w:t xml:space="preserve">Polskiej Spółki Gazownictwa </w:t>
      </w:r>
      <w:r w:rsidR="00CB30AF">
        <w:rPr>
          <w:rFonts w:ascii="Lato" w:eastAsia="Times New Roman" w:hAnsi="Lato" w:cs="Arial"/>
          <w:iCs/>
          <w:spacing w:val="4"/>
          <w:lang w:eastAsia="pl-PL" w:bidi="pl-PL"/>
        </w:rPr>
        <w:br/>
      </w:r>
      <w:r w:rsidR="00FB17BA" w:rsidRPr="00FB17BA">
        <w:rPr>
          <w:rFonts w:ascii="Lato" w:eastAsia="Times New Roman" w:hAnsi="Lato" w:cs="Arial"/>
          <w:iCs/>
          <w:spacing w:val="4"/>
          <w:lang w:eastAsia="pl-PL" w:bidi="pl-PL"/>
        </w:rPr>
        <w:t>Sp. z o.o.</w:t>
      </w:r>
      <w:r w:rsidR="00571C51">
        <w:rPr>
          <w:rFonts w:ascii="Lato" w:eastAsia="Times New Roman" w:hAnsi="Lato" w:cs="Arial"/>
          <w:iCs/>
          <w:spacing w:val="4"/>
          <w:lang w:eastAsia="pl-PL" w:bidi="pl-PL"/>
        </w:rPr>
        <w:t xml:space="preserve"> nieodpłatną </w:t>
      </w:r>
      <w:r w:rsidR="00FB17BA">
        <w:rPr>
          <w:rFonts w:ascii="Lato" w:eastAsia="Times New Roman" w:hAnsi="Lato" w:cs="Arial"/>
          <w:iCs/>
          <w:spacing w:val="4"/>
          <w:lang w:eastAsia="pl-PL" w:bidi="pl-PL"/>
        </w:rPr>
        <w:t xml:space="preserve">służebność korzystania z </w:t>
      </w:r>
      <w:r w:rsidR="00FB17BA"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>nieruchomości oznaczonej jako działka nr 600/9 (powstałej z podziału działki nr 600/6), z obrębu 0001 Sulechów,</w:t>
      </w:r>
      <w:r w:rsidR="00146EAC">
        <w:rPr>
          <w:rFonts w:ascii="Lato" w:eastAsia="Calibri" w:hAnsi="Lato" w:cs="Times New Roman"/>
          <w:bCs/>
          <w:spacing w:val="4"/>
          <w:lang w:bidi="pl-PL"/>
        </w:rPr>
        <w:t xml:space="preserve"> </w:t>
      </w:r>
      <w:r w:rsidR="00FB17BA"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>jedn.ewid.080906_4</w:t>
      </w:r>
      <w:r w:rsidR="009A495B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FB17BA"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>Sulechów-miasto</w:t>
      </w:r>
      <w:r w:rsidR="00FB17B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, </w:t>
      </w:r>
      <w:r w:rsidR="00FB17BA"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w określonym </w:t>
      </w:r>
      <w:r w:rsidR="00FB17B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poniżej </w:t>
      </w:r>
      <w:bookmarkStart w:id="7" w:name="_Hlk218953329"/>
      <w:r w:rsidR="00FB17BA"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>zakresie oraz</w:t>
      </w:r>
      <w:r w:rsidR="00FB17B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FB17BA"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>sposobie:</w:t>
      </w:r>
    </w:p>
    <w:bookmarkEnd w:id="7"/>
    <w:p w14:paraId="4E349156" w14:textId="4F76C493" w:rsidR="00FB17BA" w:rsidRPr="00FB17BA" w:rsidRDefault="00FB17BA" w:rsidP="00257DC5">
      <w:pPr>
        <w:pStyle w:val="Akapitzlist"/>
        <w:numPr>
          <w:ilvl w:val="0"/>
          <w:numId w:val="22"/>
        </w:numPr>
        <w:spacing w:after="120" w:line="240" w:lineRule="exact"/>
        <w:ind w:left="851" w:hanging="284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>
        <w:rPr>
          <w:rFonts w:ascii="Lato" w:eastAsia="Times New Roman" w:hAnsi="Lato" w:cs="Arial"/>
          <w:iCs/>
          <w:spacing w:val="4"/>
          <w:lang w:eastAsia="pl-PL" w:bidi="pl-PL"/>
        </w:rPr>
        <w:t>z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>akres służebności w terenie został pokazany na załączniku graficznym</w:t>
      </w:r>
      <w:r w:rsidR="00146EAC">
        <w:rPr>
          <w:rFonts w:ascii="Lato" w:eastAsia="Times New Roman" w:hAnsi="Lato" w:cs="Arial"/>
          <w:iCs/>
          <w:spacing w:val="4"/>
          <w:lang w:eastAsia="pl-PL" w:bidi="pl-PL"/>
        </w:rPr>
        <w:t xml:space="preserve"> nr 1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 xml:space="preserve"> </w:t>
      </w:r>
      <w:r>
        <w:rPr>
          <w:rFonts w:ascii="Lato" w:eastAsia="Times New Roman" w:hAnsi="Lato" w:cs="Arial"/>
          <w:iCs/>
          <w:spacing w:val="4"/>
          <w:lang w:eastAsia="pl-PL" w:bidi="pl-PL"/>
        </w:rPr>
        <w:t xml:space="preserve">do decyzji w sprawie 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>ustaleni</w:t>
      </w:r>
      <w:r>
        <w:rPr>
          <w:rFonts w:ascii="Lato" w:eastAsia="Times New Roman" w:hAnsi="Lato" w:cs="Arial"/>
          <w:iCs/>
          <w:spacing w:val="4"/>
          <w:lang w:eastAsia="pl-PL" w:bidi="pl-PL"/>
        </w:rPr>
        <w:t>a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 xml:space="preserve"> lokalizacji </w:t>
      </w:r>
      <w:r>
        <w:rPr>
          <w:rFonts w:ascii="Lato" w:eastAsia="Times New Roman" w:hAnsi="Lato" w:cs="Arial"/>
          <w:iCs/>
          <w:spacing w:val="4"/>
          <w:lang w:eastAsia="pl-PL" w:bidi="pl-PL"/>
        </w:rPr>
        <w:t xml:space="preserve">przedmiotowej 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>inwestycji towarzyszącej inwestycjom w zakresie terminal</w:t>
      </w:r>
      <w:r>
        <w:rPr>
          <w:rFonts w:ascii="Lato" w:eastAsia="Times New Roman" w:hAnsi="Lato" w:cs="Arial"/>
          <w:iCs/>
          <w:spacing w:val="4"/>
          <w:lang w:eastAsia="pl-PL" w:bidi="pl-PL"/>
        </w:rPr>
        <w:t>u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>, na którym za pomocą legendy zostały wskazane miejsca, oraz podane</w:t>
      </w:r>
      <w:r>
        <w:rPr>
          <w:rFonts w:ascii="Lato" w:eastAsia="Times New Roman" w:hAnsi="Lato" w:cs="Arial"/>
          <w:iCs/>
          <w:spacing w:val="4"/>
          <w:lang w:eastAsia="pl-PL" w:bidi="pl-PL"/>
        </w:rPr>
        <w:t xml:space="preserve"> 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>zostały wielkości terenu</w:t>
      </w:r>
      <w:r w:rsidR="00146EAC">
        <w:rPr>
          <w:rFonts w:ascii="Lato" w:eastAsia="Times New Roman" w:hAnsi="Lato" w:cs="Arial"/>
          <w:iCs/>
          <w:spacing w:val="4"/>
          <w:lang w:eastAsia="pl-PL" w:bidi="pl-PL"/>
        </w:rPr>
        <w:t xml:space="preserve">, 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>a także wymienione zostały urządzenia podlegające służebności</w:t>
      </w:r>
      <w:r>
        <w:rPr>
          <w:rFonts w:ascii="Lato" w:eastAsia="Times New Roman" w:hAnsi="Lato" w:cs="Arial"/>
          <w:iCs/>
          <w:spacing w:val="4"/>
          <w:lang w:eastAsia="pl-PL" w:bidi="pl-PL"/>
        </w:rPr>
        <w:t xml:space="preserve"> </w:t>
      </w:r>
      <w:r w:rsidRPr="00FB17BA">
        <w:rPr>
          <w:rFonts w:ascii="Lato" w:eastAsia="Times New Roman" w:hAnsi="Lato" w:cs="Arial"/>
          <w:iCs/>
          <w:spacing w:val="4"/>
          <w:lang w:eastAsia="pl-PL" w:bidi="pl-PL"/>
        </w:rPr>
        <w:t>na czas nieokreślony. Są to następujące elementy i wielkości terenu:</w:t>
      </w:r>
    </w:p>
    <w:p w14:paraId="67881985" w14:textId="26F453A0" w:rsidR="00FB17BA" w:rsidRPr="00852FE3" w:rsidRDefault="00FB17BA" w:rsidP="00257DC5">
      <w:pPr>
        <w:pStyle w:val="Akapitzlist"/>
        <w:numPr>
          <w:ilvl w:val="0"/>
          <w:numId w:val="23"/>
        </w:numPr>
        <w:spacing w:after="120" w:line="240" w:lineRule="exact"/>
        <w:ind w:left="1134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przyłącze gazu n/c DN 50: kolor czerwony, pas eksploatacyjny o szerokości 1</w:t>
      </w:r>
      <w:r w:rsidR="00D9428F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m (po 0,5 m od osi gazociągu), o długości ok. 5,0</w:t>
      </w:r>
      <w:r w:rsidR="00E23774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m</w:t>
      </w:r>
      <w:r w:rsidR="009A495B">
        <w:rPr>
          <w:rFonts w:ascii="Lato" w:eastAsia="Times New Roman" w:hAnsi="Lato" w:cs="Arial"/>
          <w:bCs/>
          <w:iCs/>
          <w:spacing w:val="4"/>
          <w:lang w:eastAsia="pl-PL" w:bidi="pl-PL"/>
        </w:rPr>
        <w:t>,</w:t>
      </w:r>
    </w:p>
    <w:p w14:paraId="3E6C885A" w14:textId="249F10CE" w:rsidR="00FB17BA" w:rsidRPr="00852FE3" w:rsidRDefault="00FB17BA" w:rsidP="00257DC5">
      <w:pPr>
        <w:pStyle w:val="Akapitzlist"/>
        <w:numPr>
          <w:ilvl w:val="0"/>
          <w:numId w:val="23"/>
        </w:numPr>
        <w:spacing w:after="120" w:line="240" w:lineRule="exact"/>
        <w:ind w:left="1134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gazociąg ś/c DN 225: kolor zielony, pas eksploatacyjny o szerokości 1</w:t>
      </w:r>
      <w:r w:rsidR="006A6EAC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m </w:t>
      </w:r>
      <w:r w:rsidR="009A495B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(po 0,5 m od osi gazociągu), o długości ok</w:t>
      </w:r>
      <w:r w:rsidR="00D9428F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21</w:t>
      </w:r>
      <w:r w:rsidR="00D9428F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m,</w:t>
      </w:r>
    </w:p>
    <w:p w14:paraId="1AC2F57C" w14:textId="46363BB3" w:rsidR="00FB17BA" w:rsidRPr="00852FE3" w:rsidRDefault="00FB17BA" w:rsidP="00257DC5">
      <w:pPr>
        <w:pStyle w:val="Akapitzlist"/>
        <w:numPr>
          <w:ilvl w:val="0"/>
          <w:numId w:val="23"/>
        </w:numPr>
        <w:spacing w:after="120" w:line="240" w:lineRule="exact"/>
        <w:ind w:left="1134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g</w:t>
      </w:r>
      <w:r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>azociąg ś/c DN 200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: </w:t>
      </w:r>
      <w:r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kolor niebieski, pas eksploatacyjny o szerokości </w:t>
      </w:r>
      <w:r w:rsidR="00D9428F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1 </w:t>
      </w:r>
      <w:r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m </w:t>
      </w:r>
      <w:r w:rsidR="00D9428F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FB17BA">
        <w:rPr>
          <w:rFonts w:ascii="Lato" w:eastAsia="Times New Roman" w:hAnsi="Lato" w:cs="Arial"/>
          <w:bCs/>
          <w:iCs/>
          <w:spacing w:val="4"/>
          <w:lang w:eastAsia="pl-PL" w:bidi="pl-PL"/>
        </w:rPr>
        <w:t>(po 0,5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m od osi gazociągu), o długości ok</w:t>
      </w:r>
      <w:r w:rsidR="00D9428F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3,5</w:t>
      </w:r>
      <w:r w:rsidR="00D9428F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m,</w:t>
      </w:r>
    </w:p>
    <w:p w14:paraId="0A0AF5ED" w14:textId="299D18B9" w:rsidR="00D9428F" w:rsidRPr="00852FE3" w:rsidRDefault="00D9428F" w:rsidP="00257DC5">
      <w:pPr>
        <w:pStyle w:val="Akapitzlist"/>
        <w:numPr>
          <w:ilvl w:val="0"/>
          <w:numId w:val="23"/>
        </w:numPr>
        <w:spacing w:after="120" w:line="240" w:lineRule="exact"/>
        <w:ind w:left="1134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>gazociąg ś/c DN 110</w:t>
      </w:r>
      <w:r w:rsidR="006A6EAC"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PE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: kolor różowy, pas eksploatacyjny o szerokości 1 m </w:t>
      </w:r>
      <w:r w:rsidRPr="00852FE3">
        <w:rPr>
          <w:rFonts w:ascii="Lato" w:eastAsia="Times New Roman" w:hAnsi="Lato" w:cs="Arial"/>
          <w:bCs/>
          <w:iCs/>
          <w:spacing w:val="4"/>
          <w:lang w:eastAsia="pl-PL" w:bidi="pl-PL"/>
        </w:rPr>
        <w:br/>
        <w:t>(po 0,5m od osi gazociągu), o długości ok. 5,0 m.</w:t>
      </w:r>
    </w:p>
    <w:p w14:paraId="731A9D8D" w14:textId="2DE629F4" w:rsidR="00D9428F" w:rsidRDefault="00257DC5" w:rsidP="00257DC5">
      <w:pPr>
        <w:pStyle w:val="Akapitzlist"/>
        <w:numPr>
          <w:ilvl w:val="0"/>
          <w:numId w:val="22"/>
        </w:numPr>
        <w:spacing w:after="120" w:line="240" w:lineRule="exact"/>
        <w:ind w:left="851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u</w:t>
      </w:r>
      <w:r w:rsidR="00D9428F"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stanowiona służebność polega</w:t>
      </w:r>
      <w:r w:rsidR="00D9428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D9428F"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na:</w:t>
      </w:r>
    </w:p>
    <w:p w14:paraId="693EEF88" w14:textId="642BD78A" w:rsidR="00D9428F" w:rsidRDefault="00D9428F" w:rsidP="00257DC5">
      <w:pPr>
        <w:pStyle w:val="Akapitzlist"/>
        <w:numPr>
          <w:ilvl w:val="0"/>
          <w:numId w:val="25"/>
        </w:numPr>
        <w:spacing w:after="120" w:line="240" w:lineRule="exact"/>
        <w:ind w:left="1134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prawie do posadowienia na nieruchomości przedmiotowej sieci gazowej,</w:t>
      </w:r>
    </w:p>
    <w:p w14:paraId="42D3D7A9" w14:textId="21087055" w:rsidR="00D9428F" w:rsidRDefault="00D9428F" w:rsidP="00257DC5">
      <w:pPr>
        <w:pStyle w:val="Akapitzlist"/>
        <w:numPr>
          <w:ilvl w:val="0"/>
          <w:numId w:val="25"/>
        </w:numPr>
        <w:spacing w:after="120" w:line="240" w:lineRule="exact"/>
        <w:ind w:left="1134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prawie do korzystania z nieruchomości w zakresie niezbędnym do:</w:t>
      </w:r>
    </w:p>
    <w:p w14:paraId="76F72CD2" w14:textId="3B9D9723" w:rsidR="00D9428F" w:rsidRDefault="00D9428F" w:rsidP="00257DC5">
      <w:pPr>
        <w:pStyle w:val="Akapitzlist"/>
        <w:numPr>
          <w:ilvl w:val="0"/>
          <w:numId w:val="26"/>
        </w:numPr>
        <w:spacing w:after="120" w:line="240" w:lineRule="exact"/>
        <w:ind w:left="1418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dystrybucji gazu siecią dystrybucyjną,</w:t>
      </w:r>
    </w:p>
    <w:p w14:paraId="01042103" w14:textId="1A602D39" w:rsidR="00257DC5" w:rsidRPr="00257DC5" w:rsidRDefault="00D9428F" w:rsidP="00257DC5">
      <w:pPr>
        <w:pStyle w:val="Akapitzlist"/>
        <w:numPr>
          <w:ilvl w:val="0"/>
          <w:numId w:val="26"/>
        </w:numPr>
        <w:spacing w:after="120" w:line="240" w:lineRule="exact"/>
        <w:ind w:left="1418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wstępu, przechodu, przejazdu, swobodnego dostępu do sieci dystrybucyjnej, w celu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wykonywania czy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>n</w:t>
      </w: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ności związanych </w:t>
      </w:r>
      <w:r w:rsidR="00146EAC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lastRenderedPageBreak/>
        <w:t>z posadowieniem sieci dystrybucyjnej,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naprawami, remontami, eksploatacją, konserwacją sieci dystrybucyjnych objętych</w:t>
      </w:r>
      <w:r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D9428F">
        <w:rPr>
          <w:rFonts w:ascii="Lato" w:eastAsia="Times New Roman" w:hAnsi="Lato" w:cs="Arial"/>
          <w:bCs/>
          <w:iCs/>
          <w:spacing w:val="4"/>
          <w:lang w:eastAsia="pl-PL" w:bidi="pl-PL"/>
        </w:rPr>
        <w:t>zakresem służebności</w:t>
      </w:r>
      <w:r w:rsidR="005A5EEC">
        <w:rPr>
          <w:rFonts w:ascii="Lato" w:eastAsia="Times New Roman" w:hAnsi="Lato" w:cs="Arial"/>
          <w:bCs/>
          <w:iCs/>
          <w:spacing w:val="4"/>
          <w:lang w:eastAsia="pl-PL" w:bidi="pl-PL"/>
        </w:rPr>
        <w:t>.</w:t>
      </w:r>
    </w:p>
    <w:p w14:paraId="328B4D77" w14:textId="47B9C399" w:rsidR="00E039A5" w:rsidRPr="003B655F" w:rsidRDefault="00D9428F" w:rsidP="00257DC5">
      <w:pPr>
        <w:pStyle w:val="Akapitzlist"/>
        <w:numPr>
          <w:ilvl w:val="0"/>
          <w:numId w:val="25"/>
        </w:numPr>
        <w:spacing w:after="240" w:line="240" w:lineRule="exact"/>
        <w:ind w:left="1134" w:hanging="283"/>
        <w:contextualSpacing w:val="0"/>
        <w:jc w:val="both"/>
        <w:rPr>
          <w:rFonts w:ascii="Lato" w:eastAsia="Times New Roman" w:hAnsi="Lato" w:cs="Arial"/>
          <w:bCs/>
          <w:iCs/>
          <w:spacing w:val="4"/>
          <w:lang w:eastAsia="pl-PL" w:bidi="pl-PL"/>
        </w:rPr>
      </w:pPr>
      <w:r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>ograniczeni</w:t>
      </w:r>
      <w:r w:rsidR="00CB30AF"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>u</w:t>
      </w:r>
      <w:r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właściciela</w:t>
      </w:r>
      <w:r w:rsidR="00DB6AC2"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>/</w:t>
      </w:r>
      <w:r w:rsidR="009A495B"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>użytkownika wieczystego</w:t>
      </w:r>
      <w:r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DB6AC2"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nieruchomości </w:t>
      </w:r>
      <w:r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>w prawie do wykonywania w oznaczonym pasie eksploatacyjnym działań mogących mieć negatywny wpływ na trwałość, prawidłową eksploatację oraz ewentualną naprawę sieci dystrybucyjnej, w szczególności poprzez powstrzymanie się od</w:t>
      </w:r>
      <w:r w:rsidR="00BA20F7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>wznoszenia obiektów budowlanych, urządzania stałych składów i magazynów, nasadzania i utrzymywania drzew.</w:t>
      </w:r>
      <w:r w:rsidR="00F94F2B" w:rsidRPr="003B655F">
        <w:rPr>
          <w:rFonts w:ascii="Lato" w:eastAsia="Times New Roman" w:hAnsi="Lato" w:cs="Arial"/>
          <w:bCs/>
          <w:iCs/>
          <w:spacing w:val="4"/>
          <w:lang w:eastAsia="pl-PL" w:bidi="pl-PL"/>
        </w:rPr>
        <w:t>”,</w:t>
      </w:r>
    </w:p>
    <w:p w14:paraId="7390C4D0" w14:textId="088CC6F8" w:rsidR="00637E4A" w:rsidRPr="00257DC5" w:rsidRDefault="00C1630E" w:rsidP="00257DC5">
      <w:pPr>
        <w:numPr>
          <w:ilvl w:val="0"/>
          <w:numId w:val="13"/>
        </w:numPr>
        <w:spacing w:after="240" w:line="240" w:lineRule="exact"/>
        <w:ind w:left="567" w:hanging="283"/>
        <w:jc w:val="both"/>
        <w:rPr>
          <w:rFonts w:ascii="Lato" w:eastAsia="Calibri" w:hAnsi="Lato" w:cs="Arial"/>
          <w:bCs/>
          <w:spacing w:val="4"/>
        </w:rPr>
      </w:pPr>
      <w:r w:rsidRPr="00257DC5">
        <w:rPr>
          <w:rFonts w:ascii="Lato" w:eastAsia="Calibri" w:hAnsi="Lato" w:cs="Arial"/>
          <w:bCs/>
          <w:spacing w:val="4"/>
          <w:lang w:bidi="pl-PL"/>
        </w:rPr>
        <w:t>zatwierdzenie</w:t>
      </w:r>
      <w:r w:rsidR="00257DC5" w:rsidRPr="00257DC5">
        <w:rPr>
          <w:rFonts w:ascii="Lato" w:eastAsia="Calibri" w:hAnsi="Lato" w:cs="Arial"/>
          <w:bCs/>
          <w:spacing w:val="4"/>
          <w:lang w:bidi="pl-PL"/>
        </w:rPr>
        <w:t xml:space="preserve"> map</w:t>
      </w:r>
      <w:r w:rsidR="00257DC5" w:rsidRPr="00257DC5">
        <w:rPr>
          <w:rFonts w:ascii="Lato" w:eastAsia="Calibri" w:hAnsi="Lato" w:cs="Arial"/>
          <w:bCs/>
          <w:iCs/>
          <w:spacing w:val="4"/>
          <w:lang w:bidi="pl-PL"/>
        </w:rPr>
        <w:t xml:space="preserve">y przedstawiającej zakres służebności na działce nr 600/9, </w:t>
      </w:r>
      <w:r w:rsidR="00257DC5" w:rsidRPr="00257DC5">
        <w:rPr>
          <w:rFonts w:ascii="Lato" w:eastAsia="Calibri" w:hAnsi="Lato" w:cs="Arial"/>
          <w:bCs/>
          <w:iCs/>
          <w:spacing w:val="4"/>
          <w:lang w:bidi="pl-PL"/>
        </w:rPr>
        <w:br/>
        <w:t>z obrębu 0001 Sulechów</w:t>
      </w:r>
      <w:r w:rsidR="00637E4A" w:rsidRPr="00257DC5">
        <w:rPr>
          <w:rFonts w:ascii="Lato" w:eastAsia="Calibri" w:hAnsi="Lato" w:cs="Arial"/>
          <w:bCs/>
          <w:spacing w:val="4"/>
        </w:rPr>
        <w:t xml:space="preserve">, </w:t>
      </w:r>
      <w:r w:rsidR="00637E4A" w:rsidRPr="00257DC5">
        <w:rPr>
          <w:rFonts w:ascii="Lato" w:eastAsia="Calibri" w:hAnsi="Lato" w:cs="Arial"/>
          <w:spacing w:val="4"/>
        </w:rPr>
        <w:t>stanowiącej załącznik nr 1 do niniejszej decyzji.</w:t>
      </w:r>
    </w:p>
    <w:p w14:paraId="5616266A" w14:textId="039F2AB6" w:rsidR="00C1630E" w:rsidRPr="00257DC5" w:rsidRDefault="00C1630E" w:rsidP="00CE0AD1">
      <w:pPr>
        <w:numPr>
          <w:ilvl w:val="0"/>
          <w:numId w:val="11"/>
        </w:numPr>
        <w:tabs>
          <w:tab w:val="left" w:pos="284"/>
        </w:tabs>
        <w:spacing w:after="600" w:line="240" w:lineRule="exact"/>
        <w:ind w:left="284" w:hanging="142"/>
        <w:rPr>
          <w:rFonts w:ascii="Lato" w:eastAsia="Times New Roman" w:hAnsi="Lato" w:cs="Arial"/>
          <w:spacing w:val="4"/>
          <w:lang w:eastAsia="pl-PL"/>
        </w:rPr>
      </w:pPr>
      <w:r w:rsidRPr="00257DC5">
        <w:rPr>
          <w:rFonts w:ascii="Lato" w:eastAsia="Times New Roman" w:hAnsi="Lato" w:cs="Arial"/>
          <w:b/>
          <w:spacing w:val="4"/>
          <w:lang w:eastAsia="pl-PL"/>
        </w:rPr>
        <w:t xml:space="preserve">W pozostałej części </w:t>
      </w:r>
      <w:r w:rsidR="00713FDF" w:rsidRPr="00257DC5">
        <w:rPr>
          <w:rFonts w:ascii="Lato" w:eastAsia="Times New Roman" w:hAnsi="Lato" w:cs="Arial"/>
          <w:b/>
          <w:spacing w:val="4"/>
          <w:lang w:eastAsia="pl-PL"/>
        </w:rPr>
        <w:t xml:space="preserve">zaskarżoną </w:t>
      </w:r>
      <w:r w:rsidRPr="00257DC5">
        <w:rPr>
          <w:rFonts w:ascii="Lato" w:eastAsia="Times New Roman" w:hAnsi="Lato" w:cs="Arial"/>
          <w:b/>
          <w:spacing w:val="4"/>
          <w:lang w:eastAsia="pl-PL"/>
        </w:rPr>
        <w:t>decyzję</w:t>
      </w:r>
      <w:r w:rsidRPr="00257DC5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257DC5">
        <w:rPr>
          <w:rFonts w:ascii="Lato" w:eastAsia="Times New Roman" w:hAnsi="Lato" w:cs="Arial"/>
          <w:b/>
          <w:spacing w:val="4"/>
          <w:lang w:eastAsia="pl-PL"/>
        </w:rPr>
        <w:t xml:space="preserve">utrzymuję w mocy. </w:t>
      </w:r>
    </w:p>
    <w:p w14:paraId="03ECE99F" w14:textId="77777777" w:rsidR="00C1630E" w:rsidRPr="00C1630E" w:rsidRDefault="00C1630E" w:rsidP="00665EBB">
      <w:pPr>
        <w:spacing w:after="240" w:line="240" w:lineRule="exact"/>
        <w:ind w:left="74"/>
        <w:jc w:val="center"/>
        <w:outlineLvl w:val="0"/>
        <w:rPr>
          <w:rFonts w:ascii="Lato" w:eastAsia="Times New Roman" w:hAnsi="Lato" w:cs="Times New Roman"/>
          <w:lang w:eastAsia="pl-PL"/>
        </w:rPr>
      </w:pPr>
      <w:r w:rsidRPr="00C1630E">
        <w:rPr>
          <w:rFonts w:ascii="Lato" w:eastAsia="Times New Roman" w:hAnsi="Lato" w:cs="Arial"/>
          <w:b/>
          <w:bCs/>
          <w:spacing w:val="4"/>
          <w:lang w:eastAsia="pl-PL"/>
        </w:rPr>
        <w:t>UZASADNIENIE</w:t>
      </w:r>
    </w:p>
    <w:p w14:paraId="08FE91FA" w14:textId="645B8808" w:rsidR="001C7EB7" w:rsidRPr="00C9689C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Arial"/>
          <w:spacing w:val="4"/>
        </w:rPr>
        <w:t xml:space="preserve">Wnioskiem z dnia </w:t>
      </w:r>
      <w:r w:rsidR="001C7EB7" w:rsidRPr="00C9689C">
        <w:rPr>
          <w:rFonts w:ascii="Lato" w:eastAsia="Calibri" w:hAnsi="Lato" w:cs="Arial"/>
          <w:spacing w:val="4"/>
        </w:rPr>
        <w:t xml:space="preserve">7 marca </w:t>
      </w:r>
      <w:r w:rsidRPr="00C9689C">
        <w:rPr>
          <w:rFonts w:ascii="Lato" w:eastAsia="Calibri" w:hAnsi="Lato" w:cs="Arial"/>
          <w:spacing w:val="4"/>
        </w:rPr>
        <w:t>202</w:t>
      </w:r>
      <w:r w:rsidR="001C7EB7" w:rsidRPr="00C9689C">
        <w:rPr>
          <w:rFonts w:ascii="Lato" w:eastAsia="Calibri" w:hAnsi="Lato" w:cs="Arial"/>
          <w:spacing w:val="4"/>
        </w:rPr>
        <w:t>2</w:t>
      </w:r>
      <w:r w:rsidRPr="00C9689C">
        <w:rPr>
          <w:rFonts w:ascii="Lato" w:eastAsia="Calibri" w:hAnsi="Lato" w:cs="Arial"/>
          <w:spacing w:val="4"/>
        </w:rPr>
        <w:t xml:space="preserve"> r., uzupełnionym w trakcie prowadzonego </w:t>
      </w:r>
      <w:r w:rsidRPr="00C9689C">
        <w:rPr>
          <w:rFonts w:ascii="Lato" w:eastAsia="Calibri" w:hAnsi="Lato" w:cs="Times New Roman"/>
          <w:bCs/>
          <w:spacing w:val="4"/>
        </w:rPr>
        <w:t xml:space="preserve">postępowania, Operator Gazociągów Przesyłowych GAZ-SYSTEM S.A. z siedzibą </w:t>
      </w:r>
      <w:r w:rsidR="0009148A" w:rsidRPr="00C9689C">
        <w:rPr>
          <w:rFonts w:ascii="Lato" w:eastAsia="Calibri" w:hAnsi="Lato" w:cs="Times New Roman"/>
          <w:bCs/>
          <w:spacing w:val="4"/>
        </w:rPr>
        <w:br/>
      </w:r>
      <w:r w:rsidRPr="00C9689C">
        <w:rPr>
          <w:rFonts w:ascii="Lato" w:eastAsia="Calibri" w:hAnsi="Lato" w:cs="Times New Roman"/>
          <w:bCs/>
          <w:spacing w:val="4"/>
        </w:rPr>
        <w:t>w Warszawie, zwana dalej „inwestorem”, wystąpił</w:t>
      </w:r>
      <w:r w:rsidR="00A65DA5" w:rsidRPr="00C9689C">
        <w:rPr>
          <w:rFonts w:ascii="Lato" w:eastAsia="Calibri" w:hAnsi="Lato" w:cs="Times New Roman"/>
          <w:bCs/>
          <w:spacing w:val="4"/>
        </w:rPr>
        <w:t>a</w:t>
      </w:r>
      <w:r w:rsidRPr="00C9689C">
        <w:rPr>
          <w:rFonts w:ascii="Lato" w:eastAsia="Calibri" w:hAnsi="Lato" w:cs="Times New Roman"/>
          <w:bCs/>
          <w:spacing w:val="4"/>
        </w:rPr>
        <w:t xml:space="preserve"> do Wojewody </w:t>
      </w:r>
      <w:r w:rsidR="001C7EB7" w:rsidRPr="00C9689C">
        <w:rPr>
          <w:rFonts w:ascii="Lato" w:eastAsia="Calibri" w:hAnsi="Lato" w:cs="Times New Roman"/>
          <w:bCs/>
          <w:spacing w:val="4"/>
        </w:rPr>
        <w:t xml:space="preserve">Lubuskiego </w:t>
      </w:r>
      <w:r w:rsidRPr="00C9689C">
        <w:rPr>
          <w:rFonts w:ascii="Lato" w:eastAsia="Calibri" w:hAnsi="Lato" w:cs="Times New Roman"/>
          <w:bCs/>
          <w:spacing w:val="4"/>
        </w:rPr>
        <w:t xml:space="preserve">o wydanie decyzji o ustaleniu lokalizacji inwestycji towarzyszącej inwestycjom w zakresie terminalu regazyfikacyjnego skroplonego gazu ziemnego w Świnoujściu dla inwestycji </w:t>
      </w:r>
      <w:r w:rsidR="001C7EB7" w:rsidRPr="00C9689C">
        <w:rPr>
          <w:rFonts w:ascii="Lato" w:eastAsia="Calibri" w:hAnsi="Lato" w:cs="Times New Roman"/>
          <w:bCs/>
          <w:spacing w:val="4"/>
        </w:rPr>
        <w:t>polegającej na budowie gazociągu MOP 8,4 MPa Nowe Tłoki – Sulechów w ramach budowy gazociągu Kotowo – Zielona Góra wraz z infrastruktur</w:t>
      </w:r>
      <w:r w:rsidR="00BB2410">
        <w:rPr>
          <w:rFonts w:ascii="Lato" w:eastAsia="Calibri" w:hAnsi="Lato" w:cs="Times New Roman"/>
          <w:bCs/>
          <w:spacing w:val="4"/>
        </w:rPr>
        <w:t>ą</w:t>
      </w:r>
      <w:r w:rsidR="001C7EB7" w:rsidRPr="00C9689C">
        <w:rPr>
          <w:rFonts w:ascii="Lato" w:eastAsia="Calibri" w:hAnsi="Lato" w:cs="Times New Roman"/>
          <w:bCs/>
          <w:spacing w:val="4"/>
        </w:rPr>
        <w:t xml:space="preserve"> niezbędną do ich obsługi na terenie gminy Sulechów (etap II)</w:t>
      </w:r>
      <w:r w:rsidR="000A2F59" w:rsidRPr="00C9689C">
        <w:rPr>
          <w:rFonts w:ascii="Lato" w:eastAsia="Calibri" w:hAnsi="Lato" w:cs="Times New Roman"/>
          <w:bCs/>
          <w:spacing w:val="4"/>
        </w:rPr>
        <w:t>.</w:t>
      </w:r>
    </w:p>
    <w:p w14:paraId="3251465A" w14:textId="5C741381" w:rsidR="000A2F59" w:rsidRPr="00C9689C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spacing w:val="4"/>
        </w:rPr>
        <w:t xml:space="preserve">Po przeprowadzeniu postępowania w sprawie ww. wniosku, Wojewoda </w:t>
      </w:r>
      <w:r w:rsidR="000A2F59" w:rsidRPr="00C9689C">
        <w:rPr>
          <w:rFonts w:ascii="Lato" w:eastAsia="Calibri" w:hAnsi="Lato" w:cs="Times New Roman"/>
          <w:bCs/>
          <w:spacing w:val="4"/>
        </w:rPr>
        <w:t xml:space="preserve">Lubuski </w:t>
      </w:r>
      <w:r w:rsidRPr="00C9689C">
        <w:rPr>
          <w:rFonts w:ascii="Lato" w:eastAsia="Calibri" w:hAnsi="Lato" w:cs="Times New Roman"/>
          <w:bCs/>
          <w:spacing w:val="4"/>
        </w:rPr>
        <w:t xml:space="preserve">wydał w dniu </w:t>
      </w:r>
      <w:r w:rsidR="000A2F59" w:rsidRPr="00C9689C">
        <w:rPr>
          <w:rFonts w:ascii="Lato" w:eastAsia="Calibri" w:hAnsi="Lato" w:cs="Times New Roman"/>
          <w:bCs/>
          <w:spacing w:val="4"/>
        </w:rPr>
        <w:t xml:space="preserve">29 kwietnia </w:t>
      </w:r>
      <w:r w:rsidRPr="00C9689C">
        <w:rPr>
          <w:rFonts w:ascii="Lato" w:eastAsia="Calibri" w:hAnsi="Lato" w:cs="Times New Roman"/>
          <w:bCs/>
          <w:spacing w:val="4"/>
        </w:rPr>
        <w:t>202</w:t>
      </w:r>
      <w:r w:rsidR="000A2F59" w:rsidRPr="00C9689C">
        <w:rPr>
          <w:rFonts w:ascii="Lato" w:eastAsia="Calibri" w:hAnsi="Lato" w:cs="Times New Roman"/>
          <w:bCs/>
          <w:spacing w:val="4"/>
        </w:rPr>
        <w:t>2</w:t>
      </w:r>
      <w:r w:rsidRPr="00C9689C">
        <w:rPr>
          <w:rFonts w:ascii="Lato" w:eastAsia="Calibri" w:hAnsi="Lato" w:cs="Times New Roman"/>
          <w:bCs/>
          <w:spacing w:val="4"/>
        </w:rPr>
        <w:t xml:space="preserve"> r.</w:t>
      </w:r>
      <w:r w:rsidR="00A65DA5" w:rsidRPr="00C9689C">
        <w:rPr>
          <w:rFonts w:ascii="Lato" w:eastAsia="Calibri" w:hAnsi="Lato" w:cs="Times New Roman"/>
          <w:bCs/>
          <w:spacing w:val="4"/>
        </w:rPr>
        <w:t xml:space="preserve"> decyzję</w:t>
      </w:r>
      <w:r w:rsidR="000A2F59" w:rsidRPr="00C9689C">
        <w:rPr>
          <w:rFonts w:ascii="Lato" w:eastAsia="Calibri" w:hAnsi="Lato" w:cs="Times New Roman"/>
          <w:bCs/>
          <w:spacing w:val="4"/>
        </w:rPr>
        <w:t xml:space="preserve"> Nr 2/2022</w:t>
      </w:r>
      <w:r w:rsidR="00A65DA5" w:rsidRPr="00C9689C">
        <w:rPr>
          <w:rFonts w:ascii="Lato" w:eastAsia="Calibri" w:hAnsi="Lato" w:cs="Times New Roman"/>
          <w:bCs/>
          <w:spacing w:val="4"/>
        </w:rPr>
        <w:t xml:space="preserve"> </w:t>
      </w:r>
      <w:r w:rsidRPr="00C9689C">
        <w:rPr>
          <w:rFonts w:ascii="Lato" w:eastAsia="Calibri" w:hAnsi="Lato" w:cs="Times New Roman"/>
          <w:bCs/>
          <w:spacing w:val="4"/>
        </w:rPr>
        <w:t xml:space="preserve">znak: </w:t>
      </w:r>
      <w:r w:rsidR="000A2F59" w:rsidRPr="00C9689C">
        <w:rPr>
          <w:rFonts w:ascii="Lato" w:eastAsia="Calibri" w:hAnsi="Lato" w:cs="Times New Roman"/>
          <w:bCs/>
          <w:spacing w:val="4"/>
        </w:rPr>
        <w:t>IB-I.747.4.2022.JRaj, o ustaleniu lokalizacji inwestycji towarzyszącej inwestycjom w zakresie terminalu regazyfikacyjnego skroplonego gazu ziemnego w Świnoujściu dla inwestycji polegającej na budowie gazociągu MOP 8,4 MPa Nowe Tłoki – Sulechów w ramach budowy gazociągu Kotowo – Zielona Góra wraz z infrastruktur</w:t>
      </w:r>
      <w:r w:rsidR="00BB2410">
        <w:rPr>
          <w:rFonts w:ascii="Lato" w:eastAsia="Calibri" w:hAnsi="Lato" w:cs="Times New Roman"/>
          <w:bCs/>
          <w:spacing w:val="4"/>
        </w:rPr>
        <w:t>ą</w:t>
      </w:r>
      <w:r w:rsidR="000A2F59" w:rsidRPr="00C9689C">
        <w:rPr>
          <w:rFonts w:ascii="Lato" w:eastAsia="Calibri" w:hAnsi="Lato" w:cs="Times New Roman"/>
          <w:bCs/>
          <w:spacing w:val="4"/>
        </w:rPr>
        <w:t xml:space="preserve"> niezbędną do ich obsługi na terenie gminy Sulechów (etap II)</w:t>
      </w:r>
      <w:r w:rsidR="00DF7F86" w:rsidRPr="00C9689C">
        <w:rPr>
          <w:rFonts w:ascii="Lato" w:eastAsia="Calibri" w:hAnsi="Lato" w:cs="Times New Roman"/>
          <w:bCs/>
          <w:spacing w:val="4"/>
        </w:rPr>
        <w:t xml:space="preserve">, zwaną dalej „decyzją Wojewody </w:t>
      </w:r>
      <w:r w:rsidR="000A2F59" w:rsidRPr="00C9689C">
        <w:rPr>
          <w:rFonts w:ascii="Lato" w:eastAsia="Calibri" w:hAnsi="Lato" w:cs="Times New Roman"/>
          <w:bCs/>
          <w:spacing w:val="4"/>
        </w:rPr>
        <w:t xml:space="preserve">Lubuskiego”. </w:t>
      </w:r>
    </w:p>
    <w:p w14:paraId="63917C9E" w14:textId="32ABF39A" w:rsidR="00370924" w:rsidRPr="00C9689C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spacing w:val="4"/>
        </w:rPr>
        <w:t xml:space="preserve">Od decyzji Wojewody </w:t>
      </w:r>
      <w:r w:rsidR="000A2F59" w:rsidRPr="00C9689C">
        <w:rPr>
          <w:rFonts w:ascii="Lato" w:eastAsia="Calibri" w:hAnsi="Lato" w:cs="Times New Roman"/>
          <w:bCs/>
          <w:spacing w:val="4"/>
        </w:rPr>
        <w:t xml:space="preserve">Lubuskiego </w:t>
      </w:r>
      <w:r w:rsidRPr="00C9689C">
        <w:rPr>
          <w:rFonts w:ascii="Lato" w:eastAsia="Calibri" w:hAnsi="Lato" w:cs="Times New Roman"/>
          <w:bCs/>
          <w:spacing w:val="4"/>
        </w:rPr>
        <w:t>odwołani</w:t>
      </w:r>
      <w:r w:rsidR="000A2F59" w:rsidRPr="00C9689C">
        <w:rPr>
          <w:rFonts w:ascii="Lato" w:eastAsia="Calibri" w:hAnsi="Lato" w:cs="Times New Roman"/>
          <w:bCs/>
          <w:spacing w:val="4"/>
        </w:rPr>
        <w:t>e</w:t>
      </w:r>
      <w:r w:rsidRPr="00C9689C">
        <w:rPr>
          <w:rFonts w:ascii="Lato" w:eastAsia="Calibri" w:hAnsi="Lato" w:cs="Times New Roman"/>
          <w:bCs/>
          <w:spacing w:val="4"/>
        </w:rPr>
        <w:t xml:space="preserve">, za pośrednictwem organu I instancji, </w:t>
      </w:r>
      <w:r w:rsidR="000A2F59" w:rsidRPr="00C9689C">
        <w:rPr>
          <w:rFonts w:ascii="Lato" w:eastAsia="Calibri" w:hAnsi="Lato" w:cs="Times New Roman"/>
          <w:bCs/>
          <w:spacing w:val="4"/>
        </w:rPr>
        <w:t xml:space="preserve">wniosła Polska Spółka Gazownictwa Sp. z o.o. z siedzibą w Tarnowie Oddział Zakład Gazowniczy w Gorzowie Wlkp., zwana dalej „PSG”. </w:t>
      </w:r>
      <w:r w:rsidR="002A4029" w:rsidRPr="00C9689C">
        <w:rPr>
          <w:rFonts w:ascii="Lato" w:eastAsia="Calibri" w:hAnsi="Lato" w:cs="Times New Roman"/>
          <w:bCs/>
          <w:spacing w:val="4"/>
        </w:rPr>
        <w:t xml:space="preserve">Odwołanie wniesiono w terminie. </w:t>
      </w:r>
      <w:r w:rsidR="002A4029" w:rsidRPr="00C9689C">
        <w:rPr>
          <w:rFonts w:ascii="Lato" w:eastAsia="Calibri" w:hAnsi="Lato" w:cs="Times New Roman"/>
          <w:bCs/>
          <w:spacing w:val="4"/>
        </w:rPr>
        <w:br/>
      </w:r>
      <w:r w:rsidR="000A2F59" w:rsidRPr="00C9689C">
        <w:rPr>
          <w:rFonts w:ascii="Lato" w:eastAsia="Calibri" w:hAnsi="Lato" w:cs="Times New Roman"/>
          <w:bCs/>
          <w:spacing w:val="4"/>
        </w:rPr>
        <w:t>W odwołaniu z dnia 12 maja 2022 r.</w:t>
      </w:r>
      <w:r w:rsidR="002A4029" w:rsidRPr="00C9689C">
        <w:rPr>
          <w:rFonts w:ascii="Lato" w:eastAsia="Calibri" w:hAnsi="Lato" w:cs="Times New Roman"/>
          <w:bCs/>
          <w:spacing w:val="4"/>
        </w:rPr>
        <w:t xml:space="preserve">, uzupełnionym pismem z dnia 5 sierpnia 2022 r., </w:t>
      </w:r>
      <w:r w:rsidR="000A2F59" w:rsidRPr="00C9689C">
        <w:rPr>
          <w:rFonts w:ascii="Lato" w:eastAsia="Calibri" w:hAnsi="Lato" w:cs="Times New Roman"/>
          <w:bCs/>
          <w:spacing w:val="4"/>
        </w:rPr>
        <w:t xml:space="preserve">skarżąca spółka </w:t>
      </w:r>
      <w:r w:rsidR="00A72233" w:rsidRPr="00C9689C">
        <w:rPr>
          <w:rFonts w:ascii="Lato" w:eastAsia="Calibri" w:hAnsi="Lato" w:cs="Times New Roman"/>
          <w:bCs/>
          <w:spacing w:val="4"/>
        </w:rPr>
        <w:t>podni</w:t>
      </w:r>
      <w:r w:rsidR="002A4029" w:rsidRPr="00C9689C">
        <w:rPr>
          <w:rFonts w:ascii="Lato" w:eastAsia="Calibri" w:hAnsi="Lato" w:cs="Times New Roman"/>
          <w:bCs/>
          <w:spacing w:val="4"/>
        </w:rPr>
        <w:t>osła</w:t>
      </w:r>
      <w:r w:rsidR="00A72233" w:rsidRPr="00C9689C">
        <w:rPr>
          <w:rFonts w:ascii="Lato" w:eastAsia="Calibri" w:hAnsi="Lato" w:cs="Times New Roman"/>
          <w:bCs/>
          <w:spacing w:val="4"/>
        </w:rPr>
        <w:t xml:space="preserve"> zarzuty odnoszące się do </w:t>
      </w:r>
      <w:r w:rsidR="00A72233" w:rsidRPr="00C9689C">
        <w:rPr>
          <w:rFonts w:ascii="Lato" w:eastAsia="Calibri" w:hAnsi="Lato" w:cs="Times New Roman"/>
          <w:bCs/>
          <w:iCs/>
          <w:spacing w:val="4"/>
        </w:rPr>
        <w:t>decyzji Wojewody</w:t>
      </w:r>
      <w:r w:rsidR="002A4029" w:rsidRPr="00C9689C">
        <w:rPr>
          <w:rFonts w:ascii="Lato" w:eastAsia="Calibri" w:hAnsi="Lato" w:cs="Times New Roman"/>
          <w:bCs/>
          <w:iCs/>
          <w:spacing w:val="4"/>
        </w:rPr>
        <w:t xml:space="preserve"> Lubuskiego</w:t>
      </w:r>
      <w:r w:rsidR="00A72233" w:rsidRPr="00C9689C">
        <w:rPr>
          <w:rFonts w:ascii="Lato" w:eastAsia="Calibri" w:hAnsi="Lato" w:cs="Times New Roman"/>
          <w:bCs/>
          <w:spacing w:val="4"/>
        </w:rPr>
        <w:t>, określi</w:t>
      </w:r>
      <w:r w:rsidR="002A4029" w:rsidRPr="00C9689C">
        <w:rPr>
          <w:rFonts w:ascii="Lato" w:eastAsia="Calibri" w:hAnsi="Lato" w:cs="Times New Roman"/>
          <w:bCs/>
          <w:spacing w:val="4"/>
        </w:rPr>
        <w:t>ła</w:t>
      </w:r>
      <w:r w:rsidR="00A72233" w:rsidRPr="00C9689C">
        <w:rPr>
          <w:rFonts w:ascii="Lato" w:eastAsia="Calibri" w:hAnsi="Lato" w:cs="Times New Roman"/>
          <w:bCs/>
          <w:spacing w:val="4"/>
        </w:rPr>
        <w:t xml:space="preserve"> istotę i zakres żądania będącego przedmiotem odwołania oraz wskaza</w:t>
      </w:r>
      <w:r w:rsidR="002A4029" w:rsidRPr="00C9689C">
        <w:rPr>
          <w:rFonts w:ascii="Lato" w:eastAsia="Calibri" w:hAnsi="Lato" w:cs="Times New Roman"/>
          <w:bCs/>
          <w:spacing w:val="4"/>
        </w:rPr>
        <w:t>ła</w:t>
      </w:r>
      <w:r w:rsidR="00A72233" w:rsidRPr="00C9689C">
        <w:rPr>
          <w:rFonts w:ascii="Lato" w:eastAsia="Calibri" w:hAnsi="Lato" w:cs="Times New Roman"/>
          <w:bCs/>
          <w:spacing w:val="4"/>
        </w:rPr>
        <w:t xml:space="preserve"> </w:t>
      </w:r>
      <w:r w:rsidR="003B655F">
        <w:rPr>
          <w:rFonts w:ascii="Lato" w:eastAsia="Calibri" w:hAnsi="Lato" w:cs="Times New Roman"/>
          <w:bCs/>
          <w:spacing w:val="4"/>
        </w:rPr>
        <w:br/>
      </w:r>
      <w:r w:rsidR="00A72233" w:rsidRPr="00C9689C">
        <w:rPr>
          <w:rFonts w:ascii="Lato" w:eastAsia="Calibri" w:hAnsi="Lato" w:cs="Times New Roman"/>
          <w:bCs/>
          <w:spacing w:val="4"/>
        </w:rPr>
        <w:t>na dowody uzasadniające to żądanie</w:t>
      </w:r>
      <w:r w:rsidR="00685F27" w:rsidRPr="00C9689C">
        <w:rPr>
          <w:rFonts w:ascii="Lato" w:eastAsia="Calibri" w:hAnsi="Lato" w:cs="Times New Roman"/>
          <w:bCs/>
          <w:spacing w:val="4"/>
        </w:rPr>
        <w:t>.</w:t>
      </w:r>
    </w:p>
    <w:p w14:paraId="591E4FCA" w14:textId="77777777" w:rsidR="00370924" w:rsidRPr="00C9689C" w:rsidRDefault="00370924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  <w:lang w:eastAsia="pl-PL"/>
        </w:rPr>
      </w:pPr>
      <w:r w:rsidRPr="00C9689C">
        <w:rPr>
          <w:rFonts w:ascii="Lato" w:eastAsia="Times New Roman" w:hAnsi="Lato" w:cs="Times New Roman"/>
          <w:spacing w:val="4"/>
          <w:lang w:eastAsia="pl-PL"/>
        </w:rPr>
        <w:t xml:space="preserve">Organ odwoławczy </w:t>
      </w:r>
      <w:r w:rsidRPr="00C9689C">
        <w:rPr>
          <w:rFonts w:ascii="Lato" w:eastAsia="Times New Roman" w:hAnsi="Lato" w:cs="Times New Roman"/>
          <w:bCs/>
          <w:spacing w:val="4"/>
          <w:lang w:eastAsia="pl-PL"/>
        </w:rPr>
        <w:t xml:space="preserve">stwierdził, co następuje. Na wstępie wyjaśnić należy, iż </w:t>
      </w:r>
      <w:r w:rsidRPr="00C9689C">
        <w:rPr>
          <w:rFonts w:ascii="Lato" w:eastAsia="Times New Roman" w:hAnsi="Lato" w:cs="Arial"/>
          <w:bCs/>
          <w:spacing w:val="4"/>
          <w:lang w:eastAsia="pl-PL"/>
        </w:rPr>
        <w:t xml:space="preserve">właściwym w przedmiotowej sprawie – stosownie do treści rozporządzenia Prezesa Rady Ministrów z dnia 25 lipca 2025 r. w sprawie szczegółowego zakresu działania Ministra Finansów </w:t>
      </w:r>
      <w:r w:rsidRPr="00C9689C">
        <w:rPr>
          <w:rFonts w:ascii="Lato" w:eastAsia="Times New Roman" w:hAnsi="Lato" w:cs="Arial"/>
          <w:bCs/>
          <w:spacing w:val="4"/>
          <w:lang w:eastAsia="pl-PL"/>
        </w:rPr>
        <w:br/>
        <w:t>i Gospodarki (Dz.U. z 2025 r. poz. 997) – jest obecnie Minister Finansów i Gospodarki, zwany dalej „Ministrem”. Natomiast zgodnie z § 1 ust. 4 pkt 1 lit. a i b ww. rozporządzenia Prezesa Rady Ministrów z dnia 25 lipca 2025 r. obsługę Ministra Finansów i Gospodarki zapewnia Ministerstwo Rozwoju i Technologii w zakresie działów administracji rządowej: budownictwo, planowanie i zagospodarowanie przestrzenne oraz mieszkalnictwo; gospodarka.</w:t>
      </w:r>
    </w:p>
    <w:p w14:paraId="16708FCB" w14:textId="77777777" w:rsidR="00C1630E" w:rsidRPr="00C9689C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spacing w:val="4"/>
        </w:rPr>
        <w:lastRenderedPageBreak/>
        <w:t xml:space="preserve">Kompetencje organu odwoławczego obejmują korygowanie zarówno wad prawnych decyzji organu I instancji, polegających na niewłaściwym zastosowaniu przepisu prawa materialnego, bądź postępowania administracyjnego, jak i wad polegających </w:t>
      </w:r>
      <w:r w:rsidRPr="00C9689C">
        <w:rPr>
          <w:rFonts w:ascii="Lato" w:eastAsia="Calibri" w:hAnsi="Lato" w:cs="Times New Roman"/>
          <w:bCs/>
          <w:spacing w:val="4"/>
        </w:rPr>
        <w:br/>
        <w:t xml:space="preserve">na niewłaściwej ocenie okoliczności faktycznych. Zgodnie z ogólnie przyjętą zasadą, organy administracji publicznej powinny działać wnikliwie, prowadząc wyczerpujące postępowanie dowodowe w celu uzyskania prawdy obiektywnej, a fakty istotne </w:t>
      </w:r>
      <w:r w:rsidRPr="00C9689C">
        <w:rPr>
          <w:rFonts w:ascii="Lato" w:eastAsia="Calibri" w:hAnsi="Lato" w:cs="Times New Roman"/>
          <w:bCs/>
          <w:spacing w:val="4"/>
        </w:rPr>
        <w:br/>
        <w:t xml:space="preserve">dla podjęcia rozstrzygnięcia powinny zostać w miarę możliwości bezsprzecznie ustalone. Obowiązek ten wynika z art. 7 i art. 77 kpa. Dlatego też trafność rozstrzygnięcia </w:t>
      </w:r>
      <w:r w:rsidRPr="00C9689C">
        <w:rPr>
          <w:rFonts w:ascii="Lato" w:eastAsia="Calibri" w:hAnsi="Lato" w:cs="Times New Roman"/>
          <w:bCs/>
          <w:spacing w:val="4"/>
        </w:rPr>
        <w:br/>
        <w:t>w każdym indywidualnym przypadku wymaga szczegółowego zbadania i rozważenia wszelkich argumentów, które stanowiłyby podstawę do przyjęcia określonego stanowiska. Wydając decyzję, organ zobowiązany jest do przestrzegania przepisów kpa, a przede wszystkim do podejmowania wszelkich działań niezbędnych do dokładnego wyjaśnienia stanu faktycznego.</w:t>
      </w:r>
    </w:p>
    <w:p w14:paraId="1DD53532" w14:textId="77777777" w:rsidR="00571C51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spacing w:val="4"/>
        </w:rPr>
        <w:t xml:space="preserve">Mając na uwadze powyższe, w trakcie przeprowadzonego postępowania odwoławczego Minister rozpatrzył ponownie wniosek inwestora o wydanie przedmiotowej decyzji </w:t>
      </w:r>
      <w:r w:rsidRPr="00C9689C">
        <w:rPr>
          <w:rFonts w:ascii="Lato" w:eastAsia="Calibri" w:hAnsi="Lato" w:cs="Times New Roman"/>
          <w:bCs/>
          <w:spacing w:val="4"/>
        </w:rPr>
        <w:br/>
        <w:t xml:space="preserve">o </w:t>
      </w:r>
      <w:bookmarkStart w:id="8" w:name="_Hlk189655155"/>
      <w:r w:rsidRPr="00C9689C">
        <w:rPr>
          <w:rFonts w:ascii="Lato" w:eastAsia="Calibri" w:hAnsi="Lato" w:cs="Times New Roman"/>
          <w:bCs/>
          <w:spacing w:val="4"/>
        </w:rPr>
        <w:t>ustaleniu lokalizacji inwestycji towarzyszącej inwestycjom w zakresie terminalu</w:t>
      </w:r>
      <w:bookmarkEnd w:id="8"/>
      <w:r w:rsidRPr="00C9689C">
        <w:rPr>
          <w:rFonts w:ascii="Lato" w:eastAsia="Calibri" w:hAnsi="Lato" w:cs="Times New Roman"/>
          <w:bCs/>
          <w:spacing w:val="4"/>
        </w:rPr>
        <w:t>, przeanalizował materiał dowodowy zgromadzony przez Wojewodę</w:t>
      </w:r>
      <w:r w:rsidR="002A4029" w:rsidRPr="00C9689C">
        <w:rPr>
          <w:rFonts w:ascii="Lato" w:eastAsia="Calibri" w:hAnsi="Lato" w:cs="Times New Roman"/>
          <w:bCs/>
          <w:spacing w:val="4"/>
        </w:rPr>
        <w:t xml:space="preserve"> Lubuskiego</w:t>
      </w:r>
      <w:r w:rsidRPr="00C9689C">
        <w:rPr>
          <w:rFonts w:ascii="Lato" w:eastAsia="Calibri" w:hAnsi="Lato" w:cs="Times New Roman"/>
          <w:bCs/>
          <w:spacing w:val="4"/>
        </w:rPr>
        <w:t xml:space="preserve">, </w:t>
      </w:r>
      <w:r w:rsidRPr="00C9689C">
        <w:rPr>
          <w:rFonts w:ascii="Lato" w:eastAsia="Calibri" w:hAnsi="Lato" w:cs="Times New Roman"/>
          <w:bCs/>
          <w:spacing w:val="4"/>
        </w:rPr>
        <w:br/>
        <w:t xml:space="preserve">w tym zbadał poprawność postępowania organu I instancji oraz poprawność kończącej </w:t>
      </w:r>
      <w:r w:rsidRPr="00C9689C">
        <w:rPr>
          <w:rFonts w:ascii="Lato" w:eastAsia="Calibri" w:hAnsi="Lato" w:cs="Times New Roman"/>
          <w:bCs/>
          <w:spacing w:val="4"/>
        </w:rPr>
        <w:br/>
        <w:t>to postępowanie decyzji Wojewody</w:t>
      </w:r>
      <w:r w:rsidR="002A4029" w:rsidRPr="00C9689C">
        <w:rPr>
          <w:rFonts w:ascii="Lato" w:eastAsia="Calibri" w:hAnsi="Lato" w:cs="Times New Roman"/>
          <w:bCs/>
          <w:spacing w:val="4"/>
        </w:rPr>
        <w:t xml:space="preserve"> Lubuskiego</w:t>
      </w:r>
      <w:r w:rsidRPr="00C9689C">
        <w:rPr>
          <w:rFonts w:ascii="Lato" w:eastAsia="Calibri" w:hAnsi="Lato" w:cs="Times New Roman"/>
          <w:bCs/>
          <w:spacing w:val="4"/>
        </w:rPr>
        <w:t xml:space="preserve">, jak również rozpatrzył zarzuty podniesione przez </w:t>
      </w:r>
      <w:r w:rsidR="002A4029" w:rsidRPr="00C9689C">
        <w:rPr>
          <w:rFonts w:ascii="Lato" w:eastAsia="Calibri" w:hAnsi="Lato" w:cs="Times New Roman"/>
          <w:bCs/>
          <w:spacing w:val="4"/>
        </w:rPr>
        <w:t>skarżącą spółkę</w:t>
      </w:r>
      <w:r w:rsidRPr="00C9689C">
        <w:rPr>
          <w:rFonts w:ascii="Lato" w:eastAsia="Calibri" w:hAnsi="Lato" w:cs="Times New Roman"/>
          <w:bCs/>
          <w:spacing w:val="4"/>
        </w:rPr>
        <w:t>.</w:t>
      </w:r>
      <w:r w:rsidR="00215A29" w:rsidRPr="00C9689C">
        <w:rPr>
          <w:rFonts w:ascii="Lato" w:eastAsia="Calibri" w:hAnsi="Lato" w:cs="Times New Roman"/>
          <w:bCs/>
          <w:spacing w:val="4"/>
        </w:rPr>
        <w:t xml:space="preserve"> </w:t>
      </w:r>
    </w:p>
    <w:p w14:paraId="45F9A5D6" w14:textId="4FECD363" w:rsidR="00370924" w:rsidRPr="00C9689C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spacing w:val="4"/>
        </w:rPr>
        <w:t>W niniejszym przypadku, wniosek o wydanie zaskarżonej decyzji, został złożony przez właściwy podmiot, zgodnie z art. 38 pkt 2 specustawy gazowej, tj. przez Operatora Gazociągów Przesyłowych GAZ-SYSTEM S.A. z siedzibą w Warszawie, reprezentowan</w:t>
      </w:r>
      <w:r w:rsidR="00370924" w:rsidRPr="00C9689C">
        <w:rPr>
          <w:rFonts w:ascii="Lato" w:eastAsia="Calibri" w:hAnsi="Lato" w:cs="Times New Roman"/>
          <w:bCs/>
          <w:spacing w:val="4"/>
        </w:rPr>
        <w:t>ego</w:t>
      </w:r>
      <w:r w:rsidRPr="00C9689C">
        <w:rPr>
          <w:rFonts w:ascii="Lato" w:eastAsia="Calibri" w:hAnsi="Lato" w:cs="Times New Roman"/>
          <w:bCs/>
          <w:spacing w:val="4"/>
        </w:rPr>
        <w:t xml:space="preserve"> przez ustanowionego w sprawie pełnomocnika. </w:t>
      </w:r>
      <w:r w:rsidR="000951B7" w:rsidRPr="00C9689C">
        <w:rPr>
          <w:rFonts w:ascii="Lato" w:eastAsia="Calibri" w:hAnsi="Lato" w:cs="Times New Roman"/>
          <w:bCs/>
          <w:iCs/>
          <w:spacing w:val="4"/>
        </w:rPr>
        <w:t>Przedmiotowa inwestycja mieści się w wykazie inwestycji towarzyszących inwestycjom w zakresie terminalu</w:t>
      </w:r>
      <w:r w:rsidR="00370924" w:rsidRPr="00C9689C">
        <w:rPr>
          <w:rFonts w:ascii="Lato" w:eastAsia="Calibri" w:hAnsi="Lato" w:cs="Times New Roman"/>
          <w:bCs/>
          <w:iCs/>
          <w:spacing w:val="4"/>
        </w:rPr>
        <w:t xml:space="preserve">. </w:t>
      </w:r>
      <w:r w:rsidR="000951B7" w:rsidRPr="00C9689C">
        <w:rPr>
          <w:rFonts w:ascii="Lato" w:eastAsia="Calibri" w:hAnsi="Lato" w:cs="Times New Roman"/>
          <w:bCs/>
          <w:iCs/>
          <w:spacing w:val="4"/>
        </w:rPr>
        <w:t xml:space="preserve">Zgodnie z art. 38 pkt 2 lit. p </w:t>
      </w:r>
      <w:r w:rsidR="000951B7" w:rsidRPr="00C9689C">
        <w:rPr>
          <w:rFonts w:ascii="Lato" w:eastAsia="Calibri" w:hAnsi="Lato" w:cs="Times New Roman"/>
          <w:bCs/>
          <w:spacing w:val="4"/>
        </w:rPr>
        <w:t>specustawy gazowej</w:t>
      </w:r>
      <w:r w:rsidR="000951B7" w:rsidRPr="00C9689C">
        <w:rPr>
          <w:rFonts w:ascii="Lato" w:eastAsia="Calibri" w:hAnsi="Lato" w:cs="Times New Roman"/>
          <w:bCs/>
          <w:iCs/>
          <w:spacing w:val="4"/>
        </w:rPr>
        <w:t>, inwestycją towarzyszącą inwestycjom w zakresie terminalu realizowaną przez Operatora Gazociągów Przesyłowych GAZ-SYSTEM S.A. w Warszawie jest</w:t>
      </w:r>
      <w:r w:rsidR="000951B7" w:rsidRPr="00C9689C">
        <w:rPr>
          <w:rFonts w:ascii="Lato" w:hAnsi="Lato"/>
          <w:spacing w:val="4"/>
        </w:rPr>
        <w:t xml:space="preserve"> </w:t>
      </w:r>
      <w:r w:rsidR="000951B7" w:rsidRPr="00C9689C">
        <w:rPr>
          <w:rFonts w:ascii="Lato" w:eastAsia="Calibri" w:hAnsi="Lato" w:cs="Times New Roman"/>
          <w:bCs/>
          <w:iCs/>
          <w:spacing w:val="4"/>
        </w:rPr>
        <w:t xml:space="preserve">budowa gazociągu Kotowo - Zielona Góra wraz z infrastrukturą niezbędną do jego obsługi na terenie województw lubuskiego i wielkopolskiego. Projektowana inwestycja stanowi część inwestycji towarzyszącej inwestycjom w zakresie terminalu, o której mowa w ww. art. 38 pkt 2 lit. p specustawy gazowej. </w:t>
      </w:r>
      <w:r w:rsidR="00370924" w:rsidRPr="00C9689C">
        <w:rPr>
          <w:rFonts w:ascii="Lato" w:eastAsia="Calibri" w:hAnsi="Lato" w:cs="Times New Roman"/>
          <w:bCs/>
          <w:iCs/>
          <w:spacing w:val="4"/>
        </w:rPr>
        <w:t>Analizując złożony przez inwestora wniosek, Minister uznał, że zawiera on wszystkie elementy wymagane na podstawie przepisu art. 6 w zw. z art. 39 ust. 1 specustawy gazowej, niezbędne w okolicznościach niniejszej sprawy.</w:t>
      </w:r>
    </w:p>
    <w:p w14:paraId="0F778033" w14:textId="77777777" w:rsidR="00BA20F7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spacing w:val="4"/>
        </w:rPr>
        <w:t xml:space="preserve">Następnie organ odwoławczy poddał kontroli przeprowadzone przez Wojewodę </w:t>
      </w:r>
      <w:r w:rsidR="0087034F" w:rsidRPr="00C9689C">
        <w:rPr>
          <w:rFonts w:ascii="Lato" w:eastAsia="Calibri" w:hAnsi="Lato" w:cs="Times New Roman"/>
          <w:bCs/>
          <w:spacing w:val="4"/>
        </w:rPr>
        <w:t xml:space="preserve">Lubuskiego </w:t>
      </w:r>
      <w:r w:rsidRPr="00C9689C">
        <w:rPr>
          <w:rFonts w:ascii="Lato" w:eastAsia="Calibri" w:hAnsi="Lato" w:cs="Times New Roman"/>
          <w:bCs/>
          <w:spacing w:val="4"/>
        </w:rPr>
        <w:t xml:space="preserve">postępowanie o wydanie </w:t>
      </w:r>
      <w:bookmarkStart w:id="9" w:name="_Hlk122521283"/>
      <w:r w:rsidRPr="00C9689C">
        <w:rPr>
          <w:rFonts w:ascii="Lato" w:eastAsia="Calibri" w:hAnsi="Lato" w:cs="Times New Roman"/>
          <w:bCs/>
          <w:spacing w:val="4"/>
        </w:rPr>
        <w:t>decyzji o ustaleniu lokalizacji inwestycji towarzyszącej inwestycjom w zakresie terminalu</w:t>
      </w:r>
      <w:bookmarkEnd w:id="9"/>
      <w:r w:rsidRPr="00C9689C">
        <w:rPr>
          <w:rFonts w:ascii="Lato" w:eastAsia="Calibri" w:hAnsi="Lato" w:cs="Times New Roman"/>
          <w:bCs/>
          <w:spacing w:val="4"/>
        </w:rPr>
        <w:t xml:space="preserve"> i stwierdził, co następuje. W ocenie Ministra, organ pierwszej instancji prawidłowo poinformował strony o wszczętym postępowaniu, podał jego podstawę prawną, pouczył o prawie do składania wniosków, uwag i zastrzeżeń, a zatem należycie i wyczerpująco poinformował strony </w:t>
      </w:r>
      <w:r w:rsidRPr="00C9689C">
        <w:rPr>
          <w:rFonts w:ascii="Lato" w:eastAsia="Calibri" w:hAnsi="Lato" w:cs="Times New Roman"/>
          <w:bCs/>
          <w:spacing w:val="4"/>
        </w:rPr>
        <w:br/>
        <w:t>o okolicznościach faktycznych i prawnych, będących przedmiotem postępowania administracyjnego, które mogły mieć wpływ na ustalenie ich praw i obowiązków.</w:t>
      </w:r>
    </w:p>
    <w:p w14:paraId="1F8A32BA" w14:textId="3C832D8E" w:rsidR="00C80A48" w:rsidRPr="00C9689C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spacing w:val="4"/>
        </w:rPr>
        <w:t xml:space="preserve">Wojewoda </w:t>
      </w:r>
      <w:r w:rsidR="0087034F" w:rsidRPr="00C9689C">
        <w:rPr>
          <w:rFonts w:ascii="Lato" w:eastAsia="Calibri" w:hAnsi="Lato" w:cs="Times New Roman"/>
          <w:bCs/>
          <w:spacing w:val="4"/>
        </w:rPr>
        <w:t xml:space="preserve">Lubuski </w:t>
      </w:r>
      <w:r w:rsidRPr="00C9689C">
        <w:rPr>
          <w:rFonts w:ascii="Lato" w:eastAsia="Calibri" w:hAnsi="Lato" w:cs="Times New Roman"/>
          <w:bCs/>
          <w:spacing w:val="4"/>
        </w:rPr>
        <w:t xml:space="preserve">pismem z dnia </w:t>
      </w:r>
      <w:r w:rsidR="0087034F" w:rsidRPr="00C9689C">
        <w:rPr>
          <w:rFonts w:ascii="Lato" w:eastAsia="Calibri" w:hAnsi="Lato" w:cs="Times New Roman"/>
          <w:bCs/>
          <w:spacing w:val="4"/>
        </w:rPr>
        <w:t xml:space="preserve">4 kwietnia </w:t>
      </w:r>
      <w:r w:rsidRPr="00C9689C">
        <w:rPr>
          <w:rFonts w:ascii="Lato" w:eastAsia="Calibri" w:hAnsi="Lato" w:cs="Times New Roman"/>
          <w:bCs/>
          <w:spacing w:val="4"/>
        </w:rPr>
        <w:t>202</w:t>
      </w:r>
      <w:r w:rsidR="0087034F" w:rsidRPr="00C9689C">
        <w:rPr>
          <w:rFonts w:ascii="Lato" w:eastAsia="Calibri" w:hAnsi="Lato" w:cs="Times New Roman"/>
          <w:bCs/>
          <w:spacing w:val="4"/>
        </w:rPr>
        <w:t>2</w:t>
      </w:r>
      <w:r w:rsidRPr="00C9689C">
        <w:rPr>
          <w:rFonts w:ascii="Lato" w:eastAsia="Calibri" w:hAnsi="Lato" w:cs="Times New Roman"/>
          <w:bCs/>
          <w:spacing w:val="4"/>
        </w:rPr>
        <w:t xml:space="preserve"> r., znak:</w:t>
      </w:r>
      <w:r w:rsidR="0087034F" w:rsidRPr="00C9689C">
        <w:rPr>
          <w:rFonts w:ascii="Lato" w:eastAsia="Calibri" w:hAnsi="Lato" w:cs="Times New Roman"/>
          <w:bCs/>
          <w:spacing w:val="4"/>
        </w:rPr>
        <w:t xml:space="preserve"> IB-I.747.4.2022.JRaj</w:t>
      </w:r>
      <w:r w:rsidRPr="00C9689C">
        <w:rPr>
          <w:rFonts w:ascii="Lato" w:eastAsia="Calibri" w:hAnsi="Lato" w:cs="Times New Roman"/>
          <w:bCs/>
          <w:spacing w:val="4"/>
        </w:rPr>
        <w:t xml:space="preserve">, zawiadomił o wszczęciu postępowania wnioskodawcę, właścicieli i użytkowników wieczystych nieruchomości objętych wnioskiem, wysyłając zawiadomienie na adresy wskazane w katastrze nieruchomości. Pozostałe strony postępowania zostały poinformowane o jego wszczęciu w drodze obwieszczenia. W zawiadomieniu </w:t>
      </w:r>
      <w:r w:rsidR="00C80A48" w:rsidRPr="00C9689C">
        <w:rPr>
          <w:rFonts w:ascii="Lato" w:eastAsia="Calibri" w:hAnsi="Lato" w:cs="Times New Roman"/>
          <w:bCs/>
          <w:spacing w:val="4"/>
        </w:rPr>
        <w:br/>
      </w:r>
      <w:r w:rsidRPr="00C9689C">
        <w:rPr>
          <w:rFonts w:ascii="Lato" w:eastAsia="Calibri" w:hAnsi="Lato" w:cs="Times New Roman"/>
          <w:bCs/>
          <w:spacing w:val="4"/>
        </w:rPr>
        <w:t xml:space="preserve">i obwieszczeniu organ I instancji poinformował o miejscu, gdzie strony mogą zapoznać się z dokumentacją dotyczącą inwestycji. </w:t>
      </w:r>
      <w:r w:rsidR="00C80A48" w:rsidRPr="00C9689C">
        <w:rPr>
          <w:rFonts w:ascii="Lato" w:eastAsia="Calibri" w:hAnsi="Lato" w:cs="Times New Roman"/>
          <w:bCs/>
          <w:iCs/>
          <w:spacing w:val="4"/>
        </w:rPr>
        <w:t xml:space="preserve">W toku postępowania przed Wojewodą </w:t>
      </w:r>
      <w:r w:rsidR="0087034F" w:rsidRPr="00C9689C">
        <w:rPr>
          <w:rFonts w:ascii="Lato" w:eastAsia="Calibri" w:hAnsi="Lato" w:cs="Times New Roman"/>
          <w:bCs/>
          <w:iCs/>
          <w:spacing w:val="4"/>
        </w:rPr>
        <w:t xml:space="preserve">Lubuskim nie </w:t>
      </w:r>
      <w:r w:rsidR="00C80A48" w:rsidRPr="00C9689C">
        <w:rPr>
          <w:rFonts w:ascii="Lato" w:eastAsia="Calibri" w:hAnsi="Lato" w:cs="Times New Roman"/>
          <w:bCs/>
          <w:iCs/>
          <w:spacing w:val="4"/>
        </w:rPr>
        <w:t>wniesiono zastrzeże</w:t>
      </w:r>
      <w:r w:rsidR="0087034F" w:rsidRPr="00C9689C">
        <w:rPr>
          <w:rFonts w:ascii="Lato" w:eastAsia="Calibri" w:hAnsi="Lato" w:cs="Times New Roman"/>
          <w:bCs/>
          <w:iCs/>
          <w:spacing w:val="4"/>
        </w:rPr>
        <w:t>ń i uwag.</w:t>
      </w:r>
      <w:r w:rsidR="00C80A48" w:rsidRPr="00C9689C">
        <w:rPr>
          <w:rFonts w:ascii="Lato" w:eastAsia="Calibri" w:hAnsi="Lato" w:cs="Times New Roman"/>
          <w:bCs/>
          <w:iCs/>
          <w:spacing w:val="4"/>
        </w:rPr>
        <w:t xml:space="preserve"> </w:t>
      </w:r>
    </w:p>
    <w:p w14:paraId="4A8FE3BB" w14:textId="77777777" w:rsidR="00BA20F7" w:rsidRDefault="00C1630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spacing w:val="4"/>
        </w:rPr>
        <w:lastRenderedPageBreak/>
        <w:t xml:space="preserve">Uznając, że zebrany w sprawie materiał dowodowy pozwala na wydanie rozstrzygnięcia, Wojewoda </w:t>
      </w:r>
      <w:r w:rsidR="0087034F" w:rsidRPr="00C9689C">
        <w:rPr>
          <w:rFonts w:ascii="Lato" w:eastAsia="Calibri" w:hAnsi="Lato" w:cs="Times New Roman"/>
          <w:bCs/>
          <w:spacing w:val="4"/>
        </w:rPr>
        <w:t xml:space="preserve">Lubuski </w:t>
      </w:r>
      <w:r w:rsidRPr="00C9689C">
        <w:rPr>
          <w:rFonts w:ascii="Lato" w:eastAsia="Calibri" w:hAnsi="Lato" w:cs="Times New Roman"/>
          <w:bCs/>
          <w:spacing w:val="4"/>
        </w:rPr>
        <w:t xml:space="preserve">wydał w dniu </w:t>
      </w:r>
      <w:r w:rsidR="0087034F" w:rsidRPr="00C9689C">
        <w:rPr>
          <w:rFonts w:ascii="Lato" w:eastAsia="Calibri" w:hAnsi="Lato" w:cs="Times New Roman"/>
          <w:bCs/>
          <w:spacing w:val="4"/>
        </w:rPr>
        <w:t xml:space="preserve">29 kwietnia </w:t>
      </w:r>
      <w:r w:rsidRPr="00C9689C">
        <w:rPr>
          <w:rFonts w:ascii="Lato" w:eastAsia="Calibri" w:hAnsi="Lato" w:cs="Times New Roman"/>
          <w:bCs/>
          <w:spacing w:val="4"/>
        </w:rPr>
        <w:t>202</w:t>
      </w:r>
      <w:r w:rsidR="0087034F" w:rsidRPr="00C9689C">
        <w:rPr>
          <w:rFonts w:ascii="Lato" w:eastAsia="Calibri" w:hAnsi="Lato" w:cs="Times New Roman"/>
          <w:bCs/>
          <w:spacing w:val="4"/>
        </w:rPr>
        <w:t>2</w:t>
      </w:r>
      <w:r w:rsidRPr="00C9689C">
        <w:rPr>
          <w:rFonts w:ascii="Lato" w:eastAsia="Calibri" w:hAnsi="Lato" w:cs="Times New Roman"/>
          <w:bCs/>
          <w:spacing w:val="4"/>
        </w:rPr>
        <w:t xml:space="preserve"> r.</w:t>
      </w:r>
      <w:r w:rsidR="007A5673" w:rsidRPr="00C9689C">
        <w:rPr>
          <w:rFonts w:ascii="Lato" w:eastAsia="Calibri" w:hAnsi="Lato" w:cs="Times New Roman"/>
          <w:bCs/>
          <w:spacing w:val="4"/>
        </w:rPr>
        <w:t xml:space="preserve"> </w:t>
      </w:r>
      <w:r w:rsidRPr="00C9689C">
        <w:rPr>
          <w:rFonts w:ascii="Lato" w:eastAsia="Calibri" w:hAnsi="Lato" w:cs="Times New Roman"/>
          <w:bCs/>
          <w:spacing w:val="4"/>
        </w:rPr>
        <w:t xml:space="preserve">decyzję </w:t>
      </w:r>
      <w:bookmarkStart w:id="10" w:name="_Hlk204253678"/>
      <w:r w:rsidRPr="00C9689C">
        <w:rPr>
          <w:rFonts w:ascii="Lato" w:eastAsia="Calibri" w:hAnsi="Lato" w:cs="Times New Roman"/>
          <w:bCs/>
          <w:spacing w:val="4"/>
        </w:rPr>
        <w:t xml:space="preserve">o ustaleniu lokalizacji </w:t>
      </w:r>
      <w:r w:rsidR="009A5DAB" w:rsidRPr="00C9689C">
        <w:rPr>
          <w:rFonts w:ascii="Lato" w:eastAsia="Calibri" w:hAnsi="Lato" w:cs="Times New Roman"/>
          <w:bCs/>
          <w:spacing w:val="4"/>
        </w:rPr>
        <w:t xml:space="preserve">przedmiotowej </w:t>
      </w:r>
      <w:r w:rsidRPr="00C9689C">
        <w:rPr>
          <w:rFonts w:ascii="Lato" w:eastAsia="Calibri" w:hAnsi="Lato" w:cs="Times New Roman"/>
          <w:bCs/>
          <w:spacing w:val="4"/>
        </w:rPr>
        <w:t>inwestycji towarzyszącej inwestycjom w zakresie terminalu</w:t>
      </w:r>
      <w:bookmarkEnd w:id="10"/>
      <w:r w:rsidR="007A5673" w:rsidRPr="00C9689C">
        <w:rPr>
          <w:rFonts w:ascii="Lato" w:eastAsia="Calibri" w:hAnsi="Lato" w:cs="Times New Roman"/>
          <w:bCs/>
          <w:spacing w:val="4"/>
          <w:lang w:bidi="pl-PL"/>
        </w:rPr>
        <w:t xml:space="preserve">. </w:t>
      </w:r>
      <w:r w:rsidRPr="00C9689C">
        <w:rPr>
          <w:rFonts w:ascii="Lato" w:eastAsia="Calibri" w:hAnsi="Lato" w:cs="Times New Roman"/>
          <w:bCs/>
          <w:spacing w:val="4"/>
        </w:rPr>
        <w:t>Stosownie do art. 34 ust. 1 specustawy gazowej decyzja podlega natychmiastowemu wykonaniu.</w:t>
      </w:r>
      <w:r w:rsidRPr="00C9689C">
        <w:rPr>
          <w:rFonts w:ascii="Lato" w:eastAsia="Calibri" w:hAnsi="Lato" w:cs="Times New Roman"/>
          <w:bCs/>
          <w:spacing w:val="4"/>
          <w:lang w:bidi="pl-PL"/>
        </w:rPr>
        <w:t xml:space="preserve"> </w:t>
      </w:r>
      <w:r w:rsidR="00EF6217" w:rsidRPr="00C9689C">
        <w:rPr>
          <w:rFonts w:ascii="Lato" w:eastAsia="Calibri" w:hAnsi="Lato" w:cs="Times New Roman"/>
          <w:bCs/>
          <w:spacing w:val="4"/>
          <w:lang w:bidi="pl-PL"/>
        </w:rPr>
        <w:br/>
      </w:r>
      <w:r w:rsidRPr="00C9689C">
        <w:rPr>
          <w:rFonts w:ascii="Lato" w:eastAsia="Calibri" w:hAnsi="Lato" w:cs="Times New Roman"/>
          <w:bCs/>
          <w:spacing w:val="4"/>
        </w:rPr>
        <w:t xml:space="preserve">W myśl art. 12 ust. 1 specustawy gazowej, Wojewoda </w:t>
      </w:r>
      <w:r w:rsidR="00EF6217" w:rsidRPr="00C9689C">
        <w:rPr>
          <w:rFonts w:ascii="Lato" w:eastAsia="Calibri" w:hAnsi="Lato" w:cs="Times New Roman"/>
          <w:bCs/>
          <w:spacing w:val="4"/>
        </w:rPr>
        <w:t xml:space="preserve">Lubuski </w:t>
      </w:r>
      <w:r w:rsidRPr="00C9689C">
        <w:rPr>
          <w:rFonts w:ascii="Lato" w:eastAsia="Calibri" w:hAnsi="Lato" w:cs="Times New Roman"/>
          <w:bCs/>
          <w:spacing w:val="4"/>
        </w:rPr>
        <w:t>doręczył ww. decyzję wnioskodawcy oraz zawiadomił o jej wydaniu pozostałe strony w drodze obwieszczeń. Właścicieli i użytkowników wieczystych nieruchomości objętych decyzją Wojewody</w:t>
      </w:r>
      <w:r w:rsidR="00EF6217" w:rsidRPr="00C9689C">
        <w:rPr>
          <w:rFonts w:ascii="Lato" w:eastAsia="Calibri" w:hAnsi="Lato" w:cs="Times New Roman"/>
          <w:bCs/>
          <w:spacing w:val="4"/>
        </w:rPr>
        <w:t xml:space="preserve"> Lubuskiego</w:t>
      </w:r>
      <w:r w:rsidRPr="00C9689C">
        <w:rPr>
          <w:rFonts w:ascii="Lato" w:eastAsia="Calibri" w:hAnsi="Lato" w:cs="Times New Roman"/>
          <w:bCs/>
          <w:spacing w:val="4"/>
        </w:rPr>
        <w:t xml:space="preserve">, organ I instancji poinformował o wydaniu decyzji w drodze zawiadomienia </w:t>
      </w:r>
      <w:r w:rsidR="0032754C" w:rsidRPr="00C9689C">
        <w:rPr>
          <w:rFonts w:ascii="Lato" w:eastAsia="Calibri" w:hAnsi="Lato" w:cs="Times New Roman"/>
          <w:bCs/>
          <w:spacing w:val="4"/>
        </w:rPr>
        <w:br/>
      </w:r>
      <w:r w:rsidRPr="00C9689C">
        <w:rPr>
          <w:rFonts w:ascii="Lato" w:eastAsia="Calibri" w:hAnsi="Lato" w:cs="Times New Roman"/>
          <w:bCs/>
          <w:spacing w:val="4"/>
        </w:rPr>
        <w:t xml:space="preserve">z dnia </w:t>
      </w:r>
      <w:r w:rsidR="00EF6217" w:rsidRPr="00C9689C">
        <w:rPr>
          <w:rFonts w:ascii="Lato" w:eastAsia="Calibri" w:hAnsi="Lato" w:cs="Times New Roman"/>
          <w:bCs/>
          <w:spacing w:val="4"/>
        </w:rPr>
        <w:t xml:space="preserve">z dnia 29 kwietnia </w:t>
      </w:r>
      <w:r w:rsidRPr="00C9689C">
        <w:rPr>
          <w:rFonts w:ascii="Lato" w:eastAsia="Calibri" w:hAnsi="Lato" w:cs="Times New Roman"/>
          <w:bCs/>
          <w:spacing w:val="4"/>
        </w:rPr>
        <w:t>202</w:t>
      </w:r>
      <w:r w:rsidR="00EF6217" w:rsidRPr="00C9689C">
        <w:rPr>
          <w:rFonts w:ascii="Lato" w:eastAsia="Calibri" w:hAnsi="Lato" w:cs="Times New Roman"/>
          <w:bCs/>
          <w:spacing w:val="4"/>
        </w:rPr>
        <w:t>2</w:t>
      </w:r>
      <w:r w:rsidRPr="00C9689C">
        <w:rPr>
          <w:rFonts w:ascii="Lato" w:eastAsia="Calibri" w:hAnsi="Lato" w:cs="Times New Roman"/>
          <w:bCs/>
          <w:spacing w:val="4"/>
        </w:rPr>
        <w:t xml:space="preserve"> r., znak:</w:t>
      </w:r>
      <w:r w:rsidR="00EF6217" w:rsidRPr="00C9689C">
        <w:rPr>
          <w:rFonts w:ascii="Lato" w:eastAsia="Calibri" w:hAnsi="Lato" w:cs="Times New Roman"/>
          <w:bCs/>
          <w:spacing w:val="4"/>
        </w:rPr>
        <w:t xml:space="preserve"> IB-I.747.4.2022.JRaj</w:t>
      </w:r>
      <w:r w:rsidRPr="00C9689C">
        <w:rPr>
          <w:rFonts w:ascii="Lato" w:eastAsia="Calibri" w:hAnsi="Lato" w:cs="Times New Roman"/>
          <w:bCs/>
          <w:spacing w:val="4"/>
        </w:rPr>
        <w:t xml:space="preserve">, wysyłanego na adres wskazany w katastrze nieruchomości. </w:t>
      </w:r>
    </w:p>
    <w:p w14:paraId="0731C85C" w14:textId="2B7189D4" w:rsidR="007A5673" w:rsidRPr="00C9689C" w:rsidRDefault="00EF6217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Kontrolowana </w:t>
      </w:r>
      <w:r w:rsidRPr="00C9689C">
        <w:rPr>
          <w:rFonts w:ascii="Lato" w:eastAsia="Calibri" w:hAnsi="Lato" w:cs="Times New Roman"/>
          <w:bCs/>
          <w:spacing w:val="4"/>
          <w:lang w:bidi="pl-PL"/>
        </w:rPr>
        <w:t xml:space="preserve">decyzja Wojewody Lubuskiego, z wyjątkiem uchybienia omówionego poniżej, </w:t>
      </w: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czyni zadość wymogom przedstawionym w art. 10 ust. 1 </w:t>
      </w:r>
      <w:r w:rsidRPr="00C9689C">
        <w:rPr>
          <w:rFonts w:ascii="Lato" w:eastAsia="Calibri" w:hAnsi="Lato" w:cs="Times New Roman"/>
          <w:bCs/>
          <w:spacing w:val="4"/>
          <w:lang w:bidi="pl-PL"/>
        </w:rPr>
        <w:t>specustawy gazowej</w:t>
      </w: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>, bowiem zawiera wszystkie niezbędne w okolicznościach niniejszej sprawy elementy określone w tym przepisie.</w:t>
      </w:r>
      <w:r w:rsidRPr="00C9689C">
        <w:rPr>
          <w:rFonts w:ascii="Lato" w:eastAsia="Calibri" w:hAnsi="Lato" w:cs="Times New Roman"/>
          <w:bCs/>
          <w:spacing w:val="4"/>
        </w:rPr>
        <w:t xml:space="preserve"> </w:t>
      </w:r>
      <w:r w:rsidR="00C1630E" w:rsidRPr="00C9689C">
        <w:rPr>
          <w:rFonts w:ascii="Lato" w:eastAsia="Calibri" w:hAnsi="Lato" w:cs="Times New Roman"/>
          <w:bCs/>
          <w:spacing w:val="4"/>
          <w:lang w:bidi="pl-PL"/>
        </w:rPr>
        <w:t xml:space="preserve">Projekt </w:t>
      </w:r>
      <w:r w:rsidR="00C1630E" w:rsidRPr="00C9689C">
        <w:rPr>
          <w:rFonts w:ascii="Lato" w:eastAsia="Calibri" w:hAnsi="Lato" w:cs="Times New Roman"/>
          <w:bCs/>
          <w:spacing w:val="4"/>
          <w:lang w:val="x-none"/>
        </w:rPr>
        <w:t>decyzji został sporządzony przez osobę</w:t>
      </w:r>
      <w:r w:rsidR="00C1630E" w:rsidRPr="00C9689C">
        <w:rPr>
          <w:rFonts w:ascii="Lato" w:eastAsia="Calibri" w:hAnsi="Lato" w:cs="Times New Roman"/>
          <w:bCs/>
          <w:spacing w:val="4"/>
          <w:lang w:bidi="pl-PL"/>
        </w:rPr>
        <w:t xml:space="preserve"> spełniającą warunki, o których mowa w</w:t>
      </w:r>
      <w:r w:rsidR="00C1630E" w:rsidRPr="00C9689C">
        <w:rPr>
          <w:rFonts w:ascii="Lato" w:eastAsia="Calibri" w:hAnsi="Lato" w:cs="Times New Roman"/>
          <w:bCs/>
          <w:spacing w:val="4"/>
          <w:lang w:val="x-none"/>
        </w:rPr>
        <w:t xml:space="preserve"> art. </w:t>
      </w:r>
      <w:r w:rsidR="00C1630E" w:rsidRPr="00C9689C">
        <w:rPr>
          <w:rFonts w:ascii="Lato" w:eastAsia="Calibri" w:hAnsi="Lato" w:cs="Times New Roman"/>
          <w:bCs/>
          <w:spacing w:val="4"/>
          <w:lang w:bidi="pl-PL"/>
        </w:rPr>
        <w:t>10</w:t>
      </w:r>
      <w:r w:rsidR="00C1630E" w:rsidRPr="00C9689C">
        <w:rPr>
          <w:rFonts w:ascii="Lato" w:eastAsia="Calibri" w:hAnsi="Lato" w:cs="Times New Roman"/>
          <w:bCs/>
          <w:spacing w:val="4"/>
          <w:lang w:val="x-none"/>
        </w:rPr>
        <w:t xml:space="preserve"> ust. 2 specustawy </w:t>
      </w:r>
      <w:r w:rsidR="00C1630E" w:rsidRPr="00C9689C">
        <w:rPr>
          <w:rFonts w:ascii="Lato" w:eastAsia="Calibri" w:hAnsi="Lato" w:cs="Times New Roman"/>
          <w:bCs/>
          <w:spacing w:val="4"/>
          <w:lang w:bidi="pl-PL"/>
        </w:rPr>
        <w:t xml:space="preserve">gazowej. </w:t>
      </w:r>
    </w:p>
    <w:p w14:paraId="45142133" w14:textId="60172415" w:rsidR="0009148A" w:rsidRPr="00C9689C" w:rsidRDefault="0009148A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  <w:lang w:bidi="pl-PL"/>
        </w:rPr>
      </w:pPr>
      <w:r w:rsidRPr="00C9689C">
        <w:rPr>
          <w:rFonts w:ascii="Lato" w:eastAsia="Calibri" w:hAnsi="Lato" w:cs="Times New Roman"/>
          <w:bCs/>
          <w:spacing w:val="4"/>
          <w:lang w:bidi="pl-PL"/>
        </w:rPr>
        <w:t>Odnosząc się do odwołania PSG</w:t>
      </w:r>
      <w:r w:rsidR="0032754C" w:rsidRPr="00C9689C">
        <w:rPr>
          <w:rFonts w:ascii="Lato" w:eastAsia="Calibri" w:hAnsi="Lato" w:cs="Times New Roman"/>
          <w:bCs/>
          <w:spacing w:val="4"/>
          <w:lang w:bidi="pl-PL"/>
        </w:rPr>
        <w:t xml:space="preserve">, </w:t>
      </w:r>
      <w:r w:rsidRPr="00C9689C">
        <w:rPr>
          <w:rFonts w:ascii="Lato" w:eastAsia="Calibri" w:hAnsi="Lato" w:cs="Times New Roman"/>
          <w:bCs/>
          <w:spacing w:val="4"/>
          <w:lang w:bidi="pl-PL"/>
        </w:rPr>
        <w:t xml:space="preserve">Minister stwierdził, co następuje. </w:t>
      </w:r>
    </w:p>
    <w:p w14:paraId="514C83C3" w14:textId="08FF71BE" w:rsidR="0009148A" w:rsidRPr="00C9689C" w:rsidRDefault="0009148A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  <w:lang w:bidi="pl-PL"/>
        </w:rPr>
      </w:pPr>
      <w:r w:rsidRPr="00C9689C">
        <w:rPr>
          <w:rFonts w:ascii="Lato" w:eastAsia="Calibri" w:hAnsi="Lato" w:cs="Times New Roman"/>
          <w:bCs/>
          <w:spacing w:val="4"/>
          <w:lang w:bidi="pl-PL"/>
        </w:rPr>
        <w:t>Z akt sprawy wynika, że PSG jest użytkow</w:t>
      </w:r>
      <w:r w:rsidR="003808F6" w:rsidRPr="00C9689C">
        <w:rPr>
          <w:rFonts w:ascii="Lato" w:eastAsia="Calibri" w:hAnsi="Lato" w:cs="Times New Roman"/>
          <w:bCs/>
          <w:spacing w:val="4"/>
          <w:lang w:bidi="pl-PL"/>
        </w:rPr>
        <w:t>nikiem</w:t>
      </w:r>
      <w:r w:rsidRPr="00C9689C">
        <w:rPr>
          <w:rFonts w:ascii="Lato" w:eastAsia="Calibri" w:hAnsi="Lato" w:cs="Times New Roman"/>
          <w:bCs/>
          <w:spacing w:val="4"/>
          <w:lang w:bidi="pl-PL"/>
        </w:rPr>
        <w:t xml:space="preserve"> wieczystym stanowiącej własność Skarbu Państwa </w:t>
      </w:r>
      <w:r w:rsidR="003808F6" w:rsidRPr="00C9689C">
        <w:rPr>
          <w:rFonts w:ascii="Lato" w:eastAsia="Calibri" w:hAnsi="Lato" w:cs="Times New Roman"/>
          <w:bCs/>
          <w:spacing w:val="4"/>
          <w:lang w:bidi="pl-PL"/>
        </w:rPr>
        <w:t xml:space="preserve">działki nr 600/6, z obrębu 0001 Sulechów, </w:t>
      </w:r>
      <w:bookmarkStart w:id="11" w:name="_Hlk218947647"/>
      <w:r w:rsidR="003808F6" w:rsidRPr="00C9689C">
        <w:rPr>
          <w:rFonts w:ascii="Lato" w:eastAsia="Calibri" w:hAnsi="Lato" w:cs="Times New Roman"/>
          <w:bCs/>
          <w:spacing w:val="4"/>
          <w:lang w:bidi="pl-PL"/>
        </w:rPr>
        <w:t>jedn.ewid.080906_4 Sulechów-miasto</w:t>
      </w:r>
      <w:bookmarkEnd w:id="11"/>
      <w:r w:rsidR="003808F6" w:rsidRPr="00C9689C">
        <w:rPr>
          <w:rFonts w:ascii="Lato" w:eastAsia="Calibri" w:hAnsi="Lato" w:cs="Times New Roman"/>
          <w:bCs/>
          <w:spacing w:val="4"/>
          <w:lang w:bidi="pl-PL"/>
        </w:rPr>
        <w:t xml:space="preserve">. Potwierdzają to załączony przez inwestora do wniosku lokalizacyjnego wypis z rejestru gruntów i zapisy księgi wieczystej Nr </w:t>
      </w:r>
      <w:r w:rsidR="002C0DA1">
        <w:rPr>
          <w:rFonts w:ascii="Lato" w:eastAsia="Calibri" w:hAnsi="Lato" w:cs="Times New Roman"/>
          <w:spacing w:val="4"/>
          <w:lang w:bidi="pl-PL"/>
        </w:rPr>
        <w:t>(…)</w:t>
      </w:r>
      <w:r w:rsidR="003808F6" w:rsidRPr="00C9689C">
        <w:rPr>
          <w:rFonts w:ascii="Lato" w:eastAsia="Calibri" w:hAnsi="Lato" w:cs="Times New Roman"/>
          <w:spacing w:val="4"/>
          <w:lang w:bidi="pl-PL"/>
        </w:rPr>
        <w:t xml:space="preserve"> (dostępnej </w:t>
      </w:r>
      <w:r w:rsidR="003B655F">
        <w:rPr>
          <w:rFonts w:ascii="Lato" w:eastAsia="Calibri" w:hAnsi="Lato" w:cs="Times New Roman"/>
          <w:spacing w:val="4"/>
          <w:lang w:bidi="pl-PL"/>
        </w:rPr>
        <w:br/>
      </w:r>
      <w:r w:rsidR="003808F6" w:rsidRPr="00C9689C">
        <w:rPr>
          <w:rFonts w:ascii="Lato" w:eastAsia="Calibri" w:hAnsi="Lato" w:cs="Times New Roman"/>
          <w:spacing w:val="4"/>
          <w:lang w:bidi="pl-PL"/>
        </w:rPr>
        <w:t xml:space="preserve">na stronie internetowej </w:t>
      </w:r>
      <w:hyperlink r:id="rId8" w:history="1">
        <w:r w:rsidR="003808F6" w:rsidRPr="00C9689C">
          <w:rPr>
            <w:rStyle w:val="Hipercze"/>
            <w:rFonts w:ascii="Lato" w:eastAsia="Calibri" w:hAnsi="Lato" w:cs="Times New Roman"/>
            <w:color w:val="auto"/>
            <w:spacing w:val="4"/>
            <w:u w:val="none"/>
            <w:lang w:bidi="pl-PL"/>
          </w:rPr>
          <w:t>https://przegladarka-ekw.ms.gov.pl</w:t>
        </w:r>
      </w:hyperlink>
      <w:r w:rsidR="0012069E" w:rsidRPr="00C9689C">
        <w:rPr>
          <w:rFonts w:ascii="Lato" w:hAnsi="Lato"/>
          <w:spacing w:val="4"/>
        </w:rPr>
        <w:t xml:space="preserve"> – w księdze wieczystej ujawniony jest już podział wynikający z decyzji Wojewody Lubuskiego</w:t>
      </w:r>
      <w:r w:rsidR="003808F6" w:rsidRPr="00C9689C">
        <w:rPr>
          <w:rFonts w:ascii="Lato" w:eastAsia="Calibri" w:hAnsi="Lato" w:cs="Times New Roman"/>
          <w:spacing w:val="4"/>
          <w:lang w:bidi="pl-PL"/>
        </w:rPr>
        <w:t xml:space="preserve">). </w:t>
      </w:r>
      <w:r w:rsidR="003808F6" w:rsidRPr="00C9689C">
        <w:rPr>
          <w:rFonts w:ascii="Lato" w:eastAsia="Calibri" w:hAnsi="Lato" w:cs="Times New Roman"/>
          <w:bCs/>
          <w:spacing w:val="4"/>
          <w:lang w:bidi="pl-PL"/>
        </w:rPr>
        <w:t>W decyzji Wojewody Lub</w:t>
      </w:r>
      <w:r w:rsidR="00AB0710" w:rsidRPr="00C9689C">
        <w:rPr>
          <w:rFonts w:ascii="Lato" w:eastAsia="Calibri" w:hAnsi="Lato" w:cs="Times New Roman"/>
          <w:bCs/>
          <w:spacing w:val="4"/>
          <w:lang w:bidi="pl-PL"/>
        </w:rPr>
        <w:t>uskiego</w:t>
      </w:r>
      <w:r w:rsidR="003808F6" w:rsidRPr="00C9689C">
        <w:rPr>
          <w:rFonts w:ascii="Lato" w:eastAsia="Calibri" w:hAnsi="Lato" w:cs="Times New Roman"/>
          <w:bCs/>
          <w:spacing w:val="4"/>
          <w:lang w:bidi="pl-PL"/>
        </w:rPr>
        <w:t xml:space="preserve"> </w:t>
      </w:r>
      <w:r w:rsidR="004406DA" w:rsidRPr="00C9689C">
        <w:rPr>
          <w:rFonts w:ascii="Lato" w:eastAsia="Calibri" w:hAnsi="Lato" w:cs="Times New Roman"/>
          <w:bCs/>
          <w:spacing w:val="4"/>
          <w:lang w:bidi="pl-PL"/>
        </w:rPr>
        <w:t xml:space="preserve">ww. </w:t>
      </w:r>
      <w:r w:rsidR="003808F6" w:rsidRPr="00C9689C">
        <w:rPr>
          <w:rFonts w:ascii="Lato" w:eastAsia="Calibri" w:hAnsi="Lato" w:cs="Times New Roman"/>
          <w:bCs/>
          <w:spacing w:val="4"/>
          <w:lang w:bidi="pl-PL"/>
        </w:rPr>
        <w:t>działka nr 600/6 uleg</w:t>
      </w:r>
      <w:r w:rsidR="00AB0710" w:rsidRPr="00C9689C">
        <w:rPr>
          <w:rFonts w:ascii="Lato" w:eastAsia="Calibri" w:hAnsi="Lato" w:cs="Times New Roman"/>
          <w:bCs/>
          <w:spacing w:val="4"/>
          <w:lang w:bidi="pl-PL"/>
        </w:rPr>
        <w:t>ła</w:t>
      </w:r>
      <w:r w:rsidR="003808F6" w:rsidRPr="00C9689C">
        <w:rPr>
          <w:rFonts w:ascii="Lato" w:eastAsia="Calibri" w:hAnsi="Lato" w:cs="Times New Roman"/>
          <w:bCs/>
          <w:spacing w:val="4"/>
          <w:lang w:bidi="pl-PL"/>
        </w:rPr>
        <w:t xml:space="preserve"> </w:t>
      </w:r>
      <w:r w:rsidR="004406DA" w:rsidRPr="00C9689C">
        <w:rPr>
          <w:rFonts w:ascii="Lato" w:eastAsia="Calibri" w:hAnsi="Lato" w:cs="Times New Roman"/>
          <w:bCs/>
          <w:spacing w:val="4"/>
          <w:lang w:bidi="pl-PL"/>
        </w:rPr>
        <w:t xml:space="preserve">podziałowi na działkę nr 600/9 (przechodzącą pod inwestycję w użytkowanie wieczyste inwestora - Operatora Gazociągów Przesyłowych GAZ-SYSTEM S.A.) i na działkę nr 600/10 (pozostającą nadal </w:t>
      </w:r>
      <w:r w:rsidR="004406DA" w:rsidRPr="00C9689C">
        <w:rPr>
          <w:rFonts w:ascii="Lato" w:eastAsia="Calibri" w:hAnsi="Lato" w:cs="Times New Roman"/>
          <w:bCs/>
          <w:spacing w:val="4"/>
          <w:lang w:bidi="pl-PL"/>
        </w:rPr>
        <w:br/>
        <w:t xml:space="preserve">w użytkowaniu wieczystym PSG). </w:t>
      </w:r>
    </w:p>
    <w:p w14:paraId="5386FF09" w14:textId="77777777" w:rsidR="00BA20F7" w:rsidRDefault="0009148A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iCs/>
          <w:spacing w:val="4"/>
          <w:lang w:bidi="pl-PL"/>
        </w:rPr>
      </w:pPr>
      <w:r w:rsidRPr="00C9689C">
        <w:rPr>
          <w:rFonts w:ascii="Lato" w:eastAsia="Calibri" w:hAnsi="Lato" w:cs="Times New Roman"/>
          <w:bCs/>
          <w:spacing w:val="4"/>
          <w:lang w:bidi="pl-PL"/>
        </w:rPr>
        <w:t xml:space="preserve">W odwołaniu PSG zarzuca naruszenie art. 10 ust. 1 pkt 5 specustawy gazowej </w:t>
      </w:r>
      <w:r w:rsidR="004406DA" w:rsidRPr="00C9689C">
        <w:rPr>
          <w:rFonts w:ascii="Lato" w:eastAsia="Calibri" w:hAnsi="Lato" w:cs="Times New Roman"/>
          <w:bCs/>
          <w:spacing w:val="4"/>
          <w:lang w:bidi="pl-PL"/>
        </w:rPr>
        <w:t xml:space="preserve">w zw. </w:t>
      </w:r>
      <w:r w:rsidR="004406DA" w:rsidRPr="00C9689C">
        <w:rPr>
          <w:rFonts w:ascii="Lato" w:eastAsia="Calibri" w:hAnsi="Lato" w:cs="Times New Roman"/>
          <w:bCs/>
          <w:spacing w:val="4"/>
          <w:lang w:bidi="pl-PL"/>
        </w:rPr>
        <w:br/>
        <w:t>z art. 20 ust. 3 specustawy gazowej i art. 49 § 1</w:t>
      </w:r>
      <w:r w:rsidR="004406DA" w:rsidRPr="00C9689C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4406DA" w:rsidRPr="00C9689C">
        <w:rPr>
          <w:rFonts w:ascii="Lato" w:eastAsia="Calibri" w:hAnsi="Lato" w:cs="Times New Roman"/>
          <w:bCs/>
          <w:iCs/>
          <w:spacing w:val="4"/>
          <w:lang w:bidi="pl-PL"/>
        </w:rPr>
        <w:t>ustawy z dnia 23 kwietnia 1964 r. – Kodeks cywilny (t.j. Dz.U. z 2025 r. poz. 1071), poprzez niewzględnie w zaskarżonej decyzji faktu posadowienia na przejmowanej pod inwestycję dział</w:t>
      </w:r>
      <w:r w:rsidR="000801EE" w:rsidRPr="00C9689C">
        <w:rPr>
          <w:rFonts w:ascii="Lato" w:eastAsia="Calibri" w:hAnsi="Lato" w:cs="Times New Roman"/>
          <w:bCs/>
          <w:iCs/>
          <w:spacing w:val="4"/>
          <w:lang w:bidi="pl-PL"/>
        </w:rPr>
        <w:t>ce</w:t>
      </w:r>
      <w:r w:rsidR="004406DA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 nr 600/9 czynnej sieci gazowej stanowiącej własność skarżącej spółki i w konsekwencji nieujęcia w decyzji Wojewody Lubuskiego wymagań dotyczących ochrony interesów PSG. </w:t>
      </w:r>
      <w:r w:rsidR="000801EE" w:rsidRPr="00C9689C">
        <w:rPr>
          <w:rFonts w:ascii="Lato" w:eastAsia="Calibri" w:hAnsi="Lato" w:cs="Times New Roman"/>
          <w:bCs/>
          <w:iCs/>
          <w:spacing w:val="4"/>
          <w:lang w:bidi="pl-PL"/>
        </w:rPr>
        <w:t>Zdaniem skarżącej spółki, w ramach obowiązku dotyczącego ochrony interesów osób trzecich (wynikającego z art. 10 ust. 1 pkt 5 specustawy gazowej)</w:t>
      </w:r>
      <w:r w:rsidR="00AB0710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, </w:t>
      </w:r>
      <w:r w:rsidR="000801EE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decyzja Wojewody Lubuskiego powinna określać obowiązek ustanowienia na rzecz PSG nieodpłatnej służebności przesyłu umożlwiającej korzystanie przez PSG z jej infrastruktury gazowej, która znajduje się na przechodzącej w użytkowanie wieczyste inwestora </w:t>
      </w:r>
      <w:r w:rsidR="00AB0710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działce </w:t>
      </w:r>
      <w:r w:rsidR="000801EE" w:rsidRPr="00C9689C">
        <w:rPr>
          <w:rFonts w:ascii="Lato" w:eastAsia="Calibri" w:hAnsi="Lato" w:cs="Times New Roman"/>
          <w:bCs/>
          <w:iCs/>
          <w:spacing w:val="4"/>
          <w:lang w:bidi="pl-PL"/>
        </w:rPr>
        <w:t>nr 600/9.</w:t>
      </w:r>
      <w:r w:rsidR="003D64CB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 </w:t>
      </w:r>
    </w:p>
    <w:p w14:paraId="7DA27A35" w14:textId="0DA7A3D8" w:rsidR="00F25DCB" w:rsidRPr="00C9689C" w:rsidRDefault="00F25DCB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iCs/>
          <w:spacing w:val="4"/>
          <w:lang w:bidi="pl-PL"/>
        </w:rPr>
      </w:pP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>Z akt sprawy wynika, że na wyodrębnionej działce nr 600/9</w:t>
      </w:r>
      <w:r w:rsidR="003D64CB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 inwestor</w:t>
      </w: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 zamierza wybudować </w:t>
      </w:r>
      <w:r w:rsidR="003D64CB" w:rsidRPr="00C9689C">
        <w:rPr>
          <w:rFonts w:ascii="Lato" w:eastAsia="Calibri" w:hAnsi="Lato" w:cs="Times New Roman"/>
          <w:bCs/>
          <w:iCs/>
          <w:spacing w:val="4"/>
          <w:lang w:bidi="pl-PL"/>
        </w:rPr>
        <w:t>elementy</w:t>
      </w: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 </w:t>
      </w:r>
      <w:r w:rsidR="003D64CB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infrastruktury </w:t>
      </w: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>gazowe</w:t>
      </w:r>
      <w:r w:rsidR="003D64CB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j w ramach przedmiotowej inwestycji. </w:t>
      </w:r>
      <w:r w:rsidR="00BA20F7">
        <w:rPr>
          <w:rFonts w:ascii="Lato" w:eastAsia="Calibri" w:hAnsi="Lato" w:cs="Times New Roman"/>
          <w:bCs/>
          <w:iCs/>
          <w:spacing w:val="4"/>
          <w:lang w:bidi="pl-PL"/>
        </w:rPr>
        <w:br/>
      </w:r>
      <w:r w:rsidR="003D64CB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A zatem na działce nr 600/9 będą znajdować się zarówno elementy sieci gazowej dystrybucyjnej należącej do PSG, jak i elementy infrastruktury gazowej wybudowane </w:t>
      </w:r>
      <w:r w:rsidR="00BA20F7">
        <w:rPr>
          <w:rFonts w:ascii="Lato" w:eastAsia="Calibri" w:hAnsi="Lato" w:cs="Times New Roman"/>
          <w:bCs/>
          <w:iCs/>
          <w:spacing w:val="4"/>
          <w:lang w:bidi="pl-PL"/>
        </w:rPr>
        <w:br/>
      </w:r>
      <w:r w:rsidR="003D64CB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w ramach przedmiotowej inwestycji. </w:t>
      </w:r>
    </w:p>
    <w:p w14:paraId="00DEFD4D" w14:textId="2EF4A57B" w:rsidR="004406DA" w:rsidRPr="00C9689C" w:rsidRDefault="000801EE" w:rsidP="00CB30AF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="Calibri" w:hAnsi="Lato" w:cs="Times New Roman"/>
          <w:bCs/>
          <w:iCs/>
          <w:spacing w:val="4"/>
          <w:lang w:bidi="pl-PL"/>
        </w:rPr>
      </w:pP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Minister po przenalizowaniu </w:t>
      </w:r>
      <w:r w:rsidR="00AF3BB3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zebranego </w:t>
      </w: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>w sprawie materiału dowodowego</w:t>
      </w:r>
      <w:r w:rsidR="00BA5D8A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, </w:t>
      </w:r>
      <w:r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w pierwszej kolejności stwierdza, że ww. działka nr 600/9 (powstała z podziału działki nr 600/6) została błędnie oznaczona przez </w:t>
      </w:r>
      <w:r w:rsidR="0024419F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organ I instancji w decyzji Wojewody Lubuskiego jako nieruchomość, w stosunku do której decyzja o ustaleniu lokalizacji inwestycji ma wywołać skutek, o którym mowa w art. 20 ust. 3 i 6 </w:t>
      </w:r>
      <w:r w:rsidR="0024419F" w:rsidRPr="00C9689C">
        <w:rPr>
          <w:rFonts w:ascii="Lato" w:eastAsia="Calibri" w:hAnsi="Lato" w:cs="Times New Roman"/>
          <w:bCs/>
          <w:spacing w:val="4"/>
          <w:lang w:bidi="pl-PL"/>
        </w:rPr>
        <w:t>specustawy gazowej</w:t>
      </w:r>
      <w:r w:rsidR="0024419F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 </w:t>
      </w:r>
      <w:r w:rsidR="00410928">
        <w:rPr>
          <w:rFonts w:ascii="Lato" w:eastAsia="Calibri" w:hAnsi="Lato" w:cs="Times New Roman"/>
          <w:bCs/>
          <w:iCs/>
          <w:spacing w:val="4"/>
          <w:lang w:bidi="pl-PL"/>
        </w:rPr>
        <w:br/>
      </w:r>
      <w:r w:rsidR="0024419F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(tj. przechodząca na własność Skarbu Państwa), w sytuacji gdy działka nr 600/6 należała </w:t>
      </w:r>
      <w:r w:rsidR="0024419F" w:rsidRPr="00C9689C">
        <w:rPr>
          <w:rFonts w:ascii="Lato" w:eastAsia="Calibri" w:hAnsi="Lato" w:cs="Times New Roman"/>
          <w:bCs/>
          <w:iCs/>
          <w:spacing w:val="4"/>
          <w:lang w:bidi="pl-PL"/>
        </w:rPr>
        <w:lastRenderedPageBreak/>
        <w:t xml:space="preserve">już do Skarbu Państwa w dniu złożenia wniosku o wydanie decyzji o ustaleniu lokalizacji </w:t>
      </w:r>
      <w:r w:rsidR="00AB0710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przedmiotowej </w:t>
      </w:r>
      <w:r w:rsidR="0024419F" w:rsidRPr="00C9689C">
        <w:rPr>
          <w:rFonts w:ascii="Lato" w:eastAsia="Calibri" w:hAnsi="Lato" w:cs="Times New Roman"/>
          <w:bCs/>
          <w:iCs/>
          <w:spacing w:val="4"/>
          <w:lang w:bidi="pl-PL"/>
        </w:rPr>
        <w:t xml:space="preserve">inwestycji i w dniu wydania decyzji Wojewody Lubuskiego. </w:t>
      </w:r>
    </w:p>
    <w:p w14:paraId="5FB55F49" w14:textId="4C1563B0" w:rsidR="00D7130F" w:rsidRPr="00C9689C" w:rsidRDefault="00577C5E" w:rsidP="00CB30AF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C9689C">
        <w:rPr>
          <w:rFonts w:ascii="Lato" w:hAnsi="Lato" w:cs="Arial"/>
          <w:iCs/>
          <w:spacing w:val="4"/>
        </w:rPr>
        <w:t xml:space="preserve">Zgodnie z </w:t>
      </w:r>
      <w:bookmarkStart w:id="12" w:name="_Hlk218939204"/>
      <w:r w:rsidRPr="00C9689C">
        <w:rPr>
          <w:rFonts w:ascii="Lato" w:hAnsi="Lato" w:cs="Arial"/>
          <w:iCs/>
          <w:spacing w:val="4"/>
        </w:rPr>
        <w:t>art. 6 ust. 1 pkt 9 specustawy gazowej</w:t>
      </w:r>
      <w:bookmarkEnd w:id="12"/>
      <w:r w:rsidRPr="00C9689C">
        <w:rPr>
          <w:rFonts w:ascii="Lato" w:hAnsi="Lato" w:cs="Arial"/>
          <w:iCs/>
          <w:spacing w:val="4"/>
        </w:rPr>
        <w:t xml:space="preserve">, wniosek o wydanie decyzji </w:t>
      </w:r>
      <w:r w:rsidRPr="00C9689C">
        <w:rPr>
          <w:rFonts w:ascii="Lato" w:hAnsi="Lato" w:cs="Arial"/>
          <w:iCs/>
          <w:spacing w:val="4"/>
        </w:rPr>
        <w:br/>
        <w:t xml:space="preserve">o ustaleniu lokalizacji inwestycji zawiera wskazanie nieruchomości, w stosunku </w:t>
      </w:r>
      <w:r w:rsidRPr="00C9689C">
        <w:rPr>
          <w:rFonts w:ascii="Lato" w:hAnsi="Lato" w:cs="Arial"/>
          <w:iCs/>
          <w:spacing w:val="4"/>
        </w:rPr>
        <w:br/>
        <w:t xml:space="preserve">do których decyzja o ustaleniu lokalizacji inwestycji ma wywołać skutek, o którym mowa w art. 20 ust. 3 i 6. W myśl natomiast art. 6 ust. 1 pkt 9a specustawy gazowej wniosek </w:t>
      </w:r>
      <w:r w:rsidRPr="00C9689C">
        <w:rPr>
          <w:rFonts w:ascii="Lato" w:hAnsi="Lato" w:cs="Arial"/>
          <w:iCs/>
          <w:spacing w:val="4"/>
        </w:rPr>
        <w:br/>
        <w:t xml:space="preserve">o wydanie decyzji o ustaleniu lokalizacji inwestycji zawiera wskazanie nieruchomości, </w:t>
      </w:r>
      <w:r w:rsidRPr="00C9689C">
        <w:rPr>
          <w:rFonts w:ascii="Lato" w:hAnsi="Lato" w:cs="Arial"/>
          <w:iCs/>
          <w:spacing w:val="4"/>
        </w:rPr>
        <w:br/>
        <w:t xml:space="preserve">w stosunku do których decyzja o ustaleniu lokalizacji inwestycji ma wywołać skutek, </w:t>
      </w:r>
      <w:r w:rsidRPr="00C9689C">
        <w:rPr>
          <w:rFonts w:ascii="Lato" w:hAnsi="Lato" w:cs="Arial"/>
          <w:iCs/>
          <w:spacing w:val="4"/>
        </w:rPr>
        <w:br/>
        <w:t>o którym mowa w art. 20 ust. 6a. Stosownie do art. 10 ust. 1 pkt 7 specustawy gazowej, decyzja o ustaleniu lokalizacji inwestycji zawiera oznaczenie nieruchomości, w stosunku do których decyzja ma wywołać skutek, o którym mowa w art. 20 ust. 3 i 6. W myśl art. 10 ust. 1 pkt 7a specustawy gazowej, decyzja o ustaleniu lokalizacji inwestycji zawiera oznaczenie nieruchomości, w stosunku do których decyzja ma wywołać skutek, o którym mowa w art. 20 ust. 6a.</w:t>
      </w:r>
    </w:p>
    <w:p w14:paraId="7F58A06E" w14:textId="766BCC34" w:rsidR="00577C5E" w:rsidRPr="00C9689C" w:rsidRDefault="00577C5E" w:rsidP="00CB30AF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C9689C">
        <w:rPr>
          <w:rFonts w:ascii="Lato" w:hAnsi="Lato" w:cs="Arial"/>
          <w:iCs/>
          <w:spacing w:val="4"/>
        </w:rPr>
        <w:t xml:space="preserve">Zgodnie z ww. art. 20 ust. 3 i 6 specustawy gazowej, nieruchomości znajdujące się </w:t>
      </w:r>
      <w:r w:rsidRPr="00C9689C">
        <w:rPr>
          <w:rFonts w:ascii="Lato" w:hAnsi="Lato" w:cs="Arial"/>
          <w:iCs/>
          <w:spacing w:val="4"/>
        </w:rPr>
        <w:br/>
        <w:t xml:space="preserve">w liniach rozgraniczających teren inwestycji w zakresie oznaczonym w decyzji o ustaleniu lokalizacji inwestycji zgodnie z art. 10 ust. 1 pkt 7, stają się z mocy prawa własnością Skarbu Państwa z dniem, w którym decyzja o ustaleniu lokalizacji inwestycji stała się ostateczna, za odszkodowaniem (ust. 3).  Z zastrzeżeniem ust. 7, inwestor nabywa z mocy prawa z dniem, w którym decyzja o ustaleniu lokalizacji inwestycji stała się ostateczna, prawo użytkowania wieczystego nieruchomości gruntowych, określonych w ust. 3, oraz prawo własności budynków, innych urządzeń trwale z gruntem związanych i lokali znajdujących się na tych nieruchomościach (ust. 6). </w:t>
      </w:r>
    </w:p>
    <w:p w14:paraId="09C742C1" w14:textId="77777777" w:rsidR="00AF3BB3" w:rsidRPr="00C9689C" w:rsidRDefault="00D7130F" w:rsidP="00CB30AF">
      <w:pPr>
        <w:spacing w:after="240" w:line="240" w:lineRule="exact"/>
        <w:jc w:val="both"/>
        <w:outlineLvl w:val="0"/>
        <w:rPr>
          <w:rFonts w:ascii="Lato" w:hAnsi="Lato" w:cs="Arial"/>
          <w:iCs/>
          <w:spacing w:val="4"/>
        </w:rPr>
      </w:pPr>
      <w:r w:rsidRPr="00C9689C">
        <w:rPr>
          <w:rFonts w:ascii="Lato" w:hAnsi="Lato" w:cs="Arial"/>
          <w:iCs/>
          <w:spacing w:val="4"/>
        </w:rPr>
        <w:t xml:space="preserve">Powyższe przepisy art. 20 ust. 3 i 6 specustawy gazowej (do których odsyła art. 6 ust. 1 pkt 9 specustawy gazowej i art. 10 ust. 1 pkt 7 specustawy gazowej) dotyczą nieruchomości przejmowanych na rzecz Skarbu Państwa w decyzji o ustaleniu lokalizacji inwestycji </w:t>
      </w:r>
      <w:r w:rsidR="00ED0851" w:rsidRPr="00C9689C">
        <w:rPr>
          <w:rFonts w:ascii="Lato" w:hAnsi="Lato" w:cs="Arial"/>
          <w:iCs/>
          <w:spacing w:val="4"/>
        </w:rPr>
        <w:t>towarzyszącej inwestycjom w zakresie terminalu</w:t>
      </w:r>
      <w:r w:rsidRPr="00C9689C">
        <w:rPr>
          <w:rFonts w:ascii="Lato" w:hAnsi="Lato" w:cs="Arial"/>
          <w:iCs/>
          <w:spacing w:val="4"/>
        </w:rPr>
        <w:t xml:space="preserve">. A wiec nieruchomości nie stanowiących własności Skarbu Państwa w dniu orzekania przez wojewodę o ustaleniu lokalizacji inwestycji </w:t>
      </w:r>
      <w:r w:rsidR="00ED0851" w:rsidRPr="00C9689C">
        <w:rPr>
          <w:rFonts w:ascii="Lato" w:hAnsi="Lato" w:cs="Arial"/>
          <w:iCs/>
          <w:spacing w:val="4"/>
        </w:rPr>
        <w:t>towarzyszącej inwestycjom w zakresie terminalu</w:t>
      </w:r>
      <w:r w:rsidRPr="00C9689C">
        <w:rPr>
          <w:rFonts w:ascii="Lato" w:hAnsi="Lato" w:cs="Arial"/>
          <w:iCs/>
          <w:spacing w:val="4"/>
        </w:rPr>
        <w:t xml:space="preserve">. </w:t>
      </w:r>
    </w:p>
    <w:p w14:paraId="490A09D8" w14:textId="36DB7DC4" w:rsidR="008671DB" w:rsidRPr="00C9689C" w:rsidRDefault="00ED0851" w:rsidP="00CB30AF">
      <w:pPr>
        <w:spacing w:after="240" w:line="240" w:lineRule="exact"/>
        <w:jc w:val="both"/>
        <w:outlineLvl w:val="0"/>
        <w:rPr>
          <w:rFonts w:ascii="Lato" w:eastAsia="@Arial Unicode MS" w:hAnsi="Lato" w:cs="Arial"/>
          <w:spacing w:val="4"/>
          <w:lang w:eastAsia="pl-PL"/>
        </w:rPr>
      </w:pPr>
      <w:r w:rsidRPr="00C9689C">
        <w:rPr>
          <w:rFonts w:ascii="Lato" w:hAnsi="Lato" w:cs="Arial"/>
          <w:iCs/>
          <w:spacing w:val="4"/>
        </w:rPr>
        <w:t>Natomiast w myśl art. 20 ust. 6a specustawy gazowej</w:t>
      </w:r>
      <w:r w:rsidR="008671DB" w:rsidRPr="00C9689C">
        <w:rPr>
          <w:rFonts w:ascii="Lato" w:hAnsi="Lato" w:cs="Arial"/>
          <w:iCs/>
          <w:spacing w:val="4"/>
        </w:rPr>
        <w:t xml:space="preserve"> (do którego z kolei odsyła art. 6 ust. 1 pkt 9a specustawy gazowej i art. 10 ust. 1 pkt 7a specustawy gazowej)</w:t>
      </w:r>
      <w:r w:rsidR="00577C5E" w:rsidRPr="00C9689C">
        <w:rPr>
          <w:rFonts w:ascii="Lato" w:hAnsi="Lato" w:cs="Arial"/>
          <w:iCs/>
          <w:spacing w:val="4"/>
        </w:rPr>
        <w:t xml:space="preserve">, z wyjątkiem ust. 7, inwestor nabywa z mocy prawa z dniem, w którym decyzja o ustaleniu lokalizacji inwestycji stała się ostateczna, prawo użytkowania wieczystego nieruchomości gruntowych należących w dniu złożenia </w:t>
      </w:r>
      <w:r w:rsidR="00577C5E" w:rsidRPr="00C9689C">
        <w:rPr>
          <w:rFonts w:ascii="Lato" w:eastAsia="@Arial Unicode MS" w:hAnsi="Lato" w:cs="Arial"/>
          <w:spacing w:val="4"/>
          <w:lang w:eastAsia="pl-PL"/>
        </w:rPr>
        <w:t>wniosku o wydanie decyzji o ustaleniu lokalizacji inwestycji do Skarbu Państwa, znajdujących się w liniach rozgraniczających teren inwestycji w zakresie oznaczonym w tej decyzji zgodnie z art. 10 ust. 1 pkt 7a, oraz prawo własności budynków, innych urządzeń trwale z gruntem związanych i lokali znajdujących się na tych nieruchomościach.</w:t>
      </w:r>
      <w:r w:rsidR="008671DB" w:rsidRPr="00C9689C">
        <w:rPr>
          <w:rFonts w:ascii="Lato" w:eastAsia="@Arial Unicode MS" w:hAnsi="Lato" w:cs="Arial"/>
          <w:spacing w:val="4"/>
          <w:lang w:eastAsia="pl-PL"/>
        </w:rPr>
        <w:t xml:space="preserve"> Przepis </w:t>
      </w:r>
      <w:r w:rsidR="008671DB" w:rsidRPr="00C9689C">
        <w:rPr>
          <w:rFonts w:ascii="Lato" w:eastAsia="@Arial Unicode MS" w:hAnsi="Lato" w:cs="Arial"/>
          <w:iCs/>
          <w:spacing w:val="4"/>
          <w:lang w:eastAsia="pl-PL"/>
        </w:rPr>
        <w:t>art. 20 ust. 6a specustawy gazowej</w:t>
      </w:r>
      <w:r w:rsidR="008671DB" w:rsidRPr="00C9689C">
        <w:rPr>
          <w:rFonts w:ascii="Lato" w:eastAsia="@Arial Unicode MS" w:hAnsi="Lato" w:cs="Arial"/>
          <w:spacing w:val="4"/>
          <w:lang w:eastAsia="pl-PL"/>
        </w:rPr>
        <w:t xml:space="preserve"> wywołuje skutek w postaci nabycia przez inwestora </w:t>
      </w:r>
      <w:r w:rsidR="008671DB" w:rsidRPr="00C9689C">
        <w:rPr>
          <w:rFonts w:ascii="Lato" w:eastAsia="@Arial Unicode MS" w:hAnsi="Lato" w:cs="Arial"/>
          <w:iCs/>
          <w:spacing w:val="4"/>
          <w:lang w:eastAsia="pl-PL"/>
        </w:rPr>
        <w:t xml:space="preserve">z mocy prawa z dniem, w którym decyzja </w:t>
      </w:r>
      <w:r w:rsidR="00571C51">
        <w:rPr>
          <w:rFonts w:ascii="Lato" w:eastAsia="@Arial Unicode MS" w:hAnsi="Lato" w:cs="Arial"/>
          <w:iCs/>
          <w:spacing w:val="4"/>
          <w:lang w:eastAsia="pl-PL"/>
        </w:rPr>
        <w:br/>
      </w:r>
      <w:r w:rsidR="008671DB" w:rsidRPr="00C9689C">
        <w:rPr>
          <w:rFonts w:ascii="Lato" w:eastAsia="@Arial Unicode MS" w:hAnsi="Lato" w:cs="Arial"/>
          <w:iCs/>
          <w:spacing w:val="4"/>
          <w:lang w:eastAsia="pl-PL"/>
        </w:rPr>
        <w:t>o ustaleniu lokalizacji inwestycji stała się ostateczna, praw</w:t>
      </w:r>
      <w:r w:rsidR="00BB2410">
        <w:rPr>
          <w:rFonts w:ascii="Lato" w:eastAsia="@Arial Unicode MS" w:hAnsi="Lato" w:cs="Arial"/>
          <w:iCs/>
          <w:spacing w:val="4"/>
          <w:lang w:eastAsia="pl-PL"/>
        </w:rPr>
        <w:t>a</w:t>
      </w:r>
      <w:r w:rsidR="008671DB" w:rsidRPr="00C9689C">
        <w:rPr>
          <w:rFonts w:ascii="Lato" w:eastAsia="@Arial Unicode MS" w:hAnsi="Lato" w:cs="Arial"/>
          <w:iCs/>
          <w:spacing w:val="4"/>
          <w:lang w:eastAsia="pl-PL"/>
        </w:rPr>
        <w:t xml:space="preserve"> użytkowania wieczystego nieruchomości gruntowych należących w dniu złożenia </w:t>
      </w:r>
      <w:r w:rsidR="008671DB" w:rsidRPr="00C9689C">
        <w:rPr>
          <w:rFonts w:ascii="Lato" w:eastAsia="@Arial Unicode MS" w:hAnsi="Lato" w:cs="Arial"/>
          <w:spacing w:val="4"/>
          <w:lang w:eastAsia="pl-PL"/>
        </w:rPr>
        <w:t xml:space="preserve">wniosku o wydanie decyzji </w:t>
      </w:r>
      <w:r w:rsidR="00AB0710" w:rsidRPr="00C9689C">
        <w:rPr>
          <w:rFonts w:ascii="Lato" w:eastAsia="@Arial Unicode MS" w:hAnsi="Lato" w:cs="Arial"/>
          <w:spacing w:val="4"/>
          <w:lang w:eastAsia="pl-PL"/>
        </w:rPr>
        <w:br/>
      </w:r>
      <w:r w:rsidR="008671DB" w:rsidRPr="00C9689C">
        <w:rPr>
          <w:rFonts w:ascii="Lato" w:eastAsia="@Arial Unicode MS" w:hAnsi="Lato" w:cs="Arial"/>
          <w:spacing w:val="4"/>
          <w:lang w:eastAsia="pl-PL"/>
        </w:rPr>
        <w:t>o ustaleniu lokalizacji inwestycji do Skarbu Państwa.</w:t>
      </w:r>
    </w:p>
    <w:p w14:paraId="4D2C44D7" w14:textId="30088927" w:rsidR="00C24F12" w:rsidRPr="00C9689C" w:rsidRDefault="008671DB" w:rsidP="00CB30AF">
      <w:pPr>
        <w:spacing w:after="240" w:line="240" w:lineRule="exact"/>
        <w:jc w:val="both"/>
        <w:outlineLvl w:val="0"/>
        <w:rPr>
          <w:rFonts w:ascii="Lato" w:eastAsia="@Arial Unicode MS" w:hAnsi="Lato" w:cs="Arial"/>
          <w:iCs/>
          <w:spacing w:val="4"/>
          <w:lang w:eastAsia="pl-PL"/>
        </w:rPr>
      </w:pPr>
      <w:r w:rsidRPr="00C9689C">
        <w:rPr>
          <w:rFonts w:ascii="Lato" w:eastAsia="@Arial Unicode MS" w:hAnsi="Lato" w:cs="Arial"/>
          <w:spacing w:val="4"/>
          <w:lang w:eastAsia="pl-PL"/>
        </w:rPr>
        <w:t xml:space="preserve">Z powyższego wynika, iż ustawodawca w art. </w:t>
      </w:r>
      <w:r w:rsidRPr="00C9689C">
        <w:rPr>
          <w:rFonts w:ascii="Lato" w:eastAsia="@Arial Unicode MS" w:hAnsi="Lato" w:cs="Arial"/>
          <w:iCs/>
          <w:spacing w:val="4"/>
          <w:lang w:eastAsia="pl-PL"/>
        </w:rPr>
        <w:t>6 ust. 1 pkt 9 i 9a specustawy gazowej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 (dotyczącym elementów wniosku lokalizacyjnego), jak i w art. </w:t>
      </w:r>
      <w:r w:rsidR="00C24F12" w:rsidRPr="00C9689C">
        <w:rPr>
          <w:rFonts w:ascii="Lato" w:eastAsia="@Arial Unicode MS" w:hAnsi="Lato" w:cs="Arial"/>
          <w:iCs/>
          <w:spacing w:val="4"/>
          <w:lang w:eastAsia="pl-PL"/>
        </w:rPr>
        <w:t>10 ust. 1 pkt 7 i 7a specustawy gazowej</w:t>
      </w:r>
      <w:r w:rsidR="00CF3748" w:rsidRPr="00C9689C">
        <w:rPr>
          <w:rFonts w:ascii="Lato" w:eastAsia="@Arial Unicode MS" w:hAnsi="Lato" w:cs="Arial"/>
          <w:iCs/>
          <w:spacing w:val="4"/>
          <w:lang w:eastAsia="pl-PL"/>
        </w:rPr>
        <w:t xml:space="preserve">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(dotyczącym elementów decyzji lokalizacyjnej) rozróżnia, </w:t>
      </w:r>
      <w:r w:rsidR="00CF3748" w:rsidRPr="00C9689C">
        <w:rPr>
          <w:rFonts w:ascii="Lato" w:eastAsia="@Arial Unicode MS" w:hAnsi="Lato" w:cs="Arial"/>
          <w:spacing w:val="4"/>
          <w:lang w:eastAsia="pl-PL"/>
        </w:rPr>
        <w:br/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w zależności o stanu własnościowego, nieruchomości objęte dyspozycją </w:t>
      </w:r>
      <w:r w:rsidR="00C24F12" w:rsidRPr="00C9689C">
        <w:rPr>
          <w:rFonts w:ascii="Lato" w:eastAsia="@Arial Unicode MS" w:hAnsi="Lato" w:cs="Arial"/>
          <w:iCs/>
          <w:spacing w:val="4"/>
          <w:lang w:eastAsia="pl-PL"/>
        </w:rPr>
        <w:t xml:space="preserve">art. 20 ust. 3 i 6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tej ustawy oraz nieruchomości objęte dyspozycją art. </w:t>
      </w:r>
      <w:r w:rsidR="00C24F12" w:rsidRPr="00C9689C">
        <w:rPr>
          <w:rFonts w:ascii="Lato" w:eastAsia="@Arial Unicode MS" w:hAnsi="Lato" w:cs="Arial"/>
          <w:iCs/>
          <w:spacing w:val="4"/>
          <w:lang w:eastAsia="pl-PL"/>
        </w:rPr>
        <w:t xml:space="preserve">20 ust. 6a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specustawy </w:t>
      </w:r>
      <w:r w:rsidR="00C24F12" w:rsidRPr="00C9689C">
        <w:rPr>
          <w:rFonts w:ascii="Lato" w:eastAsia="@Arial Unicode MS" w:hAnsi="Lato" w:cs="Arial"/>
          <w:spacing w:val="4"/>
          <w:lang w:eastAsia="pl-PL"/>
        </w:rPr>
        <w:t xml:space="preserve">gazowej. </w:t>
      </w:r>
      <w:r w:rsidR="00AB0710" w:rsidRPr="00C9689C">
        <w:rPr>
          <w:rFonts w:ascii="Lato" w:eastAsia="@Arial Unicode MS" w:hAnsi="Lato" w:cs="Arial"/>
          <w:spacing w:val="4"/>
          <w:lang w:eastAsia="pl-PL"/>
        </w:rPr>
        <w:br/>
      </w:r>
      <w:r w:rsidR="00146EAC" w:rsidRPr="00C9689C">
        <w:rPr>
          <w:rFonts w:ascii="Lato" w:eastAsia="@Arial Unicode MS" w:hAnsi="Lato" w:cs="Arial"/>
          <w:spacing w:val="4"/>
          <w:lang w:eastAsia="pl-PL"/>
        </w:rPr>
        <w:t xml:space="preserve">Jednocześnie zauważyć przy tym należy, </w:t>
      </w:r>
      <w:r w:rsidR="00AF3BB3" w:rsidRPr="00C9689C">
        <w:rPr>
          <w:rFonts w:ascii="Lato" w:eastAsia="@Arial Unicode MS" w:hAnsi="Lato" w:cs="Arial"/>
          <w:spacing w:val="4"/>
          <w:lang w:eastAsia="pl-PL"/>
        </w:rPr>
        <w:t>że</w:t>
      </w:r>
      <w:r w:rsidR="00146EAC" w:rsidRPr="00C9689C">
        <w:rPr>
          <w:rFonts w:ascii="Lato" w:eastAsia="@Arial Unicode MS" w:hAnsi="Lato" w:cs="Arial"/>
          <w:spacing w:val="4"/>
          <w:lang w:eastAsia="pl-PL"/>
        </w:rPr>
        <w:t xml:space="preserve"> w</w:t>
      </w:r>
      <w:r w:rsidR="00C24F12" w:rsidRPr="00C9689C">
        <w:rPr>
          <w:rFonts w:ascii="Lato" w:eastAsia="@Arial Unicode MS" w:hAnsi="Lato" w:cs="Arial"/>
          <w:spacing w:val="4"/>
          <w:lang w:eastAsia="pl-PL"/>
        </w:rPr>
        <w:t xml:space="preserve">e wniosku lokalizacyjnym </w:t>
      </w:r>
      <w:r w:rsidR="000D5ACE" w:rsidRPr="00C9689C">
        <w:rPr>
          <w:rFonts w:ascii="Lato" w:eastAsia="@Arial Unicode MS" w:hAnsi="Lato" w:cs="Arial"/>
          <w:iCs/>
          <w:spacing w:val="4"/>
          <w:lang w:eastAsia="pl-PL"/>
        </w:rPr>
        <w:t>działka nr 600/9  została prawidłowa oznaczona przez inwestora</w:t>
      </w:r>
      <w:r w:rsidR="00AB0710" w:rsidRPr="00C9689C">
        <w:rPr>
          <w:rFonts w:ascii="Lato" w:eastAsia="@Arial Unicode MS" w:hAnsi="Lato" w:cs="Arial"/>
          <w:iCs/>
          <w:spacing w:val="4"/>
          <w:lang w:eastAsia="pl-PL"/>
        </w:rPr>
        <w:t xml:space="preserve">, </w:t>
      </w:r>
      <w:r w:rsidR="000D5ACE" w:rsidRPr="00C9689C">
        <w:rPr>
          <w:rFonts w:ascii="Lato" w:eastAsia="@Arial Unicode MS" w:hAnsi="Lato" w:cs="Arial"/>
          <w:iCs/>
          <w:spacing w:val="4"/>
          <w:lang w:eastAsia="pl-PL"/>
        </w:rPr>
        <w:t xml:space="preserve">zgodnie z art. 6 ust. 1 pkt 9a specustawy </w:t>
      </w:r>
      <w:r w:rsidR="000D5ACE" w:rsidRPr="00C9689C">
        <w:rPr>
          <w:rFonts w:ascii="Lato" w:eastAsia="@Arial Unicode MS" w:hAnsi="Lato" w:cs="Arial"/>
          <w:iCs/>
          <w:spacing w:val="4"/>
          <w:lang w:eastAsia="pl-PL"/>
        </w:rPr>
        <w:lastRenderedPageBreak/>
        <w:t>gazowej, jako nieruchomość w stosunku do któr</w:t>
      </w:r>
      <w:r w:rsidR="00AB0710" w:rsidRPr="00C9689C">
        <w:rPr>
          <w:rFonts w:ascii="Lato" w:eastAsia="@Arial Unicode MS" w:hAnsi="Lato" w:cs="Arial"/>
          <w:iCs/>
          <w:spacing w:val="4"/>
          <w:lang w:eastAsia="pl-PL"/>
        </w:rPr>
        <w:t>ej</w:t>
      </w:r>
      <w:r w:rsidR="000D5ACE" w:rsidRPr="00C9689C">
        <w:rPr>
          <w:rFonts w:ascii="Lato" w:eastAsia="@Arial Unicode MS" w:hAnsi="Lato" w:cs="Arial"/>
          <w:iCs/>
          <w:spacing w:val="4"/>
          <w:lang w:eastAsia="pl-PL"/>
        </w:rPr>
        <w:t xml:space="preserve"> decyzja o ustaleniu lokalizacji inwestycji ma wywołać skutek, o którym mowa w art. 20 ust. 6a</w:t>
      </w:r>
      <w:r w:rsidR="00AF3BB3" w:rsidRPr="00C9689C">
        <w:rPr>
          <w:rFonts w:ascii="Lato" w:eastAsia="@Arial Unicode MS" w:hAnsi="Lato" w:cs="Arial"/>
          <w:iCs/>
          <w:spacing w:val="4"/>
          <w:lang w:eastAsia="pl-PL"/>
        </w:rPr>
        <w:t xml:space="preserve"> specustawy gazowej. </w:t>
      </w:r>
    </w:p>
    <w:p w14:paraId="4E468862" w14:textId="77777777" w:rsidR="00AF3BB3" w:rsidRPr="00C9689C" w:rsidRDefault="00CF3748" w:rsidP="00CB30AF">
      <w:pPr>
        <w:spacing w:after="240" w:line="240" w:lineRule="exact"/>
        <w:jc w:val="both"/>
        <w:outlineLvl w:val="0"/>
        <w:rPr>
          <w:rFonts w:ascii="Lato" w:eastAsia="@Arial Unicode MS" w:hAnsi="Lato" w:cs="Arial"/>
          <w:spacing w:val="4"/>
          <w:lang w:eastAsia="pl-PL"/>
        </w:rPr>
      </w:pPr>
      <w:r w:rsidRPr="00C9689C">
        <w:rPr>
          <w:rFonts w:ascii="Lato" w:eastAsia="@Arial Unicode MS" w:hAnsi="Lato" w:cs="Arial"/>
          <w:iCs/>
          <w:spacing w:val="4"/>
          <w:lang w:eastAsia="pl-PL"/>
        </w:rPr>
        <w:t>W świetle powyższego, działka nr 600/9 (</w:t>
      </w:r>
      <w:r w:rsidRPr="00C9689C">
        <w:rPr>
          <w:rFonts w:ascii="Lato" w:eastAsia="@Arial Unicode MS" w:hAnsi="Lato" w:cs="Arial"/>
          <w:bCs/>
          <w:iCs/>
          <w:spacing w:val="4"/>
          <w:lang w:eastAsia="pl-PL" w:bidi="pl-PL"/>
        </w:rPr>
        <w:t xml:space="preserve">powstała z podziału działki nr 600/6), z obrębu 0001 Sulechów, </w:t>
      </w:r>
      <w:r w:rsidRPr="00C9689C">
        <w:rPr>
          <w:rFonts w:ascii="Lato" w:eastAsia="@Arial Unicode MS" w:hAnsi="Lato" w:cs="Arial"/>
          <w:iCs/>
          <w:spacing w:val="4"/>
          <w:lang w:eastAsia="pl-PL"/>
        </w:rPr>
        <w:t>w pkt VII decyzji Wojewody Lubuskiego została błędnie oznaczon</w:t>
      </w:r>
      <w:r w:rsidR="00A94E60" w:rsidRPr="00C9689C">
        <w:rPr>
          <w:rFonts w:ascii="Lato" w:eastAsia="@Arial Unicode MS" w:hAnsi="Lato" w:cs="Arial"/>
          <w:iCs/>
          <w:spacing w:val="4"/>
          <w:lang w:eastAsia="pl-PL"/>
        </w:rPr>
        <w:t>a</w:t>
      </w:r>
      <w:r w:rsidRPr="00C9689C">
        <w:rPr>
          <w:rFonts w:ascii="Lato" w:eastAsia="@Arial Unicode MS" w:hAnsi="Lato" w:cs="Arial"/>
          <w:iCs/>
          <w:spacing w:val="4"/>
          <w:lang w:eastAsia="pl-PL"/>
        </w:rPr>
        <w:t xml:space="preserve"> jako przechodząca z mocy prawa na własność Skarbu Państwa</w:t>
      </w:r>
      <w:r w:rsidR="00A94E60" w:rsidRPr="00C9689C">
        <w:rPr>
          <w:rFonts w:ascii="Lato" w:eastAsia="@Arial Unicode MS" w:hAnsi="Lato" w:cs="Arial"/>
          <w:iCs/>
          <w:spacing w:val="4"/>
          <w:lang w:eastAsia="pl-PL"/>
        </w:rPr>
        <w:t xml:space="preserve">, tj. organ I instancji </w:t>
      </w:r>
      <w:r w:rsidR="006E3259" w:rsidRPr="00C9689C">
        <w:rPr>
          <w:rFonts w:ascii="Lato" w:eastAsia="@Arial Unicode MS" w:hAnsi="Lato" w:cs="Arial"/>
          <w:iCs/>
          <w:spacing w:val="4"/>
          <w:lang w:eastAsia="pl-PL"/>
        </w:rPr>
        <w:t xml:space="preserve">niepoprawnie </w:t>
      </w:r>
      <w:r w:rsidR="00AB0710" w:rsidRPr="00C9689C">
        <w:rPr>
          <w:rFonts w:ascii="Lato" w:eastAsia="@Arial Unicode MS" w:hAnsi="Lato" w:cs="Arial"/>
          <w:iCs/>
          <w:spacing w:val="4"/>
          <w:lang w:eastAsia="pl-PL"/>
        </w:rPr>
        <w:t xml:space="preserve">zastosował do niej skutek wynikający </w:t>
      </w:r>
      <w:r w:rsidR="006E3259" w:rsidRPr="00C9689C">
        <w:rPr>
          <w:rFonts w:ascii="Lato" w:eastAsia="@Arial Unicode MS" w:hAnsi="Lato" w:cs="Arial"/>
          <w:iCs/>
          <w:spacing w:val="4"/>
          <w:lang w:eastAsia="pl-PL"/>
        </w:rPr>
        <w:t xml:space="preserve">z </w:t>
      </w:r>
      <w:r w:rsidRPr="00C9689C">
        <w:rPr>
          <w:rFonts w:ascii="Lato" w:eastAsia="@Arial Unicode MS" w:hAnsi="Lato" w:cs="Arial"/>
          <w:iCs/>
          <w:spacing w:val="4"/>
          <w:lang w:eastAsia="pl-PL"/>
        </w:rPr>
        <w:t xml:space="preserve">art. 10 ust. 1 pkt 7 specustawy gazowej w zw. z art. 20 ust. 3 i 6 tej ustawy.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Prawidłowym działaniem ze strony Wojewody Lubuskiego powinno być oznaczenie </w:t>
      </w:r>
      <w:r w:rsidR="007E4DF7" w:rsidRPr="00C9689C">
        <w:rPr>
          <w:rFonts w:ascii="Lato" w:eastAsia="@Arial Unicode MS" w:hAnsi="Lato" w:cs="Arial"/>
          <w:iCs/>
          <w:spacing w:val="4"/>
          <w:lang w:eastAsia="pl-PL"/>
        </w:rPr>
        <w:t xml:space="preserve">działki nr 600/9 w decyzji Wojewody Lubuskiego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na podstawie art. </w:t>
      </w:r>
      <w:r w:rsidRPr="00C9689C">
        <w:rPr>
          <w:rFonts w:ascii="Lato" w:eastAsia="@Arial Unicode MS" w:hAnsi="Lato" w:cs="Arial"/>
          <w:iCs/>
          <w:spacing w:val="4"/>
          <w:lang w:eastAsia="pl-PL"/>
        </w:rPr>
        <w:t xml:space="preserve">10 ust. 1 pkt 7a specustawy gazowej, tj. </w:t>
      </w:r>
      <w:r w:rsidR="00AF3BB3" w:rsidRPr="00C9689C">
        <w:rPr>
          <w:rFonts w:ascii="Lato" w:eastAsia="@Arial Unicode MS" w:hAnsi="Lato" w:cs="Arial"/>
          <w:iCs/>
          <w:spacing w:val="4"/>
          <w:lang w:eastAsia="pl-PL"/>
        </w:rPr>
        <w:t xml:space="preserve">jako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nieruchomości, w stosunku do której decyzja </w:t>
      </w:r>
      <w:r w:rsidR="00AF3BB3" w:rsidRPr="00C9689C">
        <w:rPr>
          <w:rFonts w:ascii="Lato" w:eastAsia="@Arial Unicode MS" w:hAnsi="Lato" w:cs="Arial"/>
          <w:spacing w:val="4"/>
          <w:lang w:eastAsia="pl-PL"/>
        </w:rPr>
        <w:t xml:space="preserve">lokalizacyjna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ma wywołać skutek, o którym mowa w </w:t>
      </w:r>
      <w:hyperlink r:id="rId9" w:history="1">
        <w:r w:rsidRPr="00C9689C">
          <w:rPr>
            <w:rStyle w:val="Hipercze"/>
            <w:rFonts w:ascii="Lato" w:eastAsia="@Arial Unicode MS" w:hAnsi="Lato" w:cs="Arial"/>
            <w:color w:val="auto"/>
            <w:spacing w:val="4"/>
            <w:u w:val="none"/>
            <w:lang w:eastAsia="pl-PL"/>
          </w:rPr>
          <w:t>art. 20 ust. 6a</w:t>
        </w:r>
      </w:hyperlink>
      <w:r w:rsidR="00A94E60" w:rsidRPr="00C9689C">
        <w:rPr>
          <w:rFonts w:ascii="Lato" w:eastAsia="@Arial Unicode MS" w:hAnsi="Lato" w:cs="Arial"/>
          <w:spacing w:val="4"/>
          <w:lang w:eastAsia="pl-PL"/>
        </w:rPr>
        <w:t xml:space="preserve"> specustawy gazowej. </w:t>
      </w:r>
    </w:p>
    <w:p w14:paraId="6719020E" w14:textId="25E50489" w:rsidR="00BA5D8A" w:rsidRPr="00C9689C" w:rsidRDefault="00BA5D8A" w:rsidP="00CB30AF">
      <w:pPr>
        <w:spacing w:after="240" w:line="240" w:lineRule="exact"/>
        <w:jc w:val="both"/>
        <w:outlineLvl w:val="0"/>
        <w:rPr>
          <w:rFonts w:ascii="Lato" w:eastAsia="@Arial Unicode MS" w:hAnsi="Lato" w:cs="Arial"/>
          <w:spacing w:val="4"/>
          <w:lang w:eastAsia="pl-PL"/>
        </w:rPr>
      </w:pPr>
      <w:r w:rsidRPr="00C9689C">
        <w:rPr>
          <w:rFonts w:ascii="Lato" w:eastAsia="@Arial Unicode MS" w:hAnsi="Lato" w:cs="Arial"/>
          <w:spacing w:val="4"/>
          <w:lang w:eastAsia="pl-PL"/>
        </w:rPr>
        <w:t xml:space="preserve">Ponadto mając na uwadze, że działka </w:t>
      </w:r>
      <w:r w:rsidRPr="00C9689C">
        <w:rPr>
          <w:rFonts w:ascii="Lato" w:eastAsia="@Arial Unicode MS" w:hAnsi="Lato" w:cs="Arial"/>
          <w:bCs/>
          <w:iCs/>
          <w:spacing w:val="4"/>
          <w:lang w:eastAsia="pl-PL" w:bidi="pl-PL"/>
        </w:rPr>
        <w:t xml:space="preserve">nr 600/6 znajduje się w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użytkowaniu wieczystym PSG w decyzji Wojewody Lubuskiego należało </w:t>
      </w:r>
      <w:r w:rsidR="00910E7C" w:rsidRPr="00C9689C">
        <w:rPr>
          <w:rFonts w:ascii="Lato" w:eastAsia="@Arial Unicode MS" w:hAnsi="Lato" w:cs="Arial"/>
          <w:spacing w:val="4"/>
          <w:lang w:eastAsia="pl-PL"/>
        </w:rPr>
        <w:t xml:space="preserve">dodatkowo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orzec o skutkach wynikających z art. </w:t>
      </w:r>
      <w:r w:rsidR="00910E7C" w:rsidRPr="00C9689C">
        <w:rPr>
          <w:rFonts w:ascii="Lato" w:eastAsia="@Arial Unicode MS" w:hAnsi="Lato" w:cs="Arial"/>
          <w:spacing w:val="4"/>
          <w:lang w:eastAsia="pl-PL"/>
        </w:rPr>
        <w:t>20 ust. 12 specustawy gazowej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, tj. </w:t>
      </w:r>
      <w:r w:rsidR="007E4DF7" w:rsidRPr="00C9689C">
        <w:rPr>
          <w:rFonts w:ascii="Lato" w:eastAsia="@Arial Unicode MS" w:hAnsi="Lato" w:cs="Arial"/>
          <w:spacing w:val="4"/>
          <w:lang w:eastAsia="pl-PL"/>
        </w:rPr>
        <w:t xml:space="preserve">o </w:t>
      </w:r>
      <w:r w:rsidRPr="00C9689C">
        <w:rPr>
          <w:rFonts w:ascii="Lato" w:eastAsia="@Arial Unicode MS" w:hAnsi="Lato" w:cs="Arial"/>
          <w:spacing w:val="4"/>
          <w:lang w:eastAsia="pl-PL"/>
        </w:rPr>
        <w:t>wygaśnięciu użytkowania wieczystego</w:t>
      </w:r>
      <w:r w:rsidR="00910E7C" w:rsidRPr="00C9689C">
        <w:rPr>
          <w:rFonts w:ascii="Lato" w:eastAsia="@Arial Unicode MS" w:hAnsi="Lato" w:cs="Arial"/>
          <w:spacing w:val="4"/>
          <w:lang w:eastAsia="pl-PL"/>
        </w:rPr>
        <w:t xml:space="preserve"> wobec wydzielonej z niej działki nr 600/9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, z dniem, w którym decyzja </w:t>
      </w:r>
      <w:r w:rsidR="00AF3BB3" w:rsidRPr="00C9689C">
        <w:rPr>
          <w:rFonts w:ascii="Lato" w:eastAsia="@Arial Unicode MS" w:hAnsi="Lato" w:cs="Arial"/>
          <w:spacing w:val="4"/>
          <w:lang w:eastAsia="pl-PL"/>
        </w:rPr>
        <w:t xml:space="preserve">organu I instancji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stała się ostateczna, których to zapisów brak jest </w:t>
      </w:r>
      <w:r w:rsidR="00910E7C" w:rsidRPr="00C9689C">
        <w:rPr>
          <w:rFonts w:ascii="Lato" w:eastAsia="@Arial Unicode MS" w:hAnsi="Lato" w:cs="Arial"/>
          <w:spacing w:val="4"/>
          <w:lang w:eastAsia="pl-PL"/>
        </w:rPr>
        <w:t xml:space="preserve">w zaskarżonej decyzji. </w:t>
      </w:r>
      <w:r w:rsidR="00AF3BB3" w:rsidRPr="00C9689C">
        <w:rPr>
          <w:rFonts w:ascii="Lato" w:eastAsia="@Arial Unicode MS" w:hAnsi="Lato" w:cs="Arial"/>
          <w:spacing w:val="4"/>
          <w:lang w:eastAsia="pl-PL"/>
        </w:rPr>
        <w:br/>
      </w:r>
      <w:r w:rsidR="007E4DF7" w:rsidRPr="00C9689C">
        <w:rPr>
          <w:rFonts w:ascii="Lato" w:eastAsia="@Arial Unicode MS" w:hAnsi="Lato" w:cs="Arial"/>
          <w:spacing w:val="4"/>
          <w:lang w:eastAsia="pl-PL"/>
        </w:rPr>
        <w:t>W</w:t>
      </w:r>
      <w:r w:rsidR="00910E7C" w:rsidRPr="00C9689C">
        <w:rPr>
          <w:rFonts w:ascii="Lato" w:eastAsia="@Arial Unicode MS" w:hAnsi="Lato" w:cs="Arial"/>
          <w:spacing w:val="4"/>
          <w:lang w:eastAsia="pl-PL"/>
        </w:rPr>
        <w:t xml:space="preserve"> myśl </w:t>
      </w:r>
      <w:r w:rsidR="007E4DF7" w:rsidRPr="00C9689C">
        <w:rPr>
          <w:rFonts w:ascii="Lato" w:eastAsia="@Arial Unicode MS" w:hAnsi="Lato" w:cs="Arial"/>
          <w:spacing w:val="4"/>
          <w:lang w:eastAsia="pl-PL"/>
        </w:rPr>
        <w:t xml:space="preserve">bowiem </w:t>
      </w:r>
      <w:r w:rsidR="00910E7C" w:rsidRPr="00C9689C">
        <w:rPr>
          <w:rFonts w:ascii="Lato" w:eastAsia="@Arial Unicode MS" w:hAnsi="Lato" w:cs="Arial"/>
          <w:spacing w:val="4"/>
          <w:lang w:eastAsia="pl-PL"/>
        </w:rPr>
        <w:t xml:space="preserve">art. 20 ust. 12 specustawy gazowej, jeżeli przeznaczona na inwestycję w zakresie terminalu nieruchomość gruntowa stanowiąca własność Skarbu Państwa albo jednostki samorządu terytorialnego została oddana w użytkowanie wieczyste, w zakresie wskazanym w decyzji o ustaleniu lokalizacji inwestycji, użytkowanie to wygasa </w:t>
      </w:r>
      <w:r w:rsidR="00AA5C24" w:rsidRPr="00C9689C">
        <w:rPr>
          <w:rFonts w:ascii="Lato" w:eastAsia="@Arial Unicode MS" w:hAnsi="Lato" w:cs="Arial"/>
          <w:spacing w:val="4"/>
          <w:lang w:eastAsia="pl-PL"/>
        </w:rPr>
        <w:br/>
      </w:r>
      <w:r w:rsidR="00910E7C" w:rsidRPr="00C9689C">
        <w:rPr>
          <w:rFonts w:ascii="Lato" w:eastAsia="@Arial Unicode MS" w:hAnsi="Lato" w:cs="Arial"/>
          <w:spacing w:val="4"/>
          <w:lang w:eastAsia="pl-PL"/>
        </w:rPr>
        <w:t>za odszkodowaniem, z dniem, w którym decyzja o ustaleniu inwestycji stała się ostateczna.</w:t>
      </w:r>
    </w:p>
    <w:p w14:paraId="2FD02C47" w14:textId="2A033E57" w:rsidR="00D52902" w:rsidRPr="00C9689C" w:rsidRDefault="006E3259" w:rsidP="00CB30AF">
      <w:pPr>
        <w:spacing w:after="240" w:line="240" w:lineRule="exact"/>
        <w:jc w:val="both"/>
        <w:outlineLvl w:val="0"/>
        <w:rPr>
          <w:rFonts w:ascii="Lato" w:eastAsia="@Arial Unicode MS" w:hAnsi="Lato" w:cs="Arial"/>
          <w:spacing w:val="4"/>
          <w:lang w:eastAsia="pl-PL"/>
        </w:rPr>
      </w:pPr>
      <w:r w:rsidRPr="00C9689C">
        <w:rPr>
          <w:rFonts w:ascii="Lato" w:eastAsia="@Arial Unicode MS" w:hAnsi="Lato" w:cs="Arial"/>
          <w:spacing w:val="4"/>
          <w:lang w:eastAsia="pl-PL"/>
        </w:rPr>
        <w:t xml:space="preserve">Odnośnie zaś kwestii podniesionych w odwołaniu, zauważyć należy, że w odpowiedzi </w:t>
      </w:r>
      <w:r w:rsidR="00AA5C24" w:rsidRPr="00C9689C">
        <w:rPr>
          <w:rFonts w:ascii="Lato" w:eastAsia="@Arial Unicode MS" w:hAnsi="Lato" w:cs="Arial"/>
          <w:spacing w:val="4"/>
          <w:lang w:eastAsia="pl-PL"/>
        </w:rPr>
        <w:br/>
      </w:r>
      <w:r w:rsidRPr="00C9689C">
        <w:rPr>
          <w:rFonts w:ascii="Lato" w:eastAsia="@Arial Unicode MS" w:hAnsi="Lato" w:cs="Arial"/>
          <w:spacing w:val="4"/>
          <w:lang w:eastAsia="pl-PL"/>
        </w:rPr>
        <w:t>na wezwanie organu odwoławczego z dnia 18 października</w:t>
      </w:r>
      <w:r w:rsidR="00501E7A" w:rsidRPr="00C9689C">
        <w:rPr>
          <w:rFonts w:ascii="Lato" w:eastAsia="@Arial Unicode MS" w:hAnsi="Lato" w:cs="Arial"/>
          <w:spacing w:val="4"/>
          <w:lang w:eastAsia="pl-PL"/>
        </w:rPr>
        <w:t xml:space="preserve">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2022 r., znak: </w:t>
      </w:r>
      <w:r w:rsidR="007E4DF7" w:rsidRPr="00C9689C">
        <w:rPr>
          <w:rFonts w:ascii="Lato" w:eastAsia="@Arial Unicode MS" w:hAnsi="Lato" w:cs="Arial"/>
          <w:spacing w:val="4"/>
          <w:lang w:eastAsia="pl-PL"/>
        </w:rPr>
        <w:br/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DLI-II.7620.21.2022.AZ.4, inwestor w piśmie z dnia 9 listopada 2022 r., znak: GBP/NTS-550/2022, wskazał, iż przychyla się do odwołania </w:t>
      </w:r>
      <w:r w:rsidR="00501E7A" w:rsidRPr="00C9689C">
        <w:rPr>
          <w:rFonts w:ascii="Lato" w:eastAsia="@Arial Unicode MS" w:hAnsi="Lato" w:cs="Arial"/>
          <w:spacing w:val="4"/>
          <w:lang w:eastAsia="pl-PL"/>
        </w:rPr>
        <w:t xml:space="preserve">PSG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i wyraża zgodę na obciążenie oddanej w użytkowanie wieczyste inwestora nieruchomości stanowiącej działkę </w:t>
      </w:r>
      <w:r w:rsidR="00F0272F" w:rsidRPr="00C9689C">
        <w:rPr>
          <w:rFonts w:ascii="Lato" w:eastAsia="@Arial Unicode MS" w:hAnsi="Lato" w:cs="Arial"/>
          <w:spacing w:val="4"/>
          <w:lang w:eastAsia="pl-PL"/>
        </w:rPr>
        <w:br/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nr 600/9 bezpłatną służebnością przesyłu. 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>Inwestor wyjaśnił, iż zakres przedmiotowej służebności przesyłu zostanie przez niego uzgodniony z PSG</w:t>
      </w:r>
      <w:r w:rsidR="00D52902" w:rsidRPr="00C9689C">
        <w:rPr>
          <w:rFonts w:ascii="Lato" w:eastAsia="@Arial Unicode MS" w:hAnsi="Lato" w:cs="Arial"/>
          <w:spacing w:val="4"/>
          <w:lang w:eastAsia="pl-PL"/>
        </w:rPr>
        <w:t xml:space="preserve">. </w:t>
      </w:r>
      <w:r w:rsidR="00D97FCB" w:rsidRPr="00C9689C">
        <w:rPr>
          <w:rFonts w:ascii="Lato" w:eastAsia="@Arial Unicode MS" w:hAnsi="Lato" w:cs="Arial"/>
          <w:spacing w:val="4"/>
          <w:lang w:eastAsia="pl-PL"/>
        </w:rPr>
        <w:t>Wynika z tego, iż inwestor przychylił się do odwołania PSG.</w:t>
      </w:r>
    </w:p>
    <w:p w14:paraId="622C2936" w14:textId="31D51E1F" w:rsidR="00CE0AD1" w:rsidRPr="00C9689C" w:rsidRDefault="00D97FCB" w:rsidP="00CB30AF">
      <w:pPr>
        <w:spacing w:after="240" w:line="240" w:lineRule="exact"/>
        <w:jc w:val="both"/>
        <w:outlineLvl w:val="0"/>
        <w:rPr>
          <w:rFonts w:ascii="Lato" w:eastAsia="@Arial Unicode MS" w:hAnsi="Lato" w:cs="Arial"/>
          <w:spacing w:val="4"/>
          <w:lang w:eastAsia="pl-PL"/>
        </w:rPr>
      </w:pPr>
      <w:r w:rsidRPr="00C9689C">
        <w:rPr>
          <w:rFonts w:ascii="Lato" w:eastAsia="@Arial Unicode MS" w:hAnsi="Lato" w:cs="Arial"/>
          <w:spacing w:val="4"/>
          <w:lang w:eastAsia="pl-PL"/>
        </w:rPr>
        <w:t>J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 xml:space="preserve">ednakże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wyjaśnienia wymaga, że wbrew stawiskom 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>inwestora, jak i PSG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 (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 xml:space="preserve">zawartemu </w:t>
      </w:r>
      <w:r w:rsidR="00EA1219" w:rsidRPr="00C9689C">
        <w:rPr>
          <w:rFonts w:ascii="Lato" w:eastAsia="@Arial Unicode MS" w:hAnsi="Lato" w:cs="Arial"/>
          <w:spacing w:val="4"/>
          <w:lang w:eastAsia="pl-PL"/>
        </w:rPr>
        <w:br/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>w odwołaniu</w:t>
      </w:r>
      <w:r w:rsidRPr="00C9689C">
        <w:rPr>
          <w:rFonts w:ascii="Lato" w:eastAsia="@Arial Unicode MS" w:hAnsi="Lato" w:cs="Arial"/>
          <w:spacing w:val="4"/>
          <w:lang w:eastAsia="pl-PL"/>
        </w:rPr>
        <w:t>)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 xml:space="preserve">, </w:t>
      </w:r>
      <w:r w:rsidRPr="00C9689C">
        <w:rPr>
          <w:rFonts w:ascii="Lato" w:eastAsia="@Arial Unicode MS" w:hAnsi="Lato" w:cs="Arial"/>
          <w:spacing w:val="4"/>
          <w:lang w:eastAsia="pl-PL"/>
        </w:rPr>
        <w:t xml:space="preserve">w 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>decyzj</w:t>
      </w:r>
      <w:r w:rsidRPr="00C9689C">
        <w:rPr>
          <w:rFonts w:ascii="Lato" w:eastAsia="@Arial Unicode MS" w:hAnsi="Lato" w:cs="Arial"/>
          <w:spacing w:val="4"/>
          <w:lang w:eastAsia="pl-PL"/>
        </w:rPr>
        <w:t>i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 xml:space="preserve"> o ustaleniu lokalizacji inwestycji towarzyszącej inwestycjom </w:t>
      </w:r>
      <w:r w:rsidR="00D52902" w:rsidRPr="00C9689C">
        <w:rPr>
          <w:rFonts w:ascii="Lato" w:eastAsia="@Arial Unicode MS" w:hAnsi="Lato" w:cs="Arial"/>
          <w:spacing w:val="4"/>
          <w:lang w:eastAsia="pl-PL"/>
        </w:rPr>
        <w:br/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>w zakresie terminalu</w:t>
      </w:r>
      <w:r w:rsidR="00EA1219" w:rsidRPr="00C9689C">
        <w:rPr>
          <w:rFonts w:ascii="Lato" w:eastAsia="@Arial Unicode MS" w:hAnsi="Lato" w:cs="Arial"/>
          <w:spacing w:val="4"/>
          <w:lang w:eastAsia="pl-PL"/>
        </w:rPr>
        <w:t xml:space="preserve"> nie ma możliwości ustanowienia służebności przesyły. W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>ydawana na podstawie specustawy gazowej</w:t>
      </w:r>
      <w:r w:rsidR="00EA1219" w:rsidRPr="00C9689C">
        <w:rPr>
          <w:rFonts w:ascii="Lato" w:eastAsia="@Arial Unicode MS" w:hAnsi="Lato" w:cs="Arial"/>
          <w:spacing w:val="4"/>
          <w:lang w:eastAsia="pl-PL"/>
        </w:rPr>
        <w:t xml:space="preserve"> decyzja lokalizacyjna 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 xml:space="preserve">nie dotyczy </w:t>
      </w:r>
      <w:r w:rsidR="00EA1219" w:rsidRPr="00C9689C">
        <w:rPr>
          <w:rFonts w:ascii="Lato" w:eastAsia="@Arial Unicode MS" w:hAnsi="Lato" w:cs="Arial"/>
          <w:spacing w:val="4"/>
          <w:lang w:eastAsia="pl-PL"/>
        </w:rPr>
        <w:t xml:space="preserve">bowiem 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>cywilnoprawnej kwestii służebności przesyłu. Służebność przesyłu jest instytucją prawa rzeczowego uregulowaną przepisami kodeksu cywilnego. Ustanowienie służebności przesyłu odbywa się na drodze cywilnej, a nie administracyjnej.</w:t>
      </w:r>
      <w:r w:rsidR="00A64EFD" w:rsidRPr="00C9689C">
        <w:rPr>
          <w:rFonts w:ascii="Lato" w:eastAsia="@Arial Unicode MS" w:hAnsi="Lato" w:cs="Arial"/>
          <w:spacing w:val="4"/>
          <w:lang w:eastAsia="pl-PL"/>
        </w:rPr>
        <w:t xml:space="preserve"> </w:t>
      </w:r>
      <w:r w:rsidR="00EA1219" w:rsidRPr="00C9689C">
        <w:rPr>
          <w:rFonts w:ascii="Lato" w:eastAsia="@Arial Unicode MS" w:hAnsi="Lato" w:cs="Arial"/>
          <w:bCs/>
          <w:spacing w:val="4"/>
          <w:lang w:eastAsia="pl-PL"/>
        </w:rPr>
        <w:t>N</w:t>
      </w:r>
      <w:r w:rsidR="00045903" w:rsidRPr="00C9689C">
        <w:rPr>
          <w:rFonts w:ascii="Lato" w:eastAsia="@Arial Unicode MS" w:hAnsi="Lato" w:cs="Arial"/>
          <w:bCs/>
          <w:spacing w:val="4"/>
          <w:lang w:eastAsia="pl-PL"/>
        </w:rPr>
        <w:t>atomiast</w:t>
      </w:r>
      <w:r w:rsidR="00EA1219" w:rsidRPr="00C9689C">
        <w:rPr>
          <w:rFonts w:ascii="Lato" w:eastAsia="@Arial Unicode MS" w:hAnsi="Lato" w:cs="Arial"/>
          <w:bCs/>
          <w:spacing w:val="4"/>
          <w:lang w:eastAsia="pl-PL"/>
        </w:rPr>
        <w:t xml:space="preserve"> w sytuacji</w:t>
      </w:r>
      <w:r w:rsidR="00045903" w:rsidRPr="00C9689C">
        <w:rPr>
          <w:rFonts w:ascii="Lato" w:eastAsia="@Arial Unicode MS" w:hAnsi="Lato" w:cs="Arial"/>
          <w:bCs/>
          <w:spacing w:val="4"/>
          <w:lang w:eastAsia="pl-PL"/>
        </w:rPr>
        <w:t>, gdy na skutek nabycia nieruchomości bądź jej części na podstawie decyzji</w:t>
      </w:r>
      <w:r w:rsidR="00045903" w:rsidRPr="00C9689C">
        <w:rPr>
          <w:rFonts w:ascii="Lato" w:eastAsia="@Arial Unicode MS" w:hAnsi="Lato" w:cs="Arial"/>
          <w:spacing w:val="4"/>
          <w:lang w:eastAsia="pl-PL"/>
        </w:rPr>
        <w:t xml:space="preserve"> </w:t>
      </w:r>
      <w:r w:rsidR="00045903" w:rsidRPr="00C9689C">
        <w:rPr>
          <w:rFonts w:ascii="Lato" w:eastAsia="@Arial Unicode MS" w:hAnsi="Lato" w:cs="Arial"/>
          <w:bCs/>
          <w:spacing w:val="4"/>
          <w:lang w:eastAsia="pl-PL"/>
        </w:rPr>
        <w:t xml:space="preserve">o ustaleniu lokalizacji inwestycji towarzyszącej inwestycji w zakresie terminalu, właściciel nieruchomości (użytkownik wieczysty) doznaje </w:t>
      </w:r>
      <w:r w:rsidR="007E4DF7" w:rsidRPr="00C9689C">
        <w:rPr>
          <w:rFonts w:ascii="Lato" w:eastAsia="@Arial Unicode MS" w:hAnsi="Lato" w:cs="Arial"/>
          <w:bCs/>
          <w:spacing w:val="4"/>
          <w:lang w:eastAsia="pl-PL"/>
        </w:rPr>
        <w:t xml:space="preserve">np. </w:t>
      </w:r>
      <w:r w:rsidR="00045903" w:rsidRPr="00C9689C">
        <w:rPr>
          <w:rFonts w:ascii="Lato" w:eastAsia="@Arial Unicode MS" w:hAnsi="Lato" w:cs="Arial"/>
          <w:bCs/>
          <w:spacing w:val="4"/>
          <w:lang w:eastAsia="pl-PL"/>
        </w:rPr>
        <w:t xml:space="preserve">niedogodności, odpowiednie zastosowanie - z mocy art. 30 </w:t>
      </w:r>
      <w:r w:rsidR="00045903" w:rsidRPr="00C9689C">
        <w:rPr>
          <w:rFonts w:ascii="Lato" w:eastAsia="@Arial Unicode MS" w:hAnsi="Lato" w:cs="Arial"/>
          <w:bCs/>
          <w:iCs/>
          <w:spacing w:val="4"/>
          <w:lang w:eastAsia="pl-PL"/>
        </w:rPr>
        <w:t>specustawy gazowej</w:t>
      </w:r>
      <w:r w:rsidR="00045903" w:rsidRPr="00C9689C">
        <w:rPr>
          <w:rFonts w:ascii="Lato" w:eastAsia="@Arial Unicode MS" w:hAnsi="Lato" w:cs="Arial"/>
          <w:bCs/>
          <w:i/>
          <w:spacing w:val="4"/>
          <w:lang w:eastAsia="pl-PL"/>
        </w:rPr>
        <w:t xml:space="preserve"> </w:t>
      </w:r>
      <w:r w:rsidR="00045903" w:rsidRPr="00C9689C">
        <w:rPr>
          <w:rFonts w:ascii="Lato" w:eastAsia="@Arial Unicode MS" w:hAnsi="Lato" w:cs="Arial"/>
          <w:bCs/>
          <w:spacing w:val="4"/>
          <w:lang w:eastAsia="pl-PL"/>
        </w:rPr>
        <w:t xml:space="preserve">– znajduje art. 120 </w:t>
      </w:r>
      <w:r w:rsidR="00A64EFD" w:rsidRPr="00C9689C">
        <w:rPr>
          <w:rFonts w:ascii="Lato" w:eastAsia="@Arial Unicode MS" w:hAnsi="Lato" w:cs="Arial"/>
          <w:bCs/>
          <w:spacing w:val="4"/>
          <w:lang w:eastAsia="pl-PL" w:bidi="pl-PL"/>
        </w:rPr>
        <w:t xml:space="preserve">ustawy z dnia 21 sierpnia 1997 r. o gospodarce nieruchomościami (t.j. </w:t>
      </w:r>
      <w:r w:rsidR="00A64EFD" w:rsidRPr="00C9689C">
        <w:rPr>
          <w:rFonts w:ascii="Lato" w:eastAsia="@Arial Unicode MS" w:hAnsi="Lato" w:cs="Arial"/>
          <w:bCs/>
          <w:iCs/>
          <w:spacing w:val="4"/>
          <w:lang w:eastAsia="pl-PL" w:bidi="pl-PL"/>
        </w:rPr>
        <w:t xml:space="preserve">Dz.U. z 2024 r. poz. 1145, </w:t>
      </w:r>
      <w:r w:rsidR="00BB2410">
        <w:rPr>
          <w:rFonts w:ascii="Lato" w:eastAsia="@Arial Unicode MS" w:hAnsi="Lato" w:cs="Arial"/>
          <w:bCs/>
          <w:iCs/>
          <w:spacing w:val="4"/>
          <w:lang w:eastAsia="pl-PL" w:bidi="pl-PL"/>
        </w:rPr>
        <w:br/>
      </w:r>
      <w:r w:rsidR="00A64EFD" w:rsidRPr="00C9689C">
        <w:rPr>
          <w:rFonts w:ascii="Lato" w:eastAsia="@Arial Unicode MS" w:hAnsi="Lato" w:cs="Arial"/>
          <w:bCs/>
          <w:iCs/>
          <w:spacing w:val="4"/>
          <w:lang w:eastAsia="pl-PL" w:bidi="pl-PL"/>
        </w:rPr>
        <w:t>z późn.zm.</w:t>
      </w:r>
      <w:r w:rsidR="00A64EFD" w:rsidRPr="00C9689C">
        <w:rPr>
          <w:rFonts w:ascii="Lato" w:eastAsia="@Arial Unicode MS" w:hAnsi="Lato" w:cs="Arial"/>
          <w:bCs/>
          <w:spacing w:val="4"/>
          <w:lang w:eastAsia="pl-PL" w:bidi="pl-PL"/>
        </w:rPr>
        <w:t>), zwanej dalej „ugn”</w:t>
      </w:r>
      <w:r w:rsidR="00045903" w:rsidRPr="00C9689C">
        <w:rPr>
          <w:rFonts w:ascii="Lato" w:eastAsia="@Arial Unicode MS" w:hAnsi="Lato" w:cs="Arial"/>
          <w:bCs/>
          <w:spacing w:val="4"/>
          <w:lang w:eastAsia="pl-PL"/>
        </w:rPr>
        <w:t xml:space="preserve">, normujący ustanowienie niezbędnych służebności. </w:t>
      </w:r>
    </w:p>
    <w:p w14:paraId="1D5F37EE" w14:textId="54C448EA" w:rsidR="00F94F2B" w:rsidRPr="00C9689C" w:rsidRDefault="00045903" w:rsidP="00CB30AF">
      <w:pPr>
        <w:spacing w:after="240" w:line="240" w:lineRule="exact"/>
        <w:jc w:val="both"/>
        <w:outlineLvl w:val="0"/>
        <w:rPr>
          <w:rFonts w:ascii="Lato" w:eastAsia="@Arial Unicode MS" w:hAnsi="Lato" w:cs="Arial"/>
          <w:bCs/>
          <w:iCs/>
          <w:spacing w:val="4"/>
          <w:lang w:eastAsia="pl-PL"/>
        </w:rPr>
      </w:pPr>
      <w:r w:rsidRPr="00C9689C">
        <w:rPr>
          <w:rFonts w:ascii="Lato" w:eastAsia="@Arial Unicode MS" w:hAnsi="Lato" w:cs="Arial"/>
          <w:bCs/>
          <w:spacing w:val="4"/>
          <w:lang w:eastAsia="pl-PL"/>
        </w:rPr>
        <w:t xml:space="preserve">Zgodnie z art. 120 </w:t>
      </w:r>
      <w:r w:rsidRPr="00C9689C">
        <w:rPr>
          <w:rFonts w:ascii="Lato" w:eastAsia="@Arial Unicode MS" w:hAnsi="Lato" w:cs="Arial"/>
          <w:bCs/>
          <w:iCs/>
          <w:spacing w:val="4"/>
          <w:lang w:eastAsia="pl-PL"/>
        </w:rPr>
        <w:t>ugn</w:t>
      </w:r>
      <w:r w:rsidRPr="00C9689C">
        <w:rPr>
          <w:rFonts w:ascii="Lato" w:eastAsia="@Arial Unicode MS" w:hAnsi="Lato" w:cs="Arial"/>
          <w:bCs/>
          <w:i/>
          <w:spacing w:val="4"/>
          <w:lang w:eastAsia="pl-PL"/>
        </w:rPr>
        <w:t xml:space="preserve">, </w:t>
      </w:r>
      <w:r w:rsidRPr="00C9689C">
        <w:rPr>
          <w:rFonts w:ascii="Lato" w:eastAsia="@Arial Unicode MS" w:hAnsi="Lato" w:cs="Arial"/>
          <w:bCs/>
          <w:iCs/>
          <w:spacing w:val="4"/>
          <w:lang w:eastAsia="pl-PL"/>
        </w:rPr>
        <w:t xml:space="preserve">jeżeli zachodzi potrzeba zapobieżenia niebezpieczeństwu, wystąpieniu szkody lub niedogodnościom, jakie mogą powstać dla właścicieli albo użytkowników wieczystych nieruchomości sąsiednich wskutek wywłaszczenia lub innego niż dotychczas zagospodarowania wywłaszczonej nieruchomości, w decyzji </w:t>
      </w:r>
      <w:r w:rsidR="00CE0AD1" w:rsidRPr="00C9689C">
        <w:rPr>
          <w:rFonts w:ascii="Lato" w:eastAsia="@Arial Unicode MS" w:hAnsi="Lato" w:cs="Arial"/>
          <w:bCs/>
          <w:iCs/>
          <w:spacing w:val="4"/>
          <w:lang w:eastAsia="pl-PL"/>
        </w:rPr>
        <w:br/>
      </w:r>
      <w:r w:rsidRPr="00C9689C">
        <w:rPr>
          <w:rFonts w:ascii="Lato" w:eastAsia="@Arial Unicode MS" w:hAnsi="Lato" w:cs="Arial"/>
          <w:bCs/>
          <w:iCs/>
          <w:spacing w:val="4"/>
          <w:lang w:eastAsia="pl-PL"/>
        </w:rPr>
        <w:t xml:space="preserve">o wywłaszczeniu ustanawia się niezbędne służebności oraz ustala obowiązek budowy </w:t>
      </w:r>
      <w:r w:rsidR="00CE0AD1" w:rsidRPr="00C9689C">
        <w:rPr>
          <w:rFonts w:ascii="Lato" w:eastAsia="@Arial Unicode MS" w:hAnsi="Lato" w:cs="Arial"/>
          <w:bCs/>
          <w:iCs/>
          <w:spacing w:val="4"/>
          <w:lang w:eastAsia="pl-PL"/>
        </w:rPr>
        <w:br/>
      </w:r>
      <w:r w:rsidRPr="00C9689C">
        <w:rPr>
          <w:rFonts w:ascii="Lato" w:eastAsia="@Arial Unicode MS" w:hAnsi="Lato" w:cs="Arial"/>
          <w:bCs/>
          <w:iCs/>
          <w:spacing w:val="4"/>
          <w:lang w:eastAsia="pl-PL"/>
        </w:rPr>
        <w:t xml:space="preserve">i utrzymania odpowiednich urządzeń zapobiegających tym zdarzeniom lub </w:t>
      </w:r>
      <w:r w:rsidRPr="00C9689C">
        <w:rPr>
          <w:rFonts w:ascii="Lato" w:eastAsia="@Arial Unicode MS" w:hAnsi="Lato" w:cs="Arial"/>
          <w:bCs/>
          <w:iCs/>
          <w:spacing w:val="4"/>
          <w:lang w:eastAsia="pl-PL"/>
        </w:rPr>
        <w:lastRenderedPageBreak/>
        <w:t>okolicznościom.</w:t>
      </w:r>
      <w:r w:rsidR="00F94F2B" w:rsidRPr="00C9689C">
        <w:rPr>
          <w:rFonts w:ascii="Lato" w:eastAsia="@Arial Unicode MS" w:hAnsi="Lato" w:cs="Arial"/>
          <w:bCs/>
          <w:iCs/>
          <w:spacing w:val="4"/>
          <w:lang w:eastAsia="pl-PL"/>
        </w:rPr>
        <w:t xml:space="preserve"> </w:t>
      </w:r>
      <w:r w:rsidRPr="00C9689C">
        <w:rPr>
          <w:rFonts w:ascii="Lato" w:eastAsia="@Arial Unicode MS" w:hAnsi="Lato" w:cs="Arial"/>
          <w:bCs/>
          <w:iCs/>
          <w:spacing w:val="4"/>
          <w:lang w:eastAsia="pl-PL"/>
        </w:rPr>
        <w:t>Obowiązek budowy i utrzymania odpowiednich urządzeń ciąży na występującym z wnioskiem o wywłaszczenie</w:t>
      </w:r>
      <w:r w:rsidR="00A64EFD" w:rsidRPr="00C9689C">
        <w:rPr>
          <w:rFonts w:ascii="Lato" w:eastAsia="@Arial Unicode MS" w:hAnsi="Lato" w:cs="Arial"/>
          <w:bCs/>
          <w:iCs/>
          <w:spacing w:val="4"/>
          <w:lang w:eastAsia="pl-PL"/>
        </w:rPr>
        <w:t>.</w:t>
      </w:r>
      <w:r w:rsidR="00F94F2B" w:rsidRPr="00C9689C">
        <w:rPr>
          <w:rFonts w:ascii="Lato" w:hAnsi="Lato"/>
          <w:spacing w:val="4"/>
        </w:rPr>
        <w:t xml:space="preserve"> </w:t>
      </w:r>
      <w:r w:rsidR="00F94F2B" w:rsidRPr="00C9689C">
        <w:rPr>
          <w:rFonts w:ascii="Lato" w:eastAsia="@Arial Unicode MS" w:hAnsi="Lato" w:cs="Arial"/>
          <w:bCs/>
          <w:iCs/>
          <w:spacing w:val="4"/>
          <w:lang w:eastAsia="pl-PL"/>
        </w:rPr>
        <w:t xml:space="preserve">Przepis art. 120 ugn stanowi swoiste uzupełnienie art. 119 ugn i przesądza o konieczności zamieszczenia dodatkowych elementów w decyzji o wywłaszczeniu, gdy wywłaszczenie nieruchomości ujemnie oddziaływuje na nieruchomości sąsiednie. </w:t>
      </w:r>
    </w:p>
    <w:p w14:paraId="63602569" w14:textId="59F4E683" w:rsidR="00A64EFD" w:rsidRDefault="00A64EFD" w:rsidP="005E22F5">
      <w:pPr>
        <w:spacing w:after="120" w:line="240" w:lineRule="exact"/>
        <w:jc w:val="both"/>
        <w:outlineLvl w:val="0"/>
        <w:rPr>
          <w:rFonts w:ascii="Lato" w:eastAsia="@Arial Unicode MS" w:hAnsi="Lato" w:cs="Arial"/>
          <w:bCs/>
          <w:iCs/>
          <w:spacing w:val="4"/>
          <w:lang w:eastAsia="pl-PL"/>
        </w:rPr>
      </w:pPr>
      <w:r>
        <w:rPr>
          <w:rFonts w:ascii="Lato" w:eastAsia="@Arial Unicode MS" w:hAnsi="Lato" w:cs="Arial"/>
          <w:bCs/>
          <w:iCs/>
          <w:spacing w:val="4"/>
          <w:lang w:eastAsia="pl-PL"/>
        </w:rPr>
        <w:t>Wobec powyższego, w piśmie z dnia 10 marca 2023 r., znak: DLI-II.7620.21.2022.AZ.7, organ odwoławczy wezwał inwestora do</w:t>
      </w:r>
      <w:r w:rsidR="00F94F2B">
        <w:rPr>
          <w:rFonts w:ascii="Lato" w:eastAsia="@Arial Unicode MS" w:hAnsi="Lato" w:cs="Arial"/>
          <w:bCs/>
          <w:iCs/>
          <w:spacing w:val="4"/>
          <w:lang w:eastAsia="pl-PL"/>
        </w:rPr>
        <w:t>:</w:t>
      </w:r>
      <w:r>
        <w:rPr>
          <w:rFonts w:ascii="Lato" w:eastAsia="@Arial Unicode MS" w:hAnsi="Lato" w:cs="Arial"/>
          <w:bCs/>
          <w:iCs/>
          <w:spacing w:val="4"/>
          <w:lang w:eastAsia="pl-PL"/>
        </w:rPr>
        <w:t xml:space="preserve"> </w:t>
      </w:r>
    </w:p>
    <w:p w14:paraId="5CE62B58" w14:textId="33E0FEE4" w:rsidR="00A64EFD" w:rsidRPr="00A64EFD" w:rsidRDefault="00A64EFD" w:rsidP="005E22F5">
      <w:pPr>
        <w:numPr>
          <w:ilvl w:val="0"/>
          <w:numId w:val="21"/>
        </w:numPr>
        <w:tabs>
          <w:tab w:val="left" w:pos="0"/>
        </w:tabs>
        <w:spacing w:after="12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64EFD">
        <w:rPr>
          <w:rFonts w:ascii="Lato" w:eastAsia="Times New Roman" w:hAnsi="Lato" w:cs="Arial"/>
          <w:spacing w:val="4"/>
          <w:lang w:eastAsia="pl-PL"/>
        </w:rPr>
        <w:t xml:space="preserve">przedstawienia w formie opisowej wnioskowanej przez inwestora służebności na działce nr 600/9 (powstałej z podziału działki nr 600/6), z obrębu </w:t>
      </w:r>
      <w:r w:rsidR="007E4DF7" w:rsidRPr="00A64EFD">
        <w:rPr>
          <w:rFonts w:ascii="Lato" w:eastAsia="Times New Roman" w:hAnsi="Lato" w:cs="Arial"/>
          <w:spacing w:val="4"/>
          <w:lang w:eastAsia="pl-PL"/>
        </w:rPr>
        <w:t>0001</w:t>
      </w:r>
      <w:r w:rsidR="007E4DF7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A64EFD">
        <w:rPr>
          <w:rFonts w:ascii="Lato" w:eastAsia="Times New Roman" w:hAnsi="Lato" w:cs="Arial"/>
          <w:spacing w:val="4"/>
          <w:lang w:eastAsia="pl-PL"/>
        </w:rPr>
        <w:t xml:space="preserve">Sulechów, jaka ma zostać </w:t>
      </w:r>
      <w:bookmarkStart w:id="13" w:name="_Hlk218953952"/>
      <w:r w:rsidRPr="00A64EFD">
        <w:rPr>
          <w:rFonts w:ascii="Lato" w:eastAsia="Times New Roman" w:hAnsi="Lato" w:cs="Arial"/>
          <w:spacing w:val="4"/>
          <w:lang w:eastAsia="pl-PL"/>
        </w:rPr>
        <w:t xml:space="preserve">ustanowiona na rzecz </w:t>
      </w:r>
      <w:r>
        <w:rPr>
          <w:rFonts w:ascii="Lato" w:eastAsia="Times New Roman" w:hAnsi="Lato" w:cs="Arial"/>
          <w:spacing w:val="4"/>
          <w:lang w:eastAsia="pl-PL"/>
        </w:rPr>
        <w:t xml:space="preserve">PSG </w:t>
      </w:r>
      <w:r w:rsidRPr="00A64EFD">
        <w:rPr>
          <w:rFonts w:ascii="Lato" w:eastAsia="Times New Roman" w:hAnsi="Lato" w:cs="Arial"/>
          <w:spacing w:val="4"/>
          <w:lang w:eastAsia="pl-PL"/>
        </w:rPr>
        <w:t xml:space="preserve">w decyzji o ustaleniu lokalizacji </w:t>
      </w:r>
      <w:r>
        <w:rPr>
          <w:rFonts w:ascii="Lato" w:eastAsia="Times New Roman" w:hAnsi="Lato" w:cs="Arial"/>
          <w:spacing w:val="4"/>
          <w:lang w:eastAsia="pl-PL"/>
        </w:rPr>
        <w:t xml:space="preserve">przedmiotowej </w:t>
      </w:r>
      <w:r w:rsidRPr="00A64EFD">
        <w:rPr>
          <w:rFonts w:ascii="Lato" w:eastAsia="Times New Roman" w:hAnsi="Lato" w:cs="Arial"/>
          <w:spacing w:val="4"/>
          <w:lang w:eastAsia="pl-PL"/>
        </w:rPr>
        <w:t>inwestycji towarzyszącej inwestycjom w zakresie terminalu</w:t>
      </w:r>
      <w:bookmarkEnd w:id="13"/>
      <w:r w:rsidRPr="00A64EFD">
        <w:rPr>
          <w:rFonts w:ascii="Lato" w:eastAsia="Times New Roman" w:hAnsi="Lato" w:cs="Arial"/>
          <w:spacing w:val="4"/>
          <w:lang w:eastAsia="pl-PL"/>
        </w:rPr>
        <w:t>,</w:t>
      </w:r>
    </w:p>
    <w:p w14:paraId="0519BF4A" w14:textId="709F3ECC" w:rsidR="00A64EFD" w:rsidRPr="00A64EFD" w:rsidRDefault="00A64EFD" w:rsidP="00A64EFD">
      <w:pPr>
        <w:numPr>
          <w:ilvl w:val="0"/>
          <w:numId w:val="21"/>
        </w:numPr>
        <w:tabs>
          <w:tab w:val="left" w:pos="0"/>
        </w:tabs>
        <w:spacing w:after="240" w:line="240" w:lineRule="exact"/>
        <w:ind w:left="357" w:hanging="357"/>
        <w:jc w:val="both"/>
        <w:rPr>
          <w:rFonts w:ascii="Lato" w:eastAsia="Times New Roman" w:hAnsi="Lato" w:cs="Arial"/>
          <w:spacing w:val="4"/>
          <w:lang w:eastAsia="pl-PL"/>
        </w:rPr>
      </w:pPr>
      <w:r w:rsidRPr="00A64EFD">
        <w:rPr>
          <w:rFonts w:ascii="Lato" w:eastAsia="Times New Roman" w:hAnsi="Lato" w:cs="Arial"/>
          <w:iCs/>
          <w:spacing w:val="4"/>
          <w:lang w:eastAsia="pl-PL"/>
        </w:rPr>
        <w:t xml:space="preserve">dostarczenia 4 egzemplarzy opracowania graficznego sporządzonego przez uprawnionego geodetę przedstawiającego w sposób graficzny zakres służebności </w:t>
      </w:r>
      <w:r w:rsidRPr="00A64EFD">
        <w:rPr>
          <w:rFonts w:ascii="Lato" w:eastAsia="Times New Roman" w:hAnsi="Lato" w:cs="Arial"/>
          <w:iCs/>
          <w:spacing w:val="4"/>
          <w:lang w:eastAsia="pl-PL"/>
        </w:rPr>
        <w:br/>
        <w:t>na ww. działce nr 600/9</w:t>
      </w:r>
      <w:r>
        <w:rPr>
          <w:rFonts w:ascii="Lato" w:eastAsia="Times New Roman" w:hAnsi="Lato" w:cs="Arial"/>
          <w:iCs/>
          <w:spacing w:val="4"/>
          <w:lang w:eastAsia="pl-PL"/>
        </w:rPr>
        <w:t>.</w:t>
      </w:r>
    </w:p>
    <w:p w14:paraId="01B9DA6C" w14:textId="47CF1A10" w:rsidR="00CE0AD1" w:rsidRDefault="00A64EFD" w:rsidP="00CE0AD1">
      <w:pPr>
        <w:tabs>
          <w:tab w:val="left" w:pos="0"/>
        </w:tabs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CE0AD1">
        <w:rPr>
          <w:rFonts w:ascii="Lato" w:eastAsia="Times New Roman" w:hAnsi="Lato" w:cs="Arial"/>
          <w:iCs/>
          <w:spacing w:val="4"/>
          <w:lang w:eastAsia="pl-PL"/>
        </w:rPr>
        <w:t>Przy piśmie z dnia 6 kwietnia 2023 r., znak</w:t>
      </w:r>
      <w:r w:rsidR="005E22F5" w:rsidRPr="00CE0AD1">
        <w:rPr>
          <w:rFonts w:ascii="Lato" w:eastAsia="Times New Roman" w:hAnsi="Lato" w:cs="Arial"/>
          <w:iCs/>
          <w:spacing w:val="4"/>
          <w:lang w:eastAsia="pl-PL"/>
        </w:rPr>
        <w:t>: GPB/NTS-597/2023, skorygowanym pis</w:t>
      </w:r>
      <w:r w:rsidR="00F94F2B" w:rsidRPr="00CE0AD1">
        <w:rPr>
          <w:rFonts w:ascii="Lato" w:eastAsia="Times New Roman" w:hAnsi="Lato" w:cs="Arial"/>
          <w:iCs/>
          <w:spacing w:val="4"/>
          <w:lang w:eastAsia="pl-PL"/>
        </w:rPr>
        <w:t>mem</w:t>
      </w:r>
      <w:r w:rsidR="005E22F5" w:rsidRPr="00CE0AD1">
        <w:rPr>
          <w:rFonts w:ascii="Lato" w:eastAsia="Times New Roman" w:hAnsi="Lato" w:cs="Arial"/>
          <w:iCs/>
          <w:spacing w:val="4"/>
          <w:lang w:eastAsia="pl-PL"/>
        </w:rPr>
        <w:t xml:space="preserve"> z dnia </w:t>
      </w:r>
      <w:r w:rsidR="00F94F2B" w:rsidRPr="00CE0AD1">
        <w:rPr>
          <w:rFonts w:ascii="Lato" w:eastAsia="Times New Roman" w:hAnsi="Lato" w:cs="Arial"/>
          <w:iCs/>
          <w:spacing w:val="4"/>
          <w:lang w:eastAsia="pl-PL"/>
        </w:rPr>
        <w:t>5 czerwca 2023 r., znak: GPB</w:t>
      </w:r>
      <w:r w:rsidR="006A6EAC" w:rsidRPr="00CE0AD1">
        <w:rPr>
          <w:rFonts w:ascii="Lato" w:eastAsia="Times New Roman" w:hAnsi="Lato" w:cs="Arial"/>
          <w:iCs/>
          <w:spacing w:val="4"/>
          <w:lang w:eastAsia="pl-PL"/>
        </w:rPr>
        <w:t xml:space="preserve">/NTS-612/2023, inwestor przedstawił </w:t>
      </w:r>
      <w:r w:rsidR="00AA5C24">
        <w:rPr>
          <w:rFonts w:ascii="Lato" w:eastAsia="Times New Roman" w:hAnsi="Lato" w:cs="Arial"/>
          <w:iCs/>
          <w:spacing w:val="4"/>
          <w:lang w:eastAsia="pl-PL"/>
        </w:rPr>
        <w:t xml:space="preserve">propozycję </w:t>
      </w:r>
      <w:r w:rsidR="006A6EAC" w:rsidRPr="00CE0AD1">
        <w:rPr>
          <w:rFonts w:ascii="Lato" w:eastAsia="Times New Roman" w:hAnsi="Lato" w:cs="Arial"/>
          <w:iCs/>
          <w:spacing w:val="4"/>
          <w:lang w:eastAsia="pl-PL"/>
        </w:rPr>
        <w:t>opis</w:t>
      </w:r>
      <w:r w:rsidR="00AA5C24">
        <w:rPr>
          <w:rFonts w:ascii="Lato" w:eastAsia="Times New Roman" w:hAnsi="Lato" w:cs="Arial"/>
          <w:iCs/>
          <w:spacing w:val="4"/>
          <w:lang w:eastAsia="pl-PL"/>
        </w:rPr>
        <w:t>u</w:t>
      </w:r>
      <w:r w:rsidR="006A6EAC" w:rsidRPr="00CE0AD1">
        <w:rPr>
          <w:rFonts w:ascii="Lato" w:eastAsia="Times New Roman" w:hAnsi="Lato" w:cs="Arial"/>
          <w:iCs/>
          <w:spacing w:val="4"/>
          <w:lang w:eastAsia="pl-PL"/>
        </w:rPr>
        <w:t xml:space="preserve"> służebności</w:t>
      </w:r>
      <w:r w:rsidR="00AA5C24">
        <w:rPr>
          <w:rFonts w:ascii="Lato" w:eastAsia="Times New Roman" w:hAnsi="Lato" w:cs="Arial"/>
          <w:iCs/>
          <w:spacing w:val="4"/>
          <w:lang w:eastAsia="pl-PL"/>
        </w:rPr>
        <w:t xml:space="preserve"> oraz mapę </w:t>
      </w:r>
      <w:r w:rsidR="006A6EAC" w:rsidRPr="00A64EFD">
        <w:rPr>
          <w:rFonts w:ascii="Lato" w:eastAsia="Times New Roman" w:hAnsi="Lato" w:cs="Arial"/>
          <w:iCs/>
          <w:spacing w:val="4"/>
          <w:lang w:eastAsia="pl-PL"/>
        </w:rPr>
        <w:t>sporządzon</w:t>
      </w:r>
      <w:r w:rsidR="00AA5C24">
        <w:rPr>
          <w:rFonts w:ascii="Lato" w:eastAsia="Times New Roman" w:hAnsi="Lato" w:cs="Arial"/>
          <w:iCs/>
          <w:spacing w:val="4"/>
          <w:lang w:eastAsia="pl-PL"/>
        </w:rPr>
        <w:t>ą</w:t>
      </w:r>
      <w:r w:rsidR="006A6EAC" w:rsidRPr="00A64EFD">
        <w:rPr>
          <w:rFonts w:ascii="Lato" w:eastAsia="Times New Roman" w:hAnsi="Lato" w:cs="Arial"/>
          <w:iCs/>
          <w:spacing w:val="4"/>
          <w:lang w:eastAsia="pl-PL"/>
        </w:rPr>
        <w:t xml:space="preserve"> przez uprawnionego geodetę przedstawiając</w:t>
      </w:r>
      <w:r w:rsidR="00AA5C24">
        <w:rPr>
          <w:rFonts w:ascii="Lato" w:eastAsia="Times New Roman" w:hAnsi="Lato" w:cs="Arial"/>
          <w:iCs/>
          <w:spacing w:val="4"/>
          <w:lang w:eastAsia="pl-PL"/>
        </w:rPr>
        <w:t>ą</w:t>
      </w:r>
      <w:r w:rsidR="006A6EAC" w:rsidRPr="00A64EFD">
        <w:rPr>
          <w:rFonts w:ascii="Lato" w:eastAsia="Times New Roman" w:hAnsi="Lato" w:cs="Arial"/>
          <w:iCs/>
          <w:spacing w:val="4"/>
          <w:lang w:eastAsia="pl-PL"/>
        </w:rPr>
        <w:t xml:space="preserve"> w sposób graficzny zakres służebności na ww. działce nr 600/9</w:t>
      </w:r>
      <w:r w:rsidR="006A6EAC" w:rsidRPr="00CE0AD1">
        <w:rPr>
          <w:rFonts w:ascii="Lato" w:eastAsia="Times New Roman" w:hAnsi="Lato" w:cs="Arial"/>
          <w:iCs/>
          <w:spacing w:val="4"/>
          <w:lang w:eastAsia="pl-PL"/>
        </w:rPr>
        <w:t>.</w:t>
      </w:r>
      <w:r w:rsidR="00CE0AD1">
        <w:rPr>
          <w:rFonts w:ascii="Lato" w:eastAsia="Times New Roman" w:hAnsi="Lato" w:cs="Arial"/>
          <w:iCs/>
          <w:spacing w:val="4"/>
          <w:lang w:eastAsia="pl-PL"/>
        </w:rPr>
        <w:t xml:space="preserve"> </w:t>
      </w:r>
      <w:r w:rsidR="00EA1219">
        <w:rPr>
          <w:rFonts w:ascii="Lato" w:eastAsia="Times New Roman" w:hAnsi="Lato" w:cs="Arial"/>
          <w:iCs/>
          <w:spacing w:val="4"/>
          <w:lang w:eastAsia="pl-PL"/>
        </w:rPr>
        <w:t xml:space="preserve">W piśmie z dnia 12 lipca 2023  r., znak: </w:t>
      </w:r>
      <w:r w:rsidR="00EA1219" w:rsidRPr="00EA1219">
        <w:rPr>
          <w:rFonts w:ascii="Lato" w:eastAsia="Times New Roman" w:hAnsi="Lato" w:cs="Arial"/>
          <w:iCs/>
          <w:spacing w:val="4"/>
          <w:lang w:eastAsia="pl-PL"/>
        </w:rPr>
        <w:t>DLI-II.7620.21.2022.AZ.</w:t>
      </w:r>
      <w:r w:rsidR="00EA1219">
        <w:rPr>
          <w:rFonts w:ascii="Lato" w:eastAsia="Times New Roman" w:hAnsi="Lato" w:cs="Arial"/>
          <w:iCs/>
          <w:spacing w:val="4"/>
          <w:lang w:eastAsia="pl-PL"/>
        </w:rPr>
        <w:t xml:space="preserve">9, działając na podstawie art. 10 kpa, organ odwoławczy </w:t>
      </w:r>
      <w:r w:rsidR="00EA1219" w:rsidRPr="00EA1219">
        <w:rPr>
          <w:rFonts w:ascii="Lato" w:eastAsia="Times New Roman" w:hAnsi="Lato" w:cs="Arial"/>
          <w:iCs/>
          <w:spacing w:val="4"/>
          <w:lang w:eastAsia="pl-PL"/>
        </w:rPr>
        <w:t>zawiad</w:t>
      </w:r>
      <w:r w:rsidR="00EA1219">
        <w:rPr>
          <w:rFonts w:ascii="Lato" w:eastAsia="Times New Roman" w:hAnsi="Lato" w:cs="Arial"/>
          <w:iCs/>
          <w:spacing w:val="4"/>
          <w:lang w:eastAsia="pl-PL"/>
        </w:rPr>
        <w:t xml:space="preserve">omił strony postępowania odwoławczego o możliwości </w:t>
      </w:r>
      <w:r w:rsidR="00EA1219" w:rsidRPr="00EA1219">
        <w:rPr>
          <w:rFonts w:ascii="Lato" w:eastAsia="Times New Roman" w:hAnsi="Lato" w:cs="Arial"/>
          <w:iCs/>
          <w:spacing w:val="4"/>
          <w:lang w:eastAsia="pl-PL"/>
        </w:rPr>
        <w:t>wypowiedz</w:t>
      </w:r>
      <w:r w:rsidR="00EA1219">
        <w:rPr>
          <w:rFonts w:ascii="Lato" w:eastAsia="Times New Roman" w:hAnsi="Lato" w:cs="Arial"/>
          <w:iCs/>
          <w:spacing w:val="4"/>
          <w:lang w:eastAsia="pl-PL"/>
        </w:rPr>
        <w:t>enia</w:t>
      </w:r>
      <w:r w:rsidR="00EA1219" w:rsidRPr="00EA1219">
        <w:rPr>
          <w:rFonts w:ascii="Lato" w:eastAsia="Times New Roman" w:hAnsi="Lato" w:cs="Arial"/>
          <w:iCs/>
          <w:spacing w:val="4"/>
          <w:lang w:eastAsia="pl-PL"/>
        </w:rPr>
        <w:t xml:space="preserve"> się co do zebranych dowodów i materiałów oraz zgłoszonych żądań, </w:t>
      </w:r>
      <w:r w:rsidR="00EA1219">
        <w:rPr>
          <w:rFonts w:ascii="Lato" w:eastAsia="Times New Roman" w:hAnsi="Lato" w:cs="Arial"/>
          <w:iCs/>
          <w:spacing w:val="4"/>
          <w:lang w:eastAsia="pl-PL"/>
        </w:rPr>
        <w:t xml:space="preserve">oraz o możliwości zapoznania się z aktami sprawy. Po wystosowaniu ww. zawiadomienia </w:t>
      </w:r>
      <w:r w:rsidR="00AA5C24">
        <w:rPr>
          <w:rFonts w:ascii="Lato" w:eastAsia="Times New Roman" w:hAnsi="Lato" w:cs="Arial"/>
          <w:iCs/>
          <w:spacing w:val="4"/>
          <w:lang w:eastAsia="pl-PL"/>
        </w:rPr>
        <w:br/>
      </w:r>
      <w:r w:rsidR="00EA1219">
        <w:rPr>
          <w:rFonts w:ascii="Lato" w:eastAsia="Times New Roman" w:hAnsi="Lato" w:cs="Arial"/>
          <w:iCs/>
          <w:spacing w:val="4"/>
          <w:lang w:eastAsia="pl-PL"/>
        </w:rPr>
        <w:t xml:space="preserve">z dnia 12 lipca 2023 r. </w:t>
      </w:r>
      <w:r w:rsidR="00EA1219" w:rsidRPr="00EA1219">
        <w:rPr>
          <w:rFonts w:ascii="Lato" w:eastAsia="Times New Roman" w:hAnsi="Lato" w:cs="Arial"/>
          <w:bCs/>
          <w:iCs/>
          <w:spacing w:val="4"/>
          <w:lang w:eastAsia="pl-PL"/>
        </w:rPr>
        <w:t xml:space="preserve">nie wpłynęły </w:t>
      </w:r>
      <w:r w:rsidR="00EA1219">
        <w:rPr>
          <w:rFonts w:ascii="Lato" w:eastAsia="Times New Roman" w:hAnsi="Lato" w:cs="Arial"/>
          <w:bCs/>
          <w:iCs/>
          <w:spacing w:val="4"/>
          <w:lang w:eastAsia="pl-PL"/>
        </w:rPr>
        <w:t xml:space="preserve">dodatkowe </w:t>
      </w:r>
      <w:r w:rsidR="00EA1219" w:rsidRPr="00EA1219">
        <w:rPr>
          <w:rFonts w:ascii="Lato" w:eastAsia="Times New Roman" w:hAnsi="Lato" w:cs="Arial"/>
          <w:bCs/>
          <w:iCs/>
          <w:spacing w:val="4"/>
          <w:lang w:eastAsia="pl-PL"/>
        </w:rPr>
        <w:t xml:space="preserve">zarzuty i zastrzeżenia.   </w:t>
      </w:r>
    </w:p>
    <w:p w14:paraId="21712EF4" w14:textId="5D0D83E1" w:rsidR="00AA5C24" w:rsidRDefault="00F0272F" w:rsidP="00E038CD">
      <w:pPr>
        <w:spacing w:after="240" w:line="240" w:lineRule="exact"/>
        <w:jc w:val="both"/>
        <w:outlineLvl w:val="0"/>
        <w:rPr>
          <w:rFonts w:ascii="Lato" w:eastAsia="Calibri" w:hAnsi="Lato" w:cs="Times New Roman"/>
          <w:bCs/>
          <w:iCs/>
          <w:spacing w:val="4"/>
          <w:lang w:bidi="pl-PL"/>
        </w:rPr>
      </w:pPr>
      <w:r w:rsidRPr="00F0272F">
        <w:rPr>
          <w:rFonts w:ascii="Lato" w:eastAsia="Calibri" w:hAnsi="Lato" w:cs="Times New Roman"/>
          <w:bCs/>
          <w:iCs/>
          <w:spacing w:val="4"/>
          <w:lang w:bidi="pl-PL"/>
        </w:rPr>
        <w:t xml:space="preserve">Konsekwencją opisanych powyżej okoliczności są dokonane - na podstawie art. 138 § 1 pkt 2 </w:t>
      </w:r>
      <w:r w:rsidRPr="00F0272F">
        <w:rPr>
          <w:rFonts w:ascii="Lato" w:eastAsia="Calibri" w:hAnsi="Lato" w:cs="Times New Roman"/>
          <w:bCs/>
          <w:spacing w:val="4"/>
          <w:lang w:bidi="pl-PL"/>
        </w:rPr>
        <w:t>kpa</w:t>
      </w:r>
      <w:r w:rsidRPr="00F0272F">
        <w:rPr>
          <w:rFonts w:ascii="Lato" w:eastAsia="Calibri" w:hAnsi="Lato" w:cs="Times New Roman"/>
          <w:bCs/>
          <w:iCs/>
          <w:spacing w:val="4"/>
          <w:lang w:bidi="pl-PL"/>
        </w:rPr>
        <w:t xml:space="preserve"> - zmiany w </w:t>
      </w:r>
      <w:r w:rsidRPr="00F0272F">
        <w:rPr>
          <w:rFonts w:ascii="Lato" w:eastAsia="Calibri" w:hAnsi="Lato" w:cs="Times New Roman"/>
          <w:bCs/>
          <w:spacing w:val="4"/>
          <w:lang w:bidi="pl-PL"/>
        </w:rPr>
        <w:t xml:space="preserve">decyzji Wojewody </w:t>
      </w:r>
      <w:r>
        <w:rPr>
          <w:rFonts w:ascii="Lato" w:eastAsia="Calibri" w:hAnsi="Lato" w:cs="Times New Roman"/>
          <w:bCs/>
          <w:spacing w:val="4"/>
          <w:lang w:bidi="pl-PL"/>
        </w:rPr>
        <w:t>Lubuskiego</w:t>
      </w:r>
      <w:r w:rsidRPr="00F0272F">
        <w:rPr>
          <w:rFonts w:ascii="Lato" w:eastAsia="Calibri" w:hAnsi="Lato" w:cs="Times New Roman"/>
          <w:bCs/>
          <w:iCs/>
          <w:spacing w:val="4"/>
          <w:lang w:bidi="pl-PL"/>
        </w:rPr>
        <w:t>, o których mowa w pkt I niniejszej decyzji.</w:t>
      </w:r>
      <w:r>
        <w:rPr>
          <w:rFonts w:ascii="Lato" w:eastAsia="Calibri" w:hAnsi="Lato" w:cs="Times New Roman"/>
          <w:bCs/>
          <w:iCs/>
          <w:spacing w:val="4"/>
          <w:lang w:bidi="pl-PL"/>
        </w:rPr>
        <w:t xml:space="preserve"> </w:t>
      </w:r>
      <w:r w:rsidR="007E4DF7" w:rsidRPr="007E4DF7">
        <w:rPr>
          <w:rFonts w:ascii="Lato" w:eastAsia="Calibri" w:hAnsi="Lato" w:cs="Times New Roman"/>
          <w:bCs/>
          <w:iCs/>
          <w:spacing w:val="4"/>
          <w:lang w:bidi="pl-PL"/>
        </w:rPr>
        <w:t>Należy</w:t>
      </w:r>
      <w:r w:rsidR="00571C51">
        <w:rPr>
          <w:rFonts w:ascii="Lato" w:eastAsia="Calibri" w:hAnsi="Lato" w:cs="Times New Roman"/>
          <w:bCs/>
          <w:iCs/>
          <w:spacing w:val="4"/>
          <w:lang w:bidi="pl-PL"/>
        </w:rPr>
        <w:t xml:space="preserve"> wyjaśnić</w:t>
      </w:r>
      <w:r w:rsidR="007E4DF7" w:rsidRPr="007E4DF7">
        <w:rPr>
          <w:rFonts w:ascii="Lato" w:eastAsia="Calibri" w:hAnsi="Lato" w:cs="Times New Roman"/>
          <w:bCs/>
          <w:iCs/>
          <w:spacing w:val="4"/>
          <w:lang w:bidi="pl-PL"/>
        </w:rPr>
        <w:t>,</w:t>
      </w:r>
      <w:r w:rsidR="00571C51">
        <w:rPr>
          <w:rFonts w:ascii="Lato" w:eastAsia="Calibri" w:hAnsi="Lato" w:cs="Times New Roman"/>
          <w:bCs/>
          <w:iCs/>
          <w:spacing w:val="4"/>
          <w:lang w:bidi="pl-PL"/>
        </w:rPr>
        <w:t xml:space="preserve"> że </w:t>
      </w:r>
      <w:r w:rsidR="007E4DF7" w:rsidRPr="007E4DF7">
        <w:rPr>
          <w:rFonts w:ascii="Lato" w:eastAsia="Calibri" w:hAnsi="Lato" w:cs="Times New Roman"/>
          <w:bCs/>
          <w:iCs/>
          <w:spacing w:val="4"/>
          <w:lang w:bidi="pl-PL"/>
        </w:rPr>
        <w:t xml:space="preserve">przepis art. 138 § 1 pkt 2 kpa umożliwia organowi odwoławczemu korektę zaskarżonej decyzji przez jej uchylenie w części i orzeczenie </w:t>
      </w:r>
      <w:r w:rsidR="007E4DF7">
        <w:rPr>
          <w:rFonts w:ascii="Lato" w:eastAsia="Calibri" w:hAnsi="Lato" w:cs="Times New Roman"/>
          <w:bCs/>
          <w:iCs/>
          <w:spacing w:val="4"/>
          <w:lang w:bidi="pl-PL"/>
        </w:rPr>
        <w:br/>
      </w:r>
      <w:r w:rsidR="007E4DF7" w:rsidRPr="007E4DF7">
        <w:rPr>
          <w:rFonts w:ascii="Lato" w:eastAsia="Calibri" w:hAnsi="Lato" w:cs="Times New Roman"/>
          <w:bCs/>
          <w:iCs/>
          <w:spacing w:val="4"/>
          <w:lang w:bidi="pl-PL"/>
        </w:rPr>
        <w:t>w tym zakresie co do istoty sprawy.</w:t>
      </w:r>
      <w:r w:rsidR="007E4DF7">
        <w:rPr>
          <w:rFonts w:ascii="Lato" w:eastAsia="Calibri" w:hAnsi="Lato" w:cs="Times New Roman"/>
          <w:bCs/>
          <w:iCs/>
          <w:spacing w:val="4"/>
          <w:lang w:bidi="pl-PL"/>
        </w:rPr>
        <w:t xml:space="preserve"> </w:t>
      </w:r>
    </w:p>
    <w:p w14:paraId="29AD0DEA" w14:textId="2C50BFC4" w:rsidR="00AA5C24" w:rsidRDefault="00F0272F" w:rsidP="00E038C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eastAsia="Calibri" w:hAnsi="Lato" w:cs="Times New Roman"/>
          <w:bCs/>
          <w:iCs/>
          <w:spacing w:val="4"/>
          <w:lang w:bidi="pl-PL"/>
        </w:rPr>
        <w:t xml:space="preserve">Minister wyeliminował </w:t>
      </w:r>
      <w:r w:rsidR="00577C5E" w:rsidRPr="00577C5E">
        <w:rPr>
          <w:rFonts w:ascii="Lato" w:hAnsi="Lato" w:cs="Arial"/>
          <w:bCs/>
          <w:iCs/>
          <w:spacing w:val="4"/>
        </w:rPr>
        <w:t xml:space="preserve">stwierdzony błąd w decyzji Wojewody </w:t>
      </w:r>
      <w:r>
        <w:rPr>
          <w:rFonts w:ascii="Lato" w:hAnsi="Lato" w:cs="Arial"/>
          <w:bCs/>
          <w:iCs/>
          <w:spacing w:val="4"/>
        </w:rPr>
        <w:t xml:space="preserve">Lubuskiego </w:t>
      </w:r>
      <w:r w:rsidR="001214A2">
        <w:rPr>
          <w:rFonts w:ascii="Lato" w:hAnsi="Lato" w:cs="Arial"/>
          <w:bCs/>
          <w:iCs/>
          <w:spacing w:val="4"/>
        </w:rPr>
        <w:t xml:space="preserve">dotyczący błędnego oznaczenia </w:t>
      </w:r>
      <w:r w:rsidR="001214A2" w:rsidRPr="001214A2">
        <w:rPr>
          <w:rFonts w:ascii="Lato" w:hAnsi="Lato" w:cs="Arial"/>
          <w:bCs/>
          <w:iCs/>
          <w:spacing w:val="4"/>
          <w:lang w:bidi="pl-PL"/>
        </w:rPr>
        <w:t>działk</w:t>
      </w:r>
      <w:r w:rsidR="001214A2">
        <w:rPr>
          <w:rFonts w:ascii="Lato" w:hAnsi="Lato" w:cs="Arial"/>
          <w:bCs/>
          <w:iCs/>
          <w:spacing w:val="4"/>
          <w:lang w:bidi="pl-PL"/>
        </w:rPr>
        <w:t>i</w:t>
      </w:r>
      <w:r w:rsidR="001214A2" w:rsidRPr="001214A2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1214A2" w:rsidRPr="000801EE">
        <w:rPr>
          <w:rFonts w:ascii="Lato" w:hAnsi="Lato" w:cs="Arial"/>
          <w:bCs/>
          <w:iCs/>
          <w:spacing w:val="4"/>
          <w:lang w:bidi="pl-PL"/>
        </w:rPr>
        <w:t>nr 600/9 (</w:t>
      </w:r>
      <w:r w:rsidR="001214A2" w:rsidRPr="001214A2">
        <w:rPr>
          <w:rFonts w:ascii="Lato" w:hAnsi="Lato" w:cs="Arial"/>
          <w:bCs/>
          <w:iCs/>
          <w:spacing w:val="4"/>
          <w:lang w:bidi="pl-PL"/>
        </w:rPr>
        <w:t>powstał</w:t>
      </w:r>
      <w:r w:rsidR="001214A2">
        <w:rPr>
          <w:rFonts w:ascii="Lato" w:hAnsi="Lato" w:cs="Arial"/>
          <w:bCs/>
          <w:iCs/>
          <w:spacing w:val="4"/>
          <w:lang w:bidi="pl-PL"/>
        </w:rPr>
        <w:t>ej</w:t>
      </w:r>
      <w:r w:rsidR="001214A2" w:rsidRPr="001214A2">
        <w:rPr>
          <w:rFonts w:ascii="Lato" w:hAnsi="Lato" w:cs="Arial"/>
          <w:bCs/>
          <w:iCs/>
          <w:spacing w:val="4"/>
          <w:lang w:bidi="pl-PL"/>
        </w:rPr>
        <w:t xml:space="preserve"> z podziału działki nr 600/6)</w:t>
      </w:r>
      <w:r w:rsidR="001214A2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1214A2" w:rsidRPr="00A64EFD">
        <w:rPr>
          <w:rFonts w:ascii="Lato" w:hAnsi="Lato" w:cs="Arial"/>
          <w:bCs/>
          <w:iCs/>
          <w:spacing w:val="4"/>
          <w:lang w:bidi="pl-PL"/>
        </w:rPr>
        <w:t xml:space="preserve">z obrębu </w:t>
      </w:r>
      <w:r w:rsidR="009D508F" w:rsidRPr="00A64EFD">
        <w:rPr>
          <w:rFonts w:ascii="Lato" w:hAnsi="Lato" w:cs="Arial"/>
          <w:bCs/>
          <w:iCs/>
          <w:spacing w:val="4"/>
          <w:lang w:bidi="pl-PL"/>
        </w:rPr>
        <w:t>0001</w:t>
      </w:r>
      <w:r w:rsidR="009D508F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1214A2" w:rsidRPr="00A64EFD">
        <w:rPr>
          <w:rFonts w:ascii="Lato" w:hAnsi="Lato" w:cs="Arial"/>
          <w:bCs/>
          <w:iCs/>
          <w:spacing w:val="4"/>
          <w:lang w:bidi="pl-PL"/>
        </w:rPr>
        <w:t>Sulechów,</w:t>
      </w:r>
      <w:r w:rsidR="001214A2">
        <w:rPr>
          <w:rFonts w:ascii="Lato" w:hAnsi="Lato" w:cs="Arial"/>
          <w:bCs/>
          <w:iCs/>
          <w:spacing w:val="4"/>
          <w:lang w:bidi="pl-PL"/>
        </w:rPr>
        <w:t xml:space="preserve"> jako nieruchomości przechodzącej z mocy prawa na własność Skarbu Pa</w:t>
      </w:r>
      <w:r w:rsidR="009D508F">
        <w:rPr>
          <w:rFonts w:ascii="Lato" w:hAnsi="Lato" w:cs="Arial"/>
          <w:bCs/>
          <w:iCs/>
          <w:spacing w:val="4"/>
          <w:lang w:bidi="pl-PL"/>
        </w:rPr>
        <w:t xml:space="preserve">ństwa, poprzez prawidłowe oznaczenie tej działki jako </w:t>
      </w:r>
      <w:r w:rsidR="009D508F" w:rsidRPr="009D508F">
        <w:rPr>
          <w:rFonts w:ascii="Lato" w:hAnsi="Lato" w:cs="Arial"/>
          <w:bCs/>
          <w:iCs/>
          <w:spacing w:val="4"/>
        </w:rPr>
        <w:t>nieruchomości, w stosunku do któr</w:t>
      </w:r>
      <w:r w:rsidR="009D508F">
        <w:rPr>
          <w:rFonts w:ascii="Lato" w:hAnsi="Lato" w:cs="Arial"/>
          <w:bCs/>
          <w:iCs/>
          <w:spacing w:val="4"/>
        </w:rPr>
        <w:t>ej</w:t>
      </w:r>
      <w:r w:rsidR="009D508F" w:rsidRPr="009D508F">
        <w:rPr>
          <w:rFonts w:ascii="Lato" w:hAnsi="Lato" w:cs="Arial"/>
          <w:bCs/>
          <w:iCs/>
          <w:spacing w:val="4"/>
        </w:rPr>
        <w:t xml:space="preserve"> decyzja</w:t>
      </w:r>
      <w:r w:rsidR="009D508F">
        <w:rPr>
          <w:rFonts w:ascii="Lato" w:hAnsi="Lato" w:cs="Arial"/>
          <w:bCs/>
          <w:iCs/>
          <w:spacing w:val="4"/>
        </w:rPr>
        <w:t xml:space="preserve"> lokalizacyjna</w:t>
      </w:r>
      <w:r w:rsidR="009D508F" w:rsidRPr="009D508F">
        <w:rPr>
          <w:rFonts w:ascii="Lato" w:hAnsi="Lato" w:cs="Arial"/>
          <w:bCs/>
          <w:iCs/>
          <w:spacing w:val="4"/>
        </w:rPr>
        <w:t xml:space="preserve"> ma wywołać skutek, o którym mowa w art. 20 ust. 6a </w:t>
      </w:r>
      <w:r w:rsidR="009D508F">
        <w:rPr>
          <w:rFonts w:ascii="Lato" w:hAnsi="Lato" w:cs="Arial"/>
          <w:bCs/>
          <w:iCs/>
          <w:spacing w:val="4"/>
        </w:rPr>
        <w:t>specustawy gazowej</w:t>
      </w:r>
      <w:r w:rsidR="00AA5C24">
        <w:rPr>
          <w:rFonts w:ascii="Lato" w:hAnsi="Lato" w:cs="Arial"/>
          <w:bCs/>
          <w:iCs/>
          <w:spacing w:val="4"/>
        </w:rPr>
        <w:t xml:space="preserve"> (w związku z art. </w:t>
      </w:r>
      <w:r w:rsidR="00AA5C24" w:rsidRPr="00AA5C24">
        <w:rPr>
          <w:rFonts w:ascii="Lato" w:hAnsi="Lato" w:cs="Arial"/>
          <w:bCs/>
          <w:iCs/>
          <w:spacing w:val="4"/>
        </w:rPr>
        <w:t>10 ust. 1 pkt 7a specustawy gazowej</w:t>
      </w:r>
      <w:r w:rsidR="00571C51">
        <w:rPr>
          <w:rFonts w:ascii="Lato" w:hAnsi="Lato" w:cs="Arial"/>
          <w:bCs/>
          <w:iCs/>
          <w:spacing w:val="4"/>
        </w:rPr>
        <w:t>)</w:t>
      </w:r>
      <w:r w:rsidR="009D508F">
        <w:rPr>
          <w:rFonts w:ascii="Lato" w:hAnsi="Lato" w:cs="Arial"/>
          <w:bCs/>
          <w:iCs/>
          <w:spacing w:val="4"/>
        </w:rPr>
        <w:t xml:space="preserve">. Minister </w:t>
      </w:r>
      <w:r w:rsidR="00175037" w:rsidRPr="00175037">
        <w:rPr>
          <w:rFonts w:ascii="Lato" w:hAnsi="Lato" w:cs="Arial"/>
          <w:bCs/>
          <w:iCs/>
          <w:spacing w:val="4"/>
          <w:lang w:bidi="pl-PL"/>
        </w:rPr>
        <w:t>ustal</w:t>
      </w:r>
      <w:r w:rsidR="007B6B3B">
        <w:rPr>
          <w:rFonts w:ascii="Lato" w:hAnsi="Lato" w:cs="Arial"/>
          <w:bCs/>
          <w:iCs/>
          <w:spacing w:val="4"/>
          <w:lang w:bidi="pl-PL"/>
        </w:rPr>
        <w:t xml:space="preserve">ił </w:t>
      </w:r>
      <w:r w:rsidR="00AA5C24">
        <w:rPr>
          <w:rFonts w:ascii="Lato" w:hAnsi="Lato" w:cs="Arial"/>
          <w:bCs/>
          <w:iCs/>
          <w:spacing w:val="4"/>
          <w:lang w:bidi="pl-PL"/>
        </w:rPr>
        <w:t xml:space="preserve">także </w:t>
      </w:r>
      <w:r w:rsidR="007B6B3B">
        <w:rPr>
          <w:rFonts w:ascii="Lato" w:hAnsi="Lato" w:cs="Arial"/>
          <w:bCs/>
          <w:iCs/>
          <w:spacing w:val="4"/>
          <w:lang w:bidi="pl-PL"/>
        </w:rPr>
        <w:t xml:space="preserve">w zaskarżonej decyzji </w:t>
      </w:r>
      <w:r w:rsidR="00175037" w:rsidRPr="00175037">
        <w:rPr>
          <w:rFonts w:ascii="Lato" w:hAnsi="Lato" w:cs="Arial"/>
          <w:bCs/>
          <w:iCs/>
          <w:spacing w:val="4"/>
          <w:lang w:bidi="pl-PL"/>
        </w:rPr>
        <w:t xml:space="preserve">na rzecz </w:t>
      </w:r>
      <w:r w:rsidR="007B6B3B">
        <w:rPr>
          <w:rFonts w:ascii="Lato" w:hAnsi="Lato" w:cs="Arial"/>
          <w:bCs/>
          <w:iCs/>
          <w:spacing w:val="4"/>
          <w:lang w:bidi="pl-PL"/>
        </w:rPr>
        <w:t xml:space="preserve">PSG </w:t>
      </w:r>
      <w:r w:rsidR="00175037" w:rsidRPr="00175037">
        <w:rPr>
          <w:rFonts w:ascii="Lato" w:hAnsi="Lato" w:cs="Arial"/>
          <w:bCs/>
          <w:iCs/>
          <w:spacing w:val="4"/>
          <w:lang w:bidi="pl-PL"/>
        </w:rPr>
        <w:t xml:space="preserve">służebność </w:t>
      </w:r>
      <w:r w:rsidR="007B6B3B" w:rsidRPr="007B6B3B">
        <w:rPr>
          <w:rFonts w:ascii="Lato" w:hAnsi="Lato" w:cs="Arial"/>
          <w:bCs/>
          <w:iCs/>
          <w:spacing w:val="4"/>
          <w:lang w:bidi="pl-PL"/>
        </w:rPr>
        <w:t>umożliwiają</w:t>
      </w:r>
      <w:r w:rsidR="00E038CD">
        <w:rPr>
          <w:rFonts w:ascii="Lato" w:hAnsi="Lato" w:cs="Arial"/>
          <w:bCs/>
          <w:iCs/>
          <w:spacing w:val="4"/>
          <w:lang w:bidi="pl-PL"/>
        </w:rPr>
        <w:t>cą</w:t>
      </w:r>
      <w:r w:rsidR="007B6B3B" w:rsidRPr="007B6B3B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7B6B3B">
        <w:rPr>
          <w:rFonts w:ascii="Lato" w:hAnsi="Lato" w:cs="Arial"/>
          <w:bCs/>
          <w:iCs/>
          <w:spacing w:val="4"/>
          <w:lang w:bidi="pl-PL"/>
        </w:rPr>
        <w:t xml:space="preserve">korzystanie </w:t>
      </w:r>
      <w:r w:rsidR="00AA5C24">
        <w:rPr>
          <w:rFonts w:ascii="Lato" w:hAnsi="Lato" w:cs="Arial"/>
          <w:bCs/>
          <w:iCs/>
          <w:spacing w:val="4"/>
          <w:lang w:bidi="pl-PL"/>
        </w:rPr>
        <w:br/>
      </w:r>
      <w:r w:rsidR="007B6B3B">
        <w:rPr>
          <w:rFonts w:ascii="Lato" w:hAnsi="Lato" w:cs="Arial"/>
          <w:bCs/>
          <w:iCs/>
          <w:spacing w:val="4"/>
          <w:lang w:bidi="pl-PL"/>
        </w:rPr>
        <w:t>i eksploatację</w:t>
      </w:r>
      <w:r w:rsidR="00BB2410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7B6B3B">
        <w:rPr>
          <w:rFonts w:ascii="Lato" w:hAnsi="Lato" w:cs="Arial"/>
          <w:bCs/>
          <w:iCs/>
          <w:spacing w:val="4"/>
          <w:lang w:bidi="pl-PL"/>
        </w:rPr>
        <w:t xml:space="preserve">znajdującej się na </w:t>
      </w:r>
      <w:r w:rsidR="000469C1" w:rsidRPr="000469C1">
        <w:rPr>
          <w:rFonts w:ascii="Lato" w:hAnsi="Lato" w:cs="Arial"/>
          <w:bCs/>
          <w:iCs/>
          <w:spacing w:val="4"/>
          <w:lang w:bidi="pl-PL"/>
        </w:rPr>
        <w:t>działce nr 600/9</w:t>
      </w:r>
      <w:r w:rsidR="000469C1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7B6B3B" w:rsidRPr="007B6B3B">
        <w:rPr>
          <w:rFonts w:ascii="Lato" w:hAnsi="Lato" w:cs="Arial"/>
          <w:bCs/>
          <w:iCs/>
          <w:spacing w:val="4"/>
          <w:lang w:bidi="pl-PL"/>
        </w:rPr>
        <w:t>sieci</w:t>
      </w:r>
      <w:r w:rsidR="007B6B3B">
        <w:rPr>
          <w:rFonts w:ascii="Lato" w:hAnsi="Lato" w:cs="Arial"/>
          <w:bCs/>
          <w:iCs/>
          <w:spacing w:val="4"/>
          <w:lang w:bidi="pl-PL"/>
        </w:rPr>
        <w:t xml:space="preserve"> gazowej </w:t>
      </w:r>
      <w:r w:rsidR="007B6B3B" w:rsidRPr="007B6B3B">
        <w:rPr>
          <w:rFonts w:ascii="Lato" w:hAnsi="Lato" w:cs="Arial"/>
          <w:bCs/>
          <w:iCs/>
          <w:spacing w:val="4"/>
          <w:lang w:bidi="pl-PL"/>
        </w:rPr>
        <w:t>należącej do PSG</w:t>
      </w:r>
      <w:r w:rsidR="007B6B3B">
        <w:rPr>
          <w:rFonts w:ascii="Lato" w:hAnsi="Lato" w:cs="Arial"/>
          <w:bCs/>
          <w:iCs/>
          <w:spacing w:val="4"/>
          <w:lang w:bidi="pl-PL"/>
        </w:rPr>
        <w:t xml:space="preserve">. </w:t>
      </w:r>
      <w:r w:rsidR="00E038CD">
        <w:rPr>
          <w:rFonts w:ascii="Lato" w:hAnsi="Lato" w:cs="Arial"/>
          <w:bCs/>
          <w:iCs/>
          <w:spacing w:val="4"/>
          <w:lang w:bidi="pl-PL"/>
        </w:rPr>
        <w:t>Konsekwencj</w:t>
      </w:r>
      <w:r w:rsidR="00AA5C24">
        <w:rPr>
          <w:rFonts w:ascii="Lato" w:hAnsi="Lato" w:cs="Arial"/>
          <w:bCs/>
          <w:iCs/>
          <w:spacing w:val="4"/>
          <w:lang w:bidi="pl-PL"/>
        </w:rPr>
        <w:t>ą</w:t>
      </w:r>
      <w:r w:rsidR="00E038CD">
        <w:rPr>
          <w:rFonts w:ascii="Lato" w:hAnsi="Lato" w:cs="Arial"/>
          <w:bCs/>
          <w:iCs/>
          <w:spacing w:val="4"/>
          <w:lang w:bidi="pl-PL"/>
        </w:rPr>
        <w:t xml:space="preserve"> tego było zatwierdzenie </w:t>
      </w:r>
      <w:r w:rsidR="00E038CD" w:rsidRPr="00E038CD">
        <w:rPr>
          <w:rFonts w:ascii="Lato" w:hAnsi="Lato" w:cs="Arial"/>
          <w:bCs/>
          <w:iCs/>
          <w:spacing w:val="4"/>
          <w:lang w:bidi="pl-PL"/>
        </w:rPr>
        <w:t>mapy przedstawiającej zakres służebności na działce nr 600/9</w:t>
      </w:r>
      <w:r w:rsidR="007E4DF7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E038CD" w:rsidRPr="00A64EFD">
        <w:rPr>
          <w:rFonts w:ascii="Lato" w:hAnsi="Lato" w:cs="Arial"/>
          <w:bCs/>
          <w:iCs/>
          <w:spacing w:val="4"/>
          <w:lang w:bidi="pl-PL"/>
        </w:rPr>
        <w:t>ustanowion</w:t>
      </w:r>
      <w:r w:rsidR="00E038CD">
        <w:rPr>
          <w:rFonts w:ascii="Lato" w:hAnsi="Lato" w:cs="Arial"/>
          <w:bCs/>
          <w:iCs/>
          <w:spacing w:val="4"/>
          <w:lang w:bidi="pl-PL"/>
        </w:rPr>
        <w:t>ej</w:t>
      </w:r>
      <w:r w:rsidR="00E038CD" w:rsidRPr="00A64EFD">
        <w:rPr>
          <w:rFonts w:ascii="Lato" w:hAnsi="Lato" w:cs="Arial"/>
          <w:bCs/>
          <w:iCs/>
          <w:spacing w:val="4"/>
          <w:lang w:bidi="pl-PL"/>
        </w:rPr>
        <w:t xml:space="preserve"> na rzecz </w:t>
      </w:r>
      <w:r w:rsidR="00E038CD" w:rsidRPr="00E038CD">
        <w:rPr>
          <w:rFonts w:ascii="Lato" w:hAnsi="Lato" w:cs="Arial"/>
          <w:bCs/>
          <w:iCs/>
          <w:spacing w:val="4"/>
          <w:lang w:bidi="pl-PL"/>
        </w:rPr>
        <w:t>PSG</w:t>
      </w:r>
      <w:r w:rsidR="00E038CD">
        <w:rPr>
          <w:rFonts w:ascii="Lato" w:hAnsi="Lato" w:cs="Arial"/>
          <w:bCs/>
          <w:iCs/>
          <w:spacing w:val="4"/>
          <w:lang w:bidi="pl-PL"/>
        </w:rPr>
        <w:t xml:space="preserve">. </w:t>
      </w:r>
    </w:p>
    <w:p w14:paraId="1329C3CA" w14:textId="46498F24" w:rsidR="00E038CD" w:rsidRPr="007E4DF7" w:rsidRDefault="00577C5E" w:rsidP="00E038CD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 w:rsidRPr="00577C5E">
        <w:rPr>
          <w:rFonts w:ascii="Lato" w:eastAsia="Times New Roman" w:hAnsi="Lato" w:cs="Arial"/>
          <w:bCs/>
          <w:spacing w:val="4"/>
          <w:lang w:eastAsia="pl-PL"/>
        </w:rPr>
        <w:t xml:space="preserve">Organ odwoławczy dokonując rozstrzygnięcia, o którym mowa w pkt I przedmiotowej decyzji, uznał, że nie narusza ono zasady dwuinstancyjności postępowania, o której mowa w art. 15 </w:t>
      </w:r>
      <w:r w:rsidRPr="00577C5E">
        <w:rPr>
          <w:rFonts w:ascii="Lato" w:eastAsia="Times New Roman" w:hAnsi="Lato" w:cs="Arial"/>
          <w:bCs/>
          <w:iCs/>
          <w:spacing w:val="4"/>
          <w:lang w:eastAsia="pl-PL"/>
        </w:rPr>
        <w:t>kpa</w:t>
      </w:r>
      <w:r w:rsidRPr="00577C5E">
        <w:rPr>
          <w:rFonts w:ascii="Lato" w:eastAsia="Times New Roman" w:hAnsi="Lato" w:cs="Arial"/>
          <w:bCs/>
          <w:spacing w:val="4"/>
          <w:lang w:eastAsia="pl-PL"/>
        </w:rPr>
        <w:t>.</w:t>
      </w:r>
      <w:r w:rsidRPr="00577C5E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AA5C24" w:rsidRPr="00AA5C24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Badając zgodność z prawem pozostałej części zaskarżonej decyzji, organ odwoławczy stwierdził, że czyni ona zadość wymogom specustawy gazowej </w:t>
      </w:r>
      <w:r w:rsidR="00AA5C24">
        <w:rPr>
          <w:rFonts w:ascii="Lato" w:eastAsia="Times New Roman" w:hAnsi="Lato" w:cs="Arial"/>
          <w:bCs/>
          <w:iCs/>
          <w:spacing w:val="4"/>
          <w:lang w:eastAsia="pl-PL" w:bidi="pl-PL"/>
        </w:rPr>
        <w:br/>
      </w:r>
      <w:r w:rsidR="00AA5C24" w:rsidRPr="00AA5C24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i dlatego – w pkt II niniejszej decyzji – w pozostałej części zaskarżona decyzja Wojewody </w:t>
      </w:r>
      <w:r w:rsidR="00AA5C24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Lubuskiego </w:t>
      </w:r>
      <w:r w:rsidR="00AA5C24" w:rsidRPr="00AA5C24">
        <w:rPr>
          <w:rFonts w:ascii="Lato" w:eastAsia="Times New Roman" w:hAnsi="Lato" w:cs="Arial"/>
          <w:bCs/>
          <w:iCs/>
          <w:spacing w:val="4"/>
          <w:lang w:eastAsia="pl-PL" w:bidi="pl-PL"/>
        </w:rPr>
        <w:t>została utrzymana w mocy.</w:t>
      </w:r>
    </w:p>
    <w:p w14:paraId="346FD098" w14:textId="77777777" w:rsidR="00BA20F7" w:rsidRDefault="00C1630E" w:rsidP="00BA20F7">
      <w:pPr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911D8F">
        <w:rPr>
          <w:rFonts w:ascii="Lato" w:eastAsia="Calibri" w:hAnsi="Lato" w:cs="Times New Roman"/>
          <w:bCs/>
          <w:spacing w:val="4"/>
        </w:rPr>
        <w:t xml:space="preserve">Niniejsza decyzja jest ostateczna. </w:t>
      </w:r>
    </w:p>
    <w:p w14:paraId="5055613C" w14:textId="68A8F299" w:rsidR="00C1630E" w:rsidRPr="00911D8F" w:rsidRDefault="00C1630E" w:rsidP="00BA20F7">
      <w:pPr>
        <w:spacing w:after="24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911D8F">
        <w:rPr>
          <w:rFonts w:ascii="Lato" w:eastAsia="Calibri" w:hAnsi="Lato" w:cs="Times New Roman"/>
          <w:bCs/>
          <w:spacing w:val="4"/>
        </w:rPr>
        <w:lastRenderedPageBreak/>
        <w:t xml:space="preserve">Na decyzję, na podstawie art. 53 § 1 i art. 54 § 1 ustawy z dnia 30 sierpnia 2002 r. </w:t>
      </w:r>
      <w:r w:rsidRPr="00911D8F">
        <w:rPr>
          <w:rFonts w:ascii="Lato" w:eastAsia="Calibri" w:hAnsi="Lato" w:cs="Times New Roman"/>
          <w:bCs/>
          <w:spacing w:val="4"/>
        </w:rPr>
        <w:br/>
        <w:t>– Prawo o postępowaniu przed sądami administracyjnymi (</w:t>
      </w:r>
      <w:r w:rsidRPr="00911D8F">
        <w:rPr>
          <w:rFonts w:ascii="Lato" w:eastAsia="Calibri" w:hAnsi="Lato" w:cs="Times New Roman"/>
          <w:bCs/>
          <w:spacing w:val="4"/>
          <w:lang w:bidi="pl-PL"/>
        </w:rPr>
        <w:t xml:space="preserve">t.j. Dz.U. z 2024 r. poz. 935, </w:t>
      </w:r>
      <w:r w:rsidR="00431E38">
        <w:rPr>
          <w:rFonts w:ascii="Lato" w:eastAsia="Calibri" w:hAnsi="Lato" w:cs="Times New Roman"/>
          <w:bCs/>
          <w:spacing w:val="4"/>
          <w:lang w:bidi="pl-PL"/>
        </w:rPr>
        <w:br/>
      </w:r>
      <w:r w:rsidRPr="00911D8F">
        <w:rPr>
          <w:rFonts w:ascii="Lato" w:eastAsia="Calibri" w:hAnsi="Lato" w:cs="Times New Roman"/>
          <w:bCs/>
          <w:spacing w:val="4"/>
          <w:lang w:bidi="pl-PL"/>
        </w:rPr>
        <w:t xml:space="preserve">z późn.zm.), </w:t>
      </w:r>
      <w:r w:rsidRPr="00911D8F">
        <w:rPr>
          <w:rFonts w:ascii="Lato" w:eastAsia="Calibri" w:hAnsi="Lato" w:cs="Times New Roman"/>
          <w:bCs/>
          <w:spacing w:val="4"/>
        </w:rPr>
        <w:t xml:space="preserve">zwanej dalej „ppsa”, przysługuje skarga do Wojewódzkiego Sądu Administracyjnego w Warszawie, wnoszona za pośrednictwem Ministra Finansów </w:t>
      </w:r>
      <w:r w:rsidR="00431E38">
        <w:rPr>
          <w:rFonts w:ascii="Lato" w:eastAsia="Calibri" w:hAnsi="Lato" w:cs="Times New Roman"/>
          <w:bCs/>
          <w:spacing w:val="4"/>
        </w:rPr>
        <w:br/>
      </w:r>
      <w:r w:rsidRPr="00911D8F">
        <w:rPr>
          <w:rFonts w:ascii="Lato" w:eastAsia="Calibri" w:hAnsi="Lato" w:cs="Times New Roman"/>
          <w:bCs/>
          <w:spacing w:val="4"/>
        </w:rPr>
        <w:t>i Gospodarki, w terminie 30 dni od dnia doręczenia decyzji.</w:t>
      </w:r>
    </w:p>
    <w:p w14:paraId="76801190" w14:textId="41FE9DC5" w:rsidR="00C1630E" w:rsidRPr="00911D8F" w:rsidRDefault="00C1630E" w:rsidP="00665EBB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120" w:line="240" w:lineRule="exact"/>
        <w:jc w:val="both"/>
        <w:outlineLvl w:val="0"/>
        <w:rPr>
          <w:rFonts w:ascii="Lato" w:eastAsia="Calibri" w:hAnsi="Lato" w:cs="Times New Roman"/>
          <w:bCs/>
          <w:spacing w:val="4"/>
        </w:rPr>
      </w:pPr>
      <w:r w:rsidRPr="00911D8F">
        <w:rPr>
          <w:rFonts w:ascii="Lato" w:eastAsia="Calibri" w:hAnsi="Lato" w:cs="Times New Roman"/>
          <w:bCs/>
          <w:spacing w:val="4"/>
        </w:rPr>
        <w:t xml:space="preserve">Jednocześnie informuję, że do skargi należy załączyć dowód uiszczenia wpisu </w:t>
      </w:r>
      <w:r w:rsidRPr="00911D8F">
        <w:rPr>
          <w:rFonts w:ascii="Lato" w:eastAsia="Calibri" w:hAnsi="Lato" w:cs="Times New Roman"/>
          <w:bCs/>
          <w:spacing w:val="4"/>
        </w:rPr>
        <w:br/>
        <w:t>od wniesienia skargi w kwocie 500 zł, płatnego w kasie sądu lub na rachunek bankowy sądu wskazany w publikatorze teleinformatycznym – Biuletynie Informacji Publicznej sądu (http://bip.warszawa.wsa.gov.pl). Strony mogą ubiegać się o przyznanie prawa pomocy, polegającego na zwolnieniu z kosztów sądowych oraz ustanowieniu adwokata lub radcy prawnego. Szczegółowe zasady dotyczące przyznawania prawa pomocy uregulowane są w art. 243-262 ppsa.</w:t>
      </w:r>
    </w:p>
    <w:p w14:paraId="2A2EA831" w14:textId="26FB64CB" w:rsidR="00C1630E" w:rsidRPr="00C1630E" w:rsidRDefault="00C1630E" w:rsidP="00665EBB">
      <w:pPr>
        <w:shd w:val="clear" w:color="auto" w:fill="FFFFFF"/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</w:rPr>
      </w:pPr>
      <w:r w:rsidRPr="00C1630E">
        <w:rPr>
          <w:rFonts w:ascii="Lato" w:eastAsia="Times New Roman" w:hAnsi="Lato" w:cs="Arial"/>
          <w:b/>
          <w:spacing w:val="4"/>
          <w:u w:val="single"/>
        </w:rPr>
        <w:t>Załącznik:</w:t>
      </w:r>
    </w:p>
    <w:p w14:paraId="55F00257" w14:textId="5558D60B" w:rsidR="00C1630E" w:rsidRPr="00C1630E" w:rsidRDefault="00C1630E" w:rsidP="00C1630E">
      <w:pPr>
        <w:suppressAutoHyphens/>
        <w:spacing w:after="0" w:line="240" w:lineRule="exact"/>
        <w:jc w:val="both"/>
        <w:textAlignment w:val="baseline"/>
        <w:rPr>
          <w:rFonts w:ascii="Lato" w:eastAsia="Times New Roman" w:hAnsi="Lato" w:cs="Arial"/>
          <w:spacing w:val="4"/>
          <w:lang w:eastAsia="zh-CN"/>
        </w:rPr>
      </w:pPr>
      <w:r w:rsidRPr="00122D7F">
        <w:rPr>
          <w:rFonts w:ascii="Lato" w:eastAsia="Times New Roman" w:hAnsi="Lato" w:cs="Arial"/>
          <w:b/>
          <w:bCs/>
          <w:spacing w:val="4"/>
          <w:lang w:eastAsia="zh-CN"/>
        </w:rPr>
        <w:t>Nr 1</w:t>
      </w:r>
      <w:r w:rsidRPr="00122D7F">
        <w:rPr>
          <w:rFonts w:ascii="Lato" w:eastAsia="Times New Roman" w:hAnsi="Lato" w:cs="Arial"/>
          <w:spacing w:val="4"/>
          <w:lang w:eastAsia="zh-CN"/>
        </w:rPr>
        <w:t xml:space="preserve"> – </w:t>
      </w:r>
      <w:r w:rsidR="00CB30AF" w:rsidRPr="00CB30AF">
        <w:rPr>
          <w:rFonts w:ascii="Lato" w:eastAsia="Times New Roman" w:hAnsi="Lato" w:cs="Arial"/>
          <w:bCs/>
          <w:spacing w:val="4"/>
          <w:lang w:eastAsia="zh-CN" w:bidi="pl-PL"/>
        </w:rPr>
        <w:t>map</w:t>
      </w:r>
      <w:r w:rsidR="00CB30AF">
        <w:rPr>
          <w:rFonts w:ascii="Lato" w:eastAsia="Times New Roman" w:hAnsi="Lato" w:cs="Arial"/>
          <w:bCs/>
          <w:iCs/>
          <w:spacing w:val="4"/>
          <w:lang w:eastAsia="zh-CN" w:bidi="pl-PL"/>
        </w:rPr>
        <w:t>a</w:t>
      </w:r>
      <w:r w:rsidR="00CB30AF" w:rsidRPr="00CB30AF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przedstawiając</w:t>
      </w:r>
      <w:r w:rsidR="00CB30AF">
        <w:rPr>
          <w:rFonts w:ascii="Lato" w:eastAsia="Times New Roman" w:hAnsi="Lato" w:cs="Arial"/>
          <w:bCs/>
          <w:iCs/>
          <w:spacing w:val="4"/>
          <w:lang w:eastAsia="zh-CN" w:bidi="pl-PL"/>
        </w:rPr>
        <w:t>a</w:t>
      </w:r>
      <w:r w:rsidR="00CB30AF" w:rsidRPr="00CB30AF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zakres służebności na</w:t>
      </w:r>
      <w:r w:rsidR="00AA5C24">
        <w:rPr>
          <w:rFonts w:ascii="Lato" w:eastAsia="Times New Roman" w:hAnsi="Lato" w:cs="Arial"/>
          <w:bCs/>
          <w:iCs/>
          <w:spacing w:val="4"/>
          <w:lang w:eastAsia="zh-CN" w:bidi="pl-PL"/>
        </w:rPr>
        <w:t xml:space="preserve"> </w:t>
      </w:r>
      <w:r w:rsidR="00CB30AF" w:rsidRPr="00CB30AF">
        <w:rPr>
          <w:rFonts w:ascii="Lato" w:eastAsia="Times New Roman" w:hAnsi="Lato" w:cs="Arial"/>
          <w:bCs/>
          <w:iCs/>
          <w:spacing w:val="4"/>
          <w:lang w:eastAsia="zh-CN" w:bidi="pl-PL"/>
        </w:rPr>
        <w:t>działce nr 600/9, z obrębu 0001 Sulechów</w:t>
      </w:r>
      <w:r w:rsidR="00CB30AF" w:rsidRPr="00CB30AF">
        <w:rPr>
          <w:rFonts w:ascii="Lato" w:eastAsia="Times New Roman" w:hAnsi="Lato" w:cs="Arial"/>
          <w:spacing w:val="4"/>
          <w:lang w:eastAsia="zh-CN"/>
        </w:rPr>
        <w:t>.</w:t>
      </w:r>
    </w:p>
    <w:p w14:paraId="3DC8804C" w14:textId="77777777" w:rsidR="00D15D63" w:rsidRDefault="00D15D63" w:rsidP="00C1630E">
      <w:pPr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3FE90CA7" w14:textId="77777777" w:rsidR="00D15D63" w:rsidRDefault="00D15D63" w:rsidP="00C1630E">
      <w:pPr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265EDB93" w14:textId="77777777" w:rsidR="00E8600D" w:rsidRPr="00B3376C" w:rsidRDefault="00E8600D" w:rsidP="00E8600D">
      <w:pPr>
        <w:spacing w:after="120" w:line="260" w:lineRule="exact"/>
        <w:ind w:left="4111"/>
        <w:rPr>
          <w:rFonts w:ascii="Lato" w:hAnsi="Lato"/>
          <w:b/>
          <w:bCs/>
        </w:rPr>
      </w:pPr>
      <w:r w:rsidRPr="00B3376C">
        <w:rPr>
          <w:rFonts w:ascii="Lato" w:hAnsi="Lato"/>
          <w:b/>
          <w:bCs/>
        </w:rPr>
        <w:t>Z upoważnienia</w:t>
      </w:r>
    </w:p>
    <w:p w14:paraId="201A56D8" w14:textId="77777777" w:rsidR="00E8600D" w:rsidRPr="00B3376C" w:rsidRDefault="00E8600D" w:rsidP="00E8600D">
      <w:pPr>
        <w:spacing w:after="120" w:line="260" w:lineRule="exact"/>
        <w:ind w:left="4111"/>
        <w:rPr>
          <w:rFonts w:ascii="Lato" w:hAnsi="Lato"/>
        </w:rPr>
      </w:pPr>
      <w:r>
        <w:rPr>
          <w:rFonts w:ascii="Lato" w:hAnsi="Lato"/>
        </w:rPr>
        <w:t>Edyta Lubaszewska</w:t>
      </w:r>
    </w:p>
    <w:p w14:paraId="2D82580A" w14:textId="77777777" w:rsidR="00E8600D" w:rsidRPr="00B3376C" w:rsidRDefault="00E8600D" w:rsidP="00E8600D">
      <w:pPr>
        <w:spacing w:after="120" w:line="260" w:lineRule="exact"/>
        <w:ind w:left="4111"/>
        <w:rPr>
          <w:rFonts w:ascii="Lato" w:hAnsi="Lato"/>
        </w:rPr>
      </w:pPr>
      <w:r>
        <w:rPr>
          <w:rFonts w:ascii="Lato" w:hAnsi="Lato"/>
        </w:rPr>
        <w:t>dyrektor</w:t>
      </w:r>
    </w:p>
    <w:p w14:paraId="7C783A9E" w14:textId="77777777" w:rsidR="00E8600D" w:rsidRPr="00B3376C" w:rsidRDefault="00E8600D" w:rsidP="00E8600D">
      <w:pPr>
        <w:spacing w:after="120" w:line="260" w:lineRule="exact"/>
        <w:ind w:left="4111"/>
        <w:rPr>
          <w:rFonts w:ascii="Lato" w:hAnsi="Lato"/>
        </w:rPr>
      </w:pPr>
      <w:r>
        <w:rPr>
          <w:rFonts w:ascii="Lato" w:hAnsi="Lato"/>
        </w:rPr>
        <w:t>Departament Lokalizacji Inwestycji</w:t>
      </w:r>
    </w:p>
    <w:p w14:paraId="2B6DA813" w14:textId="77777777" w:rsidR="00E8600D" w:rsidRPr="00B3376C" w:rsidRDefault="00E8600D" w:rsidP="00E8600D">
      <w:pPr>
        <w:spacing w:after="120" w:line="260" w:lineRule="exact"/>
        <w:ind w:left="4111"/>
        <w:rPr>
          <w:rFonts w:ascii="Lato" w:hAnsi="Lato"/>
        </w:rPr>
      </w:pPr>
      <w:r>
        <w:rPr>
          <w:rFonts w:ascii="Lato" w:hAnsi="Lato"/>
        </w:rPr>
        <w:t>/ kwalifikowany podpis elektroniczny /</w:t>
      </w:r>
    </w:p>
    <w:p w14:paraId="28D5B14D" w14:textId="77777777" w:rsidR="00E8600D" w:rsidRPr="00B3376C" w:rsidRDefault="00E8600D" w:rsidP="00E8600D">
      <w:pPr>
        <w:spacing w:after="120" w:line="260" w:lineRule="exact"/>
        <w:ind w:left="4111"/>
        <w:rPr>
          <w:rFonts w:ascii="Lato" w:hAnsi="Lato"/>
          <w:color w:val="000000" w:themeColor="text1"/>
        </w:rPr>
      </w:pPr>
      <w:r w:rsidRPr="00B3376C">
        <w:rPr>
          <w:rFonts w:ascii="Lato" w:hAnsi="Lato"/>
          <w:color w:val="000000" w:themeColor="text1"/>
        </w:rPr>
        <w:t>w Ministerstwie Rozwoju i Technologii</w:t>
      </w:r>
    </w:p>
    <w:p w14:paraId="7CB085EB" w14:textId="77777777" w:rsidR="00122D7F" w:rsidRDefault="00122D7F" w:rsidP="00C1630E">
      <w:pPr>
        <w:spacing w:after="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657A3958" w14:textId="77777777" w:rsidR="00D15D63" w:rsidRDefault="00D15D63" w:rsidP="00122D7F">
      <w:pPr>
        <w:spacing w:after="80" w:line="240" w:lineRule="auto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</w:p>
    <w:p w14:paraId="49A992DE" w14:textId="2E57F6B7" w:rsidR="007A68DF" w:rsidRPr="000A536E" w:rsidRDefault="007A68DF" w:rsidP="00876223">
      <w:pPr>
        <w:spacing w:after="0" w:line="240" w:lineRule="exact"/>
        <w:ind w:left="360"/>
        <w:contextualSpacing/>
        <w:jc w:val="both"/>
        <w:rPr>
          <w:rFonts w:ascii="Lato" w:eastAsia="Times New Roman" w:hAnsi="Lato" w:cs="Arial"/>
          <w:spacing w:val="4"/>
          <w:lang w:eastAsia="pl-PL"/>
        </w:rPr>
      </w:pPr>
    </w:p>
    <w:sectPr w:rsidR="007A68DF" w:rsidRPr="000A536E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387F4" w14:textId="77777777" w:rsidR="005E7F37" w:rsidRDefault="005E7F37">
      <w:pPr>
        <w:spacing w:after="0" w:line="240" w:lineRule="auto"/>
      </w:pPr>
      <w:r>
        <w:separator/>
      </w:r>
    </w:p>
  </w:endnote>
  <w:endnote w:type="continuationSeparator" w:id="0">
    <w:p w14:paraId="5A2259AB" w14:textId="77777777" w:rsidR="005E7F37" w:rsidRDefault="005E7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416CA3F5-DAE6-4ADA-A732-6E4D75692A86}"/>
    <w:embedBold r:id="rId2" w:fontKey="{42D5455F-1FC3-48D0-B7CB-C0C3642EEA50}"/>
    <w:embedItalic r:id="rId3" w:fontKey="{C2851DE6-4960-4D1B-9117-13A5CD80CB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87DFC899-F0AA-4A24-B905-043A01064BDB}"/>
    <w:embedBold r:id="rId5" w:fontKey="{73CFDD78-5476-4791-82F9-497AF731CC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6E96882D-4475-4C21-9F9E-F1EC8E94ACAB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53CFF59E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CB30AF">
          <w:rPr>
            <w:rFonts w:ascii="Lato" w:hAnsi="Lato"/>
            <w:sz w:val="16"/>
            <w:szCs w:val="16"/>
          </w:rPr>
          <w:t>9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28A07" w14:textId="4879985E" w:rsidR="00A82F78" w:rsidRDefault="00A82F7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90177" w14:textId="77777777" w:rsidR="005E7F37" w:rsidRDefault="005E7F37">
      <w:pPr>
        <w:spacing w:after="0" w:line="240" w:lineRule="auto"/>
      </w:pPr>
      <w:r>
        <w:separator/>
      </w:r>
    </w:p>
  </w:footnote>
  <w:footnote w:type="continuationSeparator" w:id="0">
    <w:p w14:paraId="1ADDE037" w14:textId="77777777" w:rsidR="005E7F37" w:rsidRDefault="005E7F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F108D"/>
    <w:multiLevelType w:val="hybridMultilevel"/>
    <w:tmpl w:val="061A934C"/>
    <w:lvl w:ilvl="0" w:tplc="696E1924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E43CAE"/>
    <w:multiLevelType w:val="hybridMultilevel"/>
    <w:tmpl w:val="DE10CB2A"/>
    <w:lvl w:ilvl="0" w:tplc="21AE9228">
      <w:start w:val="1"/>
      <w:numFmt w:val="bullet"/>
      <w:lvlText w:val=""/>
      <w:lvlJc w:val="center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66EAB"/>
    <w:multiLevelType w:val="hybridMultilevel"/>
    <w:tmpl w:val="BA667026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B377444"/>
    <w:multiLevelType w:val="hybridMultilevel"/>
    <w:tmpl w:val="6AFEED44"/>
    <w:lvl w:ilvl="0" w:tplc="044AECA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44541AC"/>
    <w:multiLevelType w:val="hybridMultilevel"/>
    <w:tmpl w:val="3C0284BE"/>
    <w:lvl w:ilvl="0" w:tplc="044AECAA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6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8C5C0F"/>
    <w:multiLevelType w:val="hybridMultilevel"/>
    <w:tmpl w:val="0024C5EC"/>
    <w:lvl w:ilvl="0" w:tplc="04150017">
      <w:start w:val="1"/>
      <w:numFmt w:val="lowerLetter"/>
      <w:lvlText w:val="%1)"/>
      <w:lvlJc w:val="left"/>
      <w:pPr>
        <w:ind w:left="2149" w:hanging="360"/>
      </w:pPr>
    </w:lvl>
    <w:lvl w:ilvl="1" w:tplc="04150019" w:tentative="1">
      <w:start w:val="1"/>
      <w:numFmt w:val="lowerLetter"/>
      <w:lvlText w:val="%2."/>
      <w:lvlJc w:val="left"/>
      <w:pPr>
        <w:ind w:left="2869" w:hanging="360"/>
      </w:pPr>
    </w:lvl>
    <w:lvl w:ilvl="2" w:tplc="0415001B" w:tentative="1">
      <w:start w:val="1"/>
      <w:numFmt w:val="lowerRoman"/>
      <w:lvlText w:val="%3."/>
      <w:lvlJc w:val="right"/>
      <w:pPr>
        <w:ind w:left="3589" w:hanging="180"/>
      </w:pPr>
    </w:lvl>
    <w:lvl w:ilvl="3" w:tplc="0415000F" w:tentative="1">
      <w:start w:val="1"/>
      <w:numFmt w:val="decimal"/>
      <w:lvlText w:val="%4."/>
      <w:lvlJc w:val="left"/>
      <w:pPr>
        <w:ind w:left="4309" w:hanging="360"/>
      </w:pPr>
    </w:lvl>
    <w:lvl w:ilvl="4" w:tplc="04150019" w:tentative="1">
      <w:start w:val="1"/>
      <w:numFmt w:val="lowerLetter"/>
      <w:lvlText w:val="%5."/>
      <w:lvlJc w:val="left"/>
      <w:pPr>
        <w:ind w:left="5029" w:hanging="360"/>
      </w:pPr>
    </w:lvl>
    <w:lvl w:ilvl="5" w:tplc="0415001B" w:tentative="1">
      <w:start w:val="1"/>
      <w:numFmt w:val="lowerRoman"/>
      <w:lvlText w:val="%6."/>
      <w:lvlJc w:val="right"/>
      <w:pPr>
        <w:ind w:left="5749" w:hanging="180"/>
      </w:pPr>
    </w:lvl>
    <w:lvl w:ilvl="6" w:tplc="0415000F" w:tentative="1">
      <w:start w:val="1"/>
      <w:numFmt w:val="decimal"/>
      <w:lvlText w:val="%7."/>
      <w:lvlJc w:val="left"/>
      <w:pPr>
        <w:ind w:left="6469" w:hanging="360"/>
      </w:pPr>
    </w:lvl>
    <w:lvl w:ilvl="7" w:tplc="04150019" w:tentative="1">
      <w:start w:val="1"/>
      <w:numFmt w:val="lowerLetter"/>
      <w:lvlText w:val="%8."/>
      <w:lvlJc w:val="left"/>
      <w:pPr>
        <w:ind w:left="7189" w:hanging="360"/>
      </w:pPr>
    </w:lvl>
    <w:lvl w:ilvl="8" w:tplc="0415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 w15:restartNumberingAfterBreak="0">
    <w:nsid w:val="199A55DD"/>
    <w:multiLevelType w:val="hybridMultilevel"/>
    <w:tmpl w:val="7758DAD4"/>
    <w:lvl w:ilvl="0" w:tplc="9A30B97E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22736"/>
    <w:multiLevelType w:val="hybridMultilevel"/>
    <w:tmpl w:val="8D86F7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D97E34"/>
    <w:multiLevelType w:val="hybridMultilevel"/>
    <w:tmpl w:val="F0381CE4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0FF1D83"/>
    <w:multiLevelType w:val="hybridMultilevel"/>
    <w:tmpl w:val="A0AED7C6"/>
    <w:lvl w:ilvl="0" w:tplc="044AECAA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281EDC"/>
    <w:multiLevelType w:val="hybridMultilevel"/>
    <w:tmpl w:val="A0429FB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404337"/>
    <w:multiLevelType w:val="hybridMultilevel"/>
    <w:tmpl w:val="B3DEBB52"/>
    <w:lvl w:ilvl="0" w:tplc="C44C50AA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7281746"/>
    <w:multiLevelType w:val="hybridMultilevel"/>
    <w:tmpl w:val="36B2DD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FD2832"/>
    <w:multiLevelType w:val="hybridMultilevel"/>
    <w:tmpl w:val="AA700964"/>
    <w:lvl w:ilvl="0" w:tplc="86BA2ACC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EA2392"/>
    <w:multiLevelType w:val="hybridMultilevel"/>
    <w:tmpl w:val="23524A58"/>
    <w:lvl w:ilvl="0" w:tplc="838C0EA8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53260A"/>
    <w:multiLevelType w:val="hybridMultilevel"/>
    <w:tmpl w:val="22B49B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C7048E"/>
    <w:multiLevelType w:val="hybridMultilevel"/>
    <w:tmpl w:val="32042D66"/>
    <w:lvl w:ilvl="0" w:tplc="69C89C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3BF2A36"/>
    <w:multiLevelType w:val="hybridMultilevel"/>
    <w:tmpl w:val="E4B801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4"/>
  </w:num>
  <w:num w:numId="3" w16cid:durableId="1904678012">
    <w:abstractNumId w:val="6"/>
  </w:num>
  <w:num w:numId="4" w16cid:durableId="604114120">
    <w:abstractNumId w:val="24"/>
  </w:num>
  <w:num w:numId="5" w16cid:durableId="1346395448">
    <w:abstractNumId w:val="15"/>
  </w:num>
  <w:num w:numId="6" w16cid:durableId="1718432802">
    <w:abstractNumId w:val="20"/>
  </w:num>
  <w:num w:numId="7" w16cid:durableId="1072391146">
    <w:abstractNumId w:val="13"/>
  </w:num>
  <w:num w:numId="8" w16cid:durableId="20709616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8"/>
  </w:num>
  <w:num w:numId="10" w16cid:durableId="750810747">
    <w:abstractNumId w:val="23"/>
  </w:num>
  <w:num w:numId="11" w16cid:durableId="62327580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48337881">
    <w:abstractNumId w:val="22"/>
  </w:num>
  <w:num w:numId="13" w16cid:durableId="955331902">
    <w:abstractNumId w:val="1"/>
  </w:num>
  <w:num w:numId="14" w16cid:durableId="141442965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60999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6013894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512913469">
    <w:abstractNumId w:val="0"/>
  </w:num>
  <w:num w:numId="18" w16cid:durableId="774178579">
    <w:abstractNumId w:val="3"/>
  </w:num>
  <w:num w:numId="19" w16cid:durableId="1882477072">
    <w:abstractNumId w:val="2"/>
  </w:num>
  <w:num w:numId="20" w16cid:durableId="593704134">
    <w:abstractNumId w:val="16"/>
  </w:num>
  <w:num w:numId="21" w16cid:durableId="1374380200">
    <w:abstractNumId w:val="17"/>
  </w:num>
  <w:num w:numId="22" w16cid:durableId="2023318410">
    <w:abstractNumId w:val="21"/>
  </w:num>
  <w:num w:numId="23" w16cid:durableId="299119024">
    <w:abstractNumId w:val="25"/>
  </w:num>
  <w:num w:numId="24" w16cid:durableId="181941832">
    <w:abstractNumId w:val="5"/>
  </w:num>
  <w:num w:numId="25" w16cid:durableId="1305047012">
    <w:abstractNumId w:val="14"/>
  </w:num>
  <w:num w:numId="26" w16cid:durableId="273679467">
    <w:abstractNumId w:val="11"/>
  </w:num>
  <w:num w:numId="27" w16cid:durableId="659696265">
    <w:abstractNumId w:val="7"/>
  </w:num>
  <w:num w:numId="28" w16cid:durableId="8050504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2B25"/>
    <w:rsid w:val="00004853"/>
    <w:rsid w:val="0001348D"/>
    <w:rsid w:val="00022DAF"/>
    <w:rsid w:val="00044EDE"/>
    <w:rsid w:val="00045903"/>
    <w:rsid w:val="000469C1"/>
    <w:rsid w:val="00050ABE"/>
    <w:rsid w:val="00055EA9"/>
    <w:rsid w:val="00061C2C"/>
    <w:rsid w:val="00062D49"/>
    <w:rsid w:val="000801EE"/>
    <w:rsid w:val="00086BE6"/>
    <w:rsid w:val="0009148A"/>
    <w:rsid w:val="000951B7"/>
    <w:rsid w:val="0009666A"/>
    <w:rsid w:val="000A2F59"/>
    <w:rsid w:val="000A536E"/>
    <w:rsid w:val="000C28DA"/>
    <w:rsid w:val="000C3941"/>
    <w:rsid w:val="000C6599"/>
    <w:rsid w:val="000D5ACE"/>
    <w:rsid w:val="000D7BED"/>
    <w:rsid w:val="000E4932"/>
    <w:rsid w:val="000F35D5"/>
    <w:rsid w:val="000F79A1"/>
    <w:rsid w:val="000F79F2"/>
    <w:rsid w:val="00100763"/>
    <w:rsid w:val="0012069E"/>
    <w:rsid w:val="001214A2"/>
    <w:rsid w:val="00122D7F"/>
    <w:rsid w:val="00146EAC"/>
    <w:rsid w:val="0016557B"/>
    <w:rsid w:val="00166598"/>
    <w:rsid w:val="00174E67"/>
    <w:rsid w:val="00175037"/>
    <w:rsid w:val="001C1AB3"/>
    <w:rsid w:val="001C3000"/>
    <w:rsid w:val="001C7EB7"/>
    <w:rsid w:val="001D234B"/>
    <w:rsid w:val="001E03A0"/>
    <w:rsid w:val="001E095B"/>
    <w:rsid w:val="001E793D"/>
    <w:rsid w:val="001F0180"/>
    <w:rsid w:val="001F2DBC"/>
    <w:rsid w:val="00207594"/>
    <w:rsid w:val="0021090E"/>
    <w:rsid w:val="002125F0"/>
    <w:rsid w:val="00215A29"/>
    <w:rsid w:val="002205E8"/>
    <w:rsid w:val="0024419F"/>
    <w:rsid w:val="00245F72"/>
    <w:rsid w:val="00257DC5"/>
    <w:rsid w:val="00286850"/>
    <w:rsid w:val="002A4029"/>
    <w:rsid w:val="002B3886"/>
    <w:rsid w:val="002C0DA1"/>
    <w:rsid w:val="002D3BFD"/>
    <w:rsid w:val="002D74D1"/>
    <w:rsid w:val="002E0A79"/>
    <w:rsid w:val="002E58B9"/>
    <w:rsid w:val="002F255B"/>
    <w:rsid w:val="003202F2"/>
    <w:rsid w:val="0032059E"/>
    <w:rsid w:val="0032754C"/>
    <w:rsid w:val="003301B3"/>
    <w:rsid w:val="00337705"/>
    <w:rsid w:val="00362D1A"/>
    <w:rsid w:val="0036539B"/>
    <w:rsid w:val="00370924"/>
    <w:rsid w:val="003808F6"/>
    <w:rsid w:val="00382A30"/>
    <w:rsid w:val="003917B2"/>
    <w:rsid w:val="00394EF1"/>
    <w:rsid w:val="003A41B0"/>
    <w:rsid w:val="003B2B91"/>
    <w:rsid w:val="003B655F"/>
    <w:rsid w:val="003C428B"/>
    <w:rsid w:val="003D64CB"/>
    <w:rsid w:val="003D6BB5"/>
    <w:rsid w:val="00410928"/>
    <w:rsid w:val="004110D9"/>
    <w:rsid w:val="00431E38"/>
    <w:rsid w:val="00433A0F"/>
    <w:rsid w:val="0043486B"/>
    <w:rsid w:val="00436B08"/>
    <w:rsid w:val="004371AB"/>
    <w:rsid w:val="004406DA"/>
    <w:rsid w:val="00453ACC"/>
    <w:rsid w:val="0046191E"/>
    <w:rsid w:val="00473472"/>
    <w:rsid w:val="00484C96"/>
    <w:rsid w:val="00490234"/>
    <w:rsid w:val="004A3B18"/>
    <w:rsid w:val="004B0ED4"/>
    <w:rsid w:val="004E3CF4"/>
    <w:rsid w:val="004E5437"/>
    <w:rsid w:val="004E55CB"/>
    <w:rsid w:val="004F365E"/>
    <w:rsid w:val="004F7255"/>
    <w:rsid w:val="00501DBB"/>
    <w:rsid w:val="00501E7A"/>
    <w:rsid w:val="0052081C"/>
    <w:rsid w:val="00531F8B"/>
    <w:rsid w:val="005321C5"/>
    <w:rsid w:val="0053644A"/>
    <w:rsid w:val="00536458"/>
    <w:rsid w:val="005461BF"/>
    <w:rsid w:val="00547182"/>
    <w:rsid w:val="00553E83"/>
    <w:rsid w:val="00563539"/>
    <w:rsid w:val="00571C51"/>
    <w:rsid w:val="00574BB7"/>
    <w:rsid w:val="00577C5E"/>
    <w:rsid w:val="005A5EEC"/>
    <w:rsid w:val="005B43E5"/>
    <w:rsid w:val="005C6539"/>
    <w:rsid w:val="005E22F5"/>
    <w:rsid w:val="005E60E3"/>
    <w:rsid w:val="005E7F37"/>
    <w:rsid w:val="005F0020"/>
    <w:rsid w:val="00615443"/>
    <w:rsid w:val="00624E02"/>
    <w:rsid w:val="00637E4A"/>
    <w:rsid w:val="006607F2"/>
    <w:rsid w:val="00663B3B"/>
    <w:rsid w:val="00665EBB"/>
    <w:rsid w:val="00667B7F"/>
    <w:rsid w:val="006766E2"/>
    <w:rsid w:val="00685F27"/>
    <w:rsid w:val="00696BCF"/>
    <w:rsid w:val="006A6EAC"/>
    <w:rsid w:val="006D1AA9"/>
    <w:rsid w:val="006E3259"/>
    <w:rsid w:val="006F0F95"/>
    <w:rsid w:val="00702970"/>
    <w:rsid w:val="00713FDF"/>
    <w:rsid w:val="00715DDF"/>
    <w:rsid w:val="0071799C"/>
    <w:rsid w:val="00726585"/>
    <w:rsid w:val="00734B44"/>
    <w:rsid w:val="00736B1B"/>
    <w:rsid w:val="00781B45"/>
    <w:rsid w:val="007A5673"/>
    <w:rsid w:val="007A68DF"/>
    <w:rsid w:val="007B10C4"/>
    <w:rsid w:val="007B6B3B"/>
    <w:rsid w:val="007B6BFD"/>
    <w:rsid w:val="007E26B5"/>
    <w:rsid w:val="007E4DF7"/>
    <w:rsid w:val="00812A38"/>
    <w:rsid w:val="008221C7"/>
    <w:rsid w:val="00834719"/>
    <w:rsid w:val="0084576C"/>
    <w:rsid w:val="00847CB2"/>
    <w:rsid w:val="00852FE3"/>
    <w:rsid w:val="008671DB"/>
    <w:rsid w:val="0087034F"/>
    <w:rsid w:val="00876223"/>
    <w:rsid w:val="00876DFA"/>
    <w:rsid w:val="00893F06"/>
    <w:rsid w:val="008C31F6"/>
    <w:rsid w:val="008E7075"/>
    <w:rsid w:val="008F4888"/>
    <w:rsid w:val="00904D22"/>
    <w:rsid w:val="00910E7C"/>
    <w:rsid w:val="00911D8F"/>
    <w:rsid w:val="009216D4"/>
    <w:rsid w:val="0095710A"/>
    <w:rsid w:val="009607B8"/>
    <w:rsid w:val="009650F2"/>
    <w:rsid w:val="009958E0"/>
    <w:rsid w:val="009A495B"/>
    <w:rsid w:val="009A5DAB"/>
    <w:rsid w:val="009A70FE"/>
    <w:rsid w:val="009C5C78"/>
    <w:rsid w:val="009C679D"/>
    <w:rsid w:val="009D508F"/>
    <w:rsid w:val="009E6676"/>
    <w:rsid w:val="009F4392"/>
    <w:rsid w:val="00A01D29"/>
    <w:rsid w:val="00A10841"/>
    <w:rsid w:val="00A404E3"/>
    <w:rsid w:val="00A52418"/>
    <w:rsid w:val="00A64EFD"/>
    <w:rsid w:val="00A65DA5"/>
    <w:rsid w:val="00A70BF1"/>
    <w:rsid w:val="00A72233"/>
    <w:rsid w:val="00A743A5"/>
    <w:rsid w:val="00A775EA"/>
    <w:rsid w:val="00A8156F"/>
    <w:rsid w:val="00A82F78"/>
    <w:rsid w:val="00A90AB4"/>
    <w:rsid w:val="00A94E60"/>
    <w:rsid w:val="00AA5C24"/>
    <w:rsid w:val="00AA5CE5"/>
    <w:rsid w:val="00AA6124"/>
    <w:rsid w:val="00AB0710"/>
    <w:rsid w:val="00AC7DFF"/>
    <w:rsid w:val="00AE5289"/>
    <w:rsid w:val="00AE776C"/>
    <w:rsid w:val="00AF3BB3"/>
    <w:rsid w:val="00B0293B"/>
    <w:rsid w:val="00B16A8D"/>
    <w:rsid w:val="00B260FD"/>
    <w:rsid w:val="00B26C1D"/>
    <w:rsid w:val="00B61533"/>
    <w:rsid w:val="00B63E68"/>
    <w:rsid w:val="00B656D8"/>
    <w:rsid w:val="00B66170"/>
    <w:rsid w:val="00B83F73"/>
    <w:rsid w:val="00B8507D"/>
    <w:rsid w:val="00BA0818"/>
    <w:rsid w:val="00BA20F7"/>
    <w:rsid w:val="00BA5D8A"/>
    <w:rsid w:val="00BB2410"/>
    <w:rsid w:val="00BC43AA"/>
    <w:rsid w:val="00BE32FF"/>
    <w:rsid w:val="00BE780C"/>
    <w:rsid w:val="00C00489"/>
    <w:rsid w:val="00C1630E"/>
    <w:rsid w:val="00C204C1"/>
    <w:rsid w:val="00C24F12"/>
    <w:rsid w:val="00C27F9D"/>
    <w:rsid w:val="00C33652"/>
    <w:rsid w:val="00C47D14"/>
    <w:rsid w:val="00C52061"/>
    <w:rsid w:val="00C52974"/>
    <w:rsid w:val="00C54396"/>
    <w:rsid w:val="00C640AE"/>
    <w:rsid w:val="00C70011"/>
    <w:rsid w:val="00C77DCE"/>
    <w:rsid w:val="00C80A48"/>
    <w:rsid w:val="00C8572F"/>
    <w:rsid w:val="00C949E3"/>
    <w:rsid w:val="00C96326"/>
    <w:rsid w:val="00C9689C"/>
    <w:rsid w:val="00CA302F"/>
    <w:rsid w:val="00CB30AF"/>
    <w:rsid w:val="00CD5388"/>
    <w:rsid w:val="00CD7723"/>
    <w:rsid w:val="00CE0AD1"/>
    <w:rsid w:val="00CF0E3A"/>
    <w:rsid w:val="00CF3748"/>
    <w:rsid w:val="00CF61A2"/>
    <w:rsid w:val="00D1254A"/>
    <w:rsid w:val="00D15D63"/>
    <w:rsid w:val="00D26A27"/>
    <w:rsid w:val="00D33088"/>
    <w:rsid w:val="00D36A1E"/>
    <w:rsid w:val="00D50FD1"/>
    <w:rsid w:val="00D52902"/>
    <w:rsid w:val="00D61522"/>
    <w:rsid w:val="00D7130F"/>
    <w:rsid w:val="00D74F84"/>
    <w:rsid w:val="00D9428F"/>
    <w:rsid w:val="00D97FCB"/>
    <w:rsid w:val="00DA451D"/>
    <w:rsid w:val="00DB6AC2"/>
    <w:rsid w:val="00DC6F09"/>
    <w:rsid w:val="00DD234D"/>
    <w:rsid w:val="00DE0A54"/>
    <w:rsid w:val="00DE7EED"/>
    <w:rsid w:val="00DF7F86"/>
    <w:rsid w:val="00E038CD"/>
    <w:rsid w:val="00E039A5"/>
    <w:rsid w:val="00E05941"/>
    <w:rsid w:val="00E23774"/>
    <w:rsid w:val="00E24B6C"/>
    <w:rsid w:val="00E26D0A"/>
    <w:rsid w:val="00E3139D"/>
    <w:rsid w:val="00E40983"/>
    <w:rsid w:val="00E744D4"/>
    <w:rsid w:val="00E842A7"/>
    <w:rsid w:val="00E8600D"/>
    <w:rsid w:val="00E86223"/>
    <w:rsid w:val="00E96A76"/>
    <w:rsid w:val="00E96C79"/>
    <w:rsid w:val="00EA1219"/>
    <w:rsid w:val="00EA2E36"/>
    <w:rsid w:val="00EB76B2"/>
    <w:rsid w:val="00EC036F"/>
    <w:rsid w:val="00EC60C4"/>
    <w:rsid w:val="00ED0851"/>
    <w:rsid w:val="00EE1B61"/>
    <w:rsid w:val="00EF6217"/>
    <w:rsid w:val="00F0272F"/>
    <w:rsid w:val="00F1108B"/>
    <w:rsid w:val="00F12FC3"/>
    <w:rsid w:val="00F14ED0"/>
    <w:rsid w:val="00F2382E"/>
    <w:rsid w:val="00F25C3D"/>
    <w:rsid w:val="00F25DCB"/>
    <w:rsid w:val="00F4523F"/>
    <w:rsid w:val="00F4596E"/>
    <w:rsid w:val="00F71824"/>
    <w:rsid w:val="00F8428A"/>
    <w:rsid w:val="00F84706"/>
    <w:rsid w:val="00F94F2B"/>
    <w:rsid w:val="00FB17BA"/>
    <w:rsid w:val="00FF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808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character" w:styleId="Nierozpoznanawzmianka">
    <w:name w:val="Unresolved Mention"/>
    <w:basedOn w:val="Domylnaczcionkaakapitu"/>
    <w:uiPriority w:val="99"/>
    <w:rsid w:val="00E842A7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2418"/>
    <w:rPr>
      <w:vertAlign w:val="superscript"/>
    </w:rPr>
  </w:style>
  <w:style w:type="character" w:customStyle="1" w:styleId="osrxxb">
    <w:name w:val="osrxxb"/>
    <w:basedOn w:val="Domylnaczcionkaakapitu"/>
    <w:rsid w:val="00D15D63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808F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zegladarka-ekw.ms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gojxg43dqltqmfyc4njqgizdqobrgu&amp;refSource=hyp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4133</Words>
  <Characters>24802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4</cp:revision>
  <cp:lastPrinted>2026-01-16T11:59:00Z</cp:lastPrinted>
  <dcterms:created xsi:type="dcterms:W3CDTF">2026-01-23T13:00:00Z</dcterms:created>
  <dcterms:modified xsi:type="dcterms:W3CDTF">2026-01-23T13:03:00Z</dcterms:modified>
</cp:coreProperties>
</file>