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50" w:rsidRDefault="001A5B50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>
        <w:rPr>
          <w:rStyle w:val="FontStyle38"/>
        </w:rPr>
        <w:t>Z</w:t>
      </w:r>
      <w:r w:rsidR="000C612D">
        <w:rPr>
          <w:rStyle w:val="FontStyle38"/>
        </w:rPr>
        <w:t>ałącznik nr 1 – działalność Krajowego Mechanizmu Prewencji</w:t>
      </w:r>
      <w:bookmarkStart w:id="0" w:name="_GoBack"/>
      <w:bookmarkEnd w:id="0"/>
    </w:p>
    <w:p w:rsidR="001A5B50" w:rsidRDefault="001A5B50" w:rsidP="001A5B50">
      <w:pPr>
        <w:pStyle w:val="Style4"/>
        <w:widowControl/>
        <w:spacing w:line="360" w:lineRule="auto"/>
        <w:ind w:firstLine="703"/>
        <w:rPr>
          <w:rStyle w:val="FontStyle38"/>
        </w:rPr>
      </w:pPr>
    </w:p>
    <w:p w:rsidR="00710B25" w:rsidRPr="001A5B50" w:rsidRDefault="00710B25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 w:rsidRPr="001A5B50">
        <w:rPr>
          <w:rStyle w:val="FontStyle38"/>
        </w:rPr>
        <w:t>W latach 2014-2017:</w:t>
      </w:r>
    </w:p>
    <w:p w:rsidR="00710B25" w:rsidRPr="001A5B50" w:rsidRDefault="00710B25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 w:rsidRPr="001A5B50">
        <w:rPr>
          <w:rStyle w:val="FontStyle38"/>
        </w:rPr>
        <w:t>- liczba nowych spraw podejmowanych w Zespole KMP</w:t>
      </w:r>
      <w:r w:rsidRPr="001A5B50">
        <w:rPr>
          <w:rStyle w:val="FontStyle38"/>
          <w:vertAlign w:val="superscript"/>
        </w:rPr>
        <w:footnoteReference w:id="1"/>
      </w:r>
      <w:r w:rsidRPr="001A5B50">
        <w:rPr>
          <w:rStyle w:val="FontStyle38"/>
        </w:rPr>
        <w:t xml:space="preserve"> wynosiła 425 (średnio rocznie ok. 126 spraw). Każdego roku zakończonych zostało około 90 spraw, z czego większość z nich zakończono pozytywnie</w:t>
      </w:r>
      <w:r w:rsidRPr="001A5B50">
        <w:rPr>
          <w:sz w:val="22"/>
          <w:szCs w:val="22"/>
        </w:rPr>
        <w:t>.</w:t>
      </w:r>
    </w:p>
    <w:p w:rsidR="00710B25" w:rsidRPr="001A5B50" w:rsidRDefault="00710B25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 w:rsidRPr="001A5B50">
        <w:rPr>
          <w:rStyle w:val="FontStyle38"/>
        </w:rPr>
        <w:t>- przedstawiciele KMP przeprowadzili 370 wizytacji miejsc detencji, tj. domów pomocy społecznej, szpitali psychiatrycznych, zakładów poprawczych i schronisk dla nieletnich, młodzieżowych ośrodków wychowawczych, zakładów karnych i aresztów śledczych, pomieszczeń dla osób zatrzymanych w jednostkach Policji, Straży Granicznej, Żandarmerii Wojskowej, policyjnych izb dziecka, izb wytrzeźwień, placówek całodobowej opieki, zakładów opiekuńczo-lecznicze, ośrodków dla cudzoziemców</w:t>
      </w:r>
      <w:r w:rsidRPr="001A5B50">
        <w:rPr>
          <w:rStyle w:val="Odwoanieprzypisudolnego"/>
          <w:sz w:val="22"/>
          <w:szCs w:val="22"/>
        </w:rPr>
        <w:footnoteReference w:id="2"/>
      </w:r>
      <w:r w:rsidRPr="001A5B50">
        <w:rPr>
          <w:rStyle w:val="FontStyle38"/>
        </w:rPr>
        <w:t>;</w:t>
      </w:r>
    </w:p>
    <w:p w:rsidR="00710B25" w:rsidRPr="001A5B50" w:rsidRDefault="00710B25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 w:rsidRPr="001A5B50">
        <w:rPr>
          <w:rStyle w:val="FontStyle38"/>
        </w:rPr>
        <w:t>- KMP skierował 44 wystąpienia generalne w 32 sprawach, które w większości były efektem dostrzeżonych w trakcie wizytacji prewencyjnych nieprawidłowości i luk prawnych;</w:t>
      </w:r>
    </w:p>
    <w:p w:rsidR="00710B25" w:rsidRPr="001A5B50" w:rsidRDefault="00710B25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 w:rsidRPr="001A5B50">
        <w:rPr>
          <w:rStyle w:val="FontStyle38"/>
        </w:rPr>
        <w:t>- w wyniku działalności KMP, Rzecznik Praw Obywatelskich skierował 2 wnioski do Trybunału Konstytucyjnego w następujących sprawach: - wniosek do Trybunału Konstytucyjnego z dnia 3.07.2014 r. dotyczył częstotliwości kąpieli mężczyzn przebywających w zakładach karnych i aresztach śledczych oraz z dnia 21.01.2016 r. w sprawie kontroli osobistych skazanych przebywających w jednostkach penitencjarnych;</w:t>
      </w:r>
    </w:p>
    <w:p w:rsidR="00710B25" w:rsidRPr="001A5B50" w:rsidRDefault="00710B25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 w:rsidRPr="001A5B50">
        <w:rPr>
          <w:rStyle w:val="FontStyle38"/>
        </w:rPr>
        <w:t>- do KMP wpłynęło łącznie 25 aktów prawnych do zaopiniowania, w tym do 19 z nich została przedstawiona opinia z uwagami w zakresie ochrony praw osób pozbawionych wolności, natomiast w przypadku 6 aktów prawnych RPO nie zgłosił uwag;</w:t>
      </w:r>
    </w:p>
    <w:p w:rsidR="00710B25" w:rsidRPr="001A5B50" w:rsidRDefault="00710B25" w:rsidP="001A5B50">
      <w:pPr>
        <w:pStyle w:val="Style4"/>
        <w:widowControl/>
        <w:spacing w:line="360" w:lineRule="auto"/>
        <w:ind w:firstLine="703"/>
        <w:rPr>
          <w:rStyle w:val="FontStyle38"/>
        </w:rPr>
      </w:pPr>
      <w:r w:rsidRPr="001A5B50">
        <w:rPr>
          <w:rStyle w:val="FontStyle38"/>
        </w:rPr>
        <w:t xml:space="preserve">- KMP opracował 3 raporty tematyczne. Dotyczyły one oddziałów terapeutycznych dla osób z niepsychotycznymi zaburzeniami psychicznymi lub upośledzonych umysłowo w jednostkach penitencjarnych oraz oddziałów dla tymczasowo aresztowanych (2014 r.), zakładów poprawczych i schronisk dla nieletnich (2016 r.) oraz sytuacji mieszkańców w domach pomocy społecznej (2017 r.). </w:t>
      </w:r>
    </w:p>
    <w:p w:rsidR="004D7759" w:rsidRPr="001A5B50" w:rsidRDefault="004D7759" w:rsidP="001A5B50">
      <w:pPr>
        <w:spacing w:after="0" w:line="360" w:lineRule="auto"/>
      </w:pPr>
    </w:p>
    <w:sectPr w:rsidR="004D7759" w:rsidRPr="001A5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62" w:rsidRDefault="003E6662" w:rsidP="00710B25">
      <w:pPr>
        <w:spacing w:after="0" w:line="240" w:lineRule="auto"/>
      </w:pPr>
      <w:r>
        <w:separator/>
      </w:r>
    </w:p>
  </w:endnote>
  <w:endnote w:type="continuationSeparator" w:id="0">
    <w:p w:rsidR="003E6662" w:rsidRDefault="003E6662" w:rsidP="0071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62" w:rsidRDefault="003E6662" w:rsidP="00710B25">
      <w:pPr>
        <w:spacing w:after="0" w:line="240" w:lineRule="auto"/>
      </w:pPr>
      <w:r>
        <w:separator/>
      </w:r>
    </w:p>
  </w:footnote>
  <w:footnote w:type="continuationSeparator" w:id="0">
    <w:p w:rsidR="003E6662" w:rsidRDefault="003E6662" w:rsidP="00710B25">
      <w:pPr>
        <w:spacing w:after="0" w:line="240" w:lineRule="auto"/>
      </w:pPr>
      <w:r>
        <w:continuationSeparator/>
      </w:r>
    </w:p>
  </w:footnote>
  <w:footnote w:id="1">
    <w:p w:rsidR="00710B25" w:rsidRPr="00BC5344" w:rsidRDefault="00710B25" w:rsidP="00710B25">
      <w:pPr>
        <w:pStyle w:val="Style23"/>
        <w:widowControl/>
        <w:spacing w:line="240" w:lineRule="auto"/>
        <w:rPr>
          <w:rStyle w:val="FontStyle42"/>
          <w:b w:val="0"/>
          <w:sz w:val="16"/>
          <w:szCs w:val="16"/>
        </w:rPr>
      </w:pPr>
      <w:r>
        <w:rPr>
          <w:rStyle w:val="FontStyle42"/>
          <w:vertAlign w:val="superscript"/>
        </w:rPr>
        <w:footnoteRef/>
      </w:r>
      <w:r>
        <w:rPr>
          <w:rStyle w:val="FontStyle42"/>
        </w:rPr>
        <w:t xml:space="preserve"> </w:t>
      </w:r>
      <w:r w:rsidRPr="00BC5344">
        <w:rPr>
          <w:rStyle w:val="FontStyle42"/>
          <w:b w:val="0"/>
          <w:sz w:val="16"/>
          <w:szCs w:val="16"/>
        </w:rPr>
        <w:t>Podjęcie nowej sprawy w przypadku działalności KMP oznacza w większości przypadków wniosek o przeprowadzenie wizytacji w miejscu detencji. Inne nowe sprawy to np.: wnioski obywateli o przeprowadzenie kontroli KMP w miejscach detencji, pisma z prośbą o wyjaśnienie zakresu kompetencji KMP oraz skargi na brak realizacji zaleceń KMP przez dyrektorów wizytowanych jednostek, etc.</w:t>
      </w:r>
    </w:p>
  </w:footnote>
  <w:footnote w:id="2">
    <w:p w:rsidR="00710B25" w:rsidRPr="00A2788A" w:rsidRDefault="00710B25" w:rsidP="00710B25">
      <w:pPr>
        <w:pStyle w:val="Style4"/>
        <w:widowControl/>
        <w:spacing w:line="240" w:lineRule="auto"/>
        <w:ind w:firstLine="0"/>
        <w:rPr>
          <w:rStyle w:val="FontStyle38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788A">
        <w:rPr>
          <w:rStyle w:val="FontStyle38"/>
          <w:sz w:val="16"/>
          <w:szCs w:val="16"/>
        </w:rPr>
        <w:t>W latach 2014-2017 najwięcej wizytacji przeprowadzono w domach pomocy społecznej (100), jednostkach penitencjarnych (63) oraz pomieszczeniach dla osób zatrzymanych lub doprowadzonych do wytrzeźwienia w jednostkach Policji (41). Od 2017 r. KMP poszerzył zakres przedmiotowy swoich wizytacji prewencyjnych o kolejne miejsca - placówki zapewniające całodobową opiekę osobom niepełnosprawnym, przewlekle chorym lub osobom w podeszłym wieku prowadzone przez podmioty prywatne jako działalność gospodarczą oraz zakłady opiekuńczo-lecznicze, podlegające pod resort zdrowia, w których przebywają osoby przewlekle chore.</w:t>
      </w:r>
    </w:p>
    <w:p w:rsidR="00710B25" w:rsidRDefault="00710B25" w:rsidP="00710B25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25"/>
    <w:rsid w:val="000C612D"/>
    <w:rsid w:val="001A5B50"/>
    <w:rsid w:val="0025791B"/>
    <w:rsid w:val="003E6662"/>
    <w:rsid w:val="004D7759"/>
    <w:rsid w:val="006A0067"/>
    <w:rsid w:val="00710B25"/>
    <w:rsid w:val="00B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Footnote Refernece,BVI fnr,Footnote symbol,SUPERS,(Footnote Reference),Footnote,Voetnootverwijzing,Times 10 Point,Exposant 3 Point,Footnote reference number,note TESI,EN Footnote Reference"/>
    <w:rsid w:val="00710B25"/>
    <w:rPr>
      <w:vertAlign w:val="superscript"/>
    </w:rPr>
  </w:style>
  <w:style w:type="paragraph" w:styleId="Tekstprzypisudolnego">
    <w:name w:val="footnote text"/>
    <w:aliases w:val="Footnote Text1,footnotes,Podrozdział,Tekst przypisu,stile 1,Tekst przypisu dolnego Znak Znak Znak Znak Znak Znak,FOOTNOTES,Podrozdzia3,-E Fuﬂnotentext,Fuﬂnotentext Ursprung,Fußnotentext Ursprung,-E Fußnotentext,Fußnote"/>
    <w:basedOn w:val="Normalny"/>
    <w:link w:val="TekstprzypisudolnegoZnak"/>
    <w:rsid w:val="00710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Text1 Znak,footnotes Znak,Podrozdział Znak,Tekst przypisu Znak,stile 1 Znak,Tekst przypisu dolnego Znak Znak Znak Znak Znak Znak Znak,FOOTNOTES Znak,Podrozdzia3 Znak,-E Fuﬂnotentext Znak,Fuﬂnotentext Ursprung Znak"/>
    <w:basedOn w:val="Domylnaczcionkaakapitu"/>
    <w:link w:val="Tekstprzypisudolnego"/>
    <w:rsid w:val="00710B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4"/>
    <w:basedOn w:val="Normalny"/>
    <w:uiPriority w:val="99"/>
    <w:rsid w:val="00710B25"/>
    <w:pPr>
      <w:widowControl w:val="0"/>
      <w:autoSpaceDE w:val="0"/>
      <w:autoSpaceDN w:val="0"/>
      <w:adjustRightInd w:val="0"/>
      <w:spacing w:after="0" w:line="4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710B25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710B2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710B2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Footnote Refernece,BVI fnr,Footnote symbol,SUPERS,(Footnote Reference),Footnote,Voetnootverwijzing,Times 10 Point,Exposant 3 Point,Footnote reference number,note TESI,EN Footnote Reference"/>
    <w:rsid w:val="00710B25"/>
    <w:rPr>
      <w:vertAlign w:val="superscript"/>
    </w:rPr>
  </w:style>
  <w:style w:type="paragraph" w:styleId="Tekstprzypisudolnego">
    <w:name w:val="footnote text"/>
    <w:aliases w:val="Footnote Text1,footnotes,Podrozdział,Tekst przypisu,stile 1,Tekst przypisu dolnego Znak Znak Znak Znak Znak Znak,FOOTNOTES,Podrozdzia3,-E Fuﬂnotentext,Fuﬂnotentext Ursprung,Fußnotentext Ursprung,-E Fußnotentext,Fußnote"/>
    <w:basedOn w:val="Normalny"/>
    <w:link w:val="TekstprzypisudolnegoZnak"/>
    <w:rsid w:val="00710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Text1 Znak,footnotes Znak,Podrozdział Znak,Tekst przypisu Znak,stile 1 Znak,Tekst przypisu dolnego Znak Znak Znak Znak Znak Znak Znak,FOOTNOTES Znak,Podrozdzia3 Znak,-E Fuﬂnotentext Znak,Fuﬂnotentext Ursprung Znak"/>
    <w:basedOn w:val="Domylnaczcionkaakapitu"/>
    <w:link w:val="Tekstprzypisudolnego"/>
    <w:rsid w:val="00710B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4"/>
    <w:basedOn w:val="Normalny"/>
    <w:uiPriority w:val="99"/>
    <w:rsid w:val="00710B25"/>
    <w:pPr>
      <w:widowControl w:val="0"/>
      <w:autoSpaceDE w:val="0"/>
      <w:autoSpaceDN w:val="0"/>
      <w:adjustRightInd w:val="0"/>
      <w:spacing w:after="0" w:line="42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710B25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710B2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710B2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Paweł  (DWMPC)</dc:creator>
  <cp:lastModifiedBy>Mariola Grochulska</cp:lastModifiedBy>
  <cp:revision>2</cp:revision>
  <dcterms:created xsi:type="dcterms:W3CDTF">2017-09-11T11:48:00Z</dcterms:created>
  <dcterms:modified xsi:type="dcterms:W3CDTF">2017-09-11T11:48:00Z</dcterms:modified>
</cp:coreProperties>
</file>