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52941" w14:textId="77777777" w:rsidR="00D97F1F" w:rsidRPr="003C3487" w:rsidRDefault="00CE72D5" w:rsidP="004F67D3">
      <w:pPr>
        <w:autoSpaceDE w:val="0"/>
        <w:autoSpaceDN w:val="0"/>
        <w:adjustRightInd w:val="0"/>
        <w:spacing w:line="276" w:lineRule="auto"/>
        <w:rPr>
          <w:sz w:val="22"/>
          <w:szCs w:val="22"/>
        </w:rPr>
      </w:pPr>
      <w:r w:rsidRPr="003C3487">
        <w:rPr>
          <w:sz w:val="22"/>
          <w:szCs w:val="22"/>
        </w:rPr>
        <w:t>Załącznik B.35.</w:t>
      </w:r>
    </w:p>
    <w:p w14:paraId="435C6AC5" w14:textId="77777777" w:rsidR="00CE72D5" w:rsidRPr="003C3487" w:rsidRDefault="00CE72D5" w:rsidP="004F67D3">
      <w:pPr>
        <w:autoSpaceDE w:val="0"/>
        <w:autoSpaceDN w:val="0"/>
        <w:adjustRightInd w:val="0"/>
        <w:spacing w:line="276" w:lineRule="auto"/>
        <w:rPr>
          <w:sz w:val="22"/>
          <w:szCs w:val="22"/>
        </w:rPr>
      </w:pPr>
    </w:p>
    <w:p w14:paraId="4B78DE55" w14:textId="77777777" w:rsidR="006B49F4" w:rsidRPr="003C3487" w:rsidRDefault="00BF5F9F" w:rsidP="004A5BC0">
      <w:pPr>
        <w:spacing w:after="240" w:line="276" w:lineRule="auto"/>
        <w:rPr>
          <w:sz w:val="28"/>
          <w:szCs w:val="28"/>
        </w:rPr>
      </w:pPr>
      <w:r w:rsidRPr="003C3487">
        <w:rPr>
          <w:b/>
          <w:sz w:val="28"/>
          <w:szCs w:val="28"/>
        </w:rPr>
        <w:t>LECZENIE ŁUSZCZYCOWEGO ZAPALENIA STAWÓW</w:t>
      </w:r>
      <w:r w:rsidR="008C05D5" w:rsidRPr="003C3487">
        <w:rPr>
          <w:b/>
          <w:sz w:val="28"/>
          <w:szCs w:val="28"/>
        </w:rPr>
        <w:t xml:space="preserve"> O PRZEBIEGU AGRESYWNYM (ŁZS) </w:t>
      </w:r>
      <w:r w:rsidRPr="003C3487">
        <w:rPr>
          <w:b/>
          <w:sz w:val="28"/>
          <w:szCs w:val="28"/>
        </w:rPr>
        <w:t>(ICD-10  L 40.5, M 07.1, M 07.2, M 07.3</w:t>
      </w:r>
      <w:r w:rsidRPr="003C3487">
        <w:rPr>
          <w:sz w:val="28"/>
          <w:szCs w:val="28"/>
        </w:rPr>
        <w:t>)</w:t>
      </w:r>
      <w:r w:rsidR="006B49F4" w:rsidRPr="003C3487">
        <w:rPr>
          <w:sz w:val="28"/>
          <w:szCs w:val="28"/>
        </w:rPr>
        <w:tab/>
      </w:r>
      <w:r w:rsidR="006B49F4" w:rsidRPr="003C3487">
        <w:rPr>
          <w:sz w:val="28"/>
          <w:szCs w:val="28"/>
        </w:rPr>
        <w:tab/>
      </w:r>
      <w:r w:rsidR="006B49F4" w:rsidRPr="003C3487">
        <w:rPr>
          <w:sz w:val="28"/>
          <w:szCs w:val="28"/>
        </w:rPr>
        <w:tab/>
      </w:r>
      <w:r w:rsidR="006B49F4" w:rsidRPr="003C3487">
        <w:rPr>
          <w:sz w:val="28"/>
          <w:szCs w:val="28"/>
        </w:rPr>
        <w:tab/>
      </w:r>
      <w:r w:rsidR="006B49F4" w:rsidRPr="003C3487">
        <w:rPr>
          <w:sz w:val="28"/>
          <w:szCs w:val="28"/>
        </w:rPr>
        <w:tab/>
      </w:r>
      <w:r w:rsidR="006B49F4" w:rsidRPr="003C3487">
        <w:rPr>
          <w:sz w:val="28"/>
          <w:szCs w:val="28"/>
        </w:rPr>
        <w:tab/>
      </w:r>
      <w:r w:rsidR="006B49F4" w:rsidRPr="003C3487">
        <w:rPr>
          <w:sz w:val="28"/>
          <w:szCs w:val="28"/>
        </w:rPr>
        <w:tab/>
      </w:r>
      <w:r w:rsidR="006B49F4" w:rsidRPr="003C3487">
        <w:rPr>
          <w:sz w:val="28"/>
          <w:szCs w:val="28"/>
        </w:rPr>
        <w:tab/>
      </w:r>
      <w:r w:rsidR="006B49F4" w:rsidRPr="003C3487">
        <w:rPr>
          <w:sz w:val="28"/>
          <w:szCs w:val="28"/>
        </w:rPr>
        <w:tab/>
      </w:r>
      <w:r w:rsidR="006B49F4" w:rsidRPr="003C3487">
        <w:rPr>
          <w:sz w:val="28"/>
          <w:szCs w:val="28"/>
        </w:rPr>
        <w:tab/>
      </w:r>
      <w:r w:rsidR="006B49F4" w:rsidRPr="003C3487">
        <w:rPr>
          <w:sz w:val="28"/>
          <w:szCs w:val="28"/>
        </w:rPr>
        <w:tab/>
      </w:r>
      <w:r w:rsidR="006B49F4" w:rsidRPr="003C3487">
        <w:rPr>
          <w:sz w:val="28"/>
          <w:szCs w:val="28"/>
        </w:rPr>
        <w:tab/>
      </w:r>
      <w:r w:rsidR="006B49F4" w:rsidRPr="003C3487">
        <w:rPr>
          <w:sz w:val="28"/>
          <w:szCs w:val="28"/>
        </w:rPr>
        <w:tab/>
      </w:r>
      <w:r w:rsidR="006B49F4" w:rsidRPr="003C3487">
        <w:rPr>
          <w:sz w:val="28"/>
          <w:szCs w:val="28"/>
        </w:rPr>
        <w:tab/>
      </w:r>
      <w:r w:rsidR="006B49F4" w:rsidRPr="003C3487">
        <w:rPr>
          <w:sz w:val="28"/>
          <w:szCs w:val="28"/>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8"/>
        <w:gridCol w:w="4453"/>
        <w:gridCol w:w="5127"/>
      </w:tblGrid>
      <w:tr w:rsidR="003C3487" w:rsidRPr="003C3487" w14:paraId="61785A03" w14:textId="77777777" w:rsidTr="00821F95">
        <w:trPr>
          <w:trHeight w:val="513"/>
        </w:trPr>
        <w:tc>
          <w:tcPr>
            <w:tcW w:w="5000" w:type="pct"/>
            <w:gridSpan w:val="3"/>
            <w:vAlign w:val="center"/>
          </w:tcPr>
          <w:p w14:paraId="76F649C1" w14:textId="77777777" w:rsidR="002279F5" w:rsidRPr="003C3487" w:rsidRDefault="002279F5" w:rsidP="004F67D3">
            <w:pPr>
              <w:spacing w:line="276" w:lineRule="auto"/>
              <w:jc w:val="center"/>
              <w:rPr>
                <w:b/>
                <w:sz w:val="20"/>
                <w:szCs w:val="20"/>
              </w:rPr>
            </w:pPr>
            <w:r w:rsidRPr="003C3487">
              <w:rPr>
                <w:b/>
                <w:sz w:val="20"/>
                <w:szCs w:val="20"/>
              </w:rPr>
              <w:t>ZAKRES ŚWIADCZENIA GWARANTOWANEGO</w:t>
            </w:r>
          </w:p>
        </w:tc>
      </w:tr>
      <w:tr w:rsidR="003C3487" w:rsidRPr="003C3487" w14:paraId="067AC526" w14:textId="77777777" w:rsidTr="00F93882">
        <w:tc>
          <w:tcPr>
            <w:tcW w:w="1887" w:type="pct"/>
            <w:vAlign w:val="center"/>
          </w:tcPr>
          <w:p w14:paraId="61220A51" w14:textId="77777777" w:rsidR="002279F5" w:rsidRPr="003C3487" w:rsidRDefault="002279F5" w:rsidP="004F67D3">
            <w:pPr>
              <w:spacing w:line="276" w:lineRule="auto"/>
              <w:jc w:val="center"/>
              <w:rPr>
                <w:b/>
                <w:sz w:val="20"/>
                <w:szCs w:val="20"/>
              </w:rPr>
            </w:pPr>
            <w:r w:rsidRPr="003C3487">
              <w:rPr>
                <w:b/>
                <w:sz w:val="20"/>
                <w:szCs w:val="20"/>
              </w:rPr>
              <w:t>ŚWIADCZENIOBIORCY</w:t>
            </w:r>
          </w:p>
        </w:tc>
        <w:tc>
          <w:tcPr>
            <w:tcW w:w="1447" w:type="pct"/>
            <w:vAlign w:val="center"/>
          </w:tcPr>
          <w:p w14:paraId="71F2AE79" w14:textId="77777777" w:rsidR="002279F5" w:rsidRPr="003C3487" w:rsidRDefault="002279F5" w:rsidP="004F67D3">
            <w:pPr>
              <w:spacing w:line="276" w:lineRule="auto"/>
              <w:jc w:val="center"/>
              <w:rPr>
                <w:b/>
                <w:sz w:val="20"/>
                <w:szCs w:val="20"/>
              </w:rPr>
            </w:pPr>
            <w:r w:rsidRPr="003C3487">
              <w:rPr>
                <w:b/>
                <w:sz w:val="20"/>
                <w:szCs w:val="20"/>
              </w:rPr>
              <w:t xml:space="preserve">SCHEMAT DAWKOWANIA LEKÓW </w:t>
            </w:r>
            <w:r w:rsidRPr="003C3487">
              <w:rPr>
                <w:b/>
                <w:sz w:val="20"/>
                <w:szCs w:val="20"/>
              </w:rPr>
              <w:br/>
              <w:t>W PROGRAMIE</w:t>
            </w:r>
          </w:p>
        </w:tc>
        <w:tc>
          <w:tcPr>
            <w:tcW w:w="1666" w:type="pct"/>
            <w:tcBorders>
              <w:right w:val="single" w:sz="4" w:space="0" w:color="auto"/>
            </w:tcBorders>
            <w:vAlign w:val="center"/>
          </w:tcPr>
          <w:p w14:paraId="061C4B20" w14:textId="77777777" w:rsidR="002279F5" w:rsidRPr="003C3487" w:rsidRDefault="002279F5" w:rsidP="004F67D3">
            <w:pPr>
              <w:spacing w:line="276" w:lineRule="auto"/>
              <w:jc w:val="center"/>
              <w:rPr>
                <w:b/>
                <w:sz w:val="20"/>
                <w:szCs w:val="20"/>
              </w:rPr>
            </w:pPr>
            <w:r w:rsidRPr="003C3487">
              <w:rPr>
                <w:b/>
                <w:sz w:val="20"/>
                <w:szCs w:val="20"/>
              </w:rPr>
              <w:t>BADANIA DIAGNOSTYCZNE WYKONYWANE W RAMACH PROGRAMU</w:t>
            </w:r>
          </w:p>
        </w:tc>
      </w:tr>
      <w:tr w:rsidR="002279F5" w:rsidRPr="003C3487" w14:paraId="7D16DA70" w14:textId="77777777" w:rsidTr="00F93882">
        <w:tc>
          <w:tcPr>
            <w:tcW w:w="1887" w:type="pct"/>
          </w:tcPr>
          <w:p w14:paraId="5FCDE302" w14:textId="7BD127B6" w:rsidR="002279F5" w:rsidRPr="00F93882" w:rsidRDefault="002279F5" w:rsidP="00F93882">
            <w:pPr>
              <w:pStyle w:val="Akapitzlist"/>
              <w:numPr>
                <w:ilvl w:val="0"/>
                <w:numId w:val="6"/>
              </w:numPr>
              <w:tabs>
                <w:tab w:val="left" w:pos="0"/>
              </w:tabs>
              <w:spacing w:line="276" w:lineRule="auto"/>
              <w:ind w:left="357" w:hanging="357"/>
              <w:rPr>
                <w:b/>
                <w:sz w:val="20"/>
                <w:szCs w:val="20"/>
              </w:rPr>
            </w:pPr>
            <w:r w:rsidRPr="00F93882">
              <w:rPr>
                <w:b/>
                <w:sz w:val="20"/>
                <w:szCs w:val="20"/>
              </w:rPr>
              <w:t>Kryteria kwalifikacji</w:t>
            </w:r>
            <w:r w:rsidR="00486104" w:rsidRPr="00F93882">
              <w:rPr>
                <w:b/>
                <w:sz w:val="20"/>
                <w:szCs w:val="20"/>
              </w:rPr>
              <w:t>:</w:t>
            </w:r>
            <w:r w:rsidRPr="00F93882">
              <w:rPr>
                <w:b/>
                <w:sz w:val="20"/>
                <w:szCs w:val="20"/>
              </w:rPr>
              <w:t xml:space="preserve"> </w:t>
            </w:r>
          </w:p>
          <w:p w14:paraId="7C550C9B" w14:textId="75C5186D" w:rsidR="002279F5" w:rsidRPr="00F93882" w:rsidRDefault="007155CC" w:rsidP="00F93882">
            <w:pPr>
              <w:pStyle w:val="Default"/>
              <w:numPr>
                <w:ilvl w:val="0"/>
                <w:numId w:val="7"/>
              </w:numPr>
              <w:spacing w:line="276" w:lineRule="auto"/>
              <w:ind w:left="357" w:hanging="357"/>
              <w:rPr>
                <w:rFonts w:ascii="Times New Roman" w:hAnsi="Times New Roman" w:cs="Times New Roman"/>
                <w:color w:val="auto"/>
                <w:sz w:val="20"/>
                <w:szCs w:val="20"/>
              </w:rPr>
            </w:pPr>
            <w:r w:rsidRPr="00F93882">
              <w:rPr>
                <w:rFonts w:ascii="Times New Roman" w:hAnsi="Times New Roman" w:cs="Times New Roman"/>
                <w:color w:val="auto"/>
                <w:sz w:val="20"/>
                <w:szCs w:val="20"/>
              </w:rPr>
              <w:t>Podczas pierwszej kwalifikacji do programu oraz gdy jest to wskazane w opisie programu, udział pacjenta w programie wymaga uzyskania akceptacji za pośrednictwem aplikacji SMPT przez Zespół Koordynacyjny do Spraw Leczenia Biologicznego w Chorobach Reumatycznych, powoływany przez Prezesa Narodowego Funduszu Zdrowia. Do czasu aktualizacji aplikacji SMPT, dopuszcza się udział pacjenta w programie na podstawie akceptacji  Zespołu Koordynacyjnego do Spraw Leczenia Biologicznego w Chorobach Reumatycznych, uzyskanej w inny sposób niż za pośrednictwem aplikacji SMPT. Ponadto, gdy jest to zaznaczone w opisie programu, udział pacjenta może wymagać uzyskania indywidualnej zgody Zespołu, o którym mowa powyżej</w:t>
            </w:r>
            <w:r w:rsidR="00FD67C7" w:rsidRPr="00F93882">
              <w:rPr>
                <w:rFonts w:ascii="Times New Roman" w:hAnsi="Times New Roman" w:cs="Times New Roman"/>
                <w:color w:val="auto"/>
                <w:sz w:val="20"/>
                <w:szCs w:val="20"/>
              </w:rPr>
              <w:t>.</w:t>
            </w:r>
          </w:p>
          <w:p w14:paraId="65D19C5A" w14:textId="77777777" w:rsidR="002279F5" w:rsidRPr="00F93882" w:rsidRDefault="002279F5" w:rsidP="00F93882">
            <w:pPr>
              <w:pStyle w:val="Akapitzlist"/>
              <w:numPr>
                <w:ilvl w:val="0"/>
                <w:numId w:val="7"/>
              </w:numPr>
              <w:tabs>
                <w:tab w:val="left" w:pos="2670"/>
              </w:tabs>
              <w:autoSpaceDE w:val="0"/>
              <w:autoSpaceDN w:val="0"/>
              <w:adjustRightInd w:val="0"/>
              <w:spacing w:line="276" w:lineRule="auto"/>
              <w:ind w:left="357" w:hanging="357"/>
              <w:rPr>
                <w:sz w:val="20"/>
                <w:szCs w:val="20"/>
              </w:rPr>
            </w:pPr>
            <w:r w:rsidRPr="00F93882">
              <w:rPr>
                <w:sz w:val="20"/>
                <w:szCs w:val="20"/>
              </w:rPr>
              <w:t>Do programu kwalifikuje się</w:t>
            </w:r>
            <w:r w:rsidR="00486104" w:rsidRPr="00F93882">
              <w:rPr>
                <w:sz w:val="20"/>
                <w:szCs w:val="20"/>
              </w:rPr>
              <w:t xml:space="preserve"> świadczeniobiorców spełniających wszystkie poniższe kryteria</w:t>
            </w:r>
            <w:r w:rsidRPr="00F93882">
              <w:rPr>
                <w:sz w:val="20"/>
                <w:szCs w:val="20"/>
              </w:rPr>
              <w:t>:</w:t>
            </w:r>
          </w:p>
          <w:p w14:paraId="35682740" w14:textId="36B6F218" w:rsidR="002279F5" w:rsidRPr="00F93882" w:rsidRDefault="00536887" w:rsidP="00F93882">
            <w:pPr>
              <w:pStyle w:val="Akapitzlist"/>
              <w:numPr>
                <w:ilvl w:val="0"/>
                <w:numId w:val="8"/>
              </w:numPr>
              <w:tabs>
                <w:tab w:val="left" w:pos="360"/>
              </w:tabs>
              <w:spacing w:line="276" w:lineRule="auto"/>
              <w:ind w:left="714" w:hanging="357"/>
              <w:rPr>
                <w:sz w:val="20"/>
                <w:szCs w:val="20"/>
              </w:rPr>
            </w:pPr>
            <w:r w:rsidRPr="00F93882">
              <w:rPr>
                <w:sz w:val="20"/>
                <w:szCs w:val="20"/>
              </w:rPr>
              <w:t xml:space="preserve">z </w:t>
            </w:r>
            <w:r w:rsidR="00E663CE" w:rsidRPr="00F93882">
              <w:rPr>
                <w:sz w:val="20"/>
                <w:szCs w:val="20"/>
              </w:rPr>
              <w:t>ustalon</w:t>
            </w:r>
            <w:r w:rsidRPr="00F93882">
              <w:rPr>
                <w:sz w:val="20"/>
                <w:szCs w:val="20"/>
              </w:rPr>
              <w:t>ym</w:t>
            </w:r>
            <w:r w:rsidR="00486104" w:rsidRPr="00F93882">
              <w:rPr>
                <w:sz w:val="20"/>
                <w:szCs w:val="20"/>
              </w:rPr>
              <w:t xml:space="preserve"> rozpoznanie</w:t>
            </w:r>
            <w:r w:rsidRPr="00F93882">
              <w:rPr>
                <w:sz w:val="20"/>
                <w:szCs w:val="20"/>
              </w:rPr>
              <w:t>m ŁZS postawionym</w:t>
            </w:r>
            <w:r w:rsidR="00E663CE" w:rsidRPr="00F93882">
              <w:rPr>
                <w:sz w:val="20"/>
                <w:szCs w:val="20"/>
              </w:rPr>
              <w:t xml:space="preserve"> na podstawie </w:t>
            </w:r>
            <w:r w:rsidR="002279F5" w:rsidRPr="00F93882">
              <w:rPr>
                <w:sz w:val="20"/>
                <w:szCs w:val="20"/>
              </w:rPr>
              <w:t>kryteriów CASPAR</w:t>
            </w:r>
            <w:r w:rsidR="000F09D4" w:rsidRPr="00F93882">
              <w:rPr>
                <w:sz w:val="20"/>
                <w:szCs w:val="20"/>
              </w:rPr>
              <w:t>,</w:t>
            </w:r>
          </w:p>
          <w:p w14:paraId="77B69412" w14:textId="20134CC6" w:rsidR="00FA3BE9" w:rsidRPr="00F93882" w:rsidRDefault="00536887" w:rsidP="00F93882">
            <w:pPr>
              <w:pStyle w:val="Akapitzlist"/>
              <w:numPr>
                <w:ilvl w:val="0"/>
                <w:numId w:val="8"/>
              </w:numPr>
              <w:spacing w:line="276" w:lineRule="auto"/>
              <w:ind w:left="714" w:hanging="357"/>
              <w:rPr>
                <w:sz w:val="20"/>
                <w:szCs w:val="20"/>
              </w:rPr>
            </w:pPr>
            <w:r w:rsidRPr="00F93882">
              <w:rPr>
                <w:sz w:val="20"/>
                <w:szCs w:val="20"/>
              </w:rPr>
              <w:t>z aktywną i ciężką postacią</w:t>
            </w:r>
            <w:r w:rsidR="000F09D4" w:rsidRPr="00F93882">
              <w:rPr>
                <w:sz w:val="20"/>
                <w:szCs w:val="20"/>
              </w:rPr>
              <w:t xml:space="preserve"> choroby,</w:t>
            </w:r>
          </w:p>
          <w:p w14:paraId="5BE73CC3" w14:textId="58BDD161" w:rsidR="00EA2FD2" w:rsidRPr="00F93882" w:rsidRDefault="00536887" w:rsidP="00F93882">
            <w:pPr>
              <w:pStyle w:val="Akapitzlist"/>
              <w:numPr>
                <w:ilvl w:val="0"/>
                <w:numId w:val="8"/>
              </w:numPr>
              <w:tabs>
                <w:tab w:val="left" w:pos="360"/>
                <w:tab w:val="left" w:pos="1200"/>
              </w:tabs>
              <w:spacing w:line="276" w:lineRule="auto"/>
              <w:ind w:left="714" w:hanging="357"/>
              <w:rPr>
                <w:sz w:val="20"/>
                <w:szCs w:val="20"/>
              </w:rPr>
            </w:pPr>
            <w:r w:rsidRPr="00F93882">
              <w:rPr>
                <w:sz w:val="20"/>
                <w:szCs w:val="20"/>
              </w:rPr>
              <w:t>z niezadowalającą odpowiedzią</w:t>
            </w:r>
            <w:r w:rsidR="00FA3BE9" w:rsidRPr="00F93882">
              <w:rPr>
                <w:sz w:val="20"/>
                <w:szCs w:val="20"/>
              </w:rPr>
              <w:t xml:space="preserve"> </w:t>
            </w:r>
            <w:r w:rsidR="00FD67C7" w:rsidRPr="00F93882">
              <w:rPr>
                <w:sz w:val="20"/>
                <w:szCs w:val="20"/>
              </w:rPr>
              <w:t xml:space="preserve">na </w:t>
            </w:r>
            <w:r w:rsidR="000F09D4" w:rsidRPr="00F93882">
              <w:rPr>
                <w:sz w:val="20"/>
                <w:szCs w:val="20"/>
              </w:rPr>
              <w:t>stosowane</w:t>
            </w:r>
            <w:r w:rsidR="000F2303" w:rsidRPr="00F93882">
              <w:rPr>
                <w:sz w:val="20"/>
                <w:szCs w:val="20"/>
              </w:rPr>
              <w:t xml:space="preserve"> dotychczas</w:t>
            </w:r>
            <w:r w:rsidR="000F09D4" w:rsidRPr="00F93882">
              <w:rPr>
                <w:sz w:val="20"/>
                <w:szCs w:val="20"/>
              </w:rPr>
              <w:t xml:space="preserve"> </w:t>
            </w:r>
            <w:r w:rsidR="00FD67C7" w:rsidRPr="00F93882">
              <w:rPr>
                <w:sz w:val="20"/>
                <w:szCs w:val="20"/>
              </w:rPr>
              <w:t>leki</w:t>
            </w:r>
            <w:r w:rsidR="000F2303" w:rsidRPr="00F93882">
              <w:rPr>
                <w:sz w:val="20"/>
                <w:szCs w:val="20"/>
              </w:rPr>
              <w:t xml:space="preserve"> zgodnie z rekomendacjami EULAR/GRAPPA/ASAS</w:t>
            </w:r>
            <w:r w:rsidR="00FD67C7" w:rsidRPr="00F93882">
              <w:rPr>
                <w:sz w:val="20"/>
                <w:szCs w:val="20"/>
              </w:rPr>
              <w:t>.</w:t>
            </w:r>
          </w:p>
          <w:p w14:paraId="5112F049" w14:textId="1BF7B022" w:rsidR="00486104" w:rsidRPr="00F93882" w:rsidRDefault="00486104" w:rsidP="00F93882">
            <w:pPr>
              <w:pStyle w:val="Akapitzlist"/>
              <w:numPr>
                <w:ilvl w:val="0"/>
                <w:numId w:val="7"/>
              </w:numPr>
              <w:tabs>
                <w:tab w:val="left" w:pos="1680"/>
              </w:tabs>
              <w:spacing w:line="276" w:lineRule="auto"/>
              <w:ind w:left="357" w:hanging="357"/>
              <w:rPr>
                <w:sz w:val="20"/>
                <w:szCs w:val="20"/>
              </w:rPr>
            </w:pPr>
            <w:r w:rsidRPr="00F93882">
              <w:rPr>
                <w:sz w:val="20"/>
                <w:szCs w:val="20"/>
              </w:rPr>
              <w:t>Kryteria klasyfikacyjne CASPAR</w:t>
            </w:r>
            <w:r w:rsidR="00F22ABC" w:rsidRPr="00F93882">
              <w:rPr>
                <w:sz w:val="20"/>
                <w:szCs w:val="20"/>
              </w:rPr>
              <w:t xml:space="preserve"> -</w:t>
            </w:r>
            <w:r w:rsidR="001F0BFD" w:rsidRPr="00F93882">
              <w:rPr>
                <w:sz w:val="20"/>
                <w:szCs w:val="20"/>
              </w:rPr>
              <w:t xml:space="preserve"> </w:t>
            </w:r>
            <w:r w:rsidRPr="00F93882">
              <w:rPr>
                <w:sz w:val="20"/>
                <w:szCs w:val="20"/>
              </w:rPr>
              <w:t xml:space="preserve">co najmniej 3 punkty według </w:t>
            </w:r>
            <w:r w:rsidR="007222FC" w:rsidRPr="00F93882">
              <w:rPr>
                <w:sz w:val="20"/>
                <w:szCs w:val="20"/>
              </w:rPr>
              <w:t>systemu punktacji przedstawionego</w:t>
            </w:r>
            <w:r w:rsidRPr="00F93882">
              <w:rPr>
                <w:sz w:val="20"/>
                <w:szCs w:val="20"/>
              </w:rPr>
              <w:t xml:space="preserve"> poniżej:</w:t>
            </w:r>
          </w:p>
          <w:p w14:paraId="5E990C7D" w14:textId="68F7C8AF" w:rsidR="00486104" w:rsidRPr="00F93882" w:rsidRDefault="00486104" w:rsidP="00F93882">
            <w:pPr>
              <w:pStyle w:val="Akapitzlist"/>
              <w:numPr>
                <w:ilvl w:val="0"/>
                <w:numId w:val="10"/>
              </w:numPr>
              <w:tabs>
                <w:tab w:val="left" w:pos="1680"/>
              </w:tabs>
              <w:spacing w:line="276" w:lineRule="auto"/>
              <w:rPr>
                <w:sz w:val="20"/>
                <w:szCs w:val="20"/>
              </w:rPr>
            </w:pPr>
            <w:r w:rsidRPr="00F93882">
              <w:rPr>
                <w:sz w:val="20"/>
                <w:szCs w:val="20"/>
              </w:rPr>
              <w:lastRenderedPageBreak/>
              <w:t xml:space="preserve">łuszczyca obecnie – 2 pkt albo </w:t>
            </w:r>
            <w:r w:rsidR="00101211" w:rsidRPr="00F93882">
              <w:rPr>
                <w:sz w:val="20"/>
                <w:szCs w:val="20"/>
              </w:rPr>
              <w:br/>
            </w:r>
            <w:r w:rsidRPr="00F93882">
              <w:rPr>
                <w:sz w:val="20"/>
                <w:szCs w:val="20"/>
              </w:rPr>
              <w:t>dodatni wywiad w kierunku łuszczycy potwierdzony przez lekarza specjalistę – 1 pkt</w:t>
            </w:r>
            <w:r w:rsidR="00A95EF4" w:rsidRPr="00F93882">
              <w:rPr>
                <w:sz w:val="20"/>
                <w:szCs w:val="20"/>
              </w:rPr>
              <w:t>,</w:t>
            </w:r>
            <w:r w:rsidRPr="00F93882">
              <w:rPr>
                <w:sz w:val="20"/>
                <w:szCs w:val="20"/>
              </w:rPr>
              <w:t xml:space="preserve"> albo</w:t>
            </w:r>
            <w:r w:rsidR="0047271C" w:rsidRPr="00F93882">
              <w:rPr>
                <w:sz w:val="20"/>
                <w:szCs w:val="20"/>
              </w:rPr>
              <w:t xml:space="preserve"> </w:t>
            </w:r>
            <w:r w:rsidRPr="00F93882">
              <w:rPr>
                <w:sz w:val="20"/>
                <w:szCs w:val="20"/>
              </w:rPr>
              <w:t>udokumentowany dodatni wywiad rodzinny w ki</w:t>
            </w:r>
            <w:r w:rsidR="000E6F3A" w:rsidRPr="00F93882">
              <w:rPr>
                <w:sz w:val="20"/>
                <w:szCs w:val="20"/>
              </w:rPr>
              <w:t>erunku łuszczycy u krewnego pierwszego</w:t>
            </w:r>
            <w:r w:rsidRPr="00F93882">
              <w:rPr>
                <w:sz w:val="20"/>
                <w:szCs w:val="20"/>
              </w:rPr>
              <w:t xml:space="preserve"> lub </w:t>
            </w:r>
            <w:r w:rsidR="000E6F3A" w:rsidRPr="00F93882">
              <w:rPr>
                <w:sz w:val="20"/>
                <w:szCs w:val="20"/>
              </w:rPr>
              <w:t>drugiego</w:t>
            </w:r>
            <w:r w:rsidRPr="00F93882">
              <w:rPr>
                <w:sz w:val="20"/>
                <w:szCs w:val="20"/>
              </w:rPr>
              <w:t xml:space="preserve"> stopnia – 1 pkt,</w:t>
            </w:r>
          </w:p>
          <w:p w14:paraId="30810DCC" w14:textId="77777777" w:rsidR="00486104" w:rsidRPr="00F93882" w:rsidRDefault="00486104" w:rsidP="00F93882">
            <w:pPr>
              <w:pStyle w:val="Akapitzlist"/>
              <w:numPr>
                <w:ilvl w:val="0"/>
                <w:numId w:val="10"/>
              </w:numPr>
              <w:tabs>
                <w:tab w:val="left" w:pos="1680"/>
              </w:tabs>
              <w:spacing w:line="276" w:lineRule="auto"/>
              <w:rPr>
                <w:sz w:val="20"/>
                <w:szCs w:val="20"/>
              </w:rPr>
            </w:pPr>
            <w:r w:rsidRPr="00F93882">
              <w:rPr>
                <w:sz w:val="20"/>
                <w:szCs w:val="20"/>
              </w:rPr>
              <w:t xml:space="preserve">dactylitis obecnie lub dodatni wywiad w kierunku dactylitis potwierdzony przez reumatologa – 1 pkt, </w:t>
            </w:r>
          </w:p>
          <w:p w14:paraId="61FB24A6" w14:textId="295A12AE" w:rsidR="00486104" w:rsidRPr="00F93882" w:rsidRDefault="00486104" w:rsidP="00F93882">
            <w:pPr>
              <w:pStyle w:val="Akapitzlist"/>
              <w:numPr>
                <w:ilvl w:val="0"/>
                <w:numId w:val="10"/>
              </w:numPr>
              <w:tabs>
                <w:tab w:val="left" w:pos="1680"/>
              </w:tabs>
              <w:spacing w:line="276" w:lineRule="auto"/>
              <w:rPr>
                <w:sz w:val="20"/>
                <w:szCs w:val="20"/>
              </w:rPr>
            </w:pPr>
            <w:r w:rsidRPr="00F93882">
              <w:rPr>
                <w:sz w:val="20"/>
                <w:szCs w:val="20"/>
              </w:rPr>
              <w:t>brak czynnika reumatoidalnego (z</w:t>
            </w:r>
            <w:r w:rsidR="000E6F3A" w:rsidRPr="00F93882">
              <w:rPr>
                <w:sz w:val="20"/>
                <w:szCs w:val="20"/>
              </w:rPr>
              <w:t xml:space="preserve"> wyłączeniem testu lateksowego) – </w:t>
            </w:r>
            <w:r w:rsidRPr="00F93882">
              <w:rPr>
                <w:sz w:val="20"/>
                <w:szCs w:val="20"/>
              </w:rPr>
              <w:t xml:space="preserve">1 pkt, </w:t>
            </w:r>
          </w:p>
          <w:p w14:paraId="7AB9D077" w14:textId="77777777" w:rsidR="00486104" w:rsidRPr="00F93882" w:rsidRDefault="00486104" w:rsidP="00F93882">
            <w:pPr>
              <w:pStyle w:val="Akapitzlist"/>
              <w:numPr>
                <w:ilvl w:val="0"/>
                <w:numId w:val="10"/>
              </w:numPr>
              <w:tabs>
                <w:tab w:val="left" w:pos="1680"/>
              </w:tabs>
              <w:spacing w:line="276" w:lineRule="auto"/>
              <w:rPr>
                <w:sz w:val="20"/>
                <w:szCs w:val="20"/>
              </w:rPr>
            </w:pPr>
            <w:r w:rsidRPr="00F93882">
              <w:rPr>
                <w:sz w:val="20"/>
                <w:szCs w:val="20"/>
              </w:rPr>
              <w:t>typowa dystrofia paznokci (liza paznokcia, objaw naparstka, bruzdowanie, hiperkeratoza) – 1 pkt,</w:t>
            </w:r>
          </w:p>
          <w:p w14:paraId="400A8B9C" w14:textId="64EB9E33" w:rsidR="00486104" w:rsidRPr="00F93882" w:rsidRDefault="00486104" w:rsidP="00F93882">
            <w:pPr>
              <w:pStyle w:val="Akapitzlist"/>
              <w:numPr>
                <w:ilvl w:val="0"/>
                <w:numId w:val="10"/>
              </w:numPr>
              <w:tabs>
                <w:tab w:val="left" w:pos="1680"/>
              </w:tabs>
              <w:spacing w:line="276" w:lineRule="auto"/>
              <w:rPr>
                <w:sz w:val="20"/>
                <w:szCs w:val="20"/>
              </w:rPr>
            </w:pPr>
            <w:r w:rsidRPr="00F93882">
              <w:rPr>
                <w:sz w:val="20"/>
                <w:szCs w:val="20"/>
              </w:rPr>
              <w:t>zmiany radiologiczne stawów dłoni lub stóp charakterystyczne dla ŁZS (okołostawowe tworzenie nowej kości z wyłączeniem osteofitów) – 1 pkt.</w:t>
            </w:r>
          </w:p>
          <w:p w14:paraId="6F9AC07A" w14:textId="77777777" w:rsidR="00FA3BE9" w:rsidRPr="00F93882" w:rsidRDefault="00FA3BE9" w:rsidP="00F93882">
            <w:pPr>
              <w:pStyle w:val="Akapitzlist"/>
              <w:numPr>
                <w:ilvl w:val="0"/>
                <w:numId w:val="7"/>
              </w:numPr>
              <w:tabs>
                <w:tab w:val="left" w:pos="1125"/>
              </w:tabs>
              <w:spacing w:line="276" w:lineRule="auto"/>
              <w:ind w:left="357" w:hanging="357"/>
              <w:rPr>
                <w:sz w:val="20"/>
                <w:szCs w:val="20"/>
              </w:rPr>
            </w:pPr>
            <w:r w:rsidRPr="00F93882">
              <w:rPr>
                <w:sz w:val="20"/>
                <w:szCs w:val="20"/>
              </w:rPr>
              <w:t>A</w:t>
            </w:r>
            <w:r w:rsidR="00486104" w:rsidRPr="00F93882">
              <w:rPr>
                <w:sz w:val="20"/>
                <w:szCs w:val="20"/>
              </w:rPr>
              <w:t>ktywna i ciężka postać</w:t>
            </w:r>
            <w:r w:rsidR="002279F5" w:rsidRPr="00F93882">
              <w:rPr>
                <w:sz w:val="20"/>
                <w:szCs w:val="20"/>
              </w:rPr>
              <w:t xml:space="preserve"> choroby</w:t>
            </w:r>
            <w:r w:rsidR="00F22ABC" w:rsidRPr="00F93882">
              <w:rPr>
                <w:sz w:val="20"/>
                <w:szCs w:val="20"/>
              </w:rPr>
              <w:t>:</w:t>
            </w:r>
            <w:r w:rsidR="00101211" w:rsidRPr="00F93882">
              <w:rPr>
                <w:sz w:val="20"/>
                <w:szCs w:val="20"/>
              </w:rPr>
              <w:t xml:space="preserve"> </w:t>
            </w:r>
          </w:p>
          <w:p w14:paraId="5313742A" w14:textId="18D32031" w:rsidR="00F34D81" w:rsidRPr="00F93882" w:rsidRDefault="00F22ABC" w:rsidP="00F93882">
            <w:pPr>
              <w:pStyle w:val="Akapitzlist"/>
              <w:numPr>
                <w:ilvl w:val="0"/>
                <w:numId w:val="11"/>
              </w:numPr>
              <w:spacing w:line="276" w:lineRule="auto"/>
              <w:ind w:left="714" w:hanging="357"/>
              <w:rPr>
                <w:sz w:val="20"/>
                <w:szCs w:val="20"/>
              </w:rPr>
            </w:pPr>
            <w:r w:rsidRPr="00F93882">
              <w:rPr>
                <w:sz w:val="20"/>
                <w:szCs w:val="20"/>
              </w:rPr>
              <w:t>w</w:t>
            </w:r>
            <w:r w:rsidR="00FA3BE9" w:rsidRPr="00F93882">
              <w:rPr>
                <w:sz w:val="20"/>
                <w:szCs w:val="20"/>
              </w:rPr>
              <w:t xml:space="preserve"> przypadku </w:t>
            </w:r>
            <w:r w:rsidR="00563728" w:rsidRPr="00F93882">
              <w:rPr>
                <w:sz w:val="20"/>
                <w:szCs w:val="20"/>
              </w:rPr>
              <w:t>postaci obwodowej ŁZS (postać z dominującymi objawami zapalnymi ze strony stawów obwodowych oraz przyczepów ścięgnistych)</w:t>
            </w:r>
            <w:r w:rsidR="00FA3BE9" w:rsidRPr="00F93882">
              <w:rPr>
                <w:sz w:val="20"/>
                <w:szCs w:val="20"/>
              </w:rPr>
              <w:t xml:space="preserve"> </w:t>
            </w:r>
            <w:r w:rsidRPr="00F93882">
              <w:rPr>
                <w:sz w:val="20"/>
                <w:szCs w:val="20"/>
              </w:rPr>
              <w:t xml:space="preserve">- </w:t>
            </w:r>
            <w:r w:rsidR="00FA3BE9" w:rsidRPr="00F93882">
              <w:rPr>
                <w:sz w:val="20"/>
                <w:szCs w:val="20"/>
              </w:rPr>
              <w:t xml:space="preserve">aktywna i ciężka postać choroby musi być udokumentowana podczas dwóch wizyt </w:t>
            </w:r>
            <w:r w:rsidR="00B12FC1" w:rsidRPr="00F93882">
              <w:rPr>
                <w:sz w:val="20"/>
                <w:szCs w:val="20"/>
              </w:rPr>
              <w:t xml:space="preserve">lekarskich </w:t>
            </w:r>
            <w:r w:rsidR="00FA3BE9" w:rsidRPr="00F93882">
              <w:rPr>
                <w:sz w:val="20"/>
                <w:szCs w:val="20"/>
              </w:rPr>
              <w:t>w odstępie przynajmniej 4 tygodni</w:t>
            </w:r>
            <w:r w:rsidR="00A95EF4" w:rsidRPr="00F93882">
              <w:rPr>
                <w:sz w:val="20"/>
                <w:szCs w:val="20"/>
              </w:rPr>
              <w:t>,</w:t>
            </w:r>
            <w:r w:rsidR="00FA3BE9" w:rsidRPr="00F93882">
              <w:rPr>
                <w:sz w:val="20"/>
                <w:szCs w:val="20"/>
              </w:rPr>
              <w:t xml:space="preserve"> przy </w:t>
            </w:r>
            <w:r w:rsidR="00B12FC1" w:rsidRPr="00F93882">
              <w:rPr>
                <w:sz w:val="20"/>
                <w:szCs w:val="20"/>
              </w:rPr>
              <w:t>braku zmian leczenia w tym okresie.</w:t>
            </w:r>
            <w:r w:rsidR="00FA3BE9" w:rsidRPr="00F93882">
              <w:rPr>
                <w:sz w:val="20"/>
                <w:szCs w:val="20"/>
              </w:rPr>
              <w:t xml:space="preserve"> </w:t>
            </w:r>
            <w:r w:rsidR="000F0FB5" w:rsidRPr="00F93882">
              <w:rPr>
                <w:sz w:val="20"/>
                <w:szCs w:val="20"/>
              </w:rPr>
              <w:t>A</w:t>
            </w:r>
            <w:r w:rsidR="002279F5" w:rsidRPr="00F93882">
              <w:rPr>
                <w:sz w:val="20"/>
                <w:szCs w:val="20"/>
              </w:rPr>
              <w:t xml:space="preserve">ktywną postać </w:t>
            </w:r>
            <w:r w:rsidR="00563728" w:rsidRPr="00F93882">
              <w:rPr>
                <w:sz w:val="20"/>
                <w:szCs w:val="20"/>
              </w:rPr>
              <w:t xml:space="preserve">obwodową </w:t>
            </w:r>
            <w:r w:rsidR="002279F5" w:rsidRPr="00F93882">
              <w:rPr>
                <w:sz w:val="20"/>
                <w:szCs w:val="20"/>
              </w:rPr>
              <w:t xml:space="preserve">choroby </w:t>
            </w:r>
            <w:r w:rsidR="000F0FB5" w:rsidRPr="00F93882">
              <w:rPr>
                <w:sz w:val="20"/>
                <w:szCs w:val="20"/>
              </w:rPr>
              <w:t>definiuje się jako</w:t>
            </w:r>
            <w:r w:rsidR="002279F5" w:rsidRPr="00F93882">
              <w:rPr>
                <w:sz w:val="20"/>
                <w:szCs w:val="20"/>
              </w:rPr>
              <w:t xml:space="preserve"> spełni</w:t>
            </w:r>
            <w:r w:rsidR="000F0FB5" w:rsidRPr="00F93882">
              <w:rPr>
                <w:sz w:val="20"/>
                <w:szCs w:val="20"/>
              </w:rPr>
              <w:t>e</w:t>
            </w:r>
            <w:r w:rsidR="002279F5" w:rsidRPr="00F93882">
              <w:rPr>
                <w:sz w:val="20"/>
                <w:szCs w:val="20"/>
              </w:rPr>
              <w:t>n</w:t>
            </w:r>
            <w:r w:rsidR="000F0FB5" w:rsidRPr="00F93882">
              <w:rPr>
                <w:sz w:val="20"/>
                <w:szCs w:val="20"/>
              </w:rPr>
              <w:t xml:space="preserve">ie </w:t>
            </w:r>
            <w:r w:rsidR="00563728" w:rsidRPr="00F93882">
              <w:rPr>
                <w:sz w:val="20"/>
                <w:szCs w:val="20"/>
              </w:rPr>
              <w:t>jednego z</w:t>
            </w:r>
            <w:r w:rsidR="00FA3BE9" w:rsidRPr="00F93882">
              <w:rPr>
                <w:sz w:val="20"/>
                <w:szCs w:val="20"/>
              </w:rPr>
              <w:t xml:space="preserve"> </w:t>
            </w:r>
            <w:r w:rsidR="00B12FC1" w:rsidRPr="00F93882">
              <w:rPr>
                <w:sz w:val="20"/>
                <w:szCs w:val="20"/>
              </w:rPr>
              <w:t>poniższych</w:t>
            </w:r>
            <w:r w:rsidR="002279F5" w:rsidRPr="00F93882">
              <w:rPr>
                <w:sz w:val="20"/>
                <w:szCs w:val="20"/>
              </w:rPr>
              <w:t xml:space="preserve"> </w:t>
            </w:r>
            <w:r w:rsidR="00563728" w:rsidRPr="00F93882">
              <w:rPr>
                <w:sz w:val="20"/>
                <w:szCs w:val="20"/>
              </w:rPr>
              <w:t xml:space="preserve">alternatywnych </w:t>
            </w:r>
            <w:r w:rsidR="002279F5" w:rsidRPr="00F93882">
              <w:rPr>
                <w:sz w:val="20"/>
                <w:szCs w:val="20"/>
              </w:rPr>
              <w:t>kryteriów</w:t>
            </w:r>
            <w:r w:rsidR="00BA36C2" w:rsidRPr="00F93882">
              <w:rPr>
                <w:sz w:val="20"/>
                <w:szCs w:val="20"/>
              </w:rPr>
              <w:t>:</w:t>
            </w:r>
          </w:p>
          <w:p w14:paraId="4B82309E" w14:textId="09B34F6C" w:rsidR="00B12FC1" w:rsidRPr="00F93882" w:rsidRDefault="00B12FC1" w:rsidP="00F93882">
            <w:pPr>
              <w:pStyle w:val="Akapitzlist"/>
              <w:numPr>
                <w:ilvl w:val="0"/>
                <w:numId w:val="27"/>
              </w:numPr>
              <w:spacing w:line="276" w:lineRule="auto"/>
              <w:rPr>
                <w:sz w:val="20"/>
                <w:szCs w:val="20"/>
              </w:rPr>
            </w:pPr>
            <w:r w:rsidRPr="00F93882">
              <w:rPr>
                <w:sz w:val="20"/>
                <w:szCs w:val="20"/>
              </w:rPr>
              <w:t xml:space="preserve">wg </w:t>
            </w:r>
            <w:r w:rsidR="00563728" w:rsidRPr="00F93882">
              <w:rPr>
                <w:sz w:val="20"/>
                <w:szCs w:val="20"/>
              </w:rPr>
              <w:t>zmodyfikowanych kryteriów PsARC</w:t>
            </w:r>
            <w:r w:rsidRPr="00F93882">
              <w:rPr>
                <w:sz w:val="20"/>
                <w:szCs w:val="20"/>
              </w:rPr>
              <w:t>:</w:t>
            </w:r>
          </w:p>
          <w:p w14:paraId="3E103401" w14:textId="12EC5BA8" w:rsidR="00B12FC1" w:rsidRPr="00F93882" w:rsidRDefault="00F34D81" w:rsidP="00F93882">
            <w:pPr>
              <w:pStyle w:val="Akapitzlist"/>
              <w:numPr>
                <w:ilvl w:val="0"/>
                <w:numId w:val="28"/>
              </w:numPr>
              <w:spacing w:line="276" w:lineRule="auto"/>
              <w:ind w:left="1163"/>
              <w:rPr>
                <w:sz w:val="20"/>
                <w:szCs w:val="20"/>
              </w:rPr>
            </w:pPr>
            <w:r w:rsidRPr="00F93882">
              <w:rPr>
                <w:sz w:val="20"/>
                <w:szCs w:val="20"/>
              </w:rPr>
              <w:t>liczba obrzękniętych stawów</w:t>
            </w:r>
            <w:r w:rsidR="00563728" w:rsidRPr="00F93882">
              <w:rPr>
                <w:sz w:val="20"/>
                <w:szCs w:val="20"/>
              </w:rPr>
              <w:t xml:space="preserve"> i</w:t>
            </w:r>
            <w:r w:rsidR="00C53029" w:rsidRPr="00F93882">
              <w:rPr>
                <w:sz w:val="20"/>
                <w:szCs w:val="20"/>
              </w:rPr>
              <w:t>/lub</w:t>
            </w:r>
            <w:r w:rsidR="00563728" w:rsidRPr="00F93882">
              <w:rPr>
                <w:sz w:val="20"/>
                <w:szCs w:val="20"/>
              </w:rPr>
              <w:t xml:space="preserve"> zapalnie zmienionych przyczepów ścięgnistych (spośród ścięgien Achillesa oraz rozcięgien podeszwowych </w:t>
            </w:r>
            <w:r w:rsidR="00BA36C2" w:rsidRPr="00F93882">
              <w:rPr>
                <w:sz w:val="20"/>
                <w:szCs w:val="20"/>
              </w:rPr>
              <w:t>-</w:t>
            </w:r>
            <w:r w:rsidR="00563728" w:rsidRPr="00F93882">
              <w:rPr>
                <w:sz w:val="20"/>
                <w:szCs w:val="20"/>
              </w:rPr>
              <w:t xml:space="preserve"> potwierdzone w badaniu USG lub MR)</w:t>
            </w:r>
            <w:r w:rsidRPr="00F93882">
              <w:rPr>
                <w:sz w:val="20"/>
                <w:szCs w:val="20"/>
              </w:rPr>
              <w:t xml:space="preserve"> - co najmniej 5</w:t>
            </w:r>
            <w:r w:rsidR="00C53029" w:rsidRPr="00F93882">
              <w:rPr>
                <w:sz w:val="20"/>
                <w:szCs w:val="20"/>
              </w:rPr>
              <w:t xml:space="preserve"> łącznie</w:t>
            </w:r>
            <w:r w:rsidR="00BA36C2" w:rsidRPr="00F93882">
              <w:rPr>
                <w:sz w:val="20"/>
                <w:szCs w:val="20"/>
              </w:rPr>
              <w:t xml:space="preserve"> </w:t>
            </w:r>
            <w:r w:rsidR="00762448" w:rsidRPr="00F93882">
              <w:rPr>
                <w:sz w:val="20"/>
                <w:szCs w:val="20"/>
              </w:rPr>
              <w:t xml:space="preserve">– </w:t>
            </w:r>
            <w:r w:rsidRPr="00F93882">
              <w:rPr>
                <w:sz w:val="20"/>
                <w:szCs w:val="20"/>
              </w:rPr>
              <w:t xml:space="preserve">w dwukrotnych pomiarach w </w:t>
            </w:r>
            <w:r w:rsidR="00BA36C2" w:rsidRPr="00F93882">
              <w:rPr>
                <w:sz w:val="20"/>
                <w:szCs w:val="20"/>
              </w:rPr>
              <w:t>odstępie przynajmniej 4 tygodni oraz</w:t>
            </w:r>
          </w:p>
          <w:p w14:paraId="1B255234" w14:textId="5566D119" w:rsidR="00F34D81" w:rsidRPr="00F93882" w:rsidRDefault="00F34D81" w:rsidP="00F93882">
            <w:pPr>
              <w:pStyle w:val="Akapitzlist"/>
              <w:numPr>
                <w:ilvl w:val="0"/>
                <w:numId w:val="28"/>
              </w:numPr>
              <w:spacing w:line="276" w:lineRule="auto"/>
              <w:ind w:left="1163"/>
              <w:rPr>
                <w:sz w:val="20"/>
                <w:szCs w:val="20"/>
              </w:rPr>
            </w:pPr>
            <w:r w:rsidRPr="00F93882">
              <w:rPr>
                <w:sz w:val="20"/>
                <w:szCs w:val="20"/>
              </w:rPr>
              <w:t>liczba tkliwych stawów</w:t>
            </w:r>
            <w:r w:rsidR="00BA36C2" w:rsidRPr="00F93882">
              <w:rPr>
                <w:sz w:val="20"/>
                <w:szCs w:val="20"/>
              </w:rPr>
              <w:t xml:space="preserve"> i</w:t>
            </w:r>
            <w:r w:rsidR="00C53029" w:rsidRPr="00F93882">
              <w:rPr>
                <w:sz w:val="20"/>
                <w:szCs w:val="20"/>
              </w:rPr>
              <w:t>/lub</w:t>
            </w:r>
            <w:r w:rsidR="00BA36C2" w:rsidRPr="00F93882">
              <w:rPr>
                <w:sz w:val="20"/>
                <w:szCs w:val="20"/>
              </w:rPr>
              <w:t xml:space="preserve"> przyczepów ścięgnistych (spośród ścięgien Achillesa oraz rozcięgien podeszwowych)</w:t>
            </w:r>
            <w:r w:rsidRPr="00F93882">
              <w:rPr>
                <w:sz w:val="20"/>
                <w:szCs w:val="20"/>
              </w:rPr>
              <w:t xml:space="preserve"> - co najmniej 5</w:t>
            </w:r>
            <w:r w:rsidR="00C53029" w:rsidRPr="00F93882">
              <w:rPr>
                <w:sz w:val="20"/>
                <w:szCs w:val="20"/>
              </w:rPr>
              <w:t xml:space="preserve"> łącznie</w:t>
            </w:r>
            <w:r w:rsidRPr="00F93882">
              <w:rPr>
                <w:sz w:val="20"/>
                <w:szCs w:val="20"/>
              </w:rPr>
              <w:t xml:space="preserve"> – w </w:t>
            </w:r>
            <w:r w:rsidRPr="00F93882">
              <w:rPr>
                <w:sz w:val="20"/>
                <w:szCs w:val="20"/>
              </w:rPr>
              <w:lastRenderedPageBreak/>
              <w:t>dwukrotnych pomiarach w odstępie przynajmnie</w:t>
            </w:r>
            <w:r w:rsidR="00BA36C2" w:rsidRPr="00F93882">
              <w:rPr>
                <w:sz w:val="20"/>
                <w:szCs w:val="20"/>
              </w:rPr>
              <w:t>j 4 tygodni oraz</w:t>
            </w:r>
          </w:p>
          <w:p w14:paraId="6EFB2D42" w14:textId="0A0C133F" w:rsidR="00F34D81" w:rsidRPr="00F93882" w:rsidRDefault="00F34D81" w:rsidP="00F93882">
            <w:pPr>
              <w:pStyle w:val="Akapitzlist"/>
              <w:numPr>
                <w:ilvl w:val="0"/>
                <w:numId w:val="28"/>
              </w:numPr>
              <w:spacing w:line="276" w:lineRule="auto"/>
              <w:ind w:left="1163"/>
              <w:rPr>
                <w:sz w:val="20"/>
                <w:szCs w:val="20"/>
              </w:rPr>
            </w:pPr>
            <w:r w:rsidRPr="00F93882">
              <w:rPr>
                <w:sz w:val="20"/>
                <w:szCs w:val="20"/>
              </w:rPr>
              <w:t>ogólna ocena aktywności choroby przez pacjenta odpowiadająca wartości 4 lub 5 w pięciostopniowej skali</w:t>
            </w:r>
            <w:r w:rsidR="00BA36C2" w:rsidRPr="00F93882">
              <w:rPr>
                <w:sz w:val="20"/>
                <w:szCs w:val="20"/>
              </w:rPr>
              <w:t xml:space="preserve"> Likerta oraz</w:t>
            </w:r>
          </w:p>
          <w:p w14:paraId="6BD043BC" w14:textId="3838E6DA" w:rsidR="00F34D81" w:rsidRPr="00F93882" w:rsidRDefault="00F34D81" w:rsidP="00F93882">
            <w:pPr>
              <w:pStyle w:val="Akapitzlist"/>
              <w:numPr>
                <w:ilvl w:val="0"/>
                <w:numId w:val="28"/>
              </w:numPr>
              <w:spacing w:line="276" w:lineRule="auto"/>
              <w:ind w:left="1163"/>
              <w:rPr>
                <w:sz w:val="20"/>
                <w:szCs w:val="20"/>
              </w:rPr>
            </w:pPr>
            <w:r w:rsidRPr="00F93882">
              <w:rPr>
                <w:sz w:val="20"/>
                <w:szCs w:val="20"/>
              </w:rPr>
              <w:t>ogólna ocena aktywności choroby przez lekarza prowadzącego odpowiadająca wartości 4 lub 5 w pięciostopniowej skali</w:t>
            </w:r>
            <w:r w:rsidR="00BA36C2" w:rsidRPr="00F93882">
              <w:rPr>
                <w:sz w:val="20"/>
                <w:szCs w:val="20"/>
              </w:rPr>
              <w:t xml:space="preserve"> Likerta oraz</w:t>
            </w:r>
          </w:p>
          <w:p w14:paraId="317AD2D9" w14:textId="4E35429A" w:rsidR="00F34D81" w:rsidRPr="00F93882" w:rsidRDefault="00F34D81" w:rsidP="00F93882">
            <w:pPr>
              <w:pStyle w:val="Akapitzlist"/>
              <w:numPr>
                <w:ilvl w:val="0"/>
                <w:numId w:val="16"/>
              </w:numPr>
              <w:tabs>
                <w:tab w:val="left" w:pos="709"/>
              </w:tabs>
              <w:spacing w:line="276" w:lineRule="auto"/>
              <w:ind w:left="1163" w:hanging="357"/>
              <w:rPr>
                <w:sz w:val="20"/>
                <w:szCs w:val="20"/>
              </w:rPr>
            </w:pPr>
            <w:r w:rsidRPr="00F93882">
              <w:rPr>
                <w:sz w:val="20"/>
                <w:szCs w:val="20"/>
              </w:rPr>
              <w:t xml:space="preserve">ogólna ocena stanu choroby (aktywności, ciężkości i dalszej prognozy choroby oraz aktywności zawodowej), dokonana </w:t>
            </w:r>
            <w:r w:rsidR="00AE1283" w:rsidRPr="00F93882">
              <w:rPr>
                <w:sz w:val="20"/>
                <w:szCs w:val="20"/>
              </w:rPr>
              <w:t xml:space="preserve">przez lekarza prowadzącego oraz </w:t>
            </w:r>
            <w:r w:rsidR="00CA7266" w:rsidRPr="00F93882">
              <w:rPr>
                <w:sz w:val="20"/>
                <w:szCs w:val="20"/>
              </w:rPr>
              <w:t>drugiego</w:t>
            </w:r>
            <w:r w:rsidR="00BA36C2" w:rsidRPr="00F93882">
              <w:rPr>
                <w:sz w:val="20"/>
                <w:szCs w:val="20"/>
              </w:rPr>
              <w:t xml:space="preserve"> </w:t>
            </w:r>
            <w:r w:rsidRPr="00F93882">
              <w:rPr>
                <w:sz w:val="20"/>
                <w:szCs w:val="20"/>
              </w:rPr>
              <w:t xml:space="preserve">lekarza </w:t>
            </w:r>
            <w:r w:rsidR="00AE1283" w:rsidRPr="00F93882">
              <w:rPr>
                <w:sz w:val="20"/>
                <w:szCs w:val="20"/>
              </w:rPr>
              <w:t xml:space="preserve">– </w:t>
            </w:r>
            <w:r w:rsidRPr="00F93882">
              <w:rPr>
                <w:sz w:val="20"/>
                <w:szCs w:val="20"/>
              </w:rPr>
              <w:t>eksperta</w:t>
            </w:r>
            <w:r w:rsidR="00BA36C2" w:rsidRPr="00F93882">
              <w:rPr>
                <w:sz w:val="20"/>
                <w:szCs w:val="20"/>
              </w:rPr>
              <w:t>, specjalistę reumatologa,</w:t>
            </w:r>
            <w:r w:rsidR="00AE1283" w:rsidRPr="00F93882">
              <w:rPr>
                <w:sz w:val="20"/>
                <w:szCs w:val="20"/>
              </w:rPr>
              <w:t xml:space="preserve"> doświadczonego w leczeniu </w:t>
            </w:r>
            <w:r w:rsidRPr="00F93882">
              <w:rPr>
                <w:sz w:val="20"/>
                <w:szCs w:val="20"/>
              </w:rPr>
              <w:t>chorób z kręgu spondyloartropatii</w:t>
            </w:r>
            <w:r w:rsidR="00AE1283" w:rsidRPr="00F93882">
              <w:rPr>
                <w:sz w:val="20"/>
                <w:szCs w:val="20"/>
              </w:rPr>
              <w:t xml:space="preserve"> zapalnych lekami biologicznymi</w:t>
            </w:r>
            <w:r w:rsidRPr="00F93882">
              <w:rPr>
                <w:sz w:val="20"/>
                <w:szCs w:val="20"/>
              </w:rPr>
              <w:t xml:space="preserve"> - więcej niż </w:t>
            </w:r>
            <w:smartTag w:uri="urn:schemas-microsoft-com:office:smarttags" w:element="metricconverter">
              <w:smartTagPr>
                <w:attr w:name="ProductID" w:val="5 cm"/>
              </w:smartTagPr>
              <w:r w:rsidRPr="00F93882">
                <w:rPr>
                  <w:sz w:val="20"/>
                  <w:szCs w:val="20"/>
                </w:rPr>
                <w:t>5 cm</w:t>
              </w:r>
            </w:smartTag>
            <w:r w:rsidRPr="00F93882">
              <w:rPr>
                <w:sz w:val="20"/>
                <w:szCs w:val="20"/>
              </w:rPr>
              <w:t xml:space="preserve"> na skali od 0 do 10 cm</w:t>
            </w:r>
          </w:p>
          <w:p w14:paraId="7ED37EA1" w14:textId="31979F87" w:rsidR="00F34D81" w:rsidRPr="00F93882" w:rsidRDefault="00F34D81" w:rsidP="00F93882">
            <w:pPr>
              <w:tabs>
                <w:tab w:val="left" w:pos="709"/>
              </w:tabs>
              <w:spacing w:line="276" w:lineRule="auto"/>
              <w:ind w:left="714"/>
              <w:rPr>
                <w:sz w:val="20"/>
                <w:szCs w:val="20"/>
              </w:rPr>
            </w:pPr>
            <w:r w:rsidRPr="00F93882">
              <w:rPr>
                <w:sz w:val="20"/>
                <w:szCs w:val="20"/>
              </w:rPr>
              <w:t>albo</w:t>
            </w:r>
          </w:p>
          <w:p w14:paraId="197CF74D" w14:textId="1E3725F1" w:rsidR="00B12FC1" w:rsidRPr="00F93882" w:rsidRDefault="00B12FC1" w:rsidP="00F93882">
            <w:pPr>
              <w:pStyle w:val="Akapitzlist"/>
              <w:numPr>
                <w:ilvl w:val="0"/>
                <w:numId w:val="27"/>
              </w:numPr>
              <w:spacing w:line="276" w:lineRule="auto"/>
              <w:rPr>
                <w:sz w:val="20"/>
                <w:szCs w:val="20"/>
              </w:rPr>
            </w:pPr>
            <w:r w:rsidRPr="00F93882">
              <w:rPr>
                <w:sz w:val="20"/>
                <w:szCs w:val="20"/>
              </w:rPr>
              <w:t>w</w:t>
            </w:r>
            <w:r w:rsidR="00F34D81" w:rsidRPr="00F93882">
              <w:rPr>
                <w:sz w:val="20"/>
                <w:szCs w:val="20"/>
              </w:rPr>
              <w:t>g DAS 28:</w:t>
            </w:r>
          </w:p>
          <w:p w14:paraId="44B7404E" w14:textId="1C7983A9" w:rsidR="00F34D81" w:rsidRPr="00F93882" w:rsidRDefault="00F34D81" w:rsidP="00F93882">
            <w:pPr>
              <w:pStyle w:val="Akapitzlist"/>
              <w:numPr>
                <w:ilvl w:val="0"/>
                <w:numId w:val="16"/>
              </w:numPr>
              <w:spacing w:line="276" w:lineRule="auto"/>
              <w:ind w:left="1021"/>
              <w:rPr>
                <w:sz w:val="20"/>
                <w:szCs w:val="20"/>
              </w:rPr>
            </w:pPr>
            <w:r w:rsidRPr="00F93882">
              <w:rPr>
                <w:sz w:val="20"/>
                <w:szCs w:val="20"/>
              </w:rPr>
              <w:t>wartość DAS 28 – większa niż 5,1</w:t>
            </w:r>
          </w:p>
          <w:p w14:paraId="20CFCCCB" w14:textId="57F48653" w:rsidR="00F34D81" w:rsidRPr="00F93882" w:rsidRDefault="00F34D81" w:rsidP="00F93882">
            <w:pPr>
              <w:spacing w:line="276" w:lineRule="auto"/>
              <w:ind w:left="661"/>
              <w:rPr>
                <w:sz w:val="20"/>
                <w:szCs w:val="20"/>
              </w:rPr>
            </w:pPr>
            <w:r w:rsidRPr="00F93882">
              <w:rPr>
                <w:sz w:val="20"/>
                <w:szCs w:val="20"/>
              </w:rPr>
              <w:t>albo</w:t>
            </w:r>
          </w:p>
          <w:p w14:paraId="4811AFAE" w14:textId="77777777" w:rsidR="00F34D81" w:rsidRPr="00F93882" w:rsidRDefault="00B12FC1" w:rsidP="00F93882">
            <w:pPr>
              <w:pStyle w:val="Akapitzlist"/>
              <w:numPr>
                <w:ilvl w:val="0"/>
                <w:numId w:val="27"/>
              </w:numPr>
              <w:spacing w:line="276" w:lineRule="auto"/>
              <w:rPr>
                <w:sz w:val="20"/>
                <w:szCs w:val="20"/>
              </w:rPr>
            </w:pPr>
            <w:r w:rsidRPr="00F93882">
              <w:rPr>
                <w:sz w:val="20"/>
                <w:szCs w:val="20"/>
              </w:rPr>
              <w:t>w</w:t>
            </w:r>
            <w:r w:rsidR="00F34D81" w:rsidRPr="00F93882">
              <w:rPr>
                <w:sz w:val="20"/>
                <w:szCs w:val="20"/>
              </w:rPr>
              <w:t>g DAS:</w:t>
            </w:r>
          </w:p>
          <w:p w14:paraId="389763A3" w14:textId="6DB2D569" w:rsidR="002279F5" w:rsidRPr="00F93882" w:rsidRDefault="00BA36C2" w:rsidP="00F93882">
            <w:pPr>
              <w:pStyle w:val="Akapitzlist"/>
              <w:numPr>
                <w:ilvl w:val="0"/>
                <w:numId w:val="16"/>
              </w:numPr>
              <w:spacing w:line="276" w:lineRule="auto"/>
              <w:ind w:left="1021"/>
              <w:rPr>
                <w:sz w:val="20"/>
                <w:szCs w:val="20"/>
              </w:rPr>
            </w:pPr>
            <w:r w:rsidRPr="00F93882">
              <w:rPr>
                <w:sz w:val="20"/>
                <w:szCs w:val="20"/>
              </w:rPr>
              <w:t>wartość DAS – większa niż 3</w:t>
            </w:r>
            <w:r w:rsidR="00F34D81" w:rsidRPr="00F93882">
              <w:rPr>
                <w:sz w:val="20"/>
                <w:szCs w:val="20"/>
              </w:rPr>
              <w:t>,7.</w:t>
            </w:r>
          </w:p>
          <w:p w14:paraId="2C5C5577" w14:textId="2C2D4B8D" w:rsidR="00F34D81" w:rsidRPr="00F93882" w:rsidRDefault="000E1844" w:rsidP="00F93882">
            <w:pPr>
              <w:pStyle w:val="Akapitzlist"/>
              <w:numPr>
                <w:ilvl w:val="0"/>
                <w:numId w:val="27"/>
              </w:numPr>
              <w:spacing w:line="276" w:lineRule="auto"/>
              <w:rPr>
                <w:sz w:val="20"/>
                <w:szCs w:val="20"/>
              </w:rPr>
            </w:pPr>
            <w:r w:rsidRPr="00F93882">
              <w:rPr>
                <w:sz w:val="20"/>
                <w:szCs w:val="20"/>
              </w:rPr>
              <w:t xml:space="preserve">u pacjentów z aktywną </w:t>
            </w:r>
            <w:r w:rsidR="00BA36C2" w:rsidRPr="00F93882">
              <w:rPr>
                <w:sz w:val="20"/>
                <w:szCs w:val="20"/>
              </w:rPr>
              <w:t>postacią łuszczycy definiowaną jako spełnienie wszystkich poniższych kryteriów:</w:t>
            </w:r>
          </w:p>
          <w:p w14:paraId="10E110AC" w14:textId="12CABF8D" w:rsidR="002279F5" w:rsidRPr="00F93882" w:rsidRDefault="002279F5" w:rsidP="00F93882">
            <w:pPr>
              <w:pStyle w:val="Akapitzlist"/>
              <w:numPr>
                <w:ilvl w:val="0"/>
                <w:numId w:val="15"/>
              </w:numPr>
              <w:tabs>
                <w:tab w:val="left" w:pos="709"/>
              </w:tabs>
              <w:spacing w:line="276" w:lineRule="auto"/>
              <w:ind w:left="1071" w:hanging="357"/>
              <w:rPr>
                <w:sz w:val="20"/>
                <w:szCs w:val="20"/>
              </w:rPr>
            </w:pPr>
            <w:r w:rsidRPr="00F93882">
              <w:rPr>
                <w:sz w:val="20"/>
                <w:szCs w:val="20"/>
              </w:rPr>
              <w:t xml:space="preserve">PASI </w:t>
            </w:r>
            <w:r w:rsidR="007C32E0" w:rsidRPr="00F93882">
              <w:rPr>
                <w:sz w:val="20"/>
                <w:szCs w:val="20"/>
              </w:rPr>
              <w:t>większe</w:t>
            </w:r>
            <w:r w:rsidRPr="00F93882">
              <w:rPr>
                <w:sz w:val="20"/>
                <w:szCs w:val="20"/>
              </w:rPr>
              <w:t xml:space="preserve"> niż 10</w:t>
            </w:r>
            <w:r w:rsidR="00BA36C2" w:rsidRPr="00F93882">
              <w:rPr>
                <w:sz w:val="20"/>
                <w:szCs w:val="20"/>
              </w:rPr>
              <w:t xml:space="preserve"> oraz</w:t>
            </w:r>
          </w:p>
          <w:p w14:paraId="25494624" w14:textId="6CA3E521" w:rsidR="002279F5" w:rsidRPr="00F93882" w:rsidRDefault="002279F5" w:rsidP="00F93882">
            <w:pPr>
              <w:pStyle w:val="Akapitzlist"/>
              <w:numPr>
                <w:ilvl w:val="0"/>
                <w:numId w:val="15"/>
              </w:numPr>
              <w:tabs>
                <w:tab w:val="left" w:pos="709"/>
                <w:tab w:val="left" w:pos="1815"/>
              </w:tabs>
              <w:spacing w:line="276" w:lineRule="auto"/>
              <w:ind w:left="1071" w:hanging="357"/>
              <w:rPr>
                <w:sz w:val="20"/>
                <w:szCs w:val="20"/>
              </w:rPr>
            </w:pPr>
            <w:r w:rsidRPr="00F93882">
              <w:rPr>
                <w:sz w:val="20"/>
                <w:szCs w:val="20"/>
              </w:rPr>
              <w:t>DLQI wię</w:t>
            </w:r>
            <w:r w:rsidR="007C32E0" w:rsidRPr="00F93882">
              <w:rPr>
                <w:sz w:val="20"/>
                <w:szCs w:val="20"/>
              </w:rPr>
              <w:t>ksze</w:t>
            </w:r>
            <w:r w:rsidR="00BA36C2" w:rsidRPr="00F93882">
              <w:rPr>
                <w:sz w:val="20"/>
                <w:szCs w:val="20"/>
              </w:rPr>
              <w:t xml:space="preserve"> niż 10 oraz</w:t>
            </w:r>
          </w:p>
          <w:p w14:paraId="07149AA3" w14:textId="669A1002" w:rsidR="002279F5" w:rsidRPr="00F93882" w:rsidRDefault="007C32E0" w:rsidP="00F93882">
            <w:pPr>
              <w:pStyle w:val="Akapitzlist"/>
              <w:numPr>
                <w:ilvl w:val="0"/>
                <w:numId w:val="15"/>
              </w:numPr>
              <w:tabs>
                <w:tab w:val="left" w:pos="709"/>
                <w:tab w:val="left" w:pos="1815"/>
              </w:tabs>
              <w:spacing w:line="276" w:lineRule="auto"/>
              <w:ind w:left="1071" w:hanging="357"/>
              <w:rPr>
                <w:sz w:val="20"/>
                <w:szCs w:val="20"/>
              </w:rPr>
            </w:pPr>
            <w:r w:rsidRPr="00F93882">
              <w:rPr>
                <w:sz w:val="20"/>
                <w:szCs w:val="20"/>
              </w:rPr>
              <w:t>BSA większe</w:t>
            </w:r>
            <w:r w:rsidR="00BA36C2" w:rsidRPr="00F93882">
              <w:rPr>
                <w:sz w:val="20"/>
                <w:szCs w:val="20"/>
              </w:rPr>
              <w:t xml:space="preserve"> niż 10</w:t>
            </w:r>
          </w:p>
          <w:p w14:paraId="3C7D2499" w14:textId="481AF308" w:rsidR="00BA36C2" w:rsidRPr="00F93882" w:rsidRDefault="00BA36C2" w:rsidP="00F93882">
            <w:pPr>
              <w:pStyle w:val="Akapitzlist"/>
              <w:tabs>
                <w:tab w:val="left" w:pos="709"/>
                <w:tab w:val="left" w:pos="1815"/>
              </w:tabs>
              <w:spacing w:line="276" w:lineRule="auto"/>
              <w:ind w:left="1071"/>
              <w:rPr>
                <w:sz w:val="20"/>
                <w:szCs w:val="20"/>
              </w:rPr>
            </w:pPr>
            <w:r w:rsidRPr="00F93882">
              <w:rPr>
                <w:sz w:val="20"/>
                <w:szCs w:val="20"/>
              </w:rPr>
              <w:t xml:space="preserve">program dopuszcza kwalifikację pacjentów na podstawie kryteriów PsARC z </w:t>
            </w:r>
            <w:r w:rsidR="002279F5" w:rsidRPr="00F93882">
              <w:rPr>
                <w:sz w:val="20"/>
                <w:szCs w:val="20"/>
              </w:rPr>
              <w:t>zajęcie</w:t>
            </w:r>
            <w:r w:rsidRPr="00F93882">
              <w:rPr>
                <w:sz w:val="20"/>
                <w:szCs w:val="20"/>
              </w:rPr>
              <w:t>m co najmniej</w:t>
            </w:r>
            <w:r w:rsidR="002279F5" w:rsidRPr="00F93882">
              <w:rPr>
                <w:sz w:val="20"/>
                <w:szCs w:val="20"/>
              </w:rPr>
              <w:t xml:space="preserve"> 3 stawów</w:t>
            </w:r>
            <w:r w:rsidRPr="00F93882">
              <w:rPr>
                <w:sz w:val="20"/>
                <w:szCs w:val="20"/>
              </w:rPr>
              <w:t xml:space="preserve"> i</w:t>
            </w:r>
            <w:r w:rsidR="0089359B" w:rsidRPr="00F93882">
              <w:rPr>
                <w:sz w:val="20"/>
                <w:szCs w:val="20"/>
              </w:rPr>
              <w:t>/lub</w:t>
            </w:r>
            <w:r w:rsidRPr="00F93882">
              <w:rPr>
                <w:sz w:val="20"/>
                <w:szCs w:val="20"/>
              </w:rPr>
              <w:t xml:space="preserve"> przyczepów ścięgnistych przy spełnieniu wszystkich pozostałych kryteriów określonych w pkt 1 ppkt 4a)1;</w:t>
            </w:r>
          </w:p>
          <w:p w14:paraId="05A0C2B8" w14:textId="0024E387" w:rsidR="002279F5" w:rsidRPr="00F93882" w:rsidRDefault="00F22ABC" w:rsidP="00F93882">
            <w:pPr>
              <w:pStyle w:val="Akapitzlist"/>
              <w:numPr>
                <w:ilvl w:val="0"/>
                <w:numId w:val="11"/>
              </w:numPr>
              <w:spacing w:line="276" w:lineRule="auto"/>
              <w:ind w:left="714" w:hanging="357"/>
              <w:rPr>
                <w:bCs/>
                <w:iCs/>
                <w:sz w:val="20"/>
                <w:szCs w:val="20"/>
              </w:rPr>
            </w:pPr>
            <w:r w:rsidRPr="00F93882">
              <w:rPr>
                <w:sz w:val="20"/>
                <w:szCs w:val="20"/>
              </w:rPr>
              <w:lastRenderedPageBreak/>
              <w:t>w</w:t>
            </w:r>
            <w:r w:rsidR="00D00DA5" w:rsidRPr="00F93882">
              <w:rPr>
                <w:sz w:val="20"/>
                <w:szCs w:val="20"/>
              </w:rPr>
              <w:t xml:space="preserve"> przypadku </w:t>
            </w:r>
            <w:r w:rsidR="00762448" w:rsidRPr="00F93882">
              <w:rPr>
                <w:sz w:val="20"/>
                <w:szCs w:val="20"/>
              </w:rPr>
              <w:t>postaci osiowej ŁZS (postać z dominującym</w:t>
            </w:r>
            <w:r w:rsidR="00D00DA5" w:rsidRPr="00F93882">
              <w:rPr>
                <w:sz w:val="20"/>
                <w:szCs w:val="20"/>
              </w:rPr>
              <w:t xml:space="preserve"> </w:t>
            </w:r>
            <w:r w:rsidR="00762448" w:rsidRPr="00F93882">
              <w:rPr>
                <w:sz w:val="20"/>
                <w:szCs w:val="20"/>
              </w:rPr>
              <w:t>zajęciem</w:t>
            </w:r>
            <w:r w:rsidR="00D00DA5" w:rsidRPr="00F93882">
              <w:rPr>
                <w:sz w:val="20"/>
                <w:szCs w:val="20"/>
              </w:rPr>
              <w:t xml:space="preserve"> stawów osiowych</w:t>
            </w:r>
            <w:r w:rsidR="00762448" w:rsidRPr="00F93882">
              <w:rPr>
                <w:sz w:val="20"/>
                <w:szCs w:val="20"/>
              </w:rPr>
              <w:t>)</w:t>
            </w:r>
            <w:r w:rsidR="00D00DA5" w:rsidRPr="00F93882">
              <w:rPr>
                <w:sz w:val="20"/>
                <w:szCs w:val="20"/>
              </w:rPr>
              <w:t xml:space="preserve"> </w:t>
            </w:r>
            <w:r w:rsidRPr="00F93882">
              <w:rPr>
                <w:sz w:val="20"/>
                <w:szCs w:val="20"/>
              </w:rPr>
              <w:t xml:space="preserve">- </w:t>
            </w:r>
            <w:r w:rsidR="00762448" w:rsidRPr="00F93882">
              <w:rPr>
                <w:sz w:val="20"/>
                <w:szCs w:val="20"/>
              </w:rPr>
              <w:t>pacjenci</w:t>
            </w:r>
            <w:r w:rsidR="00D00DA5" w:rsidRPr="00F93882">
              <w:rPr>
                <w:sz w:val="20"/>
                <w:szCs w:val="20"/>
              </w:rPr>
              <w:t xml:space="preserve"> z </w:t>
            </w:r>
            <w:r w:rsidR="003F0BC9" w:rsidRPr="00F93882">
              <w:rPr>
                <w:sz w:val="20"/>
                <w:szCs w:val="20"/>
              </w:rPr>
              <w:t>zapaleniem stawów krzyżowo-</w:t>
            </w:r>
            <w:r w:rsidR="00D00DA5" w:rsidRPr="00F93882">
              <w:rPr>
                <w:sz w:val="20"/>
                <w:szCs w:val="20"/>
              </w:rPr>
              <w:t>biodrowych</w:t>
            </w:r>
            <w:r w:rsidR="003F0BC9" w:rsidRPr="00F93882">
              <w:rPr>
                <w:sz w:val="20"/>
                <w:szCs w:val="20"/>
              </w:rPr>
              <w:t xml:space="preserve"> stwierdzonym w badaniu RTG</w:t>
            </w:r>
            <w:r w:rsidR="00D00DA5" w:rsidRPr="00F93882">
              <w:rPr>
                <w:sz w:val="20"/>
                <w:szCs w:val="20"/>
              </w:rPr>
              <w:t xml:space="preserve">, z aktywną i ciężką postacią choroby, która musi być udokumentowana podczas dwóch wizyt </w:t>
            </w:r>
            <w:r w:rsidR="00B12FC1" w:rsidRPr="00F93882">
              <w:rPr>
                <w:sz w:val="20"/>
                <w:szCs w:val="20"/>
              </w:rPr>
              <w:t>lekarskich w odstępie przynajmniej 4</w:t>
            </w:r>
            <w:r w:rsidR="00D00DA5" w:rsidRPr="00F93882">
              <w:rPr>
                <w:sz w:val="20"/>
                <w:szCs w:val="20"/>
              </w:rPr>
              <w:t xml:space="preserve"> tygodni, przy </w:t>
            </w:r>
            <w:r w:rsidR="00B12FC1" w:rsidRPr="00F93882">
              <w:rPr>
                <w:sz w:val="20"/>
                <w:szCs w:val="20"/>
              </w:rPr>
              <w:t>braku zmian leczenia w tym okresie</w:t>
            </w:r>
            <w:r w:rsidR="00CD4064" w:rsidRPr="00F93882">
              <w:rPr>
                <w:sz w:val="20"/>
                <w:szCs w:val="20"/>
              </w:rPr>
              <w:t>.</w:t>
            </w:r>
            <w:r w:rsidR="00762448" w:rsidRPr="00F93882">
              <w:rPr>
                <w:bCs/>
                <w:iCs/>
                <w:sz w:val="20"/>
                <w:szCs w:val="20"/>
              </w:rPr>
              <w:t xml:space="preserve"> </w:t>
            </w:r>
            <w:r w:rsidR="008B5251" w:rsidRPr="00F93882">
              <w:rPr>
                <w:bCs/>
                <w:iCs/>
                <w:sz w:val="20"/>
                <w:szCs w:val="20"/>
              </w:rPr>
              <w:t>Aktywną postać choroby definiuje się jako spełnienie wszystkich</w:t>
            </w:r>
            <w:r w:rsidR="002279F5" w:rsidRPr="00F93882">
              <w:rPr>
                <w:bCs/>
                <w:iCs/>
                <w:sz w:val="20"/>
                <w:szCs w:val="20"/>
              </w:rPr>
              <w:t xml:space="preserve"> poniższ</w:t>
            </w:r>
            <w:r w:rsidR="008B5251" w:rsidRPr="00F93882">
              <w:rPr>
                <w:bCs/>
                <w:iCs/>
                <w:sz w:val="20"/>
                <w:szCs w:val="20"/>
              </w:rPr>
              <w:t>ych kryteriów</w:t>
            </w:r>
            <w:r w:rsidR="002279F5" w:rsidRPr="00F93882">
              <w:rPr>
                <w:bCs/>
                <w:iCs/>
                <w:sz w:val="20"/>
                <w:szCs w:val="20"/>
              </w:rPr>
              <w:t xml:space="preserve">: </w:t>
            </w:r>
          </w:p>
          <w:p w14:paraId="035AC186" w14:textId="2132CDF3" w:rsidR="00821F95" w:rsidRPr="00F93882" w:rsidRDefault="00821F95" w:rsidP="00F93882">
            <w:pPr>
              <w:pStyle w:val="Akapitzlist"/>
              <w:numPr>
                <w:ilvl w:val="0"/>
                <w:numId w:val="9"/>
              </w:numPr>
              <w:spacing w:line="276" w:lineRule="auto"/>
              <w:rPr>
                <w:sz w:val="20"/>
                <w:szCs w:val="20"/>
              </w:rPr>
            </w:pPr>
            <w:r w:rsidRPr="00F93882">
              <w:rPr>
                <w:sz w:val="20"/>
                <w:szCs w:val="20"/>
              </w:rPr>
              <w:t>wartość BASDAI</w:t>
            </w:r>
            <w:r w:rsidR="003F0BC9" w:rsidRPr="00F93882">
              <w:rPr>
                <w:sz w:val="20"/>
                <w:szCs w:val="20"/>
              </w:rPr>
              <w:t xml:space="preserve"> ≥ 4 lub wartość ASDAS ≥ 2,1</w:t>
            </w:r>
            <w:r w:rsidR="00762448" w:rsidRPr="00F93882">
              <w:rPr>
                <w:sz w:val="20"/>
                <w:szCs w:val="20"/>
              </w:rPr>
              <w:t xml:space="preserve"> – </w:t>
            </w:r>
            <w:r w:rsidR="003F0BC9" w:rsidRPr="00F93882">
              <w:rPr>
                <w:sz w:val="20"/>
                <w:szCs w:val="20"/>
              </w:rPr>
              <w:t>określona w dwukrotnych pomiarach w odstępie przynajmniej 4 tygodni,</w:t>
            </w:r>
          </w:p>
          <w:p w14:paraId="4BBED964" w14:textId="3D593E99" w:rsidR="00821F95" w:rsidRPr="00F93882" w:rsidRDefault="003F0BC9" w:rsidP="00F93882">
            <w:pPr>
              <w:pStyle w:val="Akapitzlist"/>
              <w:numPr>
                <w:ilvl w:val="0"/>
                <w:numId w:val="9"/>
              </w:numPr>
              <w:spacing w:line="276" w:lineRule="auto"/>
              <w:rPr>
                <w:sz w:val="20"/>
                <w:szCs w:val="20"/>
              </w:rPr>
            </w:pPr>
            <w:r w:rsidRPr="00F93882">
              <w:rPr>
                <w:sz w:val="20"/>
                <w:szCs w:val="20"/>
              </w:rPr>
              <w:t>ból</w:t>
            </w:r>
            <w:r w:rsidR="00821F95" w:rsidRPr="00F93882">
              <w:rPr>
                <w:sz w:val="20"/>
                <w:szCs w:val="20"/>
              </w:rPr>
              <w:t xml:space="preserve"> kręgosłupa</w:t>
            </w:r>
            <w:r w:rsidRPr="00F93882">
              <w:rPr>
                <w:sz w:val="20"/>
                <w:szCs w:val="20"/>
              </w:rPr>
              <w:t xml:space="preserve"> ≥ 4</w:t>
            </w:r>
            <w:r w:rsidR="00821F95" w:rsidRPr="00F93882">
              <w:rPr>
                <w:sz w:val="20"/>
                <w:szCs w:val="20"/>
              </w:rPr>
              <w:t xml:space="preserve"> na wizualnej skali od 0 </w:t>
            </w:r>
            <w:r w:rsidR="00762448" w:rsidRPr="00F93882">
              <w:rPr>
                <w:sz w:val="20"/>
                <w:szCs w:val="20"/>
              </w:rPr>
              <w:t xml:space="preserve">do 10 cm – </w:t>
            </w:r>
            <w:r w:rsidRPr="00F93882">
              <w:rPr>
                <w:sz w:val="20"/>
                <w:szCs w:val="20"/>
              </w:rPr>
              <w:t>określony</w:t>
            </w:r>
            <w:r w:rsidR="00821F95" w:rsidRPr="00F93882">
              <w:rPr>
                <w:sz w:val="20"/>
                <w:szCs w:val="20"/>
              </w:rPr>
              <w:t xml:space="preserve"> w dwukrotnych pomi</w:t>
            </w:r>
            <w:r w:rsidRPr="00F93882">
              <w:rPr>
                <w:sz w:val="20"/>
                <w:szCs w:val="20"/>
              </w:rPr>
              <w:t>arach w odstępie przynajmniej 4</w:t>
            </w:r>
            <w:r w:rsidR="00821F95" w:rsidRPr="00F93882">
              <w:rPr>
                <w:sz w:val="20"/>
                <w:szCs w:val="20"/>
              </w:rPr>
              <w:t xml:space="preserve"> tygodni</w:t>
            </w:r>
            <w:r w:rsidRPr="00F93882">
              <w:rPr>
                <w:sz w:val="20"/>
                <w:szCs w:val="20"/>
              </w:rPr>
              <w:t>,</w:t>
            </w:r>
          </w:p>
          <w:p w14:paraId="5D8E1072" w14:textId="4E3EC4A9" w:rsidR="002279F5" w:rsidRPr="00F93882" w:rsidRDefault="00821F95" w:rsidP="00F93882">
            <w:pPr>
              <w:pStyle w:val="Akapitzlist"/>
              <w:numPr>
                <w:ilvl w:val="0"/>
                <w:numId w:val="9"/>
              </w:numPr>
              <w:spacing w:line="276" w:lineRule="auto"/>
              <w:rPr>
                <w:sz w:val="20"/>
                <w:szCs w:val="20"/>
              </w:rPr>
            </w:pPr>
            <w:r w:rsidRPr="00F93882">
              <w:rPr>
                <w:sz w:val="20"/>
                <w:szCs w:val="20"/>
              </w:rPr>
              <w:t xml:space="preserve">ogólna ocena stanu choroby (aktywności, ciężkości i dalszej prognozy choroby oraz aktywności zawodowej), dokonana przez lekarza prowadzącego oraz </w:t>
            </w:r>
            <w:r w:rsidR="00762448" w:rsidRPr="00F93882">
              <w:rPr>
                <w:sz w:val="20"/>
                <w:szCs w:val="20"/>
              </w:rPr>
              <w:t>drugieg</w:t>
            </w:r>
            <w:r w:rsidRPr="00F93882">
              <w:rPr>
                <w:sz w:val="20"/>
                <w:szCs w:val="20"/>
              </w:rPr>
              <w:t>o lekarza – eksperta,</w:t>
            </w:r>
            <w:r w:rsidR="00762448" w:rsidRPr="00F93882">
              <w:rPr>
                <w:sz w:val="20"/>
                <w:szCs w:val="20"/>
              </w:rPr>
              <w:t xml:space="preserve"> specjalistę reumatologa,</w:t>
            </w:r>
            <w:r w:rsidRPr="00F93882">
              <w:rPr>
                <w:sz w:val="20"/>
                <w:szCs w:val="20"/>
              </w:rPr>
              <w:t xml:space="preserve"> doświadczonego w leczeniu chorób z kręgu spondyloartropatii zapalnych </w:t>
            </w:r>
            <w:r w:rsidR="003F0BC9" w:rsidRPr="00F93882">
              <w:rPr>
                <w:sz w:val="20"/>
                <w:szCs w:val="20"/>
              </w:rPr>
              <w:t>lekami biologicznymi</w:t>
            </w:r>
            <w:r w:rsidRPr="00F93882">
              <w:rPr>
                <w:sz w:val="20"/>
                <w:szCs w:val="20"/>
              </w:rPr>
              <w:t xml:space="preserve"> - więcej niż 5 cm na skali od 0 do 10 cm. </w:t>
            </w:r>
          </w:p>
          <w:p w14:paraId="2E19C58C" w14:textId="1E25DA5A" w:rsidR="002279F5" w:rsidRPr="00F93882" w:rsidRDefault="00A61315" w:rsidP="00F93882">
            <w:pPr>
              <w:pStyle w:val="Akapitzlist"/>
              <w:numPr>
                <w:ilvl w:val="0"/>
                <w:numId w:val="7"/>
              </w:numPr>
              <w:spacing w:line="276" w:lineRule="auto"/>
              <w:ind w:left="357" w:hanging="357"/>
              <w:rPr>
                <w:sz w:val="20"/>
                <w:szCs w:val="20"/>
              </w:rPr>
            </w:pPr>
            <w:r w:rsidRPr="00F93882">
              <w:rPr>
                <w:sz w:val="20"/>
                <w:szCs w:val="20"/>
              </w:rPr>
              <w:t>Niezadowalająca</w:t>
            </w:r>
            <w:r w:rsidR="002279F5" w:rsidRPr="00F93882">
              <w:rPr>
                <w:sz w:val="20"/>
                <w:szCs w:val="20"/>
              </w:rPr>
              <w:t xml:space="preserve"> odp</w:t>
            </w:r>
            <w:r w:rsidRPr="00F93882">
              <w:rPr>
                <w:sz w:val="20"/>
                <w:szCs w:val="20"/>
              </w:rPr>
              <w:t>owiedź</w:t>
            </w:r>
            <w:r w:rsidR="002279F5" w:rsidRPr="00F93882">
              <w:rPr>
                <w:sz w:val="20"/>
                <w:szCs w:val="20"/>
              </w:rPr>
              <w:t xml:space="preserve"> na stosowane</w:t>
            </w:r>
            <w:r w:rsidR="00871DBE" w:rsidRPr="00F93882">
              <w:rPr>
                <w:sz w:val="20"/>
                <w:szCs w:val="20"/>
              </w:rPr>
              <w:t xml:space="preserve"> dotychczas</w:t>
            </w:r>
            <w:r w:rsidR="002279F5" w:rsidRPr="00F93882">
              <w:rPr>
                <w:sz w:val="20"/>
                <w:szCs w:val="20"/>
              </w:rPr>
              <w:t xml:space="preserve"> leki</w:t>
            </w:r>
            <w:r w:rsidRPr="00F93882">
              <w:rPr>
                <w:sz w:val="20"/>
                <w:szCs w:val="20"/>
              </w:rPr>
              <w:t xml:space="preserve"> definiowana jest jako </w:t>
            </w:r>
            <w:r w:rsidR="002279F5" w:rsidRPr="00F93882">
              <w:rPr>
                <w:sz w:val="20"/>
                <w:szCs w:val="20"/>
              </w:rPr>
              <w:t>nieskuteczność leczenia:</w:t>
            </w:r>
          </w:p>
          <w:p w14:paraId="2DBC676C" w14:textId="32F9F964" w:rsidR="002279F5" w:rsidRPr="00F93882" w:rsidRDefault="002279F5" w:rsidP="00F93882">
            <w:pPr>
              <w:pStyle w:val="Akapitzlist"/>
              <w:numPr>
                <w:ilvl w:val="0"/>
                <w:numId w:val="12"/>
              </w:numPr>
              <w:spacing w:line="276" w:lineRule="auto"/>
              <w:rPr>
                <w:sz w:val="20"/>
                <w:szCs w:val="20"/>
              </w:rPr>
            </w:pPr>
            <w:r w:rsidRPr="00F93882">
              <w:rPr>
                <w:sz w:val="20"/>
                <w:szCs w:val="20"/>
              </w:rPr>
              <w:t xml:space="preserve">w </w:t>
            </w:r>
            <w:r w:rsidR="009513BB" w:rsidRPr="00F93882">
              <w:rPr>
                <w:sz w:val="20"/>
                <w:szCs w:val="20"/>
              </w:rPr>
              <w:t>przypadku</w:t>
            </w:r>
            <w:r w:rsidR="00141A96" w:rsidRPr="00F93882">
              <w:rPr>
                <w:sz w:val="20"/>
                <w:szCs w:val="20"/>
              </w:rPr>
              <w:t xml:space="preserve"> </w:t>
            </w:r>
            <w:r w:rsidR="00871DBE" w:rsidRPr="00F93882">
              <w:rPr>
                <w:sz w:val="20"/>
                <w:szCs w:val="20"/>
              </w:rPr>
              <w:t>postaci obwodowej</w:t>
            </w:r>
            <w:r w:rsidR="00656AEA" w:rsidRPr="00F93882">
              <w:rPr>
                <w:sz w:val="20"/>
                <w:szCs w:val="20"/>
              </w:rPr>
              <w:t xml:space="preserve"> </w:t>
            </w:r>
            <w:r w:rsidR="00FC1013" w:rsidRPr="00F93882">
              <w:rPr>
                <w:sz w:val="20"/>
                <w:szCs w:val="20"/>
              </w:rPr>
              <w:t xml:space="preserve">ŁZS </w:t>
            </w:r>
            <w:r w:rsidR="00656AEA" w:rsidRPr="00F93882">
              <w:rPr>
                <w:sz w:val="20"/>
                <w:szCs w:val="20"/>
              </w:rPr>
              <w:t xml:space="preserve">- </w:t>
            </w:r>
            <w:r w:rsidR="00141A96" w:rsidRPr="00F93882">
              <w:rPr>
                <w:sz w:val="20"/>
                <w:szCs w:val="20"/>
              </w:rPr>
              <w:t xml:space="preserve"> </w:t>
            </w:r>
            <w:r w:rsidR="00656AEA" w:rsidRPr="00F93882">
              <w:rPr>
                <w:sz w:val="20"/>
                <w:szCs w:val="20"/>
              </w:rPr>
              <w:t>utrzymywanie się aktywnej i ciężkiej postaci choroby pomimo zastosowania co najmniej dwóch leków modyfikujących przebieg choroby/leków immunosupresyjnych, takich jak metotre</w:t>
            </w:r>
            <w:r w:rsidR="00871DBE" w:rsidRPr="00F93882">
              <w:rPr>
                <w:sz w:val="20"/>
                <w:szCs w:val="20"/>
              </w:rPr>
              <w:t>ksat, leflunomid, sulfasalazyna oraz</w:t>
            </w:r>
            <w:r w:rsidR="00656AEA" w:rsidRPr="00F93882">
              <w:rPr>
                <w:sz w:val="20"/>
                <w:szCs w:val="20"/>
              </w:rPr>
              <w:t xml:space="preserve"> cyklosporyna, zgodnie z obowiązującymi zaleceniami EULAR</w:t>
            </w:r>
            <w:r w:rsidR="00871DBE" w:rsidRPr="00F93882">
              <w:rPr>
                <w:sz w:val="20"/>
                <w:szCs w:val="20"/>
              </w:rPr>
              <w:t>/GRAPPA</w:t>
            </w:r>
            <w:r w:rsidR="00656AEA" w:rsidRPr="00F93882">
              <w:rPr>
                <w:sz w:val="20"/>
                <w:szCs w:val="20"/>
              </w:rPr>
              <w:t>, z których każdy zastosowany był przez co najmniej 4 miesiące w monoterapii lub terapii łączonej (w tym po niepowodzeniu terapii metotreksatem w postaci doustnej lub podskórnej)</w:t>
            </w:r>
            <w:r w:rsidR="00871DBE" w:rsidRPr="00F93882">
              <w:rPr>
                <w:sz w:val="20"/>
                <w:szCs w:val="20"/>
              </w:rPr>
              <w:t>.</w:t>
            </w:r>
          </w:p>
          <w:p w14:paraId="74E1218E" w14:textId="2EED13D8" w:rsidR="00871DBE" w:rsidRPr="00F93882" w:rsidRDefault="00871DBE" w:rsidP="00F93882">
            <w:pPr>
              <w:pStyle w:val="Akapitzlist"/>
              <w:spacing w:line="276" w:lineRule="auto"/>
              <w:rPr>
                <w:sz w:val="20"/>
                <w:szCs w:val="20"/>
              </w:rPr>
            </w:pPr>
            <w:r w:rsidRPr="00F93882">
              <w:rPr>
                <w:sz w:val="20"/>
                <w:szCs w:val="20"/>
              </w:rPr>
              <w:lastRenderedPageBreak/>
              <w:t>U pacjentów z zapaleniem przyczepów ścięgnistych będących podstawą kwalifikacji, dodatkowo po niepowodzeniu leczenia co najmniej dwoma niesteroidowymi lekami przeciwzapalnymi w maksymalnych rekomendowanych lub tolerowanych dawkach przez co najmniej 4 tygodnie każdym oraz po niepowodzeniu co najmniej jednego miejscowego podania glikokortykosteroidów;</w:t>
            </w:r>
          </w:p>
          <w:p w14:paraId="2FD872BA" w14:textId="6EC5D109" w:rsidR="002279F5" w:rsidRPr="00F93882" w:rsidRDefault="002279F5" w:rsidP="00F93882">
            <w:pPr>
              <w:pStyle w:val="Akapitzlist"/>
              <w:numPr>
                <w:ilvl w:val="0"/>
                <w:numId w:val="12"/>
              </w:numPr>
              <w:spacing w:line="276" w:lineRule="auto"/>
              <w:rPr>
                <w:bCs/>
                <w:iCs/>
                <w:sz w:val="20"/>
                <w:szCs w:val="20"/>
              </w:rPr>
            </w:pPr>
            <w:r w:rsidRPr="00F93882">
              <w:rPr>
                <w:sz w:val="20"/>
                <w:szCs w:val="20"/>
              </w:rPr>
              <w:t xml:space="preserve">w przypadku </w:t>
            </w:r>
            <w:r w:rsidR="00FC1013" w:rsidRPr="00F93882">
              <w:rPr>
                <w:sz w:val="20"/>
                <w:szCs w:val="20"/>
              </w:rPr>
              <w:t>postaci osiowej ŁZS</w:t>
            </w:r>
            <w:r w:rsidR="003C6E06" w:rsidRPr="00F93882">
              <w:rPr>
                <w:sz w:val="20"/>
                <w:szCs w:val="20"/>
              </w:rPr>
              <w:t xml:space="preserve"> </w:t>
            </w:r>
            <w:r w:rsidR="00656AEA" w:rsidRPr="00F93882">
              <w:rPr>
                <w:sz w:val="20"/>
                <w:szCs w:val="20"/>
              </w:rPr>
              <w:t>-</w:t>
            </w:r>
            <w:r w:rsidR="003C6E06" w:rsidRPr="00F93882">
              <w:rPr>
                <w:sz w:val="20"/>
                <w:szCs w:val="20"/>
              </w:rPr>
              <w:t xml:space="preserve"> </w:t>
            </w:r>
            <w:r w:rsidR="00141A96" w:rsidRPr="00F93882">
              <w:rPr>
                <w:bCs/>
                <w:iCs/>
                <w:sz w:val="20"/>
                <w:szCs w:val="20"/>
              </w:rPr>
              <w:t>utrzymywanie się aktywnej i ciężkiej postaci choroby pomimo zastosowania co najmniej dwóch niesteroidowych leków przeciwzapalnych, z których każdy zastosowany był w maksymalnej rekomendowanej lub tolerowanej przez chorego dawce przez co najmniej 4 tygodnie w monoterapii</w:t>
            </w:r>
            <w:r w:rsidR="007820BA" w:rsidRPr="00F93882">
              <w:rPr>
                <w:bCs/>
                <w:iCs/>
                <w:sz w:val="20"/>
                <w:szCs w:val="20"/>
              </w:rPr>
              <w:t>.</w:t>
            </w:r>
          </w:p>
          <w:p w14:paraId="1DB610E8" w14:textId="4445C659" w:rsidR="002279F5" w:rsidRPr="00F93882" w:rsidRDefault="00EE20BA" w:rsidP="00F93882">
            <w:pPr>
              <w:pStyle w:val="Akapitzlist"/>
              <w:numPr>
                <w:ilvl w:val="0"/>
                <w:numId w:val="7"/>
              </w:numPr>
              <w:spacing w:line="276" w:lineRule="auto"/>
              <w:ind w:left="454" w:hanging="425"/>
              <w:rPr>
                <w:sz w:val="20"/>
                <w:szCs w:val="20"/>
              </w:rPr>
            </w:pPr>
            <w:r w:rsidRPr="00F93882">
              <w:rPr>
                <w:sz w:val="20"/>
                <w:szCs w:val="20"/>
              </w:rPr>
              <w:t>W przypadkach, w których pacjentowi grozi kalectwo lub zagrożone jest jego życie, decyzją Zespołu Koordynacyjnego do Spraw Leczenia Biologicznego w Chorobach Reumatycznych, pacjent może być zakwalifikowany do leczenia biologicznego w przypadku niespełnienia części kryteriów opisanych w programie, jeśli leczenie jest zgodne z aktualnie obowiązującymi rekomendacjami oraz wiedzą medyczną.</w:t>
            </w:r>
          </w:p>
          <w:p w14:paraId="52E1AD17" w14:textId="4B04DC4E" w:rsidR="00094972" w:rsidRPr="00F93882" w:rsidRDefault="00094972" w:rsidP="00F93882">
            <w:pPr>
              <w:pStyle w:val="Akapitzlist"/>
              <w:numPr>
                <w:ilvl w:val="0"/>
                <w:numId w:val="7"/>
              </w:numPr>
              <w:spacing w:line="276" w:lineRule="auto"/>
              <w:ind w:left="454" w:hanging="425"/>
              <w:rPr>
                <w:sz w:val="20"/>
                <w:szCs w:val="20"/>
              </w:rPr>
            </w:pPr>
            <w:r w:rsidRPr="00F93882">
              <w:rPr>
                <w:sz w:val="20"/>
                <w:szCs w:val="20"/>
              </w:rPr>
              <w:t>W przypadku kobiet wymagana jest zgoda na świadomą kontrolę urodzeń, zgodnie z Charakterystyką Produktu Leczniczego, którym odbywa się leczenie biologiczne.</w:t>
            </w:r>
          </w:p>
          <w:p w14:paraId="3461B453" w14:textId="77777777" w:rsidR="002279F5" w:rsidRPr="00F93882" w:rsidRDefault="002279F5" w:rsidP="00F93882">
            <w:pPr>
              <w:pStyle w:val="Akapitzlist1"/>
              <w:spacing w:line="276" w:lineRule="auto"/>
              <w:ind w:left="0"/>
              <w:rPr>
                <w:b/>
              </w:rPr>
            </w:pPr>
          </w:p>
          <w:p w14:paraId="234F92B8" w14:textId="77777777" w:rsidR="00486104" w:rsidRPr="00F93882" w:rsidRDefault="00486104" w:rsidP="00F93882">
            <w:pPr>
              <w:pStyle w:val="Akapitzlist"/>
              <w:numPr>
                <w:ilvl w:val="0"/>
                <w:numId w:val="6"/>
              </w:numPr>
              <w:spacing w:line="276" w:lineRule="auto"/>
              <w:ind w:left="357" w:hanging="357"/>
              <w:rPr>
                <w:b/>
                <w:sz w:val="20"/>
                <w:szCs w:val="20"/>
              </w:rPr>
            </w:pPr>
            <w:r w:rsidRPr="00F93882">
              <w:rPr>
                <w:b/>
                <w:sz w:val="20"/>
                <w:szCs w:val="20"/>
              </w:rPr>
              <w:t>Kryteria stanowiące przeciwwskazania do udziału w  programie:</w:t>
            </w:r>
          </w:p>
          <w:p w14:paraId="134A6A85" w14:textId="1090E81D" w:rsidR="00AE6460" w:rsidRPr="00F93882" w:rsidRDefault="00AE6460" w:rsidP="00F93882">
            <w:pPr>
              <w:spacing w:line="276" w:lineRule="auto"/>
              <w:rPr>
                <w:sz w:val="20"/>
                <w:szCs w:val="20"/>
              </w:rPr>
            </w:pPr>
            <w:r w:rsidRPr="00F93882">
              <w:rPr>
                <w:sz w:val="20"/>
                <w:szCs w:val="20"/>
              </w:rPr>
              <w:t>Przeciwwskazania do udziału w programie wynikają z przeciwwskazań do stosowania określonych w Charakterystykach Produktów Leczniczych poszczególnych substancji czynnych ujętych w programie lekowym</w:t>
            </w:r>
            <w:r w:rsidR="00296ABE" w:rsidRPr="00F93882">
              <w:rPr>
                <w:sz w:val="20"/>
                <w:szCs w:val="20"/>
              </w:rPr>
              <w:t>, z uwzględnieniem rekomendacji EULAR/GRAPPA/ASAS</w:t>
            </w:r>
            <w:r w:rsidRPr="00F93882">
              <w:rPr>
                <w:sz w:val="20"/>
                <w:szCs w:val="20"/>
              </w:rPr>
              <w:t>.</w:t>
            </w:r>
          </w:p>
          <w:p w14:paraId="2CA01352" w14:textId="77777777" w:rsidR="00610582" w:rsidRPr="00F93882" w:rsidRDefault="00610582" w:rsidP="00F93882">
            <w:pPr>
              <w:pStyle w:val="EntLogo"/>
              <w:numPr>
                <w:ilvl w:val="0"/>
                <w:numId w:val="0"/>
              </w:numPr>
              <w:spacing w:line="276" w:lineRule="auto"/>
              <w:rPr>
                <w:sz w:val="20"/>
                <w:szCs w:val="20"/>
              </w:rPr>
            </w:pPr>
          </w:p>
          <w:p w14:paraId="1D7341E9" w14:textId="77777777" w:rsidR="006F2816" w:rsidRPr="00F93882" w:rsidRDefault="006F2816" w:rsidP="00F93882">
            <w:pPr>
              <w:pStyle w:val="Nagwek4"/>
              <w:numPr>
                <w:ilvl w:val="0"/>
                <w:numId w:val="6"/>
              </w:numPr>
              <w:spacing w:before="0" w:after="0" w:line="276" w:lineRule="auto"/>
              <w:ind w:left="357" w:hanging="357"/>
              <w:rPr>
                <w:iCs/>
                <w:sz w:val="20"/>
                <w:szCs w:val="20"/>
              </w:rPr>
            </w:pPr>
            <w:r w:rsidRPr="00F93882">
              <w:rPr>
                <w:iCs/>
                <w:sz w:val="20"/>
                <w:szCs w:val="20"/>
              </w:rPr>
              <w:t>Adekwatna odpowiedź na leczenie:</w:t>
            </w:r>
          </w:p>
          <w:p w14:paraId="69B4381F" w14:textId="7FC29465" w:rsidR="006F2816" w:rsidRPr="00F93882" w:rsidRDefault="006F2816" w:rsidP="00F93882">
            <w:pPr>
              <w:pStyle w:val="Akapitzlist"/>
              <w:numPr>
                <w:ilvl w:val="0"/>
                <w:numId w:val="29"/>
              </w:numPr>
              <w:spacing w:line="276" w:lineRule="auto"/>
              <w:ind w:left="313"/>
              <w:rPr>
                <w:sz w:val="20"/>
                <w:szCs w:val="20"/>
              </w:rPr>
            </w:pPr>
            <w:r w:rsidRPr="00F93882">
              <w:rPr>
                <w:sz w:val="20"/>
                <w:szCs w:val="20"/>
              </w:rPr>
              <w:t xml:space="preserve">w przypadku </w:t>
            </w:r>
            <w:r w:rsidR="00FC1013" w:rsidRPr="00F93882">
              <w:rPr>
                <w:sz w:val="20"/>
                <w:szCs w:val="20"/>
              </w:rPr>
              <w:t>postaci obwodowej ŁZS</w:t>
            </w:r>
            <w:r w:rsidRPr="00F93882">
              <w:rPr>
                <w:sz w:val="20"/>
                <w:szCs w:val="20"/>
              </w:rPr>
              <w:t>:</w:t>
            </w:r>
          </w:p>
          <w:p w14:paraId="6D9A0275" w14:textId="0618BE86" w:rsidR="00F51799" w:rsidRPr="00F93882" w:rsidRDefault="00FC1013" w:rsidP="00F93882">
            <w:pPr>
              <w:pStyle w:val="Akapitzlist"/>
              <w:numPr>
                <w:ilvl w:val="0"/>
                <w:numId w:val="31"/>
              </w:numPr>
              <w:spacing w:line="276" w:lineRule="auto"/>
              <w:rPr>
                <w:sz w:val="20"/>
                <w:szCs w:val="20"/>
              </w:rPr>
            </w:pPr>
            <w:r w:rsidRPr="00F93882">
              <w:rPr>
                <w:sz w:val="20"/>
                <w:szCs w:val="20"/>
              </w:rPr>
              <w:t>wg zmodyfikowanych kryteriów PsARC</w:t>
            </w:r>
            <w:r w:rsidR="00F51799" w:rsidRPr="00F93882">
              <w:rPr>
                <w:sz w:val="20"/>
                <w:szCs w:val="20"/>
              </w:rPr>
              <w:t>:</w:t>
            </w:r>
          </w:p>
          <w:p w14:paraId="2D183A1C" w14:textId="1718DF3D" w:rsidR="00F51799" w:rsidRPr="00F93882" w:rsidRDefault="0018654A" w:rsidP="00F93882">
            <w:pPr>
              <w:pStyle w:val="Akapitzlist"/>
              <w:numPr>
                <w:ilvl w:val="0"/>
                <w:numId w:val="32"/>
              </w:numPr>
              <w:spacing w:line="276" w:lineRule="auto"/>
              <w:ind w:left="1021"/>
              <w:rPr>
                <w:sz w:val="20"/>
                <w:szCs w:val="20"/>
              </w:rPr>
            </w:pPr>
            <w:r w:rsidRPr="00F93882">
              <w:rPr>
                <w:sz w:val="20"/>
                <w:szCs w:val="20"/>
              </w:rPr>
              <w:t xml:space="preserve">po 3 miesiącach (± 14 dni) terapii </w:t>
            </w:r>
            <w:r w:rsidR="00617859" w:rsidRPr="00F93882">
              <w:rPr>
                <w:sz w:val="20"/>
                <w:szCs w:val="20"/>
              </w:rPr>
              <w:t xml:space="preserve">inhibitorem TNF alfa lub po 4 miesiącach (± 14 dni)  terapii sekukinumabem </w:t>
            </w:r>
            <w:r w:rsidR="00FC1013" w:rsidRPr="00F93882">
              <w:rPr>
                <w:sz w:val="20"/>
                <w:szCs w:val="20"/>
              </w:rPr>
              <w:t xml:space="preserve">zmniejszenie </w:t>
            </w:r>
            <w:r w:rsidR="00F51799" w:rsidRPr="00F93882">
              <w:rPr>
                <w:sz w:val="20"/>
                <w:szCs w:val="20"/>
              </w:rPr>
              <w:t xml:space="preserve">o </w:t>
            </w:r>
            <w:r w:rsidR="00FC1013" w:rsidRPr="00F93882">
              <w:rPr>
                <w:sz w:val="20"/>
                <w:szCs w:val="20"/>
              </w:rPr>
              <w:t xml:space="preserve">co </w:t>
            </w:r>
            <w:r w:rsidR="00F51799" w:rsidRPr="00F93882">
              <w:rPr>
                <w:sz w:val="20"/>
                <w:szCs w:val="20"/>
              </w:rPr>
              <w:t xml:space="preserve">najmniej 30% </w:t>
            </w:r>
            <w:r w:rsidRPr="00F93882">
              <w:rPr>
                <w:sz w:val="20"/>
                <w:szCs w:val="20"/>
              </w:rPr>
              <w:t>w stosunku do wartości sprzed leczenia</w:t>
            </w:r>
            <w:r w:rsidR="00C53029" w:rsidRPr="00F93882">
              <w:rPr>
                <w:sz w:val="20"/>
                <w:szCs w:val="20"/>
              </w:rPr>
              <w:t xml:space="preserve"> łącznej</w:t>
            </w:r>
            <w:r w:rsidRPr="00F93882">
              <w:rPr>
                <w:sz w:val="20"/>
                <w:szCs w:val="20"/>
              </w:rPr>
              <w:t xml:space="preserve"> </w:t>
            </w:r>
            <w:r w:rsidR="00F51799" w:rsidRPr="00F93882">
              <w:rPr>
                <w:sz w:val="20"/>
                <w:szCs w:val="20"/>
              </w:rPr>
              <w:t xml:space="preserve">liczby </w:t>
            </w:r>
            <w:r w:rsidR="00FC1013" w:rsidRPr="00F93882">
              <w:rPr>
                <w:sz w:val="20"/>
                <w:szCs w:val="20"/>
              </w:rPr>
              <w:t>zajętych</w:t>
            </w:r>
            <w:r w:rsidR="00F51799" w:rsidRPr="00F93882">
              <w:rPr>
                <w:sz w:val="20"/>
                <w:szCs w:val="20"/>
              </w:rPr>
              <w:t xml:space="preserve"> stawów</w:t>
            </w:r>
            <w:r w:rsidR="00FC1013" w:rsidRPr="00F93882">
              <w:rPr>
                <w:sz w:val="20"/>
                <w:szCs w:val="20"/>
              </w:rPr>
              <w:t xml:space="preserve"> i przyczepów ścięgnistych</w:t>
            </w:r>
            <w:r w:rsidR="00F51799" w:rsidRPr="00F93882">
              <w:rPr>
                <w:sz w:val="20"/>
                <w:szCs w:val="20"/>
              </w:rPr>
              <w:t xml:space="preserve"> oraz zmniejszenie </w:t>
            </w:r>
            <w:r w:rsidR="00FC1013" w:rsidRPr="00F93882">
              <w:rPr>
                <w:sz w:val="20"/>
                <w:szCs w:val="20"/>
              </w:rPr>
              <w:t xml:space="preserve">aktywności choroby </w:t>
            </w:r>
            <w:r w:rsidR="00F51799" w:rsidRPr="00F93882">
              <w:rPr>
                <w:sz w:val="20"/>
                <w:szCs w:val="20"/>
              </w:rPr>
              <w:t>w</w:t>
            </w:r>
            <w:r w:rsidR="00FC1013" w:rsidRPr="00F93882">
              <w:rPr>
                <w:sz w:val="20"/>
                <w:szCs w:val="20"/>
              </w:rPr>
              <w:t xml:space="preserve">g skali Likerta o co najmniej jedną jednostkę, </w:t>
            </w:r>
            <w:r w:rsidR="00F51799" w:rsidRPr="00F93882">
              <w:rPr>
                <w:sz w:val="20"/>
                <w:szCs w:val="20"/>
              </w:rPr>
              <w:t xml:space="preserve">zarówno </w:t>
            </w:r>
            <w:r w:rsidR="00FC1013" w:rsidRPr="00F93882">
              <w:rPr>
                <w:sz w:val="20"/>
                <w:szCs w:val="20"/>
              </w:rPr>
              <w:t>w ocenie</w:t>
            </w:r>
            <w:r w:rsidR="00F51799" w:rsidRPr="00F93882">
              <w:rPr>
                <w:sz w:val="20"/>
                <w:szCs w:val="20"/>
              </w:rPr>
              <w:t xml:space="preserve"> chorego, jak i lekarza</w:t>
            </w:r>
            <w:r w:rsidRPr="00F93882">
              <w:rPr>
                <w:sz w:val="20"/>
                <w:szCs w:val="20"/>
              </w:rPr>
              <w:t>,</w:t>
            </w:r>
          </w:p>
          <w:p w14:paraId="7D7EF9E9" w14:textId="47312213" w:rsidR="0018654A" w:rsidRPr="00F93882" w:rsidRDefault="00D4502E" w:rsidP="00F93882">
            <w:pPr>
              <w:pStyle w:val="Akapitzlist"/>
              <w:numPr>
                <w:ilvl w:val="0"/>
                <w:numId w:val="32"/>
              </w:numPr>
              <w:spacing w:line="276" w:lineRule="auto"/>
              <w:ind w:left="1021"/>
              <w:rPr>
                <w:sz w:val="20"/>
                <w:szCs w:val="20"/>
              </w:rPr>
            </w:pPr>
            <w:r w:rsidRPr="00F93882">
              <w:rPr>
                <w:sz w:val="20"/>
                <w:szCs w:val="20"/>
              </w:rPr>
              <w:t xml:space="preserve">po 6 miesiącach (± 28 dni) </w:t>
            </w:r>
            <w:r w:rsidR="00917C67" w:rsidRPr="00F93882">
              <w:rPr>
                <w:sz w:val="20"/>
                <w:szCs w:val="20"/>
              </w:rPr>
              <w:t>terapii inhibitorem</w:t>
            </w:r>
            <w:r w:rsidR="00320987" w:rsidRPr="00F93882">
              <w:rPr>
                <w:sz w:val="20"/>
                <w:szCs w:val="20"/>
              </w:rPr>
              <w:t xml:space="preserve"> TNF alfa lub po 7 miesiącach (± 28 dni) </w:t>
            </w:r>
            <w:r w:rsidR="00284946" w:rsidRPr="00F93882">
              <w:rPr>
                <w:sz w:val="20"/>
                <w:szCs w:val="20"/>
              </w:rPr>
              <w:t xml:space="preserve">terapii sekukinumabem </w:t>
            </w:r>
            <w:r w:rsidR="00FC1013" w:rsidRPr="00F93882">
              <w:rPr>
                <w:sz w:val="20"/>
                <w:szCs w:val="20"/>
              </w:rPr>
              <w:t xml:space="preserve">osiągnięcie niskiej aktywności choroby definiowanej jako zmniejszenie o  co </w:t>
            </w:r>
            <w:r w:rsidRPr="00F93882">
              <w:rPr>
                <w:sz w:val="20"/>
                <w:szCs w:val="20"/>
              </w:rPr>
              <w:t>najmniej 50% w stosunku do wartości sprzed leczenia</w:t>
            </w:r>
            <w:r w:rsidR="00C53029" w:rsidRPr="00F93882">
              <w:rPr>
                <w:sz w:val="20"/>
                <w:szCs w:val="20"/>
              </w:rPr>
              <w:t xml:space="preserve"> łącznej</w:t>
            </w:r>
            <w:r w:rsidRPr="00F93882">
              <w:rPr>
                <w:sz w:val="20"/>
                <w:szCs w:val="20"/>
              </w:rPr>
              <w:t xml:space="preserve"> liczby </w:t>
            </w:r>
            <w:r w:rsidR="00FC1013" w:rsidRPr="00F93882">
              <w:rPr>
                <w:sz w:val="20"/>
                <w:szCs w:val="20"/>
              </w:rPr>
              <w:t xml:space="preserve">zajętych </w:t>
            </w:r>
            <w:r w:rsidRPr="00F93882">
              <w:rPr>
                <w:sz w:val="20"/>
                <w:szCs w:val="20"/>
              </w:rPr>
              <w:t>stawów</w:t>
            </w:r>
            <w:r w:rsidR="00FC1013" w:rsidRPr="00F93882">
              <w:rPr>
                <w:sz w:val="20"/>
                <w:szCs w:val="20"/>
              </w:rPr>
              <w:t xml:space="preserve"> i przyczepów ścięgnistych</w:t>
            </w:r>
            <w:r w:rsidRPr="00F93882">
              <w:rPr>
                <w:sz w:val="20"/>
                <w:szCs w:val="20"/>
              </w:rPr>
              <w:t xml:space="preserve"> oraz aktywności choroby</w:t>
            </w:r>
            <w:r w:rsidR="00FC1013" w:rsidRPr="00F93882">
              <w:rPr>
                <w:sz w:val="20"/>
                <w:szCs w:val="20"/>
              </w:rPr>
              <w:t xml:space="preserve"> wg skali Likerta</w:t>
            </w:r>
            <w:r w:rsidRPr="00F93882">
              <w:rPr>
                <w:sz w:val="20"/>
                <w:szCs w:val="20"/>
              </w:rPr>
              <w:t xml:space="preserve">, zarówno </w:t>
            </w:r>
            <w:r w:rsidR="00FC1013" w:rsidRPr="00F93882">
              <w:rPr>
                <w:sz w:val="20"/>
                <w:szCs w:val="20"/>
              </w:rPr>
              <w:t>w ocenie</w:t>
            </w:r>
            <w:r w:rsidRPr="00F93882">
              <w:rPr>
                <w:sz w:val="20"/>
                <w:szCs w:val="20"/>
              </w:rPr>
              <w:t xml:space="preserve"> chorego, jak i lekarza,</w:t>
            </w:r>
          </w:p>
          <w:p w14:paraId="0E672FF7" w14:textId="746A8E77" w:rsidR="0018654A" w:rsidRPr="00F93882" w:rsidRDefault="00FC1013" w:rsidP="00F93882">
            <w:pPr>
              <w:pStyle w:val="Akapitzlist"/>
              <w:numPr>
                <w:ilvl w:val="0"/>
                <w:numId w:val="31"/>
              </w:numPr>
              <w:spacing w:line="276" w:lineRule="auto"/>
              <w:rPr>
                <w:sz w:val="20"/>
                <w:szCs w:val="20"/>
              </w:rPr>
            </w:pPr>
            <w:r w:rsidRPr="00F93882">
              <w:rPr>
                <w:sz w:val="20"/>
                <w:szCs w:val="20"/>
              </w:rPr>
              <w:t>wg</w:t>
            </w:r>
            <w:r w:rsidR="0018654A" w:rsidRPr="00F93882">
              <w:rPr>
                <w:sz w:val="20"/>
                <w:szCs w:val="20"/>
              </w:rPr>
              <w:t xml:space="preserve"> DAS 28</w:t>
            </w:r>
            <w:r w:rsidRPr="00F93882">
              <w:rPr>
                <w:sz w:val="20"/>
                <w:szCs w:val="20"/>
              </w:rPr>
              <w:t xml:space="preserve"> lub DAS</w:t>
            </w:r>
            <w:r w:rsidR="0018654A" w:rsidRPr="00F93882">
              <w:rPr>
                <w:sz w:val="20"/>
                <w:szCs w:val="20"/>
              </w:rPr>
              <w:t>:</w:t>
            </w:r>
          </w:p>
          <w:p w14:paraId="699346A2" w14:textId="12447BB4" w:rsidR="0018654A" w:rsidRPr="00F93882" w:rsidRDefault="00FC1013" w:rsidP="00F93882">
            <w:pPr>
              <w:pStyle w:val="Akapitzlist"/>
              <w:numPr>
                <w:ilvl w:val="0"/>
                <w:numId w:val="33"/>
              </w:numPr>
              <w:spacing w:line="276" w:lineRule="auto"/>
              <w:ind w:left="1021"/>
              <w:rPr>
                <w:sz w:val="20"/>
                <w:szCs w:val="20"/>
              </w:rPr>
            </w:pPr>
            <w:r w:rsidRPr="00F93882">
              <w:rPr>
                <w:sz w:val="20"/>
                <w:szCs w:val="20"/>
              </w:rPr>
              <w:t xml:space="preserve">po 3 miesiącach (± 14 dni) od pierwszego podania inhibitora TNF alfa </w:t>
            </w:r>
            <w:r w:rsidR="008506C8" w:rsidRPr="00F93882">
              <w:rPr>
                <w:sz w:val="20"/>
                <w:szCs w:val="20"/>
              </w:rPr>
              <w:t xml:space="preserve">lub po 4 miesiącach (± 14 dni) od pierwszego podania sekukinumabu </w:t>
            </w:r>
            <w:r w:rsidRPr="00F93882">
              <w:rPr>
                <w:sz w:val="20"/>
                <w:szCs w:val="20"/>
              </w:rPr>
              <w:t xml:space="preserve">uzyskanie co najmniej umiarkowanej aktywności choroby mierzonej </w:t>
            </w:r>
            <w:r w:rsidR="007D721F" w:rsidRPr="00F93882">
              <w:rPr>
                <w:sz w:val="20"/>
                <w:szCs w:val="20"/>
              </w:rPr>
              <w:t>wartością wskaźnika</w:t>
            </w:r>
            <w:r w:rsidRPr="00F93882">
              <w:rPr>
                <w:sz w:val="20"/>
                <w:szCs w:val="20"/>
              </w:rPr>
              <w:t xml:space="preserve"> DAS 28 ≤</w:t>
            </w:r>
            <w:r w:rsidR="0018654A" w:rsidRPr="00F93882">
              <w:rPr>
                <w:sz w:val="20"/>
                <w:szCs w:val="20"/>
              </w:rPr>
              <w:t xml:space="preserve"> </w:t>
            </w:r>
            <w:r w:rsidRPr="00F93882">
              <w:rPr>
                <w:sz w:val="20"/>
                <w:szCs w:val="20"/>
              </w:rPr>
              <w:t>5,1 albo DAS ≤ 3,7,</w:t>
            </w:r>
          </w:p>
          <w:p w14:paraId="34C72F5E" w14:textId="0AE0CE51" w:rsidR="0018654A" w:rsidRPr="00F93882" w:rsidRDefault="00FC1013" w:rsidP="00F93882">
            <w:pPr>
              <w:pStyle w:val="Akapitzlist"/>
              <w:numPr>
                <w:ilvl w:val="0"/>
                <w:numId w:val="33"/>
              </w:numPr>
              <w:spacing w:line="276" w:lineRule="auto"/>
              <w:ind w:left="1021"/>
              <w:rPr>
                <w:sz w:val="20"/>
                <w:szCs w:val="20"/>
              </w:rPr>
            </w:pPr>
            <w:r w:rsidRPr="00F93882">
              <w:rPr>
                <w:sz w:val="20"/>
                <w:szCs w:val="20"/>
              </w:rPr>
              <w:t xml:space="preserve">po 6 miesiącach (± 28 dni) od pierwszego podania inhibitora TNF alfa </w:t>
            </w:r>
            <w:r w:rsidR="005D0B97" w:rsidRPr="00F93882">
              <w:rPr>
                <w:sz w:val="20"/>
                <w:szCs w:val="20"/>
              </w:rPr>
              <w:t xml:space="preserve">lub po 7 miesiącach (± 28 dni) od pierwszego podania sekukinumabu </w:t>
            </w:r>
            <w:r w:rsidRPr="00F93882">
              <w:rPr>
                <w:sz w:val="20"/>
                <w:szCs w:val="20"/>
              </w:rPr>
              <w:t xml:space="preserve">uzyskanie co najmniej niskiej aktywności choroby mierzonej </w:t>
            </w:r>
            <w:r w:rsidR="007D721F" w:rsidRPr="00F93882">
              <w:rPr>
                <w:sz w:val="20"/>
                <w:szCs w:val="20"/>
              </w:rPr>
              <w:t>wartością wskaźnika DAS 28 ≤ 3,2 albo DAS ≤ 2,4;</w:t>
            </w:r>
          </w:p>
          <w:p w14:paraId="561EFC7B" w14:textId="02FFF083" w:rsidR="006F2816" w:rsidRPr="00F93882" w:rsidRDefault="006F2816" w:rsidP="00F93882">
            <w:pPr>
              <w:pStyle w:val="Akapitzlist"/>
              <w:numPr>
                <w:ilvl w:val="0"/>
                <w:numId w:val="29"/>
              </w:numPr>
              <w:spacing w:line="276" w:lineRule="auto"/>
              <w:ind w:left="313"/>
              <w:rPr>
                <w:sz w:val="20"/>
                <w:szCs w:val="20"/>
              </w:rPr>
            </w:pPr>
            <w:r w:rsidRPr="00F93882">
              <w:rPr>
                <w:sz w:val="20"/>
                <w:szCs w:val="20"/>
              </w:rPr>
              <w:t xml:space="preserve">w przypadku </w:t>
            </w:r>
            <w:r w:rsidR="007D721F" w:rsidRPr="00F93882">
              <w:rPr>
                <w:sz w:val="20"/>
                <w:szCs w:val="20"/>
              </w:rPr>
              <w:t>postaci osiowej ŁZS</w:t>
            </w:r>
            <w:r w:rsidRPr="00F93882">
              <w:rPr>
                <w:sz w:val="20"/>
                <w:szCs w:val="20"/>
              </w:rPr>
              <w:t>:</w:t>
            </w:r>
          </w:p>
          <w:p w14:paraId="0DF0787B" w14:textId="6396CD18" w:rsidR="00F51799" w:rsidRPr="00F93882" w:rsidRDefault="007D721F" w:rsidP="00F93882">
            <w:pPr>
              <w:pStyle w:val="Akapitzlist"/>
              <w:numPr>
                <w:ilvl w:val="0"/>
                <w:numId w:val="30"/>
              </w:numPr>
              <w:spacing w:line="276" w:lineRule="auto"/>
              <w:rPr>
                <w:sz w:val="20"/>
                <w:szCs w:val="20"/>
              </w:rPr>
            </w:pPr>
            <w:r w:rsidRPr="00F93882">
              <w:rPr>
                <w:sz w:val="20"/>
                <w:szCs w:val="20"/>
              </w:rPr>
              <w:t xml:space="preserve">po 3 miesiącach (± 14 dni) terapii </w:t>
            </w:r>
            <w:r w:rsidR="00652451" w:rsidRPr="00F93882">
              <w:rPr>
                <w:sz w:val="20"/>
                <w:szCs w:val="20"/>
              </w:rPr>
              <w:t xml:space="preserve">inhibitorem TNF alfa lub po 4 miesiącach (± 14 dni) terapii sekukinumabem </w:t>
            </w:r>
            <w:r w:rsidR="00F51799" w:rsidRPr="00F93882">
              <w:rPr>
                <w:sz w:val="20"/>
                <w:szCs w:val="20"/>
              </w:rPr>
              <w:t xml:space="preserve">zmniejszenie wartości BASDAI ≥ 50% lub ≥ 2 jednostki </w:t>
            </w:r>
            <w:r w:rsidR="00F51799" w:rsidRPr="00F93882">
              <w:rPr>
                <w:sz w:val="20"/>
                <w:szCs w:val="20"/>
              </w:rPr>
              <w:lastRenderedPageBreak/>
              <w:t>albo zmniejszenie wartości ASDAS o 50% lub ≥ 1,1 jednostki w stosu</w:t>
            </w:r>
            <w:r w:rsidRPr="00F93882">
              <w:rPr>
                <w:sz w:val="20"/>
                <w:szCs w:val="20"/>
              </w:rPr>
              <w:t>nku do wartości sprzed leczenia,</w:t>
            </w:r>
          </w:p>
          <w:p w14:paraId="4990A9E9" w14:textId="30216107" w:rsidR="006F2816" w:rsidRPr="003C3487" w:rsidRDefault="007D721F" w:rsidP="0018654A">
            <w:pPr>
              <w:pStyle w:val="Akapitzlist"/>
              <w:numPr>
                <w:ilvl w:val="0"/>
                <w:numId w:val="30"/>
              </w:numPr>
              <w:rPr>
                <w:sz w:val="20"/>
                <w:szCs w:val="20"/>
              </w:rPr>
            </w:pPr>
            <w:r w:rsidRPr="003C3487">
              <w:rPr>
                <w:sz w:val="20"/>
                <w:szCs w:val="20"/>
              </w:rPr>
              <w:t xml:space="preserve">po 6 miesiącach (± 28 dni) terapii </w:t>
            </w:r>
            <w:r w:rsidR="00945F2B">
              <w:rPr>
                <w:sz w:val="20"/>
                <w:szCs w:val="20"/>
              </w:rPr>
              <w:t xml:space="preserve">inhibitorem TNF alfa lub po 7 miesiącach </w:t>
            </w:r>
            <w:r w:rsidR="00945F2B" w:rsidRPr="003C3487">
              <w:rPr>
                <w:sz w:val="20"/>
                <w:szCs w:val="20"/>
              </w:rPr>
              <w:t xml:space="preserve">(± 28 dni) </w:t>
            </w:r>
            <w:r w:rsidR="00945F2B">
              <w:rPr>
                <w:sz w:val="20"/>
                <w:szCs w:val="20"/>
              </w:rPr>
              <w:t xml:space="preserve">terapii sekukinumabem </w:t>
            </w:r>
            <w:r w:rsidR="00F51799" w:rsidRPr="003C3487">
              <w:rPr>
                <w:sz w:val="20"/>
                <w:szCs w:val="20"/>
              </w:rPr>
              <w:t>uzyskanie</w:t>
            </w:r>
            <w:r w:rsidRPr="003C3487">
              <w:rPr>
                <w:sz w:val="20"/>
                <w:szCs w:val="20"/>
              </w:rPr>
              <w:t xml:space="preserve"> niskiej aktywności choroby</w:t>
            </w:r>
            <w:r w:rsidR="002C59B2" w:rsidRPr="003C3487">
              <w:rPr>
                <w:sz w:val="20"/>
                <w:szCs w:val="20"/>
              </w:rPr>
              <w:t xml:space="preserve"> mierzonej</w:t>
            </w:r>
            <w:r w:rsidR="00F51799" w:rsidRPr="003C3487">
              <w:rPr>
                <w:sz w:val="20"/>
                <w:szCs w:val="20"/>
              </w:rPr>
              <w:t xml:space="preserve"> wartości</w:t>
            </w:r>
            <w:r w:rsidR="002C59B2" w:rsidRPr="003C3487">
              <w:rPr>
                <w:sz w:val="20"/>
                <w:szCs w:val="20"/>
              </w:rPr>
              <w:t>ą</w:t>
            </w:r>
            <w:r w:rsidR="00F51799" w:rsidRPr="003C3487">
              <w:rPr>
                <w:sz w:val="20"/>
                <w:szCs w:val="20"/>
              </w:rPr>
              <w:t xml:space="preserve"> BASDAI &lt; 3 albo ASDAS &lt; 1,3</w:t>
            </w:r>
            <w:r w:rsidR="002C59B2" w:rsidRPr="003C3487">
              <w:rPr>
                <w:sz w:val="20"/>
                <w:szCs w:val="20"/>
              </w:rPr>
              <w:t>.</w:t>
            </w:r>
          </w:p>
          <w:p w14:paraId="49F5CC5C" w14:textId="77777777" w:rsidR="006F2816" w:rsidRPr="003C3487" w:rsidRDefault="006F2816" w:rsidP="006F2816">
            <w:pPr>
              <w:rPr>
                <w:sz w:val="20"/>
                <w:szCs w:val="20"/>
              </w:rPr>
            </w:pPr>
          </w:p>
          <w:p w14:paraId="392A4CED" w14:textId="1350D478" w:rsidR="007F5449" w:rsidRPr="003C3487" w:rsidRDefault="007F5449" w:rsidP="007F5449">
            <w:pPr>
              <w:pStyle w:val="Nagwek4"/>
              <w:numPr>
                <w:ilvl w:val="0"/>
                <w:numId w:val="6"/>
              </w:numPr>
              <w:spacing w:before="0" w:after="0" w:line="276" w:lineRule="auto"/>
              <w:ind w:left="313"/>
              <w:rPr>
                <w:iCs/>
                <w:sz w:val="20"/>
                <w:szCs w:val="20"/>
              </w:rPr>
            </w:pPr>
            <w:r w:rsidRPr="003C3487">
              <w:rPr>
                <w:iCs/>
                <w:sz w:val="20"/>
                <w:szCs w:val="20"/>
              </w:rPr>
              <w:t>Kryteria i warunki zamiany terapii na inną:</w:t>
            </w:r>
          </w:p>
          <w:p w14:paraId="26D601E2" w14:textId="77777777" w:rsidR="007F5449" w:rsidRPr="003C3487" w:rsidRDefault="007F5449" w:rsidP="007F5449">
            <w:pPr>
              <w:pStyle w:val="Akapitzlist"/>
              <w:numPr>
                <w:ilvl w:val="0"/>
                <w:numId w:val="35"/>
              </w:numPr>
              <w:suppressAutoHyphens/>
              <w:spacing w:line="276" w:lineRule="auto"/>
              <w:ind w:left="357" w:hanging="357"/>
              <w:rPr>
                <w:sz w:val="20"/>
                <w:szCs w:val="20"/>
              </w:rPr>
            </w:pPr>
            <w:r w:rsidRPr="003C3487">
              <w:rPr>
                <w:sz w:val="20"/>
                <w:szCs w:val="20"/>
              </w:rPr>
              <w:t>Zmiana terapii na leczenie inną, wymienioną w programie substancją czynną, możliwa jest tylko w następujących sytuacjach:</w:t>
            </w:r>
          </w:p>
          <w:p w14:paraId="7B12F026" w14:textId="77777777" w:rsidR="007F5449" w:rsidRPr="003C3487" w:rsidRDefault="007F5449" w:rsidP="007F5449">
            <w:pPr>
              <w:pStyle w:val="Default"/>
              <w:numPr>
                <w:ilvl w:val="0"/>
                <w:numId w:val="36"/>
              </w:numPr>
              <w:spacing w:line="276" w:lineRule="auto"/>
              <w:rPr>
                <w:rFonts w:ascii="Times New Roman" w:hAnsi="Times New Roman" w:cs="Times New Roman"/>
                <w:color w:val="auto"/>
                <w:sz w:val="20"/>
                <w:szCs w:val="20"/>
              </w:rPr>
            </w:pPr>
            <w:r w:rsidRPr="003C3487">
              <w:rPr>
                <w:rFonts w:ascii="Times New Roman" w:hAnsi="Times New Roman" w:cs="Times New Roman"/>
                <w:color w:val="auto"/>
                <w:sz w:val="20"/>
                <w:szCs w:val="20"/>
              </w:rPr>
              <w:t>wystąpienie ciężkiej reakcji uczuleniowej na substancję czynną lub pomocniczą lub</w:t>
            </w:r>
          </w:p>
          <w:p w14:paraId="2093D2B9" w14:textId="77777777" w:rsidR="007F5449" w:rsidRPr="003C3487" w:rsidRDefault="007F5449" w:rsidP="007F5449">
            <w:pPr>
              <w:pStyle w:val="Default"/>
              <w:numPr>
                <w:ilvl w:val="0"/>
                <w:numId w:val="36"/>
              </w:numPr>
              <w:spacing w:line="276" w:lineRule="auto"/>
              <w:rPr>
                <w:rFonts w:ascii="Times New Roman" w:hAnsi="Times New Roman" w:cs="Times New Roman"/>
                <w:color w:val="auto"/>
                <w:sz w:val="20"/>
                <w:szCs w:val="20"/>
              </w:rPr>
            </w:pPr>
            <w:r w:rsidRPr="003C3487">
              <w:rPr>
                <w:rFonts w:ascii="Times New Roman" w:hAnsi="Times New Roman" w:cs="Times New Roman"/>
                <w:color w:val="auto"/>
                <w:sz w:val="20"/>
                <w:szCs w:val="20"/>
              </w:rPr>
              <w:t>wystąpienie ciężkich działań niepożądanych uniemożliwiających kontynuowanie terapii, które nie ustępują mimo dostosowywania dawki leku zgodnie z ChPL lub</w:t>
            </w:r>
          </w:p>
          <w:p w14:paraId="6130F89E" w14:textId="3A88A4A8" w:rsidR="007F5449" w:rsidRPr="003C3487" w:rsidRDefault="007F5449" w:rsidP="00654AD2">
            <w:pPr>
              <w:pStyle w:val="Default"/>
              <w:numPr>
                <w:ilvl w:val="0"/>
                <w:numId w:val="36"/>
              </w:numPr>
              <w:spacing w:line="276" w:lineRule="auto"/>
              <w:rPr>
                <w:rFonts w:ascii="Times New Roman" w:hAnsi="Times New Roman" w:cs="Times New Roman"/>
                <w:color w:val="auto"/>
                <w:sz w:val="20"/>
                <w:szCs w:val="20"/>
              </w:rPr>
            </w:pPr>
            <w:r w:rsidRPr="003C3487">
              <w:rPr>
                <w:rFonts w:ascii="Times New Roman" w:hAnsi="Times New Roman" w:cs="Times New Roman"/>
                <w:color w:val="auto"/>
                <w:sz w:val="20"/>
                <w:szCs w:val="20"/>
              </w:rPr>
              <w:t xml:space="preserve">brak uzyskania adekwatnej odpowiedzi na </w:t>
            </w:r>
            <w:r w:rsidR="00654AD2" w:rsidRPr="00654AD2">
              <w:rPr>
                <w:rFonts w:ascii="Times New Roman" w:hAnsi="Times New Roman" w:cs="Times New Roman"/>
                <w:color w:val="auto"/>
                <w:sz w:val="20"/>
                <w:szCs w:val="20"/>
              </w:rPr>
              <w:t xml:space="preserve">zastosowaną substancję czynną </w:t>
            </w:r>
            <w:r w:rsidRPr="003C3487">
              <w:rPr>
                <w:rFonts w:ascii="Times New Roman" w:hAnsi="Times New Roman" w:cs="Times New Roman"/>
                <w:color w:val="auto"/>
                <w:sz w:val="20"/>
                <w:szCs w:val="20"/>
              </w:rPr>
              <w:t>zgodnie z pkt 3 lub utrata adekwatnej odpowiedzi stwierdzona w trakcie dwóch kolejnych wizyt monitorujących.</w:t>
            </w:r>
          </w:p>
          <w:p w14:paraId="7B057199" w14:textId="77777777" w:rsidR="00897EAA" w:rsidRPr="00D83AB0" w:rsidRDefault="007F5449" w:rsidP="00897EAA">
            <w:pPr>
              <w:numPr>
                <w:ilvl w:val="0"/>
                <w:numId w:val="35"/>
              </w:numPr>
              <w:spacing w:line="276" w:lineRule="auto"/>
              <w:ind w:left="357" w:hanging="357"/>
              <w:contextualSpacing/>
              <w:rPr>
                <w:sz w:val="20"/>
                <w:szCs w:val="20"/>
              </w:rPr>
            </w:pPr>
            <w:r w:rsidRPr="003C3487">
              <w:rPr>
                <w:sz w:val="20"/>
                <w:szCs w:val="20"/>
              </w:rPr>
              <w:t xml:space="preserve">W ramach programów lekowych dotyczących leczenia </w:t>
            </w:r>
            <w:r w:rsidR="005A094D" w:rsidRPr="003C3487">
              <w:rPr>
                <w:sz w:val="20"/>
                <w:szCs w:val="20"/>
              </w:rPr>
              <w:t>ŁZS</w:t>
            </w:r>
            <w:r w:rsidRPr="003C3487">
              <w:rPr>
                <w:sz w:val="20"/>
                <w:szCs w:val="20"/>
              </w:rPr>
              <w:t xml:space="preserve"> </w:t>
            </w:r>
            <w:r w:rsidR="00897EAA" w:rsidRPr="00D83AB0">
              <w:rPr>
                <w:sz w:val="20"/>
                <w:szCs w:val="20"/>
              </w:rPr>
              <w:t>nie jest możliwe zastosowanie więcej niż czterech leków biologicznych, w tym nie więcej niż dwóch inhibitorów TNF alfa w przypadku ich nieskuteczności oraz więcej niż trzech inhibitorów TNF alfa, jeśli przyczyną odstawienia przynajmniej jednego z nich była nietolerancja lub działania niepożądane.</w:t>
            </w:r>
          </w:p>
          <w:p w14:paraId="655F5142" w14:textId="5CE13087" w:rsidR="007F5449" w:rsidRPr="003C3487" w:rsidRDefault="007F5449" w:rsidP="007F5449">
            <w:pPr>
              <w:pStyle w:val="Akapitzlist"/>
              <w:numPr>
                <w:ilvl w:val="0"/>
                <w:numId w:val="35"/>
              </w:numPr>
              <w:spacing w:line="276" w:lineRule="auto"/>
              <w:ind w:left="357" w:hanging="357"/>
              <w:rPr>
                <w:sz w:val="20"/>
                <w:szCs w:val="20"/>
              </w:rPr>
            </w:pPr>
            <w:r w:rsidRPr="003C3487">
              <w:rPr>
                <w:sz w:val="20"/>
                <w:szCs w:val="20"/>
              </w:rPr>
              <w:t xml:space="preserve">W ramach programu nie dopuszcza się możliwości ponownej kwalifikacji do terapii substancją czynną, </w:t>
            </w:r>
            <w:r w:rsidR="006706CF" w:rsidRPr="003C3487">
              <w:rPr>
                <w:sz w:val="20"/>
                <w:szCs w:val="20"/>
              </w:rPr>
              <w:t>którą pacjent był leczony w prze</w:t>
            </w:r>
            <w:r w:rsidRPr="003C3487">
              <w:rPr>
                <w:sz w:val="20"/>
                <w:szCs w:val="20"/>
              </w:rPr>
              <w:t>szłości nieskutecznie.</w:t>
            </w:r>
          </w:p>
          <w:p w14:paraId="1A1F944B" w14:textId="64221E53" w:rsidR="009318DE" w:rsidRPr="003C3487" w:rsidRDefault="009318DE" w:rsidP="007F5449">
            <w:pPr>
              <w:pStyle w:val="Akapitzlist"/>
              <w:numPr>
                <w:ilvl w:val="0"/>
                <w:numId w:val="35"/>
              </w:numPr>
              <w:spacing w:line="276" w:lineRule="auto"/>
              <w:ind w:left="357" w:hanging="357"/>
              <w:rPr>
                <w:sz w:val="20"/>
                <w:szCs w:val="20"/>
              </w:rPr>
            </w:pPr>
            <w:r w:rsidRPr="003C3487">
              <w:rPr>
                <w:sz w:val="20"/>
                <w:szCs w:val="20"/>
              </w:rPr>
              <w:t>Kwalifikacja pacjenta do drugiego leku i kolejnych w ramach programu lekowego nie wymaga zgody Zespołu Koordynacyjnego, jeśli jest zgodna z opisem programu.</w:t>
            </w:r>
          </w:p>
          <w:p w14:paraId="1E2C79C2" w14:textId="77777777" w:rsidR="006F2816" w:rsidRPr="003C3487" w:rsidRDefault="006F2816" w:rsidP="006F2816">
            <w:pPr>
              <w:suppressAutoHyphens/>
              <w:spacing w:line="276" w:lineRule="auto"/>
              <w:rPr>
                <w:sz w:val="20"/>
                <w:szCs w:val="20"/>
              </w:rPr>
            </w:pPr>
          </w:p>
          <w:p w14:paraId="45221660" w14:textId="3CD12436" w:rsidR="004C406C" w:rsidRPr="003C3487" w:rsidRDefault="004C406C" w:rsidP="004C406C">
            <w:pPr>
              <w:pStyle w:val="Akapitzlist"/>
              <w:numPr>
                <w:ilvl w:val="0"/>
                <w:numId w:val="6"/>
              </w:numPr>
              <w:spacing w:line="276" w:lineRule="auto"/>
              <w:ind w:left="313"/>
              <w:rPr>
                <w:b/>
                <w:sz w:val="20"/>
                <w:szCs w:val="20"/>
              </w:rPr>
            </w:pPr>
            <w:r w:rsidRPr="003C3487">
              <w:rPr>
                <w:b/>
                <w:sz w:val="20"/>
                <w:szCs w:val="20"/>
              </w:rPr>
              <w:lastRenderedPageBreak/>
              <w:t>Kryteria wyłączenia z programu:</w:t>
            </w:r>
          </w:p>
          <w:p w14:paraId="47C13252" w14:textId="77777777" w:rsidR="004C406C" w:rsidRPr="003C3487" w:rsidRDefault="004C406C" w:rsidP="004C406C">
            <w:pPr>
              <w:pStyle w:val="Akapitzlist"/>
              <w:numPr>
                <w:ilvl w:val="0"/>
                <w:numId w:val="38"/>
              </w:numPr>
              <w:spacing w:line="276" w:lineRule="auto"/>
              <w:ind w:left="357" w:hanging="357"/>
              <w:rPr>
                <w:sz w:val="20"/>
                <w:szCs w:val="20"/>
              </w:rPr>
            </w:pPr>
            <w:r w:rsidRPr="003C3487">
              <w:rPr>
                <w:sz w:val="20"/>
                <w:szCs w:val="20"/>
              </w:rPr>
              <w:t>brak uzyskania adekwatnej odpowiedzi na leczenie zgodnie z pkt 3;</w:t>
            </w:r>
          </w:p>
          <w:p w14:paraId="59B45EA3" w14:textId="77777777" w:rsidR="004C406C" w:rsidRPr="003C3487" w:rsidRDefault="004C406C" w:rsidP="004C406C">
            <w:pPr>
              <w:pStyle w:val="Akapitzlist"/>
              <w:numPr>
                <w:ilvl w:val="0"/>
                <w:numId w:val="38"/>
              </w:numPr>
              <w:spacing w:line="276" w:lineRule="auto"/>
              <w:ind w:left="357" w:hanging="357"/>
              <w:rPr>
                <w:sz w:val="20"/>
                <w:szCs w:val="20"/>
              </w:rPr>
            </w:pPr>
            <w:r w:rsidRPr="003C3487">
              <w:rPr>
                <w:sz w:val="20"/>
                <w:szCs w:val="20"/>
              </w:rPr>
              <w:t>utrata adekwatnej odpowiedzi na leczenie stwierdzona w trakcie dwóch kolejnych wizyt monitorujących;</w:t>
            </w:r>
          </w:p>
          <w:p w14:paraId="779F6DCD" w14:textId="0B5CAB7E" w:rsidR="004C406C" w:rsidRPr="003C3487" w:rsidRDefault="004C406C" w:rsidP="004C406C">
            <w:pPr>
              <w:pStyle w:val="Akapitzlist"/>
              <w:numPr>
                <w:ilvl w:val="0"/>
                <w:numId w:val="38"/>
              </w:numPr>
              <w:spacing w:line="276" w:lineRule="auto"/>
              <w:ind w:left="357" w:hanging="357"/>
              <w:rPr>
                <w:sz w:val="20"/>
                <w:szCs w:val="20"/>
              </w:rPr>
            </w:pPr>
            <w:r w:rsidRPr="003C3487">
              <w:rPr>
                <w:sz w:val="20"/>
                <w:szCs w:val="20"/>
              </w:rPr>
              <w:t xml:space="preserve">utrzymywanie się przez okres 12-15 miesięcy </w:t>
            </w:r>
            <w:r w:rsidR="002C59B2" w:rsidRPr="003C3487">
              <w:rPr>
                <w:sz w:val="20"/>
                <w:szCs w:val="20"/>
              </w:rPr>
              <w:t>niski</w:t>
            </w:r>
            <w:r w:rsidRPr="003C3487">
              <w:rPr>
                <w:sz w:val="20"/>
                <w:szCs w:val="20"/>
              </w:rPr>
              <w:t xml:space="preserve">ej aktywności choroby </w:t>
            </w:r>
            <w:r w:rsidR="002C59B2" w:rsidRPr="003C3487">
              <w:rPr>
                <w:sz w:val="20"/>
                <w:szCs w:val="20"/>
              </w:rPr>
              <w:t>zgodnie z pkt 3 ppkt 1 dla postaci obwodowej oraz pkt 3 ppkt 2 dla postaci osiowej przy pierwszym podawaniu leku biologicznego;</w:t>
            </w:r>
          </w:p>
          <w:p w14:paraId="3A444277" w14:textId="77777777" w:rsidR="004C406C" w:rsidRPr="003C3487" w:rsidRDefault="004C406C" w:rsidP="004C406C">
            <w:pPr>
              <w:pStyle w:val="Akapitzlist"/>
              <w:numPr>
                <w:ilvl w:val="0"/>
                <w:numId w:val="38"/>
              </w:numPr>
              <w:spacing w:line="276" w:lineRule="auto"/>
              <w:ind w:left="357" w:hanging="357"/>
              <w:rPr>
                <w:sz w:val="20"/>
                <w:szCs w:val="20"/>
              </w:rPr>
            </w:pPr>
            <w:r w:rsidRPr="003C3487">
              <w:rPr>
                <w:sz w:val="20"/>
                <w:szCs w:val="20"/>
              </w:rPr>
              <w:t>wystąpienie działań niepożądanych, które w opinii lekarza prowadzącego oraz zgodnie z Charakterystyką Produktu Leczniczego, którym prowadzona jest terapia, są przeciwwskazaniami do leczenia daną substancją czynną.</w:t>
            </w:r>
          </w:p>
          <w:p w14:paraId="4EE69742" w14:textId="77777777" w:rsidR="002912C5" w:rsidRPr="003C3487" w:rsidRDefault="002912C5" w:rsidP="006F2816">
            <w:pPr>
              <w:suppressAutoHyphens/>
              <w:spacing w:line="276" w:lineRule="auto"/>
              <w:rPr>
                <w:sz w:val="20"/>
                <w:szCs w:val="20"/>
              </w:rPr>
            </w:pPr>
          </w:p>
          <w:p w14:paraId="5C128B3A" w14:textId="3F019708" w:rsidR="00FE1D98" w:rsidRPr="003C3487" w:rsidRDefault="00FE1D98" w:rsidP="00FE1D98">
            <w:pPr>
              <w:pStyle w:val="Akapitzlist"/>
              <w:numPr>
                <w:ilvl w:val="0"/>
                <w:numId w:val="6"/>
              </w:numPr>
              <w:spacing w:line="276" w:lineRule="auto"/>
              <w:ind w:left="313"/>
              <w:rPr>
                <w:b/>
                <w:sz w:val="20"/>
                <w:szCs w:val="20"/>
              </w:rPr>
            </w:pPr>
            <w:r w:rsidRPr="003C3487">
              <w:rPr>
                <w:b/>
                <w:sz w:val="20"/>
                <w:szCs w:val="20"/>
              </w:rPr>
              <w:t>Czas leczenia w programie:</w:t>
            </w:r>
          </w:p>
          <w:p w14:paraId="4E740C9B" w14:textId="77777777" w:rsidR="00FE1D98" w:rsidRPr="003C3487" w:rsidRDefault="00FE1D98" w:rsidP="00FE1D98">
            <w:pPr>
              <w:pStyle w:val="Akapitzlist"/>
              <w:numPr>
                <w:ilvl w:val="0"/>
                <w:numId w:val="40"/>
              </w:numPr>
              <w:spacing w:line="276" w:lineRule="auto"/>
              <w:ind w:left="426"/>
              <w:rPr>
                <w:sz w:val="20"/>
                <w:szCs w:val="20"/>
              </w:rPr>
            </w:pPr>
            <w:r w:rsidRPr="003C3487">
              <w:rPr>
                <w:sz w:val="20"/>
                <w:szCs w:val="20"/>
              </w:rPr>
              <w:t>Kryteria kwalifikacji i wyłączenia z programu określają czas leczenia w programie.</w:t>
            </w:r>
          </w:p>
          <w:p w14:paraId="55147CA9" w14:textId="1E49FED7" w:rsidR="00FE1D98" w:rsidRPr="003C3487" w:rsidRDefault="00FE1D98" w:rsidP="00FE1D98">
            <w:pPr>
              <w:pStyle w:val="Akapitzlist"/>
              <w:numPr>
                <w:ilvl w:val="0"/>
                <w:numId w:val="40"/>
              </w:numPr>
              <w:spacing w:line="276" w:lineRule="auto"/>
              <w:ind w:left="426"/>
              <w:rPr>
                <w:sz w:val="20"/>
                <w:szCs w:val="20"/>
              </w:rPr>
            </w:pPr>
            <w:r w:rsidRPr="003C3487">
              <w:rPr>
                <w:sz w:val="20"/>
                <w:szCs w:val="20"/>
              </w:rPr>
              <w:t xml:space="preserve">Czas leczenia daną substancją czynną w ramach programu </w:t>
            </w:r>
            <w:r w:rsidR="00E73125" w:rsidRPr="003C3487">
              <w:rPr>
                <w:sz w:val="20"/>
                <w:szCs w:val="20"/>
              </w:rPr>
              <w:t xml:space="preserve">przy pierwszym podawaniu leku biologicznego </w:t>
            </w:r>
            <w:r w:rsidRPr="003C3487">
              <w:rPr>
                <w:sz w:val="20"/>
                <w:szCs w:val="20"/>
              </w:rPr>
              <w:t>nie może być dłuższy niż 18 miesięcy, z zastrzeżeniem pkt 7 niniejszego programu.</w:t>
            </w:r>
          </w:p>
          <w:p w14:paraId="0DFF3DE2" w14:textId="77777777" w:rsidR="00FE1D98" w:rsidRPr="003C3487" w:rsidRDefault="00FE1D98" w:rsidP="00FE1D98">
            <w:pPr>
              <w:pStyle w:val="Akapitzlist"/>
              <w:numPr>
                <w:ilvl w:val="0"/>
                <w:numId w:val="40"/>
              </w:numPr>
              <w:spacing w:line="276" w:lineRule="auto"/>
              <w:ind w:left="426"/>
              <w:rPr>
                <w:sz w:val="20"/>
                <w:szCs w:val="20"/>
              </w:rPr>
            </w:pPr>
            <w:r w:rsidRPr="003C3487">
              <w:rPr>
                <w:sz w:val="20"/>
                <w:szCs w:val="20"/>
              </w:rPr>
              <w:t>W przypadku czasowej przerwy w leczeniu daną substancją czynną dłuższej niż miesiąc z przyczyn uzasadnionych klinicznie, czas leczenia i schemat monitorowania ulega wydłużeniu o okres przerwy w podawaniu leku.</w:t>
            </w:r>
          </w:p>
          <w:p w14:paraId="13F5BC74" w14:textId="59DBBBB4" w:rsidR="00FE1D98" w:rsidRPr="003C3487" w:rsidRDefault="00FE1D98" w:rsidP="00FE1D98">
            <w:pPr>
              <w:pStyle w:val="Akapitzlist"/>
              <w:numPr>
                <w:ilvl w:val="0"/>
                <w:numId w:val="40"/>
              </w:numPr>
              <w:spacing w:line="276" w:lineRule="auto"/>
              <w:ind w:left="426"/>
              <w:rPr>
                <w:sz w:val="20"/>
                <w:szCs w:val="20"/>
              </w:rPr>
            </w:pPr>
            <w:r w:rsidRPr="003C3487">
              <w:rPr>
                <w:sz w:val="20"/>
                <w:szCs w:val="20"/>
              </w:rPr>
              <w:t xml:space="preserve">Jeśli u chorego zaprzestano podawania leku z powodu uzyskania </w:t>
            </w:r>
            <w:r w:rsidR="00570E1A" w:rsidRPr="003C3487">
              <w:rPr>
                <w:sz w:val="20"/>
                <w:szCs w:val="20"/>
              </w:rPr>
              <w:t>niskiej</w:t>
            </w:r>
            <w:r w:rsidRPr="003C3487">
              <w:rPr>
                <w:sz w:val="20"/>
                <w:szCs w:val="20"/>
              </w:rPr>
              <w:t xml:space="preserve"> aktywności choroby i doszło u niego do nawrotu aktywnej choroby w okresie poniżej 12 tygodni, wtedy decyzja o długości leczenia, dawkowaniu i częstości podawania leku biologicznego po n</w:t>
            </w:r>
            <w:r w:rsidR="006B4EF4" w:rsidRPr="003C3487">
              <w:rPr>
                <w:sz w:val="20"/>
                <w:szCs w:val="20"/>
              </w:rPr>
              <w:t>awrocie i ponownym uzyskaniu niski</w:t>
            </w:r>
            <w:r w:rsidRPr="003C3487">
              <w:rPr>
                <w:sz w:val="20"/>
                <w:szCs w:val="20"/>
              </w:rPr>
              <w:t>ej aktywności choroby, należy do lekarza prowadzącego.</w:t>
            </w:r>
          </w:p>
          <w:p w14:paraId="554B6E34" w14:textId="33D14FAE" w:rsidR="00FE1D98" w:rsidRPr="003C3487" w:rsidRDefault="00FE1D98" w:rsidP="00FE1D98">
            <w:pPr>
              <w:pStyle w:val="Akapitzlist"/>
              <w:numPr>
                <w:ilvl w:val="0"/>
                <w:numId w:val="40"/>
              </w:numPr>
              <w:spacing w:line="276" w:lineRule="auto"/>
              <w:ind w:left="426"/>
              <w:rPr>
                <w:sz w:val="20"/>
                <w:szCs w:val="20"/>
              </w:rPr>
            </w:pPr>
            <w:r w:rsidRPr="003C3487">
              <w:rPr>
                <w:sz w:val="20"/>
                <w:szCs w:val="20"/>
              </w:rPr>
              <w:t xml:space="preserve">Lekarz prowadzący może zwrócić się do Zespołu Koordynacyjnego do Spraw Leczenia Biologicznego w Chorobach Reumatycznych o wyrażenie zgody na kontynuację </w:t>
            </w:r>
            <w:r w:rsidRPr="003C3487">
              <w:rPr>
                <w:sz w:val="20"/>
                <w:szCs w:val="20"/>
              </w:rPr>
              <w:lastRenderedPageBreak/>
              <w:t xml:space="preserve">leczenia daną substancją czynną w uzasadnionych sytuacjach klinicznych w przypadku nieuzyskania przez chorego </w:t>
            </w:r>
            <w:r w:rsidR="00570E1A" w:rsidRPr="003C3487">
              <w:rPr>
                <w:sz w:val="20"/>
                <w:szCs w:val="20"/>
              </w:rPr>
              <w:t>niski</w:t>
            </w:r>
            <w:r w:rsidRPr="003C3487">
              <w:rPr>
                <w:sz w:val="20"/>
                <w:szCs w:val="20"/>
              </w:rPr>
              <w:t xml:space="preserve">ej aktywności choroby zgodnie z </w:t>
            </w:r>
            <w:r w:rsidR="00570E1A" w:rsidRPr="003C3487">
              <w:rPr>
                <w:sz w:val="20"/>
                <w:szCs w:val="20"/>
              </w:rPr>
              <w:t xml:space="preserve">pkt 3 ppkt 1 dla postaci obwodowej oraz pkt 3 ppkt 2 dla postaci osiowej </w:t>
            </w:r>
            <w:r w:rsidR="007D214A" w:rsidRPr="00D83AB0">
              <w:rPr>
                <w:sz w:val="20"/>
                <w:szCs w:val="20"/>
              </w:rPr>
              <w:t>po 6 miesiącach terapii inhibitorem TNF alfa lub 7 miesiącach terapii sekukinumabem</w:t>
            </w:r>
            <w:r w:rsidRPr="003C3487">
              <w:rPr>
                <w:sz w:val="20"/>
                <w:szCs w:val="20"/>
              </w:rPr>
              <w:t>, szczególnie u pacjentów z wyjściową bardzo dużą aktywnością choroby i/lub występowaniem czynników złej prognozy.</w:t>
            </w:r>
            <w:r w:rsidR="00387ADB" w:rsidRPr="003C3487">
              <w:rPr>
                <w:sz w:val="20"/>
                <w:szCs w:val="20"/>
              </w:rPr>
              <w:t xml:space="preserve"> Bez zgody Zespołu Koordynacyjnego dalsze leczenie daną substancją czynną w przypadku braku uzyskania niskiej aktywności choroby po 6 miesiącach terapii </w:t>
            </w:r>
            <w:r w:rsidR="007D214A" w:rsidRPr="00D83AB0">
              <w:rPr>
                <w:sz w:val="20"/>
                <w:szCs w:val="20"/>
              </w:rPr>
              <w:t xml:space="preserve">inhibitorem TNF alfa lub 7 miesiącach terapii sekukinumabem </w:t>
            </w:r>
            <w:r w:rsidR="00387ADB" w:rsidRPr="003C3487">
              <w:rPr>
                <w:sz w:val="20"/>
                <w:szCs w:val="20"/>
              </w:rPr>
              <w:t>nie jest możliwe.</w:t>
            </w:r>
          </w:p>
          <w:p w14:paraId="2E4F91CF" w14:textId="77777777" w:rsidR="006F2816" w:rsidRPr="003C3487" w:rsidRDefault="006F2816" w:rsidP="006F2816">
            <w:pPr>
              <w:rPr>
                <w:sz w:val="20"/>
                <w:szCs w:val="20"/>
              </w:rPr>
            </w:pPr>
          </w:p>
          <w:p w14:paraId="1411ECCF" w14:textId="2A9286C5" w:rsidR="00610582" w:rsidRPr="003C3487" w:rsidRDefault="00610582" w:rsidP="0018654A">
            <w:pPr>
              <w:pStyle w:val="Nagwek4"/>
              <w:numPr>
                <w:ilvl w:val="0"/>
                <w:numId w:val="6"/>
              </w:numPr>
              <w:spacing w:before="0" w:after="0" w:line="276" w:lineRule="auto"/>
              <w:ind w:left="357" w:hanging="357"/>
              <w:rPr>
                <w:iCs/>
                <w:sz w:val="20"/>
                <w:szCs w:val="20"/>
              </w:rPr>
            </w:pPr>
            <w:r w:rsidRPr="003C3487">
              <w:rPr>
                <w:iCs/>
                <w:sz w:val="20"/>
                <w:szCs w:val="20"/>
              </w:rPr>
              <w:t>Kryteria ponownego włączenia do programu</w:t>
            </w:r>
            <w:r w:rsidR="00FE1D98" w:rsidRPr="003C3487">
              <w:rPr>
                <w:iCs/>
                <w:sz w:val="20"/>
                <w:szCs w:val="20"/>
              </w:rPr>
              <w:t>:</w:t>
            </w:r>
          </w:p>
          <w:p w14:paraId="79B78D18" w14:textId="1AEA8C96" w:rsidR="00FE1D98" w:rsidRPr="003C3487" w:rsidRDefault="00FE1D98" w:rsidP="00FE1D98">
            <w:pPr>
              <w:pStyle w:val="Akapitzlist"/>
              <w:numPr>
                <w:ilvl w:val="0"/>
                <w:numId w:val="41"/>
              </w:numPr>
              <w:spacing w:line="276" w:lineRule="auto"/>
              <w:ind w:left="357" w:hanging="357"/>
              <w:rPr>
                <w:sz w:val="20"/>
                <w:szCs w:val="20"/>
              </w:rPr>
            </w:pPr>
            <w:r w:rsidRPr="003C3487">
              <w:rPr>
                <w:sz w:val="20"/>
                <w:szCs w:val="20"/>
              </w:rPr>
              <w:t xml:space="preserve">Pacjent, u którego zaprzestano podawania substancji czynnej leku biologicznego zastosowanej zgodnie z  zapisami programu z powodu uzyskania </w:t>
            </w:r>
            <w:r w:rsidR="00570E1A" w:rsidRPr="003C3487">
              <w:rPr>
                <w:sz w:val="20"/>
                <w:szCs w:val="20"/>
              </w:rPr>
              <w:t>niski</w:t>
            </w:r>
            <w:r w:rsidRPr="003C3487">
              <w:rPr>
                <w:sz w:val="20"/>
                <w:szCs w:val="20"/>
              </w:rPr>
              <w:t xml:space="preserve">ej aktywności choroby i u którego w trakcie badania kontrolnego stwierdzono nawrót aktywnej choroby zgodny z kryteriami </w:t>
            </w:r>
            <w:r w:rsidR="00570E1A" w:rsidRPr="003C3487">
              <w:rPr>
                <w:sz w:val="20"/>
                <w:szCs w:val="20"/>
              </w:rPr>
              <w:t>włączenia do programu</w:t>
            </w:r>
            <w:r w:rsidRPr="003C3487">
              <w:rPr>
                <w:sz w:val="20"/>
                <w:szCs w:val="20"/>
              </w:rPr>
              <w:t>, jest włączany do leczenia w ramach programu bez kwalifikacji.</w:t>
            </w:r>
          </w:p>
          <w:p w14:paraId="11ACC8EF" w14:textId="313FB765" w:rsidR="00FE1D98" w:rsidRPr="003C3487" w:rsidRDefault="00FE1D98" w:rsidP="00FE1D98">
            <w:pPr>
              <w:pStyle w:val="Akapitzlist"/>
              <w:numPr>
                <w:ilvl w:val="0"/>
                <w:numId w:val="41"/>
              </w:numPr>
              <w:spacing w:line="276" w:lineRule="auto"/>
              <w:ind w:left="357" w:hanging="357"/>
              <w:rPr>
                <w:sz w:val="20"/>
                <w:szCs w:val="20"/>
              </w:rPr>
            </w:pPr>
            <w:r w:rsidRPr="003C3487">
              <w:rPr>
                <w:sz w:val="20"/>
                <w:szCs w:val="20"/>
              </w:rPr>
              <w:t xml:space="preserve">Pacjent jest włączany do ponownego leczenia substancją czynną, której zastosowanie wywołało </w:t>
            </w:r>
            <w:r w:rsidR="006B4EF4" w:rsidRPr="003C3487">
              <w:rPr>
                <w:sz w:val="20"/>
                <w:szCs w:val="20"/>
              </w:rPr>
              <w:t>nisk</w:t>
            </w:r>
            <w:r w:rsidRPr="003C3487">
              <w:rPr>
                <w:sz w:val="20"/>
                <w:szCs w:val="20"/>
              </w:rPr>
              <w:t>ą aktywność choroby.</w:t>
            </w:r>
          </w:p>
          <w:p w14:paraId="10C130DE" w14:textId="3D06237F" w:rsidR="002279F5" w:rsidRPr="003C3487" w:rsidRDefault="00FE1D98" w:rsidP="006F2816">
            <w:pPr>
              <w:pStyle w:val="Nagwek4"/>
              <w:numPr>
                <w:ilvl w:val="0"/>
                <w:numId w:val="41"/>
              </w:numPr>
              <w:spacing w:before="0" w:after="0" w:line="276" w:lineRule="auto"/>
              <w:ind w:left="313"/>
              <w:rPr>
                <w:b w:val="0"/>
                <w:iCs/>
                <w:sz w:val="20"/>
                <w:szCs w:val="20"/>
              </w:rPr>
            </w:pPr>
            <w:r w:rsidRPr="003C3487">
              <w:rPr>
                <w:b w:val="0"/>
                <w:sz w:val="20"/>
                <w:szCs w:val="20"/>
              </w:rPr>
              <w:t xml:space="preserve">Do programu może być ponownie włączony pacjent, u którego zaprzestano podawania substancji czynnej wymienionej w programie i zastosowanej zgodnie z jego treścią z powodu wystąpienia działań niepożądanych, które ustąpiły po odstawieniu leku bądź zastosowanym leczeniu i w opinii lekarza prowadzącego powrót do terapii tą samą substancją czynną nie stanowi ryzyka dla pacjenta.  </w:t>
            </w:r>
          </w:p>
        </w:tc>
        <w:tc>
          <w:tcPr>
            <w:tcW w:w="1447" w:type="pct"/>
          </w:tcPr>
          <w:p w14:paraId="5E7C7B69" w14:textId="77777777" w:rsidR="00EF42D4" w:rsidRPr="003C3487" w:rsidRDefault="00EF42D4" w:rsidP="0018654A">
            <w:pPr>
              <w:pStyle w:val="Akapitzlist"/>
              <w:numPr>
                <w:ilvl w:val="0"/>
                <w:numId w:val="25"/>
              </w:numPr>
              <w:spacing w:line="276" w:lineRule="auto"/>
              <w:ind w:left="283"/>
              <w:rPr>
                <w:b/>
                <w:sz w:val="20"/>
                <w:szCs w:val="20"/>
              </w:rPr>
            </w:pPr>
            <w:r w:rsidRPr="003C3487">
              <w:rPr>
                <w:b/>
                <w:sz w:val="20"/>
                <w:szCs w:val="20"/>
              </w:rPr>
              <w:lastRenderedPageBreak/>
              <w:t>Dawkowanie:</w:t>
            </w:r>
          </w:p>
          <w:p w14:paraId="68976602" w14:textId="5D239AF1" w:rsidR="00EF42D4" w:rsidRPr="003C3487" w:rsidRDefault="00EF42D4" w:rsidP="00EF42D4">
            <w:pPr>
              <w:spacing w:line="276" w:lineRule="auto"/>
              <w:rPr>
                <w:sz w:val="20"/>
                <w:szCs w:val="20"/>
              </w:rPr>
            </w:pPr>
            <w:r w:rsidRPr="003C3487">
              <w:rPr>
                <w:sz w:val="20"/>
                <w:szCs w:val="20"/>
              </w:rPr>
              <w:t xml:space="preserve">Adalimumab, </w:t>
            </w:r>
            <w:r w:rsidR="00320EC0" w:rsidRPr="003C3487">
              <w:rPr>
                <w:sz w:val="20"/>
                <w:szCs w:val="20"/>
              </w:rPr>
              <w:t xml:space="preserve">certolizumab pegol, </w:t>
            </w:r>
            <w:r w:rsidRPr="003C3487">
              <w:rPr>
                <w:sz w:val="20"/>
                <w:szCs w:val="20"/>
              </w:rPr>
              <w:t>etanercept, golimumab</w:t>
            </w:r>
            <w:r w:rsidR="00231A2A">
              <w:rPr>
                <w:sz w:val="20"/>
                <w:szCs w:val="20"/>
              </w:rPr>
              <w:t xml:space="preserve">, </w:t>
            </w:r>
            <w:r w:rsidRPr="003C3487">
              <w:rPr>
                <w:sz w:val="20"/>
                <w:szCs w:val="20"/>
              </w:rPr>
              <w:t xml:space="preserve">infliksymab </w:t>
            </w:r>
            <w:r w:rsidR="00231A2A">
              <w:rPr>
                <w:sz w:val="20"/>
                <w:szCs w:val="20"/>
              </w:rPr>
              <w:t xml:space="preserve">i sekukinumab </w:t>
            </w:r>
            <w:r w:rsidRPr="003C3487">
              <w:rPr>
                <w:sz w:val="20"/>
                <w:szCs w:val="20"/>
              </w:rPr>
              <w:t xml:space="preserve">należy podawać </w:t>
            </w:r>
            <w:bookmarkStart w:id="0" w:name="_GoBack"/>
            <w:bookmarkEnd w:id="0"/>
            <w:r w:rsidRPr="003C3487">
              <w:rPr>
                <w:sz w:val="20"/>
                <w:szCs w:val="20"/>
              </w:rPr>
              <w:t>zgodnie z dawkowaniem określonym w aktualnej Charakterystyce Produktu Leczniczego z uwzględnieniem rekomendacji EULAR/GRAPPA</w:t>
            </w:r>
            <w:r w:rsidR="00CE15E4" w:rsidRPr="003C3487">
              <w:rPr>
                <w:sz w:val="20"/>
                <w:szCs w:val="20"/>
              </w:rPr>
              <w:t>/ASAS</w:t>
            </w:r>
            <w:r w:rsidRPr="003C3487">
              <w:rPr>
                <w:sz w:val="20"/>
                <w:szCs w:val="20"/>
              </w:rPr>
              <w:t>.</w:t>
            </w:r>
          </w:p>
          <w:p w14:paraId="1331383D" w14:textId="77777777" w:rsidR="002279F5" w:rsidRPr="003C3487" w:rsidRDefault="002279F5" w:rsidP="004F67D3">
            <w:pPr>
              <w:tabs>
                <w:tab w:val="num" w:pos="886"/>
              </w:tabs>
              <w:spacing w:line="276" w:lineRule="auto"/>
              <w:rPr>
                <w:sz w:val="20"/>
                <w:szCs w:val="20"/>
              </w:rPr>
            </w:pPr>
          </w:p>
          <w:p w14:paraId="62474A02" w14:textId="77777777" w:rsidR="002279F5" w:rsidRPr="003C3487" w:rsidRDefault="002279F5" w:rsidP="004F67D3">
            <w:pPr>
              <w:pStyle w:val="Akapitzlist1"/>
              <w:spacing w:line="276" w:lineRule="auto"/>
              <w:ind w:left="0"/>
            </w:pPr>
          </w:p>
        </w:tc>
        <w:tc>
          <w:tcPr>
            <w:tcW w:w="1666" w:type="pct"/>
            <w:tcBorders>
              <w:right w:val="single" w:sz="4" w:space="0" w:color="auto"/>
            </w:tcBorders>
          </w:tcPr>
          <w:p w14:paraId="63EF245D" w14:textId="77777777" w:rsidR="002279F5" w:rsidRPr="003C3487" w:rsidRDefault="002279F5" w:rsidP="006C79D7">
            <w:pPr>
              <w:pStyle w:val="Akapitzlist1"/>
              <w:numPr>
                <w:ilvl w:val="0"/>
                <w:numId w:val="2"/>
              </w:numPr>
              <w:spacing w:line="276" w:lineRule="auto"/>
              <w:ind w:left="357" w:hanging="357"/>
            </w:pPr>
            <w:r w:rsidRPr="003C3487">
              <w:rPr>
                <w:b/>
              </w:rPr>
              <w:t>Badania przy kwalifikacji</w:t>
            </w:r>
            <w:r w:rsidR="00EF42D4" w:rsidRPr="003C3487">
              <w:rPr>
                <w:b/>
              </w:rPr>
              <w:t>:</w:t>
            </w:r>
          </w:p>
          <w:p w14:paraId="6852E45E" w14:textId="3AA55217" w:rsidR="006C79D7" w:rsidRPr="003C3487" w:rsidRDefault="006C79D7" w:rsidP="004F67D3">
            <w:pPr>
              <w:pStyle w:val="Akapitzlist"/>
              <w:numPr>
                <w:ilvl w:val="0"/>
                <w:numId w:val="3"/>
              </w:numPr>
              <w:spacing w:line="276" w:lineRule="auto"/>
              <w:ind w:left="357" w:hanging="357"/>
              <w:rPr>
                <w:sz w:val="20"/>
                <w:szCs w:val="20"/>
              </w:rPr>
            </w:pPr>
            <w:r w:rsidRPr="003C3487">
              <w:rPr>
                <w:sz w:val="20"/>
                <w:szCs w:val="20"/>
              </w:rPr>
              <w:t>obecność czynnika reumatoidalnego (RF)</w:t>
            </w:r>
            <w:r w:rsidR="00CE15E4" w:rsidRPr="003C3487">
              <w:rPr>
                <w:sz w:val="20"/>
                <w:szCs w:val="20"/>
              </w:rPr>
              <w:t xml:space="preserve"> (z wyłączeniem testu lateksowego)</w:t>
            </w:r>
            <w:r w:rsidRPr="003C3487">
              <w:rPr>
                <w:sz w:val="20"/>
                <w:szCs w:val="20"/>
              </w:rPr>
              <w:t>;</w:t>
            </w:r>
          </w:p>
          <w:p w14:paraId="4F0FC928" w14:textId="77777777" w:rsidR="00E663CE" w:rsidRPr="003C3487" w:rsidRDefault="00E663CE" w:rsidP="004F67D3">
            <w:pPr>
              <w:pStyle w:val="Akapitzlist"/>
              <w:numPr>
                <w:ilvl w:val="0"/>
                <w:numId w:val="3"/>
              </w:numPr>
              <w:spacing w:line="276" w:lineRule="auto"/>
              <w:ind w:left="357" w:hanging="357"/>
              <w:rPr>
                <w:sz w:val="20"/>
                <w:szCs w:val="20"/>
              </w:rPr>
            </w:pPr>
            <w:r w:rsidRPr="003C3487">
              <w:rPr>
                <w:sz w:val="20"/>
                <w:szCs w:val="20"/>
              </w:rPr>
              <w:t>morfologia krwi;</w:t>
            </w:r>
          </w:p>
          <w:p w14:paraId="2BA4E9A9" w14:textId="77777777" w:rsidR="00E663CE" w:rsidRPr="003C3487" w:rsidRDefault="00E663CE" w:rsidP="004F67D3">
            <w:pPr>
              <w:pStyle w:val="Akapitzlist"/>
              <w:numPr>
                <w:ilvl w:val="0"/>
                <w:numId w:val="3"/>
              </w:numPr>
              <w:spacing w:line="276" w:lineRule="auto"/>
              <w:ind w:left="357" w:hanging="357"/>
              <w:rPr>
                <w:sz w:val="20"/>
                <w:szCs w:val="20"/>
              </w:rPr>
            </w:pPr>
            <w:r w:rsidRPr="003C3487">
              <w:rPr>
                <w:sz w:val="20"/>
                <w:szCs w:val="20"/>
              </w:rPr>
              <w:t>płytki krwi (PLT);</w:t>
            </w:r>
          </w:p>
          <w:p w14:paraId="70A4C1F9" w14:textId="77777777" w:rsidR="00E663CE" w:rsidRPr="003C3487" w:rsidRDefault="00E663CE" w:rsidP="004F67D3">
            <w:pPr>
              <w:pStyle w:val="Akapitzlist"/>
              <w:numPr>
                <w:ilvl w:val="0"/>
                <w:numId w:val="3"/>
              </w:numPr>
              <w:spacing w:line="276" w:lineRule="auto"/>
              <w:ind w:left="357" w:hanging="357"/>
              <w:rPr>
                <w:sz w:val="20"/>
                <w:szCs w:val="20"/>
              </w:rPr>
            </w:pPr>
            <w:r w:rsidRPr="003C3487">
              <w:rPr>
                <w:sz w:val="20"/>
                <w:szCs w:val="20"/>
              </w:rPr>
              <w:t>odczyn Biernackiego (OB);</w:t>
            </w:r>
          </w:p>
          <w:p w14:paraId="7BB25587" w14:textId="77777777" w:rsidR="00E663CE" w:rsidRPr="003C3487" w:rsidRDefault="00E663CE" w:rsidP="004F67D3">
            <w:pPr>
              <w:pStyle w:val="Akapitzlist"/>
              <w:numPr>
                <w:ilvl w:val="0"/>
                <w:numId w:val="3"/>
              </w:numPr>
              <w:spacing w:line="276" w:lineRule="auto"/>
              <w:ind w:left="357" w:hanging="357"/>
              <w:rPr>
                <w:sz w:val="20"/>
                <w:szCs w:val="20"/>
              </w:rPr>
            </w:pPr>
            <w:r w:rsidRPr="003C3487">
              <w:rPr>
                <w:sz w:val="20"/>
                <w:szCs w:val="20"/>
              </w:rPr>
              <w:t>aminotransferaza asparaginianowa (AspAT);</w:t>
            </w:r>
          </w:p>
          <w:p w14:paraId="038827CA" w14:textId="77777777" w:rsidR="00E663CE" w:rsidRPr="003C3487" w:rsidRDefault="00E663CE" w:rsidP="004F67D3">
            <w:pPr>
              <w:pStyle w:val="Akapitzlist"/>
              <w:numPr>
                <w:ilvl w:val="0"/>
                <w:numId w:val="3"/>
              </w:numPr>
              <w:spacing w:line="276" w:lineRule="auto"/>
              <w:ind w:left="357" w:hanging="357"/>
              <w:rPr>
                <w:sz w:val="20"/>
                <w:szCs w:val="20"/>
              </w:rPr>
            </w:pPr>
            <w:r w:rsidRPr="003C3487">
              <w:rPr>
                <w:sz w:val="20"/>
                <w:szCs w:val="20"/>
              </w:rPr>
              <w:t>aminotransferaza alaninowa (AlAT);</w:t>
            </w:r>
          </w:p>
          <w:p w14:paraId="196B1AB8" w14:textId="77777777" w:rsidR="00E663CE" w:rsidRPr="003C3487" w:rsidRDefault="00E663CE" w:rsidP="004F67D3">
            <w:pPr>
              <w:pStyle w:val="Akapitzlist"/>
              <w:numPr>
                <w:ilvl w:val="0"/>
                <w:numId w:val="3"/>
              </w:numPr>
              <w:spacing w:line="276" w:lineRule="auto"/>
              <w:ind w:left="357" w:hanging="357"/>
              <w:rPr>
                <w:sz w:val="20"/>
                <w:szCs w:val="20"/>
              </w:rPr>
            </w:pPr>
            <w:r w:rsidRPr="003C3487">
              <w:rPr>
                <w:sz w:val="20"/>
                <w:szCs w:val="20"/>
              </w:rPr>
              <w:t>stężenie kreatyniny w surowicy;</w:t>
            </w:r>
          </w:p>
          <w:p w14:paraId="3CECD05F" w14:textId="77777777" w:rsidR="00E663CE" w:rsidRPr="003C3487" w:rsidRDefault="006C79D7" w:rsidP="004F67D3">
            <w:pPr>
              <w:pStyle w:val="Akapitzlist"/>
              <w:numPr>
                <w:ilvl w:val="0"/>
                <w:numId w:val="3"/>
              </w:numPr>
              <w:spacing w:line="276" w:lineRule="auto"/>
              <w:ind w:left="357" w:hanging="357"/>
              <w:rPr>
                <w:sz w:val="20"/>
                <w:szCs w:val="20"/>
              </w:rPr>
            </w:pPr>
            <w:r w:rsidRPr="003C3487">
              <w:rPr>
                <w:sz w:val="20"/>
                <w:szCs w:val="20"/>
              </w:rPr>
              <w:t>stężenie białka</w:t>
            </w:r>
            <w:r w:rsidR="00E663CE" w:rsidRPr="003C3487">
              <w:rPr>
                <w:sz w:val="20"/>
                <w:szCs w:val="20"/>
              </w:rPr>
              <w:t xml:space="preserve"> C-reaktywne</w:t>
            </w:r>
            <w:r w:rsidRPr="003C3487">
              <w:rPr>
                <w:sz w:val="20"/>
                <w:szCs w:val="20"/>
              </w:rPr>
              <w:t>go (CRP)</w:t>
            </w:r>
            <w:r w:rsidR="00E663CE" w:rsidRPr="003C3487">
              <w:rPr>
                <w:sz w:val="20"/>
                <w:szCs w:val="20"/>
              </w:rPr>
              <w:t>;</w:t>
            </w:r>
          </w:p>
          <w:p w14:paraId="6402A9F2" w14:textId="5E698B63" w:rsidR="00E663CE" w:rsidRPr="003C3487" w:rsidRDefault="00E663CE" w:rsidP="004F67D3">
            <w:pPr>
              <w:pStyle w:val="Akapitzlist"/>
              <w:numPr>
                <w:ilvl w:val="0"/>
                <w:numId w:val="3"/>
              </w:numPr>
              <w:spacing w:line="276" w:lineRule="auto"/>
              <w:ind w:left="357" w:hanging="357"/>
              <w:rPr>
                <w:sz w:val="20"/>
                <w:szCs w:val="20"/>
              </w:rPr>
            </w:pPr>
            <w:r w:rsidRPr="003C3487">
              <w:rPr>
                <w:sz w:val="20"/>
                <w:szCs w:val="20"/>
              </w:rPr>
              <w:t>badanie ogólne moczu</w:t>
            </w:r>
            <w:r w:rsidR="005947F6" w:rsidRPr="003C3487">
              <w:rPr>
                <w:sz w:val="20"/>
                <w:szCs w:val="20"/>
              </w:rPr>
              <w:t xml:space="preserve"> (do decyzji lekarza)</w:t>
            </w:r>
            <w:r w:rsidRPr="003C3487">
              <w:rPr>
                <w:sz w:val="20"/>
                <w:szCs w:val="20"/>
              </w:rPr>
              <w:t>;</w:t>
            </w:r>
          </w:p>
          <w:p w14:paraId="553E9629" w14:textId="77777777" w:rsidR="00E663CE" w:rsidRPr="003C3487" w:rsidRDefault="00E663CE" w:rsidP="006C79D7">
            <w:pPr>
              <w:pStyle w:val="Akapitzlist"/>
              <w:numPr>
                <w:ilvl w:val="0"/>
                <w:numId w:val="3"/>
              </w:numPr>
              <w:spacing w:line="276" w:lineRule="auto"/>
              <w:ind w:left="357" w:hanging="357"/>
              <w:rPr>
                <w:sz w:val="20"/>
                <w:szCs w:val="20"/>
              </w:rPr>
            </w:pPr>
            <w:r w:rsidRPr="003C3487">
              <w:rPr>
                <w:sz w:val="20"/>
                <w:szCs w:val="20"/>
              </w:rPr>
              <w:t>próba tuberkulinowa lub</w:t>
            </w:r>
            <w:r w:rsidR="0080206A" w:rsidRPr="003C3487">
              <w:rPr>
                <w:sz w:val="20"/>
                <w:szCs w:val="20"/>
              </w:rPr>
              <w:t xml:space="preserve"> test</w:t>
            </w:r>
            <w:r w:rsidRPr="003C3487">
              <w:rPr>
                <w:sz w:val="20"/>
                <w:szCs w:val="20"/>
              </w:rPr>
              <w:t xml:space="preserve"> Quantiferon;</w:t>
            </w:r>
          </w:p>
          <w:p w14:paraId="5D13764A" w14:textId="77777777" w:rsidR="00E663CE" w:rsidRPr="003C3487" w:rsidRDefault="00E663CE" w:rsidP="004F67D3">
            <w:pPr>
              <w:pStyle w:val="Akapitzlist"/>
              <w:numPr>
                <w:ilvl w:val="0"/>
                <w:numId w:val="3"/>
              </w:numPr>
              <w:spacing w:line="276" w:lineRule="auto"/>
              <w:ind w:left="357" w:hanging="357"/>
              <w:rPr>
                <w:sz w:val="20"/>
                <w:szCs w:val="20"/>
              </w:rPr>
            </w:pPr>
            <w:r w:rsidRPr="003C3487">
              <w:rPr>
                <w:sz w:val="20"/>
                <w:szCs w:val="20"/>
              </w:rPr>
              <w:t>obecność antygenu HBs;</w:t>
            </w:r>
          </w:p>
          <w:p w14:paraId="4EADD517" w14:textId="77777777" w:rsidR="00E663CE" w:rsidRPr="003C3487" w:rsidRDefault="00E663CE" w:rsidP="004F67D3">
            <w:pPr>
              <w:pStyle w:val="Akapitzlist"/>
              <w:numPr>
                <w:ilvl w:val="0"/>
                <w:numId w:val="3"/>
              </w:numPr>
              <w:spacing w:line="276" w:lineRule="auto"/>
              <w:ind w:left="357" w:hanging="357"/>
              <w:rPr>
                <w:sz w:val="20"/>
                <w:szCs w:val="20"/>
              </w:rPr>
            </w:pPr>
            <w:r w:rsidRPr="003C3487">
              <w:rPr>
                <w:sz w:val="20"/>
                <w:szCs w:val="20"/>
              </w:rPr>
              <w:t xml:space="preserve">przeciwciała </w:t>
            </w:r>
            <w:r w:rsidR="006C79D7" w:rsidRPr="003C3487">
              <w:rPr>
                <w:sz w:val="20"/>
                <w:szCs w:val="20"/>
              </w:rPr>
              <w:t>anty-</w:t>
            </w:r>
            <w:r w:rsidRPr="003C3487">
              <w:rPr>
                <w:sz w:val="20"/>
                <w:szCs w:val="20"/>
              </w:rPr>
              <w:t>HCV;</w:t>
            </w:r>
          </w:p>
          <w:p w14:paraId="7DD4B5E2" w14:textId="07543A59" w:rsidR="00E663CE" w:rsidRPr="003C3487" w:rsidRDefault="00E663CE" w:rsidP="004F67D3">
            <w:pPr>
              <w:pStyle w:val="Akapitzlist"/>
              <w:numPr>
                <w:ilvl w:val="0"/>
                <w:numId w:val="3"/>
              </w:numPr>
              <w:spacing w:line="276" w:lineRule="auto"/>
              <w:ind w:left="357" w:hanging="357"/>
              <w:rPr>
                <w:sz w:val="20"/>
                <w:szCs w:val="20"/>
              </w:rPr>
            </w:pPr>
            <w:r w:rsidRPr="003C3487">
              <w:rPr>
                <w:sz w:val="20"/>
                <w:szCs w:val="20"/>
              </w:rPr>
              <w:t>obecność antygen</w:t>
            </w:r>
            <w:r w:rsidR="00634118" w:rsidRPr="003C3487">
              <w:rPr>
                <w:sz w:val="20"/>
                <w:szCs w:val="20"/>
              </w:rPr>
              <w:t>u wirusa HIV (HIV Ag/</w:t>
            </w:r>
            <w:r w:rsidR="009C03E5" w:rsidRPr="003C3487">
              <w:rPr>
                <w:sz w:val="20"/>
                <w:szCs w:val="20"/>
              </w:rPr>
              <w:t>Ab Combo);</w:t>
            </w:r>
          </w:p>
          <w:p w14:paraId="645299D5" w14:textId="5D81F445" w:rsidR="00E663CE" w:rsidRPr="003C3487" w:rsidRDefault="00E663CE" w:rsidP="004F67D3">
            <w:pPr>
              <w:pStyle w:val="Akapitzlist"/>
              <w:numPr>
                <w:ilvl w:val="0"/>
                <w:numId w:val="3"/>
              </w:numPr>
              <w:spacing w:line="276" w:lineRule="auto"/>
              <w:ind w:left="357" w:hanging="357"/>
              <w:rPr>
                <w:sz w:val="20"/>
                <w:szCs w:val="20"/>
              </w:rPr>
            </w:pPr>
            <w:r w:rsidRPr="003C3487">
              <w:rPr>
                <w:sz w:val="20"/>
                <w:szCs w:val="20"/>
              </w:rPr>
              <w:t xml:space="preserve">RTG klatki piersiowej </w:t>
            </w:r>
            <w:r w:rsidR="00634118" w:rsidRPr="003C3487">
              <w:rPr>
                <w:sz w:val="20"/>
                <w:szCs w:val="20"/>
              </w:rPr>
              <w:t xml:space="preserve">z opisem </w:t>
            </w:r>
            <w:r w:rsidR="004F67D3" w:rsidRPr="003C3487">
              <w:rPr>
                <w:sz w:val="20"/>
                <w:szCs w:val="20"/>
              </w:rPr>
              <w:t>(</w:t>
            </w:r>
            <w:r w:rsidR="00634118" w:rsidRPr="003C3487">
              <w:rPr>
                <w:sz w:val="20"/>
                <w:szCs w:val="20"/>
              </w:rPr>
              <w:t>maksymalnie do 6</w:t>
            </w:r>
            <w:r w:rsidRPr="003C3487">
              <w:rPr>
                <w:sz w:val="20"/>
                <w:szCs w:val="20"/>
              </w:rPr>
              <w:t xml:space="preserve"> miesięcy przed kwalifikacją</w:t>
            </w:r>
            <w:r w:rsidR="004F67D3" w:rsidRPr="003C3487">
              <w:rPr>
                <w:sz w:val="20"/>
                <w:szCs w:val="20"/>
              </w:rPr>
              <w:t>)</w:t>
            </w:r>
            <w:r w:rsidRPr="003C3487">
              <w:rPr>
                <w:sz w:val="20"/>
                <w:szCs w:val="20"/>
              </w:rPr>
              <w:t>;</w:t>
            </w:r>
          </w:p>
          <w:p w14:paraId="5D84E311" w14:textId="4E07E183" w:rsidR="00634118" w:rsidRPr="003C3487" w:rsidRDefault="00634118" w:rsidP="004F67D3">
            <w:pPr>
              <w:pStyle w:val="Akapitzlist"/>
              <w:numPr>
                <w:ilvl w:val="0"/>
                <w:numId w:val="3"/>
              </w:numPr>
              <w:spacing w:line="276" w:lineRule="auto"/>
              <w:ind w:left="357" w:hanging="357"/>
              <w:rPr>
                <w:sz w:val="20"/>
                <w:szCs w:val="20"/>
              </w:rPr>
            </w:pPr>
            <w:r w:rsidRPr="003C3487">
              <w:rPr>
                <w:sz w:val="20"/>
                <w:szCs w:val="20"/>
              </w:rPr>
              <w:t>EKG z opisem;</w:t>
            </w:r>
          </w:p>
          <w:p w14:paraId="0973C4D8" w14:textId="6219BAA3" w:rsidR="00305FAC" w:rsidRPr="003C3487" w:rsidRDefault="00634118" w:rsidP="004F67D3">
            <w:pPr>
              <w:pStyle w:val="Akapitzlist"/>
              <w:numPr>
                <w:ilvl w:val="0"/>
                <w:numId w:val="3"/>
              </w:numPr>
              <w:spacing w:line="276" w:lineRule="auto"/>
              <w:ind w:left="357" w:hanging="357"/>
              <w:rPr>
                <w:sz w:val="20"/>
                <w:szCs w:val="20"/>
              </w:rPr>
            </w:pPr>
            <w:r w:rsidRPr="003C3487">
              <w:rPr>
                <w:sz w:val="20"/>
                <w:szCs w:val="20"/>
              </w:rPr>
              <w:t xml:space="preserve">badanie obrazowe RTG stawów krzyżowo-biodrowych, które potwierdza obecność sacroilitis </w:t>
            </w:r>
            <w:r w:rsidR="00FD67C7" w:rsidRPr="003C3487">
              <w:rPr>
                <w:sz w:val="20"/>
                <w:szCs w:val="20"/>
              </w:rPr>
              <w:t>-</w:t>
            </w:r>
            <w:r w:rsidRPr="003C3487">
              <w:rPr>
                <w:sz w:val="20"/>
                <w:szCs w:val="20"/>
              </w:rPr>
              <w:t xml:space="preserve"> u pacjentów z postacią osiową. </w:t>
            </w:r>
          </w:p>
          <w:p w14:paraId="147E4077" w14:textId="12978111" w:rsidR="00634118" w:rsidRDefault="00634118" w:rsidP="00634118">
            <w:pPr>
              <w:pStyle w:val="Akapitzlist"/>
              <w:spacing w:line="276" w:lineRule="auto"/>
              <w:ind w:left="357"/>
              <w:rPr>
                <w:sz w:val="20"/>
                <w:szCs w:val="20"/>
              </w:rPr>
            </w:pPr>
          </w:p>
          <w:p w14:paraId="593F124F" w14:textId="77777777" w:rsidR="000A5ECC" w:rsidRPr="003C3487" w:rsidRDefault="000A5ECC" w:rsidP="00634118">
            <w:pPr>
              <w:pStyle w:val="Akapitzlist"/>
              <w:spacing w:line="276" w:lineRule="auto"/>
              <w:ind w:left="357"/>
              <w:rPr>
                <w:sz w:val="20"/>
                <w:szCs w:val="20"/>
              </w:rPr>
            </w:pPr>
          </w:p>
          <w:p w14:paraId="495BF5D9" w14:textId="18E62FD4" w:rsidR="00A973CB" w:rsidRPr="003C3487" w:rsidRDefault="0080206A" w:rsidP="00634118">
            <w:pPr>
              <w:pStyle w:val="Default"/>
              <w:numPr>
                <w:ilvl w:val="0"/>
                <w:numId w:val="2"/>
              </w:numPr>
              <w:spacing w:line="276" w:lineRule="auto"/>
              <w:ind w:left="357" w:hanging="357"/>
              <w:contextualSpacing/>
              <w:rPr>
                <w:rFonts w:ascii="Times New Roman" w:hAnsi="Times New Roman" w:cs="Times New Roman"/>
                <w:b/>
                <w:color w:val="auto"/>
                <w:sz w:val="20"/>
                <w:szCs w:val="20"/>
              </w:rPr>
            </w:pPr>
            <w:r w:rsidRPr="003C3487">
              <w:rPr>
                <w:rFonts w:ascii="Times New Roman" w:hAnsi="Times New Roman" w:cs="Times New Roman"/>
                <w:b/>
                <w:color w:val="auto"/>
                <w:sz w:val="20"/>
                <w:szCs w:val="20"/>
              </w:rPr>
              <w:lastRenderedPageBreak/>
              <w:t>Monitorowanie leczenia</w:t>
            </w:r>
            <w:r w:rsidR="00634118" w:rsidRPr="003C3487">
              <w:rPr>
                <w:rFonts w:ascii="Times New Roman" w:hAnsi="Times New Roman" w:cs="Times New Roman"/>
                <w:b/>
                <w:color w:val="auto"/>
                <w:sz w:val="20"/>
                <w:szCs w:val="20"/>
              </w:rPr>
              <w:t>:</w:t>
            </w:r>
          </w:p>
          <w:p w14:paraId="2969A0DC" w14:textId="77777777" w:rsidR="000A5ECC" w:rsidRPr="00D83AB0" w:rsidRDefault="000A5ECC" w:rsidP="000A5ECC">
            <w:pPr>
              <w:numPr>
                <w:ilvl w:val="0"/>
                <w:numId w:val="23"/>
              </w:numPr>
              <w:spacing w:line="276" w:lineRule="auto"/>
              <w:ind w:left="317"/>
              <w:contextualSpacing/>
              <w:rPr>
                <w:sz w:val="20"/>
                <w:szCs w:val="20"/>
              </w:rPr>
            </w:pPr>
            <w:r w:rsidRPr="00D83AB0">
              <w:rPr>
                <w:sz w:val="20"/>
                <w:szCs w:val="20"/>
              </w:rPr>
              <w:t>Monitorowanie terapii inhibitorem TNF alfa - po 90 dniach (± 14 dni) i 180 dniach (± 28 dni) od pierwszego podania substancji czynnej należy wykonać:</w:t>
            </w:r>
          </w:p>
          <w:p w14:paraId="544CCEB2" w14:textId="77777777" w:rsidR="000A5ECC" w:rsidRPr="00D83AB0" w:rsidRDefault="000A5ECC" w:rsidP="000A5ECC">
            <w:pPr>
              <w:numPr>
                <w:ilvl w:val="0"/>
                <w:numId w:val="26"/>
              </w:numPr>
              <w:spacing w:line="276" w:lineRule="auto"/>
              <w:contextualSpacing/>
              <w:rPr>
                <w:sz w:val="20"/>
                <w:szCs w:val="20"/>
              </w:rPr>
            </w:pPr>
            <w:r w:rsidRPr="00D83AB0">
              <w:rPr>
                <w:sz w:val="20"/>
                <w:szCs w:val="20"/>
              </w:rPr>
              <w:t>morfologię krwi;</w:t>
            </w:r>
          </w:p>
          <w:p w14:paraId="21A2540A" w14:textId="77777777" w:rsidR="000A5ECC" w:rsidRPr="00D83AB0" w:rsidRDefault="000A5ECC" w:rsidP="000A5ECC">
            <w:pPr>
              <w:numPr>
                <w:ilvl w:val="0"/>
                <w:numId w:val="26"/>
              </w:numPr>
              <w:spacing w:line="276" w:lineRule="auto"/>
              <w:contextualSpacing/>
              <w:rPr>
                <w:sz w:val="20"/>
                <w:szCs w:val="20"/>
              </w:rPr>
            </w:pPr>
            <w:r w:rsidRPr="00D83AB0">
              <w:rPr>
                <w:sz w:val="20"/>
                <w:szCs w:val="20"/>
              </w:rPr>
              <w:t>odczyn Biernackiego (OB);</w:t>
            </w:r>
          </w:p>
          <w:p w14:paraId="6B7EC126" w14:textId="77777777" w:rsidR="000A5ECC" w:rsidRPr="00D83AB0" w:rsidRDefault="000A5ECC" w:rsidP="000A5ECC">
            <w:pPr>
              <w:numPr>
                <w:ilvl w:val="0"/>
                <w:numId w:val="26"/>
              </w:numPr>
              <w:spacing w:line="276" w:lineRule="auto"/>
              <w:contextualSpacing/>
              <w:rPr>
                <w:sz w:val="20"/>
                <w:szCs w:val="20"/>
              </w:rPr>
            </w:pPr>
            <w:r w:rsidRPr="00D83AB0">
              <w:rPr>
                <w:sz w:val="20"/>
                <w:szCs w:val="20"/>
              </w:rPr>
              <w:t>stężenie białka C-reaktywnego (CRP);</w:t>
            </w:r>
          </w:p>
          <w:p w14:paraId="78C4AD83" w14:textId="77777777" w:rsidR="000A5ECC" w:rsidRPr="00D83AB0" w:rsidRDefault="000A5ECC" w:rsidP="000A5ECC">
            <w:pPr>
              <w:numPr>
                <w:ilvl w:val="0"/>
                <w:numId w:val="26"/>
              </w:numPr>
              <w:spacing w:line="276" w:lineRule="auto"/>
              <w:contextualSpacing/>
              <w:rPr>
                <w:sz w:val="20"/>
                <w:szCs w:val="20"/>
              </w:rPr>
            </w:pPr>
            <w:r w:rsidRPr="00D83AB0">
              <w:rPr>
                <w:sz w:val="20"/>
                <w:szCs w:val="20"/>
              </w:rPr>
              <w:t>stężenie kreatyniny w surowicy;</w:t>
            </w:r>
          </w:p>
          <w:p w14:paraId="2C416B35" w14:textId="77777777" w:rsidR="000A5ECC" w:rsidRPr="00D83AB0" w:rsidRDefault="000A5ECC" w:rsidP="000A5ECC">
            <w:pPr>
              <w:numPr>
                <w:ilvl w:val="0"/>
                <w:numId w:val="26"/>
              </w:numPr>
              <w:spacing w:line="276" w:lineRule="auto"/>
              <w:contextualSpacing/>
              <w:rPr>
                <w:sz w:val="20"/>
                <w:szCs w:val="20"/>
              </w:rPr>
            </w:pPr>
            <w:r w:rsidRPr="00D83AB0">
              <w:rPr>
                <w:sz w:val="20"/>
                <w:szCs w:val="20"/>
              </w:rPr>
              <w:t>AspAT i AlAT</w:t>
            </w:r>
          </w:p>
          <w:p w14:paraId="64BAAA64" w14:textId="77777777" w:rsidR="000A5ECC" w:rsidRPr="00D83AB0" w:rsidRDefault="000A5ECC" w:rsidP="000A5ECC">
            <w:pPr>
              <w:ind w:left="317"/>
              <w:rPr>
                <w:sz w:val="20"/>
                <w:szCs w:val="20"/>
              </w:rPr>
            </w:pPr>
            <w:r w:rsidRPr="00D83AB0">
              <w:rPr>
                <w:sz w:val="20"/>
                <w:szCs w:val="20"/>
              </w:rPr>
              <w:t>oraz dokonać oceny skuteczności zastosowanej terapii.</w:t>
            </w:r>
          </w:p>
          <w:p w14:paraId="6827ABDF" w14:textId="77777777" w:rsidR="000A5ECC" w:rsidRPr="00D83AB0" w:rsidRDefault="000A5ECC" w:rsidP="000A5ECC">
            <w:pPr>
              <w:ind w:left="317"/>
              <w:rPr>
                <w:sz w:val="20"/>
                <w:szCs w:val="20"/>
              </w:rPr>
            </w:pPr>
            <w:r w:rsidRPr="00D83AB0">
              <w:rPr>
                <w:sz w:val="20"/>
                <w:szCs w:val="20"/>
              </w:rPr>
              <w:t>Jeżeli terapia jest kontynuowana powyższe powtarzać po każdych kolejnych 180 dniach (± 28 dni).</w:t>
            </w:r>
          </w:p>
          <w:p w14:paraId="54F97947" w14:textId="77777777" w:rsidR="000A5ECC" w:rsidRPr="00D83AB0" w:rsidRDefault="000A5ECC" w:rsidP="000A5ECC">
            <w:pPr>
              <w:numPr>
                <w:ilvl w:val="0"/>
                <w:numId w:val="23"/>
              </w:numPr>
              <w:spacing w:line="276" w:lineRule="auto"/>
              <w:ind w:left="317"/>
              <w:contextualSpacing/>
              <w:rPr>
                <w:sz w:val="20"/>
                <w:szCs w:val="20"/>
              </w:rPr>
            </w:pPr>
            <w:r w:rsidRPr="00D83AB0">
              <w:rPr>
                <w:sz w:val="20"/>
                <w:szCs w:val="20"/>
              </w:rPr>
              <w:t>Monitorowanie terapii sekukinumabem - po 120 dniach (± 14 dni) i 210 dniach (± 28 dni) od pierwszego podania substancji czynnej należy wykonać:</w:t>
            </w:r>
          </w:p>
          <w:p w14:paraId="01AE8EE2" w14:textId="77777777" w:rsidR="000A5ECC" w:rsidRPr="00D83AB0" w:rsidRDefault="000A5ECC" w:rsidP="000A5ECC">
            <w:pPr>
              <w:numPr>
                <w:ilvl w:val="0"/>
                <w:numId w:val="42"/>
              </w:numPr>
              <w:spacing w:line="276" w:lineRule="auto"/>
              <w:contextualSpacing/>
              <w:rPr>
                <w:sz w:val="20"/>
                <w:szCs w:val="20"/>
              </w:rPr>
            </w:pPr>
            <w:r w:rsidRPr="00D83AB0">
              <w:rPr>
                <w:sz w:val="20"/>
                <w:szCs w:val="20"/>
              </w:rPr>
              <w:t>morfologię krwi;</w:t>
            </w:r>
          </w:p>
          <w:p w14:paraId="20AC31C5" w14:textId="77777777" w:rsidR="000A5ECC" w:rsidRPr="00D83AB0" w:rsidRDefault="000A5ECC" w:rsidP="000A5ECC">
            <w:pPr>
              <w:numPr>
                <w:ilvl w:val="0"/>
                <w:numId w:val="42"/>
              </w:numPr>
              <w:spacing w:line="276" w:lineRule="auto"/>
              <w:contextualSpacing/>
              <w:rPr>
                <w:sz w:val="20"/>
                <w:szCs w:val="20"/>
              </w:rPr>
            </w:pPr>
            <w:r w:rsidRPr="00D83AB0">
              <w:rPr>
                <w:sz w:val="20"/>
                <w:szCs w:val="20"/>
              </w:rPr>
              <w:t>odczyn Biernackiego (OB);</w:t>
            </w:r>
          </w:p>
          <w:p w14:paraId="08FE18DB" w14:textId="77777777" w:rsidR="000A5ECC" w:rsidRPr="00D83AB0" w:rsidRDefault="000A5ECC" w:rsidP="000A5ECC">
            <w:pPr>
              <w:numPr>
                <w:ilvl w:val="0"/>
                <w:numId w:val="42"/>
              </w:numPr>
              <w:spacing w:line="276" w:lineRule="auto"/>
              <w:contextualSpacing/>
              <w:rPr>
                <w:sz w:val="20"/>
                <w:szCs w:val="20"/>
              </w:rPr>
            </w:pPr>
            <w:r w:rsidRPr="00D83AB0">
              <w:rPr>
                <w:sz w:val="20"/>
                <w:szCs w:val="20"/>
              </w:rPr>
              <w:t>stężenie białka C-reaktywnego (CRP);</w:t>
            </w:r>
          </w:p>
          <w:p w14:paraId="170C3C37" w14:textId="77777777" w:rsidR="000A5ECC" w:rsidRPr="00D83AB0" w:rsidRDefault="000A5ECC" w:rsidP="000A5ECC">
            <w:pPr>
              <w:numPr>
                <w:ilvl w:val="0"/>
                <w:numId w:val="42"/>
              </w:numPr>
              <w:spacing w:line="276" w:lineRule="auto"/>
              <w:contextualSpacing/>
              <w:rPr>
                <w:sz w:val="20"/>
                <w:szCs w:val="20"/>
              </w:rPr>
            </w:pPr>
            <w:r w:rsidRPr="00D83AB0">
              <w:rPr>
                <w:sz w:val="20"/>
                <w:szCs w:val="20"/>
              </w:rPr>
              <w:t>stężenie kreatyniny w surowicy;</w:t>
            </w:r>
          </w:p>
          <w:p w14:paraId="4B6EB55D" w14:textId="77777777" w:rsidR="000A5ECC" w:rsidRPr="00D83AB0" w:rsidRDefault="000A5ECC" w:rsidP="000A5ECC">
            <w:pPr>
              <w:numPr>
                <w:ilvl w:val="0"/>
                <w:numId w:val="42"/>
              </w:numPr>
              <w:spacing w:line="276" w:lineRule="auto"/>
              <w:contextualSpacing/>
              <w:rPr>
                <w:sz w:val="20"/>
                <w:szCs w:val="20"/>
              </w:rPr>
            </w:pPr>
            <w:r w:rsidRPr="00D83AB0">
              <w:rPr>
                <w:sz w:val="20"/>
                <w:szCs w:val="20"/>
              </w:rPr>
              <w:t>AspAT i AlAT</w:t>
            </w:r>
          </w:p>
          <w:p w14:paraId="71309124" w14:textId="77777777" w:rsidR="000A5ECC" w:rsidRPr="00D83AB0" w:rsidRDefault="000A5ECC" w:rsidP="000A5ECC">
            <w:pPr>
              <w:ind w:left="317"/>
              <w:rPr>
                <w:sz w:val="20"/>
                <w:szCs w:val="20"/>
              </w:rPr>
            </w:pPr>
            <w:r w:rsidRPr="00D83AB0">
              <w:rPr>
                <w:sz w:val="20"/>
                <w:szCs w:val="20"/>
              </w:rPr>
              <w:t>oraz dokonać oceny skuteczności zastosowanej terapii.</w:t>
            </w:r>
          </w:p>
          <w:p w14:paraId="260A55AE" w14:textId="6F3D028B" w:rsidR="00A973CB" w:rsidRPr="003C3487" w:rsidRDefault="000A5ECC" w:rsidP="000A5ECC">
            <w:pPr>
              <w:spacing w:line="276" w:lineRule="auto"/>
              <w:ind w:left="317"/>
              <w:rPr>
                <w:bCs/>
                <w:iCs/>
                <w:sz w:val="20"/>
                <w:szCs w:val="20"/>
              </w:rPr>
            </w:pPr>
            <w:r w:rsidRPr="00D83AB0">
              <w:rPr>
                <w:sz w:val="20"/>
                <w:szCs w:val="20"/>
              </w:rPr>
              <w:t>Jeżeli terapia jest kontynuowana powyższe powtarzać po każdych kolejnych 180 dniach (± 28 dni).</w:t>
            </w:r>
            <w:r w:rsidR="003C3080" w:rsidRPr="003C3487">
              <w:rPr>
                <w:sz w:val="20"/>
                <w:szCs w:val="20"/>
              </w:rPr>
              <w:br/>
            </w:r>
          </w:p>
          <w:p w14:paraId="7585C31C" w14:textId="77777777" w:rsidR="00A973CB" w:rsidRPr="003C3487" w:rsidRDefault="00721C46" w:rsidP="006C79D7">
            <w:pPr>
              <w:pStyle w:val="Akapitzlist"/>
              <w:numPr>
                <w:ilvl w:val="0"/>
                <w:numId w:val="2"/>
              </w:numPr>
              <w:spacing w:line="276" w:lineRule="auto"/>
              <w:ind w:left="357" w:hanging="357"/>
              <w:rPr>
                <w:b/>
                <w:sz w:val="20"/>
                <w:szCs w:val="20"/>
              </w:rPr>
            </w:pPr>
            <w:r w:rsidRPr="003C3487">
              <w:rPr>
                <w:b/>
                <w:bCs/>
                <w:sz w:val="20"/>
                <w:szCs w:val="20"/>
              </w:rPr>
              <w:t>Monitorowanie</w:t>
            </w:r>
            <w:r w:rsidRPr="003C3487">
              <w:rPr>
                <w:rFonts w:eastAsia="Calibri"/>
                <w:b/>
                <w:sz w:val="20"/>
                <w:szCs w:val="20"/>
              </w:rPr>
              <w:t xml:space="preserve"> programu</w:t>
            </w:r>
            <w:r w:rsidR="00D179FD" w:rsidRPr="003C3487">
              <w:rPr>
                <w:rFonts w:eastAsia="Calibri"/>
                <w:b/>
                <w:sz w:val="20"/>
                <w:szCs w:val="20"/>
              </w:rPr>
              <w:t>:</w:t>
            </w:r>
          </w:p>
          <w:p w14:paraId="279AED47" w14:textId="77777777" w:rsidR="00721C46" w:rsidRPr="003C3487" w:rsidRDefault="00721C46" w:rsidP="0018654A">
            <w:pPr>
              <w:pStyle w:val="Akapitzlist"/>
              <w:numPr>
                <w:ilvl w:val="0"/>
                <w:numId w:val="5"/>
              </w:numPr>
              <w:autoSpaceDE w:val="0"/>
              <w:autoSpaceDN w:val="0"/>
              <w:adjustRightInd w:val="0"/>
              <w:spacing w:line="276" w:lineRule="auto"/>
              <w:ind w:left="357" w:hanging="357"/>
              <w:rPr>
                <w:sz w:val="20"/>
                <w:szCs w:val="20"/>
              </w:rPr>
            </w:pPr>
            <w:r w:rsidRPr="003C3487">
              <w:rPr>
                <w:sz w:val="20"/>
                <w:szCs w:val="20"/>
              </w:rPr>
              <w:t>gromadzenie w dokumentacji medycznej pacjenta danych dotyczących monitorowania leczenia i każdorazowe ich przeds</w:t>
            </w:r>
            <w:r w:rsidR="00F22ABC" w:rsidRPr="003C3487">
              <w:rPr>
                <w:sz w:val="20"/>
                <w:szCs w:val="20"/>
              </w:rPr>
              <w:t xml:space="preserve">tawianie na żądanie kontrolerów </w:t>
            </w:r>
            <w:r w:rsidRPr="003C3487">
              <w:rPr>
                <w:sz w:val="20"/>
                <w:szCs w:val="20"/>
              </w:rPr>
              <w:t>Narodowego Funduszu Zdrowia;</w:t>
            </w:r>
          </w:p>
          <w:p w14:paraId="7D8D8A0A" w14:textId="77777777" w:rsidR="00721C46" w:rsidRPr="003C3487" w:rsidRDefault="006C79D7" w:rsidP="0018654A">
            <w:pPr>
              <w:pStyle w:val="Akapitzlist"/>
              <w:numPr>
                <w:ilvl w:val="0"/>
                <w:numId w:val="5"/>
              </w:numPr>
              <w:autoSpaceDE w:val="0"/>
              <w:autoSpaceDN w:val="0"/>
              <w:adjustRightInd w:val="0"/>
              <w:spacing w:line="276" w:lineRule="auto"/>
              <w:ind w:left="357" w:hanging="357"/>
              <w:rPr>
                <w:sz w:val="20"/>
                <w:szCs w:val="20"/>
              </w:rPr>
            </w:pPr>
            <w:r w:rsidRPr="003C3487">
              <w:rPr>
                <w:sz w:val="20"/>
                <w:szCs w:val="20"/>
              </w:rPr>
              <w:t>uzupełnia</w:t>
            </w:r>
            <w:r w:rsidR="00721C46" w:rsidRPr="003C3487">
              <w:rPr>
                <w:sz w:val="20"/>
                <w:szCs w:val="20"/>
              </w:rPr>
              <w:t>nie danych zawartych w rejestrze (SMPT) dostępnym za pomocą aplikacji internetowej udostępnionej przez OW NFZ, z częstotliwością zgodną z opisem programu oraz na zakończenie leczenia;</w:t>
            </w:r>
          </w:p>
          <w:p w14:paraId="39F5AC40" w14:textId="77777777" w:rsidR="002279F5" w:rsidRPr="003C3487" w:rsidRDefault="00721C46" w:rsidP="0018654A">
            <w:pPr>
              <w:pStyle w:val="Akapitzlist"/>
              <w:numPr>
                <w:ilvl w:val="0"/>
                <w:numId w:val="5"/>
              </w:numPr>
              <w:spacing w:line="276" w:lineRule="auto"/>
              <w:ind w:left="357" w:hanging="357"/>
              <w:rPr>
                <w:sz w:val="20"/>
                <w:szCs w:val="20"/>
              </w:rPr>
            </w:pPr>
            <w:r w:rsidRPr="003C3487">
              <w:rPr>
                <w:sz w:val="20"/>
                <w:szCs w:val="20"/>
              </w:rPr>
              <w:lastRenderedPageBreak/>
              <w:t>przekazywanie informacji sprawozdawczo-rozliczeniowych do NFZ: informacje przekazuje się do NFZ w formie papierowej lub w formie elektronicznej, zgodnie z wymaganiami opublikowanymi przez Narodowy Fundusz Zdrowia.</w:t>
            </w:r>
          </w:p>
          <w:p w14:paraId="20DDEE97" w14:textId="77777777" w:rsidR="002279F5" w:rsidRPr="003C3487" w:rsidRDefault="002279F5" w:rsidP="004F67D3">
            <w:pPr>
              <w:pStyle w:val="Akapitzlist1"/>
              <w:spacing w:line="276" w:lineRule="auto"/>
              <w:ind w:left="0"/>
            </w:pPr>
          </w:p>
        </w:tc>
      </w:tr>
    </w:tbl>
    <w:p w14:paraId="70C6F4BE" w14:textId="77777777" w:rsidR="00DA6460" w:rsidRPr="003C3487" w:rsidRDefault="00DA6460" w:rsidP="004F67D3">
      <w:pPr>
        <w:spacing w:line="276" w:lineRule="auto"/>
        <w:rPr>
          <w:sz w:val="20"/>
          <w:szCs w:val="20"/>
        </w:rPr>
      </w:pPr>
    </w:p>
    <w:sectPr w:rsidR="00DA6460" w:rsidRPr="003C3487" w:rsidSect="0089577E">
      <w:footerReference w:type="even" r:id="rId8"/>
      <w:pgSz w:w="16838" w:h="11906" w:orient="landscape" w:code="9"/>
      <w:pgMar w:top="1588" w:right="720" w:bottom="141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429AF" w14:textId="77777777" w:rsidR="00741BE4" w:rsidRDefault="00741BE4">
      <w:r>
        <w:separator/>
      </w:r>
    </w:p>
  </w:endnote>
  <w:endnote w:type="continuationSeparator" w:id="0">
    <w:p w14:paraId="257D859A" w14:textId="77777777" w:rsidR="00741BE4" w:rsidRDefault="0074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KBKDC+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4DD66" w14:textId="77777777" w:rsidR="002B4753" w:rsidRDefault="002B4753" w:rsidP="0086733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6DE9541" w14:textId="77777777" w:rsidR="002B4753" w:rsidRDefault="002B4753" w:rsidP="00867334">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6B53C" w14:textId="77777777" w:rsidR="00741BE4" w:rsidRDefault="00741BE4">
      <w:r>
        <w:separator/>
      </w:r>
    </w:p>
  </w:footnote>
  <w:footnote w:type="continuationSeparator" w:id="0">
    <w:p w14:paraId="73CBD008" w14:textId="77777777" w:rsidR="00741BE4" w:rsidRDefault="00741B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C1B08"/>
    <w:multiLevelType w:val="hybridMultilevel"/>
    <w:tmpl w:val="5184BB2C"/>
    <w:lvl w:ilvl="0" w:tplc="42702A94">
      <w:start w:val="1"/>
      <w:numFmt w:val="bullet"/>
      <w:lvlText w:val=""/>
      <w:lvlJc w:val="left"/>
      <w:pPr>
        <w:ind w:left="1393" w:hanging="360"/>
      </w:pPr>
      <w:rPr>
        <w:rFonts w:ascii="Symbol" w:hAnsi="Symbol" w:hint="default"/>
      </w:rPr>
    </w:lvl>
    <w:lvl w:ilvl="1" w:tplc="04150003" w:tentative="1">
      <w:start w:val="1"/>
      <w:numFmt w:val="bullet"/>
      <w:lvlText w:val="o"/>
      <w:lvlJc w:val="left"/>
      <w:pPr>
        <w:ind w:left="2113" w:hanging="360"/>
      </w:pPr>
      <w:rPr>
        <w:rFonts w:ascii="Courier New" w:hAnsi="Courier New" w:cs="Courier New" w:hint="default"/>
      </w:rPr>
    </w:lvl>
    <w:lvl w:ilvl="2" w:tplc="04150005" w:tentative="1">
      <w:start w:val="1"/>
      <w:numFmt w:val="bullet"/>
      <w:lvlText w:val=""/>
      <w:lvlJc w:val="left"/>
      <w:pPr>
        <w:ind w:left="2833" w:hanging="360"/>
      </w:pPr>
      <w:rPr>
        <w:rFonts w:ascii="Wingdings" w:hAnsi="Wingdings" w:hint="default"/>
      </w:rPr>
    </w:lvl>
    <w:lvl w:ilvl="3" w:tplc="04150001" w:tentative="1">
      <w:start w:val="1"/>
      <w:numFmt w:val="bullet"/>
      <w:lvlText w:val=""/>
      <w:lvlJc w:val="left"/>
      <w:pPr>
        <w:ind w:left="3553" w:hanging="360"/>
      </w:pPr>
      <w:rPr>
        <w:rFonts w:ascii="Symbol" w:hAnsi="Symbol" w:hint="default"/>
      </w:rPr>
    </w:lvl>
    <w:lvl w:ilvl="4" w:tplc="04150003" w:tentative="1">
      <w:start w:val="1"/>
      <w:numFmt w:val="bullet"/>
      <w:lvlText w:val="o"/>
      <w:lvlJc w:val="left"/>
      <w:pPr>
        <w:ind w:left="4273" w:hanging="360"/>
      </w:pPr>
      <w:rPr>
        <w:rFonts w:ascii="Courier New" w:hAnsi="Courier New" w:cs="Courier New" w:hint="default"/>
      </w:rPr>
    </w:lvl>
    <w:lvl w:ilvl="5" w:tplc="04150005" w:tentative="1">
      <w:start w:val="1"/>
      <w:numFmt w:val="bullet"/>
      <w:lvlText w:val=""/>
      <w:lvlJc w:val="left"/>
      <w:pPr>
        <w:ind w:left="4993" w:hanging="360"/>
      </w:pPr>
      <w:rPr>
        <w:rFonts w:ascii="Wingdings" w:hAnsi="Wingdings" w:hint="default"/>
      </w:rPr>
    </w:lvl>
    <w:lvl w:ilvl="6" w:tplc="04150001" w:tentative="1">
      <w:start w:val="1"/>
      <w:numFmt w:val="bullet"/>
      <w:lvlText w:val=""/>
      <w:lvlJc w:val="left"/>
      <w:pPr>
        <w:ind w:left="5713" w:hanging="360"/>
      </w:pPr>
      <w:rPr>
        <w:rFonts w:ascii="Symbol" w:hAnsi="Symbol" w:hint="default"/>
      </w:rPr>
    </w:lvl>
    <w:lvl w:ilvl="7" w:tplc="04150003" w:tentative="1">
      <w:start w:val="1"/>
      <w:numFmt w:val="bullet"/>
      <w:lvlText w:val="o"/>
      <w:lvlJc w:val="left"/>
      <w:pPr>
        <w:ind w:left="6433" w:hanging="360"/>
      </w:pPr>
      <w:rPr>
        <w:rFonts w:ascii="Courier New" w:hAnsi="Courier New" w:cs="Courier New" w:hint="default"/>
      </w:rPr>
    </w:lvl>
    <w:lvl w:ilvl="8" w:tplc="04150005" w:tentative="1">
      <w:start w:val="1"/>
      <w:numFmt w:val="bullet"/>
      <w:lvlText w:val=""/>
      <w:lvlJc w:val="left"/>
      <w:pPr>
        <w:ind w:left="7153" w:hanging="360"/>
      </w:pPr>
      <w:rPr>
        <w:rFonts w:ascii="Wingdings" w:hAnsi="Wingdings" w:hint="default"/>
      </w:rPr>
    </w:lvl>
  </w:abstractNum>
  <w:abstractNum w:abstractNumId="1" w15:restartNumberingAfterBreak="0">
    <w:nsid w:val="05B51F3E"/>
    <w:multiLevelType w:val="hybridMultilevel"/>
    <w:tmpl w:val="81E6FA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1B3621"/>
    <w:multiLevelType w:val="hybridMultilevel"/>
    <w:tmpl w:val="BB28A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413F24"/>
    <w:multiLevelType w:val="hybridMultilevel"/>
    <w:tmpl w:val="F4306F3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E335E04"/>
    <w:multiLevelType w:val="hybridMultilevel"/>
    <w:tmpl w:val="39DAF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961230"/>
    <w:multiLevelType w:val="hybridMultilevel"/>
    <w:tmpl w:val="E6C003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43D36"/>
    <w:multiLevelType w:val="hybridMultilevel"/>
    <w:tmpl w:val="1ADE1A12"/>
    <w:lvl w:ilvl="0" w:tplc="1C9CE746">
      <w:start w:val="1"/>
      <w:numFmt w:val="lowerLetter"/>
      <w:lvlText w:val="%1)"/>
      <w:lvlJc w:val="left"/>
      <w:pPr>
        <w:ind w:left="673" w:hanging="360"/>
      </w:pPr>
      <w:rPr>
        <w:rFonts w:hint="default"/>
      </w:rPr>
    </w:lvl>
    <w:lvl w:ilvl="1" w:tplc="04150019" w:tentative="1">
      <w:start w:val="1"/>
      <w:numFmt w:val="lowerLetter"/>
      <w:lvlText w:val="%2."/>
      <w:lvlJc w:val="left"/>
      <w:pPr>
        <w:ind w:left="1393" w:hanging="360"/>
      </w:pPr>
    </w:lvl>
    <w:lvl w:ilvl="2" w:tplc="0415001B" w:tentative="1">
      <w:start w:val="1"/>
      <w:numFmt w:val="lowerRoman"/>
      <w:lvlText w:val="%3."/>
      <w:lvlJc w:val="right"/>
      <w:pPr>
        <w:ind w:left="2113" w:hanging="180"/>
      </w:pPr>
    </w:lvl>
    <w:lvl w:ilvl="3" w:tplc="0415000F" w:tentative="1">
      <w:start w:val="1"/>
      <w:numFmt w:val="decimal"/>
      <w:lvlText w:val="%4."/>
      <w:lvlJc w:val="left"/>
      <w:pPr>
        <w:ind w:left="2833" w:hanging="360"/>
      </w:pPr>
    </w:lvl>
    <w:lvl w:ilvl="4" w:tplc="04150019" w:tentative="1">
      <w:start w:val="1"/>
      <w:numFmt w:val="lowerLetter"/>
      <w:lvlText w:val="%5."/>
      <w:lvlJc w:val="left"/>
      <w:pPr>
        <w:ind w:left="3553" w:hanging="360"/>
      </w:pPr>
    </w:lvl>
    <w:lvl w:ilvl="5" w:tplc="0415001B" w:tentative="1">
      <w:start w:val="1"/>
      <w:numFmt w:val="lowerRoman"/>
      <w:lvlText w:val="%6."/>
      <w:lvlJc w:val="right"/>
      <w:pPr>
        <w:ind w:left="4273" w:hanging="180"/>
      </w:pPr>
    </w:lvl>
    <w:lvl w:ilvl="6" w:tplc="0415000F" w:tentative="1">
      <w:start w:val="1"/>
      <w:numFmt w:val="decimal"/>
      <w:lvlText w:val="%7."/>
      <w:lvlJc w:val="left"/>
      <w:pPr>
        <w:ind w:left="4993" w:hanging="360"/>
      </w:pPr>
    </w:lvl>
    <w:lvl w:ilvl="7" w:tplc="04150019" w:tentative="1">
      <w:start w:val="1"/>
      <w:numFmt w:val="lowerLetter"/>
      <w:lvlText w:val="%8."/>
      <w:lvlJc w:val="left"/>
      <w:pPr>
        <w:ind w:left="5713" w:hanging="360"/>
      </w:pPr>
    </w:lvl>
    <w:lvl w:ilvl="8" w:tplc="0415001B" w:tentative="1">
      <w:start w:val="1"/>
      <w:numFmt w:val="lowerRoman"/>
      <w:lvlText w:val="%9."/>
      <w:lvlJc w:val="right"/>
      <w:pPr>
        <w:ind w:left="6433" w:hanging="180"/>
      </w:pPr>
    </w:lvl>
  </w:abstractNum>
  <w:abstractNum w:abstractNumId="7" w15:restartNumberingAfterBreak="0">
    <w:nsid w:val="10362389"/>
    <w:multiLevelType w:val="hybridMultilevel"/>
    <w:tmpl w:val="02F02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8D2B99"/>
    <w:multiLevelType w:val="hybridMultilevel"/>
    <w:tmpl w:val="642EBAB2"/>
    <w:lvl w:ilvl="0" w:tplc="CDA60DA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1549C"/>
    <w:multiLevelType w:val="hybridMultilevel"/>
    <w:tmpl w:val="6A3A9692"/>
    <w:lvl w:ilvl="0" w:tplc="42702A94">
      <w:start w:val="1"/>
      <w:numFmt w:val="bullet"/>
      <w:lvlText w:val=""/>
      <w:lvlJc w:val="left"/>
      <w:pPr>
        <w:ind w:left="1393" w:hanging="360"/>
      </w:pPr>
      <w:rPr>
        <w:rFonts w:ascii="Symbol" w:hAnsi="Symbol" w:hint="default"/>
      </w:rPr>
    </w:lvl>
    <w:lvl w:ilvl="1" w:tplc="04150003" w:tentative="1">
      <w:start w:val="1"/>
      <w:numFmt w:val="bullet"/>
      <w:lvlText w:val="o"/>
      <w:lvlJc w:val="left"/>
      <w:pPr>
        <w:ind w:left="2113" w:hanging="360"/>
      </w:pPr>
      <w:rPr>
        <w:rFonts w:ascii="Courier New" w:hAnsi="Courier New" w:cs="Courier New" w:hint="default"/>
      </w:rPr>
    </w:lvl>
    <w:lvl w:ilvl="2" w:tplc="04150005" w:tentative="1">
      <w:start w:val="1"/>
      <w:numFmt w:val="bullet"/>
      <w:lvlText w:val=""/>
      <w:lvlJc w:val="left"/>
      <w:pPr>
        <w:ind w:left="2833" w:hanging="360"/>
      </w:pPr>
      <w:rPr>
        <w:rFonts w:ascii="Wingdings" w:hAnsi="Wingdings" w:hint="default"/>
      </w:rPr>
    </w:lvl>
    <w:lvl w:ilvl="3" w:tplc="04150001" w:tentative="1">
      <w:start w:val="1"/>
      <w:numFmt w:val="bullet"/>
      <w:lvlText w:val=""/>
      <w:lvlJc w:val="left"/>
      <w:pPr>
        <w:ind w:left="3553" w:hanging="360"/>
      </w:pPr>
      <w:rPr>
        <w:rFonts w:ascii="Symbol" w:hAnsi="Symbol" w:hint="default"/>
      </w:rPr>
    </w:lvl>
    <w:lvl w:ilvl="4" w:tplc="04150003" w:tentative="1">
      <w:start w:val="1"/>
      <w:numFmt w:val="bullet"/>
      <w:lvlText w:val="o"/>
      <w:lvlJc w:val="left"/>
      <w:pPr>
        <w:ind w:left="4273" w:hanging="360"/>
      </w:pPr>
      <w:rPr>
        <w:rFonts w:ascii="Courier New" w:hAnsi="Courier New" w:cs="Courier New" w:hint="default"/>
      </w:rPr>
    </w:lvl>
    <w:lvl w:ilvl="5" w:tplc="04150005" w:tentative="1">
      <w:start w:val="1"/>
      <w:numFmt w:val="bullet"/>
      <w:lvlText w:val=""/>
      <w:lvlJc w:val="left"/>
      <w:pPr>
        <w:ind w:left="4993" w:hanging="360"/>
      </w:pPr>
      <w:rPr>
        <w:rFonts w:ascii="Wingdings" w:hAnsi="Wingdings" w:hint="default"/>
      </w:rPr>
    </w:lvl>
    <w:lvl w:ilvl="6" w:tplc="04150001" w:tentative="1">
      <w:start w:val="1"/>
      <w:numFmt w:val="bullet"/>
      <w:lvlText w:val=""/>
      <w:lvlJc w:val="left"/>
      <w:pPr>
        <w:ind w:left="5713" w:hanging="360"/>
      </w:pPr>
      <w:rPr>
        <w:rFonts w:ascii="Symbol" w:hAnsi="Symbol" w:hint="default"/>
      </w:rPr>
    </w:lvl>
    <w:lvl w:ilvl="7" w:tplc="04150003" w:tentative="1">
      <w:start w:val="1"/>
      <w:numFmt w:val="bullet"/>
      <w:lvlText w:val="o"/>
      <w:lvlJc w:val="left"/>
      <w:pPr>
        <w:ind w:left="6433" w:hanging="360"/>
      </w:pPr>
      <w:rPr>
        <w:rFonts w:ascii="Courier New" w:hAnsi="Courier New" w:cs="Courier New" w:hint="default"/>
      </w:rPr>
    </w:lvl>
    <w:lvl w:ilvl="8" w:tplc="04150005" w:tentative="1">
      <w:start w:val="1"/>
      <w:numFmt w:val="bullet"/>
      <w:lvlText w:val=""/>
      <w:lvlJc w:val="left"/>
      <w:pPr>
        <w:ind w:left="7153" w:hanging="360"/>
      </w:pPr>
      <w:rPr>
        <w:rFonts w:ascii="Wingdings" w:hAnsi="Wingdings" w:hint="default"/>
      </w:rPr>
    </w:lvl>
  </w:abstractNum>
  <w:abstractNum w:abstractNumId="10" w15:restartNumberingAfterBreak="0">
    <w:nsid w:val="19CF6005"/>
    <w:multiLevelType w:val="hybridMultilevel"/>
    <w:tmpl w:val="BA1E9F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AF1C6D"/>
    <w:multiLevelType w:val="hybridMultilevel"/>
    <w:tmpl w:val="58CAD4AE"/>
    <w:lvl w:ilvl="0" w:tplc="42702A94">
      <w:start w:val="1"/>
      <w:numFmt w:val="bullet"/>
      <w:lvlText w:val=""/>
      <w:lvlJc w:val="left"/>
      <w:pPr>
        <w:ind w:left="1393" w:hanging="360"/>
      </w:pPr>
      <w:rPr>
        <w:rFonts w:ascii="Symbol" w:hAnsi="Symbol" w:hint="default"/>
      </w:rPr>
    </w:lvl>
    <w:lvl w:ilvl="1" w:tplc="04150003" w:tentative="1">
      <w:start w:val="1"/>
      <w:numFmt w:val="bullet"/>
      <w:lvlText w:val="o"/>
      <w:lvlJc w:val="left"/>
      <w:pPr>
        <w:ind w:left="2113" w:hanging="360"/>
      </w:pPr>
      <w:rPr>
        <w:rFonts w:ascii="Courier New" w:hAnsi="Courier New" w:cs="Courier New" w:hint="default"/>
      </w:rPr>
    </w:lvl>
    <w:lvl w:ilvl="2" w:tplc="04150005" w:tentative="1">
      <w:start w:val="1"/>
      <w:numFmt w:val="bullet"/>
      <w:lvlText w:val=""/>
      <w:lvlJc w:val="left"/>
      <w:pPr>
        <w:ind w:left="2833" w:hanging="360"/>
      </w:pPr>
      <w:rPr>
        <w:rFonts w:ascii="Wingdings" w:hAnsi="Wingdings" w:hint="default"/>
      </w:rPr>
    </w:lvl>
    <w:lvl w:ilvl="3" w:tplc="04150001" w:tentative="1">
      <w:start w:val="1"/>
      <w:numFmt w:val="bullet"/>
      <w:lvlText w:val=""/>
      <w:lvlJc w:val="left"/>
      <w:pPr>
        <w:ind w:left="3553" w:hanging="360"/>
      </w:pPr>
      <w:rPr>
        <w:rFonts w:ascii="Symbol" w:hAnsi="Symbol" w:hint="default"/>
      </w:rPr>
    </w:lvl>
    <w:lvl w:ilvl="4" w:tplc="04150003" w:tentative="1">
      <w:start w:val="1"/>
      <w:numFmt w:val="bullet"/>
      <w:lvlText w:val="o"/>
      <w:lvlJc w:val="left"/>
      <w:pPr>
        <w:ind w:left="4273" w:hanging="360"/>
      </w:pPr>
      <w:rPr>
        <w:rFonts w:ascii="Courier New" w:hAnsi="Courier New" w:cs="Courier New" w:hint="default"/>
      </w:rPr>
    </w:lvl>
    <w:lvl w:ilvl="5" w:tplc="04150005" w:tentative="1">
      <w:start w:val="1"/>
      <w:numFmt w:val="bullet"/>
      <w:lvlText w:val=""/>
      <w:lvlJc w:val="left"/>
      <w:pPr>
        <w:ind w:left="4993" w:hanging="360"/>
      </w:pPr>
      <w:rPr>
        <w:rFonts w:ascii="Wingdings" w:hAnsi="Wingdings" w:hint="default"/>
      </w:rPr>
    </w:lvl>
    <w:lvl w:ilvl="6" w:tplc="04150001" w:tentative="1">
      <w:start w:val="1"/>
      <w:numFmt w:val="bullet"/>
      <w:lvlText w:val=""/>
      <w:lvlJc w:val="left"/>
      <w:pPr>
        <w:ind w:left="5713" w:hanging="360"/>
      </w:pPr>
      <w:rPr>
        <w:rFonts w:ascii="Symbol" w:hAnsi="Symbol" w:hint="default"/>
      </w:rPr>
    </w:lvl>
    <w:lvl w:ilvl="7" w:tplc="04150003" w:tentative="1">
      <w:start w:val="1"/>
      <w:numFmt w:val="bullet"/>
      <w:lvlText w:val="o"/>
      <w:lvlJc w:val="left"/>
      <w:pPr>
        <w:ind w:left="6433" w:hanging="360"/>
      </w:pPr>
      <w:rPr>
        <w:rFonts w:ascii="Courier New" w:hAnsi="Courier New" w:cs="Courier New" w:hint="default"/>
      </w:rPr>
    </w:lvl>
    <w:lvl w:ilvl="8" w:tplc="04150005" w:tentative="1">
      <w:start w:val="1"/>
      <w:numFmt w:val="bullet"/>
      <w:lvlText w:val=""/>
      <w:lvlJc w:val="left"/>
      <w:pPr>
        <w:ind w:left="7153" w:hanging="360"/>
      </w:pPr>
      <w:rPr>
        <w:rFonts w:ascii="Wingdings" w:hAnsi="Wingdings" w:hint="default"/>
      </w:rPr>
    </w:lvl>
  </w:abstractNum>
  <w:abstractNum w:abstractNumId="12" w15:restartNumberingAfterBreak="0">
    <w:nsid w:val="1D7379C9"/>
    <w:multiLevelType w:val="hybridMultilevel"/>
    <w:tmpl w:val="25103200"/>
    <w:lvl w:ilvl="0" w:tplc="42702A94">
      <w:start w:val="1"/>
      <w:numFmt w:val="bullet"/>
      <w:lvlText w:val=""/>
      <w:lvlJc w:val="left"/>
      <w:pPr>
        <w:ind w:left="2131" w:hanging="360"/>
      </w:pPr>
      <w:rPr>
        <w:rFonts w:ascii="Symbol" w:hAnsi="Symbol" w:hint="default"/>
      </w:rPr>
    </w:lvl>
    <w:lvl w:ilvl="1" w:tplc="04150003" w:tentative="1">
      <w:start w:val="1"/>
      <w:numFmt w:val="bullet"/>
      <w:lvlText w:val="o"/>
      <w:lvlJc w:val="left"/>
      <w:pPr>
        <w:ind w:left="2851" w:hanging="360"/>
      </w:pPr>
      <w:rPr>
        <w:rFonts w:ascii="Courier New" w:hAnsi="Courier New" w:cs="Courier New" w:hint="default"/>
      </w:rPr>
    </w:lvl>
    <w:lvl w:ilvl="2" w:tplc="04150005" w:tentative="1">
      <w:start w:val="1"/>
      <w:numFmt w:val="bullet"/>
      <w:lvlText w:val=""/>
      <w:lvlJc w:val="left"/>
      <w:pPr>
        <w:ind w:left="3571" w:hanging="360"/>
      </w:pPr>
      <w:rPr>
        <w:rFonts w:ascii="Wingdings" w:hAnsi="Wingdings" w:hint="default"/>
      </w:rPr>
    </w:lvl>
    <w:lvl w:ilvl="3" w:tplc="04150001" w:tentative="1">
      <w:start w:val="1"/>
      <w:numFmt w:val="bullet"/>
      <w:lvlText w:val=""/>
      <w:lvlJc w:val="left"/>
      <w:pPr>
        <w:ind w:left="4291" w:hanging="360"/>
      </w:pPr>
      <w:rPr>
        <w:rFonts w:ascii="Symbol" w:hAnsi="Symbol" w:hint="default"/>
      </w:rPr>
    </w:lvl>
    <w:lvl w:ilvl="4" w:tplc="04150003" w:tentative="1">
      <w:start w:val="1"/>
      <w:numFmt w:val="bullet"/>
      <w:lvlText w:val="o"/>
      <w:lvlJc w:val="left"/>
      <w:pPr>
        <w:ind w:left="5011" w:hanging="360"/>
      </w:pPr>
      <w:rPr>
        <w:rFonts w:ascii="Courier New" w:hAnsi="Courier New" w:cs="Courier New" w:hint="default"/>
      </w:rPr>
    </w:lvl>
    <w:lvl w:ilvl="5" w:tplc="04150005" w:tentative="1">
      <w:start w:val="1"/>
      <w:numFmt w:val="bullet"/>
      <w:lvlText w:val=""/>
      <w:lvlJc w:val="left"/>
      <w:pPr>
        <w:ind w:left="5731" w:hanging="360"/>
      </w:pPr>
      <w:rPr>
        <w:rFonts w:ascii="Wingdings" w:hAnsi="Wingdings" w:hint="default"/>
      </w:rPr>
    </w:lvl>
    <w:lvl w:ilvl="6" w:tplc="04150001" w:tentative="1">
      <w:start w:val="1"/>
      <w:numFmt w:val="bullet"/>
      <w:lvlText w:val=""/>
      <w:lvlJc w:val="left"/>
      <w:pPr>
        <w:ind w:left="6451" w:hanging="360"/>
      </w:pPr>
      <w:rPr>
        <w:rFonts w:ascii="Symbol" w:hAnsi="Symbol" w:hint="default"/>
      </w:rPr>
    </w:lvl>
    <w:lvl w:ilvl="7" w:tplc="04150003" w:tentative="1">
      <w:start w:val="1"/>
      <w:numFmt w:val="bullet"/>
      <w:lvlText w:val="o"/>
      <w:lvlJc w:val="left"/>
      <w:pPr>
        <w:ind w:left="7171" w:hanging="360"/>
      </w:pPr>
      <w:rPr>
        <w:rFonts w:ascii="Courier New" w:hAnsi="Courier New" w:cs="Courier New" w:hint="default"/>
      </w:rPr>
    </w:lvl>
    <w:lvl w:ilvl="8" w:tplc="04150005" w:tentative="1">
      <w:start w:val="1"/>
      <w:numFmt w:val="bullet"/>
      <w:lvlText w:val=""/>
      <w:lvlJc w:val="left"/>
      <w:pPr>
        <w:ind w:left="7891" w:hanging="360"/>
      </w:pPr>
      <w:rPr>
        <w:rFonts w:ascii="Wingdings" w:hAnsi="Wingdings" w:hint="default"/>
      </w:rPr>
    </w:lvl>
  </w:abstractNum>
  <w:abstractNum w:abstractNumId="13" w15:restartNumberingAfterBreak="0">
    <w:nsid w:val="1E527003"/>
    <w:multiLevelType w:val="hybridMultilevel"/>
    <w:tmpl w:val="DE2488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6820A4"/>
    <w:multiLevelType w:val="hybridMultilevel"/>
    <w:tmpl w:val="F2E62B7A"/>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1EB37F47"/>
    <w:multiLevelType w:val="hybridMultilevel"/>
    <w:tmpl w:val="98125D6C"/>
    <w:lvl w:ilvl="0" w:tplc="75EC4F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117C8B"/>
    <w:multiLevelType w:val="hybridMultilevel"/>
    <w:tmpl w:val="7E52A774"/>
    <w:lvl w:ilvl="0" w:tplc="AA922A6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F52819"/>
    <w:multiLevelType w:val="hybridMultilevel"/>
    <w:tmpl w:val="C860B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CE771B"/>
    <w:multiLevelType w:val="hybridMultilevel"/>
    <w:tmpl w:val="49F0DB38"/>
    <w:lvl w:ilvl="0" w:tplc="00761C9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382522B8"/>
    <w:multiLevelType w:val="hybridMultilevel"/>
    <w:tmpl w:val="9F4CC5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F7717F"/>
    <w:multiLevelType w:val="hybridMultilevel"/>
    <w:tmpl w:val="CC102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4F3991"/>
    <w:multiLevelType w:val="hybridMultilevel"/>
    <w:tmpl w:val="36804FDC"/>
    <w:lvl w:ilvl="0" w:tplc="5B74E94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2" w15:restartNumberingAfterBreak="0">
    <w:nsid w:val="3DFF267F"/>
    <w:multiLevelType w:val="hybridMultilevel"/>
    <w:tmpl w:val="34282A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8E4E3B"/>
    <w:multiLevelType w:val="hybridMultilevel"/>
    <w:tmpl w:val="E5022FB0"/>
    <w:lvl w:ilvl="0" w:tplc="04150017">
      <w:start w:val="1"/>
      <w:numFmt w:val="lowerLetter"/>
      <w:lvlText w:val="%1)"/>
      <w:lvlJc w:val="left"/>
      <w:pPr>
        <w:ind w:left="3219" w:hanging="360"/>
      </w:pPr>
    </w:lvl>
    <w:lvl w:ilvl="1" w:tplc="04150019" w:tentative="1">
      <w:start w:val="1"/>
      <w:numFmt w:val="lowerLetter"/>
      <w:lvlText w:val="%2."/>
      <w:lvlJc w:val="left"/>
      <w:pPr>
        <w:ind w:left="3939" w:hanging="360"/>
      </w:pPr>
    </w:lvl>
    <w:lvl w:ilvl="2" w:tplc="0415001B" w:tentative="1">
      <w:start w:val="1"/>
      <w:numFmt w:val="lowerRoman"/>
      <w:lvlText w:val="%3."/>
      <w:lvlJc w:val="right"/>
      <w:pPr>
        <w:ind w:left="4659" w:hanging="180"/>
      </w:pPr>
    </w:lvl>
    <w:lvl w:ilvl="3" w:tplc="0415000F" w:tentative="1">
      <w:start w:val="1"/>
      <w:numFmt w:val="decimal"/>
      <w:lvlText w:val="%4."/>
      <w:lvlJc w:val="left"/>
      <w:pPr>
        <w:ind w:left="5379" w:hanging="360"/>
      </w:pPr>
    </w:lvl>
    <w:lvl w:ilvl="4" w:tplc="04150019" w:tentative="1">
      <w:start w:val="1"/>
      <w:numFmt w:val="lowerLetter"/>
      <w:lvlText w:val="%5."/>
      <w:lvlJc w:val="left"/>
      <w:pPr>
        <w:ind w:left="6099" w:hanging="360"/>
      </w:pPr>
    </w:lvl>
    <w:lvl w:ilvl="5" w:tplc="0415001B" w:tentative="1">
      <w:start w:val="1"/>
      <w:numFmt w:val="lowerRoman"/>
      <w:lvlText w:val="%6."/>
      <w:lvlJc w:val="right"/>
      <w:pPr>
        <w:ind w:left="6819" w:hanging="180"/>
      </w:pPr>
    </w:lvl>
    <w:lvl w:ilvl="6" w:tplc="0415000F" w:tentative="1">
      <w:start w:val="1"/>
      <w:numFmt w:val="decimal"/>
      <w:lvlText w:val="%7."/>
      <w:lvlJc w:val="left"/>
      <w:pPr>
        <w:ind w:left="7539" w:hanging="360"/>
      </w:pPr>
    </w:lvl>
    <w:lvl w:ilvl="7" w:tplc="04150019" w:tentative="1">
      <w:start w:val="1"/>
      <w:numFmt w:val="lowerLetter"/>
      <w:lvlText w:val="%8."/>
      <w:lvlJc w:val="left"/>
      <w:pPr>
        <w:ind w:left="8259" w:hanging="360"/>
      </w:pPr>
    </w:lvl>
    <w:lvl w:ilvl="8" w:tplc="0415001B" w:tentative="1">
      <w:start w:val="1"/>
      <w:numFmt w:val="lowerRoman"/>
      <w:lvlText w:val="%9."/>
      <w:lvlJc w:val="right"/>
      <w:pPr>
        <w:ind w:left="8979" w:hanging="180"/>
      </w:pPr>
    </w:lvl>
  </w:abstractNum>
  <w:abstractNum w:abstractNumId="24" w15:restartNumberingAfterBreak="0">
    <w:nsid w:val="41727449"/>
    <w:multiLevelType w:val="hybridMultilevel"/>
    <w:tmpl w:val="3084C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8E261D"/>
    <w:multiLevelType w:val="hybridMultilevel"/>
    <w:tmpl w:val="C56A185E"/>
    <w:lvl w:ilvl="0" w:tplc="42702A94">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6" w15:restartNumberingAfterBreak="0">
    <w:nsid w:val="453D7256"/>
    <w:multiLevelType w:val="hybridMultilevel"/>
    <w:tmpl w:val="037ABD84"/>
    <w:lvl w:ilvl="0" w:tplc="7B9C897A">
      <w:start w:val="1"/>
      <w:numFmt w:val="bullet"/>
      <w:pStyle w:val="EntLogo"/>
      <w:lvlText w:val=""/>
      <w:lvlJc w:val="left"/>
      <w:pPr>
        <w:tabs>
          <w:tab w:val="num" w:pos="567"/>
        </w:tabs>
        <w:ind w:left="567" w:hanging="567"/>
      </w:pPr>
      <w:rPr>
        <w:rFonts w:ascii="Symbol" w:hAnsi="Symbol" w:hint="default"/>
      </w:rPr>
    </w:lvl>
    <w:lvl w:ilvl="1" w:tplc="B032EA6A">
      <w:start w:val="2"/>
      <w:numFmt w:val="decimal"/>
      <w:lvlText w:val="%2)"/>
      <w:lvlJc w:val="left"/>
      <w:pPr>
        <w:tabs>
          <w:tab w:val="num" w:pos="2160"/>
        </w:tabs>
        <w:ind w:left="2160" w:hanging="360"/>
      </w:pPr>
      <w:rPr>
        <w:rFonts w:hint="default"/>
      </w:rPr>
    </w:lvl>
    <w:lvl w:ilvl="2" w:tplc="E9FCE58C">
      <w:start w:val="1"/>
      <w:numFmt w:val="lowerLetter"/>
      <w:lvlText w:val="%3)"/>
      <w:lvlJc w:val="left"/>
      <w:pPr>
        <w:ind w:left="2880" w:hanging="360"/>
      </w:pPr>
      <w:rPr>
        <w:rFont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7827EB6"/>
    <w:multiLevelType w:val="hybridMultilevel"/>
    <w:tmpl w:val="D2245144"/>
    <w:lvl w:ilvl="0" w:tplc="3770318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910F5B"/>
    <w:multiLevelType w:val="hybridMultilevel"/>
    <w:tmpl w:val="C396CB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8D141B"/>
    <w:multiLevelType w:val="hybridMultilevel"/>
    <w:tmpl w:val="5BAC30AA"/>
    <w:lvl w:ilvl="0" w:tplc="23748EB0">
      <w:start w:val="1"/>
      <w:numFmt w:val="lowerLetter"/>
      <w:lvlText w:val="%1)"/>
      <w:lvlJc w:val="left"/>
      <w:pPr>
        <w:ind w:left="673" w:hanging="360"/>
      </w:pPr>
      <w:rPr>
        <w:rFonts w:hint="default"/>
      </w:rPr>
    </w:lvl>
    <w:lvl w:ilvl="1" w:tplc="04150019" w:tentative="1">
      <w:start w:val="1"/>
      <w:numFmt w:val="lowerLetter"/>
      <w:lvlText w:val="%2."/>
      <w:lvlJc w:val="left"/>
      <w:pPr>
        <w:ind w:left="1393" w:hanging="360"/>
      </w:pPr>
    </w:lvl>
    <w:lvl w:ilvl="2" w:tplc="0415001B" w:tentative="1">
      <w:start w:val="1"/>
      <w:numFmt w:val="lowerRoman"/>
      <w:lvlText w:val="%3."/>
      <w:lvlJc w:val="right"/>
      <w:pPr>
        <w:ind w:left="2113" w:hanging="180"/>
      </w:pPr>
    </w:lvl>
    <w:lvl w:ilvl="3" w:tplc="0415000F" w:tentative="1">
      <w:start w:val="1"/>
      <w:numFmt w:val="decimal"/>
      <w:lvlText w:val="%4."/>
      <w:lvlJc w:val="left"/>
      <w:pPr>
        <w:ind w:left="2833" w:hanging="360"/>
      </w:pPr>
    </w:lvl>
    <w:lvl w:ilvl="4" w:tplc="04150019" w:tentative="1">
      <w:start w:val="1"/>
      <w:numFmt w:val="lowerLetter"/>
      <w:lvlText w:val="%5."/>
      <w:lvlJc w:val="left"/>
      <w:pPr>
        <w:ind w:left="3553" w:hanging="360"/>
      </w:pPr>
    </w:lvl>
    <w:lvl w:ilvl="5" w:tplc="0415001B" w:tentative="1">
      <w:start w:val="1"/>
      <w:numFmt w:val="lowerRoman"/>
      <w:lvlText w:val="%6."/>
      <w:lvlJc w:val="right"/>
      <w:pPr>
        <w:ind w:left="4273" w:hanging="180"/>
      </w:pPr>
    </w:lvl>
    <w:lvl w:ilvl="6" w:tplc="0415000F" w:tentative="1">
      <w:start w:val="1"/>
      <w:numFmt w:val="decimal"/>
      <w:lvlText w:val="%7."/>
      <w:lvlJc w:val="left"/>
      <w:pPr>
        <w:ind w:left="4993" w:hanging="360"/>
      </w:pPr>
    </w:lvl>
    <w:lvl w:ilvl="7" w:tplc="04150019" w:tentative="1">
      <w:start w:val="1"/>
      <w:numFmt w:val="lowerLetter"/>
      <w:lvlText w:val="%8."/>
      <w:lvlJc w:val="left"/>
      <w:pPr>
        <w:ind w:left="5713" w:hanging="360"/>
      </w:pPr>
    </w:lvl>
    <w:lvl w:ilvl="8" w:tplc="0415001B" w:tentative="1">
      <w:start w:val="1"/>
      <w:numFmt w:val="lowerRoman"/>
      <w:lvlText w:val="%9."/>
      <w:lvlJc w:val="right"/>
      <w:pPr>
        <w:ind w:left="6433" w:hanging="180"/>
      </w:pPr>
    </w:lvl>
  </w:abstractNum>
  <w:abstractNum w:abstractNumId="30" w15:restartNumberingAfterBreak="0">
    <w:nsid w:val="4E5F5222"/>
    <w:multiLevelType w:val="hybridMultilevel"/>
    <w:tmpl w:val="51C8C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6107B8"/>
    <w:multiLevelType w:val="hybridMultilevel"/>
    <w:tmpl w:val="B044C5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C42755"/>
    <w:multiLevelType w:val="hybridMultilevel"/>
    <w:tmpl w:val="2474F838"/>
    <w:lvl w:ilvl="0" w:tplc="42702A9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5193299A"/>
    <w:multiLevelType w:val="hybridMultilevel"/>
    <w:tmpl w:val="628ABF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DC7B26"/>
    <w:multiLevelType w:val="hybridMultilevel"/>
    <w:tmpl w:val="6E6E11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D63892"/>
    <w:multiLevelType w:val="hybridMultilevel"/>
    <w:tmpl w:val="EDBA89AA"/>
    <w:lvl w:ilvl="0" w:tplc="42702A9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6" w15:restartNumberingAfterBreak="0">
    <w:nsid w:val="68607941"/>
    <w:multiLevelType w:val="hybridMultilevel"/>
    <w:tmpl w:val="E8861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F44546"/>
    <w:multiLevelType w:val="hybridMultilevel"/>
    <w:tmpl w:val="81E0CF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CE048A"/>
    <w:multiLevelType w:val="hybridMultilevel"/>
    <w:tmpl w:val="4F3C3D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7372C"/>
    <w:multiLevelType w:val="hybridMultilevel"/>
    <w:tmpl w:val="9B9C1F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607543"/>
    <w:multiLevelType w:val="hybridMultilevel"/>
    <w:tmpl w:val="937EF7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EB54BA"/>
    <w:multiLevelType w:val="hybridMultilevel"/>
    <w:tmpl w:val="8C9819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6"/>
  </w:num>
  <w:num w:numId="3">
    <w:abstractNumId w:val="36"/>
  </w:num>
  <w:num w:numId="4">
    <w:abstractNumId w:val="34"/>
  </w:num>
  <w:num w:numId="5">
    <w:abstractNumId w:val="31"/>
  </w:num>
  <w:num w:numId="6">
    <w:abstractNumId w:val="27"/>
  </w:num>
  <w:num w:numId="7">
    <w:abstractNumId w:val="15"/>
  </w:num>
  <w:num w:numId="8">
    <w:abstractNumId w:val="5"/>
  </w:num>
  <w:num w:numId="9">
    <w:abstractNumId w:val="32"/>
  </w:num>
  <w:num w:numId="10">
    <w:abstractNumId w:val="1"/>
  </w:num>
  <w:num w:numId="11">
    <w:abstractNumId w:val="23"/>
  </w:num>
  <w:num w:numId="12">
    <w:abstractNumId w:val="4"/>
  </w:num>
  <w:num w:numId="13">
    <w:abstractNumId w:val="39"/>
  </w:num>
  <w:num w:numId="14">
    <w:abstractNumId w:val="40"/>
  </w:num>
  <w:num w:numId="15">
    <w:abstractNumId w:val="25"/>
  </w:num>
  <w:num w:numId="16">
    <w:abstractNumId w:val="12"/>
  </w:num>
  <w:num w:numId="17">
    <w:abstractNumId w:val="10"/>
  </w:num>
  <w:num w:numId="18">
    <w:abstractNumId w:val="37"/>
  </w:num>
  <w:num w:numId="19">
    <w:abstractNumId w:val="19"/>
  </w:num>
  <w:num w:numId="20">
    <w:abstractNumId w:val="7"/>
  </w:num>
  <w:num w:numId="21">
    <w:abstractNumId w:val="14"/>
  </w:num>
  <w:num w:numId="22">
    <w:abstractNumId w:val="3"/>
  </w:num>
  <w:num w:numId="23">
    <w:abstractNumId w:val="22"/>
  </w:num>
  <w:num w:numId="24">
    <w:abstractNumId w:val="28"/>
  </w:num>
  <w:num w:numId="25">
    <w:abstractNumId w:val="2"/>
  </w:num>
  <w:num w:numId="26">
    <w:abstractNumId w:val="38"/>
  </w:num>
  <w:num w:numId="27">
    <w:abstractNumId w:val="18"/>
  </w:num>
  <w:num w:numId="28">
    <w:abstractNumId w:val="35"/>
  </w:num>
  <w:num w:numId="29">
    <w:abstractNumId w:val="13"/>
  </w:num>
  <w:num w:numId="30">
    <w:abstractNumId w:val="6"/>
  </w:num>
  <w:num w:numId="31">
    <w:abstractNumId w:val="29"/>
  </w:num>
  <w:num w:numId="32">
    <w:abstractNumId w:val="9"/>
  </w:num>
  <w:num w:numId="33">
    <w:abstractNumId w:val="11"/>
  </w:num>
  <w:num w:numId="34">
    <w:abstractNumId w:val="0"/>
  </w:num>
  <w:num w:numId="35">
    <w:abstractNumId w:val="17"/>
  </w:num>
  <w:num w:numId="36">
    <w:abstractNumId w:val="20"/>
  </w:num>
  <w:num w:numId="37">
    <w:abstractNumId w:val="8"/>
  </w:num>
  <w:num w:numId="38">
    <w:abstractNumId w:val="30"/>
  </w:num>
  <w:num w:numId="39">
    <w:abstractNumId w:val="21"/>
  </w:num>
  <w:num w:numId="40">
    <w:abstractNumId w:val="33"/>
  </w:num>
  <w:num w:numId="41">
    <w:abstractNumId w:val="24"/>
  </w:num>
  <w:num w:numId="42">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34"/>
    <w:rsid w:val="000012F1"/>
    <w:rsid w:val="000047A2"/>
    <w:rsid w:val="00016A5D"/>
    <w:rsid w:val="00025F81"/>
    <w:rsid w:val="00032969"/>
    <w:rsid w:val="0003376C"/>
    <w:rsid w:val="00042582"/>
    <w:rsid w:val="000540BF"/>
    <w:rsid w:val="00056792"/>
    <w:rsid w:val="00061D2F"/>
    <w:rsid w:val="0006444A"/>
    <w:rsid w:val="000650CF"/>
    <w:rsid w:val="00066995"/>
    <w:rsid w:val="00072C28"/>
    <w:rsid w:val="000812C1"/>
    <w:rsid w:val="00091B59"/>
    <w:rsid w:val="00092B73"/>
    <w:rsid w:val="0009483D"/>
    <w:rsid w:val="00094972"/>
    <w:rsid w:val="00094AEB"/>
    <w:rsid w:val="000A57A9"/>
    <w:rsid w:val="000A5ECC"/>
    <w:rsid w:val="000A68D6"/>
    <w:rsid w:val="000B423E"/>
    <w:rsid w:val="000B5AA9"/>
    <w:rsid w:val="000B5BFE"/>
    <w:rsid w:val="000B7046"/>
    <w:rsid w:val="000B7C65"/>
    <w:rsid w:val="000D4057"/>
    <w:rsid w:val="000E0C77"/>
    <w:rsid w:val="000E1844"/>
    <w:rsid w:val="000E2E47"/>
    <w:rsid w:val="000E3903"/>
    <w:rsid w:val="000E489C"/>
    <w:rsid w:val="000E6F3A"/>
    <w:rsid w:val="000F09D4"/>
    <w:rsid w:val="000F0FB5"/>
    <w:rsid w:val="000F16BE"/>
    <w:rsid w:val="000F1F6F"/>
    <w:rsid w:val="000F2303"/>
    <w:rsid w:val="000F461A"/>
    <w:rsid w:val="000F7A3D"/>
    <w:rsid w:val="00101211"/>
    <w:rsid w:val="00104FE6"/>
    <w:rsid w:val="001162B1"/>
    <w:rsid w:val="00117F3B"/>
    <w:rsid w:val="0012229F"/>
    <w:rsid w:val="0013593D"/>
    <w:rsid w:val="00141A96"/>
    <w:rsid w:val="00142F30"/>
    <w:rsid w:val="00143821"/>
    <w:rsid w:val="00147604"/>
    <w:rsid w:val="0015092D"/>
    <w:rsid w:val="00160C17"/>
    <w:rsid w:val="00170F05"/>
    <w:rsid w:val="001750B3"/>
    <w:rsid w:val="00175EBB"/>
    <w:rsid w:val="00180027"/>
    <w:rsid w:val="001851D9"/>
    <w:rsid w:val="0018654A"/>
    <w:rsid w:val="001873AD"/>
    <w:rsid w:val="001915F0"/>
    <w:rsid w:val="0019692D"/>
    <w:rsid w:val="00197410"/>
    <w:rsid w:val="001A0AB0"/>
    <w:rsid w:val="001A342A"/>
    <w:rsid w:val="001A74EA"/>
    <w:rsid w:val="001B083C"/>
    <w:rsid w:val="001B7F7A"/>
    <w:rsid w:val="001C0C3F"/>
    <w:rsid w:val="001C4554"/>
    <w:rsid w:val="001D417A"/>
    <w:rsid w:val="001E1600"/>
    <w:rsid w:val="001E4176"/>
    <w:rsid w:val="001E6F53"/>
    <w:rsid w:val="001E720F"/>
    <w:rsid w:val="001F0BC0"/>
    <w:rsid w:val="001F0BFD"/>
    <w:rsid w:val="001F2560"/>
    <w:rsid w:val="001F26BA"/>
    <w:rsid w:val="00225A92"/>
    <w:rsid w:val="0022637D"/>
    <w:rsid w:val="002279F5"/>
    <w:rsid w:val="00231A2A"/>
    <w:rsid w:val="002405D8"/>
    <w:rsid w:val="00243C3B"/>
    <w:rsid w:val="00251E97"/>
    <w:rsid w:val="00254B06"/>
    <w:rsid w:val="002555D2"/>
    <w:rsid w:val="00256878"/>
    <w:rsid w:val="0026004E"/>
    <w:rsid w:val="0026263E"/>
    <w:rsid w:val="00267A43"/>
    <w:rsid w:val="00272B02"/>
    <w:rsid w:val="0027412A"/>
    <w:rsid w:val="00282C78"/>
    <w:rsid w:val="00284946"/>
    <w:rsid w:val="002912C5"/>
    <w:rsid w:val="00296ABE"/>
    <w:rsid w:val="002A2C55"/>
    <w:rsid w:val="002A75E8"/>
    <w:rsid w:val="002B402B"/>
    <w:rsid w:val="002B4753"/>
    <w:rsid w:val="002C34D1"/>
    <w:rsid w:val="002C364F"/>
    <w:rsid w:val="002C3E88"/>
    <w:rsid w:val="002C59B2"/>
    <w:rsid w:val="002D0DB6"/>
    <w:rsid w:val="002D1E8C"/>
    <w:rsid w:val="002D3707"/>
    <w:rsid w:val="002E79DE"/>
    <w:rsid w:val="00303D21"/>
    <w:rsid w:val="00305FAC"/>
    <w:rsid w:val="00320987"/>
    <w:rsid w:val="00320EC0"/>
    <w:rsid w:val="003218A4"/>
    <w:rsid w:val="0032413A"/>
    <w:rsid w:val="00327F76"/>
    <w:rsid w:val="003319B9"/>
    <w:rsid w:val="003359A9"/>
    <w:rsid w:val="00342B90"/>
    <w:rsid w:val="00345268"/>
    <w:rsid w:val="00347EB5"/>
    <w:rsid w:val="003540CB"/>
    <w:rsid w:val="003547D7"/>
    <w:rsid w:val="003579C7"/>
    <w:rsid w:val="00367F5F"/>
    <w:rsid w:val="0037357F"/>
    <w:rsid w:val="00376D80"/>
    <w:rsid w:val="00382F99"/>
    <w:rsid w:val="00383560"/>
    <w:rsid w:val="00387ADB"/>
    <w:rsid w:val="003A09AC"/>
    <w:rsid w:val="003A171F"/>
    <w:rsid w:val="003A43B0"/>
    <w:rsid w:val="003A5905"/>
    <w:rsid w:val="003C0852"/>
    <w:rsid w:val="003C3080"/>
    <w:rsid w:val="003C3487"/>
    <w:rsid w:val="003C56FC"/>
    <w:rsid w:val="003C5E57"/>
    <w:rsid w:val="003C6E06"/>
    <w:rsid w:val="003D32D4"/>
    <w:rsid w:val="003D7DC2"/>
    <w:rsid w:val="003D7EA2"/>
    <w:rsid w:val="003E2D26"/>
    <w:rsid w:val="003E3346"/>
    <w:rsid w:val="003E3703"/>
    <w:rsid w:val="003E3E33"/>
    <w:rsid w:val="003E643C"/>
    <w:rsid w:val="003F0BC9"/>
    <w:rsid w:val="003F2500"/>
    <w:rsid w:val="003F38F6"/>
    <w:rsid w:val="003F5691"/>
    <w:rsid w:val="00400A3F"/>
    <w:rsid w:val="00411109"/>
    <w:rsid w:val="00412E56"/>
    <w:rsid w:val="0042177A"/>
    <w:rsid w:val="00423307"/>
    <w:rsid w:val="004262BC"/>
    <w:rsid w:val="004265D8"/>
    <w:rsid w:val="004274D5"/>
    <w:rsid w:val="004278B2"/>
    <w:rsid w:val="0043415E"/>
    <w:rsid w:val="00437704"/>
    <w:rsid w:val="00443EA7"/>
    <w:rsid w:val="00444A9C"/>
    <w:rsid w:val="00447593"/>
    <w:rsid w:val="00451FC6"/>
    <w:rsid w:val="00452785"/>
    <w:rsid w:val="00453B4E"/>
    <w:rsid w:val="00453BAE"/>
    <w:rsid w:val="00456E07"/>
    <w:rsid w:val="00457EDE"/>
    <w:rsid w:val="00461E6B"/>
    <w:rsid w:val="0046753D"/>
    <w:rsid w:val="0047271C"/>
    <w:rsid w:val="00472B65"/>
    <w:rsid w:val="00472D00"/>
    <w:rsid w:val="00473064"/>
    <w:rsid w:val="004851CC"/>
    <w:rsid w:val="00485938"/>
    <w:rsid w:val="00486104"/>
    <w:rsid w:val="004A5BC0"/>
    <w:rsid w:val="004A5D68"/>
    <w:rsid w:val="004B7B6C"/>
    <w:rsid w:val="004C0A9D"/>
    <w:rsid w:val="004C2056"/>
    <w:rsid w:val="004C3016"/>
    <w:rsid w:val="004C406C"/>
    <w:rsid w:val="004E28E6"/>
    <w:rsid w:val="004E7E2F"/>
    <w:rsid w:val="004F3B4E"/>
    <w:rsid w:val="004F57E3"/>
    <w:rsid w:val="004F67D3"/>
    <w:rsid w:val="00500B63"/>
    <w:rsid w:val="00500BAE"/>
    <w:rsid w:val="005039B2"/>
    <w:rsid w:val="005214CE"/>
    <w:rsid w:val="00527C5B"/>
    <w:rsid w:val="00536887"/>
    <w:rsid w:val="005416E7"/>
    <w:rsid w:val="00541A87"/>
    <w:rsid w:val="00544A55"/>
    <w:rsid w:val="0055245C"/>
    <w:rsid w:val="00553FE0"/>
    <w:rsid w:val="00554997"/>
    <w:rsid w:val="00561EE1"/>
    <w:rsid w:val="00563728"/>
    <w:rsid w:val="00570E1A"/>
    <w:rsid w:val="00571DF6"/>
    <w:rsid w:val="00576133"/>
    <w:rsid w:val="00584A1B"/>
    <w:rsid w:val="005947F6"/>
    <w:rsid w:val="00594E11"/>
    <w:rsid w:val="005A094D"/>
    <w:rsid w:val="005B53C3"/>
    <w:rsid w:val="005B6526"/>
    <w:rsid w:val="005C3D46"/>
    <w:rsid w:val="005D0B97"/>
    <w:rsid w:val="005D67FD"/>
    <w:rsid w:val="005E6287"/>
    <w:rsid w:val="005E632C"/>
    <w:rsid w:val="005E6C59"/>
    <w:rsid w:val="005E7C34"/>
    <w:rsid w:val="005F0A94"/>
    <w:rsid w:val="005F2643"/>
    <w:rsid w:val="0060278E"/>
    <w:rsid w:val="00603456"/>
    <w:rsid w:val="00610582"/>
    <w:rsid w:val="006111C2"/>
    <w:rsid w:val="00617859"/>
    <w:rsid w:val="0062199B"/>
    <w:rsid w:val="00624418"/>
    <w:rsid w:val="00625957"/>
    <w:rsid w:val="00634118"/>
    <w:rsid w:val="006372BD"/>
    <w:rsid w:val="006378E5"/>
    <w:rsid w:val="00641614"/>
    <w:rsid w:val="006433D7"/>
    <w:rsid w:val="0064766C"/>
    <w:rsid w:val="00652451"/>
    <w:rsid w:val="00654AD2"/>
    <w:rsid w:val="00655D5E"/>
    <w:rsid w:val="00656AEA"/>
    <w:rsid w:val="0066168E"/>
    <w:rsid w:val="006655D0"/>
    <w:rsid w:val="006704A6"/>
    <w:rsid w:val="006706CF"/>
    <w:rsid w:val="0067497D"/>
    <w:rsid w:val="00681439"/>
    <w:rsid w:val="00683D1D"/>
    <w:rsid w:val="006844B9"/>
    <w:rsid w:val="00687AB7"/>
    <w:rsid w:val="00697549"/>
    <w:rsid w:val="006A0CA5"/>
    <w:rsid w:val="006A1769"/>
    <w:rsid w:val="006A3ADE"/>
    <w:rsid w:val="006A7218"/>
    <w:rsid w:val="006B2F80"/>
    <w:rsid w:val="006B419D"/>
    <w:rsid w:val="006B49F4"/>
    <w:rsid w:val="006B4EF4"/>
    <w:rsid w:val="006C4DEC"/>
    <w:rsid w:val="006C6EA0"/>
    <w:rsid w:val="006C79D7"/>
    <w:rsid w:val="006D326A"/>
    <w:rsid w:val="006D33C1"/>
    <w:rsid w:val="006D45F0"/>
    <w:rsid w:val="006E0AFA"/>
    <w:rsid w:val="006F2245"/>
    <w:rsid w:val="006F2648"/>
    <w:rsid w:val="006F2816"/>
    <w:rsid w:val="00701F15"/>
    <w:rsid w:val="00704E47"/>
    <w:rsid w:val="00706A88"/>
    <w:rsid w:val="007155CC"/>
    <w:rsid w:val="00721C46"/>
    <w:rsid w:val="007222FC"/>
    <w:rsid w:val="00741BE4"/>
    <w:rsid w:val="007462C8"/>
    <w:rsid w:val="007501BD"/>
    <w:rsid w:val="007564D4"/>
    <w:rsid w:val="00762448"/>
    <w:rsid w:val="00767AF4"/>
    <w:rsid w:val="007775B4"/>
    <w:rsid w:val="00781AA0"/>
    <w:rsid w:val="007820BA"/>
    <w:rsid w:val="0079165C"/>
    <w:rsid w:val="0079167E"/>
    <w:rsid w:val="00793775"/>
    <w:rsid w:val="007A6076"/>
    <w:rsid w:val="007B2628"/>
    <w:rsid w:val="007B431D"/>
    <w:rsid w:val="007B7EF5"/>
    <w:rsid w:val="007C0B11"/>
    <w:rsid w:val="007C32E0"/>
    <w:rsid w:val="007D188D"/>
    <w:rsid w:val="007D214A"/>
    <w:rsid w:val="007D3F7C"/>
    <w:rsid w:val="007D721F"/>
    <w:rsid w:val="007F37A4"/>
    <w:rsid w:val="007F5449"/>
    <w:rsid w:val="008005AC"/>
    <w:rsid w:val="0080206A"/>
    <w:rsid w:val="00806760"/>
    <w:rsid w:val="00821F95"/>
    <w:rsid w:val="00837B32"/>
    <w:rsid w:val="00844188"/>
    <w:rsid w:val="00846013"/>
    <w:rsid w:val="008506C8"/>
    <w:rsid w:val="00864385"/>
    <w:rsid w:val="00867334"/>
    <w:rsid w:val="008716F0"/>
    <w:rsid w:val="00871DBE"/>
    <w:rsid w:val="0087405D"/>
    <w:rsid w:val="0087544C"/>
    <w:rsid w:val="00881B15"/>
    <w:rsid w:val="0089162A"/>
    <w:rsid w:val="0089359B"/>
    <w:rsid w:val="0089577E"/>
    <w:rsid w:val="008958A1"/>
    <w:rsid w:val="00897EAA"/>
    <w:rsid w:val="008A1324"/>
    <w:rsid w:val="008B5251"/>
    <w:rsid w:val="008B69BF"/>
    <w:rsid w:val="008C05D5"/>
    <w:rsid w:val="008C31AA"/>
    <w:rsid w:val="008C389E"/>
    <w:rsid w:val="008C65CE"/>
    <w:rsid w:val="008C721B"/>
    <w:rsid w:val="008E03CF"/>
    <w:rsid w:val="008F1728"/>
    <w:rsid w:val="008F6C1F"/>
    <w:rsid w:val="00900B7C"/>
    <w:rsid w:val="009029A5"/>
    <w:rsid w:val="009158AA"/>
    <w:rsid w:val="009171A8"/>
    <w:rsid w:val="00917C67"/>
    <w:rsid w:val="009202CA"/>
    <w:rsid w:val="009225A2"/>
    <w:rsid w:val="0092394A"/>
    <w:rsid w:val="00925FFD"/>
    <w:rsid w:val="009318DE"/>
    <w:rsid w:val="00934FAC"/>
    <w:rsid w:val="00945F2B"/>
    <w:rsid w:val="009513BB"/>
    <w:rsid w:val="009530A8"/>
    <w:rsid w:val="00957460"/>
    <w:rsid w:val="00970FD8"/>
    <w:rsid w:val="00975484"/>
    <w:rsid w:val="00977604"/>
    <w:rsid w:val="0098799D"/>
    <w:rsid w:val="009A2D7E"/>
    <w:rsid w:val="009A4794"/>
    <w:rsid w:val="009A4D0B"/>
    <w:rsid w:val="009A5C9D"/>
    <w:rsid w:val="009A695F"/>
    <w:rsid w:val="009A6B99"/>
    <w:rsid w:val="009B5755"/>
    <w:rsid w:val="009B71DD"/>
    <w:rsid w:val="009C03E5"/>
    <w:rsid w:val="009C0FF0"/>
    <w:rsid w:val="009C1A3D"/>
    <w:rsid w:val="009C7A0D"/>
    <w:rsid w:val="009D0378"/>
    <w:rsid w:val="009D4B25"/>
    <w:rsid w:val="009D56D9"/>
    <w:rsid w:val="009E220B"/>
    <w:rsid w:val="009E36AC"/>
    <w:rsid w:val="009E759B"/>
    <w:rsid w:val="009F051A"/>
    <w:rsid w:val="009F3663"/>
    <w:rsid w:val="009F3BA2"/>
    <w:rsid w:val="009F727E"/>
    <w:rsid w:val="009F7B84"/>
    <w:rsid w:val="00A02B1B"/>
    <w:rsid w:val="00A045AC"/>
    <w:rsid w:val="00A04892"/>
    <w:rsid w:val="00A06471"/>
    <w:rsid w:val="00A52710"/>
    <w:rsid w:val="00A5417A"/>
    <w:rsid w:val="00A543E3"/>
    <w:rsid w:val="00A55C83"/>
    <w:rsid w:val="00A61315"/>
    <w:rsid w:val="00A6418F"/>
    <w:rsid w:val="00A64411"/>
    <w:rsid w:val="00A702BE"/>
    <w:rsid w:val="00A91A4D"/>
    <w:rsid w:val="00A95C27"/>
    <w:rsid w:val="00A95EF4"/>
    <w:rsid w:val="00A973CB"/>
    <w:rsid w:val="00AA10C1"/>
    <w:rsid w:val="00AA2C35"/>
    <w:rsid w:val="00AA3E59"/>
    <w:rsid w:val="00AA4561"/>
    <w:rsid w:val="00AA6FC3"/>
    <w:rsid w:val="00AC4B04"/>
    <w:rsid w:val="00AC5D3F"/>
    <w:rsid w:val="00AD43E5"/>
    <w:rsid w:val="00AD7155"/>
    <w:rsid w:val="00AE1283"/>
    <w:rsid w:val="00AE21B4"/>
    <w:rsid w:val="00AE4548"/>
    <w:rsid w:val="00AE4FCC"/>
    <w:rsid w:val="00AE6460"/>
    <w:rsid w:val="00AF1C1B"/>
    <w:rsid w:val="00AF506D"/>
    <w:rsid w:val="00AF7648"/>
    <w:rsid w:val="00B01EE3"/>
    <w:rsid w:val="00B06548"/>
    <w:rsid w:val="00B121C0"/>
    <w:rsid w:val="00B12D39"/>
    <w:rsid w:val="00B12FC1"/>
    <w:rsid w:val="00B15E72"/>
    <w:rsid w:val="00B16049"/>
    <w:rsid w:val="00B17FF2"/>
    <w:rsid w:val="00B227DC"/>
    <w:rsid w:val="00B24A0D"/>
    <w:rsid w:val="00B34B8E"/>
    <w:rsid w:val="00B35DC8"/>
    <w:rsid w:val="00B37A19"/>
    <w:rsid w:val="00B4068F"/>
    <w:rsid w:val="00B42AB2"/>
    <w:rsid w:val="00B42F9B"/>
    <w:rsid w:val="00B538BB"/>
    <w:rsid w:val="00B54517"/>
    <w:rsid w:val="00B561D1"/>
    <w:rsid w:val="00B6294F"/>
    <w:rsid w:val="00B66C61"/>
    <w:rsid w:val="00B67C6F"/>
    <w:rsid w:val="00B7133C"/>
    <w:rsid w:val="00B76ABF"/>
    <w:rsid w:val="00B7747E"/>
    <w:rsid w:val="00B81FA6"/>
    <w:rsid w:val="00B91DB9"/>
    <w:rsid w:val="00B942F4"/>
    <w:rsid w:val="00B94D61"/>
    <w:rsid w:val="00BA24FE"/>
    <w:rsid w:val="00BA33EF"/>
    <w:rsid w:val="00BA36C2"/>
    <w:rsid w:val="00BA5421"/>
    <w:rsid w:val="00BB4B0A"/>
    <w:rsid w:val="00BB5DB8"/>
    <w:rsid w:val="00BB6826"/>
    <w:rsid w:val="00BB6E5E"/>
    <w:rsid w:val="00BB7D39"/>
    <w:rsid w:val="00BB7EEE"/>
    <w:rsid w:val="00BC1B1D"/>
    <w:rsid w:val="00BD2C64"/>
    <w:rsid w:val="00BD6FEA"/>
    <w:rsid w:val="00BE2C1E"/>
    <w:rsid w:val="00BE2C72"/>
    <w:rsid w:val="00BE663A"/>
    <w:rsid w:val="00BF560A"/>
    <w:rsid w:val="00BF5F9F"/>
    <w:rsid w:val="00C043FD"/>
    <w:rsid w:val="00C0598E"/>
    <w:rsid w:val="00C1182A"/>
    <w:rsid w:val="00C1507F"/>
    <w:rsid w:val="00C1680A"/>
    <w:rsid w:val="00C21A7E"/>
    <w:rsid w:val="00C2602F"/>
    <w:rsid w:val="00C270A9"/>
    <w:rsid w:val="00C31912"/>
    <w:rsid w:val="00C32F7E"/>
    <w:rsid w:val="00C42455"/>
    <w:rsid w:val="00C42E91"/>
    <w:rsid w:val="00C45C06"/>
    <w:rsid w:val="00C53029"/>
    <w:rsid w:val="00C55359"/>
    <w:rsid w:val="00C56BA4"/>
    <w:rsid w:val="00C708E2"/>
    <w:rsid w:val="00C733D2"/>
    <w:rsid w:val="00C875A6"/>
    <w:rsid w:val="00C956B6"/>
    <w:rsid w:val="00C962EA"/>
    <w:rsid w:val="00C97760"/>
    <w:rsid w:val="00CA07E5"/>
    <w:rsid w:val="00CA491B"/>
    <w:rsid w:val="00CA7266"/>
    <w:rsid w:val="00CB117B"/>
    <w:rsid w:val="00CB2C53"/>
    <w:rsid w:val="00CB31A2"/>
    <w:rsid w:val="00CC0F7B"/>
    <w:rsid w:val="00CD2E9D"/>
    <w:rsid w:val="00CD4064"/>
    <w:rsid w:val="00CE15E4"/>
    <w:rsid w:val="00CE2312"/>
    <w:rsid w:val="00CE3155"/>
    <w:rsid w:val="00CE55D3"/>
    <w:rsid w:val="00CE5800"/>
    <w:rsid w:val="00CE72D5"/>
    <w:rsid w:val="00CF19C9"/>
    <w:rsid w:val="00D00DA5"/>
    <w:rsid w:val="00D0214E"/>
    <w:rsid w:val="00D114DD"/>
    <w:rsid w:val="00D17408"/>
    <w:rsid w:val="00D179FD"/>
    <w:rsid w:val="00D26FDE"/>
    <w:rsid w:val="00D27396"/>
    <w:rsid w:val="00D43E94"/>
    <w:rsid w:val="00D4502E"/>
    <w:rsid w:val="00D46CE4"/>
    <w:rsid w:val="00D50504"/>
    <w:rsid w:val="00D54C4C"/>
    <w:rsid w:val="00D5625D"/>
    <w:rsid w:val="00D565DC"/>
    <w:rsid w:val="00D71108"/>
    <w:rsid w:val="00D74A74"/>
    <w:rsid w:val="00D76A6B"/>
    <w:rsid w:val="00D8281B"/>
    <w:rsid w:val="00D84447"/>
    <w:rsid w:val="00D919F3"/>
    <w:rsid w:val="00D92D71"/>
    <w:rsid w:val="00D97B28"/>
    <w:rsid w:val="00D97F1F"/>
    <w:rsid w:val="00DA4CE7"/>
    <w:rsid w:val="00DA6460"/>
    <w:rsid w:val="00DD15C9"/>
    <w:rsid w:val="00DD6577"/>
    <w:rsid w:val="00DE2BBD"/>
    <w:rsid w:val="00DE5773"/>
    <w:rsid w:val="00DF2847"/>
    <w:rsid w:val="00DF3236"/>
    <w:rsid w:val="00DF46C6"/>
    <w:rsid w:val="00E00359"/>
    <w:rsid w:val="00E03B6A"/>
    <w:rsid w:val="00E07E6F"/>
    <w:rsid w:val="00E12964"/>
    <w:rsid w:val="00E21778"/>
    <w:rsid w:val="00E25759"/>
    <w:rsid w:val="00E365D1"/>
    <w:rsid w:val="00E4178F"/>
    <w:rsid w:val="00E42406"/>
    <w:rsid w:val="00E431A4"/>
    <w:rsid w:val="00E50D8B"/>
    <w:rsid w:val="00E663CE"/>
    <w:rsid w:val="00E73125"/>
    <w:rsid w:val="00E75765"/>
    <w:rsid w:val="00E82264"/>
    <w:rsid w:val="00E863F7"/>
    <w:rsid w:val="00E867AD"/>
    <w:rsid w:val="00E91163"/>
    <w:rsid w:val="00E93579"/>
    <w:rsid w:val="00E9436B"/>
    <w:rsid w:val="00E96E58"/>
    <w:rsid w:val="00E976AC"/>
    <w:rsid w:val="00EA2FD2"/>
    <w:rsid w:val="00EB387C"/>
    <w:rsid w:val="00EB4520"/>
    <w:rsid w:val="00EB5849"/>
    <w:rsid w:val="00EB68A5"/>
    <w:rsid w:val="00EC4D3C"/>
    <w:rsid w:val="00ED4CB1"/>
    <w:rsid w:val="00ED65A8"/>
    <w:rsid w:val="00EE20BA"/>
    <w:rsid w:val="00EF18AA"/>
    <w:rsid w:val="00EF3FDD"/>
    <w:rsid w:val="00EF42D4"/>
    <w:rsid w:val="00EF6310"/>
    <w:rsid w:val="00EF7B37"/>
    <w:rsid w:val="00F00CB9"/>
    <w:rsid w:val="00F16B08"/>
    <w:rsid w:val="00F22ABC"/>
    <w:rsid w:val="00F34D81"/>
    <w:rsid w:val="00F3548C"/>
    <w:rsid w:val="00F432BF"/>
    <w:rsid w:val="00F433A9"/>
    <w:rsid w:val="00F45ACE"/>
    <w:rsid w:val="00F512E4"/>
    <w:rsid w:val="00F51799"/>
    <w:rsid w:val="00F635E7"/>
    <w:rsid w:val="00F70710"/>
    <w:rsid w:val="00F90D5D"/>
    <w:rsid w:val="00F93882"/>
    <w:rsid w:val="00F94A34"/>
    <w:rsid w:val="00F96921"/>
    <w:rsid w:val="00FA260B"/>
    <w:rsid w:val="00FA3BE9"/>
    <w:rsid w:val="00FB1AD3"/>
    <w:rsid w:val="00FB6698"/>
    <w:rsid w:val="00FC1013"/>
    <w:rsid w:val="00FC2351"/>
    <w:rsid w:val="00FC7AA1"/>
    <w:rsid w:val="00FC7BEA"/>
    <w:rsid w:val="00FD5121"/>
    <w:rsid w:val="00FD67C7"/>
    <w:rsid w:val="00FD6FC7"/>
    <w:rsid w:val="00FD7CB1"/>
    <w:rsid w:val="00FE1D98"/>
    <w:rsid w:val="00FF097D"/>
    <w:rsid w:val="00FF7ABF"/>
    <w:rsid w:val="00FF7E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1DC4FE5"/>
  <w15:docId w15:val="{99439481-F384-45ED-A016-B3CC75EC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7334"/>
    <w:rPr>
      <w:sz w:val="24"/>
      <w:szCs w:val="24"/>
    </w:rPr>
  </w:style>
  <w:style w:type="paragraph" w:styleId="Nagwek1">
    <w:name w:val="heading 1"/>
    <w:basedOn w:val="Normalny"/>
    <w:next w:val="Normalny"/>
    <w:link w:val="Nagwek1Znak"/>
    <w:qFormat/>
    <w:rsid w:val="00867334"/>
    <w:pPr>
      <w:keepNext/>
      <w:outlineLvl w:val="0"/>
    </w:pPr>
    <w:rPr>
      <w:b/>
      <w:bCs/>
      <w:sz w:val="28"/>
    </w:rPr>
  </w:style>
  <w:style w:type="paragraph" w:styleId="Nagwek2">
    <w:name w:val="heading 2"/>
    <w:basedOn w:val="Normalny"/>
    <w:next w:val="Normalny"/>
    <w:link w:val="Nagwek2Znak"/>
    <w:qFormat/>
    <w:rsid w:val="0015092D"/>
    <w:pPr>
      <w:keepNext/>
      <w:spacing w:before="240" w:after="60"/>
      <w:outlineLvl w:val="1"/>
    </w:pPr>
    <w:rPr>
      <w:rFonts w:ascii="Arial" w:hAnsi="Arial" w:cs="Arial"/>
      <w:b/>
      <w:bCs/>
      <w:i/>
      <w:iCs/>
      <w:sz w:val="28"/>
      <w:szCs w:val="28"/>
    </w:rPr>
  </w:style>
  <w:style w:type="paragraph" w:styleId="Nagwek4">
    <w:name w:val="heading 4"/>
    <w:basedOn w:val="Normalny"/>
    <w:next w:val="Normalny"/>
    <w:link w:val="Nagwek4Znak"/>
    <w:qFormat/>
    <w:rsid w:val="00867334"/>
    <w:pPr>
      <w:keepNext/>
      <w:spacing w:before="240" w:after="60"/>
      <w:outlineLvl w:val="3"/>
    </w:pPr>
    <w:rPr>
      <w:b/>
      <w:bCs/>
      <w:sz w:val="28"/>
      <w:szCs w:val="28"/>
    </w:rPr>
  </w:style>
  <w:style w:type="paragraph" w:styleId="Nagwek6">
    <w:name w:val="heading 6"/>
    <w:basedOn w:val="Normalny"/>
    <w:next w:val="Normalny"/>
    <w:qFormat/>
    <w:rsid w:val="00867334"/>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867334"/>
    <w:rPr>
      <w:b/>
      <w:bCs/>
      <w:sz w:val="28"/>
      <w:szCs w:val="24"/>
      <w:lang w:val="pl-PL" w:eastAsia="pl-PL" w:bidi="ar-SA"/>
    </w:rPr>
  </w:style>
  <w:style w:type="character" w:customStyle="1" w:styleId="Nagwek2Znak">
    <w:name w:val="Nagłówek 2 Znak"/>
    <w:link w:val="Nagwek2"/>
    <w:semiHidden/>
    <w:locked/>
    <w:rsid w:val="0015092D"/>
    <w:rPr>
      <w:rFonts w:ascii="Arial" w:hAnsi="Arial" w:cs="Arial"/>
      <w:b/>
      <w:bCs/>
      <w:i/>
      <w:iCs/>
      <w:sz w:val="28"/>
      <w:szCs w:val="28"/>
      <w:lang w:val="pl-PL" w:eastAsia="pl-PL" w:bidi="ar-SA"/>
    </w:rPr>
  </w:style>
  <w:style w:type="character" w:styleId="Odwoanieprzypisudolnego">
    <w:name w:val="footnote reference"/>
    <w:semiHidden/>
    <w:rsid w:val="00867334"/>
    <w:rPr>
      <w:vertAlign w:val="superscript"/>
    </w:rPr>
  </w:style>
  <w:style w:type="paragraph" w:customStyle="1" w:styleId="Default">
    <w:name w:val="Default"/>
    <w:rsid w:val="00867334"/>
    <w:pPr>
      <w:widowControl w:val="0"/>
      <w:autoSpaceDE w:val="0"/>
      <w:autoSpaceDN w:val="0"/>
      <w:adjustRightInd w:val="0"/>
    </w:pPr>
    <w:rPr>
      <w:rFonts w:ascii="CKBKDC+Arial" w:hAnsi="CKBKDC+Arial" w:cs="CKBKDC+Arial"/>
      <w:color w:val="000000"/>
      <w:sz w:val="24"/>
      <w:szCs w:val="24"/>
    </w:rPr>
  </w:style>
  <w:style w:type="paragraph" w:customStyle="1" w:styleId="Akapitzlist1">
    <w:name w:val="Akapit z listą1"/>
    <w:basedOn w:val="Normalny"/>
    <w:rsid w:val="00867334"/>
    <w:pPr>
      <w:widowControl w:val="0"/>
      <w:autoSpaceDE w:val="0"/>
      <w:autoSpaceDN w:val="0"/>
      <w:adjustRightInd w:val="0"/>
      <w:ind w:left="720"/>
      <w:contextualSpacing/>
    </w:pPr>
    <w:rPr>
      <w:sz w:val="20"/>
      <w:szCs w:val="20"/>
    </w:rPr>
  </w:style>
  <w:style w:type="paragraph" w:styleId="Stopka">
    <w:name w:val="footer"/>
    <w:basedOn w:val="Normalny"/>
    <w:rsid w:val="00867334"/>
    <w:pPr>
      <w:tabs>
        <w:tab w:val="center" w:pos="4536"/>
        <w:tab w:val="right" w:pos="9072"/>
      </w:tabs>
    </w:pPr>
  </w:style>
  <w:style w:type="character" w:styleId="Numerstrony">
    <w:name w:val="page number"/>
    <w:basedOn w:val="Domylnaczcionkaakapitu"/>
    <w:rsid w:val="00867334"/>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rsid w:val="00867334"/>
    <w:pPr>
      <w:spacing w:line="360" w:lineRule="auto"/>
      <w:jc w:val="both"/>
    </w:p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link w:val="Tekstpodstawowy"/>
    <w:rsid w:val="00867334"/>
    <w:rPr>
      <w:sz w:val="24"/>
      <w:szCs w:val="24"/>
      <w:lang w:val="pl-PL" w:eastAsia="pl-PL" w:bidi="ar-SA"/>
    </w:rPr>
  </w:style>
  <w:style w:type="paragraph" w:styleId="Tekstkomentarza">
    <w:name w:val="annotation text"/>
    <w:basedOn w:val="Normalny"/>
    <w:link w:val="TekstkomentarzaZnak"/>
    <w:rsid w:val="00867334"/>
    <w:pPr>
      <w:suppressAutoHyphens/>
    </w:pPr>
    <w:rPr>
      <w:rFonts w:eastAsia="Calibri"/>
      <w:sz w:val="20"/>
      <w:szCs w:val="20"/>
      <w:lang w:eastAsia="ar-SA"/>
    </w:rPr>
  </w:style>
  <w:style w:type="character" w:customStyle="1" w:styleId="TekstkomentarzaZnak">
    <w:name w:val="Tekst komentarza Znak"/>
    <w:link w:val="Tekstkomentarza"/>
    <w:locked/>
    <w:rsid w:val="00867334"/>
    <w:rPr>
      <w:rFonts w:eastAsia="Calibri"/>
      <w:lang w:val="pl-PL" w:eastAsia="ar-SA" w:bidi="ar-SA"/>
    </w:rPr>
  </w:style>
  <w:style w:type="paragraph" w:styleId="Tekstpodstawowywcity">
    <w:name w:val="Body Text Indent"/>
    <w:basedOn w:val="Normalny"/>
    <w:rsid w:val="00867334"/>
    <w:pPr>
      <w:spacing w:after="120"/>
      <w:ind w:left="283"/>
    </w:pPr>
  </w:style>
  <w:style w:type="character" w:customStyle="1" w:styleId="BodyTextIndentChar">
    <w:name w:val="Body Text Indent Char"/>
    <w:locked/>
    <w:rsid w:val="00867334"/>
    <w:rPr>
      <w:rFonts w:eastAsia="Times New Roman" w:cs="Times New Roman"/>
      <w:sz w:val="22"/>
      <w:szCs w:val="22"/>
    </w:rPr>
  </w:style>
  <w:style w:type="character" w:customStyle="1" w:styleId="FooterChar">
    <w:name w:val="Footer Char"/>
    <w:locked/>
    <w:rsid w:val="00867334"/>
    <w:rPr>
      <w:sz w:val="24"/>
      <w:szCs w:val="24"/>
      <w:lang w:val="pl-PL" w:eastAsia="pl-PL" w:bidi="ar-SA"/>
    </w:rPr>
  </w:style>
  <w:style w:type="paragraph" w:customStyle="1" w:styleId="Akapitzlist2">
    <w:name w:val="Akapit z listą2"/>
    <w:basedOn w:val="Normalny"/>
    <w:rsid w:val="00867334"/>
    <w:pPr>
      <w:ind w:left="720"/>
      <w:contextualSpacing/>
    </w:pPr>
    <w:rPr>
      <w:rFonts w:eastAsia="Calibri"/>
    </w:rPr>
  </w:style>
  <w:style w:type="paragraph" w:styleId="NormalnyWeb">
    <w:name w:val="Normal (Web)"/>
    <w:basedOn w:val="Normalny"/>
    <w:semiHidden/>
    <w:rsid w:val="00867334"/>
    <w:pPr>
      <w:spacing w:before="100" w:beforeAutospacing="1" w:after="100" w:afterAutospacing="1" w:line="240" w:lineRule="atLeast"/>
    </w:pPr>
    <w:rPr>
      <w:rFonts w:ascii="Arial" w:eastAsia="Calibri" w:hAnsi="Arial" w:cs="Arial"/>
      <w:color w:val="333333"/>
      <w:sz w:val="18"/>
      <w:szCs w:val="18"/>
    </w:rPr>
  </w:style>
  <w:style w:type="character" w:styleId="Hipercze">
    <w:name w:val="Hyperlink"/>
    <w:rsid w:val="00867334"/>
    <w:rPr>
      <w:color w:val="0000FF"/>
      <w:u w:val="single"/>
    </w:rPr>
  </w:style>
  <w:style w:type="paragraph" w:styleId="Nagwek">
    <w:name w:val="header"/>
    <w:basedOn w:val="Normalny"/>
    <w:rsid w:val="00867334"/>
    <w:pPr>
      <w:tabs>
        <w:tab w:val="center" w:pos="4536"/>
        <w:tab w:val="right" w:pos="9072"/>
      </w:tabs>
    </w:pPr>
  </w:style>
  <w:style w:type="character" w:customStyle="1" w:styleId="CommentTextChar">
    <w:name w:val="Comment Text Char"/>
    <w:locked/>
    <w:rsid w:val="0015092D"/>
    <w:rPr>
      <w:lang w:val="pl-PL" w:eastAsia="ar-SA" w:bidi="ar-SA"/>
    </w:rPr>
  </w:style>
  <w:style w:type="paragraph" w:customStyle="1" w:styleId="EntLogo">
    <w:name w:val="EntLogo"/>
    <w:basedOn w:val="Normalny"/>
    <w:rsid w:val="0015092D"/>
    <w:pPr>
      <w:numPr>
        <w:numId w:val="1"/>
      </w:numPr>
    </w:pPr>
  </w:style>
  <w:style w:type="character" w:customStyle="1" w:styleId="ZnakZnak1">
    <w:name w:val="Znak Znak1"/>
    <w:locked/>
    <w:rsid w:val="0015092D"/>
    <w:rPr>
      <w:rFonts w:eastAsia="Calibri"/>
      <w:lang w:val="pl-PL" w:eastAsia="ar-SA" w:bidi="ar-SA"/>
    </w:rPr>
  </w:style>
  <w:style w:type="character" w:styleId="Odwoaniedokomentarza">
    <w:name w:val="annotation reference"/>
    <w:semiHidden/>
    <w:rsid w:val="005E6287"/>
    <w:rPr>
      <w:sz w:val="16"/>
      <w:szCs w:val="16"/>
    </w:rPr>
  </w:style>
  <w:style w:type="paragraph" w:styleId="Tematkomentarza">
    <w:name w:val="annotation subject"/>
    <w:basedOn w:val="Tekstkomentarza"/>
    <w:next w:val="Tekstkomentarza"/>
    <w:semiHidden/>
    <w:rsid w:val="005E6287"/>
    <w:pPr>
      <w:suppressAutoHyphens w:val="0"/>
    </w:pPr>
    <w:rPr>
      <w:rFonts w:eastAsia="Times New Roman"/>
      <w:b/>
      <w:bCs/>
      <w:lang w:eastAsia="pl-PL"/>
    </w:rPr>
  </w:style>
  <w:style w:type="paragraph" w:styleId="Tekstdymka">
    <w:name w:val="Balloon Text"/>
    <w:basedOn w:val="Normalny"/>
    <w:semiHidden/>
    <w:rsid w:val="005E6287"/>
    <w:rPr>
      <w:rFonts w:ascii="Tahoma" w:hAnsi="Tahoma" w:cs="Tahoma"/>
      <w:sz w:val="16"/>
      <w:szCs w:val="16"/>
    </w:rPr>
  </w:style>
  <w:style w:type="paragraph" w:styleId="Tekstprzypisudolnego">
    <w:name w:val="footnote text"/>
    <w:basedOn w:val="Normalny"/>
    <w:semiHidden/>
    <w:rsid w:val="00B34B8E"/>
    <w:rPr>
      <w:sz w:val="20"/>
      <w:szCs w:val="20"/>
    </w:rPr>
  </w:style>
  <w:style w:type="character" w:styleId="UyteHipercze">
    <w:name w:val="FollowedHyperlink"/>
    <w:rsid w:val="009A4794"/>
    <w:rPr>
      <w:color w:val="800080"/>
      <w:u w:val="single"/>
    </w:rPr>
  </w:style>
  <w:style w:type="paragraph" w:styleId="Akapitzlist">
    <w:name w:val="List Paragraph"/>
    <w:basedOn w:val="Normalny"/>
    <w:uiPriority w:val="34"/>
    <w:qFormat/>
    <w:rsid w:val="00486104"/>
    <w:pPr>
      <w:ind w:left="720"/>
      <w:contextualSpacing/>
    </w:pPr>
  </w:style>
  <w:style w:type="character" w:customStyle="1" w:styleId="Nagwek4Znak">
    <w:name w:val="Nagłówek 4 Znak"/>
    <w:basedOn w:val="Domylnaczcionkaakapitu"/>
    <w:link w:val="Nagwek4"/>
    <w:rsid w:val="00B66C61"/>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4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77F43-F79C-4F7B-AD7A-7CAFEE93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2259</Words>
  <Characters>13554</Characters>
  <Application>Microsoft Office Word</Application>
  <DocSecurity>0</DocSecurity>
  <Lines>112</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Plebanek, Maciej</dc:creator>
  <cp:lastModifiedBy>Królak-Buzakowska Joanna</cp:lastModifiedBy>
  <cp:revision>3</cp:revision>
  <cp:lastPrinted>2016-12-28T10:24:00Z</cp:lastPrinted>
  <dcterms:created xsi:type="dcterms:W3CDTF">2018-08-16T22:09:00Z</dcterms:created>
  <dcterms:modified xsi:type="dcterms:W3CDTF">2018-10-04T12:02:00Z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Ref">
    <vt:lpwstr>https://api.informationprotection.azure.com/api/f35a6974-607f-47d4-82d7-ff31d7dc53a5</vt:lpwstr>
  </property>
  <property fmtid="{D5CDD505-2E9C-101B-9397-08002B2CF9AE}" pid="5" name="MSIP_Label_4929bff8-5b33-42aa-95d2-28f72e792cb0_Owner">
    <vt:lpwstr>PLEBAMA1@novartis.net</vt:lpwstr>
  </property>
  <property fmtid="{D5CDD505-2E9C-101B-9397-08002B2CF9AE}" pid="6" name="MSIP_Label_4929bff8-5b33-42aa-95d2-28f72e792cb0_SetDate">
    <vt:lpwstr>2018-08-09T13:15:11.3380603+02:00</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ies>
</file>