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30509" w14:textId="42C0B0C7" w:rsidR="002F272F" w:rsidRPr="00C03E80" w:rsidRDefault="000C1755">
      <w:pPr>
        <w:rPr>
          <w:highlight w:val="yellow"/>
        </w:rPr>
      </w:pPr>
      <w:r w:rsidRPr="00C03E80">
        <w:rPr>
          <w:highlight w:val="yellow"/>
        </w:rPr>
        <w:t>Uwagi OS.FIZ.1</w:t>
      </w:r>
    </w:p>
    <w:p w14:paraId="2B9FD49C" w14:textId="4C7364B6" w:rsidR="000C1755" w:rsidRDefault="000C1755">
      <w:r w:rsidRPr="00C03E80">
        <w:rPr>
          <w:highlight w:val="yellow"/>
        </w:rPr>
        <w:t>Po ANONIMIZACJI</w:t>
      </w:r>
    </w:p>
    <w:p w14:paraId="1E1BA9A4" w14:textId="77777777" w:rsidR="00C03E80" w:rsidRDefault="00C03E80" w:rsidP="00C03E80">
      <w:r>
        <w:t>Ministerstwo Cyfryzacji Departament Prawny</w:t>
      </w:r>
    </w:p>
    <w:p w14:paraId="2647B7E5" w14:textId="77777777" w:rsidR="00C03E80" w:rsidRDefault="00C03E80" w:rsidP="00C03E80">
      <w:r>
        <w:t>ul. Królewska 27 00-060 Warszawa</w:t>
      </w:r>
    </w:p>
    <w:p w14:paraId="28669253" w14:textId="77777777" w:rsidR="00C03E80" w:rsidRDefault="00C03E80" w:rsidP="00C03E80">
      <w:r>
        <w:t>Zgłoszenie uwag w ramach konsultacji publicznych WPL MC poz. 51</w:t>
      </w:r>
    </w:p>
    <w:p w14:paraId="02085498" w14:textId="77777777" w:rsidR="00C03E80" w:rsidRDefault="00C03E80" w:rsidP="00C03E80">
      <w:r>
        <w:t>Dotyczy: projekt rozporządzenia Ministra Cyfryzacji w sprawie wysokości opłaty za udział w piaskownicy regulacyjnej oraz sposobu jej wnoszenia – wersja z 2 września 2026 r. Znak pisma konsultacyjnego: DP.MC.WLA.0211.33.2026.</w:t>
      </w:r>
    </w:p>
    <w:p w14:paraId="14A207EA" w14:textId="77777777" w:rsidR="00C03E80" w:rsidRDefault="00C03E80" w:rsidP="00C03E80">
      <w:r>
        <w:t>Szanowni Państwo,</w:t>
      </w:r>
    </w:p>
    <w:p w14:paraId="2716546F" w14:textId="77777777" w:rsidR="00C03E80" w:rsidRDefault="00C03E80" w:rsidP="00C03E80">
      <w:r>
        <w:t>W nawiązaniu do opublikowanego pisma z 5 września 2026 r., kierującego wskazany projekt do konsultacji publicznych, przekazuję w załączeniu autorskie uwagi do projektu, uzasadnienia oraz oceny skutków regulacji.</w:t>
      </w:r>
    </w:p>
    <w:p w14:paraId="1EB1E830" w14:textId="52882758" w:rsidR="00C03E80" w:rsidRDefault="00C03E80" w:rsidP="00C03E80">
      <w:r>
        <w:t xml:space="preserve">Stanowisko przygotowałem w ramach badań nad krajowymi instrumentami stosowania AI </w:t>
      </w:r>
      <w:proofErr w:type="spellStart"/>
      <w:r>
        <w:t>Act</w:t>
      </w:r>
      <w:proofErr w:type="spellEnd"/>
      <w:r>
        <w:t xml:space="preserve">, obejmujących prace nad komentarzem do art. 58–69 ustawy o systemach sztucznej inteligencji, </w:t>
      </w:r>
      <w:r w:rsidR="006737BD" w:rsidRPr="006737BD">
        <w:rPr>
          <w:highlight w:val="yellow"/>
        </w:rPr>
        <w:t>[…]</w:t>
      </w:r>
      <w:r>
        <w:t xml:space="preserve"> artykułami naukowymi oraz monografią </w:t>
      </w:r>
      <w:r w:rsidR="006737BD" w:rsidRPr="006737BD">
        <w:rPr>
          <w:highlight w:val="yellow"/>
        </w:rPr>
        <w:t>[…]</w:t>
      </w:r>
      <w:r>
        <w:t>. Żadne z tych opracowań nie zostało dotychczas opublikowane. Zgłoszenie składam we własnym imieniu - nie stanowi ono stanowiska instytucji, z którymi jestem związany.</w:t>
      </w:r>
    </w:p>
    <w:p w14:paraId="2A254651" w14:textId="77777777" w:rsidR="00C03E80" w:rsidRDefault="00C03E80" w:rsidP="00C03E80">
      <w:r>
        <w:t>Niniejsze stanowisko nawiązuje także do mojej wcześniejszej korespondencji z Ministerstwem Cyfryzacji. Pismem z 21 sierpnia 2026 r., doręczonym za pośrednictwem e-Doręczeń, przedstawiłem wniosek o punktową nowelizację ustawy, oparty na wynikach tych samych badań. W odpowiedzi z 10 września 2026 r., znak DBI.WIPP.051.3.2026, Departament Badań i Innowacji ocenił przekazany materiał jako wartościowy ekspercko i wskazał, że zostanie zachowany na potrzeby ewentualnych przyszłych analiz, w tym prac legislacyjnych. Obecne zgłoszenie ma odrębny przedmiot i dotyczy wyłącznie projektu WPL MC poz. 51.</w:t>
      </w:r>
    </w:p>
    <w:p w14:paraId="730752D6" w14:textId="77777777" w:rsidR="00C03E80" w:rsidRDefault="00C03E80" w:rsidP="00C03E80">
      <w:r>
        <w:t>Uwagi dotyczą wykazania realizacji wytycznych upoważnienia ustawowego przy ustalaniu opłat, spójności zasad płatności, uzasadnienia skutków finansowych, zaplanowania ewaluacji oraz dwóch korekt redakcyjnych. Nie obejmują postulatów nowelizacji samej ustawy ani zmiany ustawowego zwolnienia mikro-, małych i średnich przedsiębiorców.</w:t>
      </w:r>
    </w:p>
    <w:p w14:paraId="7B01CB88" w14:textId="77777777" w:rsidR="00C03E80" w:rsidRDefault="00C03E80" w:rsidP="00C03E80">
      <w:r>
        <w:t>Z wyrazami szacunku</w:t>
      </w:r>
    </w:p>
    <w:p w14:paraId="0EEA20E9" w14:textId="2AD59A7E" w:rsidR="00C03E80" w:rsidRDefault="00C03E80" w:rsidP="00C03E80">
      <w:r w:rsidRPr="00C03E80">
        <w:rPr>
          <w:highlight w:val="yellow"/>
        </w:rPr>
        <w:t>[ANONIMIZACJA RODO]</w:t>
      </w:r>
    </w:p>
    <w:p w14:paraId="43DFEC3E" w14:textId="46FD51E7" w:rsidR="000C1755" w:rsidRDefault="00C03E80" w:rsidP="00C03E80">
      <w:r>
        <w:t>Załącznik: tabela uwag do projektu WPL MC poz. 51 – 6 uwag, 2 strony.</w:t>
      </w:r>
    </w:p>
    <w:p w14:paraId="24416554" w14:textId="77777777" w:rsidR="0083621D" w:rsidRDefault="0083621D"/>
    <w:p w14:paraId="5C55BF1E" w14:textId="77777777" w:rsidR="0083621D" w:rsidRDefault="0083621D">
      <w:pPr>
        <w:sectPr w:rsidR="0083621D">
          <w:pgSz w:w="11906" w:h="16838"/>
          <w:pgMar w:top="1417" w:right="1417" w:bottom="1417" w:left="1417" w:header="708" w:footer="708" w:gutter="0"/>
          <w:cols w:space="708"/>
          <w:docGrid w:linePitch="360"/>
        </w:sectPr>
      </w:pPr>
    </w:p>
    <w:p w14:paraId="20E5FC3B" w14:textId="77777777" w:rsidR="0083621D" w:rsidRPr="0083621D" w:rsidRDefault="0083621D" w:rsidP="0083621D">
      <w:pPr>
        <w:spacing w:after="10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30"/>
          <w:szCs w:val="22"/>
          <w14:ligatures w14:val="none"/>
        </w:rPr>
        <w:lastRenderedPageBreak/>
        <w:t>Tabela uwag do projektu WPL MC poz. 51</w:t>
      </w:r>
    </w:p>
    <w:p w14:paraId="320A2380" w14:textId="77777777" w:rsidR="0083621D" w:rsidRPr="0083621D" w:rsidRDefault="0083621D" w:rsidP="0083621D">
      <w:pPr>
        <w:spacing w:after="100" w:line="250" w:lineRule="auto"/>
        <w:rPr>
          <w:rFonts w:ascii="Times New Roman" w:eastAsia="MS Mincho" w:hAnsi="Times New Roman" w:cs="Times New Roman"/>
          <w:kern w:val="0"/>
          <w14:ligatures w14:val="none"/>
        </w:rPr>
      </w:pPr>
      <w:r w:rsidRPr="0083621D">
        <w:rPr>
          <w:rFonts w:ascii="Times New Roman" w:eastAsia="Arial" w:hAnsi="Times New Roman" w:cs="Times New Roman"/>
          <w:color w:val="000000"/>
          <w:kern w:val="0"/>
          <w14:ligatures w14:val="none"/>
        </w:rPr>
        <w:t>Opłata za udział w piaskownicy regulacyjnej i sposób jej wnoszenia | Projekt oraz OSR z 2 września 2026 r.</w:t>
      </w:r>
    </w:p>
    <w:p w14:paraId="4A00A497" w14:textId="77777777" w:rsidR="0083621D" w:rsidRPr="0083621D" w:rsidRDefault="0083621D" w:rsidP="0083621D">
      <w:pPr>
        <w:spacing w:line="250" w:lineRule="auto"/>
        <w:rPr>
          <w:rFonts w:ascii="Times New Roman" w:eastAsia="MS Mincho" w:hAnsi="Times New Roman" w:cs="Times New Roman"/>
          <w:kern w:val="0"/>
          <w14:ligatures w14:val="none"/>
        </w:rPr>
      </w:pPr>
      <w:r w:rsidRPr="0083621D">
        <w:rPr>
          <w:rFonts w:ascii="Times New Roman" w:eastAsia="Arial" w:hAnsi="Times New Roman" w:cs="Times New Roman"/>
          <w:color w:val="000000"/>
          <w:kern w:val="0"/>
          <w14:ligatures w14:val="none"/>
        </w:rPr>
        <w:t>Zgłaszający</w:t>
      </w:r>
      <w:r w:rsidRPr="0083621D">
        <w:rPr>
          <w:rFonts w:ascii="Times New Roman" w:eastAsia="Arial" w:hAnsi="Times New Roman" w:cs="Times New Roman"/>
          <w:color w:val="000000"/>
          <w:kern w:val="0"/>
          <w:highlight w:val="yellow"/>
          <w14:ligatures w14:val="none"/>
        </w:rPr>
        <w:t xml:space="preserve">: OSOBA FIZYCZNA 1 - </w:t>
      </w:r>
      <w:proofErr w:type="spellStart"/>
      <w:r w:rsidRPr="0083621D">
        <w:rPr>
          <w:rFonts w:ascii="Times New Roman" w:eastAsia="Arial" w:hAnsi="Times New Roman" w:cs="Times New Roman"/>
          <w:color w:val="000000"/>
          <w:kern w:val="0"/>
          <w:highlight w:val="yellow"/>
          <w14:ligatures w14:val="none"/>
        </w:rPr>
        <w:t>anonimizacja</w:t>
      </w:r>
      <w:proofErr w:type="spellEnd"/>
      <w:r w:rsidRPr="0083621D">
        <w:rPr>
          <w:rFonts w:ascii="Times New Roman" w:eastAsia="Arial" w:hAnsi="Times New Roman" w:cs="Times New Roman"/>
          <w:color w:val="000000"/>
          <w:kern w:val="0"/>
          <w14:ligatures w14:val="none"/>
        </w:rPr>
        <w:t>, Data: 12 września 2026 r. Znak konsultacji: DP.MC.WLA.0211.33.2026</w:t>
      </w:r>
    </w:p>
    <w:tbl>
      <w:tblPr>
        <w:tblW w:w="15082" w:type="dxa"/>
        <w:jc w:val="center"/>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Layout w:type="fixed"/>
        <w:tblCellMar>
          <w:top w:w="85" w:type="dxa"/>
          <w:left w:w="95" w:type="dxa"/>
          <w:bottom w:w="85" w:type="dxa"/>
          <w:right w:w="95" w:type="dxa"/>
        </w:tblCellMar>
        <w:tblLook w:val="04A0" w:firstRow="1" w:lastRow="0" w:firstColumn="1" w:lastColumn="0" w:noHBand="0" w:noVBand="1"/>
      </w:tblPr>
      <w:tblGrid>
        <w:gridCol w:w="540"/>
        <w:gridCol w:w="1701"/>
        <w:gridCol w:w="3430"/>
        <w:gridCol w:w="4989"/>
        <w:gridCol w:w="4422"/>
      </w:tblGrid>
      <w:tr w:rsidR="0083621D" w:rsidRPr="0083621D" w14:paraId="14AF92FF" w14:textId="77777777" w:rsidTr="00556DF1">
        <w:trPr>
          <w:cantSplit/>
          <w:tblHeader/>
          <w:jc w:val="center"/>
        </w:trPr>
        <w:tc>
          <w:tcPr>
            <w:tcW w:w="539" w:type="dxa"/>
            <w:shd w:val="clear" w:color="auto" w:fill="E9ECEF"/>
          </w:tcPr>
          <w:p w14:paraId="15B70C73"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Lp.</w:t>
            </w:r>
          </w:p>
        </w:tc>
        <w:tc>
          <w:tcPr>
            <w:tcW w:w="1701" w:type="dxa"/>
            <w:shd w:val="clear" w:color="auto" w:fill="E9ECEF"/>
          </w:tcPr>
          <w:p w14:paraId="2A655838" w14:textId="77777777" w:rsidR="0083621D" w:rsidRPr="0083621D" w:rsidRDefault="0083621D" w:rsidP="0083621D">
            <w:pPr>
              <w:spacing w:after="6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Jednostka</w:t>
            </w:r>
          </w:p>
          <w:p w14:paraId="0CF617EA"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redakcyjna</w:t>
            </w:r>
          </w:p>
        </w:tc>
        <w:tc>
          <w:tcPr>
            <w:tcW w:w="3430" w:type="dxa"/>
            <w:shd w:val="clear" w:color="auto" w:fill="E9ECEF"/>
          </w:tcPr>
          <w:p w14:paraId="58002EFE"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Uwaga</w:t>
            </w:r>
          </w:p>
        </w:tc>
        <w:tc>
          <w:tcPr>
            <w:tcW w:w="4989" w:type="dxa"/>
            <w:shd w:val="clear" w:color="auto" w:fill="E9ECEF"/>
          </w:tcPr>
          <w:p w14:paraId="1A17AEF3"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Postulowana zmiana / proponowane brzmienie</w:t>
            </w:r>
          </w:p>
        </w:tc>
        <w:tc>
          <w:tcPr>
            <w:tcW w:w="4422" w:type="dxa"/>
            <w:shd w:val="clear" w:color="auto" w:fill="E9ECEF"/>
          </w:tcPr>
          <w:p w14:paraId="199F709A"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Uzasadnienie i skutek braku zmiany</w:t>
            </w:r>
          </w:p>
        </w:tc>
      </w:tr>
      <w:tr w:rsidR="0083621D" w:rsidRPr="0083621D" w14:paraId="1B3E54F3" w14:textId="77777777" w:rsidTr="00556DF1">
        <w:trPr>
          <w:cantSplit/>
          <w:jc w:val="center"/>
        </w:trPr>
        <w:tc>
          <w:tcPr>
            <w:tcW w:w="539" w:type="dxa"/>
          </w:tcPr>
          <w:p w14:paraId="2EA70C51"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1</w:t>
            </w:r>
          </w:p>
        </w:tc>
        <w:tc>
          <w:tcPr>
            <w:tcW w:w="1701" w:type="dxa"/>
          </w:tcPr>
          <w:p w14:paraId="5990446F"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 2 ust. 1;</w:t>
            </w:r>
          </w:p>
          <w:p w14:paraId="0E9E3B55"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uzasadnienie;</w:t>
            </w:r>
          </w:p>
          <w:p w14:paraId="6756D9A8"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pkt 2 OSR</w:t>
            </w:r>
          </w:p>
        </w:tc>
        <w:tc>
          <w:tcPr>
            <w:tcW w:w="3430" w:type="dxa"/>
          </w:tcPr>
          <w:p w14:paraId="09E90190"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Nie wykazano dostatecznie, jak uwzględniono zakres piaskownicy. OSR zakłada ryczałt „bez względu na zakres piaskownicy regulacyjnej”, natomiast uzasadnienie deklaruje uwzględnienie tego kryterium. Sama jednolita stawka nie przesądza jeszcze o naruszeniu delegacji.</w:t>
            </w:r>
          </w:p>
        </w:tc>
        <w:tc>
          <w:tcPr>
            <w:tcW w:w="4989" w:type="dxa"/>
          </w:tcPr>
          <w:p w14:paraId="4AEDAAA2"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Uzupełnić uzasadnienie i OSR o wyjaśnienie, czy różnice w czasie trwania, zakresie wsparcia i zapewnianym zapleczu technologicznym wpływają na koszty obsługi oraz dlaczego uzasadniają przyjęte kwoty. Jeżeli analiza nie uzasadnia ryczałtu, określić w rozporządzeniu przejrzyste przedziały opłat oparte na obiektywnych kryteriach. Nie pozostawiać wysokości opłaty swobodnemu ustaleniu przez Komisję.</w:t>
            </w:r>
          </w:p>
        </w:tc>
        <w:tc>
          <w:tcPr>
            <w:tcW w:w="4422" w:type="dxa"/>
          </w:tcPr>
          <w:p w14:paraId="1AB7E0F8"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Art. 93 ust. 4 ustawy wymaga uwzględnienia także zakresu piaskownicy, a nie wyłącznie rodzaju uczestnika. Dopuszczalne zróżnicowanie zakresu wynika z art. 91 i art. 97 ust. 1. Samo zachowanie ustawowych limitów nie wyjaśnia realizacji wszystkich wytycznych. Brak uzasadnienia utrudnia ocenę zgodności z upoważnieniem i proporcjonalności obciążenia. Nie proponuje się nowych kwot bez danych o kosztach.</w:t>
            </w:r>
          </w:p>
        </w:tc>
      </w:tr>
      <w:tr w:rsidR="0083621D" w:rsidRPr="0083621D" w14:paraId="66FEB32E" w14:textId="77777777" w:rsidTr="00556DF1">
        <w:trPr>
          <w:cantSplit/>
          <w:jc w:val="center"/>
        </w:trPr>
        <w:tc>
          <w:tcPr>
            <w:tcW w:w="539" w:type="dxa"/>
          </w:tcPr>
          <w:p w14:paraId="414DB35D"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2</w:t>
            </w:r>
          </w:p>
        </w:tc>
        <w:tc>
          <w:tcPr>
            <w:tcW w:w="1701" w:type="dxa"/>
          </w:tcPr>
          <w:p w14:paraId="5CE6BC64"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 2 ust. 2;</w:t>
            </w:r>
          </w:p>
          <w:p w14:paraId="1AD63EB8"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pkt 2 OSR</w:t>
            </w:r>
          </w:p>
        </w:tc>
        <w:tc>
          <w:tcPr>
            <w:tcW w:w="3430" w:type="dxa"/>
          </w:tcPr>
          <w:p w14:paraId="2830CC06"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OSR przewiduje zapłatę w ciągu 7 dni od doręczenia decyzji i przed rozpoczęciem udziału. § 2 ust. 2 określa jedynie jednorazowość wpłaty i rachunek. Art. 93 ustawy nie zawiera wskazanego terminu. Dokumenty opisują więc różne rozwiązania.</w:t>
            </w:r>
          </w:p>
        </w:tc>
        <w:tc>
          <w:tcPr>
            <w:tcW w:w="4989" w:type="dxa"/>
          </w:tcPr>
          <w:p w14:paraId="730FB7FA"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Usunąć rozbieżność. Wariant zachowujący siedmiodniowy termin przyjęty w OSR:</w:t>
            </w:r>
          </w:p>
          <w:p w14:paraId="3D11DBB2"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„2. Opłatę wnosi się jednorazowo na rachunek bankowy urzędu obsługującego ministra właściwego do spraw informatyzacji, w terminie 7 dni od dnia doręczenia decyzji, o której mowa w art. 91 ust. 1 ustawy, o której mowa w § 1.”</w:t>
            </w:r>
          </w:p>
          <w:p w14:paraId="71260876"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Uzasadnić objęcie terminu delegacją do określenia sposobu wnoszenia opłaty. Zastrzeżenie zapłaty przed rozpoczęciem udziału usunąć z OSR albo wskazać jego podstawę i uregulować je normatywnie.</w:t>
            </w:r>
          </w:p>
        </w:tc>
        <w:tc>
          <w:tcPr>
            <w:tcW w:w="4422" w:type="dxa"/>
          </w:tcPr>
          <w:p w14:paraId="5B1F9E09"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OSR nie jest źródłem obowiązków uczestnika. Termin powinien wynikać z właściwego przepisu, a nie z opisu skutków regulacji. Upoważnienie z art. 93 ust. 4 należy odczytywać w granicach art. 92 ust. 1 Konstytucji. Samo określenie sposobu płatności nie uzasadnia automatycznego wykluczenia uczestnika lub utraty uprawnienia. Niespójność grozi stosowaniem wymagań niewynikających z aktu normatywnego.</w:t>
            </w:r>
          </w:p>
        </w:tc>
      </w:tr>
    </w:tbl>
    <w:p w14:paraId="542CEBD6"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p>
    <w:p w14:paraId="5A6061CF"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p>
    <w:p w14:paraId="3E951FB6"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p>
    <w:p w14:paraId="79EE56F7"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p>
    <w:p w14:paraId="478B375E"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p>
    <w:p w14:paraId="42D7F1E2"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p>
    <w:tbl>
      <w:tblPr>
        <w:tblW w:w="15082" w:type="dxa"/>
        <w:jc w:val="center"/>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Layout w:type="fixed"/>
        <w:tblCellMar>
          <w:top w:w="85" w:type="dxa"/>
          <w:left w:w="95" w:type="dxa"/>
          <w:bottom w:w="85" w:type="dxa"/>
          <w:right w:w="95" w:type="dxa"/>
        </w:tblCellMar>
        <w:tblLook w:val="04A0" w:firstRow="1" w:lastRow="0" w:firstColumn="1" w:lastColumn="0" w:noHBand="0" w:noVBand="1"/>
      </w:tblPr>
      <w:tblGrid>
        <w:gridCol w:w="540"/>
        <w:gridCol w:w="1701"/>
        <w:gridCol w:w="3430"/>
        <w:gridCol w:w="4989"/>
        <w:gridCol w:w="4422"/>
      </w:tblGrid>
      <w:tr w:rsidR="0083621D" w:rsidRPr="0083621D" w14:paraId="7AED8373" w14:textId="77777777" w:rsidTr="00556DF1">
        <w:trPr>
          <w:cantSplit/>
          <w:tblHeader/>
          <w:jc w:val="center"/>
        </w:trPr>
        <w:tc>
          <w:tcPr>
            <w:tcW w:w="539" w:type="dxa"/>
            <w:shd w:val="clear" w:color="auto" w:fill="E9ECEF"/>
          </w:tcPr>
          <w:p w14:paraId="716731AE"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lastRenderedPageBreak/>
              <w:t>Lp.</w:t>
            </w:r>
          </w:p>
        </w:tc>
        <w:tc>
          <w:tcPr>
            <w:tcW w:w="1701" w:type="dxa"/>
            <w:shd w:val="clear" w:color="auto" w:fill="E9ECEF"/>
          </w:tcPr>
          <w:p w14:paraId="1EE9E476"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Jednostka</w:t>
            </w:r>
          </w:p>
          <w:p w14:paraId="0DEE4D46"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redakcyjna</w:t>
            </w:r>
          </w:p>
        </w:tc>
        <w:tc>
          <w:tcPr>
            <w:tcW w:w="3430" w:type="dxa"/>
            <w:shd w:val="clear" w:color="auto" w:fill="E9ECEF"/>
          </w:tcPr>
          <w:p w14:paraId="0A173812"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Uwaga</w:t>
            </w:r>
          </w:p>
        </w:tc>
        <w:tc>
          <w:tcPr>
            <w:tcW w:w="4989" w:type="dxa"/>
            <w:shd w:val="clear" w:color="auto" w:fill="E9ECEF"/>
          </w:tcPr>
          <w:p w14:paraId="37CEC283"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Postulowana zmiana / proponowane brzmienie</w:t>
            </w:r>
          </w:p>
        </w:tc>
        <w:tc>
          <w:tcPr>
            <w:tcW w:w="4422" w:type="dxa"/>
            <w:shd w:val="clear" w:color="auto" w:fill="E9ECEF"/>
          </w:tcPr>
          <w:p w14:paraId="1208E95E"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Uzasadnienie i skutek braku zmiany</w:t>
            </w:r>
          </w:p>
        </w:tc>
      </w:tr>
      <w:tr w:rsidR="0083621D" w:rsidRPr="0083621D" w14:paraId="6082330C" w14:textId="77777777" w:rsidTr="00556DF1">
        <w:trPr>
          <w:cantSplit/>
          <w:jc w:val="center"/>
        </w:trPr>
        <w:tc>
          <w:tcPr>
            <w:tcW w:w="539" w:type="dxa"/>
          </w:tcPr>
          <w:p w14:paraId="04D8DDD9"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3</w:t>
            </w:r>
          </w:p>
        </w:tc>
        <w:tc>
          <w:tcPr>
            <w:tcW w:w="1701" w:type="dxa"/>
          </w:tcPr>
          <w:p w14:paraId="0EC3861B"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Pkt 6 OSR;</w:t>
            </w:r>
          </w:p>
          <w:p w14:paraId="7DFC7D17"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powiązane dane</w:t>
            </w:r>
          </w:p>
          <w:p w14:paraId="5A57DFE7"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w pkt 7 OSR</w:t>
            </w:r>
          </w:p>
        </w:tc>
        <w:tc>
          <w:tcPr>
            <w:tcW w:w="3430" w:type="dxa"/>
          </w:tcPr>
          <w:p w14:paraId="78358731"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Tabela finansowa zawiera konkretne prognozy dochodów i wydatków. Towarzyszący jej opis stwierdza natomiast, że ich oszacowanie nie jest możliwe z powodu braku danych o liczbie piaskownic i uczestników. Nie wyjaśniono dostatecznie założeń wyliczeń.</w:t>
            </w:r>
          </w:p>
        </w:tc>
        <w:tc>
          <w:tcPr>
            <w:tcW w:w="4989" w:type="dxa"/>
          </w:tcPr>
          <w:p w14:paraId="389060AE"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Wskazać założoną liczbę płacących uczestników w każdej kategorii i okresie, podstawę przyjętych kosztów oraz sposób obliczenia kwot. Uzupełnić rok bazowy cen i uzgodnić dane z pkt 7. Jeżeli liczby stanowią scenariusz, oznaczyć je jako szacunki scenariuszowe i podać założenia zamiast deklarować całkowity brak możliwości oszacowania.</w:t>
            </w:r>
          </w:p>
        </w:tc>
        <w:tc>
          <w:tcPr>
            <w:tcW w:w="4422" w:type="dxa"/>
          </w:tcPr>
          <w:p w14:paraId="15D9D30C"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Rozbieżność utrudnia ocenę wiarygodności prognozy i uzasadnienia stawek. Należy odróżnić wpływy z opłat od kosztów obsługi oraz wskazać zakres zakładanego finansowania z innych źródeł. Nie jest wymagane pozorne zwiększanie precyzji, lecz odtwarzalność sposobu wyliczenia.</w:t>
            </w:r>
          </w:p>
        </w:tc>
      </w:tr>
      <w:tr w:rsidR="0083621D" w:rsidRPr="0083621D" w14:paraId="6A94816D" w14:textId="77777777" w:rsidTr="00556DF1">
        <w:trPr>
          <w:cantSplit/>
          <w:jc w:val="center"/>
        </w:trPr>
        <w:tc>
          <w:tcPr>
            <w:tcW w:w="539" w:type="dxa"/>
          </w:tcPr>
          <w:p w14:paraId="7DED3C55"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4</w:t>
            </w:r>
          </w:p>
        </w:tc>
        <w:tc>
          <w:tcPr>
            <w:tcW w:w="1701" w:type="dxa"/>
          </w:tcPr>
          <w:p w14:paraId="11307514"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Pkt 12 OSR</w:t>
            </w:r>
          </w:p>
        </w:tc>
        <w:tc>
          <w:tcPr>
            <w:tcW w:w="3430" w:type="dxa"/>
          </w:tcPr>
          <w:p w14:paraId="0B083ED6"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Nie zaplanowano ewaluacji mimo ograniczonych danych o zainteresowaniu piaskownicami i rzeczywistych kosztach ich obsługi.</w:t>
            </w:r>
          </w:p>
        </w:tc>
        <w:tc>
          <w:tcPr>
            <w:tcW w:w="4989" w:type="dxa"/>
          </w:tcPr>
          <w:p w14:paraId="565F3E8E"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Proponowane uzupełnienie pkt 12:</w:t>
            </w:r>
          </w:p>
          <w:p w14:paraId="1EEFAAE0"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„Ocena adekwatności opłat zostanie przeprowadzona po 12 miesiącach od rozpoczęcia działania pierwszej piaskownicy. Obejmie liczbę i kategorie płacących uczestników, czas i zakres projektów, koszty ich obsługi, udział wpływów z opłat w finansowaniu oraz dostępne informacje o wpływie opłat na zainteresowanie udziałem. Wyniki posłużą ocenie potrzeby zmiany stawek.”</w:t>
            </w:r>
          </w:p>
        </w:tc>
        <w:tc>
          <w:tcPr>
            <w:tcW w:w="4422" w:type="dxa"/>
          </w:tcPr>
          <w:p w14:paraId="6B7B0C51"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Przegląd umożliwi weryfikację założeń po uzyskaniu doświadczeń. Należy wykorzystać przede wszystkim dane już gromadzone przez organ; nie postuluje się nowych obowiązków sprawozdawczych uczestników. Przy niewielkiej próbie ocenę należy oznaczyć jako wstępną i przewidzieć kolejny przegląd.</w:t>
            </w:r>
          </w:p>
        </w:tc>
      </w:tr>
      <w:tr w:rsidR="0083621D" w:rsidRPr="0083621D" w14:paraId="32DD18C0" w14:textId="77777777" w:rsidTr="00556DF1">
        <w:trPr>
          <w:cantSplit/>
          <w:jc w:val="center"/>
        </w:trPr>
        <w:tc>
          <w:tcPr>
            <w:tcW w:w="539" w:type="dxa"/>
          </w:tcPr>
          <w:p w14:paraId="5E361221"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5</w:t>
            </w:r>
          </w:p>
        </w:tc>
        <w:tc>
          <w:tcPr>
            <w:tcW w:w="1701" w:type="dxa"/>
          </w:tcPr>
          <w:p w14:paraId="5B626C87"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 2 ust. 1</w:t>
            </w:r>
          </w:p>
          <w:p w14:paraId="69EA7080"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pkt 2</w:t>
            </w:r>
          </w:p>
        </w:tc>
        <w:tc>
          <w:tcPr>
            <w:tcW w:w="3430" w:type="dxa"/>
          </w:tcPr>
          <w:p w14:paraId="61EAC932"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Nieporęczne połączenie liczby pojedynczej i mnogiej przy określaniu kategorii podmiotów. Uwaga wyłącznie redakcyjna.</w:t>
            </w:r>
          </w:p>
        </w:tc>
        <w:tc>
          <w:tcPr>
            <w:tcW w:w="4989" w:type="dxa"/>
          </w:tcPr>
          <w:p w14:paraId="0735762F" w14:textId="77777777" w:rsidR="0083621D" w:rsidRPr="0083621D" w:rsidRDefault="0083621D" w:rsidP="0083621D">
            <w:pPr>
              <w:spacing w:after="6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Proponowane brzmienie pkt 2:</w:t>
            </w:r>
          </w:p>
          <w:p w14:paraId="29039595"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„2) podmiotu, o którym mowa w art. 93 ust. 3 ustawy, o której mowa w § 1, wynosi 14 418 zł.”</w:t>
            </w:r>
          </w:p>
        </w:tc>
        <w:tc>
          <w:tcPr>
            <w:tcW w:w="4422" w:type="dxa"/>
          </w:tcPr>
          <w:p w14:paraId="098E4AED"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Odesłanie bezpośrednio do kategorii ustawowej eliminuje ponowne opisywanie wyłączeń. Nie zmienia zakresu podmiotowego opłaty ani jej wysokości; ewentualna zmiana stawek nastąpiłaby odrębnie, w następstwie uwagi nr 1.</w:t>
            </w:r>
          </w:p>
        </w:tc>
      </w:tr>
      <w:tr w:rsidR="0083621D" w:rsidRPr="0083621D" w14:paraId="6BACB5E6" w14:textId="77777777" w:rsidTr="00556DF1">
        <w:trPr>
          <w:cantSplit/>
          <w:jc w:val="center"/>
        </w:trPr>
        <w:tc>
          <w:tcPr>
            <w:tcW w:w="539" w:type="dxa"/>
          </w:tcPr>
          <w:p w14:paraId="670B4F7F" w14:textId="77777777" w:rsidR="0083621D" w:rsidRPr="0083621D" w:rsidRDefault="0083621D" w:rsidP="0083621D">
            <w:pPr>
              <w:spacing w:after="0" w:line="250" w:lineRule="auto"/>
              <w:jc w:val="center"/>
              <w:rPr>
                <w:rFonts w:ascii="Times New Roman" w:eastAsia="MS Mincho" w:hAnsi="Times New Roman" w:cs="Times New Roman"/>
                <w:kern w:val="0"/>
                <w:sz w:val="21"/>
                <w:szCs w:val="22"/>
                <w14:ligatures w14:val="none"/>
              </w:rPr>
            </w:pPr>
            <w:r w:rsidRPr="0083621D">
              <w:rPr>
                <w:rFonts w:ascii="Times New Roman" w:eastAsia="Arial" w:hAnsi="Times New Roman" w:cs="Times New Roman"/>
                <w:b/>
                <w:color w:val="000000"/>
                <w:kern w:val="0"/>
                <w:sz w:val="21"/>
                <w:szCs w:val="22"/>
                <w14:ligatures w14:val="none"/>
              </w:rPr>
              <w:t>6</w:t>
            </w:r>
          </w:p>
        </w:tc>
        <w:tc>
          <w:tcPr>
            <w:tcW w:w="1701" w:type="dxa"/>
          </w:tcPr>
          <w:p w14:paraId="37F59B7F"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 1</w:t>
            </w:r>
          </w:p>
        </w:tc>
        <w:tc>
          <w:tcPr>
            <w:tcW w:w="3430" w:type="dxa"/>
          </w:tcPr>
          <w:p w14:paraId="645B213D"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Omyłka pisarska w odesłaniu: „o której nowa”.</w:t>
            </w:r>
          </w:p>
        </w:tc>
        <w:tc>
          <w:tcPr>
            <w:tcW w:w="4989" w:type="dxa"/>
          </w:tcPr>
          <w:p w14:paraId="171713A7"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Zastąpić wyraz „nowa” wyrazem „mowa”.</w:t>
            </w:r>
          </w:p>
        </w:tc>
        <w:tc>
          <w:tcPr>
            <w:tcW w:w="4422" w:type="dxa"/>
          </w:tcPr>
          <w:p w14:paraId="6B59B61F" w14:textId="77777777" w:rsidR="0083621D" w:rsidRPr="0083621D" w:rsidRDefault="0083621D" w:rsidP="0083621D">
            <w:pPr>
              <w:spacing w:after="0" w:line="250" w:lineRule="auto"/>
              <w:rPr>
                <w:rFonts w:ascii="Times New Roman" w:eastAsia="MS Mincho" w:hAnsi="Times New Roman" w:cs="Times New Roman"/>
                <w:kern w:val="0"/>
                <w:sz w:val="21"/>
                <w:szCs w:val="22"/>
                <w14:ligatures w14:val="none"/>
              </w:rPr>
            </w:pPr>
            <w:r w:rsidRPr="0083621D">
              <w:rPr>
                <w:rFonts w:ascii="Times New Roman" w:eastAsia="Arial" w:hAnsi="Times New Roman" w:cs="Times New Roman"/>
                <w:color w:val="000000"/>
                <w:kern w:val="0"/>
                <w:sz w:val="21"/>
                <w:szCs w:val="22"/>
                <w14:ligatures w14:val="none"/>
              </w:rPr>
              <w:t>Korekta językowa bez zmiany treści normatywnej.</w:t>
            </w:r>
          </w:p>
        </w:tc>
      </w:tr>
    </w:tbl>
    <w:p w14:paraId="5BCB3575" w14:textId="77777777" w:rsidR="0083621D" w:rsidRPr="0083621D" w:rsidRDefault="0083621D" w:rsidP="0083621D">
      <w:pPr>
        <w:spacing w:before="120" w:after="60" w:line="250" w:lineRule="auto"/>
        <w:rPr>
          <w:rFonts w:ascii="Times New Roman" w:eastAsia="MS Mincho" w:hAnsi="Times New Roman" w:cs="Times New Roman"/>
          <w:kern w:val="0"/>
          <w:szCs w:val="28"/>
          <w14:ligatures w14:val="none"/>
        </w:rPr>
      </w:pPr>
      <w:r w:rsidRPr="0083621D">
        <w:rPr>
          <w:rFonts w:ascii="Times New Roman" w:eastAsia="Arial" w:hAnsi="Times New Roman" w:cs="Times New Roman"/>
          <w:b/>
          <w:color w:val="000000"/>
          <w:kern w:val="0"/>
          <w:sz w:val="22"/>
          <w:szCs w:val="28"/>
          <w14:ligatures w14:val="none"/>
        </w:rPr>
        <w:t xml:space="preserve">Podstawa analizy: </w:t>
      </w:r>
      <w:r w:rsidRPr="0083621D">
        <w:rPr>
          <w:rFonts w:ascii="Times New Roman" w:eastAsia="Arial" w:hAnsi="Times New Roman" w:cs="Times New Roman"/>
          <w:color w:val="000000"/>
          <w:kern w:val="0"/>
          <w:sz w:val="22"/>
          <w:szCs w:val="28"/>
          <w14:ligatures w14:val="none"/>
        </w:rPr>
        <w:t>projekt i uzasadnienie oraz OSR z 2 września 2026 r.; art. 91–100 ustawy z 3 lipca 2026 r. o systemach sztucznej inteligencji (Dz.U. poz. 1003); art. 92 ust. 1 Konstytucji RP.</w:t>
      </w:r>
    </w:p>
    <w:p w14:paraId="4F49C6A0" w14:textId="77777777" w:rsidR="0083621D" w:rsidRDefault="0083621D"/>
    <w:sectPr w:rsidR="0083621D" w:rsidSect="0083621D">
      <w:footerReference w:type="default" r:id="rId4"/>
      <w:pgSz w:w="16838" w:h="11906" w:orient="landscape"/>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C1EB" w14:textId="77777777" w:rsidR="0083621D" w:rsidRDefault="0083621D">
    <w:pPr>
      <w:pStyle w:val="Stopka"/>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755"/>
    <w:rsid w:val="000C1755"/>
    <w:rsid w:val="0017553F"/>
    <w:rsid w:val="00285100"/>
    <w:rsid w:val="002F272F"/>
    <w:rsid w:val="00577E54"/>
    <w:rsid w:val="006737BD"/>
    <w:rsid w:val="006A5590"/>
    <w:rsid w:val="0083621D"/>
    <w:rsid w:val="009C1A99"/>
    <w:rsid w:val="00C03E80"/>
    <w:rsid w:val="00C205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B9CB8"/>
  <w15:chartTrackingRefBased/>
  <w15:docId w15:val="{AC7BF507-86FA-4AF0-B336-F0ED01B3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C1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C1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C175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C175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C175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C175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C175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C175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C175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C175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C175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C175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C175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C175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C175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C175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C175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C1755"/>
    <w:rPr>
      <w:rFonts w:eastAsiaTheme="majorEastAsia" w:cstheme="majorBidi"/>
      <w:color w:val="272727" w:themeColor="text1" w:themeTint="D8"/>
    </w:rPr>
  </w:style>
  <w:style w:type="paragraph" w:styleId="Tytu">
    <w:name w:val="Title"/>
    <w:basedOn w:val="Normalny"/>
    <w:next w:val="Normalny"/>
    <w:link w:val="TytuZnak"/>
    <w:uiPriority w:val="10"/>
    <w:qFormat/>
    <w:rsid w:val="000C1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C175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C175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C175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C1755"/>
    <w:pPr>
      <w:spacing w:before="160"/>
      <w:jc w:val="center"/>
    </w:pPr>
    <w:rPr>
      <w:i/>
      <w:iCs/>
      <w:color w:val="404040" w:themeColor="text1" w:themeTint="BF"/>
    </w:rPr>
  </w:style>
  <w:style w:type="character" w:customStyle="1" w:styleId="CytatZnak">
    <w:name w:val="Cytat Znak"/>
    <w:basedOn w:val="Domylnaczcionkaakapitu"/>
    <w:link w:val="Cytat"/>
    <w:uiPriority w:val="29"/>
    <w:rsid w:val="000C1755"/>
    <w:rPr>
      <w:i/>
      <w:iCs/>
      <w:color w:val="404040" w:themeColor="text1" w:themeTint="BF"/>
    </w:rPr>
  </w:style>
  <w:style w:type="paragraph" w:styleId="Akapitzlist">
    <w:name w:val="List Paragraph"/>
    <w:basedOn w:val="Normalny"/>
    <w:uiPriority w:val="34"/>
    <w:qFormat/>
    <w:rsid w:val="000C1755"/>
    <w:pPr>
      <w:ind w:left="720"/>
      <w:contextualSpacing/>
    </w:pPr>
  </w:style>
  <w:style w:type="character" w:styleId="Wyrnienieintensywne">
    <w:name w:val="Intense Emphasis"/>
    <w:basedOn w:val="Domylnaczcionkaakapitu"/>
    <w:uiPriority w:val="21"/>
    <w:qFormat/>
    <w:rsid w:val="000C1755"/>
    <w:rPr>
      <w:i/>
      <w:iCs/>
      <w:color w:val="0F4761" w:themeColor="accent1" w:themeShade="BF"/>
    </w:rPr>
  </w:style>
  <w:style w:type="paragraph" w:styleId="Cytatintensywny">
    <w:name w:val="Intense Quote"/>
    <w:basedOn w:val="Normalny"/>
    <w:next w:val="Normalny"/>
    <w:link w:val="CytatintensywnyZnak"/>
    <w:uiPriority w:val="30"/>
    <w:qFormat/>
    <w:rsid w:val="000C1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C1755"/>
    <w:rPr>
      <w:i/>
      <w:iCs/>
      <w:color w:val="0F4761" w:themeColor="accent1" w:themeShade="BF"/>
    </w:rPr>
  </w:style>
  <w:style w:type="character" w:styleId="Odwoanieintensywne">
    <w:name w:val="Intense Reference"/>
    <w:basedOn w:val="Domylnaczcionkaakapitu"/>
    <w:uiPriority w:val="32"/>
    <w:qFormat/>
    <w:rsid w:val="000C1755"/>
    <w:rPr>
      <w:b/>
      <w:bCs/>
      <w:smallCaps/>
      <w:color w:val="0F4761" w:themeColor="accent1" w:themeShade="BF"/>
      <w:spacing w:val="5"/>
    </w:rPr>
  </w:style>
  <w:style w:type="paragraph" w:styleId="Stopka">
    <w:name w:val="footer"/>
    <w:basedOn w:val="Normalny"/>
    <w:link w:val="StopkaZnak"/>
    <w:uiPriority w:val="99"/>
    <w:semiHidden/>
    <w:unhideWhenUsed/>
    <w:rsid w:val="0083621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836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1047</Words>
  <Characters>6285</Characters>
  <Application>Microsoft Office Word</Application>
  <DocSecurity>0</DocSecurity>
  <Lines>52</Lines>
  <Paragraphs>14</Paragraphs>
  <ScaleCrop>false</ScaleCrop>
  <Company>COI</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Lewandowski Mariusz</dc:creator>
  <cp:keywords/>
  <dc:description/>
  <cp:lastModifiedBy>Lewandowski Mariusz</cp:lastModifiedBy>
  <cp:revision>4</cp:revision>
  <dcterms:created xsi:type="dcterms:W3CDTF">2026-09-17T05:10:00Z</dcterms:created>
  <dcterms:modified xsi:type="dcterms:W3CDTF">2026-09-17T05:17:00Z</dcterms:modified>
</cp:coreProperties>
</file>