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8B" w:rsidRPr="00407D8B" w:rsidRDefault="00407D8B" w:rsidP="00407D8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2a</w:t>
      </w:r>
    </w:p>
    <w:p w:rsidR="00407D8B" w:rsidRPr="00407D8B" w:rsidRDefault="00407D8B" w:rsidP="00407D8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„Programu o</w:t>
      </w:r>
      <w:r w:rsidRPr="00407D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pieki nad rodzinami wysokiego, dziedzicznie uwarunkowanego ryzyka zachorowania na nowotwory złośliwe – Moduł I – wczesne wykrywanie nowotworów złośliwych w rodzinach </w:t>
      </w:r>
      <w:r w:rsidRPr="00EB31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wysokiego, dziedzicznie uwarunkowanego ryzyka zachorowania na raka piersi i raka jajnika” na lata 201</w:t>
      </w:r>
      <w:r w:rsidR="00BF679E" w:rsidRPr="00EB31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EB31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-2021.</w:t>
      </w:r>
    </w:p>
    <w:p w:rsidR="00407D8B" w:rsidRPr="00407D8B" w:rsidRDefault="00407D8B" w:rsidP="00407D8B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zadania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>Opis: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Celem zadania jest prewencja oraz znaczne zwiększenie odsetka wczesnych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rozpoznań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 dzięki temu wyleczeń raka piersi i/lub jajnika w rodzinach wysokiego, dziedzicznie uwarunkowanego ryzyka zachorowania na te nowotwory, poprzez: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30%.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CHEK2 i PALB2.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Badania nosicielstwa mutacji w/w genów umożliwiają ustalenie lub wykluczenie wysokiego indywidualnego ryzyka wśród zdrowych krewnych nosicielek mutacji.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Objęcie kobiet z grupy wysokiego ryzyka stałą profilaktyczną opieką onkologiczną, programem corocznych badań ukierunkowanych na wczesne rozpoznanie raka piersi (samobadanie piersi, mammografia i USG, biopsja oraz - u nosicielek mutacji genu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BRCA1 i/lub 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badanie piersi metodą rezonansu magnetycznego) oraz raka jajnika i endometrium (USG ginekologiczne, oznaczanie CA-125).</w:t>
      </w:r>
    </w:p>
    <w:p w:rsidR="00407D8B" w:rsidRPr="00407D8B" w:rsidRDefault="00407D8B" w:rsidP="00407D8B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 udziałem lekarza specjalisty genetyka klinicznego, ginekologa-onkologa i/lub chirurga-onkologa/ chirurga plastycznego.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Rak piersi jest najczęstszą przyczyną zgonów kobiet pomiędzy </w:t>
      </w:r>
      <w:smartTag w:uri="urn:schemas-microsoft-com:office:smarttags" w:element="metricconverter">
        <w:smartTagPr>
          <w:attr w:name="ProductID" w:val="40 a"/>
        </w:smartTagPr>
        <w:r w:rsidRPr="00407D8B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>40 a</w:t>
        </w:r>
      </w:smartTag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60 rokiem życia. Silne dziedziczne uwarunkowania są przyczyną około 15%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piersi w Polsce. Pięciokrotnie lub nawet więcej razy zwiększone, w stosunku do populacyjnego, ryzyko zachorowania na ten nowotwór występuje w grupie około 500 000 – 800 000 kobiet w wieku 25-70 lat</w:t>
      </w:r>
      <w:r w:rsidRPr="00407D8B" w:rsidDel="00FC3D01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(nosicielki mutacji genów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BRCA1/2,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PALB2, CHEK2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rzadziej występujących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mutacji innych genów, z historią BC w rodzinie). Silne dziedziczne predyspozycje do jego rozwoju są jedną z głównych przyczyn umieralności kobiet do 60 r.ż. Komponenta dziedziczna występuje we wszystkich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zachorowaniach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piersi i raka jajnika, lecz poziomy względnego i bezwzględnego ryzyka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u nosicieli różnych typów mutacji genów predyspozycji do tych nowotworów (dotąd zidentyfikowanych prawdopodobnie tylko w części) są bardzo zróżnicowane.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Ponieważ dotąd została poznana tylko część genów predyspozycji - podstawą do rozpoznawania dziedzicznie uwarunkowanego ryzyka zachorowania na raki piersi i/lub jajnika jest najczęściej wywiad rodzinny. Podstawą do oszacowania poziomu ryzyka bezwzględnego i względnego jest liczba i wiek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raki piersi i/lub raki jajnika wśród krewnych, a także wystąpienie synchronicznych, a zwłaszcza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metachronicznych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drugich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jajnika lub raka drugiej piersi u probantki lub krewnych, które wcześniej zachorowały na raka.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Molekularne badanie pod kątem nosicielstwa mutacji w obrębie genów silnych predyspozycji do rozwoju nowotworów ma istotne znaczenie w identyfikowaniu kobiet o szczególnie wysokim ryzyku zachorowania.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grupy najwyższego ryzyka kwalifikowane są kobiety: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 rodzin, w których wystąpiły 3 lub więcej zachorowania na raka piersi i/lub jajnika wśród 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(włączając probantkę),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których – niezależnie od obciążenia rodzinnego - wykryto patogenną mutację w obrębie genów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PALB2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Wysokie ryzyko zachorowania na raka piersi i/lub jajnika (co najmniej 4-5-krotnie wyższe niż w całej populacji) występuje także: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wystąpiły 2 zachorowania na te nowotwory u probanta lub wśród 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(lub 2 zachorowania wśród krewnych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ze strony ojca) - w tym zwłaszcza, gdy przynajmniej u jednej chorej rozpoznano raka jajnika, a jedno zachorowanie wystąpiło przed 50 r.ż.,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rozpoznano obustronnego raka piersi (krewni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przed 40 r. ż. (krewni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),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 rodzinach, w których stwierdzono raka piersi u mężczyzny (krewni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).</w:t>
      </w:r>
    </w:p>
    <w:p w:rsidR="00407D8B" w:rsidRPr="00407D8B" w:rsidRDefault="00407D8B" w:rsidP="00407D8B">
      <w:pPr>
        <w:numPr>
          <w:ilvl w:val="0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Testy DNA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1.1. Podstawowe badania przesiewowe w kierunku 5 najczęstszych mutacji w populacji polskiej w genie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Do badań w kierunku nosicielstwa pięciu najczęstszych mutacji w genie BRCA1 - 5382insC (c.5266dupC); C61G (c.181T&gt;G); 4153delA (c.4035delA), 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185delAG (c.66_67delAG), 3819del 5 (c.3700_3704 del GTAAA) kwalifikuje się: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wszystkie chore na raka jajnika/jajowodu/otrzewnej,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wszystkie chore, u których rozpoznano raka piersi </w:t>
      </w:r>
    </w:p>
    <w:p w:rsidR="00407D8B" w:rsidRPr="00407D8B" w:rsidRDefault="00407D8B" w:rsidP="00407D8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osób z rakiem piersi i/lub jajnika w przypadku, gdy mutacja markerowa nie została ustalona i brak możliwości rozpoczęcia diagnostyki od osoby chorej na raka,</w:t>
      </w:r>
    </w:p>
    <w:p w:rsidR="00407D8B" w:rsidRPr="00407D8B" w:rsidRDefault="00407D8B" w:rsidP="00EB31B3">
      <w:pPr>
        <w:suppressAutoHyphens/>
        <w:spacing w:after="0" w:line="360" w:lineRule="auto"/>
        <w:ind w:left="360" w:hanging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1.2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. 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Podstawowe badania przesiewowe w kierunku 3 najczęstszych mutacji skracających białko w populacji polskiej w genie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CHEK2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(1100delC; IVS+1G&gt;A; del 5395)  oraz 2 mutacji w genie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PALB2 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(c.509_510 </w:t>
      </w:r>
      <w:proofErr w:type="spellStart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delGA</w:t>
      </w:r>
      <w:proofErr w:type="spellEnd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; c.172_175 </w:t>
      </w:r>
      <w:proofErr w:type="spellStart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delTTGT</w:t>
      </w:r>
      <w:proofErr w:type="spellEnd"/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).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badań kwalifikuje się: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wszystkie chore z rakiem piersi;</w:t>
      </w:r>
    </w:p>
    <w:p w:rsidR="00407D8B" w:rsidRPr="00407D8B" w:rsidRDefault="00407D8B" w:rsidP="00407D8B">
      <w:pPr>
        <w:suppressAutoHyphens/>
        <w:spacing w:after="0" w:line="36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- krewnych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osób z rakiem piersi z rodzin spełniających kryteria wysokiego i najwyższego ryzyka raka piersi.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II. Badanie w kierunku nosicielstwa mutacji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BRCA1, BRCA2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techniką sekwencjonowania nowej generacji (NGS)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Aktualnie wysoki koszt tego badania uzasadnia włączenie do tego badania grupy osób o najwyższym prawdopodobieństwie wykrycia mutacji.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Jako punkt odcięcia należy przyjąć prawdopodobieństwo wykrycia mutacji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BRCA1, BRCA2 </w:t>
      </w:r>
      <w:r w:rsidR="00E3672D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powyżej </w:t>
      </w:r>
      <w:r w:rsidR="0026079A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15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%.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Kryteria kwalifikacji do NGS: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Badanie wykonuje się 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 xml:space="preserve">wyłącznie u chorych na raka piersi i/ lub jajnika, u których nie wykryto żadnej z ww. 5 mutacji genu </w:t>
      </w:r>
      <w:r w:rsidRPr="00407D8B">
        <w:rPr>
          <w:rFonts w:ascii="Times New Roman" w:eastAsia="SimSun" w:hAnsi="Times New Roman" w:cs="Times New Roman"/>
          <w:b/>
          <w:i/>
          <w:kern w:val="2"/>
          <w:sz w:val="24"/>
          <w:szCs w:val="24"/>
          <w:u w:val="single"/>
          <w:lang w:eastAsia="ar-SA"/>
        </w:rPr>
        <w:t>BRCA1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, pod warunkiem, że</w:t>
      </w: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lub raka jajnika i posiada ona krewnego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0 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i/lub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u którego rozpoznano raka piersi i/ lub raka jajnika, a przynajmniej jedno z tych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wystąpiło przed 50 rokiem życia (spełnione kryteria kliniczno-rodowodowe zespołu dziedzicznego raka piersi i/ lub raka jajnika),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chorej rozpoznano raka piersi przed 50 rokiem życia lub raka jajnika w dowolnym wieku i posiada ona krewnego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i/lub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u którego rozpoznano raka piersi (rak piersi u mężczyzny) i/lub raka jajnika,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u tej samej chorej rozpoznano raka piersi i raka jajnika lub obustronnego raka piersi w tym ≥1 poniżej 50 r.ż.,</w:t>
      </w:r>
    </w:p>
    <w:p w:rsidR="00407D8B" w:rsidRPr="00407D8B" w:rsidRDefault="00407D8B" w:rsidP="00407D8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u chorej rozpoznano raka jajnika i posiada ona przynajmniej jedną krewną, u której raka piersi wykryto przed 50 rokiem życia lub u której rozpoznano raka jajnika.</w:t>
      </w:r>
    </w:p>
    <w:p w:rsidR="00407D8B" w:rsidRPr="00407D8B" w:rsidRDefault="00407D8B" w:rsidP="00407D8B">
      <w:pPr>
        <w:numPr>
          <w:ilvl w:val="0"/>
          <w:numId w:val="6"/>
        </w:numPr>
        <w:suppressAutoHyphens/>
        <w:spacing w:after="0" w:line="360" w:lineRule="auto"/>
        <w:ind w:left="567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Badania krewnych w kierunku nosicielstwa zidentyfikowanej w rodzinie mutacji najwyższego/wysokiego ryzyka. </w:t>
      </w:r>
    </w:p>
    <w:p w:rsidR="00407D8B" w:rsidRPr="00407D8B" w:rsidRDefault="00407D8B" w:rsidP="00407D8B">
      <w:p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Plan działań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Najlepsze możliwości identyfikowania rodzin wysokiego ryzyka stwarza systematyczne zbieranie wywiadów rodzinnych od kobiet w trakcie leczenia raka piersi i/lub raka jajnika. Jest to dodatkowo uzasadnione tym, że badania nosicielstwa mutacji genów 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/</w:t>
      </w:r>
      <w:r w:rsidRPr="00407D8B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należy w miarę możliwości zaczynać od chorych probantek. Dlatego do programu powinny być włączone w pierwszej kolejności poradnie genetyczne współpracujące ze specjalistycznymi placówkami onkologicznymi, w których leczy się dużą liczbę chorych na raka piersi i raka jajnika.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Dodatkowe możliwości tworzy otwarte poradnictwo, współpraca z lekarzami rodzinnymi i innych specjalności oraz współpraca z placówkami realizującymi Program Profilaktyki Raka Piersi, finansowany przez Narodowy Fundusz Zdrowia.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Konieczne jest zapewnienie opieki nosicielkom mutacji z rodzin, w których wysokie ryzyko zachorowania potwierdzono w latach poprzednich realizacji „Programu opieki nad rodzinami wysokiego, dziedzicznie uwarunkowanego ryzyka zachorowania na nowotwory złośliwe”.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Do rejestru rodzin najwyższego i wysokiego ryzyka, kwalifikuje lekarz poradni na podstawie dokładnego wywiadu rodzinnego (dane o wszystkich krewnych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 xml:space="preserve">0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– w tym tych, którzy nie zachorowali na nowotwory, wiek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typ/umiejscowienie nowotworów wśród tych krewnych; wiek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typ/umiejscowienie nowotworów u wszystkich krewnych 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stopni).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badania nosicielstwa mutacji kieruje lekarz poradni. Badania w kierunku nosicielstwa mutacji wymagają pisemnej zgody probantek i zachowania zasad poufności.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Badania należy rozpocząć w miarę możliwości od probantki, u której rozpoznano raka piersi lub jajnika. W przypadku stwierdzenia nosicielstwa mutacji należy – za pośrednictwem probantki - stworzyć możliwość badania jej krewnych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II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o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i ewentualnie dalszych stopni, kierując się danymi z wywiadu rodzinnego. Takie samo postępowanie obowiązuje, jeżeli nosicielstwo mutacji rozpoznano u zdrowej probantki.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Pozytywny wynik badania w kierunku nosicielstwa mutacji wymaga potwierdzenia z ponownie pobranej próbki krwi. Zaleca się podobne postępowanie w przypadku wyników negatywnych.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programu badań ukierunkowanych na wcześniejsze wykrycie raków piersi i jajnika – obok nosicielek mutacji i ich obciążonych krewnych - włącza się również probantki i ich krewnych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z rodzin z obciążonym wywiadem, u których nie znaleziono mutacji. Krewni I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eastAsia="ar-SA"/>
        </w:rPr>
        <w:t>0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probantek –  nosicielek mutacji, którzy nie zdecydowali się na poddanie badaniom molekularnym, powinni być również włączeni do programu.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Nadzorem onkologicznym powinny być również objęte osoby z potwierdzoną mutacją z rodzin wysokiego ryzyka, wcześniej leczone z powodu raka piersi lub raka jajnika – ze względu na wysokie ryzyko zachorowania na drugi nowotwór (rak drugiej piersi, rak jajnika).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Obligatoryjnymi elementami programów opieki nad rodzinami najwyższego i wysokiego ryzyka są: 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Samokontrola piersi raz w miesiącu po miesiączce i jeden raz w roku badanie piersi przez lekarza.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Coroczne badanie mammograficzne od 35 r.ż. (lub od 30 r.ż. w rodzinach z rakami piersi zdiagnozowanymi przed 40 r.ż.) i/ lub USG piersi od 25-30 roku życia. 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Coroczne badanie USG narządu rodnego i markera CA125 od 30-35 r.ż.</w:t>
      </w:r>
    </w:p>
    <w:p w:rsidR="00407D8B" w:rsidRPr="00407D8B" w:rsidRDefault="00407D8B" w:rsidP="00407D8B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Dodatkowo u kobiet z mutacją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BRCA1/2 i PALB2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do 30 r.ż. obrazowe badanie piersi co 6 miesięcy: badanie rezonansu magnetycznego na przemian z badaniem USG. </w:t>
      </w:r>
    </w:p>
    <w:p w:rsidR="00407D8B" w:rsidRPr="00407D8B" w:rsidRDefault="00407D8B" w:rsidP="00407D8B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07D8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Dodatkowo u kobiet z mutacją </w:t>
      </w:r>
      <w:r w:rsidRPr="00407D8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BRCA1/2 i PALB2 </w:t>
      </w:r>
      <w:r w:rsidRPr="00407D8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 30 r.ż. obrazowe badanie piersi co 6 miesięcy: badanie rezonansu magnetycznego na przemian z badaniem mammograficznym i/lub USG piersi.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W rodzinach najwyższego ryzyka, zwłaszcza tych, w których wystąpiły wcześniej zachorowania na raka jajnika i w przypadkach udokumentowanego nosicielstwa mutacji, należy przedstawić probantkom opcję prewencyjnej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adneksektomii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(ewentualnie także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histerektomii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) w miarę możliwości już pomiędzy 35-40 rokiem życia. Zabieg ten redukuje u nosicielek mutacji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lub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BRCA2 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o ponad 60% ryzyko zachorowania na raka piersi (w tym także ryzyko zachorowania na raka drugiej piersi) i w przeważającej części przypadków zapobiega rozwojowi raka jajnika (wyjątkowo ten nowotwór może rozwinąć się z otrzewnej). Uzasadnieniem do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histerekomii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jest częste występowanie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metachronicznych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zachorowań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błony śluzowej trzonu macicy. Późniejsza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adneksektomia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, mniej skuteczna w zapobieganiu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zachorowaniom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piersi, zapobiega jednak </w:t>
      </w:r>
      <w:proofErr w:type="spellStart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zachorowaniom</w:t>
      </w:r>
      <w:proofErr w:type="spellEnd"/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raka jajnika, rozpoznawanym u większości kobiet z rodzin obciążonych po 40 roku życia, a nierzadko nawet w 7 i 8 dekadzie życia. 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U nosicielek mutacji </w:t>
      </w:r>
      <w:r w:rsidRPr="00407D8B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BRCA1/BRCA2</w:t>
      </w:r>
      <w:r w:rsidRPr="00407D8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należy rozważyć opcje profilaktycznej obustronnej podskórnej mastektomii z jednoczesną rekonstrukcją piersi.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 ramach programu finansowane są: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lastRenderedPageBreak/>
        <w:t xml:space="preserve">Wprowadzenie do rejestru - zidentyfikowanie osób najwyższego/wysokiego ryzyka lub osoby spełniającej zalecane kryteria kwalifikacji do testów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BRCA1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i/lub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BRCA2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;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PALB2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i 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, pełny opis obciążenia rodzinnego, koordynacja działań podczas identyfikacji nowych osób z grup wysokiego ryzyka (w tym koszt pracy lekarza i personelu pomocniczego).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nosicielstwa mutacji genów BRCA1 i/lub BRCA2, CHEK2, PALB2.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Konsultacja lekarska – wydanie wyniku konsultacji genetycznej wraz z edukacją pacjentów.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poradnictwa genetycznego u pacjentów u których wykonano badanie NGS.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badania NGS u wytypowanych chorych z rakiem piersi/jajnika.</w:t>
      </w:r>
    </w:p>
    <w:p w:rsidR="00407D8B" w:rsidRPr="00407D8B" w:rsidRDefault="00407D8B" w:rsidP="00407D8B">
      <w:pPr>
        <w:numPr>
          <w:ilvl w:val="0"/>
          <w:numId w:val="10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identyfikacji krytycznej mutacji u krewnych probanta.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Koszt opieki nad pacjentami: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Coroczna konsultacja lekarska, aktualizacja danych rodowodowo-klinicznych, zlecenie badań kontrolnych, badanie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palpacyjne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piersi przez lekarza, prowadzenie dokumentacji medycznej oraz koordynacja opieki (w tym koszt pracy lekarza i personelu pomocniczego).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badanie mammograficzne i/ lub USG piersi. 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Biopsja aspiracyjna cienkoigłowa (BAC) piersi pod kontrolą USG.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Biopsja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gruboigłowa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piersi pod kontrolą USG (u pacjentek ze zmianami w piersi typu BI-RADS 3,4,5).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Ocena receptorów ER, PR, HER2, Ki67 w przypadku diagnozy raka piersi w biopsji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gruboigłowej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. 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Badanie USG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przezpochwowe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Badanie CA125 w surowicy krwi.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Coroczne USG tarczycy (u nosicielek mutacji genu </w:t>
      </w:r>
      <w:r w:rsidRPr="00407D8B">
        <w:rPr>
          <w:rFonts w:ascii="Times New Roman" w:eastAsia="SimSun" w:hAnsi="Times New Roman" w:cs="Times New Roman"/>
          <w:bCs/>
          <w:i/>
          <w:kern w:val="2"/>
          <w:sz w:val="24"/>
          <w:szCs w:val="24"/>
          <w:lang w:eastAsia="ar-SA"/>
        </w:rPr>
        <w:t>CHEK2</w:t>
      </w: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od 20.r.ż.).</w:t>
      </w:r>
    </w:p>
    <w:p w:rsidR="00407D8B" w:rsidRPr="00407D8B" w:rsidRDefault="00407D8B" w:rsidP="00407D8B">
      <w:pPr>
        <w:numPr>
          <w:ilvl w:val="0"/>
          <w:numId w:val="9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Wizyta konsultacyjna - omówienie wyników badań kontrolnych.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Dodatkowe koszty opieki – nadzoru onkologicznego nad nosicielami mutacji.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Dodatkowa wizyta konsultacyjna lekarska - koordynacja opieki (w tym koszt pracy lekarza i personelu pomocniczego).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badanie piersi metodą rezonansu magnetycznego.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Interwałowe USG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przezpochwowe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badanie CA125 w surowicy krwi.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Interwałowe USG piersi (tylko u pacjentek ze zmianą opisaną w MRI piersi do dalszej diagnostyki).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Interwałowa biopsja piersi pod kontrolą USG (biopsja aspiracyjna cienkoigłowa / biopsja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gruboigłowa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407D8B" w:rsidRDefault="00407D8B" w:rsidP="00407D8B">
      <w:pPr>
        <w:numPr>
          <w:ilvl w:val="0"/>
          <w:numId w:val="8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lastRenderedPageBreak/>
        <w:t xml:space="preserve">Badania immunohistochemiczne w przypadku diagnozy raka piersi w biopsji </w:t>
      </w:r>
      <w:proofErr w:type="spellStart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gruboigłowej</w:t>
      </w:r>
      <w:proofErr w:type="spellEnd"/>
      <w:r w:rsidRPr="00407D8B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407D8B" w:rsidRPr="00A3283D" w:rsidRDefault="00A3283D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31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Maksymalne ceny jednostkowe proponowane przez Ministra Zdrowia dla poszczególnych zadań: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A3283D" w:rsidRPr="00A3283D" w:rsidTr="00A3283D">
        <w:trPr>
          <w:trHeight w:val="413"/>
        </w:trPr>
        <w:tc>
          <w:tcPr>
            <w:tcW w:w="7225" w:type="dxa"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</w:p>
        </w:tc>
        <w:tc>
          <w:tcPr>
            <w:tcW w:w="1837" w:type="dxa"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Maksymalna cena jednostkowa</w:t>
            </w:r>
            <w:r w:rsidR="00A87223">
              <w:rPr>
                <w:rFonts w:ascii="Times New Roman" w:eastAsia="Times New Roman" w:hAnsi="Times New Roman" w:cs="Times New Roman"/>
                <w:lang w:eastAsia="pl-PL"/>
              </w:rPr>
              <w:t xml:space="preserve"> (w zł)</w:t>
            </w:r>
          </w:p>
        </w:tc>
      </w:tr>
      <w:tr w:rsidR="00A3283D" w:rsidRPr="00A3283D" w:rsidTr="00A87223">
        <w:trPr>
          <w:trHeight w:val="1102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BRCA1 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i/lub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BRCA2, PALB2/CHEK2, 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wprowadzenie do rejestru; koordynacja działań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118,00</w:t>
            </w:r>
          </w:p>
        </w:tc>
      </w:tr>
      <w:tr w:rsidR="00A3283D" w:rsidRPr="00A3283D" w:rsidTr="00A87223">
        <w:trPr>
          <w:trHeight w:val="83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270,00</w:t>
            </w:r>
          </w:p>
        </w:tc>
      </w:tr>
      <w:tr w:rsidR="00A3283D" w:rsidRPr="00A3283D" w:rsidTr="00A87223">
        <w:trPr>
          <w:trHeight w:val="422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koszty badania przesiewowego 5 mutacji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CHEK2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PALB2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350,00</w:t>
            </w:r>
          </w:p>
        </w:tc>
      </w:tr>
      <w:tr w:rsidR="00A3283D" w:rsidRPr="00A3283D" w:rsidTr="00A87223">
        <w:trPr>
          <w:trHeight w:val="556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koszt badania rodzinnej mutacji u krewnych probanta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339,00</w:t>
            </w:r>
          </w:p>
        </w:tc>
      </w:tr>
      <w:tr w:rsidR="00A3283D" w:rsidRPr="00A3283D" w:rsidTr="00A87223">
        <w:trPr>
          <w:trHeight w:val="692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wizyta lekarska z wydaniem wyniku konsultacj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genetycznej wraz z edukacj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ą 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pacjenta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50,00</w:t>
            </w:r>
          </w:p>
        </w:tc>
      </w:tr>
      <w:tr w:rsidR="00A3283D" w:rsidRPr="00A3283D" w:rsidTr="00A87223">
        <w:trPr>
          <w:trHeight w:val="829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koszt poradnictwa  genetycznego u chorych, u których wykonano badanie NGS (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BRCA1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BRCA2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) - konsultacja genetyczna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3283D" w:rsidRPr="00A3283D" w:rsidTr="00A87223">
        <w:trPr>
          <w:trHeight w:val="841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koszty badania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BRCA1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BRCA2</w:t>
            </w: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bookmarkStart w:id="0" w:name="_GoBack"/>
            <w:bookmarkEnd w:id="0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859,00</w:t>
            </w:r>
          </w:p>
        </w:tc>
      </w:tr>
      <w:tr w:rsidR="00A3283D" w:rsidRPr="00A3283D" w:rsidTr="00A87223">
        <w:trPr>
          <w:trHeight w:val="70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coroczna konsultacja, skierowanie do badań kontrolnych; badanie piersi przez lekarza; koszt koordynacji opieki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3283D" w:rsidRPr="00A3283D" w:rsidTr="00A87223">
        <w:trPr>
          <w:trHeight w:val="450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mammografia i/lub USG piersi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120,00</w:t>
            </w:r>
          </w:p>
        </w:tc>
      </w:tr>
      <w:tr w:rsidR="00A3283D" w:rsidRPr="00A3283D" w:rsidTr="00A87223">
        <w:trPr>
          <w:trHeight w:val="360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BAC piersi pod kontrolą USG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3283D" w:rsidRPr="00A3283D" w:rsidTr="00A87223">
        <w:trPr>
          <w:trHeight w:val="408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biopsja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gruboigłowa</w:t>
            </w:r>
            <w:proofErr w:type="spellEnd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piersi pod kontrolą USG dla zmian BI-RADS 3,4,5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350,00</w:t>
            </w:r>
          </w:p>
        </w:tc>
      </w:tr>
      <w:tr w:rsidR="00A3283D" w:rsidRPr="00A3283D" w:rsidTr="00A87223">
        <w:trPr>
          <w:trHeight w:val="839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ocena receptorów ER, PR, HER2 i Ki67 w przypadku diagnozy raka piersi w biopsji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gruboigłowej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300,00</w:t>
            </w:r>
          </w:p>
        </w:tc>
      </w:tr>
      <w:tr w:rsidR="00A3283D" w:rsidRPr="00A3283D" w:rsidTr="00A87223">
        <w:trPr>
          <w:trHeight w:val="426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USG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115,00</w:t>
            </w:r>
          </w:p>
        </w:tc>
      </w:tr>
      <w:tr w:rsidR="00A3283D" w:rsidRPr="00A3283D" w:rsidTr="00A87223">
        <w:trPr>
          <w:trHeight w:val="480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badanie CA125 w surowicy krwi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30,00</w:t>
            </w:r>
          </w:p>
        </w:tc>
      </w:tr>
      <w:tr w:rsidR="00A3283D" w:rsidRPr="00A3283D" w:rsidTr="00A87223">
        <w:trPr>
          <w:trHeight w:val="480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USG tarczycy u nosicielek mutacji </w:t>
            </w:r>
            <w:r w:rsidRPr="00A3283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CHEK2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114,00</w:t>
            </w:r>
          </w:p>
        </w:tc>
      </w:tr>
      <w:tr w:rsidR="00A3283D" w:rsidRPr="00A3283D" w:rsidTr="00A87223">
        <w:trPr>
          <w:trHeight w:val="480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BAC tarczycy pod kontrolą USG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3283D" w:rsidRPr="00A3283D" w:rsidTr="00A87223">
        <w:trPr>
          <w:trHeight w:val="49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wizyta konsultacyjna lekarska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45,00</w:t>
            </w:r>
          </w:p>
        </w:tc>
      </w:tr>
      <w:tr w:rsidR="00A3283D" w:rsidRPr="00A3283D" w:rsidTr="00A87223">
        <w:trPr>
          <w:trHeight w:val="418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interwałowe badanie piersi metodą rezonansu magnetycznego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700,00</w:t>
            </w:r>
          </w:p>
        </w:tc>
      </w:tr>
      <w:tr w:rsidR="00A3283D" w:rsidRPr="00A3283D" w:rsidTr="00A87223">
        <w:trPr>
          <w:trHeight w:val="55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dodatkowa wizyta konsultacyjna; koszt koordynacji opieki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75,00</w:t>
            </w:r>
          </w:p>
        </w:tc>
      </w:tr>
      <w:tr w:rsidR="00A3283D" w:rsidRPr="00A3283D" w:rsidTr="00A87223">
        <w:trPr>
          <w:trHeight w:val="42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interwałowe badanie USG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115,00</w:t>
            </w:r>
          </w:p>
        </w:tc>
      </w:tr>
      <w:tr w:rsidR="00A3283D" w:rsidRPr="00A3283D" w:rsidTr="00A87223">
        <w:trPr>
          <w:trHeight w:val="42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interwałowe badanie CA125 w surowicy krwi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30,00</w:t>
            </w:r>
          </w:p>
        </w:tc>
      </w:tr>
      <w:tr w:rsidR="00A3283D" w:rsidRPr="00A3283D" w:rsidTr="00A87223">
        <w:trPr>
          <w:trHeight w:val="700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interwałowe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usg</w:t>
            </w:r>
            <w:proofErr w:type="spellEnd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piersi (tylko u pacjentek ze zmiana opisaną w MRI piersi do dalszej diagnostyki)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114,00</w:t>
            </w:r>
          </w:p>
        </w:tc>
      </w:tr>
      <w:tr w:rsidR="00A3283D" w:rsidRPr="00A3283D" w:rsidTr="00A87223">
        <w:trPr>
          <w:trHeight w:val="38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interwałowe BAC piersi pod kontrolą USG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A3283D" w:rsidRPr="00A3283D" w:rsidTr="00A87223">
        <w:trPr>
          <w:trHeight w:val="719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interwałowa biopsja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gruboigłowa</w:t>
            </w:r>
            <w:proofErr w:type="spellEnd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 piersi pod kontrolą USG dla zmian BI-RADS 3,4,5</w:t>
            </w:r>
          </w:p>
        </w:tc>
        <w:tc>
          <w:tcPr>
            <w:tcW w:w="1837" w:type="dxa"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350,00</w:t>
            </w:r>
          </w:p>
        </w:tc>
      </w:tr>
      <w:tr w:rsidR="00A3283D" w:rsidRPr="00A3283D" w:rsidTr="00A87223">
        <w:trPr>
          <w:trHeight w:val="705"/>
        </w:trPr>
        <w:tc>
          <w:tcPr>
            <w:tcW w:w="7225" w:type="dxa"/>
            <w:hideMark/>
          </w:tcPr>
          <w:p w:rsidR="00A3283D" w:rsidRPr="00A3283D" w:rsidRDefault="00A3283D" w:rsidP="00A3283D">
            <w:pPr>
              <w:spacing w:line="360" w:lineRule="atLeast"/>
              <w:ind w:right="-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 xml:space="preserve">badania immunohistochemiczne (ER, PR, HER2 i Ki67) w przypadku diagnozy raka piersi w biopsji </w:t>
            </w:r>
            <w:proofErr w:type="spellStart"/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gruboigłowej</w:t>
            </w:r>
            <w:proofErr w:type="spellEnd"/>
          </w:p>
        </w:tc>
        <w:tc>
          <w:tcPr>
            <w:tcW w:w="1837" w:type="dxa"/>
            <w:noWrap/>
            <w:vAlign w:val="center"/>
            <w:hideMark/>
          </w:tcPr>
          <w:p w:rsidR="00A3283D" w:rsidRPr="00A3283D" w:rsidRDefault="00A3283D" w:rsidP="00A87223">
            <w:pPr>
              <w:spacing w:line="36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3283D">
              <w:rPr>
                <w:rFonts w:ascii="Times New Roman" w:eastAsia="Times New Roman" w:hAnsi="Times New Roman" w:cs="Times New Roman"/>
                <w:lang w:eastAsia="pl-PL"/>
              </w:rPr>
              <w:t>300,00</w:t>
            </w:r>
          </w:p>
        </w:tc>
      </w:tr>
    </w:tbl>
    <w:p w:rsidR="00A3283D" w:rsidRDefault="00A3283D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D8B" w:rsidRPr="00DF7EDE" w:rsidRDefault="00407D8B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F7E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biorących udział w projekcie o celach programu,</w:t>
      </w:r>
    </w:p>
    <w:p w:rsidR="00407D8B" w:rsidRPr="003A3198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</w:t>
      </w:r>
      <w:r w:rsidR="00DF7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klauzuli informacyjnej </w:t>
      </w:r>
      <w:r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F7EDE"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>godnie z</w:t>
      </w:r>
      <w:r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załącznikiem nr </w:t>
      </w:r>
      <w:r w:rsidR="003A3198"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B6FA4"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og</w:t>
      </w:r>
      <w:r w:rsidR="00E9270A"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3B6FA4"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>oszenia</w:t>
      </w:r>
      <w:r w:rsidRPr="003A31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załączenia zgody do karty pacjenta, w której znajduje się rodowód,</w:t>
      </w:r>
    </w:p>
    <w:p w:rsidR="00407D8B" w:rsidRPr="00B443BF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genetyczne, finansowane w ramach niniejszego programu muszą być realizowane w laboratoriach posiadających uprawnienia do realizacji takich badań </w:t>
      </w:r>
      <w:r w:rsidRPr="00B443BF">
        <w:rPr>
          <w:rFonts w:ascii="Times New Roman" w:eastAsia="Times New Roman" w:hAnsi="Times New Roman" w:cs="Times New Roman"/>
          <w:sz w:val="24"/>
          <w:szCs w:val="24"/>
          <w:lang w:eastAsia="pl-PL"/>
        </w:rPr>
        <w:t>i zarejestrowanych w Krajowej Izbie Diagnostów Laboratoryjnych</w:t>
      </w:r>
    </w:p>
    <w:p w:rsidR="00407D8B" w:rsidRPr="00B443BF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oczekiwania na wyniki badań NGS nie powinien przekraczać 8 tygodni </w:t>
      </w:r>
    </w:p>
    <w:p w:rsidR="00407D8B" w:rsidRPr="00B443BF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do rozliczenia kosztów z NGS musi zawierać opis wykrytej mutacji (wg HGVS, </w:t>
      </w:r>
      <w:proofErr w:type="spellStart"/>
      <w:r w:rsidRPr="00B443BF">
        <w:rPr>
          <w:rFonts w:ascii="Times New Roman" w:eastAsia="Times New Roman" w:hAnsi="Times New Roman" w:cs="Times New Roman"/>
          <w:sz w:val="24"/>
          <w:szCs w:val="24"/>
          <w:lang w:eastAsia="pl-PL"/>
        </w:rPr>
        <w:t>ClinVar</w:t>
      </w:r>
      <w:proofErr w:type="spellEnd"/>
      <w:r w:rsidRPr="00B443BF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3BF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udzielenia pisemnej i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osobie biorącej udział w programie</w:t>
      </w:r>
      <w:r w:rsidRPr="00407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rodowodowymi i onkologicznymi pacjenta/osoby chorej na raka w rodzinie, opis rodowodu, interpretację wyniku badania genetycznego, poradę dla rodziny oraz wskazana powinna być współpracująca placówka onkologiczna, gdzie biorący udział w programie wykona badania profilaktyczne. Porada genetyczna dla nosicieli mutacji musi zostać opracowana przez specjalistę z zakresu genetyki klinicznej. </w:t>
      </w:r>
    </w:p>
    <w:p w:rsidR="00407D8B" w:rsidRPr="00407D8B" w:rsidRDefault="00407D8B" w:rsidP="00407D8B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przez lekarza specjalistę genetyka klinicznego lub lekarza specjalistę z zakresu onkologii (lub przez lekarza, który ukończył pierwszy rok specjalizacji </w:t>
      </w:r>
      <w:r w:rsidR="00DF7EDE">
        <w:rPr>
          <w:rFonts w:ascii="Times New Roman" w:eastAsia="Times New Roman" w:hAnsi="Times New Roman" w:cs="Times New Roman"/>
          <w:sz w:val="24"/>
          <w:szCs w:val="24"/>
          <w:lang w:eastAsia="pl-PL"/>
        </w:rPr>
        <w:t>w tej dziedzinie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uzyskał potwierdzenie przez kierownika specjalizacji wiedzy i umiejętności umożliwiających samodzielną pracę w poradni specjalistycznej), karty osoby biorącej udział w programie z wyznaczonymi terminami kontrolnych badań, odnotowywaniem wyników badań.</w:t>
      </w:r>
    </w:p>
    <w:p w:rsidR="00407D8B" w:rsidRPr="00407D8B" w:rsidRDefault="00407D8B" w:rsidP="00407D8B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407D8B" w:rsidRPr="00407D8B" w:rsidRDefault="00407D8B" w:rsidP="00407D8B">
      <w:pPr>
        <w:numPr>
          <w:ilvl w:val="0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dostępność do lekarza, specjalisty z zakresu genetyki klinicznej dla osób ze stwierdzona mutacją - w granicach województwa, właściwego dla danej siedziby Realizatora,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407D8B" w:rsidRPr="00407D8B" w:rsidRDefault="00407D8B" w:rsidP="00407D8B">
      <w:pPr>
        <w:numPr>
          <w:ilvl w:val="0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407D8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407D8B" w:rsidRPr="00407D8B" w:rsidRDefault="00407D8B" w:rsidP="00407D8B">
      <w:pPr>
        <w:numPr>
          <w:ilvl w:val="1"/>
          <w:numId w:val="1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stałej profilaktycznej opieki genetyczno-onkologicznej dla osób o podwyższonym ryzyku zachorowania na raka piersi i jajnika, a w tym prowadzenie dokumentacji w zakresie objętym programem,</w:t>
      </w:r>
    </w:p>
    <w:p w:rsidR="00407D8B" w:rsidRPr="00407D8B" w:rsidRDefault="00407D8B" w:rsidP="00E9270A">
      <w:pPr>
        <w:numPr>
          <w:ilvl w:val="1"/>
          <w:numId w:val="11"/>
        </w:numPr>
        <w:spacing w:after="120" w:line="360" w:lineRule="atLeast"/>
        <w:ind w:left="1434" w:right="-10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407D8B" w:rsidRPr="00407D8B" w:rsidRDefault="00407D8B" w:rsidP="00407D8B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407D8B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097C1B3F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95728"/>
    <w:multiLevelType w:val="hybridMultilevel"/>
    <w:tmpl w:val="F2AC54FC"/>
    <w:lvl w:ilvl="0" w:tplc="BEB477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9265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C943A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27D3DD0"/>
    <w:multiLevelType w:val="hybridMultilevel"/>
    <w:tmpl w:val="3EB4CF4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01672CD"/>
    <w:multiLevelType w:val="hybridMultilevel"/>
    <w:tmpl w:val="CD5AA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DC760B"/>
    <w:multiLevelType w:val="hybridMultilevel"/>
    <w:tmpl w:val="ECD684AE"/>
    <w:lvl w:ilvl="0" w:tplc="C2802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36423"/>
    <w:multiLevelType w:val="hybridMultilevel"/>
    <w:tmpl w:val="BA2E0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8B"/>
    <w:rsid w:val="001C6640"/>
    <w:rsid w:val="0026079A"/>
    <w:rsid w:val="003A3198"/>
    <w:rsid w:val="003B6FA4"/>
    <w:rsid w:val="00407D8B"/>
    <w:rsid w:val="005C30E4"/>
    <w:rsid w:val="006B04BD"/>
    <w:rsid w:val="00A3283D"/>
    <w:rsid w:val="00A87223"/>
    <w:rsid w:val="00AA4094"/>
    <w:rsid w:val="00AC63A6"/>
    <w:rsid w:val="00B443BF"/>
    <w:rsid w:val="00BD5153"/>
    <w:rsid w:val="00BF679E"/>
    <w:rsid w:val="00DF7EDE"/>
    <w:rsid w:val="00E3672D"/>
    <w:rsid w:val="00E9270A"/>
    <w:rsid w:val="00EB31B3"/>
    <w:rsid w:val="00FA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986EC-ABC8-4D96-8013-2786C65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2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2861</Words>
  <Characters>17171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19993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15</cp:revision>
  <cp:lastPrinted>2018-11-06T14:57:00Z</cp:lastPrinted>
  <dcterms:created xsi:type="dcterms:W3CDTF">2018-04-12T14:48:00Z</dcterms:created>
  <dcterms:modified xsi:type="dcterms:W3CDTF">2018-12-20T09:39:00Z</dcterms:modified>
</cp:coreProperties>
</file>