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DA" w:rsidRPr="00FC3830" w:rsidRDefault="006449DA" w:rsidP="006449DA">
      <w:pPr>
        <w:spacing w:before="60" w:after="0" w:line="240" w:lineRule="exact"/>
        <w:jc w:val="both"/>
        <w:rPr>
          <w:rFonts w:ascii="Arial" w:hAnsi="Arial" w:cs="Arial"/>
          <w:sz w:val="20"/>
          <w:szCs w:val="20"/>
        </w:rPr>
      </w:pPr>
      <w:r w:rsidRPr="00FC3830">
        <w:rPr>
          <w:rFonts w:ascii="Arial" w:hAnsi="Arial" w:cs="Arial"/>
          <w:b/>
          <w:sz w:val="20"/>
          <w:szCs w:val="20"/>
        </w:rPr>
        <w:t xml:space="preserve">Załącznik </w:t>
      </w:r>
      <w:r w:rsidRPr="00FC3830">
        <w:rPr>
          <w:rFonts w:ascii="Arial" w:hAnsi="Arial" w:cs="Arial"/>
          <w:sz w:val="20"/>
          <w:szCs w:val="20"/>
        </w:rPr>
        <w:t xml:space="preserve">do Uchwały Nr </w:t>
      </w:r>
      <w:r w:rsidR="00684067">
        <w:rPr>
          <w:rFonts w:ascii="Arial" w:hAnsi="Arial" w:cs="Arial"/>
          <w:sz w:val="20"/>
          <w:szCs w:val="20"/>
        </w:rPr>
        <w:t>12</w:t>
      </w:r>
      <w:r w:rsidRPr="00FC3830">
        <w:rPr>
          <w:rFonts w:ascii="Arial" w:hAnsi="Arial" w:cs="Arial"/>
          <w:sz w:val="20"/>
          <w:szCs w:val="20"/>
        </w:rPr>
        <w:t>/2017 Nadzwyczajn</w:t>
      </w:r>
      <w:r w:rsidR="007415C4">
        <w:rPr>
          <w:rFonts w:ascii="Arial" w:hAnsi="Arial" w:cs="Arial"/>
          <w:sz w:val="20"/>
          <w:szCs w:val="20"/>
        </w:rPr>
        <w:t>ego Walnego Zgromadzenia PKP SA</w:t>
      </w:r>
      <w:r w:rsidRPr="00FC3830">
        <w:rPr>
          <w:rFonts w:ascii="Arial" w:hAnsi="Arial" w:cs="Arial"/>
          <w:sz w:val="20"/>
          <w:szCs w:val="20"/>
        </w:rPr>
        <w:t xml:space="preserve"> z dnia </w:t>
      </w:r>
      <w:r w:rsidR="00684067">
        <w:rPr>
          <w:rFonts w:ascii="Arial" w:hAnsi="Arial" w:cs="Arial"/>
          <w:sz w:val="20"/>
          <w:szCs w:val="20"/>
        </w:rPr>
        <w:t xml:space="preserve">5 czerwca </w:t>
      </w:r>
      <w:bookmarkStart w:id="0" w:name="_GoBack"/>
      <w:bookmarkEnd w:id="0"/>
      <w:r w:rsidRPr="00FC3830">
        <w:rPr>
          <w:rFonts w:ascii="Arial" w:hAnsi="Arial" w:cs="Arial"/>
          <w:sz w:val="20"/>
          <w:szCs w:val="20"/>
        </w:rPr>
        <w:t>2017 r.</w:t>
      </w:r>
    </w:p>
    <w:p w:rsidR="006449DA" w:rsidRPr="00FC3830" w:rsidRDefault="006449DA" w:rsidP="006449DA">
      <w:pPr>
        <w:spacing w:before="60" w:after="0" w:line="240" w:lineRule="exact"/>
        <w:jc w:val="center"/>
        <w:rPr>
          <w:rFonts w:ascii="Arial" w:hAnsi="Arial" w:cs="Arial"/>
          <w:sz w:val="20"/>
          <w:szCs w:val="20"/>
        </w:rPr>
      </w:pPr>
    </w:p>
    <w:p w:rsidR="006449DA" w:rsidRPr="00FC3830" w:rsidRDefault="006449DA" w:rsidP="001B0832">
      <w:pPr>
        <w:spacing w:before="120" w:after="0" w:line="240" w:lineRule="exact"/>
        <w:jc w:val="center"/>
        <w:rPr>
          <w:rFonts w:ascii="Arial" w:hAnsi="Arial" w:cs="Arial"/>
          <w:b/>
          <w:sz w:val="24"/>
          <w:szCs w:val="24"/>
        </w:rPr>
      </w:pPr>
      <w:r w:rsidRPr="00FC3830">
        <w:rPr>
          <w:rFonts w:ascii="Arial" w:hAnsi="Arial" w:cs="Arial"/>
          <w:b/>
          <w:sz w:val="24"/>
          <w:szCs w:val="24"/>
        </w:rPr>
        <w:t xml:space="preserve">ZASADY PRZYZNAWANIA </w:t>
      </w:r>
      <w:r w:rsidR="00E40BD0" w:rsidRPr="00FC3830">
        <w:rPr>
          <w:rFonts w:ascii="Arial" w:hAnsi="Arial" w:cs="Arial"/>
          <w:b/>
          <w:sz w:val="24"/>
          <w:szCs w:val="24"/>
        </w:rPr>
        <w:t>CZĘŚCI ZMIENNEJ WYNAGRODZENIA</w:t>
      </w:r>
    </w:p>
    <w:p w:rsidR="001B0832" w:rsidRPr="00FC3830" w:rsidRDefault="006449DA" w:rsidP="001B0832">
      <w:pPr>
        <w:spacing w:before="120" w:after="0" w:line="240" w:lineRule="exact"/>
        <w:jc w:val="center"/>
        <w:rPr>
          <w:rFonts w:ascii="Arial" w:hAnsi="Arial" w:cs="Arial"/>
          <w:b/>
          <w:sz w:val="24"/>
          <w:szCs w:val="24"/>
        </w:rPr>
      </w:pPr>
      <w:r w:rsidRPr="00FC3830">
        <w:rPr>
          <w:rFonts w:ascii="Arial" w:hAnsi="Arial" w:cs="Arial"/>
          <w:b/>
          <w:sz w:val="24"/>
          <w:szCs w:val="24"/>
        </w:rPr>
        <w:t xml:space="preserve">W ZWIĄZKU Z REALIZACJĄ CELÓW ZARZĄDCZYCH O SZCZEGÓLNYM </w:t>
      </w:r>
    </w:p>
    <w:p w:rsidR="001B0832" w:rsidRPr="00FC3830" w:rsidRDefault="006449DA" w:rsidP="001B0832">
      <w:pPr>
        <w:spacing w:before="120" w:after="0" w:line="240" w:lineRule="exact"/>
        <w:jc w:val="center"/>
        <w:rPr>
          <w:rFonts w:ascii="Arial" w:hAnsi="Arial" w:cs="Arial"/>
          <w:b/>
          <w:sz w:val="24"/>
          <w:szCs w:val="24"/>
        </w:rPr>
      </w:pPr>
      <w:r w:rsidRPr="00FC3830">
        <w:rPr>
          <w:rFonts w:ascii="Arial" w:hAnsi="Arial" w:cs="Arial"/>
          <w:b/>
          <w:sz w:val="24"/>
          <w:szCs w:val="24"/>
        </w:rPr>
        <w:t xml:space="preserve">ZNACZENIU DLA </w:t>
      </w:r>
    </w:p>
    <w:p w:rsidR="001B0832" w:rsidRPr="00FC3830" w:rsidRDefault="006449DA" w:rsidP="001B0832">
      <w:pPr>
        <w:spacing w:before="120" w:after="0" w:line="240" w:lineRule="exact"/>
        <w:jc w:val="center"/>
        <w:rPr>
          <w:rFonts w:ascii="Arial" w:hAnsi="Arial" w:cs="Arial"/>
          <w:b/>
          <w:sz w:val="24"/>
          <w:szCs w:val="24"/>
        </w:rPr>
      </w:pPr>
      <w:r w:rsidRPr="00FC3830">
        <w:rPr>
          <w:rFonts w:ascii="Arial" w:hAnsi="Arial" w:cs="Arial"/>
          <w:b/>
          <w:sz w:val="24"/>
          <w:szCs w:val="24"/>
        </w:rPr>
        <w:t>P</w:t>
      </w:r>
      <w:r w:rsidR="007415C4">
        <w:rPr>
          <w:rFonts w:ascii="Arial" w:hAnsi="Arial" w:cs="Arial"/>
          <w:b/>
          <w:sz w:val="24"/>
          <w:szCs w:val="24"/>
        </w:rPr>
        <w:t>KP SA</w:t>
      </w:r>
    </w:p>
    <w:p w:rsidR="006449DA" w:rsidRPr="00FC3830" w:rsidRDefault="006449DA" w:rsidP="001B0832">
      <w:pPr>
        <w:spacing w:before="120" w:after="0" w:line="240" w:lineRule="exact"/>
        <w:jc w:val="center"/>
        <w:rPr>
          <w:rFonts w:ascii="Arial" w:hAnsi="Arial" w:cs="Arial"/>
          <w:sz w:val="20"/>
          <w:szCs w:val="20"/>
        </w:rPr>
      </w:pPr>
      <w:r w:rsidRPr="00FC3830">
        <w:rPr>
          <w:rFonts w:ascii="Arial" w:hAnsi="Arial" w:cs="Arial"/>
          <w:b/>
          <w:sz w:val="24"/>
          <w:szCs w:val="24"/>
        </w:rPr>
        <w:t>ORAZ JEJ GRUPY KAPITAŁOWEJ</w:t>
      </w:r>
    </w:p>
    <w:p w:rsidR="006449DA" w:rsidRPr="00FC3830" w:rsidRDefault="006449DA" w:rsidP="006449DA">
      <w:pPr>
        <w:spacing w:before="60" w:after="0" w:line="240" w:lineRule="exact"/>
        <w:jc w:val="center"/>
        <w:rPr>
          <w:rFonts w:ascii="Arial" w:hAnsi="Arial" w:cs="Arial"/>
          <w:sz w:val="20"/>
          <w:szCs w:val="20"/>
        </w:rPr>
      </w:pPr>
    </w:p>
    <w:p w:rsidR="006449DA" w:rsidRPr="00FC3830" w:rsidRDefault="006449DA" w:rsidP="006449DA">
      <w:pPr>
        <w:pStyle w:val="Artykul"/>
        <w:numPr>
          <w:ilvl w:val="0"/>
          <w:numId w:val="15"/>
        </w:numPr>
        <w:spacing w:before="60" w:line="240" w:lineRule="exact"/>
        <w:ind w:right="539"/>
        <w:jc w:val="both"/>
        <w:rPr>
          <w:rFonts w:ascii="Arial" w:hAnsi="Arial" w:cs="Arial"/>
          <w:b/>
          <w:sz w:val="20"/>
        </w:rPr>
      </w:pPr>
      <w:r w:rsidRPr="00FC3830">
        <w:rPr>
          <w:rFonts w:ascii="Arial" w:hAnsi="Arial" w:cs="Arial"/>
          <w:b/>
          <w:sz w:val="20"/>
        </w:rPr>
        <w:t>Ogólny opis.</w:t>
      </w:r>
    </w:p>
    <w:p w:rsidR="006449DA" w:rsidRPr="00FC3830" w:rsidRDefault="006449DA" w:rsidP="00CA5F7A">
      <w:pPr>
        <w:pStyle w:val="Artykul"/>
        <w:numPr>
          <w:ilvl w:val="1"/>
          <w:numId w:val="15"/>
        </w:numPr>
        <w:spacing w:before="60" w:line="240" w:lineRule="exact"/>
        <w:ind w:hanging="510"/>
        <w:jc w:val="both"/>
        <w:rPr>
          <w:rFonts w:ascii="Arial" w:hAnsi="Arial" w:cs="Arial"/>
          <w:sz w:val="20"/>
        </w:rPr>
      </w:pPr>
      <w:r w:rsidRPr="00FC3830">
        <w:rPr>
          <w:rFonts w:ascii="Arial" w:hAnsi="Arial" w:cs="Arial"/>
          <w:sz w:val="20"/>
        </w:rPr>
        <w:t>Członek Zarządu PKP S.A. (</w:t>
      </w:r>
      <w:proofErr w:type="gramStart"/>
      <w:r w:rsidRPr="00FC3830">
        <w:rPr>
          <w:rFonts w:ascii="Arial" w:hAnsi="Arial" w:cs="Arial"/>
          <w:sz w:val="20"/>
        </w:rPr>
        <w:t>zwany</w:t>
      </w:r>
      <w:proofErr w:type="gramEnd"/>
      <w:r w:rsidRPr="00FC3830">
        <w:rPr>
          <w:rFonts w:ascii="Arial" w:hAnsi="Arial" w:cs="Arial"/>
          <w:sz w:val="20"/>
        </w:rPr>
        <w:t xml:space="preserve"> dalej: </w:t>
      </w:r>
      <w:r w:rsidR="00F95EFA" w:rsidRPr="00FC3830">
        <w:rPr>
          <w:rFonts w:ascii="Arial" w:hAnsi="Arial" w:cs="Arial"/>
          <w:sz w:val="20"/>
        </w:rPr>
        <w:t>„</w:t>
      </w:r>
      <w:r w:rsidR="00F95EFA" w:rsidRPr="00FC3830">
        <w:rPr>
          <w:rFonts w:ascii="Arial" w:hAnsi="Arial" w:cs="Arial"/>
          <w:b/>
          <w:sz w:val="20"/>
        </w:rPr>
        <w:t>Uprawniony</w:t>
      </w:r>
      <w:r w:rsidR="00144729" w:rsidRPr="00FC3830">
        <w:rPr>
          <w:rFonts w:ascii="Arial" w:hAnsi="Arial" w:cs="Arial"/>
          <w:b/>
          <w:sz w:val="20"/>
        </w:rPr>
        <w:t>m</w:t>
      </w:r>
      <w:r w:rsidR="00F95EFA" w:rsidRPr="00FC3830">
        <w:rPr>
          <w:rFonts w:ascii="Arial" w:hAnsi="Arial" w:cs="Arial"/>
          <w:sz w:val="20"/>
        </w:rPr>
        <w:t>”</w:t>
      </w:r>
      <w:r w:rsidRPr="00FC3830">
        <w:rPr>
          <w:rFonts w:ascii="Arial" w:hAnsi="Arial" w:cs="Arial"/>
          <w:sz w:val="20"/>
        </w:rPr>
        <w:t>) otrzymuje część zmienną wynagrodzenia (zwaną dalej: „</w:t>
      </w:r>
      <w:r w:rsidRPr="00FC3830">
        <w:rPr>
          <w:rFonts w:ascii="Arial" w:hAnsi="Arial" w:cs="Arial"/>
          <w:b/>
          <w:sz w:val="20"/>
        </w:rPr>
        <w:t>Premią</w:t>
      </w:r>
      <w:r w:rsidRPr="00FC3830">
        <w:rPr>
          <w:rFonts w:ascii="Arial" w:hAnsi="Arial" w:cs="Arial"/>
          <w:sz w:val="20"/>
        </w:rPr>
        <w:t>”</w:t>
      </w:r>
      <w:r w:rsidR="00144729" w:rsidRPr="00FC3830">
        <w:rPr>
          <w:rFonts w:ascii="Arial" w:hAnsi="Arial" w:cs="Arial"/>
          <w:sz w:val="20"/>
        </w:rPr>
        <w:t>) na z</w:t>
      </w:r>
      <w:r w:rsidRPr="00FC3830">
        <w:rPr>
          <w:rFonts w:ascii="Arial" w:hAnsi="Arial" w:cs="Arial"/>
          <w:sz w:val="20"/>
        </w:rPr>
        <w:t>asadach, o których poniżej.</w:t>
      </w:r>
    </w:p>
    <w:p w:rsidR="006449DA" w:rsidRPr="00FC3830" w:rsidRDefault="006449DA" w:rsidP="006449DA">
      <w:pPr>
        <w:pStyle w:val="Artykul"/>
        <w:numPr>
          <w:ilvl w:val="1"/>
          <w:numId w:val="15"/>
        </w:numPr>
        <w:spacing w:before="60" w:line="240" w:lineRule="exact"/>
        <w:ind w:hanging="510"/>
        <w:jc w:val="both"/>
        <w:rPr>
          <w:rFonts w:ascii="Arial" w:hAnsi="Arial" w:cs="Arial"/>
          <w:sz w:val="20"/>
        </w:rPr>
      </w:pPr>
      <w:r w:rsidRPr="00FC3830">
        <w:rPr>
          <w:rFonts w:ascii="Arial" w:hAnsi="Arial" w:cs="Arial"/>
          <w:sz w:val="20"/>
        </w:rPr>
        <w:t xml:space="preserve">Wysokość Premii uzależniona jest od stopnia wykonania celów o szczególnym znaczeniu </w:t>
      </w:r>
      <w:r w:rsidR="00C2107C" w:rsidRPr="00FC3830">
        <w:rPr>
          <w:rFonts w:ascii="Arial" w:hAnsi="Arial" w:cs="Arial"/>
          <w:sz w:val="20"/>
        </w:rPr>
        <w:t xml:space="preserve">(zwane dalej: </w:t>
      </w:r>
      <w:r w:rsidR="00C2107C" w:rsidRPr="00FC3830">
        <w:rPr>
          <w:rFonts w:ascii="Arial" w:hAnsi="Arial" w:cs="Arial"/>
          <w:b/>
          <w:sz w:val="20"/>
        </w:rPr>
        <w:t>„Celami”</w:t>
      </w:r>
      <w:r w:rsidR="00C2107C" w:rsidRPr="00FC3830">
        <w:rPr>
          <w:rFonts w:ascii="Arial" w:hAnsi="Arial" w:cs="Arial"/>
          <w:sz w:val="20"/>
        </w:rPr>
        <w:t xml:space="preserve">) </w:t>
      </w:r>
      <w:r w:rsidRPr="00FC3830">
        <w:rPr>
          <w:rFonts w:ascii="Arial" w:hAnsi="Arial" w:cs="Arial"/>
          <w:sz w:val="20"/>
        </w:rPr>
        <w:t>dla PKP SA (zwana dalej:</w:t>
      </w:r>
      <w:r w:rsidRPr="00FC3830">
        <w:rPr>
          <w:rFonts w:ascii="Arial" w:hAnsi="Arial" w:cs="Arial"/>
          <w:b/>
          <w:sz w:val="20"/>
        </w:rPr>
        <w:t xml:space="preserve"> „Spółka”</w:t>
      </w:r>
      <w:r w:rsidRPr="00FC3830">
        <w:rPr>
          <w:rFonts w:ascii="Arial" w:hAnsi="Arial" w:cs="Arial"/>
          <w:sz w:val="20"/>
        </w:rPr>
        <w:t xml:space="preserve">) oraz jej Grupy Kapitałowej, </w:t>
      </w:r>
      <w:r w:rsidR="006D3BB2" w:rsidRPr="00FC3830">
        <w:rPr>
          <w:rFonts w:ascii="Arial" w:hAnsi="Arial" w:cs="Arial"/>
          <w:sz w:val="20"/>
        </w:rPr>
        <w:t xml:space="preserve">wyznaczanych i zatwierdzanych przez </w:t>
      </w:r>
      <w:r w:rsidR="002F7052">
        <w:rPr>
          <w:rFonts w:ascii="Arial" w:hAnsi="Arial" w:cs="Arial"/>
          <w:sz w:val="20"/>
        </w:rPr>
        <w:t>Walne Zgromadzenie</w:t>
      </w:r>
      <w:r w:rsidR="006D3BB2" w:rsidRPr="00FC3830">
        <w:rPr>
          <w:rFonts w:ascii="Arial" w:hAnsi="Arial" w:cs="Arial"/>
          <w:sz w:val="20"/>
        </w:rPr>
        <w:t>.</w:t>
      </w:r>
    </w:p>
    <w:p w:rsidR="006449DA" w:rsidRPr="00FC3830" w:rsidRDefault="006449DA" w:rsidP="006449DA">
      <w:pPr>
        <w:pStyle w:val="Artykul"/>
        <w:spacing w:before="60" w:line="240" w:lineRule="exact"/>
        <w:ind w:left="0" w:firstLine="0"/>
        <w:rPr>
          <w:rFonts w:ascii="Arial" w:hAnsi="Arial" w:cs="Arial"/>
          <w:sz w:val="20"/>
        </w:rPr>
      </w:pPr>
    </w:p>
    <w:p w:rsidR="006449DA" w:rsidRPr="00FC3830" w:rsidRDefault="006449DA" w:rsidP="006449DA">
      <w:pPr>
        <w:pStyle w:val="Artykul"/>
        <w:numPr>
          <w:ilvl w:val="0"/>
          <w:numId w:val="15"/>
        </w:numPr>
        <w:spacing w:before="60" w:line="240" w:lineRule="exact"/>
        <w:jc w:val="both"/>
        <w:rPr>
          <w:rFonts w:ascii="Arial" w:hAnsi="Arial" w:cs="Arial"/>
          <w:b/>
          <w:sz w:val="20"/>
        </w:rPr>
      </w:pPr>
      <w:r w:rsidRPr="00FC3830">
        <w:rPr>
          <w:rFonts w:ascii="Arial" w:hAnsi="Arial" w:cs="Arial"/>
          <w:b/>
          <w:sz w:val="20"/>
        </w:rPr>
        <w:t>Cele.</w:t>
      </w:r>
    </w:p>
    <w:p w:rsidR="006449DA" w:rsidRPr="00FC3830" w:rsidRDefault="006449DA" w:rsidP="006449DA">
      <w:pPr>
        <w:pStyle w:val="Artykul"/>
        <w:numPr>
          <w:ilvl w:val="1"/>
          <w:numId w:val="15"/>
        </w:numPr>
        <w:spacing w:before="60" w:line="240" w:lineRule="exact"/>
        <w:ind w:hanging="510"/>
        <w:jc w:val="both"/>
        <w:rPr>
          <w:rFonts w:ascii="Arial" w:hAnsi="Arial" w:cs="Arial"/>
          <w:sz w:val="20"/>
        </w:rPr>
      </w:pPr>
      <w:r w:rsidRPr="00FC3830">
        <w:rPr>
          <w:rFonts w:ascii="Arial" w:hAnsi="Arial" w:cs="Arial"/>
          <w:sz w:val="20"/>
        </w:rPr>
        <w:t>Cele zapisywane są w Karcie Celów, której wzór stanowi Załącznik do niniejszych Zasad.</w:t>
      </w:r>
    </w:p>
    <w:p w:rsidR="006449DA" w:rsidRPr="00FC3830" w:rsidRDefault="006449DA" w:rsidP="006449DA">
      <w:pPr>
        <w:pStyle w:val="Artykul"/>
        <w:numPr>
          <w:ilvl w:val="1"/>
          <w:numId w:val="15"/>
        </w:numPr>
        <w:spacing w:before="60" w:line="240" w:lineRule="exact"/>
        <w:ind w:hanging="510"/>
        <w:jc w:val="both"/>
        <w:rPr>
          <w:rFonts w:ascii="Arial" w:hAnsi="Arial" w:cs="Arial"/>
          <w:sz w:val="20"/>
        </w:rPr>
      </w:pPr>
      <w:r w:rsidRPr="00FC3830">
        <w:rPr>
          <w:rFonts w:ascii="Arial" w:hAnsi="Arial" w:cs="Arial"/>
          <w:sz w:val="20"/>
        </w:rPr>
        <w:t xml:space="preserve">Jako odrębne cele, warunkujące możliwość otrzymania przez </w:t>
      </w:r>
      <w:r w:rsidR="00423511" w:rsidRPr="00FC3830">
        <w:rPr>
          <w:rFonts w:ascii="Arial" w:hAnsi="Arial" w:cs="Arial"/>
          <w:sz w:val="20"/>
        </w:rPr>
        <w:t xml:space="preserve">Uprawnionego </w:t>
      </w:r>
      <w:r w:rsidRPr="00FC3830">
        <w:rPr>
          <w:rFonts w:ascii="Arial" w:hAnsi="Arial" w:cs="Arial"/>
          <w:sz w:val="20"/>
        </w:rPr>
        <w:t>Premii, określa się te, które wynikają z obowiązku nałożonego ustawą z dnia 9 czerwca 2016 r. o zasadach kształtowania wynagrodzeń osób kierujących niektórymi spółkami (Dz.</w:t>
      </w:r>
      <w:proofErr w:type="gramStart"/>
      <w:r w:rsidRPr="00FC3830">
        <w:rPr>
          <w:rFonts w:ascii="Arial" w:hAnsi="Arial" w:cs="Arial"/>
          <w:sz w:val="20"/>
        </w:rPr>
        <w:t>U. z</w:t>
      </w:r>
      <w:proofErr w:type="gramEnd"/>
      <w:r w:rsidRPr="00FC3830">
        <w:rPr>
          <w:rFonts w:ascii="Arial" w:hAnsi="Arial" w:cs="Arial"/>
          <w:sz w:val="20"/>
        </w:rPr>
        <w:t xml:space="preserve"> 2016 r., poz. 1202</w:t>
      </w:r>
      <w:r w:rsidR="00C2107C" w:rsidRPr="00FC3830">
        <w:rPr>
          <w:rFonts w:ascii="Arial" w:hAnsi="Arial" w:cs="Arial"/>
          <w:sz w:val="20"/>
        </w:rPr>
        <w:t xml:space="preserve"> </w:t>
      </w:r>
      <w:r w:rsidR="00E5238C" w:rsidRPr="00FC3830">
        <w:rPr>
          <w:rFonts w:ascii="Arial" w:hAnsi="Arial" w:cs="Arial"/>
          <w:sz w:val="20"/>
        </w:rPr>
        <w:t>i</w:t>
      </w:r>
      <w:r w:rsidR="00C2107C" w:rsidRPr="00FC3830">
        <w:rPr>
          <w:rFonts w:ascii="Arial" w:hAnsi="Arial" w:cs="Arial"/>
          <w:sz w:val="20"/>
        </w:rPr>
        <w:t xml:space="preserve"> poz. 2260</w:t>
      </w:r>
      <w:r w:rsidRPr="00FC3830">
        <w:rPr>
          <w:rStyle w:val="txt-new"/>
          <w:rFonts w:ascii="Arial" w:hAnsi="Arial" w:cs="Arial"/>
          <w:sz w:val="20"/>
        </w:rPr>
        <w:t>).</w:t>
      </w:r>
    </w:p>
    <w:p w:rsidR="002F7052" w:rsidRDefault="002F7052" w:rsidP="002F7052">
      <w:pPr>
        <w:pStyle w:val="Artykul"/>
        <w:numPr>
          <w:ilvl w:val="1"/>
          <w:numId w:val="15"/>
        </w:numPr>
        <w:spacing w:before="60" w:line="240" w:lineRule="exact"/>
        <w:ind w:hanging="510"/>
        <w:jc w:val="both"/>
        <w:rPr>
          <w:rFonts w:ascii="Arial" w:hAnsi="Arial" w:cs="Arial"/>
          <w:sz w:val="20"/>
        </w:rPr>
      </w:pPr>
      <w:r w:rsidRPr="00AF5DBC">
        <w:rPr>
          <w:rFonts w:ascii="Arial" w:hAnsi="Arial" w:cs="Arial"/>
          <w:sz w:val="20"/>
        </w:rPr>
        <w:t>Walne Zgromadzenie Spółki przyporządkowuje każdemu z Celów wchodzących w skład Karty Celów zakładany rezultat oraz wskaźnik oceny znaczenia Celu, który ustalany jest dla każdego Celu i Uprawnionego odrębnie i przyjmuje wartość w przedziale &lt;0,05 -</w:t>
      </w:r>
      <w:r w:rsidRPr="00AF5DBC" w:rsidDel="00D86DF8">
        <w:rPr>
          <w:rFonts w:ascii="Arial" w:hAnsi="Arial" w:cs="Arial"/>
          <w:sz w:val="20"/>
        </w:rPr>
        <w:t xml:space="preserve"> </w:t>
      </w:r>
      <w:r w:rsidRPr="00AF5DBC">
        <w:rPr>
          <w:rFonts w:ascii="Arial" w:hAnsi="Arial" w:cs="Arial"/>
          <w:sz w:val="20"/>
        </w:rPr>
        <w:t>0,50&gt; (zwany dalej: „</w:t>
      </w:r>
      <w:r w:rsidRPr="00AF5DBC">
        <w:rPr>
          <w:rFonts w:ascii="Arial" w:hAnsi="Arial" w:cs="Arial"/>
          <w:b/>
          <w:sz w:val="20"/>
        </w:rPr>
        <w:t>wskaźnikiem oceny znaczenia Celu</w:t>
      </w:r>
      <w:r w:rsidRPr="00AF5DBC">
        <w:rPr>
          <w:rFonts w:ascii="Arial" w:hAnsi="Arial" w:cs="Arial"/>
          <w:sz w:val="20"/>
        </w:rPr>
        <w:t>”). Łączna suma wartości wskaźników oceny znaczenia Celu dla wszystkich Celów wchodzących w skład Karty Celów wynosi 1</w:t>
      </w:r>
      <w:r w:rsidR="006449DA" w:rsidRPr="00FC3830">
        <w:rPr>
          <w:rFonts w:ascii="Arial" w:hAnsi="Arial" w:cs="Arial"/>
          <w:sz w:val="20"/>
        </w:rPr>
        <w:t>.</w:t>
      </w:r>
    </w:p>
    <w:p w:rsidR="002F7052" w:rsidRDefault="002F7052" w:rsidP="002F7052">
      <w:pPr>
        <w:pStyle w:val="Artykul"/>
        <w:numPr>
          <w:ilvl w:val="1"/>
          <w:numId w:val="15"/>
        </w:numPr>
        <w:spacing w:before="60" w:line="240" w:lineRule="exact"/>
        <w:ind w:hanging="510"/>
        <w:jc w:val="both"/>
        <w:rPr>
          <w:rFonts w:ascii="Arial" w:hAnsi="Arial" w:cs="Arial"/>
          <w:sz w:val="20"/>
        </w:rPr>
      </w:pPr>
      <w:r w:rsidRPr="002F7052">
        <w:rPr>
          <w:rFonts w:ascii="Arial" w:hAnsi="Arial" w:cs="Arial"/>
          <w:sz w:val="20"/>
        </w:rPr>
        <w:t>Karta Celów podpisywana jest przez Uprawnionego w terminie 14 dni od dnia powzięcia przez Walne Zgromadzenie Spółki uchwały w sprawie określenia Celów na dany rok obrotowy i jest przekazywana Radzie Nadzorczej Spółki. Rada Nadzorcza przekazuje akcjonariuszom kopię podpisanej przez Uprawnionego Karty Celów. Jeżeli Uprawniony nie podpisze Karty Celów we wskazanym terminie nie będzie przysługiwała mu Premia.</w:t>
      </w:r>
    </w:p>
    <w:p w:rsidR="002F7052" w:rsidRPr="002F7052" w:rsidRDefault="002F7052" w:rsidP="002F7052">
      <w:pPr>
        <w:pStyle w:val="Artykul"/>
        <w:numPr>
          <w:ilvl w:val="1"/>
          <w:numId w:val="15"/>
        </w:numPr>
        <w:spacing w:before="60" w:line="240" w:lineRule="exact"/>
        <w:ind w:hanging="510"/>
        <w:jc w:val="both"/>
        <w:rPr>
          <w:rFonts w:ascii="Arial" w:hAnsi="Arial" w:cs="Arial"/>
          <w:sz w:val="20"/>
        </w:rPr>
      </w:pPr>
      <w:r w:rsidRPr="002F7052">
        <w:rPr>
          <w:rFonts w:ascii="Arial" w:hAnsi="Arial" w:cs="Arial"/>
          <w:sz w:val="20"/>
        </w:rPr>
        <w:t>W przypadku powołania Uprawnionego do składu Zarządu Spółki w trakcie roku obrotowego, Kartę Celów, zawierającą Cele wyznaczone na dany rok obrotowy przez Walne Zgromadzenie Spółki dla stanowiska, na które został powołany, wypełnia Rada Nadzorcza Spółki i przedkłada Uprawnionemu. Uprawniony w terminie 14 dni od dnia powołania go w skład Zarządu Spółki przekazuje podpisaną Kartę Celów Radzie Nadzorczej Spółki. Rada Nadzorcza przekazuje akcjonariuszom kopię podpisanej przez Uprawnionego Karty Celów. Jeżeli Uprawniony nie podpisze Karty Celów we wskazanym terminie nie będzie przysługiwała mu Premia.</w:t>
      </w:r>
    </w:p>
    <w:p w:rsidR="006449DA" w:rsidRDefault="006449DA" w:rsidP="006449DA">
      <w:pPr>
        <w:pStyle w:val="Artykul"/>
        <w:spacing w:before="60" w:line="240" w:lineRule="exact"/>
        <w:ind w:left="709" w:firstLine="0"/>
        <w:jc w:val="both"/>
        <w:rPr>
          <w:rFonts w:ascii="Arial" w:hAnsi="Arial" w:cs="Arial"/>
          <w:sz w:val="20"/>
        </w:rPr>
      </w:pPr>
    </w:p>
    <w:p w:rsidR="005F783E" w:rsidRPr="00AF5DBC" w:rsidRDefault="005F783E" w:rsidP="005F783E">
      <w:pPr>
        <w:pStyle w:val="Artykul"/>
        <w:numPr>
          <w:ilvl w:val="0"/>
          <w:numId w:val="15"/>
        </w:numPr>
        <w:spacing w:before="60" w:line="240" w:lineRule="exact"/>
        <w:jc w:val="both"/>
        <w:rPr>
          <w:rFonts w:ascii="Arial" w:hAnsi="Arial" w:cs="Arial"/>
          <w:b/>
          <w:sz w:val="20"/>
        </w:rPr>
      </w:pPr>
      <w:r w:rsidRPr="00AF5DBC">
        <w:rPr>
          <w:rFonts w:ascii="Arial" w:hAnsi="Arial" w:cs="Arial"/>
          <w:b/>
          <w:sz w:val="20"/>
        </w:rPr>
        <w:t xml:space="preserve">Ocena wykonania Celów. </w:t>
      </w:r>
    </w:p>
    <w:p w:rsidR="005F783E" w:rsidRPr="00AF5DBC" w:rsidRDefault="005F783E" w:rsidP="005F783E">
      <w:pPr>
        <w:pStyle w:val="Artykul"/>
        <w:numPr>
          <w:ilvl w:val="1"/>
          <w:numId w:val="15"/>
        </w:numPr>
        <w:spacing w:before="60" w:line="240" w:lineRule="exact"/>
        <w:ind w:hanging="510"/>
        <w:jc w:val="both"/>
        <w:rPr>
          <w:rFonts w:ascii="Arial" w:hAnsi="Arial" w:cs="Arial"/>
          <w:sz w:val="20"/>
        </w:rPr>
      </w:pPr>
      <w:r w:rsidRPr="00AF5DBC">
        <w:rPr>
          <w:rFonts w:ascii="Arial" w:hAnsi="Arial" w:cs="Arial"/>
          <w:sz w:val="20"/>
        </w:rPr>
        <w:t>Uprawniony zobowiązany jest do złożenia Radzie Nadzorczej Spółki pisemnego Sprawozdania z Realizacji Celów za dany rok obrotowy, w terminie do 31 marca roku następującego po roku obrotowym, którego wyznaczone Cele dotyczą.</w:t>
      </w:r>
    </w:p>
    <w:p w:rsidR="005F783E" w:rsidRPr="00AF5DBC" w:rsidRDefault="005F783E" w:rsidP="005F783E">
      <w:pPr>
        <w:pStyle w:val="Artykul"/>
        <w:numPr>
          <w:ilvl w:val="1"/>
          <w:numId w:val="15"/>
        </w:numPr>
        <w:spacing w:before="60" w:line="240" w:lineRule="exact"/>
        <w:jc w:val="both"/>
        <w:rPr>
          <w:rFonts w:ascii="Arial" w:hAnsi="Arial" w:cs="Arial"/>
          <w:sz w:val="20"/>
        </w:rPr>
      </w:pPr>
      <w:r w:rsidRPr="00AF5DBC">
        <w:rPr>
          <w:rFonts w:ascii="Arial" w:hAnsi="Arial" w:cs="Arial"/>
          <w:sz w:val="20"/>
        </w:rPr>
        <w:t>Rada Nadzorcza Spółki, na podstawie analizy i oceny złożonego przez Uprawnionego, w terminie określonym w pkt 3.1, Sprawozdania z realizacji Celów, składa wniosek do Walnego Zgromadzenia Spółki o przyznanie Premii Uprawnionemu wraz ze wskazaniem jej wysokości oraz stopniem realizacji Celów, do dnia odbycia Zwyczajnego Walnego Zgromadzenia zatwierdzającego rok obrotowy, którego Premia dotyczy.</w:t>
      </w:r>
    </w:p>
    <w:p w:rsidR="005F783E" w:rsidRPr="00AF5DBC" w:rsidRDefault="005F783E" w:rsidP="005F783E">
      <w:pPr>
        <w:pStyle w:val="Artykul"/>
        <w:spacing w:before="60" w:line="240" w:lineRule="exact"/>
        <w:ind w:left="738" w:firstLine="0"/>
        <w:jc w:val="both"/>
        <w:rPr>
          <w:rFonts w:ascii="Arial" w:hAnsi="Arial" w:cs="Arial"/>
          <w:sz w:val="20"/>
        </w:rPr>
      </w:pPr>
      <w:r w:rsidRPr="00AF5DBC">
        <w:rPr>
          <w:rFonts w:ascii="Arial" w:hAnsi="Arial" w:cs="Arial"/>
          <w:sz w:val="20"/>
        </w:rPr>
        <w:t>Warunkiem nabycia przez Uprawnionego prawa do Premii jest podjęcie przez Walne Zgromadzenie Spółki, na wniosek Rady Nadzorczej Spółki, uchwały o jej przyznaniu i wypłaceniu.</w:t>
      </w:r>
    </w:p>
    <w:p w:rsidR="005F783E" w:rsidRPr="00AF5DBC" w:rsidRDefault="005F783E" w:rsidP="005F783E">
      <w:pPr>
        <w:pStyle w:val="Artykul"/>
        <w:numPr>
          <w:ilvl w:val="1"/>
          <w:numId w:val="15"/>
        </w:numPr>
        <w:tabs>
          <w:tab w:val="left" w:pos="900"/>
        </w:tabs>
        <w:spacing w:before="60" w:line="240" w:lineRule="exact"/>
        <w:jc w:val="both"/>
        <w:rPr>
          <w:rFonts w:ascii="Arial" w:hAnsi="Arial" w:cs="Arial"/>
          <w:sz w:val="20"/>
        </w:rPr>
      </w:pPr>
      <w:r w:rsidRPr="00AF5DBC">
        <w:rPr>
          <w:rFonts w:ascii="Arial" w:hAnsi="Arial" w:cs="Arial"/>
          <w:bCs/>
          <w:sz w:val="20"/>
        </w:rPr>
        <w:lastRenderedPageBreak/>
        <w:t>Ocena wykonania Celów dokonywana jest przez Radę Nadzorczą Spółki przy zastosowaniu następujących zasad:</w:t>
      </w:r>
    </w:p>
    <w:p w:rsidR="005F783E" w:rsidRPr="00AF5DBC" w:rsidRDefault="005F783E" w:rsidP="005F783E">
      <w:pPr>
        <w:pStyle w:val="Artykul"/>
        <w:numPr>
          <w:ilvl w:val="2"/>
          <w:numId w:val="16"/>
        </w:numPr>
        <w:tabs>
          <w:tab w:val="left" w:pos="993"/>
        </w:tabs>
        <w:spacing w:before="60" w:line="240" w:lineRule="exact"/>
        <w:jc w:val="both"/>
        <w:rPr>
          <w:rFonts w:ascii="Arial" w:hAnsi="Arial" w:cs="Arial"/>
          <w:bCs/>
          <w:sz w:val="20"/>
        </w:rPr>
      </w:pPr>
      <w:proofErr w:type="gramStart"/>
      <w:r w:rsidRPr="00AF5DBC">
        <w:rPr>
          <w:rFonts w:ascii="Arial" w:hAnsi="Arial" w:cs="Arial"/>
          <w:bCs/>
          <w:sz w:val="20"/>
        </w:rPr>
        <w:t>każdemu</w:t>
      </w:r>
      <w:proofErr w:type="gramEnd"/>
      <w:r w:rsidRPr="00AF5DBC">
        <w:rPr>
          <w:rFonts w:ascii="Arial" w:hAnsi="Arial" w:cs="Arial"/>
          <w:bCs/>
          <w:sz w:val="20"/>
        </w:rPr>
        <w:t xml:space="preserve"> z Celów wchodzących w skład Karty Celów przyporządkowuje się wartość wykonania Celu w przedziale &lt;0-100&gt;% zakładanego rezultatu (zwaną dalej: </w:t>
      </w:r>
      <w:r w:rsidRPr="00AF5DBC">
        <w:rPr>
          <w:rFonts w:ascii="Arial" w:hAnsi="Arial" w:cs="Arial"/>
          <w:b/>
          <w:bCs/>
          <w:sz w:val="20"/>
        </w:rPr>
        <w:t>„wartością wykonania Celów”</w:t>
      </w:r>
      <w:r w:rsidRPr="00AF5DBC">
        <w:rPr>
          <w:rFonts w:ascii="Arial" w:hAnsi="Arial" w:cs="Arial"/>
          <w:bCs/>
          <w:sz w:val="20"/>
        </w:rPr>
        <w:t>). Rada Nadzorcza Spółki przyporządkowuje wartość wykonania Celu w oparciu o relację wyniku wypracowanego przez Uprawnionego do zakładanego rezultatu w treści Karty Celów. W sytuacji, gdy Uprawniony nie wykonał założonego Celu lub wykonał Cel, ale wypracowany wynik jest niższy niż 80% zakładanego rezultatu, wartość wykonanego Celu wynosi 0%,</w:t>
      </w:r>
    </w:p>
    <w:p w:rsidR="005F783E" w:rsidRPr="00AF5DBC" w:rsidRDefault="005F783E" w:rsidP="005F783E">
      <w:pPr>
        <w:pStyle w:val="Artykul"/>
        <w:numPr>
          <w:ilvl w:val="2"/>
          <w:numId w:val="16"/>
        </w:numPr>
        <w:tabs>
          <w:tab w:val="left" w:pos="993"/>
        </w:tabs>
        <w:spacing w:before="60" w:line="240" w:lineRule="exact"/>
        <w:jc w:val="both"/>
        <w:rPr>
          <w:rFonts w:ascii="Arial" w:hAnsi="Arial" w:cs="Arial"/>
          <w:bCs/>
          <w:sz w:val="20"/>
        </w:rPr>
      </w:pPr>
      <w:proofErr w:type="gramStart"/>
      <w:r w:rsidRPr="00AF5DBC">
        <w:rPr>
          <w:rFonts w:ascii="Arial" w:hAnsi="Arial" w:cs="Arial"/>
          <w:bCs/>
          <w:sz w:val="20"/>
        </w:rPr>
        <w:t>każdy</w:t>
      </w:r>
      <w:proofErr w:type="gramEnd"/>
      <w:r w:rsidRPr="00AF5DBC">
        <w:rPr>
          <w:rFonts w:ascii="Arial" w:hAnsi="Arial" w:cs="Arial"/>
          <w:bCs/>
          <w:sz w:val="20"/>
        </w:rPr>
        <w:t xml:space="preserve"> z Celów wchodzących w skład Karty Celów jest oceniany przez Radę Nadzorczą Spółki oddzielnie. Ocena danego Celu jest iloczynem wartości wykonania Celu i wartości wskaźnika oceny znaczenia Celu (zwana dalej: </w:t>
      </w:r>
      <w:r w:rsidRPr="00AF5DBC">
        <w:rPr>
          <w:rFonts w:ascii="Arial" w:hAnsi="Arial" w:cs="Arial"/>
          <w:b/>
          <w:bCs/>
          <w:sz w:val="20"/>
        </w:rPr>
        <w:t>„oceną wykonania pojedynczego Celu”</w:t>
      </w:r>
      <w:r>
        <w:rPr>
          <w:rFonts w:ascii="Arial" w:hAnsi="Arial" w:cs="Arial"/>
          <w:bCs/>
          <w:sz w:val="20"/>
        </w:rPr>
        <w:t>),</w:t>
      </w:r>
    </w:p>
    <w:p w:rsidR="005F783E" w:rsidRPr="00AF5DBC" w:rsidRDefault="005F783E" w:rsidP="005F783E">
      <w:pPr>
        <w:pStyle w:val="Artykul"/>
        <w:numPr>
          <w:ilvl w:val="2"/>
          <w:numId w:val="16"/>
        </w:numPr>
        <w:tabs>
          <w:tab w:val="left" w:pos="993"/>
        </w:tabs>
        <w:spacing w:before="60" w:line="240" w:lineRule="exact"/>
        <w:jc w:val="both"/>
        <w:rPr>
          <w:rFonts w:ascii="Arial" w:hAnsi="Arial" w:cs="Arial"/>
          <w:bCs/>
          <w:sz w:val="20"/>
        </w:rPr>
      </w:pPr>
      <w:proofErr w:type="gramStart"/>
      <w:r w:rsidRPr="00AF5DBC">
        <w:rPr>
          <w:rFonts w:ascii="Arial" w:hAnsi="Arial" w:cs="Arial"/>
          <w:sz w:val="20"/>
        </w:rPr>
        <w:t>po</w:t>
      </w:r>
      <w:proofErr w:type="gramEnd"/>
      <w:r w:rsidRPr="00AF5DBC">
        <w:rPr>
          <w:rFonts w:ascii="Arial" w:hAnsi="Arial" w:cs="Arial"/>
          <w:sz w:val="20"/>
        </w:rPr>
        <w:t xml:space="preserve"> dokonaniu przez Radę Nadzorczą Spółki oceny wszystkich Celów wchodzących w skład Karty Celów, Rada Nadzorcza Spółki ustala łączną ocenę wykonania Celów (zwaną dalej: </w:t>
      </w:r>
      <w:r w:rsidRPr="00AF5DBC">
        <w:rPr>
          <w:rFonts w:ascii="Arial" w:hAnsi="Arial" w:cs="Arial"/>
          <w:b/>
          <w:sz w:val="20"/>
        </w:rPr>
        <w:t>„oceną wykonania Celów”</w:t>
      </w:r>
      <w:r w:rsidRPr="00AF5DBC">
        <w:rPr>
          <w:rFonts w:ascii="Arial" w:hAnsi="Arial" w:cs="Arial"/>
          <w:sz w:val="20"/>
        </w:rPr>
        <w:t>). Ustalenie tej oceny następuje poprzez zsumowanie wszystkich ocen</w:t>
      </w:r>
      <w:r>
        <w:rPr>
          <w:rFonts w:ascii="Arial" w:hAnsi="Arial" w:cs="Arial"/>
          <w:sz w:val="20"/>
        </w:rPr>
        <w:t xml:space="preserve"> wykonania pojedynczych Celów.</w:t>
      </w:r>
    </w:p>
    <w:p w:rsidR="005F783E" w:rsidRPr="00AF5DBC" w:rsidRDefault="005F783E" w:rsidP="005F783E">
      <w:pPr>
        <w:pStyle w:val="Artykul"/>
        <w:tabs>
          <w:tab w:val="left" w:pos="993"/>
        </w:tabs>
        <w:spacing w:before="60" w:line="240" w:lineRule="exact"/>
        <w:jc w:val="both"/>
        <w:rPr>
          <w:rFonts w:ascii="Arial" w:hAnsi="Arial" w:cs="Arial"/>
          <w:bCs/>
          <w:sz w:val="20"/>
        </w:rPr>
      </w:pPr>
    </w:p>
    <w:p w:rsidR="005F783E" w:rsidRPr="00AF5DBC" w:rsidRDefault="005F783E" w:rsidP="005F783E">
      <w:pPr>
        <w:pStyle w:val="Akapitzlist2"/>
        <w:numPr>
          <w:ilvl w:val="0"/>
          <w:numId w:val="15"/>
        </w:numPr>
        <w:spacing w:before="60" w:after="0" w:line="240" w:lineRule="exact"/>
        <w:rPr>
          <w:rFonts w:ascii="Arial" w:hAnsi="Arial" w:cs="Arial"/>
          <w:b/>
        </w:rPr>
      </w:pPr>
      <w:r w:rsidRPr="00AF5DBC">
        <w:rPr>
          <w:rFonts w:ascii="Arial" w:hAnsi="Arial" w:cs="Arial"/>
          <w:b/>
        </w:rPr>
        <w:t>Wysokość Premii.</w:t>
      </w:r>
    </w:p>
    <w:p w:rsidR="005F783E" w:rsidRPr="00AF5DBC" w:rsidRDefault="005F783E" w:rsidP="005F783E">
      <w:pPr>
        <w:pStyle w:val="Akapitzlist2"/>
        <w:numPr>
          <w:ilvl w:val="1"/>
          <w:numId w:val="17"/>
        </w:numPr>
        <w:spacing w:before="60" w:after="0" w:line="240" w:lineRule="exact"/>
        <w:ind w:left="709" w:hanging="425"/>
        <w:jc w:val="both"/>
        <w:rPr>
          <w:rFonts w:ascii="Arial" w:hAnsi="Arial" w:cs="Arial"/>
        </w:rPr>
      </w:pPr>
      <w:r w:rsidRPr="00AF5DBC">
        <w:rPr>
          <w:rFonts w:ascii="Arial" w:hAnsi="Arial" w:cs="Arial"/>
        </w:rPr>
        <w:t>Wysokość Premii jest ustalana przez Radę Nadzorczą Spółki, jako iloczyn wskaźnika oceny wykonania Celów i kwoty bazowej. Kwota bazowa równa jest 25% Wynagrodzenia Podstawowego należnego Uprawnionemu w roku, na który ustalono Kartę Celów.</w:t>
      </w:r>
    </w:p>
    <w:p w:rsidR="005F783E" w:rsidRPr="00AF5DBC" w:rsidRDefault="005F783E" w:rsidP="005F783E">
      <w:pPr>
        <w:pStyle w:val="Akapitzlist2"/>
        <w:numPr>
          <w:ilvl w:val="1"/>
          <w:numId w:val="17"/>
        </w:numPr>
        <w:spacing w:before="60" w:after="0" w:line="240" w:lineRule="exact"/>
        <w:ind w:left="709" w:hanging="425"/>
        <w:jc w:val="both"/>
        <w:rPr>
          <w:rFonts w:ascii="Arial" w:hAnsi="Arial" w:cs="Arial"/>
        </w:rPr>
      </w:pPr>
      <w:r w:rsidRPr="00AF5DBC">
        <w:rPr>
          <w:rFonts w:ascii="Arial" w:hAnsi="Arial" w:cs="Arial"/>
        </w:rPr>
        <w:t xml:space="preserve">W przypadku stwierdzenia, że Uprawniony działał na szkodę Spółki w okresie, za który należna jest Premia, Rada Nadzorcza Spółki może wstrzymać się z podjęciem uchwały wnioskującej do Walnego Zgromadzenia o przyznaniu Premii do czasu wyjaśnienia sprawy, gdy: </w:t>
      </w:r>
    </w:p>
    <w:p w:rsidR="005F783E" w:rsidRPr="00AF5DBC" w:rsidRDefault="005F783E" w:rsidP="005F783E">
      <w:pPr>
        <w:pStyle w:val="Akapitzlist2"/>
        <w:numPr>
          <w:ilvl w:val="2"/>
          <w:numId w:val="17"/>
        </w:numPr>
        <w:spacing w:before="60" w:after="0" w:line="240" w:lineRule="exact"/>
        <w:jc w:val="both"/>
        <w:rPr>
          <w:rFonts w:ascii="Arial" w:hAnsi="Arial" w:cs="Arial"/>
        </w:rPr>
      </w:pPr>
      <w:proofErr w:type="gramStart"/>
      <w:r w:rsidRPr="00AF5DBC">
        <w:rPr>
          <w:rFonts w:ascii="Arial" w:hAnsi="Arial" w:cs="Arial"/>
        </w:rPr>
        <w:t>otrzyma</w:t>
      </w:r>
      <w:proofErr w:type="gramEnd"/>
      <w:r w:rsidRPr="00AF5DBC">
        <w:rPr>
          <w:rFonts w:ascii="Arial" w:hAnsi="Arial" w:cs="Arial"/>
        </w:rPr>
        <w:t xml:space="preserve"> wiarygodne informacje o działaniu przez Uprawnionego na szkodę Spółki w okresie, którego dotyczy Premia lub </w:t>
      </w:r>
    </w:p>
    <w:p w:rsidR="005F783E" w:rsidRPr="00AF5DBC" w:rsidRDefault="005F783E" w:rsidP="005F783E">
      <w:pPr>
        <w:pStyle w:val="Akapitzlist2"/>
        <w:numPr>
          <w:ilvl w:val="2"/>
          <w:numId w:val="17"/>
        </w:numPr>
        <w:spacing w:before="60" w:after="0" w:line="240" w:lineRule="exact"/>
        <w:jc w:val="both"/>
        <w:rPr>
          <w:rFonts w:ascii="Arial" w:hAnsi="Arial" w:cs="Arial"/>
        </w:rPr>
      </w:pPr>
      <w:proofErr w:type="gramStart"/>
      <w:r w:rsidRPr="00AF5DBC">
        <w:rPr>
          <w:rFonts w:ascii="Arial" w:hAnsi="Arial" w:cs="Arial"/>
        </w:rPr>
        <w:t>poweźmie</w:t>
      </w:r>
      <w:proofErr w:type="gramEnd"/>
      <w:r w:rsidRPr="00AF5DBC">
        <w:rPr>
          <w:rFonts w:ascii="Arial" w:hAnsi="Arial" w:cs="Arial"/>
        </w:rPr>
        <w:t xml:space="preserve"> informacje o wszczęciu wobec Uprawnionego postępowania w sprawach o przestępstwa na szkodę Spółki.</w:t>
      </w:r>
    </w:p>
    <w:p w:rsidR="005F783E" w:rsidRDefault="005F783E" w:rsidP="006449DA">
      <w:pPr>
        <w:pStyle w:val="Artykul"/>
        <w:spacing w:before="60" w:line="240" w:lineRule="exact"/>
        <w:ind w:left="709" w:firstLine="0"/>
        <w:jc w:val="both"/>
        <w:rPr>
          <w:rFonts w:ascii="Arial" w:hAnsi="Arial" w:cs="Arial"/>
          <w:sz w:val="20"/>
        </w:rPr>
      </w:pPr>
    </w:p>
    <w:p w:rsidR="001C3EF3" w:rsidRPr="00FC3830" w:rsidRDefault="006449DA" w:rsidP="006449DA">
      <w:pPr>
        <w:pStyle w:val="Artykul"/>
        <w:keepNext/>
        <w:keepLines/>
        <w:spacing w:before="60" w:line="240" w:lineRule="exact"/>
        <w:jc w:val="both"/>
        <w:rPr>
          <w:rFonts w:ascii="Arial" w:hAnsi="Arial" w:cs="Arial"/>
          <w:sz w:val="20"/>
        </w:rPr>
      </w:pPr>
      <w:r w:rsidRPr="00FC3830">
        <w:rPr>
          <w:rFonts w:ascii="Arial" w:hAnsi="Arial" w:cs="Arial"/>
          <w:sz w:val="20"/>
        </w:rPr>
        <w:t xml:space="preserve"> </w:t>
      </w:r>
    </w:p>
    <w:sectPr w:rsidR="001C3EF3" w:rsidRPr="00FC3830" w:rsidSect="00F578E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F4" w:rsidRDefault="00DA04F4" w:rsidP="007B39BE">
      <w:pPr>
        <w:spacing w:after="0" w:line="240" w:lineRule="auto"/>
      </w:pPr>
      <w:r>
        <w:separator/>
      </w:r>
    </w:p>
  </w:endnote>
  <w:endnote w:type="continuationSeparator" w:id="0">
    <w:p w:rsidR="00DA04F4" w:rsidRDefault="00DA04F4" w:rsidP="007B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F4" w:rsidRDefault="00DA04F4" w:rsidP="007B39BE">
      <w:pPr>
        <w:spacing w:after="0" w:line="240" w:lineRule="auto"/>
      </w:pPr>
      <w:r>
        <w:separator/>
      </w:r>
    </w:p>
  </w:footnote>
  <w:footnote w:type="continuationSeparator" w:id="0">
    <w:p w:rsidR="00DA04F4" w:rsidRDefault="00DA04F4" w:rsidP="007B3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4032"/>
    <w:multiLevelType w:val="hybridMultilevel"/>
    <w:tmpl w:val="A4E0CC92"/>
    <w:lvl w:ilvl="0" w:tplc="04150011">
      <w:start w:val="1"/>
      <w:numFmt w:val="decimal"/>
      <w:lvlText w:val="%1)"/>
      <w:lvlJc w:val="left"/>
      <w:pPr>
        <w:ind w:left="1146" w:hanging="360"/>
      </w:pPr>
    </w:lvl>
    <w:lvl w:ilvl="1" w:tplc="492EFBE8">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17652B45"/>
    <w:multiLevelType w:val="multilevel"/>
    <w:tmpl w:val="F2CE77CE"/>
    <w:lvl w:ilvl="0">
      <w:start w:val="1"/>
      <w:numFmt w:val="decimal"/>
      <w:lvlText w:val="%1."/>
      <w:lvlJc w:val="left"/>
      <w:pPr>
        <w:tabs>
          <w:tab w:val="num" w:pos="360"/>
        </w:tabs>
        <w:ind w:left="340" w:hanging="340"/>
      </w:pPr>
      <w:rPr>
        <w:rFonts w:ascii="Arial" w:hAnsi="Arial" w:cs="Arial" w:hint="default"/>
        <w:b/>
        <w:i w:val="0"/>
        <w:sz w:val="20"/>
        <w:szCs w:val="20"/>
      </w:rPr>
    </w:lvl>
    <w:lvl w:ilvl="1">
      <w:start w:val="1"/>
      <w:numFmt w:val="decimal"/>
      <w:lvlText w:val="%1.%2."/>
      <w:lvlJc w:val="left"/>
      <w:pPr>
        <w:tabs>
          <w:tab w:val="num" w:pos="738"/>
        </w:tabs>
        <w:ind w:left="738" w:hanging="454"/>
      </w:pPr>
      <w:rPr>
        <w:rFonts w:cs="Times New Roman" w:hint="default"/>
        <w:color w:val="auto"/>
      </w:rPr>
    </w:lvl>
    <w:lvl w:ilvl="2">
      <w:start w:val="1"/>
      <w:numFmt w:val="decimal"/>
      <w:lvlText w:val="%1.%2.%3"/>
      <w:lvlJc w:val="left"/>
      <w:pPr>
        <w:tabs>
          <w:tab w:val="num" w:pos="1474"/>
        </w:tabs>
        <w:ind w:left="1474" w:hanging="680"/>
      </w:pPr>
      <w:rPr>
        <w:rFonts w:cs="Times New Roman" w:hint="default"/>
      </w:rPr>
    </w:lvl>
    <w:lvl w:ilvl="3">
      <w:start w:val="1"/>
      <w:numFmt w:val="decimal"/>
      <w:lvlText w:val="%1.%2.%3.%4"/>
      <w:lvlJc w:val="left"/>
      <w:pPr>
        <w:tabs>
          <w:tab w:val="num" w:pos="-1053"/>
        </w:tabs>
        <w:ind w:left="-1053" w:hanging="864"/>
      </w:pPr>
      <w:rPr>
        <w:rFonts w:cs="Times New Roman" w:hint="default"/>
      </w:rPr>
    </w:lvl>
    <w:lvl w:ilvl="4">
      <w:start w:val="1"/>
      <w:numFmt w:val="decimal"/>
      <w:lvlText w:val="%1.%2.%3.%4.%5"/>
      <w:lvlJc w:val="left"/>
      <w:pPr>
        <w:tabs>
          <w:tab w:val="num" w:pos="-909"/>
        </w:tabs>
        <w:ind w:left="-909" w:hanging="1008"/>
      </w:pPr>
      <w:rPr>
        <w:rFonts w:cs="Times New Roman" w:hint="default"/>
      </w:rPr>
    </w:lvl>
    <w:lvl w:ilvl="5">
      <w:start w:val="1"/>
      <w:numFmt w:val="decimal"/>
      <w:lvlText w:val="%1.%2.%3.%4.%5.%6"/>
      <w:lvlJc w:val="left"/>
      <w:pPr>
        <w:tabs>
          <w:tab w:val="num" w:pos="-765"/>
        </w:tabs>
        <w:ind w:left="-765" w:hanging="1152"/>
      </w:pPr>
      <w:rPr>
        <w:rFonts w:cs="Times New Roman" w:hint="default"/>
      </w:rPr>
    </w:lvl>
    <w:lvl w:ilvl="6">
      <w:start w:val="1"/>
      <w:numFmt w:val="decimal"/>
      <w:lvlText w:val="%1.%2.%3.%4.%5.%6.%7"/>
      <w:lvlJc w:val="left"/>
      <w:pPr>
        <w:tabs>
          <w:tab w:val="num" w:pos="-621"/>
        </w:tabs>
        <w:ind w:left="-621" w:hanging="1296"/>
      </w:pPr>
      <w:rPr>
        <w:rFonts w:cs="Times New Roman" w:hint="default"/>
      </w:rPr>
    </w:lvl>
    <w:lvl w:ilvl="7">
      <w:start w:val="1"/>
      <w:numFmt w:val="decimal"/>
      <w:lvlText w:val="%1.%2.%3.%4.%5.%6.%7.%8"/>
      <w:lvlJc w:val="left"/>
      <w:pPr>
        <w:tabs>
          <w:tab w:val="num" w:pos="-477"/>
        </w:tabs>
        <w:ind w:left="-477" w:hanging="1440"/>
      </w:pPr>
      <w:rPr>
        <w:rFonts w:cs="Times New Roman" w:hint="default"/>
      </w:rPr>
    </w:lvl>
    <w:lvl w:ilvl="8">
      <w:start w:val="1"/>
      <w:numFmt w:val="decimal"/>
      <w:lvlText w:val="%1.%2.%3.%4.%5.%6.%7.%8.%9"/>
      <w:lvlJc w:val="left"/>
      <w:pPr>
        <w:tabs>
          <w:tab w:val="num" w:pos="-333"/>
        </w:tabs>
        <w:ind w:left="-333" w:hanging="1584"/>
      </w:pPr>
      <w:rPr>
        <w:rFonts w:cs="Times New Roman" w:hint="default"/>
      </w:rPr>
    </w:lvl>
  </w:abstractNum>
  <w:abstractNum w:abstractNumId="2">
    <w:nsid w:val="1991769B"/>
    <w:multiLevelType w:val="multilevel"/>
    <w:tmpl w:val="C9E4A944"/>
    <w:lvl w:ilvl="0">
      <w:start w:val="4"/>
      <w:numFmt w:val="decimal"/>
      <w:lvlText w:val="%1."/>
      <w:lvlJc w:val="left"/>
      <w:pPr>
        <w:tabs>
          <w:tab w:val="num" w:pos="360"/>
        </w:tabs>
        <w:ind w:left="340" w:hanging="340"/>
      </w:pPr>
      <w:rPr>
        <w:rFonts w:ascii="Arial" w:hAnsi="Arial" w:cs="Arial" w:hint="default"/>
        <w:b/>
        <w:i w:val="0"/>
        <w:sz w:val="20"/>
        <w:szCs w:val="20"/>
      </w:rPr>
    </w:lvl>
    <w:lvl w:ilvl="1">
      <w:start w:val="1"/>
      <w:numFmt w:val="decimal"/>
      <w:lvlText w:val="%1.%2."/>
      <w:lvlJc w:val="left"/>
      <w:pPr>
        <w:tabs>
          <w:tab w:val="num" w:pos="738"/>
        </w:tabs>
        <w:ind w:left="738" w:hanging="454"/>
      </w:pPr>
      <w:rPr>
        <w:rFonts w:cs="Times New Roman" w:hint="default"/>
      </w:rPr>
    </w:lvl>
    <w:lvl w:ilvl="2">
      <w:start w:val="2"/>
      <w:numFmt w:val="decimal"/>
      <w:lvlText w:val="%1.%2.%3"/>
      <w:lvlJc w:val="left"/>
      <w:pPr>
        <w:tabs>
          <w:tab w:val="num" w:pos="1474"/>
        </w:tabs>
        <w:ind w:left="1474" w:hanging="680"/>
      </w:pPr>
      <w:rPr>
        <w:rFonts w:cs="Times New Roman" w:hint="default"/>
      </w:rPr>
    </w:lvl>
    <w:lvl w:ilvl="3">
      <w:start w:val="1"/>
      <w:numFmt w:val="decimal"/>
      <w:lvlText w:val="%1.%2.%3.%4"/>
      <w:lvlJc w:val="left"/>
      <w:pPr>
        <w:tabs>
          <w:tab w:val="num" w:pos="-1053"/>
        </w:tabs>
        <w:ind w:left="-1053" w:hanging="864"/>
      </w:pPr>
      <w:rPr>
        <w:rFonts w:cs="Times New Roman" w:hint="default"/>
      </w:rPr>
    </w:lvl>
    <w:lvl w:ilvl="4">
      <w:start w:val="1"/>
      <w:numFmt w:val="decimal"/>
      <w:lvlText w:val="%1.%2.%3.%4.%5"/>
      <w:lvlJc w:val="left"/>
      <w:pPr>
        <w:tabs>
          <w:tab w:val="num" w:pos="-909"/>
        </w:tabs>
        <w:ind w:left="-909" w:hanging="1008"/>
      </w:pPr>
      <w:rPr>
        <w:rFonts w:cs="Times New Roman" w:hint="default"/>
      </w:rPr>
    </w:lvl>
    <w:lvl w:ilvl="5">
      <w:start w:val="1"/>
      <w:numFmt w:val="decimal"/>
      <w:lvlText w:val="%1.%2.%3.%4.%5.%6"/>
      <w:lvlJc w:val="left"/>
      <w:pPr>
        <w:tabs>
          <w:tab w:val="num" w:pos="-765"/>
        </w:tabs>
        <w:ind w:left="-765" w:hanging="1152"/>
      </w:pPr>
      <w:rPr>
        <w:rFonts w:cs="Times New Roman" w:hint="default"/>
      </w:rPr>
    </w:lvl>
    <w:lvl w:ilvl="6">
      <w:start w:val="1"/>
      <w:numFmt w:val="decimal"/>
      <w:lvlText w:val="%1.%2.%3.%4.%5.%6.%7"/>
      <w:lvlJc w:val="left"/>
      <w:pPr>
        <w:tabs>
          <w:tab w:val="num" w:pos="-621"/>
        </w:tabs>
        <w:ind w:left="-621" w:hanging="1296"/>
      </w:pPr>
      <w:rPr>
        <w:rFonts w:cs="Times New Roman" w:hint="default"/>
      </w:rPr>
    </w:lvl>
    <w:lvl w:ilvl="7">
      <w:start w:val="1"/>
      <w:numFmt w:val="decimal"/>
      <w:lvlText w:val="%1.%2.%3.%4.%5.%6.%7.%8"/>
      <w:lvlJc w:val="left"/>
      <w:pPr>
        <w:tabs>
          <w:tab w:val="num" w:pos="-477"/>
        </w:tabs>
        <w:ind w:left="-477" w:hanging="1440"/>
      </w:pPr>
      <w:rPr>
        <w:rFonts w:cs="Times New Roman" w:hint="default"/>
      </w:rPr>
    </w:lvl>
    <w:lvl w:ilvl="8">
      <w:start w:val="1"/>
      <w:numFmt w:val="decimal"/>
      <w:lvlText w:val="%1.%2.%3.%4.%5.%6.%7.%8.%9"/>
      <w:lvlJc w:val="left"/>
      <w:pPr>
        <w:tabs>
          <w:tab w:val="num" w:pos="-333"/>
        </w:tabs>
        <w:ind w:left="-333" w:hanging="1584"/>
      </w:pPr>
      <w:rPr>
        <w:rFonts w:cs="Times New Roman" w:hint="default"/>
      </w:rPr>
    </w:lvl>
  </w:abstractNum>
  <w:abstractNum w:abstractNumId="3">
    <w:nsid w:val="1B27523D"/>
    <w:multiLevelType w:val="hybridMultilevel"/>
    <w:tmpl w:val="C492CD3A"/>
    <w:lvl w:ilvl="0" w:tplc="4F5E3A98">
      <w:start w:val="1"/>
      <w:numFmt w:val="decimal"/>
      <w:lvlText w:val="%1."/>
      <w:lvlJc w:val="right"/>
      <w:pPr>
        <w:ind w:left="1100" w:hanging="360"/>
      </w:pPr>
      <w:rPr>
        <w:rFonts w:hint="default"/>
        <w:lang w:val="pl-PL"/>
      </w:rPr>
    </w:lvl>
    <w:lvl w:ilvl="1" w:tplc="04150019">
      <w:start w:val="1"/>
      <w:numFmt w:val="lowerLetter"/>
      <w:lvlText w:val="%2."/>
      <w:lvlJc w:val="left"/>
      <w:pPr>
        <w:ind w:left="182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25EB7167"/>
    <w:multiLevelType w:val="hybridMultilevel"/>
    <w:tmpl w:val="7EDE6CC8"/>
    <w:lvl w:ilvl="0" w:tplc="530C5DD0">
      <w:start w:val="1"/>
      <w:numFmt w:val="decimal"/>
      <w:lvlText w:val="%1."/>
      <w:lvlJc w:val="left"/>
      <w:pPr>
        <w:ind w:left="72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2A720C85"/>
    <w:multiLevelType w:val="hybridMultilevel"/>
    <w:tmpl w:val="B1C428B8"/>
    <w:lvl w:ilvl="0" w:tplc="BBE26914">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2614B6"/>
    <w:multiLevelType w:val="hybridMultilevel"/>
    <w:tmpl w:val="9274E0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2D443D2C"/>
    <w:multiLevelType w:val="hybridMultilevel"/>
    <w:tmpl w:val="1696CE6C"/>
    <w:lvl w:ilvl="0" w:tplc="3FFAA65A">
      <w:start w:val="1"/>
      <w:numFmt w:val="decimal"/>
      <w:lvlText w:val="%1)"/>
      <w:lvlJc w:val="left"/>
      <w:pPr>
        <w:ind w:left="110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30E86ECE"/>
    <w:multiLevelType w:val="multilevel"/>
    <w:tmpl w:val="79D8B424"/>
    <w:lvl w:ilvl="0">
      <w:start w:val="3"/>
      <w:numFmt w:val="decimal"/>
      <w:lvlText w:val="%1."/>
      <w:lvlJc w:val="left"/>
      <w:pPr>
        <w:tabs>
          <w:tab w:val="num" w:pos="360"/>
        </w:tabs>
        <w:ind w:left="340" w:hanging="340"/>
      </w:pPr>
      <w:rPr>
        <w:rFonts w:ascii="Arial" w:hAnsi="Arial" w:cs="Arial" w:hint="default"/>
        <w:b/>
        <w:i w:val="0"/>
        <w:sz w:val="20"/>
        <w:szCs w:val="20"/>
      </w:rPr>
    </w:lvl>
    <w:lvl w:ilvl="1">
      <w:start w:val="3"/>
      <w:numFmt w:val="decimal"/>
      <w:lvlText w:val="%1.%2."/>
      <w:lvlJc w:val="left"/>
      <w:pPr>
        <w:tabs>
          <w:tab w:val="num" w:pos="738"/>
        </w:tabs>
        <w:ind w:left="738" w:hanging="454"/>
      </w:pPr>
      <w:rPr>
        <w:rFonts w:cs="Times New Roman" w:hint="default"/>
        <w:color w:val="auto"/>
      </w:rPr>
    </w:lvl>
    <w:lvl w:ilvl="2">
      <w:start w:val="1"/>
      <w:numFmt w:val="decimal"/>
      <w:lvlText w:val="%1.%2.%3"/>
      <w:lvlJc w:val="left"/>
      <w:pPr>
        <w:tabs>
          <w:tab w:val="num" w:pos="1474"/>
        </w:tabs>
        <w:ind w:left="1474" w:hanging="680"/>
      </w:pPr>
      <w:rPr>
        <w:rFonts w:cs="Times New Roman" w:hint="default"/>
      </w:rPr>
    </w:lvl>
    <w:lvl w:ilvl="3">
      <w:start w:val="1"/>
      <w:numFmt w:val="decimal"/>
      <w:lvlText w:val="%1.%2.%3.%4"/>
      <w:lvlJc w:val="left"/>
      <w:pPr>
        <w:tabs>
          <w:tab w:val="num" w:pos="-1053"/>
        </w:tabs>
        <w:ind w:left="-1053" w:hanging="864"/>
      </w:pPr>
      <w:rPr>
        <w:rFonts w:cs="Times New Roman" w:hint="default"/>
      </w:rPr>
    </w:lvl>
    <w:lvl w:ilvl="4">
      <w:start w:val="1"/>
      <w:numFmt w:val="decimal"/>
      <w:lvlText w:val="%1.%2.%3.%4.%5"/>
      <w:lvlJc w:val="left"/>
      <w:pPr>
        <w:tabs>
          <w:tab w:val="num" w:pos="-909"/>
        </w:tabs>
        <w:ind w:left="-909" w:hanging="1008"/>
      </w:pPr>
      <w:rPr>
        <w:rFonts w:cs="Times New Roman" w:hint="default"/>
      </w:rPr>
    </w:lvl>
    <w:lvl w:ilvl="5">
      <w:start w:val="1"/>
      <w:numFmt w:val="decimal"/>
      <w:lvlText w:val="%1.%2.%3.%4.%5.%6"/>
      <w:lvlJc w:val="left"/>
      <w:pPr>
        <w:tabs>
          <w:tab w:val="num" w:pos="-765"/>
        </w:tabs>
        <w:ind w:left="-765" w:hanging="1152"/>
      </w:pPr>
      <w:rPr>
        <w:rFonts w:cs="Times New Roman" w:hint="default"/>
      </w:rPr>
    </w:lvl>
    <w:lvl w:ilvl="6">
      <w:start w:val="1"/>
      <w:numFmt w:val="decimal"/>
      <w:lvlText w:val="%1.%2.%3.%4.%5.%6.%7"/>
      <w:lvlJc w:val="left"/>
      <w:pPr>
        <w:tabs>
          <w:tab w:val="num" w:pos="-621"/>
        </w:tabs>
        <w:ind w:left="-621" w:hanging="1296"/>
      </w:pPr>
      <w:rPr>
        <w:rFonts w:cs="Times New Roman" w:hint="default"/>
      </w:rPr>
    </w:lvl>
    <w:lvl w:ilvl="7">
      <w:start w:val="1"/>
      <w:numFmt w:val="decimal"/>
      <w:lvlText w:val="%1.%2.%3.%4.%5.%6.%7.%8"/>
      <w:lvlJc w:val="left"/>
      <w:pPr>
        <w:tabs>
          <w:tab w:val="num" w:pos="-477"/>
        </w:tabs>
        <w:ind w:left="-477" w:hanging="1440"/>
      </w:pPr>
      <w:rPr>
        <w:rFonts w:cs="Times New Roman" w:hint="default"/>
      </w:rPr>
    </w:lvl>
    <w:lvl w:ilvl="8">
      <w:start w:val="1"/>
      <w:numFmt w:val="decimal"/>
      <w:lvlText w:val="%1.%2.%3.%4.%5.%6.%7.%8.%9"/>
      <w:lvlJc w:val="left"/>
      <w:pPr>
        <w:tabs>
          <w:tab w:val="num" w:pos="-333"/>
        </w:tabs>
        <w:ind w:left="-333" w:hanging="1584"/>
      </w:pPr>
      <w:rPr>
        <w:rFonts w:cs="Times New Roman" w:hint="default"/>
      </w:rPr>
    </w:lvl>
  </w:abstractNum>
  <w:abstractNum w:abstractNumId="9">
    <w:nsid w:val="310429BE"/>
    <w:multiLevelType w:val="hybridMultilevel"/>
    <w:tmpl w:val="901E449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31AC5472"/>
    <w:multiLevelType w:val="hybridMultilevel"/>
    <w:tmpl w:val="E15661C4"/>
    <w:lvl w:ilvl="0" w:tplc="211A58B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
    <w:nsid w:val="4A0E4E2D"/>
    <w:multiLevelType w:val="multilevel"/>
    <w:tmpl w:val="3EC8E8E0"/>
    <w:lvl w:ilvl="0">
      <w:start w:val="1"/>
      <w:numFmt w:val="decimal"/>
      <w:lvlText w:val="%1."/>
      <w:lvlJc w:val="left"/>
      <w:pPr>
        <w:tabs>
          <w:tab w:val="num" w:pos="360"/>
        </w:tabs>
        <w:ind w:left="340" w:hanging="340"/>
      </w:pPr>
      <w:rPr>
        <w:rFonts w:ascii="Arial" w:hAnsi="Arial" w:cs="Arial" w:hint="default"/>
        <w:b/>
        <w:i w:val="0"/>
        <w:sz w:val="20"/>
        <w:szCs w:val="20"/>
      </w:rPr>
    </w:lvl>
    <w:lvl w:ilvl="1">
      <w:start w:val="1"/>
      <w:numFmt w:val="decimal"/>
      <w:lvlText w:val="%1.%2."/>
      <w:lvlJc w:val="left"/>
      <w:pPr>
        <w:tabs>
          <w:tab w:val="num" w:pos="738"/>
        </w:tabs>
        <w:ind w:left="738" w:hanging="454"/>
      </w:pPr>
      <w:rPr>
        <w:rFonts w:cs="Times New Roman" w:hint="default"/>
      </w:rPr>
    </w:lvl>
    <w:lvl w:ilvl="2">
      <w:start w:val="1"/>
      <w:numFmt w:val="decimal"/>
      <w:lvlText w:val="%1.%2.%3"/>
      <w:lvlJc w:val="left"/>
      <w:pPr>
        <w:tabs>
          <w:tab w:val="num" w:pos="1474"/>
        </w:tabs>
        <w:ind w:left="1474" w:hanging="680"/>
      </w:pPr>
      <w:rPr>
        <w:rFonts w:cs="Times New Roman" w:hint="default"/>
      </w:rPr>
    </w:lvl>
    <w:lvl w:ilvl="3">
      <w:start w:val="1"/>
      <w:numFmt w:val="decimal"/>
      <w:lvlText w:val="%1.%2.%3.%4"/>
      <w:lvlJc w:val="left"/>
      <w:pPr>
        <w:tabs>
          <w:tab w:val="num" w:pos="-1053"/>
        </w:tabs>
        <w:ind w:left="-1053" w:hanging="864"/>
      </w:pPr>
      <w:rPr>
        <w:rFonts w:cs="Times New Roman" w:hint="default"/>
      </w:rPr>
    </w:lvl>
    <w:lvl w:ilvl="4">
      <w:start w:val="1"/>
      <w:numFmt w:val="decimal"/>
      <w:lvlText w:val="%1.%2.%3.%4.%5"/>
      <w:lvlJc w:val="left"/>
      <w:pPr>
        <w:tabs>
          <w:tab w:val="num" w:pos="-909"/>
        </w:tabs>
        <w:ind w:left="-909" w:hanging="1008"/>
      </w:pPr>
      <w:rPr>
        <w:rFonts w:cs="Times New Roman" w:hint="default"/>
      </w:rPr>
    </w:lvl>
    <w:lvl w:ilvl="5">
      <w:start w:val="1"/>
      <w:numFmt w:val="decimal"/>
      <w:lvlText w:val="%1.%2.%3.%4.%5.%6"/>
      <w:lvlJc w:val="left"/>
      <w:pPr>
        <w:tabs>
          <w:tab w:val="num" w:pos="-765"/>
        </w:tabs>
        <w:ind w:left="-765" w:hanging="1152"/>
      </w:pPr>
      <w:rPr>
        <w:rFonts w:cs="Times New Roman" w:hint="default"/>
      </w:rPr>
    </w:lvl>
    <w:lvl w:ilvl="6">
      <w:start w:val="1"/>
      <w:numFmt w:val="decimal"/>
      <w:lvlText w:val="%1.%2.%3.%4.%5.%6.%7"/>
      <w:lvlJc w:val="left"/>
      <w:pPr>
        <w:tabs>
          <w:tab w:val="num" w:pos="-621"/>
        </w:tabs>
        <w:ind w:left="-621" w:hanging="1296"/>
      </w:pPr>
      <w:rPr>
        <w:rFonts w:cs="Times New Roman" w:hint="default"/>
      </w:rPr>
    </w:lvl>
    <w:lvl w:ilvl="7">
      <w:start w:val="1"/>
      <w:numFmt w:val="decimal"/>
      <w:lvlText w:val="%1.%2.%3.%4.%5.%6.%7.%8"/>
      <w:lvlJc w:val="left"/>
      <w:pPr>
        <w:tabs>
          <w:tab w:val="num" w:pos="-477"/>
        </w:tabs>
        <w:ind w:left="-477" w:hanging="1440"/>
      </w:pPr>
      <w:rPr>
        <w:rFonts w:cs="Times New Roman" w:hint="default"/>
      </w:rPr>
    </w:lvl>
    <w:lvl w:ilvl="8">
      <w:start w:val="1"/>
      <w:numFmt w:val="decimal"/>
      <w:lvlText w:val="%1.%2.%3.%4.%5.%6.%7.%8.%9"/>
      <w:lvlJc w:val="left"/>
      <w:pPr>
        <w:tabs>
          <w:tab w:val="num" w:pos="-333"/>
        </w:tabs>
        <w:ind w:left="-333" w:hanging="1584"/>
      </w:pPr>
      <w:rPr>
        <w:rFonts w:cs="Times New Roman" w:hint="default"/>
      </w:rPr>
    </w:lvl>
  </w:abstractNum>
  <w:abstractNum w:abstractNumId="12">
    <w:nsid w:val="4D2A7B9E"/>
    <w:multiLevelType w:val="multilevel"/>
    <w:tmpl w:val="F2CE77CE"/>
    <w:lvl w:ilvl="0">
      <w:start w:val="1"/>
      <w:numFmt w:val="decimal"/>
      <w:lvlText w:val="%1."/>
      <w:lvlJc w:val="left"/>
      <w:pPr>
        <w:tabs>
          <w:tab w:val="num" w:pos="360"/>
        </w:tabs>
        <w:ind w:left="340" w:hanging="340"/>
      </w:pPr>
      <w:rPr>
        <w:rFonts w:ascii="Arial" w:hAnsi="Arial" w:cs="Arial" w:hint="default"/>
        <w:b/>
        <w:i w:val="0"/>
        <w:sz w:val="20"/>
        <w:szCs w:val="20"/>
      </w:rPr>
    </w:lvl>
    <w:lvl w:ilvl="1">
      <w:start w:val="1"/>
      <w:numFmt w:val="decimal"/>
      <w:lvlText w:val="%1.%2."/>
      <w:lvlJc w:val="left"/>
      <w:pPr>
        <w:tabs>
          <w:tab w:val="num" w:pos="738"/>
        </w:tabs>
        <w:ind w:left="738" w:hanging="454"/>
      </w:pPr>
      <w:rPr>
        <w:rFonts w:cs="Times New Roman" w:hint="default"/>
        <w:color w:val="auto"/>
      </w:rPr>
    </w:lvl>
    <w:lvl w:ilvl="2">
      <w:start w:val="1"/>
      <w:numFmt w:val="decimal"/>
      <w:lvlText w:val="%1.%2.%3"/>
      <w:lvlJc w:val="left"/>
      <w:pPr>
        <w:tabs>
          <w:tab w:val="num" w:pos="1474"/>
        </w:tabs>
        <w:ind w:left="1474" w:hanging="680"/>
      </w:pPr>
      <w:rPr>
        <w:rFonts w:cs="Times New Roman" w:hint="default"/>
      </w:rPr>
    </w:lvl>
    <w:lvl w:ilvl="3">
      <w:start w:val="1"/>
      <w:numFmt w:val="decimal"/>
      <w:lvlText w:val="%1.%2.%3.%4"/>
      <w:lvlJc w:val="left"/>
      <w:pPr>
        <w:tabs>
          <w:tab w:val="num" w:pos="-1053"/>
        </w:tabs>
        <w:ind w:left="-1053" w:hanging="864"/>
      </w:pPr>
      <w:rPr>
        <w:rFonts w:cs="Times New Roman" w:hint="default"/>
      </w:rPr>
    </w:lvl>
    <w:lvl w:ilvl="4">
      <w:start w:val="1"/>
      <w:numFmt w:val="decimal"/>
      <w:lvlText w:val="%1.%2.%3.%4.%5"/>
      <w:lvlJc w:val="left"/>
      <w:pPr>
        <w:tabs>
          <w:tab w:val="num" w:pos="-909"/>
        </w:tabs>
        <w:ind w:left="-909" w:hanging="1008"/>
      </w:pPr>
      <w:rPr>
        <w:rFonts w:cs="Times New Roman" w:hint="default"/>
      </w:rPr>
    </w:lvl>
    <w:lvl w:ilvl="5">
      <w:start w:val="1"/>
      <w:numFmt w:val="decimal"/>
      <w:lvlText w:val="%1.%2.%3.%4.%5.%6"/>
      <w:lvlJc w:val="left"/>
      <w:pPr>
        <w:tabs>
          <w:tab w:val="num" w:pos="-765"/>
        </w:tabs>
        <w:ind w:left="-765" w:hanging="1152"/>
      </w:pPr>
      <w:rPr>
        <w:rFonts w:cs="Times New Roman" w:hint="default"/>
      </w:rPr>
    </w:lvl>
    <w:lvl w:ilvl="6">
      <w:start w:val="1"/>
      <w:numFmt w:val="decimal"/>
      <w:lvlText w:val="%1.%2.%3.%4.%5.%6.%7"/>
      <w:lvlJc w:val="left"/>
      <w:pPr>
        <w:tabs>
          <w:tab w:val="num" w:pos="-621"/>
        </w:tabs>
        <w:ind w:left="-621" w:hanging="1296"/>
      </w:pPr>
      <w:rPr>
        <w:rFonts w:cs="Times New Roman" w:hint="default"/>
      </w:rPr>
    </w:lvl>
    <w:lvl w:ilvl="7">
      <w:start w:val="1"/>
      <w:numFmt w:val="decimal"/>
      <w:lvlText w:val="%1.%2.%3.%4.%5.%6.%7.%8"/>
      <w:lvlJc w:val="left"/>
      <w:pPr>
        <w:tabs>
          <w:tab w:val="num" w:pos="-477"/>
        </w:tabs>
        <w:ind w:left="-477" w:hanging="1440"/>
      </w:pPr>
      <w:rPr>
        <w:rFonts w:cs="Times New Roman" w:hint="default"/>
      </w:rPr>
    </w:lvl>
    <w:lvl w:ilvl="8">
      <w:start w:val="1"/>
      <w:numFmt w:val="decimal"/>
      <w:lvlText w:val="%1.%2.%3.%4.%5.%6.%7.%8.%9"/>
      <w:lvlJc w:val="left"/>
      <w:pPr>
        <w:tabs>
          <w:tab w:val="num" w:pos="-333"/>
        </w:tabs>
        <w:ind w:left="-333" w:hanging="1584"/>
      </w:pPr>
      <w:rPr>
        <w:rFonts w:cs="Times New Roman" w:hint="default"/>
      </w:rPr>
    </w:lvl>
  </w:abstractNum>
  <w:abstractNum w:abstractNumId="13">
    <w:nsid w:val="4EE613CB"/>
    <w:multiLevelType w:val="hybridMultilevel"/>
    <w:tmpl w:val="9D3698AA"/>
    <w:lvl w:ilvl="0" w:tplc="52308580">
      <w:start w:val="1"/>
      <w:numFmt w:val="decimal"/>
      <w:lvlText w:val="%1)"/>
      <w:lvlJc w:val="left"/>
      <w:pPr>
        <w:ind w:left="1100" w:hanging="360"/>
      </w:pPr>
      <w:rPr>
        <w:rFonts w:ascii="Calibri" w:eastAsia="Times New Roman" w:hAnsi="Calibri" w:cs="Times New Roman"/>
      </w:rPr>
    </w:lvl>
    <w:lvl w:ilvl="1" w:tplc="04150019">
      <w:start w:val="1"/>
      <w:numFmt w:val="lowerLetter"/>
      <w:lvlText w:val="%2."/>
      <w:lvlJc w:val="left"/>
      <w:pPr>
        <w:ind w:left="182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9236702"/>
    <w:multiLevelType w:val="hybridMultilevel"/>
    <w:tmpl w:val="A5D0BE0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FCC7239"/>
    <w:multiLevelType w:val="hybridMultilevel"/>
    <w:tmpl w:val="7F16CE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496097"/>
    <w:multiLevelType w:val="multilevel"/>
    <w:tmpl w:val="91CA80BE"/>
    <w:lvl w:ilvl="0">
      <w:start w:val="3"/>
      <w:numFmt w:val="decimal"/>
      <w:lvlText w:val="%1."/>
      <w:lvlJc w:val="left"/>
      <w:pPr>
        <w:ind w:left="510" w:hanging="510"/>
      </w:pPr>
      <w:rPr>
        <w:rFonts w:cs="Times New Roman" w:hint="default"/>
      </w:rPr>
    </w:lvl>
    <w:lvl w:ilvl="1">
      <w:start w:val="3"/>
      <w:numFmt w:val="decimal"/>
      <w:lvlText w:val="%1.%2."/>
      <w:lvlJc w:val="left"/>
      <w:pPr>
        <w:ind w:left="907" w:hanging="510"/>
      </w:pPr>
      <w:rPr>
        <w:rFonts w:cs="Times New Roman" w:hint="default"/>
      </w:rPr>
    </w:lvl>
    <w:lvl w:ilvl="2">
      <w:start w:val="1"/>
      <w:numFmt w:val="decimal"/>
      <w:lvlText w:val="%1.%2.%3."/>
      <w:lvlJc w:val="left"/>
      <w:pPr>
        <w:ind w:left="1514" w:hanging="720"/>
      </w:pPr>
      <w:rPr>
        <w:rFonts w:cs="Times New Roman" w:hint="default"/>
      </w:rPr>
    </w:lvl>
    <w:lvl w:ilvl="3">
      <w:start w:val="1"/>
      <w:numFmt w:val="decimal"/>
      <w:lvlText w:val="%1.%2.%3.%4."/>
      <w:lvlJc w:val="left"/>
      <w:pPr>
        <w:ind w:left="1911" w:hanging="720"/>
      </w:pPr>
      <w:rPr>
        <w:rFonts w:cs="Times New Roman" w:hint="default"/>
      </w:rPr>
    </w:lvl>
    <w:lvl w:ilvl="4">
      <w:start w:val="1"/>
      <w:numFmt w:val="decimal"/>
      <w:lvlText w:val="%1.%2.%3.%4.%5."/>
      <w:lvlJc w:val="left"/>
      <w:pPr>
        <w:ind w:left="2668" w:hanging="1080"/>
      </w:pPr>
      <w:rPr>
        <w:rFonts w:cs="Times New Roman" w:hint="default"/>
      </w:rPr>
    </w:lvl>
    <w:lvl w:ilvl="5">
      <w:start w:val="1"/>
      <w:numFmt w:val="decimal"/>
      <w:lvlText w:val="%1.%2.%3.%4.%5.%6."/>
      <w:lvlJc w:val="left"/>
      <w:pPr>
        <w:ind w:left="3065" w:hanging="1080"/>
      </w:pPr>
      <w:rPr>
        <w:rFonts w:cs="Times New Roman" w:hint="default"/>
      </w:rPr>
    </w:lvl>
    <w:lvl w:ilvl="6">
      <w:start w:val="1"/>
      <w:numFmt w:val="decimal"/>
      <w:lvlText w:val="%1.%2.%3.%4.%5.%6.%7."/>
      <w:lvlJc w:val="left"/>
      <w:pPr>
        <w:ind w:left="3822" w:hanging="1440"/>
      </w:pPr>
      <w:rPr>
        <w:rFonts w:cs="Times New Roman" w:hint="default"/>
      </w:rPr>
    </w:lvl>
    <w:lvl w:ilvl="7">
      <w:start w:val="1"/>
      <w:numFmt w:val="decimal"/>
      <w:lvlText w:val="%1.%2.%3.%4.%5.%6.%7.%8."/>
      <w:lvlJc w:val="left"/>
      <w:pPr>
        <w:ind w:left="4219" w:hanging="1440"/>
      </w:pPr>
      <w:rPr>
        <w:rFonts w:cs="Times New Roman" w:hint="default"/>
      </w:rPr>
    </w:lvl>
    <w:lvl w:ilvl="8">
      <w:start w:val="1"/>
      <w:numFmt w:val="decimal"/>
      <w:lvlText w:val="%1.%2.%3.%4.%5.%6.%7.%8.%9."/>
      <w:lvlJc w:val="left"/>
      <w:pPr>
        <w:ind w:left="4976" w:hanging="1800"/>
      </w:pPr>
      <w:rPr>
        <w:rFonts w:cs="Times New Roman" w:hint="default"/>
      </w:rPr>
    </w:lvl>
  </w:abstractNum>
  <w:abstractNum w:abstractNumId="17">
    <w:nsid w:val="664826EF"/>
    <w:multiLevelType w:val="multilevel"/>
    <w:tmpl w:val="91CA80BE"/>
    <w:lvl w:ilvl="0">
      <w:start w:val="3"/>
      <w:numFmt w:val="decimal"/>
      <w:lvlText w:val="%1."/>
      <w:lvlJc w:val="left"/>
      <w:pPr>
        <w:ind w:left="510" w:hanging="510"/>
      </w:pPr>
      <w:rPr>
        <w:rFonts w:cs="Times New Roman" w:hint="default"/>
      </w:rPr>
    </w:lvl>
    <w:lvl w:ilvl="1">
      <w:start w:val="3"/>
      <w:numFmt w:val="decimal"/>
      <w:lvlText w:val="%1.%2."/>
      <w:lvlJc w:val="left"/>
      <w:pPr>
        <w:ind w:left="907" w:hanging="510"/>
      </w:pPr>
      <w:rPr>
        <w:rFonts w:cs="Times New Roman" w:hint="default"/>
      </w:rPr>
    </w:lvl>
    <w:lvl w:ilvl="2">
      <w:start w:val="1"/>
      <w:numFmt w:val="decimal"/>
      <w:lvlText w:val="%1.%2.%3."/>
      <w:lvlJc w:val="left"/>
      <w:pPr>
        <w:ind w:left="1514" w:hanging="720"/>
      </w:pPr>
      <w:rPr>
        <w:rFonts w:cs="Times New Roman" w:hint="default"/>
      </w:rPr>
    </w:lvl>
    <w:lvl w:ilvl="3">
      <w:start w:val="1"/>
      <w:numFmt w:val="decimal"/>
      <w:lvlText w:val="%1.%2.%3.%4."/>
      <w:lvlJc w:val="left"/>
      <w:pPr>
        <w:ind w:left="1911" w:hanging="720"/>
      </w:pPr>
      <w:rPr>
        <w:rFonts w:cs="Times New Roman" w:hint="default"/>
      </w:rPr>
    </w:lvl>
    <w:lvl w:ilvl="4">
      <w:start w:val="1"/>
      <w:numFmt w:val="decimal"/>
      <w:lvlText w:val="%1.%2.%3.%4.%5."/>
      <w:lvlJc w:val="left"/>
      <w:pPr>
        <w:ind w:left="2668" w:hanging="1080"/>
      </w:pPr>
      <w:rPr>
        <w:rFonts w:cs="Times New Roman" w:hint="default"/>
      </w:rPr>
    </w:lvl>
    <w:lvl w:ilvl="5">
      <w:start w:val="1"/>
      <w:numFmt w:val="decimal"/>
      <w:lvlText w:val="%1.%2.%3.%4.%5.%6."/>
      <w:lvlJc w:val="left"/>
      <w:pPr>
        <w:ind w:left="3065" w:hanging="1080"/>
      </w:pPr>
      <w:rPr>
        <w:rFonts w:cs="Times New Roman" w:hint="default"/>
      </w:rPr>
    </w:lvl>
    <w:lvl w:ilvl="6">
      <w:start w:val="1"/>
      <w:numFmt w:val="decimal"/>
      <w:lvlText w:val="%1.%2.%3.%4.%5.%6.%7."/>
      <w:lvlJc w:val="left"/>
      <w:pPr>
        <w:ind w:left="3822" w:hanging="1440"/>
      </w:pPr>
      <w:rPr>
        <w:rFonts w:cs="Times New Roman" w:hint="default"/>
      </w:rPr>
    </w:lvl>
    <w:lvl w:ilvl="7">
      <w:start w:val="1"/>
      <w:numFmt w:val="decimal"/>
      <w:lvlText w:val="%1.%2.%3.%4.%5.%6.%7.%8."/>
      <w:lvlJc w:val="left"/>
      <w:pPr>
        <w:ind w:left="4219" w:hanging="1440"/>
      </w:pPr>
      <w:rPr>
        <w:rFonts w:cs="Times New Roman" w:hint="default"/>
      </w:rPr>
    </w:lvl>
    <w:lvl w:ilvl="8">
      <w:start w:val="1"/>
      <w:numFmt w:val="decimal"/>
      <w:lvlText w:val="%1.%2.%3.%4.%5.%6.%7.%8.%9."/>
      <w:lvlJc w:val="left"/>
      <w:pPr>
        <w:ind w:left="4976" w:hanging="1800"/>
      </w:pPr>
      <w:rPr>
        <w:rFonts w:cs="Times New Roman" w:hint="default"/>
      </w:rPr>
    </w:lvl>
  </w:abstractNum>
  <w:abstractNum w:abstractNumId="18">
    <w:nsid w:val="7842580E"/>
    <w:multiLevelType w:val="hybridMultilevel"/>
    <w:tmpl w:val="57C0CD34"/>
    <w:lvl w:ilvl="0" w:tplc="C16CC5F6">
      <w:start w:val="1"/>
      <w:numFmt w:val="decimal"/>
      <w:lvlText w:val="%1)"/>
      <w:lvlJc w:val="left"/>
      <w:pPr>
        <w:ind w:left="1100" w:hanging="360"/>
      </w:pPr>
      <w:rPr>
        <w:rFonts w:ascii="Arial" w:eastAsia="Times New Roman" w:hAnsi="Arial" w:cs="Arial" w:hint="default"/>
      </w:rPr>
    </w:lvl>
    <w:lvl w:ilvl="1" w:tplc="04150019">
      <w:start w:val="1"/>
      <w:numFmt w:val="lowerLetter"/>
      <w:lvlText w:val="%2."/>
      <w:lvlJc w:val="left"/>
      <w:pPr>
        <w:ind w:left="182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7D050AA9"/>
    <w:multiLevelType w:val="multilevel"/>
    <w:tmpl w:val="A502A964"/>
    <w:lvl w:ilvl="0">
      <w:start w:val="4"/>
      <w:numFmt w:val="decimal"/>
      <w:lvlText w:val="%1."/>
      <w:lvlJc w:val="left"/>
      <w:pPr>
        <w:tabs>
          <w:tab w:val="num" w:pos="360"/>
        </w:tabs>
        <w:ind w:left="340" w:hanging="340"/>
      </w:pPr>
      <w:rPr>
        <w:rFonts w:cs="Times New Roman" w:hint="default"/>
        <w:b/>
      </w:rPr>
    </w:lvl>
    <w:lvl w:ilvl="1">
      <w:start w:val="1"/>
      <w:numFmt w:val="decimal"/>
      <w:lvlText w:val="%1.%2."/>
      <w:lvlJc w:val="left"/>
      <w:pPr>
        <w:tabs>
          <w:tab w:val="num" w:pos="397"/>
        </w:tabs>
        <w:ind w:left="1758" w:hanging="1418"/>
      </w:pPr>
      <w:rPr>
        <w:rFonts w:ascii="Arial" w:hAnsi="Arial" w:cs="Arial" w:hint="default"/>
      </w:rPr>
    </w:lvl>
    <w:lvl w:ilvl="2">
      <w:start w:val="1"/>
      <w:numFmt w:val="decimal"/>
      <w:lvlText w:val="%1.%2.%3"/>
      <w:lvlJc w:val="left"/>
      <w:pPr>
        <w:tabs>
          <w:tab w:val="num" w:pos="1474"/>
        </w:tabs>
        <w:ind w:left="1474" w:hanging="680"/>
      </w:pPr>
      <w:rPr>
        <w:rFonts w:cs="Times New Roman" w:hint="default"/>
      </w:rPr>
    </w:lvl>
    <w:lvl w:ilvl="3">
      <w:start w:val="1"/>
      <w:numFmt w:val="decimal"/>
      <w:lvlText w:val="%1.%2.%3.%4"/>
      <w:lvlJc w:val="left"/>
      <w:pPr>
        <w:tabs>
          <w:tab w:val="num" w:pos="-1053"/>
        </w:tabs>
        <w:ind w:left="-1053" w:hanging="864"/>
      </w:pPr>
      <w:rPr>
        <w:rFonts w:cs="Times New Roman" w:hint="default"/>
      </w:rPr>
    </w:lvl>
    <w:lvl w:ilvl="4">
      <w:start w:val="1"/>
      <w:numFmt w:val="decimal"/>
      <w:lvlText w:val="%1.%2.%3.%4.%5"/>
      <w:lvlJc w:val="left"/>
      <w:pPr>
        <w:tabs>
          <w:tab w:val="num" w:pos="-909"/>
        </w:tabs>
        <w:ind w:left="-909" w:hanging="1008"/>
      </w:pPr>
      <w:rPr>
        <w:rFonts w:cs="Times New Roman" w:hint="default"/>
      </w:rPr>
    </w:lvl>
    <w:lvl w:ilvl="5">
      <w:start w:val="1"/>
      <w:numFmt w:val="decimal"/>
      <w:lvlText w:val="%1.%2.%3.%4.%5.%6"/>
      <w:lvlJc w:val="left"/>
      <w:pPr>
        <w:tabs>
          <w:tab w:val="num" w:pos="-765"/>
        </w:tabs>
        <w:ind w:left="-765" w:hanging="1152"/>
      </w:pPr>
      <w:rPr>
        <w:rFonts w:cs="Times New Roman" w:hint="default"/>
      </w:rPr>
    </w:lvl>
    <w:lvl w:ilvl="6">
      <w:start w:val="1"/>
      <w:numFmt w:val="decimal"/>
      <w:lvlText w:val="%1.%2.%3.%4.%5.%6.%7"/>
      <w:lvlJc w:val="left"/>
      <w:pPr>
        <w:tabs>
          <w:tab w:val="num" w:pos="-621"/>
        </w:tabs>
        <w:ind w:left="-621" w:hanging="1296"/>
      </w:pPr>
      <w:rPr>
        <w:rFonts w:cs="Times New Roman" w:hint="default"/>
      </w:rPr>
    </w:lvl>
    <w:lvl w:ilvl="7">
      <w:start w:val="1"/>
      <w:numFmt w:val="decimal"/>
      <w:lvlText w:val="%1.%2.%3.%4.%5.%6.%7.%8"/>
      <w:lvlJc w:val="left"/>
      <w:pPr>
        <w:tabs>
          <w:tab w:val="num" w:pos="-477"/>
        </w:tabs>
        <w:ind w:left="-477" w:hanging="1440"/>
      </w:pPr>
      <w:rPr>
        <w:rFonts w:cs="Times New Roman" w:hint="default"/>
      </w:rPr>
    </w:lvl>
    <w:lvl w:ilvl="8">
      <w:start w:val="1"/>
      <w:numFmt w:val="decimal"/>
      <w:lvlText w:val="%1.%2.%3.%4.%5.%6.%7.%8.%9"/>
      <w:lvlJc w:val="left"/>
      <w:pPr>
        <w:tabs>
          <w:tab w:val="num" w:pos="-333"/>
        </w:tabs>
        <w:ind w:left="-333" w:hanging="1584"/>
      </w:pPr>
      <w:rPr>
        <w:rFonts w:cs="Times New Roman" w:hint="default"/>
      </w:rPr>
    </w:lvl>
  </w:abstractNum>
  <w:abstractNum w:abstractNumId="20">
    <w:nsid w:val="7EC2293C"/>
    <w:multiLevelType w:val="hybridMultilevel"/>
    <w:tmpl w:val="E15661C4"/>
    <w:lvl w:ilvl="0" w:tplc="211A58B0">
      <w:start w:val="1"/>
      <w:numFmt w:val="decimal"/>
      <w:lvlText w:val="%1."/>
      <w:lvlJc w:val="left"/>
      <w:pPr>
        <w:ind w:left="360" w:hanging="360"/>
      </w:pPr>
      <w:rPr>
        <w:rFonts w:cs="Times New Roman" w:hint="default"/>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3"/>
  </w:num>
  <w:num w:numId="5">
    <w:abstractNumId w:val="7"/>
  </w:num>
  <w:num w:numId="6">
    <w:abstractNumId w:val="10"/>
  </w:num>
  <w:num w:numId="7">
    <w:abstractNumId w:val="20"/>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lvl w:ilvl="0">
        <w:start w:val="1"/>
        <w:numFmt w:val="decimal"/>
        <w:lvlText w:val="%1."/>
        <w:lvlJc w:val="left"/>
        <w:pPr>
          <w:tabs>
            <w:tab w:val="num" w:pos="360"/>
          </w:tabs>
          <w:ind w:left="340" w:hanging="340"/>
        </w:pPr>
        <w:rPr>
          <w:rFonts w:cs="Times New Roman" w:hint="default"/>
          <w:b/>
        </w:rPr>
      </w:lvl>
    </w:lvlOverride>
    <w:lvlOverride w:ilvl="1">
      <w:lvl w:ilvl="1">
        <w:start w:val="1"/>
        <w:numFmt w:val="decimal"/>
        <w:lvlText w:val="%1.%2."/>
        <w:lvlJc w:val="left"/>
        <w:pPr>
          <w:tabs>
            <w:tab w:val="num" w:pos="397"/>
          </w:tabs>
          <w:ind w:left="1758" w:hanging="1418"/>
        </w:pPr>
        <w:rPr>
          <w:rFonts w:ascii="Arial" w:hAnsi="Arial" w:cs="Arial" w:hint="default"/>
        </w:rPr>
      </w:lvl>
    </w:lvlOverride>
    <w:lvlOverride w:ilvl="2">
      <w:lvl w:ilvl="2">
        <w:start w:val="1"/>
        <w:numFmt w:val="decimal"/>
        <w:lvlText w:val="%1.%2.%3"/>
        <w:lvlJc w:val="left"/>
        <w:pPr>
          <w:tabs>
            <w:tab w:val="num" w:pos="1474"/>
          </w:tabs>
          <w:ind w:left="1474" w:hanging="680"/>
        </w:pPr>
        <w:rPr>
          <w:rFonts w:cs="Times New Roman" w:hint="default"/>
        </w:rPr>
      </w:lvl>
    </w:lvlOverride>
    <w:lvlOverride w:ilvl="3">
      <w:lvl w:ilvl="3">
        <w:start w:val="1"/>
        <w:numFmt w:val="decimal"/>
        <w:lvlText w:val="%1.%2.%3.%4"/>
        <w:lvlJc w:val="left"/>
        <w:pPr>
          <w:tabs>
            <w:tab w:val="num" w:pos="-1053"/>
          </w:tabs>
          <w:ind w:left="-1053" w:hanging="864"/>
        </w:pPr>
        <w:rPr>
          <w:rFonts w:cs="Times New Roman" w:hint="default"/>
        </w:rPr>
      </w:lvl>
    </w:lvlOverride>
    <w:lvlOverride w:ilvl="4">
      <w:lvl w:ilvl="4">
        <w:start w:val="1"/>
        <w:numFmt w:val="decimal"/>
        <w:lvlText w:val="%1.%2.%3.%4.%5"/>
        <w:lvlJc w:val="left"/>
        <w:pPr>
          <w:tabs>
            <w:tab w:val="num" w:pos="-909"/>
          </w:tabs>
          <w:ind w:left="-909" w:hanging="1008"/>
        </w:pPr>
        <w:rPr>
          <w:rFonts w:cs="Times New Roman" w:hint="default"/>
        </w:rPr>
      </w:lvl>
    </w:lvlOverride>
    <w:lvlOverride w:ilvl="5">
      <w:lvl w:ilvl="5">
        <w:start w:val="1"/>
        <w:numFmt w:val="decimal"/>
        <w:lvlText w:val="%1.%2.%3.%4.%5.%6"/>
        <w:lvlJc w:val="left"/>
        <w:pPr>
          <w:tabs>
            <w:tab w:val="num" w:pos="-765"/>
          </w:tabs>
          <w:ind w:left="-765" w:hanging="1152"/>
        </w:pPr>
        <w:rPr>
          <w:rFonts w:cs="Times New Roman" w:hint="default"/>
        </w:rPr>
      </w:lvl>
    </w:lvlOverride>
    <w:lvlOverride w:ilvl="6">
      <w:lvl w:ilvl="6">
        <w:start w:val="1"/>
        <w:numFmt w:val="decimal"/>
        <w:lvlText w:val="%1.%2.%3.%4.%5.%6.%7"/>
        <w:lvlJc w:val="left"/>
        <w:pPr>
          <w:tabs>
            <w:tab w:val="num" w:pos="-621"/>
          </w:tabs>
          <w:ind w:left="-621" w:hanging="1296"/>
        </w:pPr>
        <w:rPr>
          <w:rFonts w:cs="Times New Roman" w:hint="default"/>
        </w:rPr>
      </w:lvl>
    </w:lvlOverride>
    <w:lvlOverride w:ilvl="7">
      <w:lvl w:ilvl="7">
        <w:start w:val="1"/>
        <w:numFmt w:val="decimal"/>
        <w:lvlText w:val="%1.%2.%3.%4.%5.%6.%7.%8"/>
        <w:lvlJc w:val="left"/>
        <w:pPr>
          <w:tabs>
            <w:tab w:val="num" w:pos="-477"/>
          </w:tabs>
          <w:ind w:left="-477" w:hanging="1440"/>
        </w:pPr>
        <w:rPr>
          <w:rFonts w:cs="Times New Roman" w:hint="default"/>
        </w:rPr>
      </w:lvl>
    </w:lvlOverride>
    <w:lvlOverride w:ilvl="8">
      <w:lvl w:ilvl="8">
        <w:start w:val="1"/>
        <w:numFmt w:val="decimal"/>
        <w:lvlText w:val="%1.%2.%3.%4.%5.%6.%7.%8.%9"/>
        <w:lvlJc w:val="left"/>
        <w:pPr>
          <w:tabs>
            <w:tab w:val="num" w:pos="-333"/>
          </w:tabs>
          <w:ind w:left="-333" w:hanging="1584"/>
        </w:pPr>
        <w:rPr>
          <w:rFonts w:cs="Times New Roman" w:hint="default"/>
        </w:rPr>
      </w:lvl>
    </w:lvlOverride>
  </w:num>
  <w:num w:numId="13">
    <w:abstractNumId w:val="16"/>
  </w:num>
  <w:num w:numId="14">
    <w:abstractNumId w:val="6"/>
  </w:num>
  <w:num w:numId="15">
    <w:abstractNumId w:val="12"/>
  </w:num>
  <w:num w:numId="16">
    <w:abstractNumId w:val="17"/>
  </w:num>
  <w:num w:numId="17">
    <w:abstractNumId w:val="19"/>
  </w:num>
  <w:num w:numId="18">
    <w:abstractNumId w:val="2"/>
  </w:num>
  <w:num w:numId="19">
    <w:abstractNumId w:val="4"/>
  </w:num>
  <w:num w:numId="20">
    <w:abstractNumId w:val="14"/>
  </w:num>
  <w:num w:numId="21">
    <w:abstractNumId w:val="3"/>
  </w:num>
  <w:num w:numId="22">
    <w:abstractNumId w:val="0"/>
  </w:num>
  <w:num w:numId="23">
    <w:abstractNumId w:val="9"/>
  </w:num>
  <w:num w:numId="24">
    <w:abstractNumId w:val="5"/>
  </w:num>
  <w:num w:numId="25">
    <w:abstractNumId w:val="1"/>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ja Konrad">
    <w15:presenceInfo w15:providerId="AD" w15:userId="S-1-5-21-908407159-3905127275-3755548342-1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39BE"/>
    <w:rsid w:val="00001E05"/>
    <w:rsid w:val="0001298C"/>
    <w:rsid w:val="00023E5D"/>
    <w:rsid w:val="00025E48"/>
    <w:rsid w:val="000454B8"/>
    <w:rsid w:val="00050CC0"/>
    <w:rsid w:val="000514DF"/>
    <w:rsid w:val="00055239"/>
    <w:rsid w:val="00074CA8"/>
    <w:rsid w:val="00075AA3"/>
    <w:rsid w:val="00081FC8"/>
    <w:rsid w:val="000B32B8"/>
    <w:rsid w:val="000C1EC3"/>
    <w:rsid w:val="000C6E96"/>
    <w:rsid w:val="000D04C9"/>
    <w:rsid w:val="000D278E"/>
    <w:rsid w:val="000F2FFF"/>
    <w:rsid w:val="000F7845"/>
    <w:rsid w:val="0010026F"/>
    <w:rsid w:val="00101801"/>
    <w:rsid w:val="00105E41"/>
    <w:rsid w:val="001101A2"/>
    <w:rsid w:val="00121FF6"/>
    <w:rsid w:val="00126C4C"/>
    <w:rsid w:val="0013170A"/>
    <w:rsid w:val="00132D4A"/>
    <w:rsid w:val="00133053"/>
    <w:rsid w:val="00134967"/>
    <w:rsid w:val="00134EF2"/>
    <w:rsid w:val="00137F1F"/>
    <w:rsid w:val="00142A1E"/>
    <w:rsid w:val="00143FFB"/>
    <w:rsid w:val="00144729"/>
    <w:rsid w:val="001456A8"/>
    <w:rsid w:val="00155C29"/>
    <w:rsid w:val="001630CD"/>
    <w:rsid w:val="00163F98"/>
    <w:rsid w:val="00167E77"/>
    <w:rsid w:val="00171E5F"/>
    <w:rsid w:val="00177A72"/>
    <w:rsid w:val="00186D59"/>
    <w:rsid w:val="001873CD"/>
    <w:rsid w:val="00191DC2"/>
    <w:rsid w:val="00195B32"/>
    <w:rsid w:val="001A46B4"/>
    <w:rsid w:val="001A7B33"/>
    <w:rsid w:val="001B0832"/>
    <w:rsid w:val="001B6DA6"/>
    <w:rsid w:val="001C25A2"/>
    <w:rsid w:val="001C3EF3"/>
    <w:rsid w:val="001D2A9C"/>
    <w:rsid w:val="001D6165"/>
    <w:rsid w:val="001E565A"/>
    <w:rsid w:val="001F2A29"/>
    <w:rsid w:val="001F3320"/>
    <w:rsid w:val="001F436C"/>
    <w:rsid w:val="001F75EF"/>
    <w:rsid w:val="00216BCB"/>
    <w:rsid w:val="00222233"/>
    <w:rsid w:val="00223A0F"/>
    <w:rsid w:val="0024183D"/>
    <w:rsid w:val="00262640"/>
    <w:rsid w:val="00266FFF"/>
    <w:rsid w:val="00267153"/>
    <w:rsid w:val="00274D7C"/>
    <w:rsid w:val="00275BB0"/>
    <w:rsid w:val="00281EDB"/>
    <w:rsid w:val="002905EC"/>
    <w:rsid w:val="00292039"/>
    <w:rsid w:val="00292C0E"/>
    <w:rsid w:val="00296B6C"/>
    <w:rsid w:val="002A1093"/>
    <w:rsid w:val="002D2D5F"/>
    <w:rsid w:val="002E01D8"/>
    <w:rsid w:val="002F2CF5"/>
    <w:rsid w:val="002F35CB"/>
    <w:rsid w:val="002F7052"/>
    <w:rsid w:val="003047E2"/>
    <w:rsid w:val="003051E7"/>
    <w:rsid w:val="00310B15"/>
    <w:rsid w:val="003201E1"/>
    <w:rsid w:val="00320A82"/>
    <w:rsid w:val="00323523"/>
    <w:rsid w:val="003348C1"/>
    <w:rsid w:val="003365C0"/>
    <w:rsid w:val="00337634"/>
    <w:rsid w:val="00342251"/>
    <w:rsid w:val="00342F50"/>
    <w:rsid w:val="00354E2B"/>
    <w:rsid w:val="003564AB"/>
    <w:rsid w:val="003662A8"/>
    <w:rsid w:val="00373B97"/>
    <w:rsid w:val="00375AE4"/>
    <w:rsid w:val="00377826"/>
    <w:rsid w:val="0038021E"/>
    <w:rsid w:val="00383087"/>
    <w:rsid w:val="003A3898"/>
    <w:rsid w:val="003A496F"/>
    <w:rsid w:val="003A4DC1"/>
    <w:rsid w:val="003D60BF"/>
    <w:rsid w:val="003E7272"/>
    <w:rsid w:val="003F2915"/>
    <w:rsid w:val="003F45EC"/>
    <w:rsid w:val="004010DA"/>
    <w:rsid w:val="0040146F"/>
    <w:rsid w:val="004165AD"/>
    <w:rsid w:val="00421B8D"/>
    <w:rsid w:val="00423511"/>
    <w:rsid w:val="00425A10"/>
    <w:rsid w:val="004262F8"/>
    <w:rsid w:val="00432F01"/>
    <w:rsid w:val="004342E6"/>
    <w:rsid w:val="00445C37"/>
    <w:rsid w:val="004511B8"/>
    <w:rsid w:val="00451E54"/>
    <w:rsid w:val="00455411"/>
    <w:rsid w:val="00472947"/>
    <w:rsid w:val="00473B5A"/>
    <w:rsid w:val="00481BF5"/>
    <w:rsid w:val="004845FC"/>
    <w:rsid w:val="0049083C"/>
    <w:rsid w:val="00492EC3"/>
    <w:rsid w:val="004A6619"/>
    <w:rsid w:val="004B46A7"/>
    <w:rsid w:val="004D0D43"/>
    <w:rsid w:val="004E1682"/>
    <w:rsid w:val="004F1D03"/>
    <w:rsid w:val="004F4B6A"/>
    <w:rsid w:val="00503818"/>
    <w:rsid w:val="0050714D"/>
    <w:rsid w:val="00507F0D"/>
    <w:rsid w:val="00522923"/>
    <w:rsid w:val="00522FE9"/>
    <w:rsid w:val="00524A43"/>
    <w:rsid w:val="005517DC"/>
    <w:rsid w:val="00555B37"/>
    <w:rsid w:val="0055683D"/>
    <w:rsid w:val="005601C4"/>
    <w:rsid w:val="00562406"/>
    <w:rsid w:val="005830A2"/>
    <w:rsid w:val="00585FCE"/>
    <w:rsid w:val="005A2925"/>
    <w:rsid w:val="005A4170"/>
    <w:rsid w:val="005A524A"/>
    <w:rsid w:val="005C087B"/>
    <w:rsid w:val="005D104A"/>
    <w:rsid w:val="005D1AEA"/>
    <w:rsid w:val="005E1FF5"/>
    <w:rsid w:val="005F783E"/>
    <w:rsid w:val="00600A3B"/>
    <w:rsid w:val="006012E5"/>
    <w:rsid w:val="00604E80"/>
    <w:rsid w:val="00606604"/>
    <w:rsid w:val="006202F0"/>
    <w:rsid w:val="006449DA"/>
    <w:rsid w:val="00646C32"/>
    <w:rsid w:val="006475FD"/>
    <w:rsid w:val="00652866"/>
    <w:rsid w:val="00666C6A"/>
    <w:rsid w:val="00671FA2"/>
    <w:rsid w:val="00684067"/>
    <w:rsid w:val="00685D5D"/>
    <w:rsid w:val="006958BE"/>
    <w:rsid w:val="006A4C5B"/>
    <w:rsid w:val="006A75B9"/>
    <w:rsid w:val="006A7FB2"/>
    <w:rsid w:val="006C24EE"/>
    <w:rsid w:val="006D07F5"/>
    <w:rsid w:val="006D2A0D"/>
    <w:rsid w:val="006D3BB2"/>
    <w:rsid w:val="006D4CB2"/>
    <w:rsid w:val="0070421C"/>
    <w:rsid w:val="007105C0"/>
    <w:rsid w:val="00737DEF"/>
    <w:rsid w:val="007415C4"/>
    <w:rsid w:val="00742D22"/>
    <w:rsid w:val="00745937"/>
    <w:rsid w:val="00751D18"/>
    <w:rsid w:val="007526D0"/>
    <w:rsid w:val="0075599B"/>
    <w:rsid w:val="00771EF6"/>
    <w:rsid w:val="00776A7F"/>
    <w:rsid w:val="0078442E"/>
    <w:rsid w:val="00795F42"/>
    <w:rsid w:val="007A2FB8"/>
    <w:rsid w:val="007B1AD3"/>
    <w:rsid w:val="007B2F76"/>
    <w:rsid w:val="007B39BE"/>
    <w:rsid w:val="007B5340"/>
    <w:rsid w:val="007E6BE2"/>
    <w:rsid w:val="007E748F"/>
    <w:rsid w:val="007F56D2"/>
    <w:rsid w:val="00803D63"/>
    <w:rsid w:val="0081106A"/>
    <w:rsid w:val="00811108"/>
    <w:rsid w:val="00813A5E"/>
    <w:rsid w:val="00826E4A"/>
    <w:rsid w:val="00843447"/>
    <w:rsid w:val="00851EA6"/>
    <w:rsid w:val="008526F4"/>
    <w:rsid w:val="00853756"/>
    <w:rsid w:val="00862F53"/>
    <w:rsid w:val="00867E00"/>
    <w:rsid w:val="00890DD7"/>
    <w:rsid w:val="0089724C"/>
    <w:rsid w:val="008A2136"/>
    <w:rsid w:val="008A759E"/>
    <w:rsid w:val="008B1CBE"/>
    <w:rsid w:val="008B62E5"/>
    <w:rsid w:val="008C7A11"/>
    <w:rsid w:val="008D1AF3"/>
    <w:rsid w:val="008E38A2"/>
    <w:rsid w:val="008E3970"/>
    <w:rsid w:val="00913205"/>
    <w:rsid w:val="009168AA"/>
    <w:rsid w:val="00935CD1"/>
    <w:rsid w:val="00937E67"/>
    <w:rsid w:val="00947A80"/>
    <w:rsid w:val="00951C72"/>
    <w:rsid w:val="00957707"/>
    <w:rsid w:val="0096290C"/>
    <w:rsid w:val="0098600F"/>
    <w:rsid w:val="009A4CD8"/>
    <w:rsid w:val="009A608F"/>
    <w:rsid w:val="009B61DA"/>
    <w:rsid w:val="009B77CB"/>
    <w:rsid w:val="009D196C"/>
    <w:rsid w:val="009E20EF"/>
    <w:rsid w:val="009F1524"/>
    <w:rsid w:val="009F5AE9"/>
    <w:rsid w:val="00A008C3"/>
    <w:rsid w:val="00A228CC"/>
    <w:rsid w:val="00A27950"/>
    <w:rsid w:val="00A27ACE"/>
    <w:rsid w:val="00A312CD"/>
    <w:rsid w:val="00A32855"/>
    <w:rsid w:val="00A6773C"/>
    <w:rsid w:val="00A70980"/>
    <w:rsid w:val="00A74F86"/>
    <w:rsid w:val="00AA6785"/>
    <w:rsid w:val="00AC0DFD"/>
    <w:rsid w:val="00AC4599"/>
    <w:rsid w:val="00AD1E95"/>
    <w:rsid w:val="00AE47E3"/>
    <w:rsid w:val="00AF32B1"/>
    <w:rsid w:val="00AF5DBB"/>
    <w:rsid w:val="00AF71BD"/>
    <w:rsid w:val="00B00B03"/>
    <w:rsid w:val="00B00D09"/>
    <w:rsid w:val="00B02969"/>
    <w:rsid w:val="00B064AE"/>
    <w:rsid w:val="00B214B5"/>
    <w:rsid w:val="00B22591"/>
    <w:rsid w:val="00B227F5"/>
    <w:rsid w:val="00B23B0B"/>
    <w:rsid w:val="00B25053"/>
    <w:rsid w:val="00B27854"/>
    <w:rsid w:val="00B441C9"/>
    <w:rsid w:val="00B53391"/>
    <w:rsid w:val="00B60D4C"/>
    <w:rsid w:val="00B61CF1"/>
    <w:rsid w:val="00B63033"/>
    <w:rsid w:val="00B63128"/>
    <w:rsid w:val="00B64062"/>
    <w:rsid w:val="00B70CB2"/>
    <w:rsid w:val="00B7308F"/>
    <w:rsid w:val="00B80740"/>
    <w:rsid w:val="00B81720"/>
    <w:rsid w:val="00B85F68"/>
    <w:rsid w:val="00B90E59"/>
    <w:rsid w:val="00B972AC"/>
    <w:rsid w:val="00BA0E0F"/>
    <w:rsid w:val="00BA4FD5"/>
    <w:rsid w:val="00BB16BC"/>
    <w:rsid w:val="00BB5CBA"/>
    <w:rsid w:val="00BC1B91"/>
    <w:rsid w:val="00BD7742"/>
    <w:rsid w:val="00BF09B7"/>
    <w:rsid w:val="00C13390"/>
    <w:rsid w:val="00C17903"/>
    <w:rsid w:val="00C2107C"/>
    <w:rsid w:val="00C279B2"/>
    <w:rsid w:val="00C30C8A"/>
    <w:rsid w:val="00C325F8"/>
    <w:rsid w:val="00C33B7C"/>
    <w:rsid w:val="00C47768"/>
    <w:rsid w:val="00C5140D"/>
    <w:rsid w:val="00C655D8"/>
    <w:rsid w:val="00C6744F"/>
    <w:rsid w:val="00C71F88"/>
    <w:rsid w:val="00C72732"/>
    <w:rsid w:val="00C74513"/>
    <w:rsid w:val="00C765C2"/>
    <w:rsid w:val="00C87180"/>
    <w:rsid w:val="00CA28AF"/>
    <w:rsid w:val="00CA466E"/>
    <w:rsid w:val="00CA5F7A"/>
    <w:rsid w:val="00CB5BFE"/>
    <w:rsid w:val="00CC7EA0"/>
    <w:rsid w:val="00CE3618"/>
    <w:rsid w:val="00CE6A18"/>
    <w:rsid w:val="00CF2839"/>
    <w:rsid w:val="00CF514A"/>
    <w:rsid w:val="00D13D3E"/>
    <w:rsid w:val="00D21F45"/>
    <w:rsid w:val="00D428D9"/>
    <w:rsid w:val="00D6136C"/>
    <w:rsid w:val="00D70029"/>
    <w:rsid w:val="00D73A0D"/>
    <w:rsid w:val="00D7400A"/>
    <w:rsid w:val="00D76C1F"/>
    <w:rsid w:val="00D77373"/>
    <w:rsid w:val="00D8560C"/>
    <w:rsid w:val="00D95081"/>
    <w:rsid w:val="00D9734D"/>
    <w:rsid w:val="00DA04F4"/>
    <w:rsid w:val="00DA7CED"/>
    <w:rsid w:val="00DB52E5"/>
    <w:rsid w:val="00DC0A81"/>
    <w:rsid w:val="00DC5C3C"/>
    <w:rsid w:val="00DD70F5"/>
    <w:rsid w:val="00DE3C19"/>
    <w:rsid w:val="00E125A7"/>
    <w:rsid w:val="00E22FA0"/>
    <w:rsid w:val="00E267A5"/>
    <w:rsid w:val="00E33922"/>
    <w:rsid w:val="00E40BD0"/>
    <w:rsid w:val="00E422DA"/>
    <w:rsid w:val="00E46435"/>
    <w:rsid w:val="00E5238C"/>
    <w:rsid w:val="00E55259"/>
    <w:rsid w:val="00E72E17"/>
    <w:rsid w:val="00E852A3"/>
    <w:rsid w:val="00EA29AA"/>
    <w:rsid w:val="00EA5738"/>
    <w:rsid w:val="00EA79EA"/>
    <w:rsid w:val="00EB3D2D"/>
    <w:rsid w:val="00EC453E"/>
    <w:rsid w:val="00EC51E9"/>
    <w:rsid w:val="00EC5A6E"/>
    <w:rsid w:val="00ED21AC"/>
    <w:rsid w:val="00ED51AC"/>
    <w:rsid w:val="00EE3D3A"/>
    <w:rsid w:val="00EE48B7"/>
    <w:rsid w:val="00EF2698"/>
    <w:rsid w:val="00EF28EA"/>
    <w:rsid w:val="00F00499"/>
    <w:rsid w:val="00F04B1C"/>
    <w:rsid w:val="00F1463A"/>
    <w:rsid w:val="00F32E5D"/>
    <w:rsid w:val="00F33BCE"/>
    <w:rsid w:val="00F40549"/>
    <w:rsid w:val="00F43141"/>
    <w:rsid w:val="00F51DDC"/>
    <w:rsid w:val="00F578EB"/>
    <w:rsid w:val="00F61FE2"/>
    <w:rsid w:val="00F92E55"/>
    <w:rsid w:val="00F95EFA"/>
    <w:rsid w:val="00FA2DAB"/>
    <w:rsid w:val="00FB7A1E"/>
    <w:rsid w:val="00FC3830"/>
    <w:rsid w:val="00FC3EDA"/>
    <w:rsid w:val="00FC64A7"/>
    <w:rsid w:val="00FD170F"/>
    <w:rsid w:val="00FD3B10"/>
    <w:rsid w:val="00FD5A5B"/>
    <w:rsid w:val="00FD5EB7"/>
    <w:rsid w:val="00FE177B"/>
    <w:rsid w:val="00FF2EF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6E4A"/>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7B39BE"/>
    <w:pPr>
      <w:spacing w:line="240" w:lineRule="auto"/>
    </w:pPr>
    <w:rPr>
      <w:rFonts w:ascii="Times New Roman" w:hAnsi="Times New Roman"/>
      <w:sz w:val="20"/>
      <w:szCs w:val="20"/>
      <w:lang w:eastAsia="en-US"/>
    </w:rPr>
  </w:style>
  <w:style w:type="character" w:customStyle="1" w:styleId="TekstkomentarzaZnak">
    <w:name w:val="Tekst komentarza Znak"/>
    <w:link w:val="Tekstkomentarza"/>
    <w:uiPriority w:val="99"/>
    <w:locked/>
    <w:rsid w:val="007B39BE"/>
    <w:rPr>
      <w:rFonts w:ascii="Times New Roman" w:hAnsi="Times New Roman" w:cs="Times New Roman"/>
      <w:sz w:val="20"/>
      <w:szCs w:val="20"/>
      <w:lang w:eastAsia="en-US"/>
    </w:rPr>
  </w:style>
  <w:style w:type="paragraph" w:styleId="Akapitzlist">
    <w:name w:val="List Paragraph"/>
    <w:aliases w:val="BulletC,Obiekt,List Paragraph1,Akapit z listą1,Wyliczanie,Akapit z listą31,List Paragraph"/>
    <w:basedOn w:val="Normalny"/>
    <w:link w:val="AkapitzlistZnak"/>
    <w:uiPriority w:val="34"/>
    <w:qFormat/>
    <w:rsid w:val="007B39BE"/>
    <w:pPr>
      <w:ind w:left="720"/>
      <w:contextualSpacing/>
    </w:pPr>
    <w:rPr>
      <w:rFonts w:ascii="Times New Roman" w:hAnsi="Times New Roman"/>
      <w:sz w:val="20"/>
      <w:szCs w:val="20"/>
      <w:lang w:eastAsia="en-US"/>
    </w:rPr>
  </w:style>
  <w:style w:type="character" w:styleId="Odwoaniedokomentarza">
    <w:name w:val="annotation reference"/>
    <w:uiPriority w:val="99"/>
    <w:semiHidden/>
    <w:rsid w:val="007B39BE"/>
    <w:rPr>
      <w:rFonts w:cs="Times New Roman"/>
      <w:sz w:val="16"/>
      <w:szCs w:val="16"/>
    </w:rPr>
  </w:style>
  <w:style w:type="paragraph" w:styleId="Tekstprzypisudolnego">
    <w:name w:val="footnote text"/>
    <w:basedOn w:val="Normalny"/>
    <w:link w:val="TekstprzypisudolnegoZnak"/>
    <w:uiPriority w:val="99"/>
    <w:semiHidden/>
    <w:rsid w:val="007B39BE"/>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7B39BE"/>
    <w:rPr>
      <w:rFonts w:cs="Times New Roman"/>
      <w:sz w:val="20"/>
      <w:szCs w:val="20"/>
    </w:rPr>
  </w:style>
  <w:style w:type="character" w:styleId="Odwoanieprzypisudolnego">
    <w:name w:val="footnote reference"/>
    <w:uiPriority w:val="99"/>
    <w:semiHidden/>
    <w:rsid w:val="007B39BE"/>
    <w:rPr>
      <w:rFonts w:cs="Times New Roman"/>
      <w:vertAlign w:val="superscript"/>
    </w:rPr>
  </w:style>
  <w:style w:type="character" w:styleId="Hipercze">
    <w:name w:val="Hyperlink"/>
    <w:uiPriority w:val="99"/>
    <w:semiHidden/>
    <w:unhideWhenUsed/>
    <w:rsid w:val="00813A5E"/>
    <w:rPr>
      <w:color w:val="0000FF"/>
      <w:u w:val="single"/>
    </w:rPr>
  </w:style>
  <w:style w:type="paragraph" w:styleId="Tematkomentarza">
    <w:name w:val="annotation subject"/>
    <w:basedOn w:val="Tekstkomentarza"/>
    <w:next w:val="Tekstkomentarza"/>
    <w:link w:val="TematkomentarzaZnak"/>
    <w:uiPriority w:val="99"/>
    <w:semiHidden/>
    <w:unhideWhenUsed/>
    <w:rsid w:val="004010DA"/>
    <w:pPr>
      <w:spacing w:line="276" w:lineRule="auto"/>
    </w:pPr>
    <w:rPr>
      <w:rFonts w:ascii="Calibri" w:hAnsi="Calibri"/>
      <w:b/>
      <w:bCs/>
      <w:lang w:eastAsia="pl-PL"/>
    </w:rPr>
  </w:style>
  <w:style w:type="character" w:customStyle="1" w:styleId="TematkomentarzaZnak">
    <w:name w:val="Temat komentarza Znak"/>
    <w:link w:val="Tematkomentarza"/>
    <w:uiPriority w:val="99"/>
    <w:semiHidden/>
    <w:rsid w:val="004010DA"/>
    <w:rPr>
      <w:rFonts w:ascii="Times New Roman" w:hAnsi="Times New Roman" w:cs="Times New Roman"/>
      <w:b/>
      <w:bCs/>
      <w:sz w:val="20"/>
      <w:szCs w:val="20"/>
      <w:lang w:eastAsia="en-US"/>
    </w:rPr>
  </w:style>
  <w:style w:type="paragraph" w:styleId="Tekstdymka">
    <w:name w:val="Balloon Text"/>
    <w:basedOn w:val="Normalny"/>
    <w:link w:val="TekstdymkaZnak"/>
    <w:uiPriority w:val="99"/>
    <w:semiHidden/>
    <w:unhideWhenUsed/>
    <w:rsid w:val="004010D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010DA"/>
    <w:rPr>
      <w:rFonts w:ascii="Tahoma" w:hAnsi="Tahoma" w:cs="Tahoma"/>
      <w:sz w:val="16"/>
      <w:szCs w:val="16"/>
    </w:rPr>
  </w:style>
  <w:style w:type="paragraph" w:customStyle="1" w:styleId="Akapitzlist2">
    <w:name w:val="Akapit z listą2"/>
    <w:basedOn w:val="Normalny"/>
    <w:rsid w:val="00025E48"/>
    <w:pPr>
      <w:ind w:left="720"/>
      <w:contextualSpacing/>
    </w:pPr>
    <w:rPr>
      <w:rFonts w:ascii="Times New Roman" w:hAnsi="Times New Roman"/>
      <w:sz w:val="20"/>
      <w:szCs w:val="20"/>
      <w:lang w:eastAsia="en-US"/>
    </w:rPr>
  </w:style>
  <w:style w:type="paragraph" w:customStyle="1" w:styleId="Artykul">
    <w:name w:val="Artykul"/>
    <w:basedOn w:val="Normalny"/>
    <w:rsid w:val="00025E48"/>
    <w:pPr>
      <w:spacing w:after="0" w:line="240" w:lineRule="auto"/>
      <w:ind w:left="360" w:hanging="360"/>
    </w:pPr>
    <w:rPr>
      <w:rFonts w:ascii="Book Antiqua" w:hAnsi="Book Antiqua"/>
      <w:szCs w:val="20"/>
      <w:lang w:eastAsia="en-US"/>
    </w:rPr>
  </w:style>
  <w:style w:type="character" w:customStyle="1" w:styleId="AkapitzlistZnak">
    <w:name w:val="Akapit z listą Znak"/>
    <w:aliases w:val="BulletC Znak,Obiekt Znak,List Paragraph1 Znak,Akapit z listą1 Znak,Wyliczanie Znak,Akapit z listą31 Znak,List Paragraph Znak"/>
    <w:link w:val="Akapitzlist"/>
    <w:uiPriority w:val="34"/>
    <w:locked/>
    <w:rsid w:val="00F92E55"/>
    <w:rPr>
      <w:rFonts w:ascii="Times New Roman" w:hAnsi="Times New Roman"/>
      <w:lang w:eastAsia="en-US"/>
    </w:rPr>
  </w:style>
  <w:style w:type="table" w:styleId="Tabela-Siatka">
    <w:name w:val="Table Grid"/>
    <w:basedOn w:val="Standardowy"/>
    <w:locked/>
    <w:rsid w:val="001C3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5517DC"/>
  </w:style>
  <w:style w:type="paragraph" w:styleId="Nagwek">
    <w:name w:val="header"/>
    <w:basedOn w:val="Normalny"/>
    <w:link w:val="NagwekZnak"/>
    <w:uiPriority w:val="99"/>
    <w:unhideWhenUsed/>
    <w:rsid w:val="00CF2839"/>
    <w:pPr>
      <w:tabs>
        <w:tab w:val="center" w:pos="4536"/>
        <w:tab w:val="right" w:pos="9072"/>
      </w:tabs>
      <w:overflowPunct w:val="0"/>
      <w:autoSpaceDE w:val="0"/>
      <w:autoSpaceDN w:val="0"/>
      <w:adjustRightInd w:val="0"/>
      <w:spacing w:after="0" w:line="240" w:lineRule="auto"/>
    </w:pPr>
    <w:rPr>
      <w:rFonts w:ascii="Times New Roman" w:hAnsi="Times New Roman"/>
      <w:sz w:val="20"/>
      <w:szCs w:val="20"/>
    </w:rPr>
  </w:style>
  <w:style w:type="character" w:customStyle="1" w:styleId="NagwekZnak">
    <w:name w:val="Nagłówek Znak"/>
    <w:basedOn w:val="Domylnaczcionkaakapitu"/>
    <w:link w:val="Nagwek"/>
    <w:uiPriority w:val="99"/>
    <w:rsid w:val="00CF283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6E4A"/>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rsid w:val="007B39BE"/>
    <w:pPr>
      <w:spacing w:line="240" w:lineRule="auto"/>
    </w:pPr>
    <w:rPr>
      <w:rFonts w:ascii="Times New Roman" w:hAnsi="Times New Roman"/>
      <w:sz w:val="20"/>
      <w:szCs w:val="20"/>
      <w:lang w:eastAsia="en-US"/>
    </w:rPr>
  </w:style>
  <w:style w:type="character" w:customStyle="1" w:styleId="TekstkomentarzaZnak">
    <w:name w:val="Tekst komentarza Znak"/>
    <w:link w:val="Tekstkomentarza"/>
    <w:uiPriority w:val="99"/>
    <w:locked/>
    <w:rsid w:val="007B39BE"/>
    <w:rPr>
      <w:rFonts w:ascii="Times New Roman" w:hAnsi="Times New Roman" w:cs="Times New Roman"/>
      <w:sz w:val="20"/>
      <w:szCs w:val="20"/>
      <w:lang w:eastAsia="en-US"/>
    </w:rPr>
  </w:style>
  <w:style w:type="paragraph" w:styleId="Akapitzlist">
    <w:name w:val="List Paragraph"/>
    <w:aliases w:val="BulletC,Obiekt,List Paragraph1,Akapit z listą1,Wyliczanie,Akapit z listą31,List Paragraph"/>
    <w:basedOn w:val="Normalny"/>
    <w:link w:val="AkapitzlistZnak"/>
    <w:uiPriority w:val="34"/>
    <w:qFormat/>
    <w:rsid w:val="007B39BE"/>
    <w:pPr>
      <w:ind w:left="720"/>
      <w:contextualSpacing/>
    </w:pPr>
    <w:rPr>
      <w:rFonts w:ascii="Times New Roman" w:hAnsi="Times New Roman"/>
      <w:sz w:val="20"/>
      <w:szCs w:val="20"/>
      <w:lang w:eastAsia="en-US"/>
    </w:rPr>
  </w:style>
  <w:style w:type="character" w:styleId="Odwoaniedokomentarza">
    <w:name w:val="annotation reference"/>
    <w:uiPriority w:val="99"/>
    <w:semiHidden/>
    <w:rsid w:val="007B39BE"/>
    <w:rPr>
      <w:rFonts w:cs="Times New Roman"/>
      <w:sz w:val="16"/>
      <w:szCs w:val="16"/>
    </w:rPr>
  </w:style>
  <w:style w:type="paragraph" w:styleId="Tekstprzypisudolnego">
    <w:name w:val="footnote text"/>
    <w:basedOn w:val="Normalny"/>
    <w:link w:val="TekstprzypisudolnegoZnak"/>
    <w:uiPriority w:val="99"/>
    <w:semiHidden/>
    <w:rsid w:val="007B39BE"/>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7B39BE"/>
    <w:rPr>
      <w:rFonts w:cs="Times New Roman"/>
      <w:sz w:val="20"/>
      <w:szCs w:val="20"/>
    </w:rPr>
  </w:style>
  <w:style w:type="character" w:styleId="Odwoanieprzypisudolnego">
    <w:name w:val="footnote reference"/>
    <w:uiPriority w:val="99"/>
    <w:semiHidden/>
    <w:rsid w:val="007B39BE"/>
    <w:rPr>
      <w:rFonts w:cs="Times New Roman"/>
      <w:vertAlign w:val="superscript"/>
    </w:rPr>
  </w:style>
  <w:style w:type="character" w:styleId="Hipercze">
    <w:name w:val="Hyperlink"/>
    <w:uiPriority w:val="99"/>
    <w:semiHidden/>
    <w:unhideWhenUsed/>
    <w:rsid w:val="00813A5E"/>
    <w:rPr>
      <w:color w:val="0000FF"/>
      <w:u w:val="single"/>
    </w:rPr>
  </w:style>
  <w:style w:type="paragraph" w:styleId="Tematkomentarza">
    <w:name w:val="annotation subject"/>
    <w:basedOn w:val="Tekstkomentarza"/>
    <w:next w:val="Tekstkomentarza"/>
    <w:link w:val="TematkomentarzaZnak"/>
    <w:uiPriority w:val="99"/>
    <w:semiHidden/>
    <w:unhideWhenUsed/>
    <w:rsid w:val="004010DA"/>
    <w:pPr>
      <w:spacing w:line="276" w:lineRule="auto"/>
    </w:pPr>
    <w:rPr>
      <w:rFonts w:ascii="Calibri" w:hAnsi="Calibri"/>
      <w:b/>
      <w:bCs/>
      <w:lang w:eastAsia="pl-PL"/>
    </w:rPr>
  </w:style>
  <w:style w:type="character" w:customStyle="1" w:styleId="TematkomentarzaZnak">
    <w:name w:val="Temat komentarza Znak"/>
    <w:link w:val="Tematkomentarza"/>
    <w:uiPriority w:val="99"/>
    <w:semiHidden/>
    <w:rsid w:val="004010DA"/>
    <w:rPr>
      <w:rFonts w:ascii="Times New Roman" w:hAnsi="Times New Roman" w:cs="Times New Roman"/>
      <w:b/>
      <w:bCs/>
      <w:sz w:val="20"/>
      <w:szCs w:val="20"/>
      <w:lang w:eastAsia="en-US"/>
    </w:rPr>
  </w:style>
  <w:style w:type="paragraph" w:styleId="Tekstdymka">
    <w:name w:val="Balloon Text"/>
    <w:basedOn w:val="Normalny"/>
    <w:link w:val="TekstdymkaZnak"/>
    <w:uiPriority w:val="99"/>
    <w:semiHidden/>
    <w:unhideWhenUsed/>
    <w:rsid w:val="004010D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010DA"/>
    <w:rPr>
      <w:rFonts w:ascii="Tahoma" w:hAnsi="Tahoma" w:cs="Tahoma"/>
      <w:sz w:val="16"/>
      <w:szCs w:val="16"/>
    </w:rPr>
  </w:style>
  <w:style w:type="paragraph" w:customStyle="1" w:styleId="Akapitzlist2">
    <w:name w:val="Akapit z listą2"/>
    <w:basedOn w:val="Normalny"/>
    <w:rsid w:val="00025E48"/>
    <w:pPr>
      <w:ind w:left="720"/>
      <w:contextualSpacing/>
    </w:pPr>
    <w:rPr>
      <w:rFonts w:ascii="Times New Roman" w:hAnsi="Times New Roman"/>
      <w:sz w:val="20"/>
      <w:szCs w:val="20"/>
      <w:lang w:eastAsia="en-US"/>
    </w:rPr>
  </w:style>
  <w:style w:type="paragraph" w:customStyle="1" w:styleId="Artykul">
    <w:name w:val="Artykul"/>
    <w:basedOn w:val="Normalny"/>
    <w:rsid w:val="00025E48"/>
    <w:pPr>
      <w:spacing w:after="0" w:line="240" w:lineRule="auto"/>
      <w:ind w:left="360" w:hanging="360"/>
    </w:pPr>
    <w:rPr>
      <w:rFonts w:ascii="Book Antiqua" w:hAnsi="Book Antiqua"/>
      <w:szCs w:val="20"/>
      <w:lang w:eastAsia="en-US"/>
    </w:rPr>
  </w:style>
  <w:style w:type="character" w:customStyle="1" w:styleId="AkapitzlistZnak">
    <w:name w:val="Akapit z listą Znak"/>
    <w:aliases w:val="BulletC Znak,Obiekt Znak,List Paragraph1 Znak,Akapit z listą1 Znak,Wyliczanie Znak,Akapit z listą31 Znak,List Paragraph Znak"/>
    <w:link w:val="Akapitzlist"/>
    <w:uiPriority w:val="34"/>
    <w:locked/>
    <w:rsid w:val="00F92E55"/>
    <w:rPr>
      <w:rFonts w:ascii="Times New Roman" w:hAnsi="Times New Roman"/>
      <w:lang w:eastAsia="en-US"/>
    </w:rPr>
  </w:style>
  <w:style w:type="table" w:styleId="Tabela-Siatka">
    <w:name w:val="Table Grid"/>
    <w:basedOn w:val="Standardowy"/>
    <w:locked/>
    <w:rsid w:val="001C3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basedOn w:val="Domylnaczcionkaakapitu"/>
    <w:rsid w:val="0055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6071">
      <w:bodyDiv w:val="1"/>
      <w:marLeft w:val="0"/>
      <w:marRight w:val="0"/>
      <w:marTop w:val="0"/>
      <w:marBottom w:val="0"/>
      <w:divBdr>
        <w:top w:val="none" w:sz="0" w:space="0" w:color="auto"/>
        <w:left w:val="none" w:sz="0" w:space="0" w:color="auto"/>
        <w:bottom w:val="none" w:sz="0" w:space="0" w:color="auto"/>
        <w:right w:val="none" w:sz="0" w:space="0" w:color="auto"/>
      </w:divBdr>
    </w:div>
    <w:div w:id="960263684">
      <w:marLeft w:val="0"/>
      <w:marRight w:val="0"/>
      <w:marTop w:val="0"/>
      <w:marBottom w:val="0"/>
      <w:divBdr>
        <w:top w:val="none" w:sz="0" w:space="0" w:color="auto"/>
        <w:left w:val="none" w:sz="0" w:space="0" w:color="auto"/>
        <w:bottom w:val="none" w:sz="0" w:space="0" w:color="auto"/>
        <w:right w:val="none" w:sz="0" w:space="0" w:color="auto"/>
      </w:divBdr>
    </w:div>
    <w:div w:id="1201671492">
      <w:bodyDiv w:val="1"/>
      <w:marLeft w:val="0"/>
      <w:marRight w:val="0"/>
      <w:marTop w:val="0"/>
      <w:marBottom w:val="0"/>
      <w:divBdr>
        <w:top w:val="none" w:sz="0" w:space="0" w:color="auto"/>
        <w:left w:val="none" w:sz="0" w:space="0" w:color="auto"/>
        <w:bottom w:val="none" w:sz="0" w:space="0" w:color="auto"/>
        <w:right w:val="none" w:sz="0" w:space="0" w:color="auto"/>
      </w:divBdr>
    </w:div>
    <w:div w:id="1386565249">
      <w:bodyDiv w:val="1"/>
      <w:marLeft w:val="0"/>
      <w:marRight w:val="0"/>
      <w:marTop w:val="0"/>
      <w:marBottom w:val="0"/>
      <w:divBdr>
        <w:top w:val="none" w:sz="0" w:space="0" w:color="auto"/>
        <w:left w:val="none" w:sz="0" w:space="0" w:color="auto"/>
        <w:bottom w:val="none" w:sz="0" w:space="0" w:color="auto"/>
        <w:right w:val="none" w:sz="0" w:space="0" w:color="auto"/>
      </w:divBdr>
      <w:divsChild>
        <w:div w:id="1569412632">
          <w:marLeft w:val="0"/>
          <w:marRight w:val="0"/>
          <w:marTop w:val="0"/>
          <w:marBottom w:val="0"/>
          <w:divBdr>
            <w:top w:val="none" w:sz="0" w:space="0" w:color="auto"/>
            <w:left w:val="none" w:sz="0" w:space="0" w:color="auto"/>
            <w:bottom w:val="none" w:sz="0" w:space="0" w:color="auto"/>
            <w:right w:val="none" w:sz="0" w:space="0" w:color="auto"/>
          </w:divBdr>
          <w:divsChild>
            <w:div w:id="1988590553">
              <w:marLeft w:val="0"/>
              <w:marRight w:val="0"/>
              <w:marTop w:val="0"/>
              <w:marBottom w:val="0"/>
              <w:divBdr>
                <w:top w:val="none" w:sz="0" w:space="0" w:color="auto"/>
                <w:left w:val="none" w:sz="0" w:space="0" w:color="auto"/>
                <w:bottom w:val="none" w:sz="0" w:space="0" w:color="auto"/>
                <w:right w:val="none" w:sz="0" w:space="0" w:color="auto"/>
              </w:divBdr>
            </w:div>
          </w:divsChild>
        </w:div>
        <w:div w:id="1909337283">
          <w:marLeft w:val="0"/>
          <w:marRight w:val="0"/>
          <w:marTop w:val="0"/>
          <w:marBottom w:val="0"/>
          <w:divBdr>
            <w:top w:val="none" w:sz="0" w:space="0" w:color="auto"/>
            <w:left w:val="none" w:sz="0" w:space="0" w:color="auto"/>
            <w:bottom w:val="none" w:sz="0" w:space="0" w:color="auto"/>
            <w:right w:val="none" w:sz="0" w:space="0" w:color="auto"/>
          </w:divBdr>
          <w:divsChild>
            <w:div w:id="15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7543">
      <w:bodyDiv w:val="1"/>
      <w:marLeft w:val="0"/>
      <w:marRight w:val="0"/>
      <w:marTop w:val="0"/>
      <w:marBottom w:val="0"/>
      <w:divBdr>
        <w:top w:val="none" w:sz="0" w:space="0" w:color="auto"/>
        <w:left w:val="none" w:sz="0" w:space="0" w:color="auto"/>
        <w:bottom w:val="none" w:sz="0" w:space="0" w:color="auto"/>
        <w:right w:val="none" w:sz="0" w:space="0" w:color="auto"/>
      </w:divBdr>
      <w:divsChild>
        <w:div w:id="1988625519">
          <w:marLeft w:val="0"/>
          <w:marRight w:val="0"/>
          <w:marTop w:val="0"/>
          <w:marBottom w:val="0"/>
          <w:divBdr>
            <w:top w:val="none" w:sz="0" w:space="0" w:color="auto"/>
            <w:left w:val="none" w:sz="0" w:space="0" w:color="auto"/>
            <w:bottom w:val="none" w:sz="0" w:space="0" w:color="auto"/>
            <w:right w:val="none" w:sz="0" w:space="0" w:color="auto"/>
          </w:divBdr>
          <w:divsChild>
            <w:div w:id="2090615869">
              <w:marLeft w:val="0"/>
              <w:marRight w:val="0"/>
              <w:marTop w:val="0"/>
              <w:marBottom w:val="0"/>
              <w:divBdr>
                <w:top w:val="none" w:sz="0" w:space="0" w:color="auto"/>
                <w:left w:val="none" w:sz="0" w:space="0" w:color="auto"/>
                <w:bottom w:val="none" w:sz="0" w:space="0" w:color="auto"/>
                <w:right w:val="none" w:sz="0" w:space="0" w:color="auto"/>
              </w:divBdr>
            </w:div>
          </w:divsChild>
        </w:div>
        <w:div w:id="498471268">
          <w:marLeft w:val="0"/>
          <w:marRight w:val="0"/>
          <w:marTop w:val="0"/>
          <w:marBottom w:val="0"/>
          <w:divBdr>
            <w:top w:val="none" w:sz="0" w:space="0" w:color="auto"/>
            <w:left w:val="none" w:sz="0" w:space="0" w:color="auto"/>
            <w:bottom w:val="none" w:sz="0" w:space="0" w:color="auto"/>
            <w:right w:val="none" w:sz="0" w:space="0" w:color="auto"/>
          </w:divBdr>
          <w:divsChild>
            <w:div w:id="750009509">
              <w:marLeft w:val="0"/>
              <w:marRight w:val="0"/>
              <w:marTop w:val="0"/>
              <w:marBottom w:val="0"/>
              <w:divBdr>
                <w:top w:val="none" w:sz="0" w:space="0" w:color="auto"/>
                <w:left w:val="none" w:sz="0" w:space="0" w:color="auto"/>
                <w:bottom w:val="none" w:sz="0" w:space="0" w:color="auto"/>
                <w:right w:val="none" w:sz="0" w:space="0" w:color="auto"/>
              </w:divBdr>
            </w:div>
          </w:divsChild>
        </w:div>
        <w:div w:id="1150636759">
          <w:marLeft w:val="0"/>
          <w:marRight w:val="0"/>
          <w:marTop w:val="0"/>
          <w:marBottom w:val="0"/>
          <w:divBdr>
            <w:top w:val="none" w:sz="0" w:space="0" w:color="auto"/>
            <w:left w:val="none" w:sz="0" w:space="0" w:color="auto"/>
            <w:bottom w:val="none" w:sz="0" w:space="0" w:color="auto"/>
            <w:right w:val="none" w:sz="0" w:space="0" w:color="auto"/>
          </w:divBdr>
          <w:divsChild>
            <w:div w:id="783117738">
              <w:marLeft w:val="0"/>
              <w:marRight w:val="0"/>
              <w:marTop w:val="0"/>
              <w:marBottom w:val="0"/>
              <w:divBdr>
                <w:top w:val="none" w:sz="0" w:space="0" w:color="auto"/>
                <w:left w:val="none" w:sz="0" w:space="0" w:color="auto"/>
                <w:bottom w:val="none" w:sz="0" w:space="0" w:color="auto"/>
                <w:right w:val="none" w:sz="0" w:space="0" w:color="auto"/>
              </w:divBdr>
            </w:div>
          </w:divsChild>
        </w:div>
        <w:div w:id="409086678">
          <w:marLeft w:val="0"/>
          <w:marRight w:val="0"/>
          <w:marTop w:val="0"/>
          <w:marBottom w:val="0"/>
          <w:divBdr>
            <w:top w:val="none" w:sz="0" w:space="0" w:color="auto"/>
            <w:left w:val="none" w:sz="0" w:space="0" w:color="auto"/>
            <w:bottom w:val="none" w:sz="0" w:space="0" w:color="auto"/>
            <w:right w:val="none" w:sz="0" w:space="0" w:color="auto"/>
          </w:divBdr>
          <w:divsChild>
            <w:div w:id="5960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740</Words>
  <Characters>4442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Uchwała Nr</vt:lpstr>
    </vt:vector>
  </TitlesOfParts>
  <Company>Microsoft</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dc:title>
  <dc:creator>kprzezdziecki</dc:creator>
  <cp:lastModifiedBy>Groszkowski Andrzej</cp:lastModifiedBy>
  <cp:revision>42</cp:revision>
  <cp:lastPrinted>2017-04-11T06:58:00Z</cp:lastPrinted>
  <dcterms:created xsi:type="dcterms:W3CDTF">2017-03-20T08:54:00Z</dcterms:created>
  <dcterms:modified xsi:type="dcterms:W3CDTF">2017-06-07T07:32:00Z</dcterms:modified>
</cp:coreProperties>
</file>