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textAlignment w:val="baseline"/>
        <w:outlineLvl w:val="0"/>
        <w:rPr>
          <w:rFonts w:eastAsia="Calibri" w:cs="Tahoma"/>
          <w:b/>
          <w:color w:val="auto"/>
          <w:sz w:val="22"/>
          <w:szCs w:val="22"/>
        </w:rPr>
      </w:pPr>
      <w:r w:rsidRPr="005B08A9">
        <w:rPr>
          <w:rFonts w:eastAsia="Times New Roman" w:cs="Tahoma"/>
          <w:b/>
          <w:color w:val="000000"/>
          <w:sz w:val="22"/>
          <w:szCs w:val="22"/>
          <w:lang w:eastAsia="ar-SA"/>
        </w:rPr>
        <w:t xml:space="preserve">UMOWA </w:t>
      </w:r>
      <w:r w:rsidRPr="005B08A9">
        <w:rPr>
          <w:rFonts w:eastAsia="Calibri" w:cs="Tahoma"/>
          <w:b/>
          <w:color w:val="auto"/>
          <w:sz w:val="22"/>
          <w:szCs w:val="22"/>
        </w:rPr>
        <w:t xml:space="preserve">O UDZIELENIE ZAMÓWIENIA NA DOSTAWĘ </w:t>
      </w:r>
      <w:r w:rsidR="008D6E83">
        <w:rPr>
          <w:rFonts w:eastAsia="Calibri" w:cs="Tahoma"/>
          <w:b/>
          <w:color w:val="auto"/>
          <w:sz w:val="22"/>
          <w:szCs w:val="22"/>
        </w:rPr>
        <w:t>URZĄDZENIA WIELOFUNKCYJNEGO</w:t>
      </w:r>
      <w:r w:rsidRPr="005B08A9">
        <w:rPr>
          <w:rFonts w:eastAsia="Calibri" w:cs="Tahoma"/>
          <w:b/>
          <w:color w:val="auto"/>
          <w:sz w:val="22"/>
          <w:szCs w:val="22"/>
        </w:rPr>
        <w:t xml:space="preserve"> NA POTRZEBY CENTRUM EDUKACJI ARTYSTYCZNEJ</w:t>
      </w:r>
    </w:p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textAlignment w:val="baseline"/>
        <w:outlineLvl w:val="0"/>
        <w:rPr>
          <w:rFonts w:eastAsia="Times New Roman" w:cs="Tahoma"/>
          <w:b/>
          <w:color w:val="000000"/>
          <w:sz w:val="22"/>
          <w:szCs w:val="22"/>
          <w:lang w:eastAsia="ar-SA"/>
        </w:rPr>
      </w:pPr>
    </w:p>
    <w:p w:rsidR="000F3C89" w:rsidRPr="005B08A9" w:rsidRDefault="000F3C89" w:rsidP="000F3C89">
      <w:pPr>
        <w:shd w:val="clear" w:color="auto" w:fill="FFFFFF"/>
        <w:spacing w:after="160"/>
        <w:jc w:val="left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Zawarta dnia ………………. r. w Warszawie, pomiędzy: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Centrum Edukacji Artystycznej w Warszawie (00-924), ul. Kopernika 36/40, NIP: 525-10-03-814, REGON: 010600070,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reprezentowane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Dyrektora - dr Zdzisława Bujanowskiego,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UDZIELAJĄCYM ZAMÓWIENIA,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a  </w:t>
      </w:r>
      <w:r w:rsidRPr="005B08A9">
        <w:rPr>
          <w:rFonts w:eastAsia="Calibri" w:cs="Tahoma"/>
          <w:b/>
          <w:color w:val="auto"/>
          <w:sz w:val="20"/>
        </w:rPr>
        <w:t>……………………………………….,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NIP ………………….., REGON: ……………………..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reprezentowanym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…………………………………………………,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PRZYJMUJĄCYM ZAMÓWIENIE,</w:t>
      </w:r>
    </w:p>
    <w:p w:rsidR="000F3C89" w:rsidRPr="005B08A9" w:rsidRDefault="000F3C89" w:rsidP="000F3C89">
      <w:pPr>
        <w:spacing w:after="120"/>
        <w:jc w:val="center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§ 1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UDZIELAJĄCY ZAMÓWIENIA zleca PRZYJMUJĄCEMU ZAMÓWIENIE dostarczenie </w:t>
      </w:r>
      <w:r w:rsidR="008D6E83">
        <w:rPr>
          <w:rFonts w:eastAsia="Times New Roman" w:cs="Tahoma"/>
          <w:color w:val="000000"/>
          <w:sz w:val="20"/>
          <w:lang w:eastAsia="ar-SA"/>
        </w:rPr>
        <w:t>urządzenia wielofunkcyjnego</w:t>
      </w:r>
      <w:r w:rsidR="008D6E83" w:rsidRPr="005B08A9">
        <w:rPr>
          <w:rFonts w:eastAsia="Times New Roman" w:cs="Tahoma"/>
          <w:color w:val="000000"/>
          <w:sz w:val="20"/>
          <w:lang w:eastAsia="ar-SA"/>
        </w:rPr>
        <w:t>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Szczegółową specyfikację Pakietów określa załącznik nr 1 do niniejszej umowy, stanowiącą jej integralną część.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16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pl-PL"/>
        </w:rPr>
        <w:t xml:space="preserve">Umowa realizowana będzie z należytą starannością, zgodnie z opisem przedmiotu zamówienia oraz z ofertą </w:t>
      </w:r>
      <w:r w:rsidRPr="005B08A9">
        <w:rPr>
          <w:rFonts w:eastAsia="Times New Roman" w:cs="Tahoma"/>
          <w:color w:val="000000"/>
          <w:sz w:val="20"/>
          <w:lang w:eastAsia="ar-SA"/>
        </w:rPr>
        <w:t>PRZYJMUJĄCEMU ZAMÓWIENIE</w:t>
      </w:r>
      <w:r w:rsidRPr="005B08A9">
        <w:rPr>
          <w:rFonts w:eastAsia="Times New Roman" w:cs="Tahoma"/>
          <w:color w:val="auto"/>
          <w:sz w:val="20"/>
          <w:lang w:eastAsia="pl-PL"/>
        </w:rPr>
        <w:t>, na warunkach opisanych w niniejszej umowie.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2</w:t>
      </w:r>
    </w:p>
    <w:p w:rsidR="000F3C89" w:rsidRPr="005B08A9" w:rsidRDefault="000F3C89" w:rsidP="005B08A9">
      <w:pPr>
        <w:numPr>
          <w:ilvl w:val="0"/>
          <w:numId w:val="8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Przedmiot umowy realizowany będzie w dni robocze, w godzinach od  8.00 do 16.00. </w:t>
      </w:r>
    </w:p>
    <w:p w:rsidR="000F3C89" w:rsidRPr="005B08A9" w:rsidRDefault="000F3C89" w:rsidP="005B08A9">
      <w:pPr>
        <w:numPr>
          <w:ilvl w:val="0"/>
          <w:numId w:val="8"/>
        </w:numPr>
        <w:spacing w:after="160" w:line="256" w:lineRule="auto"/>
        <w:ind w:left="357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dostarczy zamówiony Sprzęt na własny koszt i na własne ryzyko na adres: </w:t>
      </w:r>
      <w:r w:rsidRPr="005B08A9">
        <w:rPr>
          <w:rFonts w:eastAsia="Calibri" w:cs="Tahoma"/>
          <w:bCs/>
          <w:color w:val="auto"/>
          <w:sz w:val="20"/>
        </w:rPr>
        <w:t>00-924 Warszawa, ul. Kopernika 36/40.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3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Termin dostawy: do 14 dni od dnia podpisania umowy.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Dostarczany Sprzęt będzie oryginalnie opakowany (opakowania nie mogą być naruszone), opakowania opisane, co do ich zawartości.</w:t>
      </w:r>
    </w:p>
    <w:p w:rsidR="000F3C89" w:rsidRPr="00755723" w:rsidRDefault="000F3C89" w:rsidP="00755723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Ww. sprzęt zaopatrzony będzie w instrukcje (jeżeli dany sprzęt taką instrukcję posiada), opisy techniczne i karty gwarancyjne, które będą w języku polskim- jeśli nie jest ona dostępna na stronie internetowej producenta. 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4</w:t>
      </w:r>
    </w:p>
    <w:p w:rsidR="000F3C89" w:rsidRPr="005B08A9" w:rsidRDefault="000F3C89" w:rsidP="005B08A9">
      <w:pPr>
        <w:numPr>
          <w:ilvl w:val="0"/>
          <w:numId w:val="4"/>
        </w:numPr>
        <w:suppressAutoHyphens/>
        <w:spacing w:after="0" w:line="256" w:lineRule="auto"/>
        <w:ind w:left="426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Potwierdzeniem odbioru przedmiotu umowy przez UDZIELAJĄCEGO ZAMÓWIENIE będzie podpisany Protokół odbioru bezpośrednio po dokonaniu dostawy.</w:t>
      </w:r>
    </w:p>
    <w:p w:rsidR="000F3C89" w:rsidRPr="005B08A9" w:rsidRDefault="000F3C89" w:rsidP="005B08A9">
      <w:pPr>
        <w:numPr>
          <w:ilvl w:val="0"/>
          <w:numId w:val="4"/>
        </w:numPr>
        <w:spacing w:after="120" w:line="256" w:lineRule="auto"/>
        <w:ind w:left="425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5</w:t>
      </w:r>
    </w:p>
    <w:p w:rsidR="000F3C89" w:rsidRPr="005B08A9" w:rsidRDefault="000F3C89" w:rsidP="005B08A9">
      <w:pPr>
        <w:widowControl w:val="0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256" w:lineRule="auto"/>
        <w:ind w:left="426" w:hanging="426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  <w:lang w:bidi="pl-PL"/>
        </w:rPr>
        <w:t xml:space="preserve">Za dostarczony sprzęt oraz licencję </w:t>
      </w:r>
      <w:r w:rsidRPr="005B08A9">
        <w:rPr>
          <w:rFonts w:eastAsia="Calibri" w:cs="Tahoma"/>
          <w:color w:val="auto"/>
          <w:sz w:val="20"/>
        </w:rPr>
        <w:t>UDZIELAJĄCY ZAMÓWIENIA</w:t>
      </w:r>
      <w:r w:rsidRPr="005B08A9">
        <w:rPr>
          <w:rFonts w:eastAsia="Calibri" w:cs="Tahoma"/>
          <w:color w:val="auto"/>
          <w:sz w:val="20"/>
          <w:lang w:bidi="pl-PL"/>
        </w:rPr>
        <w:t xml:space="preserve"> zobowiązuje się wypłacić </w:t>
      </w:r>
      <w:r w:rsidRPr="005B08A9">
        <w:rPr>
          <w:rFonts w:eastAsia="Calibri" w:cs="Tahoma"/>
          <w:color w:val="auto"/>
          <w:sz w:val="20"/>
        </w:rPr>
        <w:lastRenderedPageBreak/>
        <w:t>PRZYJMUJĄCEMU ZAMÓWIENIE</w:t>
      </w:r>
      <w:r w:rsidRPr="005B08A9">
        <w:rPr>
          <w:rFonts w:eastAsia="Calibri" w:cs="Tahoma"/>
          <w:color w:val="auto"/>
          <w:sz w:val="20"/>
          <w:lang w:bidi="pl-PL"/>
        </w:rPr>
        <w:t xml:space="preserve"> wynagrodzenie w kwocie </w:t>
      </w:r>
      <w:r w:rsidRPr="005B08A9">
        <w:rPr>
          <w:rFonts w:eastAsia="Calibri" w:cs="Tahoma"/>
          <w:b/>
          <w:color w:val="auto"/>
          <w:sz w:val="20"/>
          <w:lang w:bidi="pl-PL"/>
        </w:rPr>
        <w:t>…………….…….. zł brutto</w:t>
      </w:r>
      <w:r w:rsidRPr="005B08A9">
        <w:rPr>
          <w:rFonts w:eastAsia="Calibri" w:cs="Tahoma"/>
          <w:color w:val="auto"/>
          <w:sz w:val="20"/>
          <w:lang w:bidi="pl-PL"/>
        </w:rPr>
        <w:t>, (słownie…………………………………………………………………..……….. złotych i ………………… groszy).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bookmarkStart w:id="0" w:name="bookmark2"/>
      <w:r w:rsidRPr="005B08A9">
        <w:rPr>
          <w:rFonts w:eastAsia="Calibri" w:cs="Tahoma"/>
          <w:color w:val="auto"/>
          <w:sz w:val="20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 formie pisemnej, drogą pocztową /pocztą kurierską pod adres: Centrum Edukacji Artystycznej ul. Kopernika 36/40, 00-924 Warszawa – sekretariat,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drogą elektroniczną w formacie PDF pod adres: </w:t>
      </w:r>
      <w:hyperlink r:id="rId7" w:history="1">
        <w:r w:rsidRPr="005B08A9">
          <w:rPr>
            <w:rFonts w:eastAsia="Consolas" w:cs="Tahoma"/>
            <w:color w:val="0000FF"/>
            <w:sz w:val="20"/>
            <w:u w:val="single"/>
          </w:rPr>
          <w:t>faktury@cea.art.pl</w:t>
        </w:r>
      </w:hyperlink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 ma prawo skorzystania z możliwości przekazania ustrukturyzowanej faktury elektronicznej na zasadach określonych w ustawie z dnia 9 listopada 2018 r. </w:t>
      </w:r>
      <w:r w:rsidRPr="005B08A9">
        <w:rPr>
          <w:rFonts w:eastAsia="Calibri" w:cs="Tahoma"/>
          <w:color w:val="auto"/>
          <w:sz w:val="20"/>
        </w:rPr>
        <w:br/>
        <w:t>o elektronicznym fakturowaniu w zamówieniach publicznych, koncesjach na roboty budowlane lub usługi oraz partnerstwie publiczno-prywatnym (Dz. U. z 2018 r. poz. 2191).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120" w:line="256" w:lineRule="auto"/>
        <w:ind w:left="425" w:hanging="425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Zmiana numeru rachunku bankowego o którym mowa w </w:t>
      </w:r>
      <w:r w:rsidRPr="005B08A9">
        <w:rPr>
          <w:rFonts w:eastAsia="Calibri" w:cs="Tahoma"/>
          <w:bCs/>
          <w:color w:val="auto"/>
          <w:sz w:val="20"/>
        </w:rPr>
        <w:t>§ 5</w:t>
      </w:r>
      <w:r w:rsidRPr="005B08A9">
        <w:rPr>
          <w:rFonts w:eastAsia="Calibri" w:cs="Tahoma"/>
          <w:b/>
          <w:bCs/>
          <w:color w:val="auto"/>
          <w:sz w:val="20"/>
        </w:rPr>
        <w:t xml:space="preserve"> </w:t>
      </w:r>
      <w:r w:rsidRPr="005B08A9">
        <w:rPr>
          <w:rFonts w:eastAsia="Calibri" w:cs="Tahoma"/>
          <w:color w:val="auto"/>
          <w:sz w:val="20"/>
        </w:rPr>
        <w:t xml:space="preserve">pkt 3 wymaga formy pisemnej </w:t>
      </w:r>
      <w:r w:rsidRPr="005B08A9">
        <w:rPr>
          <w:rFonts w:eastAsia="Calibri" w:cs="Tahoma"/>
          <w:color w:val="auto"/>
          <w:sz w:val="20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6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PRZYJMUJĄCY ZAMÓWIENIE nie może powierzyć wykonania zamówienia osobie trzeciej.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7</w:t>
      </w:r>
    </w:p>
    <w:p w:rsidR="000F3C89" w:rsidRPr="005B08A9" w:rsidRDefault="000F3C89" w:rsidP="005B08A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Umowa może zostać rozwiązana przez UDZIELAJĄCEGO ZAMÓWIENIA bez wypowiedzenia </w:t>
      </w:r>
      <w:r w:rsidRPr="005B08A9">
        <w:rPr>
          <w:rFonts w:eastAsia="Calibri" w:cs="Tahoma"/>
          <w:color w:val="auto"/>
          <w:sz w:val="20"/>
        </w:rPr>
        <w:br/>
        <w:t>ze skutkiem natychmiastowym, jeżeli PRZYJMUJĄCY ZAMÓWIENIE: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został wykreślony z CEIDG/KRS,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56" w:lineRule="auto"/>
        <w:ind w:left="714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przeniósł prawa i obowiązki wynikające z niniejszej umowy na osobę trzecią bez zgody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8</w:t>
      </w:r>
    </w:p>
    <w:p w:rsidR="000F3C89" w:rsidRPr="005B08A9" w:rsidRDefault="000F3C89" w:rsidP="005B08A9">
      <w:pPr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Strony zastrzegają następujące kary umowne:</w:t>
      </w:r>
    </w:p>
    <w:p w:rsidR="000F3C89" w:rsidRPr="005B08A9" w:rsidRDefault="000F3C89" w:rsidP="005B08A9">
      <w:pPr>
        <w:numPr>
          <w:ilvl w:val="0"/>
          <w:numId w:val="5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zobowiązany jest do zapłaty kar umownych w wypadku odstąpienia od umowy z winy PRZYJMUJĄCEGO ZAMÓWIENIE - 2% wynagrodzenia umownego określonego </w:t>
      </w:r>
      <w:r w:rsidRPr="005B08A9">
        <w:rPr>
          <w:rFonts w:eastAsia="Calibri" w:cs="Tahoma"/>
          <w:color w:val="auto"/>
          <w:sz w:val="20"/>
        </w:rPr>
        <w:br/>
        <w:t>w § 5 pkt. 1.</w:t>
      </w:r>
    </w:p>
    <w:p w:rsidR="000F3C89" w:rsidRPr="005B08A9" w:rsidRDefault="000F3C89" w:rsidP="005B08A9">
      <w:pPr>
        <w:numPr>
          <w:ilvl w:val="0"/>
          <w:numId w:val="6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9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ar-SA"/>
        </w:rPr>
        <w:t>W sprawach nieuregulowanych niniejszą umową mają zastosowanie przepisy Kodeksu cywilnego.</w:t>
      </w: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 xml:space="preserve">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10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Zmiany umowy dokonywane są w formie pisemnej pod rygorem nieważności.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11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Spory powstałe na tle niniejszej umowy rozpatruje sąd powszechny właściwy dla siedziby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12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Umową sporządzono w dwóch jednobrzmiących egzemplarzach – po jednej dla każdej ze stron.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lang w:eastAsia="ar-SA"/>
        </w:rPr>
        <w:lastRenderedPageBreak/>
        <w:t>§13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Integralną część umowy stanowi dokumentacja postępowania zapytania ofertowego w wyniku, którego niniejsza umowa została zawarta.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color w:val="000000"/>
          <w:sz w:val="20"/>
          <w:u w:val="single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u w:val="single"/>
          <w:lang w:eastAsia="ar-SA"/>
        </w:rPr>
        <w:t>Załączniki do umowy: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1 – Opis przedmiotu zamówienia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2 – Oferta Wykonawcy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Załącznik nr 3 -  Oświadczenie Wykonawcy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PRZYJMUJĄCY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UDZIELAJĄCY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ZAMÓWIENIE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ZAMÓWIENIA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</w:t>
      </w:r>
    </w:p>
    <w:p w:rsidR="005B08A9" w:rsidRP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0F3C89" w:rsidRPr="005B08A9" w:rsidRDefault="005B08A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  <w:r>
        <w:rPr>
          <w:rFonts w:eastAsia="Calibri" w:cs="Tahoma"/>
          <w:color w:val="auto"/>
          <w:sz w:val="22"/>
          <w:szCs w:val="22"/>
        </w:rPr>
        <w:t xml:space="preserve">                                  </w:t>
      </w: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</w:p>
    <w:p w:rsidR="000F3C89" w:rsidRPr="005B08A9" w:rsidRDefault="000F3C8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</w:p>
    <w:p w:rsidR="000F3C89" w:rsidRPr="005B08A9" w:rsidRDefault="000F3C89" w:rsidP="000F3C89">
      <w:pPr>
        <w:spacing w:after="160"/>
        <w:jc w:val="center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</w:p>
    <w:p w:rsidR="000F3C89" w:rsidRPr="005B08A9" w:rsidRDefault="000F3C89" w:rsidP="000F3C89">
      <w:pPr>
        <w:spacing w:after="160" w:line="259" w:lineRule="auto"/>
        <w:jc w:val="left"/>
        <w:rPr>
          <w:rFonts w:eastAsia="Calibri" w:cs="Tahoma"/>
          <w:b/>
          <w:color w:val="auto"/>
          <w:sz w:val="22"/>
          <w:szCs w:val="22"/>
        </w:rPr>
      </w:pPr>
      <w:bookmarkStart w:id="1" w:name="_Hlk58875845"/>
      <w:r w:rsidRPr="005B08A9">
        <w:rPr>
          <w:rFonts w:eastAsia="Calibri" w:cs="Tahoma"/>
          <w:b/>
          <w:color w:val="auto"/>
          <w:sz w:val="22"/>
          <w:szCs w:val="22"/>
        </w:rPr>
        <w:br w:type="page"/>
      </w:r>
    </w:p>
    <w:p w:rsidR="000F3C89" w:rsidRPr="005B08A9" w:rsidRDefault="000F3C89" w:rsidP="000F3C89">
      <w:pPr>
        <w:spacing w:after="160" w:line="256" w:lineRule="auto"/>
        <w:rPr>
          <w:rFonts w:eastAsia="Calibri" w:cs="Tahoma"/>
          <w:b/>
          <w:color w:val="auto"/>
          <w:sz w:val="20"/>
          <w:szCs w:val="22"/>
        </w:rPr>
      </w:pPr>
      <w:r w:rsidRPr="005B08A9">
        <w:rPr>
          <w:rFonts w:eastAsia="Calibri" w:cs="Tahoma"/>
          <w:b/>
          <w:color w:val="auto"/>
          <w:sz w:val="20"/>
          <w:szCs w:val="22"/>
        </w:rPr>
        <w:lastRenderedPageBreak/>
        <w:t>Załącznik nr 1</w:t>
      </w:r>
      <w:bookmarkEnd w:id="1"/>
    </w:p>
    <w:p w:rsidR="008D6E83" w:rsidRPr="008D6E83" w:rsidRDefault="008D6E83" w:rsidP="008D6E83">
      <w:pPr>
        <w:spacing w:after="0" w:line="256" w:lineRule="auto"/>
        <w:rPr>
          <w:rFonts w:cs="Tahoma"/>
          <w:b/>
          <w:sz w:val="22"/>
          <w:szCs w:val="22"/>
        </w:rPr>
      </w:pPr>
      <w:r w:rsidRPr="008D6E83">
        <w:rPr>
          <w:rFonts w:cs="Tahoma"/>
          <w:b/>
          <w:sz w:val="22"/>
          <w:szCs w:val="22"/>
        </w:rPr>
        <w:t xml:space="preserve">Urządzenie wielofunkcyjne HP </w:t>
      </w:r>
      <w:proofErr w:type="spellStart"/>
      <w:r w:rsidRPr="008D6E83">
        <w:rPr>
          <w:rFonts w:cs="Tahoma"/>
          <w:b/>
          <w:sz w:val="22"/>
          <w:szCs w:val="22"/>
        </w:rPr>
        <w:t>Color</w:t>
      </w:r>
      <w:proofErr w:type="spellEnd"/>
      <w:r w:rsidRPr="008D6E83">
        <w:rPr>
          <w:rFonts w:cs="Tahoma"/>
          <w:b/>
          <w:sz w:val="22"/>
          <w:szCs w:val="22"/>
        </w:rPr>
        <w:t xml:space="preserve"> </w:t>
      </w:r>
      <w:proofErr w:type="spellStart"/>
      <w:r w:rsidRPr="008D6E83">
        <w:rPr>
          <w:rFonts w:cs="Tahoma"/>
          <w:b/>
          <w:sz w:val="22"/>
          <w:szCs w:val="22"/>
        </w:rPr>
        <w:t>LaserJet</w:t>
      </w:r>
      <w:proofErr w:type="spellEnd"/>
      <w:r w:rsidRPr="008D6E83">
        <w:rPr>
          <w:rFonts w:cs="Tahoma"/>
          <w:b/>
          <w:sz w:val="22"/>
          <w:szCs w:val="22"/>
        </w:rPr>
        <w:t xml:space="preserve"> Pro MFP 3302fdn</w:t>
      </w:r>
      <w:r w:rsidR="009B5A32">
        <w:rPr>
          <w:rFonts w:cs="Tahoma"/>
          <w:b/>
          <w:sz w:val="22"/>
          <w:szCs w:val="22"/>
        </w:rPr>
        <w:t xml:space="preserve">  - </w:t>
      </w:r>
      <w:bookmarkStart w:id="2" w:name="_GoBack"/>
      <w:bookmarkEnd w:id="2"/>
      <w:r w:rsidR="009B5A32" w:rsidRPr="008D6E83">
        <w:rPr>
          <w:rFonts w:cs="Tahoma"/>
          <w:b/>
          <w:sz w:val="22"/>
          <w:szCs w:val="22"/>
        </w:rPr>
        <w:t>1 szt.</w:t>
      </w:r>
    </w:p>
    <w:p w:rsidR="008D6E83" w:rsidRPr="008D6E83" w:rsidRDefault="008D6E83" w:rsidP="008D6E83">
      <w:p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Parametry minimum: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Technologia druku: Laserowa, kolorowa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Obsługiwany typ nośnika: Papier zwykły, Koperty, Etykiety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 xml:space="preserve">Obsługiwane formaty nośników: A4, A5, A6, B6, </w:t>
      </w:r>
      <w:proofErr w:type="spellStart"/>
      <w:r w:rsidRPr="008D6E83">
        <w:rPr>
          <w:rFonts w:cs="Tahoma"/>
          <w:sz w:val="22"/>
          <w:szCs w:val="22"/>
        </w:rPr>
        <w:t>Letter</w:t>
      </w:r>
      <w:proofErr w:type="spellEnd"/>
      <w:r w:rsidRPr="008D6E83">
        <w:rPr>
          <w:rFonts w:cs="Tahoma"/>
          <w:sz w:val="22"/>
          <w:szCs w:val="22"/>
        </w:rPr>
        <w:t>, Formaty niestandardowe, 10 x 15 cm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Rodzaje podajników papieru: Kasetowy, Szczelinowy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Podajnik papieru: 250 arkuszy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Szybkość druku w kolorze: do 25 str./min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Szybkość druku w mono: do 25 str./min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 xml:space="preserve">Maksymalna rozdzielczość druku: 600 x 600 </w:t>
      </w:r>
      <w:proofErr w:type="spellStart"/>
      <w:r w:rsidRPr="008D6E83">
        <w:rPr>
          <w:rFonts w:cs="Tahoma"/>
          <w:sz w:val="22"/>
          <w:szCs w:val="22"/>
        </w:rPr>
        <w:t>dpi</w:t>
      </w:r>
      <w:proofErr w:type="spellEnd"/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Druk dwustronny (dupleks): Automatyczny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Skaner: Tak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Podajnik dokumentów skanera: Tak (ADF)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Wyświetlacz: Wbudowany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Interfejsy: USB, LAN (Ethernet)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b/>
          <w:sz w:val="22"/>
          <w:szCs w:val="22"/>
        </w:rPr>
      </w:pPr>
      <w:r w:rsidRPr="008D6E83">
        <w:rPr>
          <w:rFonts w:cs="Tahoma"/>
          <w:b/>
          <w:sz w:val="22"/>
          <w:szCs w:val="22"/>
        </w:rPr>
        <w:t>Dołączone akcesoria: Kabel zasilający, Tonery startowe oraz komplet tonerów oryginalnych</w:t>
      </w:r>
    </w:p>
    <w:p w:rsidR="008D6E83" w:rsidRPr="008D6E83" w:rsidRDefault="008D6E83" w:rsidP="008D6E83">
      <w:pPr>
        <w:numPr>
          <w:ilvl w:val="0"/>
          <w:numId w:val="25"/>
        </w:numPr>
        <w:spacing w:after="0" w:line="256" w:lineRule="auto"/>
        <w:rPr>
          <w:rFonts w:cs="Tahoma"/>
          <w:sz w:val="22"/>
          <w:szCs w:val="22"/>
        </w:rPr>
      </w:pPr>
      <w:r w:rsidRPr="008D6E83">
        <w:rPr>
          <w:rFonts w:cs="Tahoma"/>
          <w:sz w:val="22"/>
          <w:szCs w:val="22"/>
        </w:rPr>
        <w:t>Gwarancja: 24 miesięcy</w:t>
      </w:r>
    </w:p>
    <w:p w:rsidR="00BB13C4" w:rsidRPr="005B08A9" w:rsidRDefault="00BB13C4" w:rsidP="002A61FC">
      <w:pPr>
        <w:spacing w:after="0" w:line="256" w:lineRule="auto"/>
        <w:rPr>
          <w:rFonts w:cs="Tahoma"/>
          <w:sz w:val="22"/>
          <w:szCs w:val="22"/>
        </w:rPr>
      </w:pPr>
    </w:p>
    <w:sectPr w:rsidR="00BB13C4" w:rsidRPr="005B08A9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D57" w:rsidRDefault="00981D57">
      <w:pPr>
        <w:spacing w:after="0" w:line="240" w:lineRule="auto"/>
      </w:pPr>
      <w:r>
        <w:separator/>
      </w:r>
    </w:p>
  </w:endnote>
  <w:endnote w:type="continuationSeparator" w:id="0">
    <w:p w:rsidR="00981D57" w:rsidRDefault="0098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5617A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D57" w:rsidRDefault="00981D57">
      <w:pPr>
        <w:spacing w:after="0" w:line="240" w:lineRule="auto"/>
      </w:pPr>
      <w:r>
        <w:separator/>
      </w:r>
    </w:p>
  </w:footnote>
  <w:footnote w:type="continuationSeparator" w:id="0">
    <w:p w:rsidR="00981D57" w:rsidRDefault="0098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5617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7"/>
  </w:num>
  <w:num w:numId="8">
    <w:abstractNumId w:val="11"/>
  </w:num>
  <w:num w:numId="9">
    <w:abstractNumId w:val="21"/>
  </w:num>
  <w:num w:numId="10">
    <w:abstractNumId w:val="20"/>
  </w:num>
  <w:num w:numId="11">
    <w:abstractNumId w:val="15"/>
  </w:num>
  <w:num w:numId="12">
    <w:abstractNumId w:val="4"/>
  </w:num>
  <w:num w:numId="13">
    <w:abstractNumId w:val="13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6"/>
  </w:num>
  <w:num w:numId="19">
    <w:abstractNumId w:val="10"/>
  </w:num>
  <w:num w:numId="20">
    <w:abstractNumId w:val="0"/>
  </w:num>
  <w:num w:numId="21">
    <w:abstractNumId w:val="7"/>
  </w:num>
  <w:num w:numId="22">
    <w:abstractNumId w:val="3"/>
  </w:num>
  <w:num w:numId="23">
    <w:abstractNumId w:val="14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3"/>
    <w:rsid w:val="00052926"/>
    <w:rsid w:val="000F3C89"/>
    <w:rsid w:val="002A61FC"/>
    <w:rsid w:val="00325B5D"/>
    <w:rsid w:val="003C3A7E"/>
    <w:rsid w:val="00477FC6"/>
    <w:rsid w:val="004E5816"/>
    <w:rsid w:val="005617AC"/>
    <w:rsid w:val="005B08A9"/>
    <w:rsid w:val="005C4B0F"/>
    <w:rsid w:val="006E78F5"/>
    <w:rsid w:val="00755723"/>
    <w:rsid w:val="008C25C3"/>
    <w:rsid w:val="008D6E83"/>
    <w:rsid w:val="00981D57"/>
    <w:rsid w:val="009B5A32"/>
    <w:rsid w:val="00AA167E"/>
    <w:rsid w:val="00BB13C4"/>
    <w:rsid w:val="00BC375D"/>
    <w:rsid w:val="00C822EC"/>
    <w:rsid w:val="00CE4CB8"/>
    <w:rsid w:val="00DC4947"/>
    <w:rsid w:val="00F70F5B"/>
    <w:rsid w:val="00F810C3"/>
    <w:rsid w:val="00F94580"/>
    <w:rsid w:val="00FA0D2B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3B20"/>
  <w15:docId w15:val="{FB8DF047-5FAE-4A68-B5F4-2EEDBD4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61FC"/>
    <w:pPr>
      <w:ind w:left="720"/>
      <w:contextualSpacing/>
    </w:pPr>
  </w:style>
  <w:style w:type="paragraph" w:styleId="Bezodstpw">
    <w:name w:val="No Spacing"/>
    <w:uiPriority w:val="1"/>
    <w:qFormat/>
    <w:rsid w:val="002A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29</cp:revision>
  <cp:lastPrinted>2025-03-06T10:45:00Z</cp:lastPrinted>
  <dcterms:created xsi:type="dcterms:W3CDTF">2025-03-06T09:27:00Z</dcterms:created>
  <dcterms:modified xsi:type="dcterms:W3CDTF">2025-10-23T08:06:00Z</dcterms:modified>
</cp:coreProperties>
</file>