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B7E03" w14:textId="6225B311" w:rsidR="00EC2E80" w:rsidRDefault="00EC2E80" w:rsidP="00EC2E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Załącznik nr 4</w:t>
      </w:r>
      <w:r w:rsidR="00D134F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A</w:t>
      </w:r>
    </w:p>
    <w:p w14:paraId="1B35D206" w14:textId="4ABDD905" w:rsidR="00947206" w:rsidRDefault="00947206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UMOWA </w:t>
      </w:r>
      <w:r w:rsidR="00EC2E8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nr 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2005-7.0750. …. .2026</w:t>
      </w:r>
    </w:p>
    <w:p w14:paraId="30E63904" w14:textId="77777777" w:rsidR="00121025" w:rsidRPr="00947206" w:rsidRDefault="00121025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1D5B3E3A" w14:textId="60753626" w:rsidR="00121025" w:rsidRDefault="0097063D" w:rsidP="00B91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z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awarta w dniu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………..2026 roku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Lublinie</w:t>
      </w:r>
      <w:r w:rsidR="0012102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,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pomiędzy:</w:t>
      </w:r>
    </w:p>
    <w:p w14:paraId="7AC6FE1A" w14:textId="73B5CB62" w:rsidR="00947206" w:rsidRP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Skarbem Państwa - Prokuraturą Regionalną w Lublinie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siedzibą w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Lublinie przy ul. Okopowej 2a, 2b, 20-950 Lublin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NIP: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712 33 09 431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REGON: 363823200,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reprezentowan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przez: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="00CC403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…….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…………………</w:t>
      </w:r>
      <w:r w:rsidR="00CC403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………………………..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.. - Prokuratora Regionalnego w Lublinie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  <w:t>zwaną w dalszej części Umowy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„Zamawiającym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”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</w:t>
      </w:r>
    </w:p>
    <w:p w14:paraId="3F0F280D" w14:textId="77777777" w:rsidR="00947206" w:rsidRP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</w:t>
      </w:r>
    </w:p>
    <w:p w14:paraId="67410C02" w14:textId="204C3C3B" w:rsid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………………………………………………</w:t>
      </w:r>
      <w:r w:rsidR="00D134F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……………………………………..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, </w:t>
      </w:r>
      <w:r w:rsidR="00D134FC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siedzibą w 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………………………..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 wpisaną do rejestru przedsiębiorców pod numerem KRS/EDG: ……………………….….,</w:t>
      </w:r>
      <w:r w:rsid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 Sądzie .....................</w:t>
      </w:r>
    </w:p>
    <w:p w14:paraId="24470B48" w14:textId="22C275DB" w:rsid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NIP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: …………………………….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reprezentowan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przez:</w:t>
      </w:r>
    </w:p>
    <w:p w14:paraId="43805742" w14:textId="293947C4" w:rsidR="00947206" w:rsidRPr="00947206" w:rsidRDefault="00947206" w:rsidP="00B917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……………………………………………………………………………………………….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  <w:t>zwan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ym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w dalszej części Umowy </w:t>
      </w: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„Wykonawcą”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5BE066F4" w14:textId="77777777" w:rsidR="00947206" w:rsidRDefault="00947206" w:rsidP="0094720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3D83B489" w14:textId="77777777" w:rsidR="00EC2E80" w:rsidRDefault="00947206" w:rsidP="00EC2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§ 1</w:t>
      </w:r>
    </w:p>
    <w:p w14:paraId="7DB07544" w14:textId="05C8C24F" w:rsidR="00EC2E80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Przedmiot Umowy</w:t>
      </w:r>
    </w:p>
    <w:p w14:paraId="7D5C25FF" w14:textId="591192E1" w:rsidR="00947206" w:rsidRPr="00D134FC" w:rsidRDefault="00947206" w:rsidP="005902D9">
      <w:pPr>
        <w:pStyle w:val="Akapitzlist"/>
        <w:numPr>
          <w:ilvl w:val="0"/>
          <w:numId w:val="1"/>
        </w:numPr>
        <w:shd w:val="clear" w:color="auto" w:fill="FFFFFF"/>
        <w:jc w:val="both"/>
        <w:rPr>
          <w:color w:val="0A0A0A"/>
        </w:rPr>
      </w:pPr>
      <w:r w:rsidRPr="00D134FC">
        <w:rPr>
          <w:color w:val="0A0A0A"/>
        </w:rPr>
        <w:t>Z</w:t>
      </w:r>
      <w:r w:rsidR="00121025" w:rsidRPr="00D134FC">
        <w:rPr>
          <w:color w:val="0A0A0A"/>
        </w:rPr>
        <w:t>amawiający</w:t>
      </w:r>
      <w:r w:rsidRPr="00D134FC">
        <w:rPr>
          <w:color w:val="0A0A0A"/>
        </w:rPr>
        <w:t xml:space="preserve"> powierza, a Wykonawca przyjmuje do wykonania usługi </w:t>
      </w:r>
      <w:bookmarkStart w:id="0" w:name="_Hlk227237758"/>
      <w:r w:rsidRPr="00D134FC">
        <w:rPr>
          <w:color w:val="0A0A0A"/>
        </w:rPr>
        <w:t>bieżącej konserwacji i wsparcia technicznego w celu utrzymania pełnej sprawności technicznej oraz prawidłowej obsługi</w:t>
      </w:r>
      <w:r w:rsidR="005902D9">
        <w:rPr>
          <w:color w:val="0A0A0A"/>
        </w:rPr>
        <w:t xml:space="preserve"> </w:t>
      </w:r>
      <w:r w:rsidRPr="00D134FC">
        <w:rPr>
          <w:color w:val="0A0A0A"/>
        </w:rPr>
        <w:t>Systemu Sygnalizacji Pożar</w:t>
      </w:r>
      <w:r w:rsidR="00404017">
        <w:rPr>
          <w:color w:val="0A0A0A"/>
        </w:rPr>
        <w:t>owej</w:t>
      </w:r>
      <w:r w:rsidRPr="00D134FC">
        <w:rPr>
          <w:color w:val="0A0A0A"/>
        </w:rPr>
        <w:t xml:space="preserve"> (SSP)</w:t>
      </w:r>
      <w:r w:rsidR="005902D9">
        <w:rPr>
          <w:color w:val="0A0A0A"/>
        </w:rPr>
        <w:t xml:space="preserve"> wraz z z</w:t>
      </w:r>
      <w:r w:rsidRPr="00D134FC">
        <w:rPr>
          <w:color w:val="0A0A0A"/>
        </w:rPr>
        <w:t>amknię</w:t>
      </w:r>
      <w:r w:rsidR="005902D9">
        <w:rPr>
          <w:color w:val="0A0A0A"/>
        </w:rPr>
        <w:t>ciami</w:t>
      </w:r>
      <w:r w:rsidRPr="00D134FC">
        <w:rPr>
          <w:color w:val="0A0A0A"/>
        </w:rPr>
        <w:t xml:space="preserve"> przeciwpożarow</w:t>
      </w:r>
      <w:r w:rsidR="005902D9">
        <w:rPr>
          <w:color w:val="0A0A0A"/>
        </w:rPr>
        <w:t>ymi</w:t>
      </w:r>
      <w:r w:rsidRPr="00D134FC">
        <w:rPr>
          <w:color w:val="0A0A0A"/>
        </w:rPr>
        <w:t xml:space="preserve"> (drzwi,</w:t>
      </w:r>
      <w:r w:rsidR="00DC2F48">
        <w:rPr>
          <w:color w:val="0A0A0A"/>
        </w:rPr>
        <w:t xml:space="preserve"> </w:t>
      </w:r>
      <w:r w:rsidR="007B7480">
        <w:rPr>
          <w:color w:val="0A0A0A"/>
        </w:rPr>
        <w:t>przeciwpożarowe klapy odcinające</w:t>
      </w:r>
      <w:bookmarkEnd w:id="0"/>
      <w:r w:rsidR="007B7480">
        <w:rPr>
          <w:color w:val="0A0A0A"/>
        </w:rPr>
        <w:t>, kurtyny i rolety przeciwpożarowe</w:t>
      </w:r>
      <w:r w:rsidRPr="00D134FC">
        <w:rPr>
          <w:color w:val="0A0A0A"/>
        </w:rPr>
        <w:t>),</w:t>
      </w:r>
      <w:r w:rsidR="005902D9">
        <w:rPr>
          <w:color w:val="0A0A0A"/>
        </w:rPr>
        <w:t xml:space="preserve"> </w:t>
      </w:r>
      <w:r w:rsidRPr="00D134FC">
        <w:rPr>
          <w:color w:val="0A0A0A"/>
        </w:rPr>
        <w:t>zainstalowany</w:t>
      </w:r>
      <w:r w:rsidR="007B7480">
        <w:rPr>
          <w:color w:val="0A0A0A"/>
        </w:rPr>
        <w:t>mi</w:t>
      </w:r>
      <w:r w:rsidRPr="00D134FC">
        <w:rPr>
          <w:color w:val="0A0A0A"/>
        </w:rPr>
        <w:t xml:space="preserve"> w budynk</w:t>
      </w:r>
      <w:r w:rsidR="007B7480">
        <w:rPr>
          <w:color w:val="0A0A0A"/>
        </w:rPr>
        <w:t>ach</w:t>
      </w:r>
      <w:r w:rsidRPr="00D134FC">
        <w:rPr>
          <w:color w:val="0A0A0A"/>
        </w:rPr>
        <w:t xml:space="preserve"> Prokuratury przy ul. </w:t>
      </w:r>
      <w:r w:rsidR="00385CCE" w:rsidRPr="00D134FC">
        <w:rPr>
          <w:color w:val="0A0A0A"/>
        </w:rPr>
        <w:t>Okopowej 2a, 2b w Lublinie</w:t>
      </w:r>
      <w:r w:rsidRPr="00D134FC">
        <w:rPr>
          <w:color w:val="0A0A0A"/>
        </w:rPr>
        <w:t>.</w:t>
      </w:r>
    </w:p>
    <w:p w14:paraId="215A6851" w14:textId="2D06B69D" w:rsidR="00385CCE" w:rsidRDefault="00385CCE" w:rsidP="008F23A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</w:t>
      </w:r>
      <w:r w:rsidR="00947206"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akres czynności konserwacyjnych 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SSP obejmuje</w:t>
      </w:r>
      <w:r w:rsidR="001F6DDB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następujące czynności</w:t>
      </w:r>
      <w:r w:rsidR="00121025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: </w:t>
      </w:r>
    </w:p>
    <w:p w14:paraId="610B7035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sprawdzenie poprawności działania centrali pożarowej,</w:t>
      </w:r>
    </w:p>
    <w:p w14:paraId="0EDC8BCE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odczytanie zawartości historii zdarzeń,</w:t>
      </w:r>
    </w:p>
    <w:p w14:paraId="3DEC2804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kontrola linii dozorowych i pętli,</w:t>
      </w:r>
    </w:p>
    <w:p w14:paraId="27C7F48D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test wszystkich czujek pożarowych,</w:t>
      </w:r>
    </w:p>
    <w:p w14:paraId="3CFD898F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test wszystkich ręcznych ostrzegaczy pożarowych,</w:t>
      </w:r>
    </w:p>
    <w:p w14:paraId="6592FF99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sprawdzenie wszystkich sygnalizatorów optyczno - akustycznych,</w:t>
      </w:r>
    </w:p>
    <w:p w14:paraId="536489D1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 xml:space="preserve"> kontrola modułów sterujących,</w:t>
      </w:r>
    </w:p>
    <w:p w14:paraId="5307ECB8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w razie potrzeby czyszczenie elementów SSP,</w:t>
      </w:r>
    </w:p>
    <w:p w14:paraId="721127DB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sprawdzenie wysterowania urządzeń peryferyjnych zgodnie ze scenariuszem pożarowym dla budynku,</w:t>
      </w:r>
    </w:p>
    <w:p w14:paraId="1732F4AC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kontrola zasilania podstawowego i rezerwowego (akumulatory),</w:t>
      </w:r>
    </w:p>
    <w:p w14:paraId="18E1248E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wpis do książki eksploatacji urządzenia przeciwpożarowego,</w:t>
      </w:r>
    </w:p>
    <w:p w14:paraId="10442CA9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 xml:space="preserve"> inne obowiązkowe czynności przeglądowe i konserwacyjne wynikające z wiedzy technicznej, w oparciu o aktualne normy techniczne i dokumentację techniczno-ruchową (DTR) producenta danego urządzenia</w:t>
      </w:r>
    </w:p>
    <w:p w14:paraId="2D6B8EB0" w14:textId="6A255E9F" w:rsidR="00121025" w:rsidRDefault="00121025" w:rsidP="008F23AA">
      <w:pPr>
        <w:pStyle w:val="Akapitzlist"/>
        <w:numPr>
          <w:ilvl w:val="0"/>
          <w:numId w:val="1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 xml:space="preserve">Zakres czynności </w:t>
      </w:r>
      <w:r w:rsidR="001F6DDB">
        <w:rPr>
          <w:color w:val="0A0A0A"/>
        </w:rPr>
        <w:t>konserwacyjnych w systemie zamknięć przeciwpożarowych obejmuje następujące czynności:</w:t>
      </w:r>
    </w:p>
    <w:p w14:paraId="6C18F875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kontrola poprawności działania drzwi przeciwpożarowych, przeciwpożarowych klap odcinających, rolet i kurtyn przeciwpożarowych</w:t>
      </w:r>
    </w:p>
    <w:p w14:paraId="15008762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testowanie samoczynnego zamknięcia</w:t>
      </w:r>
    </w:p>
    <w:p w14:paraId="50567D36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sprawdzenie szczeliny pomiędzy posadzką a skrzydłem drzwi ppoż.</w:t>
      </w:r>
    </w:p>
    <w:p w14:paraId="210E6CD1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lastRenderedPageBreak/>
        <w:t>sprawdzenie powłoki lakierniczej</w:t>
      </w:r>
    </w:p>
    <w:p w14:paraId="41714C7E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sprawdzenie mocowania i działania zamków</w:t>
      </w:r>
    </w:p>
    <w:p w14:paraId="32904AF3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sprawdzenie śrub mocujących i zawiasów</w:t>
      </w:r>
    </w:p>
    <w:p w14:paraId="64982990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sprawdzenie stanu i połączeń samozamykaczy</w:t>
      </w:r>
    </w:p>
    <w:p w14:paraId="3C7F589F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sprawdzenie stanu uszczelek w tym uszczelki pęczniejącej</w:t>
      </w:r>
    </w:p>
    <w:p w14:paraId="7C77A765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kontrola współpracy z systemem sygnalizacji pożarowej</w:t>
      </w:r>
    </w:p>
    <w:p w14:paraId="155DD384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kontrola zasilania podstawowego i rezerwowego (akumulatory)</w:t>
      </w:r>
    </w:p>
    <w:p w14:paraId="4B883250" w14:textId="77777777" w:rsidR="007B7480" w:rsidRDefault="007B7480" w:rsidP="007B7480">
      <w:pPr>
        <w:pStyle w:val="Akapitzlist"/>
        <w:numPr>
          <w:ilvl w:val="1"/>
          <w:numId w:val="1"/>
        </w:numPr>
        <w:jc w:val="both"/>
      </w:pPr>
      <w:r>
        <w:t>inne obowiązkowe czynności przeglądowe i konserwacyjne wynikające z wiedzy technicznej, w oparciu o aktualne normy techniczne i dokumentację techniczno-ruchową (DTR) producenta danego urządzenia</w:t>
      </w:r>
    </w:p>
    <w:p w14:paraId="3CA02AB5" w14:textId="50CC15BA" w:rsidR="002555A3" w:rsidRDefault="002555A3" w:rsidP="002555A3">
      <w:pPr>
        <w:pStyle w:val="Akapitzlist"/>
        <w:numPr>
          <w:ilvl w:val="0"/>
          <w:numId w:val="1"/>
        </w:numPr>
        <w:jc w:val="both"/>
      </w:pPr>
      <w:r>
        <w:t>Zakres czynności wsparcia technicznego i utrzymania sprawności technicznej systemów określonych w ust. 1 obejmuje:</w:t>
      </w:r>
    </w:p>
    <w:p w14:paraId="24D7C62C" w14:textId="3C2B5BE0" w:rsidR="002555A3" w:rsidRDefault="002555A3" w:rsidP="002555A3">
      <w:pPr>
        <w:pStyle w:val="Akapitzlist"/>
        <w:numPr>
          <w:ilvl w:val="1"/>
          <w:numId w:val="1"/>
        </w:numPr>
      </w:pPr>
      <w:r>
        <w:t xml:space="preserve">usuwanie </w:t>
      </w:r>
      <w:r w:rsidR="00BF30CB">
        <w:t xml:space="preserve">zaistniałych </w:t>
      </w:r>
      <w:r>
        <w:t>awarii,</w:t>
      </w:r>
    </w:p>
    <w:p w14:paraId="04DA47B3" w14:textId="5670A1B3" w:rsidR="002555A3" w:rsidRDefault="002555A3" w:rsidP="002555A3">
      <w:pPr>
        <w:pStyle w:val="Akapitzlist"/>
        <w:numPr>
          <w:ilvl w:val="1"/>
          <w:numId w:val="1"/>
        </w:numPr>
      </w:pPr>
      <w:r>
        <w:t>wymiana wyeksploatowanych elementów systemów,</w:t>
      </w:r>
    </w:p>
    <w:p w14:paraId="44FD5CF8" w14:textId="3837A896" w:rsidR="002555A3" w:rsidRDefault="002555A3" w:rsidP="00BF30CB">
      <w:pPr>
        <w:pStyle w:val="Akapitzlist"/>
        <w:numPr>
          <w:ilvl w:val="1"/>
          <w:numId w:val="1"/>
        </w:numPr>
      </w:pPr>
      <w:r>
        <w:t>rozbudowa systemów zgodnie z potrzebami Zamawiającego,</w:t>
      </w:r>
    </w:p>
    <w:p w14:paraId="46E45FC0" w14:textId="1663071B" w:rsidR="002555A3" w:rsidRDefault="002555A3" w:rsidP="00BF30CB">
      <w:pPr>
        <w:pStyle w:val="Akapitzlist"/>
        <w:numPr>
          <w:ilvl w:val="1"/>
          <w:numId w:val="1"/>
        </w:numPr>
      </w:pPr>
      <w:r>
        <w:t>aktualizacja oprogramowania systemów,</w:t>
      </w:r>
    </w:p>
    <w:p w14:paraId="423A116E" w14:textId="0C26D4FC" w:rsidR="002555A3" w:rsidRDefault="002555A3" w:rsidP="00BF30CB">
      <w:pPr>
        <w:pStyle w:val="Akapitzlist"/>
        <w:numPr>
          <w:ilvl w:val="1"/>
          <w:numId w:val="1"/>
        </w:numPr>
      </w:pPr>
      <w:r>
        <w:t>konfiguracja systemów zgodnie z potrzebami Zamawiającego,</w:t>
      </w:r>
    </w:p>
    <w:p w14:paraId="48C58729" w14:textId="5E8FB481" w:rsidR="00BF30CB" w:rsidRPr="00BF30CB" w:rsidRDefault="00BF30CB" w:rsidP="00BF30CB">
      <w:pPr>
        <w:pStyle w:val="Akapitzlist"/>
        <w:numPr>
          <w:ilvl w:val="1"/>
          <w:numId w:val="1"/>
        </w:numPr>
        <w:shd w:val="clear" w:color="auto" w:fill="FFFFFF"/>
        <w:jc w:val="both"/>
        <w:rPr>
          <w:color w:val="0A0A0A"/>
        </w:rPr>
      </w:pPr>
      <w:r w:rsidRPr="00BF30CB">
        <w:rPr>
          <w:color w:val="0A0A0A"/>
        </w:rPr>
        <w:t>przeszkolenia wyznaczonych pracowników Zamawiającego w zakresie bieżącej obsługi centrali SSP</w:t>
      </w:r>
      <w:r>
        <w:rPr>
          <w:color w:val="0A0A0A"/>
        </w:rPr>
        <w:t>.</w:t>
      </w:r>
    </w:p>
    <w:p w14:paraId="1772FC15" w14:textId="27AF5929" w:rsidR="001F6DDB" w:rsidRDefault="002555A3" w:rsidP="00BF30CB">
      <w:pPr>
        <w:pStyle w:val="Akapitzlist"/>
        <w:numPr>
          <w:ilvl w:val="0"/>
          <w:numId w:val="1"/>
        </w:numPr>
        <w:jc w:val="both"/>
      </w:pPr>
      <w:r>
        <w:t xml:space="preserve">Zamawiający wymaga wykonywania czynności określonych w ust. 2 i ust. 3 - </w:t>
      </w:r>
      <w:r>
        <w:br/>
        <w:t xml:space="preserve">z częstotliwością </w:t>
      </w:r>
      <w:r w:rsidR="007B7480" w:rsidRPr="007B7480">
        <w:t xml:space="preserve">2 razy w trakcie </w:t>
      </w:r>
      <w:r w:rsidR="007B7480">
        <w:t>obowiązywania umowy</w:t>
      </w:r>
      <w:r w:rsidR="007B7480" w:rsidRPr="007B7480">
        <w:t xml:space="preserve"> (w pierwszym miesiącu obowiązywania umowy, w 12 miesiącu od ostatniego przeglądu)</w:t>
      </w:r>
      <w:r w:rsidR="00BF30CB">
        <w:t>.</w:t>
      </w:r>
    </w:p>
    <w:p w14:paraId="0CFC3671" w14:textId="6D860AFB" w:rsidR="0097063D" w:rsidRPr="00BF30CB" w:rsidRDefault="0097063D" w:rsidP="0097063D">
      <w:pPr>
        <w:pStyle w:val="Akapitzlist"/>
        <w:numPr>
          <w:ilvl w:val="0"/>
          <w:numId w:val="1"/>
        </w:numPr>
      </w:pPr>
      <w:r w:rsidRPr="0097063D">
        <w:t>Wykonawca oświadcza, że posiada wszelkie niezbędne środki i uprawnienia konieczne do wykonania przedmiotu umowy oraz zapoznał się z niezbędną dokumentacją i warunkami umowy.</w:t>
      </w:r>
    </w:p>
    <w:p w14:paraId="0FAC8C17" w14:textId="77777777" w:rsidR="00415260" w:rsidRDefault="00415260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1085A83E" w14:textId="58455B18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2</w:t>
      </w:r>
    </w:p>
    <w:p w14:paraId="05CB4FDF" w14:textId="616F93CA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Tryb usuwania awarii i czasy reakcji</w:t>
      </w:r>
    </w:p>
    <w:p w14:paraId="63C3DE73" w14:textId="281A0BB1" w:rsidR="00947206" w:rsidRPr="00947206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bookmarkStart w:id="1" w:name="_Hlk228277261"/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zapewnia całodobowe przyjmowanie zgłoszeń o usterkach i awariach (serwis 24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/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7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/</w:t>
      </w:r>
      <w:r w:rsidR="008F23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365) drogą telefoniczną na numer: </w:t>
      </w:r>
      <w:r w:rsidR="0041526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</w:t>
      </w:r>
      <w:r w:rsidR="008F23A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……………</w:t>
      </w:r>
      <w:r w:rsidR="0041526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oraz e-mailową:</w:t>
      </w:r>
      <w:r w:rsidR="0041526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………………………………….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21BFF45C" w14:textId="7C1504C6" w:rsidR="00415260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Strony ustalają następujące maksymalne czasy reakcji i naprawy, liczone od momentu zgłoszenia</w:t>
      </w:r>
      <w:r w:rsidR="002B6FC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telefonicznego lub mailowego przez Zamawiającego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:</w:t>
      </w:r>
    </w:p>
    <w:p w14:paraId="6C39C3B5" w14:textId="5A6ADC28" w:rsidR="00947206" w:rsidRPr="00415260" w:rsidRDefault="00415260" w:rsidP="008F23AA">
      <w:pPr>
        <w:pStyle w:val="Akapitzlist"/>
        <w:numPr>
          <w:ilvl w:val="2"/>
          <w:numId w:val="1"/>
        </w:numPr>
        <w:shd w:val="clear" w:color="auto" w:fill="FFFFFF"/>
        <w:jc w:val="both"/>
        <w:rPr>
          <w:color w:val="0A0A0A"/>
        </w:rPr>
      </w:pPr>
      <w:r w:rsidRPr="00415260">
        <w:rPr>
          <w:b/>
          <w:bCs/>
          <w:color w:val="0A0A0A"/>
        </w:rPr>
        <w:t>a</w:t>
      </w:r>
      <w:r w:rsidR="00947206" w:rsidRPr="00415260">
        <w:rPr>
          <w:b/>
          <w:bCs/>
          <w:color w:val="0A0A0A"/>
        </w:rPr>
        <w:t xml:space="preserve">waria </w:t>
      </w:r>
      <w:r>
        <w:rPr>
          <w:b/>
          <w:bCs/>
          <w:color w:val="0A0A0A"/>
        </w:rPr>
        <w:t>k</w:t>
      </w:r>
      <w:r w:rsidR="00947206" w:rsidRPr="00415260">
        <w:rPr>
          <w:b/>
          <w:bCs/>
          <w:color w:val="0A0A0A"/>
        </w:rPr>
        <w:t>rytyczna</w:t>
      </w:r>
      <w:r w:rsidR="00947206" w:rsidRPr="00415260">
        <w:rPr>
          <w:color w:val="0A0A0A"/>
        </w:rPr>
        <w:t> (całkowita utrata sprawności SSP, brak dozoru w strefie, awaria centrali):</w:t>
      </w:r>
    </w:p>
    <w:p w14:paraId="44264C2C" w14:textId="7F61411C" w:rsidR="00415260" w:rsidRPr="00415260" w:rsidRDefault="00415260" w:rsidP="008F23AA">
      <w:pPr>
        <w:pStyle w:val="Akapitzlist"/>
        <w:numPr>
          <w:ilvl w:val="2"/>
          <w:numId w:val="3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reakcji (przyjazd serwisu): do </w:t>
      </w:r>
      <w:r>
        <w:rPr>
          <w:b/>
          <w:bCs/>
          <w:color w:val="0A0A0A"/>
        </w:rPr>
        <w:t>2</w:t>
      </w:r>
      <w:r w:rsidR="00947206" w:rsidRPr="00415260">
        <w:rPr>
          <w:b/>
          <w:bCs/>
          <w:color w:val="0A0A0A"/>
        </w:rPr>
        <w:t xml:space="preserve"> godzin</w:t>
      </w:r>
      <w:r>
        <w:rPr>
          <w:b/>
          <w:bCs/>
          <w:color w:val="0A0A0A"/>
        </w:rPr>
        <w:t xml:space="preserve"> </w:t>
      </w:r>
      <w:r w:rsidRPr="00415260">
        <w:rPr>
          <w:color w:val="0A0A0A"/>
        </w:rPr>
        <w:t>od momentu zgłoszenia przez Zamawiającego</w:t>
      </w:r>
      <w:r>
        <w:rPr>
          <w:color w:val="0A0A0A"/>
        </w:rPr>
        <w:t>,</w:t>
      </w:r>
    </w:p>
    <w:p w14:paraId="5F51CB3D" w14:textId="77777777" w:rsidR="00415260" w:rsidRDefault="00415260" w:rsidP="008F23AA">
      <w:pPr>
        <w:pStyle w:val="Akapitzlist"/>
        <w:numPr>
          <w:ilvl w:val="2"/>
          <w:numId w:val="3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 xml:space="preserve">zas usunięcia awarii: </w:t>
      </w:r>
      <w:bookmarkStart w:id="2" w:name="_Hlk228276889"/>
      <w:r w:rsidR="00947206" w:rsidRPr="00415260">
        <w:rPr>
          <w:color w:val="0A0A0A"/>
        </w:rPr>
        <w:t>do </w:t>
      </w:r>
      <w:r w:rsidR="00947206" w:rsidRPr="00415260">
        <w:rPr>
          <w:b/>
          <w:bCs/>
          <w:color w:val="0A0A0A"/>
        </w:rPr>
        <w:t>24 godzin</w:t>
      </w:r>
      <w:r>
        <w:rPr>
          <w:color w:val="0A0A0A"/>
        </w:rPr>
        <w:t xml:space="preserve"> od momentu zgłoszenia przez Zamawiającego</w:t>
      </w:r>
      <w:bookmarkEnd w:id="2"/>
    </w:p>
    <w:p w14:paraId="05432E46" w14:textId="4D9A9816" w:rsidR="00947206" w:rsidRPr="00415260" w:rsidRDefault="00415260" w:rsidP="008F23AA">
      <w:pPr>
        <w:pStyle w:val="Akapitzlist"/>
        <w:numPr>
          <w:ilvl w:val="3"/>
          <w:numId w:val="3"/>
        </w:numPr>
        <w:shd w:val="clear" w:color="auto" w:fill="FFFFFF"/>
        <w:jc w:val="both"/>
        <w:rPr>
          <w:color w:val="0A0A0A"/>
        </w:rPr>
      </w:pPr>
      <w:r w:rsidRPr="00415260">
        <w:rPr>
          <w:b/>
          <w:bCs/>
          <w:color w:val="0A0A0A"/>
        </w:rPr>
        <w:t>u</w:t>
      </w:r>
      <w:r w:rsidR="00947206" w:rsidRPr="00415260">
        <w:rPr>
          <w:b/>
          <w:bCs/>
          <w:color w:val="0A0A0A"/>
        </w:rPr>
        <w:t xml:space="preserve">sterka </w:t>
      </w:r>
      <w:r w:rsidRPr="00415260">
        <w:rPr>
          <w:b/>
          <w:bCs/>
          <w:color w:val="0A0A0A"/>
        </w:rPr>
        <w:t>n</w:t>
      </w:r>
      <w:r w:rsidR="00947206" w:rsidRPr="00415260">
        <w:rPr>
          <w:b/>
          <w:bCs/>
          <w:color w:val="0A0A0A"/>
        </w:rPr>
        <w:t>iekrytyczna</w:t>
      </w:r>
      <w:r w:rsidR="00947206" w:rsidRPr="00415260">
        <w:rPr>
          <w:color w:val="0A0A0A"/>
        </w:rPr>
        <w:t> (usterka pojedynczego elementu niepowodująca utraty dozoru):</w:t>
      </w:r>
    </w:p>
    <w:p w14:paraId="7D2358BC" w14:textId="77777777" w:rsidR="00415260" w:rsidRDefault="00415260" w:rsidP="008F23AA">
      <w:pPr>
        <w:pStyle w:val="Akapitzlist"/>
        <w:numPr>
          <w:ilvl w:val="2"/>
          <w:numId w:val="17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reakcji (przyjazd serwisu): do </w:t>
      </w:r>
      <w:r w:rsidR="00947206" w:rsidRPr="00415260">
        <w:rPr>
          <w:b/>
          <w:bCs/>
          <w:color w:val="0A0A0A"/>
        </w:rPr>
        <w:t>12 godzin</w:t>
      </w:r>
      <w:r>
        <w:rPr>
          <w:color w:val="0A0A0A"/>
        </w:rPr>
        <w:t>,</w:t>
      </w:r>
    </w:p>
    <w:p w14:paraId="7A227E5D" w14:textId="77777777" w:rsidR="00F37D01" w:rsidRDefault="00415260" w:rsidP="00F37D01">
      <w:pPr>
        <w:pStyle w:val="Akapitzlist"/>
        <w:numPr>
          <w:ilvl w:val="2"/>
          <w:numId w:val="17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c</w:t>
      </w:r>
      <w:r w:rsidR="00947206" w:rsidRPr="00415260">
        <w:rPr>
          <w:color w:val="0A0A0A"/>
        </w:rPr>
        <w:t>zas usunięcia usterki: do </w:t>
      </w:r>
      <w:r w:rsidR="00947206" w:rsidRPr="00415260">
        <w:rPr>
          <w:b/>
          <w:bCs/>
          <w:color w:val="0A0A0A"/>
        </w:rPr>
        <w:t>48 godzin</w:t>
      </w:r>
      <w:r>
        <w:rPr>
          <w:color w:val="0A0A0A"/>
        </w:rPr>
        <w:t>,</w:t>
      </w:r>
    </w:p>
    <w:p w14:paraId="64EBCE9A" w14:textId="46003923" w:rsidR="00F37D01" w:rsidRPr="00F37D01" w:rsidRDefault="00F37D01" w:rsidP="00F37D01">
      <w:pPr>
        <w:pStyle w:val="Akapitzlist"/>
        <w:numPr>
          <w:ilvl w:val="2"/>
          <w:numId w:val="17"/>
        </w:numPr>
        <w:shd w:val="clear" w:color="auto" w:fill="FFFFFF"/>
        <w:jc w:val="both"/>
        <w:rPr>
          <w:color w:val="0A0A0A"/>
        </w:rPr>
      </w:pPr>
      <w:bookmarkStart w:id="3" w:name="_Hlk228278885"/>
      <w:r>
        <w:t xml:space="preserve">termin usunięcia usterki wymagającej wymiany zużytego elementu systemu - do </w:t>
      </w:r>
      <w:r w:rsidRPr="00F37D01">
        <w:rPr>
          <w:b/>
          <w:bCs/>
        </w:rPr>
        <w:t>5 dni roboczych</w:t>
      </w:r>
      <w:r>
        <w:t xml:space="preserve">  od chwili zgłoszenia telefonicznego lub mailowego przez upoważnionego pracownika Zamawiającego,</w:t>
      </w:r>
    </w:p>
    <w:bookmarkEnd w:id="3"/>
    <w:p w14:paraId="4866C82C" w14:textId="62FD343A" w:rsidR="00F37D01" w:rsidRPr="00F37D01" w:rsidRDefault="00997D47" w:rsidP="00F37D01">
      <w:pPr>
        <w:pStyle w:val="Akapitzlist"/>
        <w:numPr>
          <w:ilvl w:val="3"/>
          <w:numId w:val="3"/>
        </w:numPr>
        <w:shd w:val="clear" w:color="auto" w:fill="FFFFFF"/>
        <w:jc w:val="both"/>
        <w:rPr>
          <w:color w:val="0A0A0A"/>
        </w:rPr>
      </w:pPr>
      <w:r>
        <w:rPr>
          <w:b/>
          <w:bCs/>
          <w:color w:val="0A0A0A"/>
        </w:rPr>
        <w:t>w</w:t>
      </w:r>
      <w:r w:rsidR="00947206" w:rsidRPr="00415260">
        <w:rPr>
          <w:b/>
          <w:bCs/>
          <w:color w:val="0A0A0A"/>
        </w:rPr>
        <w:t>sparcie techniczne</w:t>
      </w:r>
      <w:r w:rsidR="00947206" w:rsidRPr="00415260">
        <w:rPr>
          <w:color w:val="0A0A0A"/>
        </w:rPr>
        <w:t> (konsultacje, zmiany konfiguracji): do </w:t>
      </w:r>
      <w:r w:rsidR="00415260">
        <w:rPr>
          <w:b/>
          <w:bCs/>
          <w:color w:val="0A0A0A"/>
        </w:rPr>
        <w:t>2</w:t>
      </w:r>
      <w:r w:rsidR="00947206" w:rsidRPr="00415260">
        <w:rPr>
          <w:b/>
          <w:bCs/>
          <w:color w:val="0A0A0A"/>
        </w:rPr>
        <w:t xml:space="preserve"> dni roboczych</w:t>
      </w:r>
      <w:r w:rsidR="00947206" w:rsidRPr="00415260">
        <w:rPr>
          <w:color w:val="0A0A0A"/>
        </w:rPr>
        <w:t>.</w:t>
      </w:r>
    </w:p>
    <w:p w14:paraId="36D7AE42" w14:textId="2ECAA553" w:rsidR="00F37D01" w:rsidRPr="00F37D01" w:rsidRDefault="00F37D01" w:rsidP="00F37D01">
      <w:pPr>
        <w:pStyle w:val="Akapitzlist"/>
        <w:numPr>
          <w:ilvl w:val="0"/>
          <w:numId w:val="3"/>
        </w:numPr>
        <w:rPr>
          <w:color w:val="0A0A0A"/>
        </w:rPr>
      </w:pPr>
      <w:bookmarkStart w:id="4" w:name="_Hlk228279695"/>
      <w:r>
        <w:rPr>
          <w:color w:val="0A0A0A"/>
        </w:rPr>
        <w:t>P</w:t>
      </w:r>
      <w:r w:rsidRPr="00F37D01">
        <w:rPr>
          <w:color w:val="0A0A0A"/>
        </w:rPr>
        <w:t>rzed usunięciem usterki lub wymiany zużytego elementu systemu Wykonawca</w:t>
      </w:r>
      <w:r>
        <w:rPr>
          <w:color w:val="0A0A0A"/>
        </w:rPr>
        <w:t xml:space="preserve"> </w:t>
      </w:r>
      <w:r w:rsidRPr="00F37D01">
        <w:rPr>
          <w:color w:val="0A0A0A"/>
        </w:rPr>
        <w:t>przedstawi Zamawiającemu do akceptacji kalkulację kosztów</w:t>
      </w:r>
      <w:r>
        <w:rPr>
          <w:color w:val="0A0A0A"/>
        </w:rPr>
        <w:t>.</w:t>
      </w:r>
    </w:p>
    <w:p w14:paraId="3AF0F88A" w14:textId="094F7327" w:rsidR="00997D47" w:rsidRPr="00997D47" w:rsidRDefault="00997D47" w:rsidP="00997D4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</w:t>
      </w: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szystkie czynności wykonywane przez Wykonawcę i jego pracowników w związku </w:t>
      </w:r>
    </w:p>
    <w:p w14:paraId="497B8825" w14:textId="4DAB304D" w:rsidR="00997D47" w:rsidRPr="00997D47" w:rsidRDefault="00997D47" w:rsidP="00997D4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realizacją przedmiotu zamówienia muszą być prowadzone przez osoby posiadające odpowiednie kwalifikacje i uprawnienia</w:t>
      </w:r>
      <w:r w:rsidR="00C1530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70B39A56" w14:textId="1A3788C5" w:rsidR="00997D47" w:rsidRPr="00997D47" w:rsidRDefault="00997D47" w:rsidP="00997D4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lastRenderedPageBreak/>
        <w:t>K</w:t>
      </w: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onserwacja systemów zainstalowanych w budynku Prokuratury prowadzona będzie </w:t>
      </w:r>
    </w:p>
    <w:p w14:paraId="3534C988" w14:textId="3F8724C1" w:rsidR="00997D47" w:rsidRPr="00997D47" w:rsidRDefault="00997D47" w:rsidP="00997D4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97D47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zgodnie z obowiązującymi nomami, instrukcjami producentów oraz przepisami p.poż</w:t>
      </w:r>
      <w:r w:rsidR="00C1530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341F28B0" w14:textId="7B0B1584" w:rsidR="00F37D01" w:rsidRPr="00997D47" w:rsidRDefault="00997D47" w:rsidP="00997D47">
      <w:pPr>
        <w:pStyle w:val="Akapitzlist"/>
        <w:numPr>
          <w:ilvl w:val="0"/>
          <w:numId w:val="3"/>
        </w:numPr>
        <w:rPr>
          <w:color w:val="0A0A0A"/>
        </w:rPr>
      </w:pPr>
      <w:r>
        <w:rPr>
          <w:color w:val="0A0A0A"/>
        </w:rPr>
        <w:t>Z k</w:t>
      </w:r>
      <w:r w:rsidRPr="00997D47">
        <w:rPr>
          <w:color w:val="0A0A0A"/>
        </w:rPr>
        <w:t>ażdej wizyty serwisowej lub dotyczącej wsparcia technicznego zostanie sporządzony protokół z wykonanych czynności zaakceptowany prze obie strony.</w:t>
      </w:r>
    </w:p>
    <w:bookmarkEnd w:id="4"/>
    <w:p w14:paraId="17FDF29F" w14:textId="4B73CA27" w:rsidR="00947206" w:rsidRDefault="00947206" w:rsidP="008F23A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 przypadku braku możliwości usunięcia awarii w terminach określonych powyżej </w:t>
      </w:r>
      <w:r w:rsidR="00CC403C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przyczyn niezależnych od Wykonawcy, Wykonawca zobowiązany jest do pisemnego uzasadnienia zwłoki i zabezpieczenia systemu w sposób alternatywny.</w:t>
      </w:r>
    </w:p>
    <w:bookmarkEnd w:id="1"/>
    <w:p w14:paraId="1F42E0D4" w14:textId="77777777" w:rsidR="00415260" w:rsidRPr="00947206" w:rsidRDefault="00415260" w:rsidP="005902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1FF69ED9" w14:textId="627E315E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3</w:t>
      </w:r>
    </w:p>
    <w:p w14:paraId="04518A1E" w14:textId="33405514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Wynagrodzenie</w:t>
      </w:r>
      <w:r w:rsidR="008F23A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Wykonawcy</w:t>
      </w:r>
    </w:p>
    <w:p w14:paraId="1905CD74" w14:textId="77777777" w:rsidR="00361CE9" w:rsidRDefault="00947206" w:rsidP="008F23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 wykonanie przedmiotu umowy strony ustalają</w:t>
      </w:r>
      <w:r w:rsid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:</w:t>
      </w:r>
    </w:p>
    <w:p w14:paraId="1901B053" w14:textId="299F9F7B" w:rsidR="00361CE9" w:rsidRDefault="00361CE9" w:rsidP="008F23AA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bookmarkStart w:id="5" w:name="_Hlk227238050"/>
      <w:r>
        <w:rPr>
          <w:color w:val="0A0A0A"/>
        </w:rPr>
        <w:t xml:space="preserve">za czynności </w:t>
      </w:r>
      <w:r w:rsidRPr="00947206">
        <w:rPr>
          <w:color w:val="0A0A0A"/>
        </w:rPr>
        <w:t>bieżącej konserwacji</w:t>
      </w:r>
      <w:r>
        <w:rPr>
          <w:color w:val="0A0A0A"/>
        </w:rPr>
        <w:t xml:space="preserve"> </w:t>
      </w:r>
      <w:r w:rsidRPr="00947206">
        <w:rPr>
          <w:color w:val="0A0A0A"/>
        </w:rPr>
        <w:t>Systemu Sygnalizacji Pożaru (SSP)</w:t>
      </w:r>
      <w:r w:rsidR="005902D9">
        <w:rPr>
          <w:color w:val="0A0A0A"/>
        </w:rPr>
        <w:t xml:space="preserve"> wraz z</w:t>
      </w:r>
      <w:r w:rsidR="00404017">
        <w:rPr>
          <w:color w:val="0A0A0A"/>
        </w:rPr>
        <w:t> </w:t>
      </w:r>
      <w:r w:rsidR="005902D9">
        <w:rPr>
          <w:color w:val="0A0A0A"/>
        </w:rPr>
        <w:t>zamknięciami przeciwpożarowymi</w:t>
      </w:r>
      <w:r>
        <w:rPr>
          <w:color w:val="0A0A0A"/>
        </w:rPr>
        <w:t xml:space="preserve"> - </w:t>
      </w:r>
      <w:r w:rsidRPr="00361CE9">
        <w:rPr>
          <w:color w:val="0A0A0A"/>
        </w:rPr>
        <w:t xml:space="preserve">wynagrodzenie </w:t>
      </w:r>
      <w:r>
        <w:rPr>
          <w:color w:val="0A0A0A"/>
        </w:rPr>
        <w:t xml:space="preserve">ryczałtowe </w:t>
      </w:r>
      <w:r w:rsidRPr="00361CE9">
        <w:rPr>
          <w:color w:val="0A0A0A"/>
        </w:rPr>
        <w:t>w wysokości: </w:t>
      </w:r>
      <w:r>
        <w:rPr>
          <w:b/>
          <w:bCs/>
          <w:color w:val="0A0A0A"/>
        </w:rPr>
        <w:t>……………………….. zł brutto;</w:t>
      </w:r>
    </w:p>
    <w:bookmarkEnd w:id="5"/>
    <w:p w14:paraId="1A61F355" w14:textId="7A5DF74E" w:rsidR="00361CE9" w:rsidRPr="00290FD9" w:rsidRDefault="00361CE9" w:rsidP="008F23AA">
      <w:pPr>
        <w:pStyle w:val="Akapitzlist"/>
        <w:numPr>
          <w:ilvl w:val="1"/>
          <w:numId w:val="5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 xml:space="preserve">za czynności </w:t>
      </w:r>
      <w:r w:rsidRPr="00947206">
        <w:rPr>
          <w:color w:val="0A0A0A"/>
        </w:rPr>
        <w:t>wsparcia technicznego w celu utrzymania pełnej sprawności technicznej oraz prawidłowej obsługi</w:t>
      </w:r>
      <w:r>
        <w:rPr>
          <w:color w:val="0A0A0A"/>
        </w:rPr>
        <w:t xml:space="preserve"> </w:t>
      </w:r>
      <w:r w:rsidRPr="00947206">
        <w:rPr>
          <w:color w:val="0A0A0A"/>
        </w:rPr>
        <w:t>Systemu Sygnalizacji Pożaru (SSP)</w:t>
      </w:r>
      <w:r w:rsidR="005902D9">
        <w:rPr>
          <w:color w:val="0A0A0A"/>
        </w:rPr>
        <w:t xml:space="preserve"> i zamknięć przeciwpożarowych</w:t>
      </w:r>
      <w:r>
        <w:rPr>
          <w:color w:val="0A0A0A"/>
        </w:rPr>
        <w:t xml:space="preserve"> - </w:t>
      </w:r>
      <w:r w:rsidRPr="00361CE9">
        <w:rPr>
          <w:color w:val="0A0A0A"/>
        </w:rPr>
        <w:t>wynagrodzenie</w:t>
      </w:r>
      <w:r>
        <w:rPr>
          <w:color w:val="0A0A0A"/>
        </w:rPr>
        <w:t xml:space="preserve"> </w:t>
      </w:r>
      <w:r w:rsidRPr="00361CE9">
        <w:rPr>
          <w:color w:val="0A0A0A"/>
        </w:rPr>
        <w:t>w wysokości: </w:t>
      </w:r>
      <w:r>
        <w:rPr>
          <w:b/>
          <w:bCs/>
          <w:color w:val="0A0A0A"/>
        </w:rPr>
        <w:t>……</w:t>
      </w:r>
      <w:r w:rsidR="00D134FC">
        <w:rPr>
          <w:b/>
          <w:bCs/>
          <w:color w:val="0A0A0A"/>
        </w:rPr>
        <w:t>..</w:t>
      </w:r>
      <w:r>
        <w:rPr>
          <w:b/>
          <w:bCs/>
          <w:color w:val="0A0A0A"/>
        </w:rPr>
        <w:t>…</w:t>
      </w:r>
      <w:r w:rsidR="00290FD9">
        <w:rPr>
          <w:b/>
          <w:bCs/>
          <w:color w:val="0A0A0A"/>
        </w:rPr>
        <w:t xml:space="preserve"> </w:t>
      </w:r>
      <w:r>
        <w:rPr>
          <w:b/>
          <w:bCs/>
          <w:color w:val="0A0A0A"/>
        </w:rPr>
        <w:t xml:space="preserve">zł brutto / za roboczogodzinę </w:t>
      </w:r>
      <w:r w:rsidRPr="00290FD9">
        <w:rPr>
          <w:color w:val="0A0A0A"/>
        </w:rPr>
        <w:t>świadczenia usługi</w:t>
      </w:r>
      <w:r w:rsidR="00290FD9">
        <w:rPr>
          <w:color w:val="0A0A0A"/>
        </w:rPr>
        <w:t>;</w:t>
      </w:r>
    </w:p>
    <w:p w14:paraId="575F5488" w14:textId="7622C99D" w:rsidR="00415260" w:rsidRDefault="00947206" w:rsidP="008F23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Koszt części zamiennych będzie pokrywany przez Z</w:t>
      </w:r>
      <w:r w:rsidR="0041526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amawiającego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 podstawie odrębnego kosztorysu i protokołu konieczności.</w:t>
      </w:r>
    </w:p>
    <w:p w14:paraId="66BACB75" w14:textId="77777777" w:rsidR="0097063D" w:rsidRPr="0097063D" w:rsidRDefault="0097063D" w:rsidP="0097063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Zapłata wynagrodzenia nastąpi w terminie do 21 dni od dnia doręczenia Zamawiającemu faktury na rachunek bankowy Wykonawcy wskazany na fakturze.</w:t>
      </w:r>
    </w:p>
    <w:p w14:paraId="271C2CA9" w14:textId="77777777" w:rsidR="0097063D" w:rsidRPr="0097063D" w:rsidRDefault="0097063D" w:rsidP="0097063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 dzień zapłaty uważany będzie dzień obciążenia rachunku Zamawiającego.</w:t>
      </w:r>
    </w:p>
    <w:p w14:paraId="7EEA0B1C" w14:textId="77777777" w:rsidR="0097063D" w:rsidRPr="0097063D" w:rsidRDefault="0097063D" w:rsidP="0097063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przypadku wystawiania oraz dostarczania faktur w formie elektronicznej z wykorzystaniem KSeF datą ich doręczenia będzie data wystawienia faktury z wykorzystaniem KSeF. W przypadku gdy Zamawiający nie będzie miał dostępu do faktury Wykonawcy w KSeF, termin płatności ulega odpowiedniemu wydłużeniu o czas braku dostępu do faktury.</w:t>
      </w:r>
    </w:p>
    <w:p w14:paraId="67E59C4C" w14:textId="3BF24675" w:rsidR="0097063D" w:rsidRPr="0097063D" w:rsidRDefault="0097063D" w:rsidP="0097063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przypadku przesyłania faktur w sposób opisany w ust. 5 Wykonawca udostępni Zamawiającemu dostęp do faktury w KSeF oraz powiadomi go o wystawieniu takiej faktury poprzez przesłanie kodu QR lub obrazu faktury na adres mailowy: ………………….. Wykonawca jest zobowiązany przekazać Zamawiającemu powyższe dane i informacje w dniu wystawienia faktury. Możliwe jest przesyłanie na adres mailowy odpowiednich załączników do faktur.</w:t>
      </w:r>
    </w:p>
    <w:p w14:paraId="0BE89EDA" w14:textId="77777777" w:rsidR="0097063D" w:rsidRPr="005902D9" w:rsidRDefault="0097063D" w:rsidP="00970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37A18A24" w14:textId="03AB3115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4</w:t>
      </w:r>
    </w:p>
    <w:p w14:paraId="047B1D1D" w14:textId="267DD05E" w:rsidR="00947206" w:rsidRPr="00947206" w:rsidRDefault="00EC2E80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Termin realizacji</w:t>
      </w:r>
      <w:r w:rsidR="00947206"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umowy</w:t>
      </w:r>
    </w:p>
    <w:p w14:paraId="0EAD4432" w14:textId="5F2E1C27" w:rsidR="00415260" w:rsidRPr="005902D9" w:rsidRDefault="00947206" w:rsidP="008F2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Umowa zostaje zawarta na 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okres </w:t>
      </w:r>
      <w:r w:rsidR="00F37D0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24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miesięcy tj. od dnia ……………..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2026 roku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do dnia</w:t>
      </w:r>
      <w:r w:rsidR="00385CCE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……………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202</w:t>
      </w:r>
      <w:r w:rsidR="00F37D0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8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roku.</w:t>
      </w:r>
    </w:p>
    <w:p w14:paraId="3A171680" w14:textId="1F5417D3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5</w:t>
      </w:r>
    </w:p>
    <w:p w14:paraId="04FF5B6B" w14:textId="3584109B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Kary umowne</w:t>
      </w:r>
    </w:p>
    <w:p w14:paraId="4667C07E" w14:textId="2A7014D6" w:rsidR="00B917B8" w:rsidRDefault="00947206" w:rsidP="008F23A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zapłaci Z</w:t>
      </w:r>
      <w:r w:rsid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amawiającemu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karę umowną za:</w:t>
      </w:r>
    </w:p>
    <w:p w14:paraId="36F646B6" w14:textId="66189782" w:rsidR="00B917B8" w:rsidRDefault="00B917B8" w:rsidP="008F23AA">
      <w:pPr>
        <w:pStyle w:val="Akapitzlist"/>
        <w:numPr>
          <w:ilvl w:val="0"/>
          <w:numId w:val="18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z</w:t>
      </w:r>
      <w:r w:rsidR="00947206" w:rsidRPr="00B917B8">
        <w:rPr>
          <w:color w:val="0A0A0A"/>
        </w:rPr>
        <w:t>włokę w przystąpieniu do usuwania awarii (przekroczenie czasu reakcji) – w wysokości </w:t>
      </w:r>
      <w:r>
        <w:rPr>
          <w:b/>
          <w:bCs/>
          <w:color w:val="0A0A0A"/>
        </w:rPr>
        <w:t>200,00</w:t>
      </w:r>
      <w:r w:rsidR="00947206" w:rsidRPr="00B917B8">
        <w:rPr>
          <w:color w:val="0A0A0A"/>
        </w:rPr>
        <w:t> zł</w:t>
      </w:r>
      <w:r>
        <w:rPr>
          <w:color w:val="0A0A0A"/>
        </w:rPr>
        <w:t xml:space="preserve"> brutto</w:t>
      </w:r>
      <w:r w:rsidR="00947206" w:rsidRPr="00B917B8">
        <w:rPr>
          <w:color w:val="0A0A0A"/>
        </w:rPr>
        <w:t xml:space="preserve"> za każdą rozpoczętą godzinę </w:t>
      </w:r>
      <w:r w:rsidR="0097063D">
        <w:rPr>
          <w:color w:val="0A0A0A"/>
        </w:rPr>
        <w:t>zwłoki</w:t>
      </w:r>
      <w:r>
        <w:rPr>
          <w:color w:val="0A0A0A"/>
        </w:rPr>
        <w:t>,</w:t>
      </w:r>
    </w:p>
    <w:p w14:paraId="4724759A" w14:textId="7E4821F0" w:rsidR="00B917B8" w:rsidRDefault="00B917B8" w:rsidP="008F23AA">
      <w:pPr>
        <w:pStyle w:val="Akapitzlist"/>
        <w:numPr>
          <w:ilvl w:val="0"/>
          <w:numId w:val="18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z</w:t>
      </w:r>
      <w:r w:rsidR="00947206" w:rsidRPr="00B917B8">
        <w:rPr>
          <w:color w:val="0A0A0A"/>
        </w:rPr>
        <w:t>włokę w usunięciu awarii</w:t>
      </w:r>
      <w:r w:rsidR="0097063D">
        <w:rPr>
          <w:color w:val="0A0A0A"/>
        </w:rPr>
        <w:t>, wykonaniu usługi</w:t>
      </w:r>
      <w:r w:rsidR="00947206" w:rsidRPr="00B917B8">
        <w:rPr>
          <w:color w:val="0A0A0A"/>
        </w:rPr>
        <w:t xml:space="preserve"> – w wysokości </w:t>
      </w:r>
      <w:r>
        <w:rPr>
          <w:b/>
          <w:bCs/>
          <w:color w:val="0A0A0A"/>
        </w:rPr>
        <w:t>500,00</w:t>
      </w:r>
      <w:r w:rsidR="00947206" w:rsidRPr="00B917B8">
        <w:rPr>
          <w:color w:val="0A0A0A"/>
        </w:rPr>
        <w:t> zł</w:t>
      </w:r>
      <w:r>
        <w:rPr>
          <w:color w:val="0A0A0A"/>
        </w:rPr>
        <w:t xml:space="preserve"> brutto</w:t>
      </w:r>
      <w:r w:rsidR="00947206" w:rsidRPr="00B917B8">
        <w:rPr>
          <w:color w:val="0A0A0A"/>
        </w:rPr>
        <w:t xml:space="preserve"> za każdy dzień </w:t>
      </w:r>
      <w:r w:rsidR="0097063D">
        <w:rPr>
          <w:color w:val="0A0A0A"/>
        </w:rPr>
        <w:t>zwłoki</w:t>
      </w:r>
      <w:r>
        <w:rPr>
          <w:color w:val="0A0A0A"/>
        </w:rPr>
        <w:t>,</w:t>
      </w:r>
    </w:p>
    <w:p w14:paraId="0CB366CF" w14:textId="11525682" w:rsidR="00290FD9" w:rsidRDefault="00B917B8" w:rsidP="005902D9">
      <w:pPr>
        <w:pStyle w:val="Akapitzlist"/>
        <w:numPr>
          <w:ilvl w:val="0"/>
          <w:numId w:val="18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o</w:t>
      </w:r>
      <w:r w:rsidR="00947206" w:rsidRPr="00B917B8">
        <w:rPr>
          <w:color w:val="0A0A0A"/>
        </w:rPr>
        <w:t>dstąpienie od umowy z przyczyn leżących po stronie Wykonawcy – w wysokośc</w:t>
      </w:r>
      <w:r>
        <w:rPr>
          <w:color w:val="0A0A0A"/>
        </w:rPr>
        <w:t>i 500,00 zł brutto</w:t>
      </w:r>
      <w:r w:rsidR="0097063D">
        <w:rPr>
          <w:color w:val="0A0A0A"/>
        </w:rPr>
        <w:t>.</w:t>
      </w:r>
    </w:p>
    <w:p w14:paraId="3B427BF5" w14:textId="77777777" w:rsidR="0097063D" w:rsidRPr="0097063D" w:rsidRDefault="0097063D" w:rsidP="0097063D">
      <w:pPr>
        <w:pStyle w:val="Akapitzlist"/>
        <w:numPr>
          <w:ilvl w:val="0"/>
          <w:numId w:val="6"/>
        </w:numPr>
        <w:shd w:val="clear" w:color="auto" w:fill="FFFFFF"/>
        <w:jc w:val="both"/>
        <w:rPr>
          <w:color w:val="0A0A0A"/>
        </w:rPr>
      </w:pPr>
      <w:r w:rsidRPr="0097063D">
        <w:rPr>
          <w:color w:val="0A0A0A"/>
        </w:rPr>
        <w:t>W przypadku poniesienia szkody przewyższającej karę umowną Zamawiający zastrzega sobie prawo do odszkodowania uzupełniającego.</w:t>
      </w:r>
    </w:p>
    <w:p w14:paraId="009A4611" w14:textId="77777777" w:rsidR="0097063D" w:rsidRPr="0097063D" w:rsidRDefault="0097063D" w:rsidP="0097063D">
      <w:pPr>
        <w:pStyle w:val="Akapitzlist"/>
        <w:numPr>
          <w:ilvl w:val="0"/>
          <w:numId w:val="6"/>
        </w:numPr>
        <w:shd w:val="clear" w:color="auto" w:fill="FFFFFF"/>
        <w:jc w:val="both"/>
        <w:rPr>
          <w:color w:val="0A0A0A"/>
        </w:rPr>
      </w:pPr>
      <w:r w:rsidRPr="0097063D">
        <w:rPr>
          <w:color w:val="0A0A0A"/>
        </w:rPr>
        <w:lastRenderedPageBreak/>
        <w:t>Wykonawca wyraża zgodę na potrącenie kar umownych przez Inwestora z przysługującego mu wynagrodzenia.</w:t>
      </w:r>
    </w:p>
    <w:p w14:paraId="397EA868" w14:textId="77777777" w:rsidR="0097063D" w:rsidRPr="0097063D" w:rsidRDefault="0097063D" w:rsidP="0097063D">
      <w:pPr>
        <w:pStyle w:val="Akapitzlist"/>
        <w:numPr>
          <w:ilvl w:val="0"/>
          <w:numId w:val="6"/>
        </w:numPr>
        <w:shd w:val="clear" w:color="auto" w:fill="FFFFFF"/>
        <w:jc w:val="both"/>
        <w:rPr>
          <w:color w:val="0A0A0A"/>
        </w:rPr>
      </w:pPr>
      <w:r w:rsidRPr="0097063D">
        <w:rPr>
          <w:color w:val="0A0A0A"/>
        </w:rPr>
        <w:t>Zamawiający ma prawo odstąpienia od umowy, w terminie do 30 dni od daty powzięcia wiadomości o okolicznościach uzasadniających odstąpienie.</w:t>
      </w:r>
    </w:p>
    <w:p w14:paraId="1ECD67C2" w14:textId="39089131" w:rsidR="0097063D" w:rsidRPr="0097063D" w:rsidRDefault="0097063D" w:rsidP="0097063D">
      <w:pPr>
        <w:pStyle w:val="Akapitzlist"/>
        <w:shd w:val="clear" w:color="auto" w:fill="FFFFFF"/>
        <w:ind w:left="360"/>
        <w:jc w:val="both"/>
        <w:rPr>
          <w:color w:val="0A0A0A"/>
        </w:rPr>
      </w:pPr>
    </w:p>
    <w:p w14:paraId="6673B7C0" w14:textId="692430F2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6</w:t>
      </w:r>
    </w:p>
    <w:p w14:paraId="1264A3E0" w14:textId="223DBCE3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Poufność i Bezpieczeństwo</w:t>
      </w:r>
    </w:p>
    <w:p w14:paraId="39EF94F4" w14:textId="77777777" w:rsidR="00947206" w:rsidRPr="00947206" w:rsidRDefault="00947206" w:rsidP="008F23A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zobowiązuje się do zachowania w tajemnicy wszelkich informacji dotyczących systemów zabezpieczeń budynku Prokuratury.</w:t>
      </w:r>
    </w:p>
    <w:p w14:paraId="3732208B" w14:textId="64B1C610" w:rsidR="00947206" w:rsidRDefault="00947206" w:rsidP="008F23A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Pracownicy Wykonawcy muszą posiadać stosowne uprawnienia i zgody Z</w:t>
      </w:r>
      <w:r w:rsidR="00B917B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amawiającego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na wejście do obiektu.</w:t>
      </w:r>
    </w:p>
    <w:p w14:paraId="130848A1" w14:textId="77777777" w:rsidR="00B917B8" w:rsidRPr="00947206" w:rsidRDefault="00B917B8" w:rsidP="008F23A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7EE5EF4B" w14:textId="5F1149C7" w:rsidR="00EC2E80" w:rsidRDefault="00361CE9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7</w:t>
      </w:r>
    </w:p>
    <w:p w14:paraId="30EFB941" w14:textId="63006C0B" w:rsidR="00361CE9" w:rsidRPr="00361CE9" w:rsidRDefault="00361CE9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Ubezpieczenie OC</w:t>
      </w:r>
    </w:p>
    <w:p w14:paraId="77A2C867" w14:textId="7C67CDAE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oświadcza, że posiada aktualną polisę ubezpieczenia od odpowiedzialności cywilnej</w:t>
      </w:r>
      <w:r w:rsidR="00290FD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(OC) w zakresie prowadzonej działalności gospodarczej związanej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 przedmiotem Umowy, na sumę gwarancyjną nie mniejszą niż </w:t>
      </w:r>
      <w:r w:rsidRPr="00361CE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 100 000,00</w:t>
      </w: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 zł na jedno i wszystkie zdarzenia.</w:t>
      </w:r>
    </w:p>
    <w:p w14:paraId="3AEF16CC" w14:textId="77777777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zobowiązuje się do utrzymania ciągłości ubezpieczenia przez cały okres obowiązywania niniejszej Umowy.</w:t>
      </w:r>
    </w:p>
    <w:p w14:paraId="014A61DC" w14:textId="77777777" w:rsidR="00361CE9" w:rsidRPr="00361CE9" w:rsidRDefault="00361CE9" w:rsidP="008F23AA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361CE9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Kopia polisy stanowi Załącznik nr 2 do Umowy.</w:t>
      </w:r>
    </w:p>
    <w:p w14:paraId="3E05A97D" w14:textId="77777777" w:rsidR="00361CE9" w:rsidRDefault="00361CE9" w:rsidP="008F23AA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p w14:paraId="081AE3B4" w14:textId="77048AB5" w:rsidR="00EC2E80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bookmarkStart w:id="6" w:name="_Hlk227324027"/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 w:rsidR="00BF30C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8</w:t>
      </w:r>
    </w:p>
    <w:p w14:paraId="044A3DFD" w14:textId="5688CE58" w:rsidR="0067002A" w:rsidRDefault="0067002A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Kontakt w sprawie realizacji umowy</w:t>
      </w:r>
    </w:p>
    <w:p w14:paraId="5960E534" w14:textId="0BFB8C17" w:rsidR="0067002A" w:rsidRDefault="0067002A" w:rsidP="0067002A">
      <w:pPr>
        <w:pStyle w:val="Akapitzlist"/>
        <w:numPr>
          <w:ilvl w:val="4"/>
          <w:numId w:val="17"/>
        </w:numPr>
        <w:shd w:val="clear" w:color="auto" w:fill="FFFFFF"/>
        <w:jc w:val="both"/>
        <w:rPr>
          <w:color w:val="0A0A0A"/>
        </w:rPr>
      </w:pPr>
      <w:r w:rsidRPr="0067002A">
        <w:rPr>
          <w:color w:val="0A0A0A"/>
        </w:rPr>
        <w:t>Osobą uprawnioną do kontaktu w sprawie realizacji umowy ze strony Zamawiającego jest:</w:t>
      </w:r>
      <w:r>
        <w:rPr>
          <w:color w:val="0A0A0A"/>
        </w:rPr>
        <w:t xml:space="preserve"> …………………………………………………………………………………… .</w:t>
      </w:r>
    </w:p>
    <w:p w14:paraId="4C39FEC2" w14:textId="35BD8D9F" w:rsidR="0067002A" w:rsidRDefault="0067002A" w:rsidP="0067002A">
      <w:pPr>
        <w:pStyle w:val="Akapitzlist"/>
        <w:numPr>
          <w:ilvl w:val="4"/>
          <w:numId w:val="17"/>
        </w:numPr>
        <w:shd w:val="clear" w:color="auto" w:fill="FFFFFF"/>
        <w:jc w:val="both"/>
        <w:rPr>
          <w:color w:val="0A0A0A"/>
        </w:rPr>
      </w:pPr>
      <w:r>
        <w:rPr>
          <w:color w:val="0A0A0A"/>
        </w:rPr>
        <w:t>Osobą uprawnioną do kontaktu w sprawie realizacji umowy ze strony Wykonawcy jest:</w:t>
      </w:r>
    </w:p>
    <w:p w14:paraId="43EEE0C2" w14:textId="4C190DA0" w:rsidR="0067002A" w:rsidRPr="0097063D" w:rsidRDefault="0097063D" w:rsidP="0097063D">
      <w:pPr>
        <w:shd w:val="clear" w:color="auto" w:fill="FFFFFF"/>
        <w:jc w:val="both"/>
        <w:rPr>
          <w:color w:val="0A0A0A"/>
        </w:rPr>
      </w:pPr>
      <w:r>
        <w:rPr>
          <w:color w:val="0A0A0A"/>
        </w:rPr>
        <w:t xml:space="preserve">        </w:t>
      </w:r>
      <w:r w:rsidR="0067002A" w:rsidRPr="0097063D">
        <w:rPr>
          <w:color w:val="0A0A0A"/>
        </w:rPr>
        <w:t>……………………………………………………………………………………….. .</w:t>
      </w:r>
    </w:p>
    <w:p w14:paraId="0EFA14BA" w14:textId="77777777" w:rsidR="0067002A" w:rsidRDefault="0067002A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</w:p>
    <w:bookmarkEnd w:id="6"/>
    <w:p w14:paraId="17C5D252" w14:textId="49E87CB2" w:rsidR="0067002A" w:rsidRDefault="0067002A" w:rsidP="006700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9</w:t>
      </w:r>
    </w:p>
    <w:p w14:paraId="19174E6A" w14:textId="622C9296" w:rsidR="00947206" w:rsidRPr="00947206" w:rsidRDefault="00947206" w:rsidP="008F2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Postanowienia końcowe</w:t>
      </w:r>
    </w:p>
    <w:p w14:paraId="2E27EAC9" w14:textId="0EEDAEF2" w:rsidR="00947206" w:rsidRPr="00947206" w:rsidRDefault="00947206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Wszelkie zmiany</w:t>
      </w:r>
      <w:r w:rsidR="00D134FC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treści</w:t>
      </w: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umowy wymagają formy pisemnej.</w:t>
      </w:r>
    </w:p>
    <w:p w14:paraId="4C66F64A" w14:textId="13A10C95" w:rsidR="00947206" w:rsidRDefault="00947206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4720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 sprawach nieuregulowanych mają zastosowanie przepisy Kodeksu Cywilnego.</w:t>
      </w:r>
    </w:p>
    <w:p w14:paraId="246C7B5C" w14:textId="1EAE44DD" w:rsidR="00290FD9" w:rsidRDefault="00290FD9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Wszelkie </w:t>
      </w:r>
      <w:r w:rsidR="00EC2E80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ewentualne spory rozstrzygane będą przez Sąd właściwy dla siedziby Zamawiającego.</w:t>
      </w:r>
    </w:p>
    <w:p w14:paraId="1F125F2A" w14:textId="77777777" w:rsidR="0097063D" w:rsidRPr="0097063D" w:rsidRDefault="0097063D" w:rsidP="0097063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Zamawiający nie wyraża zgody na cesję wierzytelności wynikającej z niniejszej umowy na osobę trzecią.</w:t>
      </w:r>
    </w:p>
    <w:p w14:paraId="3720ECE6" w14:textId="1F77FFA8" w:rsidR="0097063D" w:rsidRPr="0097063D" w:rsidRDefault="0097063D" w:rsidP="0097063D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97063D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Wykonawca nie może powierzyć wykonania robót w całości lub w części innym osobom bez pisemnej zgody Zamawiającego.</w:t>
      </w:r>
    </w:p>
    <w:p w14:paraId="1E948730" w14:textId="3D0D0260" w:rsidR="00EC2E80" w:rsidRDefault="00EC2E80" w:rsidP="008F23A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Umowę sporządzono w dwóch jednobrzmiących egzemplarzach, po jednym dla każdej ze stron umowy.</w:t>
      </w:r>
    </w:p>
    <w:p w14:paraId="5FAD16F6" w14:textId="77777777" w:rsidR="0097063D" w:rsidRPr="00947206" w:rsidRDefault="0097063D" w:rsidP="00970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2503437C" w14:textId="3FD702C8" w:rsidR="00947206" w:rsidRDefault="00947206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298A2" w14:textId="5F766AB6" w:rsidR="00B917B8" w:rsidRPr="005902D9" w:rsidRDefault="00A43BF7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902D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Załączniki:</w:t>
      </w:r>
    </w:p>
    <w:p w14:paraId="391FE08C" w14:textId="791B91C7" w:rsidR="00A43BF7" w:rsidRDefault="00A43BF7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1 - Oferta Wykonawcy</w:t>
      </w:r>
    </w:p>
    <w:p w14:paraId="31B46F9D" w14:textId="7EC59854" w:rsidR="00A43BF7" w:rsidRDefault="00A43BF7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2 - Polisa OC Wykonawcy</w:t>
      </w:r>
    </w:p>
    <w:p w14:paraId="76EEA1E0" w14:textId="54767332" w:rsidR="00B917B8" w:rsidRPr="00947206" w:rsidRDefault="00F37D01" w:rsidP="008F23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3 - Uprawnienia wykonawc</w:t>
      </w:r>
      <w:r w:rsidR="005902D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</w:p>
    <w:p w14:paraId="0F5D0147" w14:textId="267CA11B" w:rsidR="00947206" w:rsidRPr="005902D9" w:rsidRDefault="00947206" w:rsidP="005902D9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l-PL"/>
        </w:rPr>
        <w:t>WYKONAWCA:                                                                                   ZAMAWIAJĄCY:</w:t>
      </w:r>
    </w:p>
    <w:sectPr w:rsidR="00947206" w:rsidRPr="00590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32CE"/>
    <w:multiLevelType w:val="multilevel"/>
    <w:tmpl w:val="EBF6B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1135" w:hanging="360"/>
      </w:pPr>
      <w:rPr>
        <w:rFonts w:hint="default"/>
      </w:rPr>
    </w:lvl>
    <w:lvl w:ilvl="3">
      <w:start w:val="2"/>
      <w:numFmt w:val="decimal"/>
      <w:lvlText w:val="%4)"/>
      <w:lvlJc w:val="left"/>
      <w:pPr>
        <w:ind w:left="710" w:hanging="360"/>
      </w:pPr>
      <w:rPr>
        <w:rFonts w:hint="default"/>
        <w:b/>
        <w:bCs w:val="0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2B02C0B"/>
    <w:multiLevelType w:val="multilevel"/>
    <w:tmpl w:val="1D4C4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Theme="minorHAnsi" w:hAnsi="Times New Roman"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710" w:hanging="360"/>
      </w:pPr>
      <w:rPr>
        <w:rFonts w:hint="default"/>
        <w:b/>
        <w:bCs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3E161FD"/>
    <w:multiLevelType w:val="hybridMultilevel"/>
    <w:tmpl w:val="AAE6EDC2"/>
    <w:lvl w:ilvl="0" w:tplc="F01613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A05AF"/>
    <w:multiLevelType w:val="hybridMultilevel"/>
    <w:tmpl w:val="D66C8064"/>
    <w:lvl w:ilvl="0" w:tplc="F5706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9379C2"/>
    <w:multiLevelType w:val="multilevel"/>
    <w:tmpl w:val="01964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0FC7ED2"/>
    <w:multiLevelType w:val="hybridMultilevel"/>
    <w:tmpl w:val="009221D8"/>
    <w:lvl w:ilvl="0" w:tplc="D4042A34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E5575F9"/>
    <w:multiLevelType w:val="multilevel"/>
    <w:tmpl w:val="32EAA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03F5FC5"/>
    <w:multiLevelType w:val="hybridMultilevel"/>
    <w:tmpl w:val="3316631E"/>
    <w:lvl w:ilvl="0" w:tplc="64BAC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21E86"/>
    <w:multiLevelType w:val="multilevel"/>
    <w:tmpl w:val="8A4CFD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>
      <w:start w:val="2"/>
      <w:numFmt w:val="decimal"/>
      <w:lvlText w:val="%4)"/>
      <w:lvlJc w:val="left"/>
      <w:pPr>
        <w:ind w:left="1070" w:hanging="360"/>
      </w:pPr>
      <w:rPr>
        <w:rFonts w:hint="default"/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A8A5770"/>
    <w:multiLevelType w:val="multilevel"/>
    <w:tmpl w:val="410826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71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C6F763A"/>
    <w:multiLevelType w:val="hybridMultilevel"/>
    <w:tmpl w:val="AE28EA16"/>
    <w:lvl w:ilvl="0" w:tplc="37587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9D53F6"/>
    <w:multiLevelType w:val="hybridMultilevel"/>
    <w:tmpl w:val="F2F2F08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2505A18"/>
    <w:multiLevelType w:val="hybridMultilevel"/>
    <w:tmpl w:val="04603E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322939"/>
    <w:multiLevelType w:val="multilevel"/>
    <w:tmpl w:val="D8DCF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4FE2D17"/>
    <w:multiLevelType w:val="hybridMultilevel"/>
    <w:tmpl w:val="F63CFE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2110C"/>
    <w:multiLevelType w:val="multilevel"/>
    <w:tmpl w:val="289A2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1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7FF7A1C"/>
    <w:multiLevelType w:val="multilevel"/>
    <w:tmpl w:val="87B6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F5075A"/>
    <w:multiLevelType w:val="multilevel"/>
    <w:tmpl w:val="48C28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1412306"/>
    <w:multiLevelType w:val="hybridMultilevel"/>
    <w:tmpl w:val="C70A5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32B61"/>
    <w:multiLevelType w:val="hybridMultilevel"/>
    <w:tmpl w:val="AC3E7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0"/>
  </w:num>
  <w:num w:numId="5">
    <w:abstractNumId w:val="15"/>
  </w:num>
  <w:num w:numId="6">
    <w:abstractNumId w:val="13"/>
  </w:num>
  <w:num w:numId="7">
    <w:abstractNumId w:val="17"/>
  </w:num>
  <w:num w:numId="8">
    <w:abstractNumId w:val="6"/>
  </w:num>
  <w:num w:numId="9">
    <w:abstractNumId w:val="3"/>
  </w:num>
  <w:num w:numId="10">
    <w:abstractNumId w:val="2"/>
  </w:num>
  <w:num w:numId="11">
    <w:abstractNumId w:val="12"/>
  </w:num>
  <w:num w:numId="12">
    <w:abstractNumId w:val="7"/>
  </w:num>
  <w:num w:numId="13">
    <w:abstractNumId w:val="14"/>
  </w:num>
  <w:num w:numId="14">
    <w:abstractNumId w:val="19"/>
  </w:num>
  <w:num w:numId="15">
    <w:abstractNumId w:val="10"/>
  </w:num>
  <w:num w:numId="16">
    <w:abstractNumId w:val="11"/>
  </w:num>
  <w:num w:numId="17">
    <w:abstractNumId w:val="8"/>
  </w:num>
  <w:num w:numId="18">
    <w:abstractNumId w:val="5"/>
  </w:num>
  <w:num w:numId="19">
    <w:abstractNumId w:val="4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06"/>
    <w:rsid w:val="0009676E"/>
    <w:rsid w:val="00121025"/>
    <w:rsid w:val="001F6DDB"/>
    <w:rsid w:val="002555A3"/>
    <w:rsid w:val="00290FD9"/>
    <w:rsid w:val="002B6FCF"/>
    <w:rsid w:val="002E26B8"/>
    <w:rsid w:val="00361CE9"/>
    <w:rsid w:val="00385CCE"/>
    <w:rsid w:val="00404017"/>
    <w:rsid w:val="00415260"/>
    <w:rsid w:val="005902D9"/>
    <w:rsid w:val="0067002A"/>
    <w:rsid w:val="007B7480"/>
    <w:rsid w:val="008F23AA"/>
    <w:rsid w:val="00921980"/>
    <w:rsid w:val="00947206"/>
    <w:rsid w:val="0097063D"/>
    <w:rsid w:val="00997D47"/>
    <w:rsid w:val="00A43BF7"/>
    <w:rsid w:val="00A56157"/>
    <w:rsid w:val="00A83C09"/>
    <w:rsid w:val="00B917B8"/>
    <w:rsid w:val="00BF30CB"/>
    <w:rsid w:val="00C1530F"/>
    <w:rsid w:val="00C65DDD"/>
    <w:rsid w:val="00CC403C"/>
    <w:rsid w:val="00D134FC"/>
    <w:rsid w:val="00DC2F48"/>
    <w:rsid w:val="00EC2E80"/>
    <w:rsid w:val="00F3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D546"/>
  <w15:chartTrackingRefBased/>
  <w15:docId w15:val="{10BC541B-57D2-406C-92B5-D7E4D9F3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,lp1"/>
    <w:basedOn w:val="Normalny"/>
    <w:uiPriority w:val="34"/>
    <w:qFormat/>
    <w:rsid w:val="001210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1395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Brus-Gąsik Barbara (RP Lublin)</dc:creator>
  <cp:keywords/>
  <dc:description/>
  <cp:lastModifiedBy>Brus-Gąsik Barbara (RP Lublin)</cp:lastModifiedBy>
  <cp:revision>29</cp:revision>
  <cp:lastPrinted>2026-04-16T11:51:00Z</cp:lastPrinted>
  <dcterms:created xsi:type="dcterms:W3CDTF">2026-04-16T10:16:00Z</dcterms:created>
  <dcterms:modified xsi:type="dcterms:W3CDTF">2026-05-12T12:18:00Z</dcterms:modified>
</cp:coreProperties>
</file>