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1655" w14:textId="5B508971" w:rsidR="00DB0834" w:rsidRPr="00DB0834" w:rsidRDefault="00DB0834" w:rsidP="00DB0834">
      <w:pPr>
        <w:pStyle w:val="OZNPROJEKTUwskazaniedatylubwersjiprojektu"/>
      </w:pPr>
      <w:r w:rsidRPr="00DB0834">
        <w:t xml:space="preserve">Projekt z dnia </w:t>
      </w:r>
      <w:r w:rsidR="00523B54">
        <w:t>17</w:t>
      </w:r>
      <w:r w:rsidR="0029416E">
        <w:t>.</w:t>
      </w:r>
      <w:r w:rsidR="00103765">
        <w:t>0</w:t>
      </w:r>
      <w:r w:rsidR="009B4F14">
        <w:t>6</w:t>
      </w:r>
      <w:r w:rsidR="0029416E">
        <w:t>.</w:t>
      </w:r>
      <w:r w:rsidRPr="00DB0834">
        <w:t>202</w:t>
      </w:r>
      <w:r w:rsidR="009F63A7">
        <w:t>5</w:t>
      </w:r>
      <w:r w:rsidRPr="00DB0834">
        <w:t xml:space="preserve"> r.</w:t>
      </w:r>
    </w:p>
    <w:p w14:paraId="35A075D9" w14:textId="38B74436" w:rsidR="00DB0834" w:rsidRPr="00DB0834" w:rsidRDefault="00DB0834" w:rsidP="00103765">
      <w:pPr>
        <w:pStyle w:val="OZNRODZAKTUtznustawalubrozporzdzenieiorganwydajcy"/>
      </w:pPr>
      <w:r w:rsidRPr="00DB0834">
        <w:t xml:space="preserve">U C H W A Ł A </w:t>
      </w:r>
      <w:r w:rsidR="00046286">
        <w:t xml:space="preserve"> </w:t>
      </w:r>
      <w:r w:rsidRPr="00DB0834">
        <w:t>N R …</w:t>
      </w:r>
    </w:p>
    <w:p w14:paraId="67D5DDCC" w14:textId="77777777" w:rsidR="00DB0834" w:rsidRPr="00DB0834" w:rsidRDefault="00DB0834" w:rsidP="00DB0834">
      <w:pPr>
        <w:pStyle w:val="OZNRODZAKTUtznustawalubrozporzdzenieiorganwydajcy"/>
      </w:pPr>
      <w:r w:rsidRPr="00DB0834">
        <w:t>R A D Y  M I N I S T R Ó W</w:t>
      </w:r>
    </w:p>
    <w:p w14:paraId="12AABE64" w14:textId="2E4D37D4" w:rsidR="00DB0834" w:rsidRPr="00DB0834" w:rsidRDefault="00DB0834" w:rsidP="00DB0834">
      <w:pPr>
        <w:pStyle w:val="DATAAKTUdatauchwalenialubwydaniaaktu"/>
      </w:pPr>
      <w:r w:rsidRPr="00DB0834">
        <w:t xml:space="preserve">z dnia </w:t>
      </w:r>
      <w:r w:rsidR="00ED2E7B" w:rsidRPr="00DB0834">
        <w:t>................</w:t>
      </w:r>
      <w:r w:rsidR="00ED2E7B">
        <w:t>2025 r.</w:t>
      </w:r>
    </w:p>
    <w:p w14:paraId="3B56CFA8" w14:textId="639AA55B" w:rsidR="00DB0834" w:rsidRPr="00DB0834" w:rsidRDefault="00DB0834" w:rsidP="00DB0834">
      <w:pPr>
        <w:pStyle w:val="TYTUAKTUprzedmiotregulacjiustawylubrozporzdzenia"/>
      </w:pPr>
      <w:r w:rsidRPr="00DB0834">
        <w:t>w sprawie</w:t>
      </w:r>
      <w:r w:rsidR="007E4EF7">
        <w:t xml:space="preserve"> </w:t>
      </w:r>
      <w:r w:rsidR="004176BB">
        <w:t>,,</w:t>
      </w:r>
      <w:r w:rsidR="004176BB" w:rsidRPr="00DB0834">
        <w:t>Krajow</w:t>
      </w:r>
      <w:r w:rsidR="007E4EF7">
        <w:t>ego</w:t>
      </w:r>
      <w:r w:rsidR="004176BB" w:rsidRPr="00DB0834">
        <w:t xml:space="preserve"> </w:t>
      </w:r>
      <w:r w:rsidRPr="00DB0834">
        <w:t>Programu Działań wobec Chorób Otępiennych na lata 2025</w:t>
      </w:r>
      <w:r w:rsidR="00C81A6D" w:rsidRPr="00C81A6D">
        <w:t>‒</w:t>
      </w:r>
      <w:r w:rsidRPr="00DB0834">
        <w:t>2030</w:t>
      </w:r>
      <w:r w:rsidR="0029416E" w:rsidRPr="003F407B">
        <w:t>”</w:t>
      </w:r>
    </w:p>
    <w:p w14:paraId="0C6924E5" w14:textId="77777777" w:rsidR="00DB0834" w:rsidRPr="00DB0834" w:rsidRDefault="00DB0834" w:rsidP="00DB0834"/>
    <w:p w14:paraId="38B915E5" w14:textId="51C6DF8D" w:rsidR="00DB0834" w:rsidRPr="00DB0834" w:rsidRDefault="00D02070" w:rsidP="00D02070">
      <w:pPr>
        <w:pStyle w:val="NIEARTTEKSTtekstnieartykuowanynppodstprawnarozplubpreambua"/>
      </w:pPr>
      <w:r w:rsidRPr="00D02070">
        <w:t>Na podstawie art. 21f ust. 4 ustawy z dnia 6 grudnia 2006 r. o zasadach prowadzenia polityki rozwoju (Dz.</w:t>
      </w:r>
      <w:r>
        <w:t xml:space="preserve"> </w:t>
      </w:r>
      <w:r w:rsidRPr="00D02070">
        <w:t xml:space="preserve">U. z </w:t>
      </w:r>
      <w:r w:rsidR="00ED2E7B" w:rsidRPr="00D02070">
        <w:t>202</w:t>
      </w:r>
      <w:r w:rsidR="00ED2E7B">
        <w:t>5</w:t>
      </w:r>
      <w:r w:rsidR="00ED2E7B" w:rsidRPr="00D02070">
        <w:t xml:space="preserve"> </w:t>
      </w:r>
      <w:r w:rsidRPr="00D02070">
        <w:t>r. poz.</w:t>
      </w:r>
      <w:r w:rsidR="00ED2E7B">
        <w:t xml:space="preserve"> 198</w:t>
      </w:r>
      <w:r w:rsidRPr="00D02070">
        <w:t>) Rada Ministrów uchwala, co następuje</w:t>
      </w:r>
      <w:r w:rsidR="00DB0834" w:rsidRPr="00DB0834">
        <w:t>:</w:t>
      </w:r>
    </w:p>
    <w:p w14:paraId="2F89CE94" w14:textId="6A24B1BA" w:rsidR="00DB0834" w:rsidRPr="00DB0834" w:rsidRDefault="00DB0834" w:rsidP="00103765">
      <w:pPr>
        <w:pStyle w:val="ARTartustawynprozporzdzenia"/>
      </w:pPr>
      <w:r w:rsidRPr="005E213A">
        <w:rPr>
          <w:rStyle w:val="Ppogrubienie"/>
        </w:rPr>
        <w:t>§ 1.</w:t>
      </w:r>
      <w:r w:rsidRPr="00DB0834">
        <w:t xml:space="preserve"> Przyjmuje się </w:t>
      </w:r>
      <w:r w:rsidR="00816103">
        <w:t xml:space="preserve">politykę publiczną pod nazwą </w:t>
      </w:r>
      <w:r w:rsidR="004176BB">
        <w:t>,,</w:t>
      </w:r>
      <w:r w:rsidRPr="00DB0834">
        <w:t>Krajowy Program Działań wobec Chorób Otępiennych</w:t>
      </w:r>
      <w:r w:rsidR="00914D82">
        <w:t xml:space="preserve"> na lata 2025</w:t>
      </w:r>
      <w:r w:rsidR="00D108FE">
        <w:rPr>
          <w:rFonts w:ascii="Calibri" w:hAnsi="Calibri" w:cs="Calibri"/>
        </w:rPr>
        <w:t>‒</w:t>
      </w:r>
      <w:r w:rsidR="00914D82">
        <w:t>2030</w:t>
      </w:r>
      <w:r w:rsidR="0029416E" w:rsidRPr="0029416E">
        <w:t>”</w:t>
      </w:r>
      <w:r w:rsidR="0025130D">
        <w:t xml:space="preserve">, </w:t>
      </w:r>
      <w:r w:rsidR="00816103" w:rsidRPr="00DB0834">
        <w:t>stanowiąc</w:t>
      </w:r>
      <w:r w:rsidR="00816103">
        <w:t>ą</w:t>
      </w:r>
      <w:r w:rsidR="00816103" w:rsidRPr="00DB0834">
        <w:t xml:space="preserve"> </w:t>
      </w:r>
      <w:r w:rsidRPr="00DB0834">
        <w:t>załącznik do uchwały.</w:t>
      </w:r>
    </w:p>
    <w:p w14:paraId="65FF1EA6" w14:textId="48BA5CF7" w:rsidR="00DB0834" w:rsidRPr="00DB0834" w:rsidRDefault="00DB0834" w:rsidP="00DB0834">
      <w:pPr>
        <w:pStyle w:val="ARTartustawynprozporzdzenia"/>
      </w:pPr>
      <w:r w:rsidRPr="005E213A">
        <w:rPr>
          <w:rStyle w:val="Ppogrubienie"/>
        </w:rPr>
        <w:t xml:space="preserve">§ </w:t>
      </w:r>
      <w:r w:rsidR="00816103" w:rsidRPr="005E213A">
        <w:rPr>
          <w:rStyle w:val="Ppogrubienie"/>
        </w:rPr>
        <w:t>2</w:t>
      </w:r>
      <w:r w:rsidRPr="005E213A">
        <w:rPr>
          <w:rStyle w:val="Ppogrubienie"/>
        </w:rPr>
        <w:t>.</w:t>
      </w:r>
      <w:r w:rsidRPr="00DB0834">
        <w:t xml:space="preserve"> </w:t>
      </w:r>
      <w:r w:rsidR="009E0B15" w:rsidRPr="009E0B15">
        <w:t xml:space="preserve">Monitorowanie realizacji </w:t>
      </w:r>
      <w:r w:rsidR="0025130D" w:rsidRPr="0025130D">
        <w:t>polityk</w:t>
      </w:r>
      <w:r w:rsidR="0025130D">
        <w:t>i</w:t>
      </w:r>
      <w:r w:rsidR="0025130D" w:rsidRPr="0025130D">
        <w:t xml:space="preserve"> publiczn</w:t>
      </w:r>
      <w:r w:rsidR="0025130D">
        <w:t>ej</w:t>
      </w:r>
      <w:r w:rsidR="0025130D" w:rsidRPr="0025130D">
        <w:t xml:space="preserve"> pod nazwą ,,Krajowy Program Działań wobec Chorób Otępiennych na lata 2025</w:t>
      </w:r>
      <w:r w:rsidR="00D108FE">
        <w:rPr>
          <w:rFonts w:ascii="Calibri" w:hAnsi="Calibri" w:cs="Calibri"/>
        </w:rPr>
        <w:t>‒</w:t>
      </w:r>
      <w:r w:rsidR="0025130D" w:rsidRPr="0025130D">
        <w:t>2030</w:t>
      </w:r>
      <w:r w:rsidR="0029416E" w:rsidRPr="0029416E">
        <w:t>”</w:t>
      </w:r>
      <w:r w:rsidR="0025130D">
        <w:t xml:space="preserve"> </w:t>
      </w:r>
      <w:r w:rsidRPr="00DB0834">
        <w:t>powierza się ministrowi właściwemu do spraw zdrowia.</w:t>
      </w:r>
    </w:p>
    <w:p w14:paraId="0747B3EE" w14:textId="6AB391B3" w:rsidR="00DB0834" w:rsidRPr="00DB0834" w:rsidRDefault="00DB0834" w:rsidP="00DB0834">
      <w:pPr>
        <w:pStyle w:val="ARTartustawynprozporzdzenia"/>
      </w:pPr>
      <w:r w:rsidRPr="005E213A">
        <w:rPr>
          <w:rStyle w:val="Ppogrubienie"/>
        </w:rPr>
        <w:t xml:space="preserve">§ </w:t>
      </w:r>
      <w:r w:rsidR="00816103" w:rsidRPr="005E213A">
        <w:rPr>
          <w:rStyle w:val="Ppogrubienie"/>
        </w:rPr>
        <w:t>3</w:t>
      </w:r>
      <w:r w:rsidRPr="005E213A">
        <w:rPr>
          <w:rStyle w:val="Ppogrubienie"/>
        </w:rPr>
        <w:t>.</w:t>
      </w:r>
      <w:r w:rsidRPr="00DB0834">
        <w:t xml:space="preserve"> </w:t>
      </w:r>
      <w:r w:rsidR="000160F4" w:rsidRPr="000160F4">
        <w:t xml:space="preserve">Uchwała wchodzi w życie </w:t>
      </w:r>
      <w:r w:rsidR="003D63F0">
        <w:t>z dniem podjęcia</w:t>
      </w:r>
      <w:r w:rsidRPr="00DB0834">
        <w:t>.</w:t>
      </w:r>
    </w:p>
    <w:p w14:paraId="64CE5AF8" w14:textId="77777777" w:rsidR="00DB0834" w:rsidRPr="00DB0834" w:rsidRDefault="00DB0834" w:rsidP="00DB0834"/>
    <w:p w14:paraId="5B84CE0F" w14:textId="77777777" w:rsidR="00DB0834" w:rsidRPr="00DB0834" w:rsidRDefault="00DB0834" w:rsidP="00DB0834"/>
    <w:p w14:paraId="10E1F9DB" w14:textId="77777777" w:rsidR="00DB0834" w:rsidRPr="00DB0834" w:rsidRDefault="00DB0834" w:rsidP="00DB0834">
      <w:pPr>
        <w:pStyle w:val="NAZORGWYDnazwaorganuwydajcegoprojektowanyakt"/>
        <w:sectPr w:rsidR="00DB0834" w:rsidRPr="00DB0834" w:rsidSect="00DB0834">
          <w:pgSz w:w="11910" w:h="16840"/>
          <w:pgMar w:top="1920" w:right="1320" w:bottom="280" w:left="1300" w:header="708" w:footer="708" w:gutter="0"/>
          <w:cols w:space="708"/>
        </w:sectPr>
      </w:pPr>
      <w:r w:rsidRPr="00DB0834">
        <w:rPr>
          <w:lang w:bidi="pl-PL"/>
        </w:rPr>
        <w:t>PREZES RADY MINISTRÓW</w:t>
      </w:r>
    </w:p>
    <w:p w14:paraId="389D9DF1" w14:textId="77777777" w:rsidR="00AF288E" w:rsidRPr="00AF288E" w:rsidRDefault="00AF288E" w:rsidP="00361550">
      <w:pPr>
        <w:pStyle w:val="TYTUAKTUprzedmiotregulacjiustawylubrozporzdzenia"/>
      </w:pPr>
      <w:r w:rsidRPr="00AF288E">
        <w:lastRenderedPageBreak/>
        <w:t>UZASADNIENIE</w:t>
      </w:r>
    </w:p>
    <w:p w14:paraId="63E5200E" w14:textId="4BBE5ADE" w:rsidR="000A594E" w:rsidRDefault="000A594E" w:rsidP="000A594E">
      <w:pPr>
        <w:pStyle w:val="ARTartustawynprozporzdzenia"/>
      </w:pPr>
      <w:r w:rsidRPr="000A594E">
        <w:t xml:space="preserve">Według szacunków Alzheimer's Disease International (ADI) w 2019 r. liczba osób cierpiących na </w:t>
      </w:r>
      <w:r>
        <w:t>choroby otępienne</w:t>
      </w:r>
      <w:r w:rsidRPr="000A594E">
        <w:t xml:space="preserve"> w skali światowej </w:t>
      </w:r>
      <w:r>
        <w:t xml:space="preserve">to </w:t>
      </w:r>
      <w:r w:rsidRPr="000A594E">
        <w:t>ponad 50 milionów a do 2050 r. liczba ta może wzrosnąć do 152 milionów. Oznacza to, że liczba chorych ulegnie do 2050 r. potrojeniu. Do sytuacji tej przyczyniają się zmiany zachodzące w strukturze wiekowej światowej populacji, wynikające z nasilenia się procesu starzenia się społeczeństw. Wiek stanowi bowiem główny czynnik ryzyka rozwoju chorób otępiennych, w tym choroby Alzheimera. Choroby te dotykają głównie, choć nie tylko, osób powyżej 60 roku życia i są jedną z istotnych przyczyn niepełnosprawności wśród osób starszych.</w:t>
      </w:r>
    </w:p>
    <w:p w14:paraId="31395088" w14:textId="6CA9E647" w:rsidR="00AF288E" w:rsidRPr="00AF288E" w:rsidRDefault="00AF288E" w:rsidP="006F0B71">
      <w:pPr>
        <w:pStyle w:val="ARTartustawynprozporzdzenia"/>
      </w:pPr>
      <w:r w:rsidRPr="00AF288E">
        <w:t xml:space="preserve">W ostatnich latach </w:t>
      </w:r>
      <w:r w:rsidR="000A594E">
        <w:t xml:space="preserve">także </w:t>
      </w:r>
      <w:r w:rsidRPr="00AF288E">
        <w:t xml:space="preserve">w </w:t>
      </w:r>
      <w:r w:rsidR="00011C6E">
        <w:t>Rzecz</w:t>
      </w:r>
      <w:r w:rsidR="00ED2E7B">
        <w:t>y</w:t>
      </w:r>
      <w:r w:rsidR="00011C6E">
        <w:t>pospolitej Polskiej</w:t>
      </w:r>
      <w:r w:rsidR="00011C6E" w:rsidRPr="00AF288E">
        <w:t xml:space="preserve"> </w:t>
      </w:r>
      <w:r w:rsidR="0029416E" w:rsidRPr="00AF288E">
        <w:t xml:space="preserve">jest </w:t>
      </w:r>
      <w:r w:rsidRPr="00AF288E">
        <w:t xml:space="preserve">obserwowany nasilający się proces starzenia się społeczeństwa. </w:t>
      </w:r>
    </w:p>
    <w:p w14:paraId="67D67E99" w14:textId="6F508A37" w:rsidR="00542474" w:rsidRDefault="00011C6E" w:rsidP="00354B67">
      <w:pPr>
        <w:pStyle w:val="ARTartustawynprozporzdzenia"/>
      </w:pPr>
      <w:r>
        <w:t>D</w:t>
      </w:r>
      <w:r w:rsidR="003F407B" w:rsidRPr="003F407B">
        <w:t xml:space="preserve">ane pochodzące z </w:t>
      </w:r>
      <w:r w:rsidR="003F407B">
        <w:t>p</w:t>
      </w:r>
      <w:r w:rsidR="003F407B" w:rsidRPr="003F407B">
        <w:t>rojekt</w:t>
      </w:r>
      <w:r w:rsidR="003F407B">
        <w:t>u</w:t>
      </w:r>
      <w:r w:rsidR="003F407B" w:rsidRPr="003F407B">
        <w:t xml:space="preserve"> PolSenior2</w:t>
      </w:r>
      <w:r w:rsidR="003F407B">
        <w:t xml:space="preserve"> </w:t>
      </w:r>
      <w:r w:rsidR="00921830" w:rsidRPr="00921830">
        <w:t>„</w:t>
      </w:r>
      <w:r w:rsidR="003F407B" w:rsidRPr="003F407B">
        <w:t>Badanie poszczególnych obszarów stanu zdrowia osób starszych,</w:t>
      </w:r>
      <w:r w:rsidR="003F407B">
        <w:t xml:space="preserve"> </w:t>
      </w:r>
      <w:r w:rsidR="003F407B" w:rsidRPr="003F407B">
        <w:t>w tym jakości życia związanej ze zdrowiem”</w:t>
      </w:r>
      <w:r w:rsidR="003F407B">
        <w:t xml:space="preserve"> (realizowanego w </w:t>
      </w:r>
      <w:r w:rsidR="00542474">
        <w:t xml:space="preserve">latach </w:t>
      </w:r>
      <w:r w:rsidR="00542474" w:rsidRPr="003F407B">
        <w:t>2017</w:t>
      </w:r>
      <w:r w:rsidR="00A34E8F">
        <w:t>–</w:t>
      </w:r>
      <w:r w:rsidR="003F407B" w:rsidRPr="003F407B">
        <w:t>2020</w:t>
      </w:r>
      <w:r w:rsidR="00921830">
        <w:t xml:space="preserve"> w ramach</w:t>
      </w:r>
      <w:r w:rsidR="00B24ED2">
        <w:t xml:space="preserve"> Narodowego Programu Zdrowia na lata 2016</w:t>
      </w:r>
      <w:r w:rsidR="00A34E8F">
        <w:t>–</w:t>
      </w:r>
      <w:r w:rsidR="00B24ED2">
        <w:t>2020</w:t>
      </w:r>
      <w:r w:rsidR="003F407B">
        <w:t>)</w:t>
      </w:r>
      <w:r w:rsidR="00542474">
        <w:t xml:space="preserve"> </w:t>
      </w:r>
      <w:r w:rsidR="00883B08">
        <w:t xml:space="preserve">są także alarmujące. </w:t>
      </w:r>
      <w:r w:rsidR="00883B08" w:rsidRPr="00883B08">
        <w:t xml:space="preserve">Częstość występowania zaburzeń funkcji poznawczych w populacji osób starszych w </w:t>
      </w:r>
      <w:r>
        <w:t>Rzecz</w:t>
      </w:r>
      <w:r w:rsidR="00ED2E7B">
        <w:t>y</w:t>
      </w:r>
      <w:r>
        <w:t>pospolitej Polskiej</w:t>
      </w:r>
      <w:r w:rsidRPr="00883B08">
        <w:t xml:space="preserve"> </w:t>
      </w:r>
      <w:r w:rsidR="00883B08" w:rsidRPr="00883B08">
        <w:t xml:space="preserve">jest wysoka. Średnio co szósta osoba w wieku 60 </w:t>
      </w:r>
      <w:r w:rsidR="00921830">
        <w:t xml:space="preserve">lat </w:t>
      </w:r>
      <w:r w:rsidR="00883B08" w:rsidRPr="00883B08">
        <w:t>i więcej prezentuje deficyt poznawczy w stopniu nasuwającym podejrzenie otępienia</w:t>
      </w:r>
      <w:r w:rsidR="00883B08">
        <w:t>.</w:t>
      </w:r>
      <w:r w:rsidR="00883B08" w:rsidRPr="00883B08">
        <w:t xml:space="preserve"> </w:t>
      </w:r>
      <w:r w:rsidR="00883B08">
        <w:t xml:space="preserve">Oszacowano, iż </w:t>
      </w:r>
      <w:r w:rsidR="00883B08" w:rsidRPr="00883B08">
        <w:t xml:space="preserve">16,8% osób w wieku 60 i więcej lat w </w:t>
      </w:r>
      <w:r w:rsidR="00B24ED2">
        <w:t>Rzecz</w:t>
      </w:r>
      <w:r w:rsidR="00ED2E7B">
        <w:t>y</w:t>
      </w:r>
      <w:r w:rsidR="00B24ED2">
        <w:t>pospolitej Polskiej</w:t>
      </w:r>
      <w:r w:rsidR="00B24ED2" w:rsidRPr="00883B08">
        <w:t xml:space="preserve"> </w:t>
      </w:r>
      <w:r w:rsidR="00883B08" w:rsidRPr="00883B08">
        <w:t>prezentuje łagodne zaburzenia poznawcze</w:t>
      </w:r>
      <w:r w:rsidR="00883B08">
        <w:t>. O</w:t>
      </w:r>
      <w:r w:rsidR="003F407B" w:rsidRPr="003F407B">
        <w:t>bjawy otępienia występują u 15,8% osób w wieku 60 lat lub więcej, przy czym w większości przypadków jest to otępienie o nasileniu lekkim (11,6%). Otępienie o nasileniu umiarkowanym i ciężkim stanowi odpowiednio 2,8% i 1,4%</w:t>
      </w:r>
      <w:r w:rsidR="00883B08">
        <w:t xml:space="preserve"> przypadków</w:t>
      </w:r>
      <w:r w:rsidR="003F407B">
        <w:rPr>
          <w:rStyle w:val="Odwoanieprzypisudolnego"/>
        </w:rPr>
        <w:footnoteReference w:id="1"/>
      </w:r>
      <w:r w:rsidR="003F407B" w:rsidRPr="003F407B">
        <w:t xml:space="preserve">. </w:t>
      </w:r>
      <w:r w:rsidR="00542474" w:rsidRPr="00542474">
        <w:t>Wykazano wyraźne narastanie częstości podejrzenia otępienia od 12,2% w najmłodszej grupie wieku (60– 64 lata), aż do ponad połowy populacji osób w wieku 90 i więcej lat. Wyniki prezentowanego badania, w porównaniu do wyników projektu PolSenior1</w:t>
      </w:r>
      <w:r w:rsidR="00B24ED2">
        <w:t>,</w:t>
      </w:r>
      <w:r w:rsidR="00921830">
        <w:t xml:space="preserve"> </w:t>
      </w:r>
      <w:r w:rsidR="00354B67" w:rsidRPr="00354B67">
        <w:t>zrealizowan</w:t>
      </w:r>
      <w:r w:rsidR="00354B67">
        <w:t>ego</w:t>
      </w:r>
      <w:r w:rsidR="00354B67" w:rsidRPr="00354B67">
        <w:t xml:space="preserve"> w latach 2007–2012, </w:t>
      </w:r>
      <w:r w:rsidR="00ED2E7B">
        <w:t xml:space="preserve">sfinansowanego </w:t>
      </w:r>
      <w:r w:rsidR="00354B67" w:rsidRPr="00354B67">
        <w:t>ze środków</w:t>
      </w:r>
      <w:r w:rsidR="00A85CAB">
        <w:t xml:space="preserve">, którymi dysponowało </w:t>
      </w:r>
      <w:r w:rsidR="00354B67" w:rsidRPr="00354B67">
        <w:t>Ministerstw</w:t>
      </w:r>
      <w:r w:rsidR="00A85CAB">
        <w:t>o</w:t>
      </w:r>
      <w:r w:rsidR="00354B67" w:rsidRPr="00354B67">
        <w:t xml:space="preserve"> Nauki i Szkolnictwa Wyższego</w:t>
      </w:r>
      <w:r w:rsidR="00542474" w:rsidRPr="00542474">
        <w:t xml:space="preserve">, wskazują, że na przestrzeni dekady wzrosła w starszej populacji nie tylko częstość podejrzenia otępienia ogółem, ale wzrost ten dotyczył również bardziej zaawansowanych </w:t>
      </w:r>
      <w:r w:rsidR="00542474" w:rsidRPr="00542474">
        <w:lastRenderedPageBreak/>
        <w:t>etapów choroby (umiarkowanego i znacznego) – z 3,6% do 4,2% w porównaniu do badania PolSenior1. Wzrost ten obserwowano zwłaszcza w grupie kobiet. Stanowi to coraz większe wyzwanie dla systemu opieki zdrowotnej oraz polityki społecznej, bowiem koszty leczenia i opieki nad chorym z otępieniem wzrastają bardzo wyraźnie wraz z postępem choroby, a wydatki te należą obecnie do największych, po wydatkach na nowotwory, choroby sercowo-naczyniowe oraz udary mózgu.</w:t>
      </w:r>
    </w:p>
    <w:p w14:paraId="4E980518" w14:textId="77777777" w:rsidR="00C167B1" w:rsidRPr="00C167B1" w:rsidRDefault="00C167B1" w:rsidP="00C167B1">
      <w:pPr>
        <w:pStyle w:val="ARTartustawynprozporzdzenia"/>
      </w:pPr>
      <w:r w:rsidRPr="00C167B1">
        <w:t xml:space="preserve">Jednocześnie należy pamiętać, że na choroby otępienne zapadają nie tylko osoby starsze. </w:t>
      </w:r>
    </w:p>
    <w:p w14:paraId="2EA5D96F" w14:textId="1D8BF873" w:rsidR="00AF288E" w:rsidRPr="00AF288E" w:rsidRDefault="00C167B1" w:rsidP="00AF288E">
      <w:pPr>
        <w:pStyle w:val="ARTartustawynprozporzdzenia"/>
      </w:pPr>
      <w:r>
        <w:t>W</w:t>
      </w:r>
      <w:r w:rsidR="00AF288E" w:rsidRPr="00AF288E">
        <w:t xml:space="preserve">edług </w:t>
      </w:r>
      <w:r w:rsidR="00517B22">
        <w:t xml:space="preserve">szacunków Narodowego Funduszu Zdrowia, opartych o </w:t>
      </w:r>
      <w:r w:rsidR="00AF288E" w:rsidRPr="00AF288E">
        <w:t>dan</w:t>
      </w:r>
      <w:r w:rsidR="00517B22">
        <w:t>e</w:t>
      </w:r>
      <w:r w:rsidR="00AF288E" w:rsidRPr="00AF288E">
        <w:t xml:space="preserve"> Institute for Health Metrics and Evaluation, w 2019 r. w </w:t>
      </w:r>
      <w:r w:rsidR="00B24ED2">
        <w:t>Rzecz</w:t>
      </w:r>
      <w:r w:rsidR="00AE467E">
        <w:t>y</w:t>
      </w:r>
      <w:r w:rsidR="00B24ED2">
        <w:t>pospolitej Polskiej</w:t>
      </w:r>
      <w:r w:rsidR="00B24ED2" w:rsidRPr="00AF288E">
        <w:t xml:space="preserve"> </w:t>
      </w:r>
      <w:r w:rsidR="00AF288E" w:rsidRPr="00AF288E">
        <w:t>na chorobę Alzheimera lub choroby pokrewne chorowało 585 tys. osób (1,5% populacji, o 0,2 p.p. więcej niż w 2014 r.). Standaryzowany wiekiem odsetek chorych na chorobę Alzheimera lub choroby pokrewne był w 2019 r. na zbliżonym poziomie co w 2014 r. i nie różnił się znacząco od standaryzowanego wiekiem odsetka dla Unii Europejskiej</w:t>
      </w:r>
      <w:r w:rsidR="00517B22">
        <w:rPr>
          <w:rStyle w:val="Odwoanieprzypisudolnego"/>
        </w:rPr>
        <w:footnoteReference w:id="2"/>
      </w:r>
      <w:r w:rsidR="00AF288E" w:rsidRPr="00AF288E">
        <w:t xml:space="preserve">. </w:t>
      </w:r>
    </w:p>
    <w:p w14:paraId="4DD70758" w14:textId="2FD5FB29" w:rsidR="00AF288E" w:rsidRDefault="00AF288E" w:rsidP="00C167B1">
      <w:pPr>
        <w:pStyle w:val="ARTartustawynprozporzdzenia"/>
      </w:pPr>
      <w:r w:rsidRPr="00AF288E">
        <w:t xml:space="preserve">Zgodnie z danymi raportu </w:t>
      </w:r>
      <w:r w:rsidR="00D5359B">
        <w:t>,,</w:t>
      </w:r>
      <w:r w:rsidRPr="00AF288E">
        <w:t>NFZ o zdrowiu. Choroba Alzheimera i choroby pokrewne</w:t>
      </w:r>
      <w:r w:rsidR="00C167B1">
        <w:t>"</w:t>
      </w:r>
      <w:r w:rsidRPr="00AF288E">
        <w:t xml:space="preserve">, opublikowanego w maju 2022 r. i </w:t>
      </w:r>
      <w:r w:rsidR="00D5359B">
        <w:t>z</w:t>
      </w:r>
      <w:r w:rsidRPr="00AF288E">
        <w:t xml:space="preserve">aktualizowanego w 2023 r., chorobowość rejestrowana (określona na podstawie informacji o udzielonych świadczeniach finansowanych przez NFZ) choroby Alzheimera i chorób pokrewnych wynosiła w 2022 r. 357 tys. i była o 5% wyższa niż w 2014 r. W latach 2000–2019 w </w:t>
      </w:r>
      <w:r w:rsidR="00B24ED2">
        <w:t>Rzecz</w:t>
      </w:r>
      <w:r w:rsidR="00AE467E">
        <w:t>y</w:t>
      </w:r>
      <w:r w:rsidR="00B24ED2">
        <w:t>pospolitej Polskiej</w:t>
      </w:r>
      <w:r w:rsidR="00B24ED2" w:rsidRPr="00AF288E">
        <w:t xml:space="preserve"> </w:t>
      </w:r>
      <w:r w:rsidRPr="00AF288E">
        <w:t>rosła liczba nowych zachorowań na chorobę Alzheimera i choroby pokrewne. W 2022 r. było 107,2 tys. nowo rozpoznanych przypadków choroby Alzheimera i chorób pokrewnych. Wartość ta była wyższa o 4% niż w 2014 r.</w:t>
      </w:r>
    </w:p>
    <w:p w14:paraId="4D418EAA" w14:textId="2FB2A890" w:rsidR="00AF288E" w:rsidRPr="00AF288E" w:rsidRDefault="00AF288E" w:rsidP="00AF288E">
      <w:pPr>
        <w:pStyle w:val="ARTartustawynprozporzdzenia"/>
      </w:pPr>
      <w:r w:rsidRPr="00AF288E">
        <w:t>Do najczęstszych przyczyn otępień należą choroby neurodegeneracyjne i naczyniowe mózgowia. Szacuje się, że około 60</w:t>
      </w:r>
      <w:r w:rsidR="00C81A6D">
        <w:t>–</w:t>
      </w:r>
      <w:r w:rsidRPr="00AF288E">
        <w:t>70% przypadków otępień rozwija się w przebiegu choroby Alzheimera. Pozostałe przypadki to otępienia naczyniowe, otępienia o etiologii mieszanej (choroba Alzheimera ze współistniejącą etiologią naczyniową), otępienia z ciałami Lewy’ego, otępienia w przebiegu neurodegeneracji czołowo-skroniowej (tzw. otępienia czołowo-skroniowe) i inne.</w:t>
      </w:r>
    </w:p>
    <w:p w14:paraId="670AE579" w14:textId="1943AA8B" w:rsidR="00AF288E" w:rsidRPr="00AF288E" w:rsidRDefault="00AF288E" w:rsidP="00AF288E">
      <w:pPr>
        <w:pStyle w:val="ARTartustawynprozporzdzenia"/>
      </w:pPr>
      <w:r w:rsidRPr="00AF288E">
        <w:lastRenderedPageBreak/>
        <w:t>Z prognoz wynika, że ludzie coraz częściej będą umierać na choroby układu nerwowego (o 22,2% więcej zgonów w 2028 r. w porównaniu do 2019 r.), w tym szczególnie na chorobę Alzheimera i inne choroby otępienne (o 24,5%)</w:t>
      </w:r>
      <w:r w:rsidR="00C53E34">
        <w:rPr>
          <w:rStyle w:val="Odwoanieprzypisudolnego"/>
        </w:rPr>
        <w:footnoteReference w:id="3"/>
      </w:r>
      <w:r w:rsidR="00883B08">
        <w:t>.</w:t>
      </w:r>
    </w:p>
    <w:p w14:paraId="28124B5E" w14:textId="6D020ECE" w:rsidR="00AF288E" w:rsidRPr="00AF288E" w:rsidRDefault="00AF288E" w:rsidP="00AF288E">
      <w:pPr>
        <w:pStyle w:val="ARTartustawynprozporzdzenia"/>
      </w:pPr>
      <w:r w:rsidRPr="00AF288E">
        <w:t xml:space="preserve">Szybko rosnąca liczba chorych implikuje liczne istotne konsekwencje zdrowotne, społeczne i ekonomiczne. </w:t>
      </w:r>
      <w:r w:rsidR="00D32079">
        <w:t>Skutki chorób otępiennych</w:t>
      </w:r>
      <w:r w:rsidRPr="00AF288E">
        <w:t xml:space="preserve"> ma</w:t>
      </w:r>
      <w:r w:rsidR="00D32079">
        <w:t>ją</w:t>
      </w:r>
      <w:r w:rsidRPr="00AF288E">
        <w:t xml:space="preserve"> wymiar zarówno indywidualny, jak i społeczny. Osobie dotkniętej chorobą zazwyczaj towarzyszą jej bliscy. Zaburzenia tego rodzaju powodują ogromne obciążenie fizyczne, psychiczne i finansowe dla opiekunów nieformalnych i osób z</w:t>
      </w:r>
      <w:r w:rsidR="00361550">
        <w:t> </w:t>
      </w:r>
      <w:r w:rsidRPr="00AF288E">
        <w:t xml:space="preserve">najbliższego otoczenia chorego. W ujęciu globalnym dane szacunkowe </w:t>
      </w:r>
      <w:r w:rsidR="00883B08">
        <w:t>zebrane</w:t>
      </w:r>
      <w:r w:rsidRPr="00AF288E">
        <w:t xml:space="preserve"> w </w:t>
      </w:r>
      <w:r w:rsidR="00D5359B">
        <w:t>,,</w:t>
      </w:r>
      <w:r w:rsidRPr="00AF288E">
        <w:t>World Alzheimer Report 2019</w:t>
      </w:r>
      <w:r w:rsidR="00883B08">
        <w:t>"</w:t>
      </w:r>
      <w:r w:rsidRPr="00AF288E">
        <w:t xml:space="preserve"> wskazują, iż całkowite roczne koszty spowodowane </w:t>
      </w:r>
      <w:r w:rsidR="00883B08">
        <w:t>chorobami demencyjnymi</w:t>
      </w:r>
      <w:r w:rsidRPr="00AF288E">
        <w:t xml:space="preserve"> na świecie wynoszą 1 bln USD, a według prognoz do 2030 r. mogą ulec podwojeniu. </w:t>
      </w:r>
    </w:p>
    <w:p w14:paraId="60E22B04" w14:textId="4BD439D4" w:rsidR="00AF288E" w:rsidRPr="00AF288E" w:rsidRDefault="00AF288E" w:rsidP="00AF288E">
      <w:pPr>
        <w:pStyle w:val="ARTartustawynprozporzdzenia"/>
      </w:pPr>
      <w:r w:rsidRPr="00AF288E">
        <w:t>Dostępne obecnie sposoby terapii nie są w stanie „wyleczyć z demencji”. Dodatkowo, otępienia, pomimo rosnącej zachorowalności, wciąż traktowane są jako temat tabu, a osoby chore często spotykają się z nie</w:t>
      </w:r>
      <w:r w:rsidR="00AE467E">
        <w:t>z</w:t>
      </w:r>
      <w:r w:rsidRPr="00AF288E">
        <w:t>rozumieniem ze strony otoczenia, a nawet dyskryminacją. Dzieje się tak za sprawą braku dostatecznej wiedzy o przyczynach oraz, często kłopotliwych dla otoczenia, symptomach choroby. Brak akceptacji dla chorych powoduje izolację społeczną nie tylko ich samych, ale także opiekunów</w:t>
      </w:r>
      <w:r w:rsidR="00883B08">
        <w:t>, osób bliskich</w:t>
      </w:r>
      <w:r w:rsidRPr="00AF288E">
        <w:t>. We wczesnych stadiach choroby objawy zaburzeń otępiennych często mylone są przez chorego i jego otoczenie z objawami naturalnego, fizjologicznego starzenia się lub innych stanów emocjonalnych. Psychologiczne mechanizmy obronne powodują u chorych tendencję do racjonalizowania pojawiających się trudności i</w:t>
      </w:r>
      <w:r w:rsidR="00361550">
        <w:t> </w:t>
      </w:r>
      <w:r w:rsidRPr="00AF288E">
        <w:t>niepokojących objawów. Uwarunkowania te przyczyniają się w wielu przypadkach do</w:t>
      </w:r>
      <w:r w:rsidR="00361550">
        <w:t> </w:t>
      </w:r>
      <w:r w:rsidRPr="00AF288E">
        <w:t xml:space="preserve">rezygnacji z poszukiwania diagnozy dla zaobserwowanych objawów. </w:t>
      </w:r>
    </w:p>
    <w:p w14:paraId="0F4B4E51" w14:textId="4011D790" w:rsidR="00AF288E" w:rsidRPr="00AF288E" w:rsidRDefault="00AF288E" w:rsidP="00883B08">
      <w:pPr>
        <w:pStyle w:val="ARTartustawynprozporzdzenia"/>
      </w:pPr>
      <w:r w:rsidRPr="00AF288E">
        <w:t>Mając świadomość zachodzących zmian demograficznych, wpływ</w:t>
      </w:r>
      <w:r w:rsidR="00883B08">
        <w:t>ających istotnie</w:t>
      </w:r>
      <w:r w:rsidRPr="00AF288E">
        <w:t xml:space="preserve"> na</w:t>
      </w:r>
      <w:r w:rsidR="00361550">
        <w:t> </w:t>
      </w:r>
      <w:r w:rsidRPr="00AF288E">
        <w:t>wzrost liczby osób z chorobami otępiennymi, w 2017 r., podczas 70. Światowego Zgromadzenia Zdrowia w Genewie, państwa członkowskie WHO</w:t>
      </w:r>
      <w:r w:rsidR="00883B08">
        <w:t xml:space="preserve"> (</w:t>
      </w:r>
      <w:r w:rsidRPr="00AF288E">
        <w:t xml:space="preserve">w tym </w:t>
      </w:r>
      <w:r w:rsidR="00B24ED2">
        <w:t>Rzeczpospolita Polska</w:t>
      </w:r>
      <w:r w:rsidR="00883B08">
        <w:t>)</w:t>
      </w:r>
      <w:r w:rsidRPr="00AF288E">
        <w:t xml:space="preserve"> jednogłośnie zaakceptowały cele wskazane w </w:t>
      </w:r>
      <w:r w:rsidR="00D5359B">
        <w:t>,,</w:t>
      </w:r>
      <w:r w:rsidRPr="00AF288E">
        <w:t>Globalnym planie działania odnoszącym się do odpowiedzi zdrowia publicznego na demencję na lata 2017–2025</w:t>
      </w:r>
      <w:r w:rsidR="00883B08">
        <w:t>"</w:t>
      </w:r>
      <w:r w:rsidRPr="00AF288E">
        <w:t xml:space="preserve"> (</w:t>
      </w:r>
      <w:r w:rsidR="00883B08">
        <w:t>"</w:t>
      </w:r>
      <w:r w:rsidRPr="00AF288E">
        <w:t>Global action plan on the public health response to dementia 2017</w:t>
      </w:r>
      <w:r w:rsidR="00C81A6D">
        <w:t>–</w:t>
      </w:r>
      <w:r w:rsidRPr="00AF288E">
        <w:t>2025</w:t>
      </w:r>
      <w:r w:rsidR="00883B08">
        <w:t>"</w:t>
      </w:r>
      <w:r w:rsidRPr="00AF288E">
        <w:t xml:space="preserve">). </w:t>
      </w:r>
      <w:r w:rsidR="00AE467E">
        <w:t>W j</w:t>
      </w:r>
      <w:r w:rsidRPr="00AF288E">
        <w:t xml:space="preserve">ednym z głównych celów </w:t>
      </w:r>
      <w:r w:rsidR="00D5359B">
        <w:t>wspomnianego</w:t>
      </w:r>
      <w:r w:rsidRPr="00AF288E">
        <w:t xml:space="preserve"> dokumentu, określonym jako „demencja jako priorytet zdrowia publicznego”, założono, iż 75% państw członkowskich </w:t>
      </w:r>
      <w:r w:rsidR="00883B08">
        <w:t xml:space="preserve">WHO </w:t>
      </w:r>
      <w:r w:rsidRPr="00AF288E">
        <w:t xml:space="preserve">opracuje strategie wobec </w:t>
      </w:r>
      <w:r w:rsidRPr="00AF288E">
        <w:lastRenderedPageBreak/>
        <w:t xml:space="preserve">demencji do 2025 r. Plany strategicznych działań odnoszących się do chorób otępiennych opracowano już w kilkunastu krajach europejskich. </w:t>
      </w:r>
    </w:p>
    <w:p w14:paraId="570833CB" w14:textId="486E66CB" w:rsidR="00AF288E" w:rsidRPr="00AF288E" w:rsidRDefault="00AF288E" w:rsidP="00AF288E">
      <w:pPr>
        <w:pStyle w:val="ARTartustawynprozporzdzenia"/>
      </w:pPr>
      <w:r w:rsidRPr="00AF288E">
        <w:t xml:space="preserve">Inicjatywa ta znajduje także uzasadnienie we wnioskach Najwyższej Izby Kontroli, która zwracała uwagę na zasadność podjęcia przez Ministra Zdrowia </w:t>
      </w:r>
      <w:r w:rsidR="00011C6E">
        <w:rPr>
          <w:rFonts w:ascii="Calibri" w:hAnsi="Calibri" w:cs="Calibri"/>
        </w:rPr>
        <w:t>‒</w:t>
      </w:r>
      <w:r w:rsidRPr="00AF288E">
        <w:t xml:space="preserve"> w ścisłej współpracy z</w:t>
      </w:r>
      <w:r w:rsidR="00361550">
        <w:t> </w:t>
      </w:r>
      <w:r w:rsidRPr="00AF288E">
        <w:t xml:space="preserve">Ministrem Rodziny, Pracy i Polityki Społecznej </w:t>
      </w:r>
      <w:r w:rsidR="00C509DC">
        <w:rPr>
          <w:rFonts w:ascii="Calibri" w:hAnsi="Calibri" w:cs="Calibri"/>
        </w:rPr>
        <w:t>‒</w:t>
      </w:r>
      <w:r w:rsidRPr="00AF288E">
        <w:t xml:space="preserve"> działań, mających na celu wypracowanie i</w:t>
      </w:r>
      <w:r w:rsidR="00361550">
        <w:t> </w:t>
      </w:r>
      <w:r w:rsidRPr="00AF288E">
        <w:t>wdrożenie rozwiązań pozwalających na skuteczne rozwiązywanie problemów zdrowotnych i</w:t>
      </w:r>
      <w:r w:rsidR="00361550">
        <w:t> </w:t>
      </w:r>
      <w:r w:rsidRPr="00AF288E">
        <w:t>opiekuńczych osób z chorobą Alzheimera, w tym:</w:t>
      </w:r>
    </w:p>
    <w:p w14:paraId="70B7DFB0" w14:textId="7D2ACA05" w:rsidR="00AF288E" w:rsidRPr="00AF288E" w:rsidRDefault="00A50464" w:rsidP="00AF288E">
      <w:pPr>
        <w:pStyle w:val="ARTartustawynprozporzdzenia"/>
      </w:pPr>
      <w:r>
        <w:t xml:space="preserve">1) </w:t>
      </w:r>
      <w:r w:rsidR="00883B08">
        <w:t xml:space="preserve"> </w:t>
      </w:r>
      <w:r w:rsidR="00AF288E" w:rsidRPr="00AF288E">
        <w:t>zabezpieczenie dostępu do wiarygodnych danych w celu poznania skali zjawiska oraz problemów osób chorych i ich opiekunów</w:t>
      </w:r>
      <w:r>
        <w:t>;</w:t>
      </w:r>
    </w:p>
    <w:p w14:paraId="590D672F" w14:textId="6D9527F0" w:rsidR="00AF288E" w:rsidRPr="00AF288E" w:rsidRDefault="00A50464" w:rsidP="00AF288E">
      <w:pPr>
        <w:pStyle w:val="ARTartustawynprozporzdzenia"/>
      </w:pPr>
      <w:r>
        <w:t>2)</w:t>
      </w:r>
      <w:r w:rsidR="00883B08">
        <w:t xml:space="preserve"> </w:t>
      </w:r>
      <w:r w:rsidR="00AF288E" w:rsidRPr="00AF288E">
        <w:t>opracowanie i wdrożenie standardów dotyczących wczesnego wykrywania symptomów choroby Alzheimera oraz standardów postępowania leczniczego i opiekuńczego wobec osób chorych.</w:t>
      </w:r>
    </w:p>
    <w:p w14:paraId="723C66D7" w14:textId="28886C6E" w:rsidR="00AF288E" w:rsidRPr="00AF288E" w:rsidRDefault="00AF288E" w:rsidP="00AF288E">
      <w:pPr>
        <w:pStyle w:val="ARTartustawynprozporzdzenia"/>
      </w:pPr>
      <w:r w:rsidRPr="00AF288E">
        <w:t xml:space="preserve">W dokumencie </w:t>
      </w:r>
      <w:r w:rsidR="00D5359B">
        <w:t>zatytułowanym</w:t>
      </w:r>
      <w:r w:rsidRPr="00AF288E">
        <w:t xml:space="preserve"> </w:t>
      </w:r>
      <w:r w:rsidR="00D5359B">
        <w:t>,,</w:t>
      </w:r>
      <w:r w:rsidRPr="00AF288E">
        <w:t>Polityka społeczna wobec osób starszych 2030. BEZPIECZEŃSTWO–UCZESTNICTWO–SOLIDARNOŚĆ</w:t>
      </w:r>
      <w:r w:rsidR="00883B08">
        <w:t>"</w:t>
      </w:r>
      <w:r w:rsidRPr="00AF288E">
        <w:t xml:space="preserve">, przyjętym uchwałą Nr 161 Rady Ministrów z dnia 26 października 2018 r. (M.P. poz. 1169) i stanowiącym projekt strategiczny wskazany w „Strategii na rzecz Odpowiedzialnego Rozwoju </w:t>
      </w:r>
      <w:r w:rsidR="00D5359B">
        <w:t xml:space="preserve">do </w:t>
      </w:r>
      <w:r w:rsidRPr="00AF288E">
        <w:t>roku 2020 (z</w:t>
      </w:r>
      <w:r w:rsidR="00361550">
        <w:t> </w:t>
      </w:r>
      <w:r w:rsidRPr="00AF288E">
        <w:t xml:space="preserve">perspektywą do 2030 r.)”, wskazano zadanie obejmujące opracowanie programu działań skierowanych do osób starszych chorych na choroby otępienne. Zadanie to zostało przypisane do koordynacji Ministerstwu Zdrowia. </w:t>
      </w:r>
    </w:p>
    <w:p w14:paraId="12422E1C" w14:textId="2D999B4F" w:rsidR="00AF288E" w:rsidRPr="00AF288E" w:rsidRDefault="00AF288E" w:rsidP="00AF288E">
      <w:pPr>
        <w:pStyle w:val="ARTartustawynprozporzdzenia"/>
      </w:pPr>
      <w:r w:rsidRPr="00AF288E">
        <w:t>Natomiast w dokumencie „Zdrowa Przyszłość. Ramy Strategiczne Rozwoju Systemu Ochrony Zdrowia na lata 2021–2027, z perspektywą do 2030 r.”, przyjętym przez Radę Ministrów uchwałą nr 196/2021 z dnia 27 grudnia 2021 r. w sprawie ustanowienia polityki publicznej, wskazano, iż „Ważnym elementem opieki na styku systemu ochrony zdrowia i</w:t>
      </w:r>
      <w:r w:rsidR="00361550">
        <w:t> </w:t>
      </w:r>
      <w:r w:rsidRPr="00AF288E">
        <w:t>pomocy społecznej jest organizacja wsparcia dla osób z chorobami otępiennymi, niepełnosprawnych i starszych oraz opiekunów osób wymagających pomocy w codziennym funkcjonowaniu.”</w:t>
      </w:r>
      <w:r w:rsidR="0029416E">
        <w:t>.</w:t>
      </w:r>
      <w:r w:rsidRPr="00AF288E">
        <w:t xml:space="preserve"> W Strategii deinstytucjonalizacji: Opieka zdrowotna nad osobami starszymi, stanowiącej załącznik nr 1 do </w:t>
      </w:r>
      <w:r w:rsidR="00B84305">
        <w:t>wspomnianego dokumentu</w:t>
      </w:r>
      <w:r w:rsidR="00B84305" w:rsidRPr="00B84305">
        <w:t xml:space="preserve"> przyjęt</w:t>
      </w:r>
      <w:r w:rsidR="00B84305">
        <w:t>ego</w:t>
      </w:r>
      <w:r w:rsidR="00B84305" w:rsidRPr="00B84305">
        <w:t xml:space="preserve"> przez Radę Ministrów uchwałą nr 196/2021</w:t>
      </w:r>
      <w:r w:rsidRPr="00AF288E">
        <w:t xml:space="preserve">, </w:t>
      </w:r>
      <w:r w:rsidR="00883B08">
        <w:t>zadeklarowano:</w:t>
      </w:r>
      <w:r w:rsidRPr="00AF288E">
        <w:t xml:space="preserve"> „Mając na uwadze potrzebę stworzenia kompleksowego systemu opieki nad osobami z demencją, podjęto decyzję dotyczącą opracowania i wdrożenia krajowego planu działań wobec demencji</w:t>
      </w:r>
      <w:r w:rsidR="0029416E">
        <w:t>.</w:t>
      </w:r>
      <w:r w:rsidRPr="00AF288E">
        <w:t>”.</w:t>
      </w:r>
    </w:p>
    <w:p w14:paraId="0FEFA026" w14:textId="37BC5B6B" w:rsidR="00AF288E" w:rsidRPr="00AF288E" w:rsidRDefault="00AF288E" w:rsidP="00AF288E">
      <w:pPr>
        <w:pStyle w:val="ARTartustawynprozporzdzenia"/>
      </w:pPr>
      <w:r w:rsidRPr="00AF288E">
        <w:lastRenderedPageBreak/>
        <w:t>Biorąc pod uwagę przywołane przesłanki</w:t>
      </w:r>
      <w:r w:rsidR="00883B08">
        <w:t xml:space="preserve">, sformułowano dokument </w:t>
      </w:r>
      <w:r w:rsidR="007613F8">
        <w:t>identyfikujący</w:t>
      </w:r>
      <w:r w:rsidRPr="00AF288E">
        <w:t xml:space="preserve"> działa</w:t>
      </w:r>
      <w:r w:rsidR="007613F8">
        <w:t>nia, które powinny zostać podjęte w najbliższych latach przez instytucje publiczne</w:t>
      </w:r>
      <w:r w:rsidRPr="00AF288E">
        <w:t xml:space="preserve"> w celu wsparcia osób chorych i ich bliskich</w:t>
      </w:r>
      <w:r w:rsidR="007613F8">
        <w:t xml:space="preserve"> i</w:t>
      </w:r>
      <w:r w:rsidRPr="00AF288E">
        <w:t xml:space="preserve"> popraw</w:t>
      </w:r>
      <w:r w:rsidR="007613F8">
        <w:t>y</w:t>
      </w:r>
      <w:r w:rsidRPr="00AF288E">
        <w:t xml:space="preserve"> jakości życia</w:t>
      </w:r>
      <w:r w:rsidR="00340BA7">
        <w:t xml:space="preserve"> tych</w:t>
      </w:r>
      <w:r w:rsidRPr="00AF288E">
        <w:t xml:space="preserve"> osób. </w:t>
      </w:r>
    </w:p>
    <w:p w14:paraId="76DF7937" w14:textId="500BE81E" w:rsidR="00AF288E" w:rsidRPr="00AF288E" w:rsidRDefault="00AF288E" w:rsidP="00AF288E">
      <w:pPr>
        <w:pStyle w:val="ARTartustawynprozporzdzenia"/>
      </w:pPr>
      <w:r w:rsidRPr="00AF288E">
        <w:t xml:space="preserve">Jako główne obszary działania Krajowego Programu Działań wobec Chorób Otępiennych </w:t>
      </w:r>
      <w:r w:rsidR="007613F8">
        <w:t>na lata 2025</w:t>
      </w:r>
      <w:r w:rsidR="00C509DC">
        <w:rPr>
          <w:rFonts w:ascii="Calibri" w:hAnsi="Calibri" w:cs="Calibri"/>
        </w:rPr>
        <w:t>‒</w:t>
      </w:r>
      <w:r w:rsidR="007613F8">
        <w:t xml:space="preserve">2030 </w:t>
      </w:r>
      <w:r w:rsidRPr="00AF288E">
        <w:t>wskazano:</w:t>
      </w:r>
    </w:p>
    <w:p w14:paraId="763A21A6" w14:textId="5B802228" w:rsidR="00AF288E" w:rsidRPr="00AF288E" w:rsidRDefault="00AF288E" w:rsidP="00AF288E">
      <w:pPr>
        <w:pStyle w:val="ARTartustawynprozporzdzenia"/>
      </w:pPr>
      <w:r>
        <w:t xml:space="preserve">I. </w:t>
      </w:r>
      <w:r w:rsidRPr="00AF288E">
        <w:t xml:space="preserve">PODNOSZENIE ŚWIADOMOŚCI SPOŁECZNEJ </w:t>
      </w:r>
    </w:p>
    <w:p w14:paraId="2F29C216" w14:textId="35C3D857" w:rsidR="00AF288E" w:rsidRPr="00AF288E" w:rsidRDefault="0029416E" w:rsidP="00AF288E">
      <w:pPr>
        <w:pStyle w:val="ARTartustawynprozporzdzenia"/>
      </w:pPr>
      <w:r>
        <w:t xml:space="preserve">W tym obszarze szczególnie istotne są </w:t>
      </w:r>
      <w:r w:rsidR="00AF288E" w:rsidRPr="00AF288E">
        <w:t>działania mające na celu ograniczenie zachowań stygmatyzujących</w:t>
      </w:r>
      <w:r w:rsidR="007613F8">
        <w:t xml:space="preserve">; </w:t>
      </w:r>
      <w:r w:rsidR="00AF288E" w:rsidRPr="00AF288E">
        <w:t>ukierunkowane na uwrażliwienie społeczeństwa na potrzeby osób z chorobami otępiennymi i</w:t>
      </w:r>
      <w:r w:rsidR="00361550">
        <w:t> </w:t>
      </w:r>
      <w:r w:rsidR="00AF288E" w:rsidRPr="00AF288E">
        <w:t>ich bliskich</w:t>
      </w:r>
      <w:r w:rsidR="007613F8">
        <w:t>;</w:t>
      </w:r>
      <w:r w:rsidR="00AF288E" w:rsidRPr="00AF288E">
        <w:t xml:space="preserve"> edukacyjne dla różnych grup odbiorców</w:t>
      </w:r>
      <w:r w:rsidR="007613F8">
        <w:t>;</w:t>
      </w:r>
      <w:r w:rsidR="00AF288E" w:rsidRPr="00AF288E">
        <w:t xml:space="preserve"> mające na celu tworzenie przestrzeni przyjaznej osobom chorym.</w:t>
      </w:r>
    </w:p>
    <w:p w14:paraId="7007854E" w14:textId="1BBDF588" w:rsidR="00AF288E" w:rsidRPr="00AF288E" w:rsidRDefault="00AF288E" w:rsidP="00AF288E">
      <w:pPr>
        <w:pStyle w:val="ARTartustawynprozporzdzenia"/>
      </w:pPr>
      <w:r w:rsidRPr="00AF288E">
        <w:t>II.</w:t>
      </w:r>
      <w:r w:rsidRPr="00AF288E">
        <w:tab/>
        <w:t xml:space="preserve">ZMNIEJSZANIE RYZYKA ZACHOROWANIA </w:t>
      </w:r>
    </w:p>
    <w:p w14:paraId="6B91EDD4" w14:textId="7A737F3E" w:rsidR="00AF288E" w:rsidRPr="00AF288E" w:rsidRDefault="0029416E" w:rsidP="00AF288E">
      <w:pPr>
        <w:pStyle w:val="ARTartustawynprozporzdzenia"/>
      </w:pPr>
      <w:bookmarkStart w:id="0" w:name="_Hlk168644578"/>
      <w:r>
        <w:t>Obszar te</w:t>
      </w:r>
      <w:r w:rsidR="004D2784">
        <w:t>n</w:t>
      </w:r>
      <w:r>
        <w:t xml:space="preserve"> obejmuje </w:t>
      </w:r>
      <w:r w:rsidR="00AF288E" w:rsidRPr="00AF288E">
        <w:t xml:space="preserve">w szczególności działania </w:t>
      </w:r>
      <w:bookmarkEnd w:id="0"/>
      <w:r w:rsidR="00AF288E" w:rsidRPr="00AF288E">
        <w:t>informacyjne na temat modyfikowalanych czynników ryzyka wystąpienia zaburzeń otępiennych oraz możliwych do podjęcia działań profilaktycznych</w:t>
      </w:r>
      <w:r w:rsidR="007613F8">
        <w:t>;</w:t>
      </w:r>
      <w:r w:rsidR="00AF288E" w:rsidRPr="00AF288E">
        <w:t xml:space="preserve"> działa</w:t>
      </w:r>
      <w:r w:rsidR="007613F8">
        <w:t>nia</w:t>
      </w:r>
      <w:r w:rsidR="00AF288E" w:rsidRPr="00AF288E">
        <w:t xml:space="preserve"> promując</w:t>
      </w:r>
      <w:r w:rsidR="007613F8">
        <w:t>e</w:t>
      </w:r>
      <w:r w:rsidR="00AF288E" w:rsidRPr="00AF288E">
        <w:t xml:space="preserve"> aktywność fizyczną, intelektualną i artystyczną</w:t>
      </w:r>
      <w:r w:rsidR="007613F8">
        <w:t>;</w:t>
      </w:r>
      <w:r w:rsidR="00AF288E" w:rsidRPr="00AF288E">
        <w:t xml:space="preserve"> przygotowywanie wytycznych, np. dla jednostek samorządu terytorialnego w zakresie działań aktywizujących wspierających prewencję chorób otępiennych.</w:t>
      </w:r>
    </w:p>
    <w:p w14:paraId="585DDED1" w14:textId="00DC73CA" w:rsidR="00AF288E" w:rsidRPr="00AF288E" w:rsidRDefault="00AF288E" w:rsidP="00AF288E">
      <w:pPr>
        <w:pStyle w:val="ARTartustawynprozporzdzenia"/>
      </w:pPr>
      <w:r>
        <w:t xml:space="preserve">III. </w:t>
      </w:r>
      <w:r w:rsidRPr="00AF288E">
        <w:t>WSPARCIE WCZESNEJ DIAGNOSTYKI</w:t>
      </w:r>
    </w:p>
    <w:p w14:paraId="2439DB0F" w14:textId="34916F75" w:rsidR="00AF288E" w:rsidRPr="00AF288E" w:rsidRDefault="0029416E" w:rsidP="00AF288E">
      <w:pPr>
        <w:pStyle w:val="ARTartustawynprozporzdzenia"/>
      </w:pPr>
      <w:r w:rsidRPr="0029416E">
        <w:t xml:space="preserve">W tym obszarze szczególnie istotne są </w:t>
      </w:r>
      <w:r w:rsidR="00AF288E" w:rsidRPr="00AF288E">
        <w:t>działania z zakresu usprawnienia diagnostyki osób z podejrzeniem występowania zaburzeń otępiennych, w tym ewentualnego zaimplementowania do systemu nowych metod i sposobów diagnostyki, wdrożenie narzędzi zwiększających wykrywalność zaburzeń otępiennych na wczesnym etapie oraz określenie ich etiologii.</w:t>
      </w:r>
    </w:p>
    <w:p w14:paraId="5A958DD6" w14:textId="685E228A" w:rsidR="00AF288E" w:rsidRPr="00AF288E" w:rsidRDefault="00AF288E" w:rsidP="00AF288E">
      <w:pPr>
        <w:pStyle w:val="ARTartustawynprozporzdzenia"/>
      </w:pPr>
      <w:r>
        <w:t xml:space="preserve">IV. </w:t>
      </w:r>
      <w:r w:rsidRPr="00AF288E">
        <w:t>LECZENIE, OPIEKA I WSPARCIE DLA CHORYCH</w:t>
      </w:r>
    </w:p>
    <w:p w14:paraId="366F3E35" w14:textId="501CB036" w:rsidR="00AF288E" w:rsidRPr="00AF288E" w:rsidRDefault="0029416E" w:rsidP="00AF288E">
      <w:pPr>
        <w:pStyle w:val="ARTartustawynprozporzdzenia"/>
      </w:pPr>
      <w:r w:rsidRPr="0029416E">
        <w:t>Obszar te</w:t>
      </w:r>
      <w:r w:rsidR="004D2784">
        <w:t>n</w:t>
      </w:r>
      <w:r w:rsidRPr="0029416E">
        <w:t xml:space="preserve"> obejmuje</w:t>
      </w:r>
      <w:r>
        <w:t xml:space="preserve"> </w:t>
      </w:r>
      <w:r w:rsidR="00AF288E" w:rsidRPr="00AF288E">
        <w:t>w szczególności działania z zakresu rozwoju opieki dziennej oraz domowej, ochrony praw osób z zaburzeniami otępiennymi, w tym systemu wspieranego podejmowania decyzji i</w:t>
      </w:r>
      <w:r w:rsidR="00646DF8">
        <w:t> </w:t>
      </w:r>
      <w:r w:rsidR="00AF288E" w:rsidRPr="00AF288E">
        <w:t>wyrażania woli</w:t>
      </w:r>
      <w:r w:rsidR="00C53E34">
        <w:t>.</w:t>
      </w:r>
    </w:p>
    <w:p w14:paraId="64B24D92" w14:textId="7D8581C5" w:rsidR="00AF288E" w:rsidRPr="00AF288E" w:rsidRDefault="00AF288E" w:rsidP="00AF288E">
      <w:pPr>
        <w:pStyle w:val="ARTartustawynprozporzdzenia"/>
      </w:pPr>
      <w:r>
        <w:t xml:space="preserve">V. </w:t>
      </w:r>
      <w:r w:rsidRPr="00AF288E">
        <w:t xml:space="preserve">WSPARCIE DLA OPIEKUNÓW </w:t>
      </w:r>
    </w:p>
    <w:p w14:paraId="4C9C1C81" w14:textId="25754870" w:rsidR="00E7479C" w:rsidRDefault="0029416E" w:rsidP="0029416E">
      <w:pPr>
        <w:pStyle w:val="ARTartustawynprozporzdzenia"/>
      </w:pPr>
      <w:r w:rsidRPr="0029416E">
        <w:t xml:space="preserve">W tym obszarze szczególnie istotne są </w:t>
      </w:r>
      <w:r w:rsidR="00AF288E" w:rsidRPr="00AF288E">
        <w:t>działania z zakresu wsparcia psychologicznego i informacyjnego opiekunów nieformalnych, opieka wytchnieniowa, działania szkoleniowe.</w:t>
      </w:r>
    </w:p>
    <w:p w14:paraId="7B4558A9" w14:textId="4A49CF99" w:rsidR="000F72B7" w:rsidRDefault="000F72B7" w:rsidP="00AF288E">
      <w:pPr>
        <w:pStyle w:val="ARTartustawynprozporzdzenia"/>
      </w:pPr>
      <w:r w:rsidRPr="000F72B7">
        <w:lastRenderedPageBreak/>
        <w:t>VI.</w:t>
      </w:r>
      <w:r w:rsidRPr="000F72B7">
        <w:tab/>
        <w:t>BUDOWANIE SYSTEMÓW GROMADZENIA DANYCH</w:t>
      </w:r>
    </w:p>
    <w:p w14:paraId="3C53413A" w14:textId="09C39F03" w:rsidR="000F72B7" w:rsidRPr="00AF288E" w:rsidRDefault="0029416E" w:rsidP="00AF288E">
      <w:pPr>
        <w:pStyle w:val="ARTartustawynprozporzdzenia"/>
      </w:pPr>
      <w:r>
        <w:t xml:space="preserve">Z kolei w tym obszarze ważne są </w:t>
      </w:r>
      <w:r w:rsidR="000F72B7">
        <w:t>działania z zakresu g</w:t>
      </w:r>
      <w:r w:rsidR="000F72B7" w:rsidRPr="000F72B7">
        <w:t>romadzeni</w:t>
      </w:r>
      <w:r w:rsidR="000F72B7">
        <w:t>a</w:t>
      </w:r>
      <w:r w:rsidR="000F72B7" w:rsidRPr="000F72B7">
        <w:t xml:space="preserve"> oraz monitorowani</w:t>
      </w:r>
      <w:r w:rsidR="000F72B7">
        <w:t>a</w:t>
      </w:r>
      <w:r w:rsidR="000F72B7" w:rsidRPr="000F72B7">
        <w:t xml:space="preserve"> danych na temat chorób otępiennych</w:t>
      </w:r>
      <w:r w:rsidR="000F72B7">
        <w:t>.</w:t>
      </w:r>
    </w:p>
    <w:p w14:paraId="45AF7FDB" w14:textId="0CAE0870" w:rsidR="00AF288E" w:rsidRPr="00AF288E" w:rsidRDefault="00AF288E" w:rsidP="00AF288E">
      <w:pPr>
        <w:pStyle w:val="ARTartustawynprozporzdzenia"/>
      </w:pPr>
      <w:r>
        <w:t>VI</w:t>
      </w:r>
      <w:r w:rsidR="000F72B7">
        <w:t>I</w:t>
      </w:r>
      <w:r>
        <w:t xml:space="preserve">. </w:t>
      </w:r>
      <w:r w:rsidRPr="00AF288E">
        <w:t xml:space="preserve">BADANIA NAUKOWE I INNOWACJE </w:t>
      </w:r>
    </w:p>
    <w:p w14:paraId="78C8D789" w14:textId="43F2A6D2" w:rsidR="00AF288E" w:rsidRPr="00AF288E" w:rsidRDefault="0029416E" w:rsidP="00AF288E">
      <w:pPr>
        <w:pStyle w:val="ARTartustawynprozporzdzenia"/>
      </w:pPr>
      <w:r w:rsidRPr="0029416E">
        <w:t xml:space="preserve">W tym obszarze szczególnie istotne </w:t>
      </w:r>
      <w:r>
        <w:t xml:space="preserve">jest </w:t>
      </w:r>
      <w:r w:rsidR="00AF288E" w:rsidRPr="00AF288E">
        <w:t>prowadzenie badań naukowych oraz opracowywanie i wdrażanie innowacyjnych rozwiązań w zakresie chorób otępiennych, wsparcie nowoczesnych technologii w opiece nad osobami z demencją.</w:t>
      </w:r>
    </w:p>
    <w:p w14:paraId="4C01A0F3" w14:textId="53377539" w:rsidR="00AF288E" w:rsidRDefault="00AF288E" w:rsidP="00AF288E">
      <w:pPr>
        <w:pStyle w:val="ARTartustawynprozporzdzenia"/>
      </w:pPr>
      <w:r w:rsidRPr="00AF288E">
        <w:t xml:space="preserve">Program zakłada współpracę podmiotów </w:t>
      </w:r>
      <w:r w:rsidR="007613F8">
        <w:t>z sektora</w:t>
      </w:r>
      <w:r w:rsidRPr="00AF288E">
        <w:t xml:space="preserve"> administracj</w:t>
      </w:r>
      <w:r w:rsidR="009E0B15">
        <w:t>i</w:t>
      </w:r>
      <w:r w:rsidRPr="00AF288E">
        <w:t xml:space="preserve"> rządow</w:t>
      </w:r>
      <w:r w:rsidR="009E0B15">
        <w:t>ej,</w:t>
      </w:r>
      <w:r w:rsidRPr="00AF288E">
        <w:t> samorządow</w:t>
      </w:r>
      <w:r w:rsidR="009E0B15">
        <w:t>ej</w:t>
      </w:r>
      <w:r w:rsidRPr="00AF288E">
        <w:t xml:space="preserve"> oraz sektor</w:t>
      </w:r>
      <w:r w:rsidR="009E0B15">
        <w:t>a</w:t>
      </w:r>
      <w:r w:rsidRPr="00AF288E">
        <w:t xml:space="preserve"> pozarządow</w:t>
      </w:r>
      <w:r w:rsidR="009E0B15">
        <w:t>ego</w:t>
      </w:r>
      <w:r w:rsidRPr="00AF288E">
        <w:t>.</w:t>
      </w:r>
    </w:p>
    <w:p w14:paraId="5F80070B" w14:textId="566AB924" w:rsidR="00191D7E" w:rsidRPr="00191D7E" w:rsidRDefault="00191D7E" w:rsidP="00191D7E">
      <w:pPr>
        <w:pStyle w:val="ARTartustawynprozporzdzenia"/>
      </w:pPr>
      <w:r w:rsidRPr="00191D7E">
        <w:t xml:space="preserve">Przewiduje się, że </w:t>
      </w:r>
      <w:r>
        <w:t>uchwała</w:t>
      </w:r>
      <w:r w:rsidRPr="00191D7E">
        <w:t xml:space="preserve"> </w:t>
      </w:r>
      <w:r w:rsidR="000160F4">
        <w:t>wejdzie</w:t>
      </w:r>
      <w:r w:rsidR="000160F4" w:rsidRPr="000160F4">
        <w:t xml:space="preserve"> w życie </w:t>
      </w:r>
      <w:r w:rsidR="009829BD">
        <w:t>z dniem podjęcia</w:t>
      </w:r>
      <w:r>
        <w:t>.</w:t>
      </w:r>
    </w:p>
    <w:p w14:paraId="6B9B311F" w14:textId="14CBD436" w:rsidR="003E1DF1" w:rsidRPr="003E1DF1" w:rsidRDefault="003E1DF1" w:rsidP="003E1DF1">
      <w:pPr>
        <w:pStyle w:val="ARTartustawynprozporzdzenia"/>
      </w:pPr>
      <w:r w:rsidRPr="003E1DF1">
        <w:t>Projektowany dokument nie będzie miał bezpośredniego wpływu na konkurencyjność gospodarki i przedsiębiorczość, w tym funkcjonowanie przedsiębiorców, niemniej jednak wykorzystanie potencjału opiekunów osób z chorobami otępiennymi może przyczynić się do rozwoju przedsiębiorczości i innowacyjności kraju.</w:t>
      </w:r>
    </w:p>
    <w:p w14:paraId="3BB86D25" w14:textId="69AA1484" w:rsidR="003E1DF1" w:rsidRPr="003E1DF1" w:rsidRDefault="003E1DF1" w:rsidP="003E1DF1">
      <w:pPr>
        <w:pStyle w:val="ARTartustawynprozporzdzenia"/>
      </w:pPr>
      <w:r w:rsidRPr="003E1DF1">
        <w:t>Projektowany dokument może mieć pośredni wpływ na godzenie obowiązków opiekuńczych z aktywnością zawodową opiekunów osób z chorobami otępiennymi.</w:t>
      </w:r>
    </w:p>
    <w:p w14:paraId="54F4EC1F" w14:textId="56C04218" w:rsidR="00191D7E" w:rsidRPr="00191D7E" w:rsidRDefault="00191D7E" w:rsidP="00191D7E">
      <w:pPr>
        <w:pStyle w:val="ARTartustawynprozporzdzenia"/>
      </w:pPr>
      <w:r w:rsidRPr="00191D7E">
        <w:t xml:space="preserve">Projekt </w:t>
      </w:r>
      <w:r>
        <w:t>uchwały</w:t>
      </w:r>
      <w:r w:rsidRPr="00191D7E">
        <w:t xml:space="preserve"> nie jest objęty prawem Unii Europejskiej.</w:t>
      </w:r>
    </w:p>
    <w:p w14:paraId="53134A76" w14:textId="03CD1E29" w:rsidR="00191D7E" w:rsidRPr="00191D7E" w:rsidRDefault="00191D7E" w:rsidP="00191D7E">
      <w:pPr>
        <w:pStyle w:val="ARTartustawynprozporzdzenia"/>
      </w:pPr>
      <w:r w:rsidRPr="00191D7E">
        <w:t xml:space="preserve">Projekt </w:t>
      </w:r>
      <w:r>
        <w:t>uchwały</w:t>
      </w:r>
      <w:r w:rsidRPr="00191D7E">
        <w:t xml:space="preserve"> nie wymaga przedstawienia właściwym organom i instytucjom Unii Europejskiej, w tym Europejskiemu Bankowi Centralnemu, w celu uzyskania opinii, dokonania powiadomienia, konsultacji albo uzgodnienia.</w:t>
      </w:r>
    </w:p>
    <w:p w14:paraId="261C6B9B" w14:textId="2B89F5ED" w:rsidR="00191D7E" w:rsidRPr="00191D7E" w:rsidRDefault="00191D7E" w:rsidP="00191D7E">
      <w:pPr>
        <w:pStyle w:val="ARTartustawynprozporzdzenia"/>
      </w:pPr>
      <w:r w:rsidRPr="00191D7E">
        <w:t xml:space="preserve">Projekt </w:t>
      </w:r>
      <w:r>
        <w:t>uchwały</w:t>
      </w:r>
      <w:r w:rsidRPr="00191D7E">
        <w:t xml:space="preserve"> nie zawiera przepisów technicznych w rozumieniu przepisów rozporządzenia Rady Ministrów z dnia 23 grudnia 2002 r. w sprawie sposobu funkcjonowania krajowego systemu notyfikacji norm i aktów prawnych (Dz. U. poz. 2039 oraz z 2004 r. poz. 597) i w związku z tym nie podlega notyfikacji.</w:t>
      </w:r>
    </w:p>
    <w:p w14:paraId="2B58F1E0" w14:textId="55532F4A" w:rsidR="00191D7E" w:rsidRPr="00191D7E" w:rsidRDefault="00191D7E" w:rsidP="00191D7E">
      <w:pPr>
        <w:pStyle w:val="ARTartustawynprozporzdzenia"/>
      </w:pPr>
      <w:r w:rsidRPr="00191D7E">
        <w:t xml:space="preserve">Projekt </w:t>
      </w:r>
      <w:r>
        <w:t>uchwały</w:t>
      </w:r>
      <w:r w:rsidRPr="00191D7E">
        <w:t xml:space="preserve"> nie zawiera wymogów nakładanych na usługodawców podlegających notyfikacji, o której mowa w art. 15 ust. 7 i art. 39 ust. 5 dyrektywy 2006/123/WE Parlamentu Europejskiego i Rady z dnia 12 grudnia 2006 r. dotyczącej usług na rynku wewnętrznym (Dz. Urz. UE L 376 z 27.12.2006, str. 36).</w:t>
      </w:r>
    </w:p>
    <w:p w14:paraId="0E43ECAE" w14:textId="01BA5CD6" w:rsidR="00191D7E" w:rsidRDefault="00191D7E" w:rsidP="00191D7E">
      <w:pPr>
        <w:pStyle w:val="ARTartustawynprozporzdzenia"/>
      </w:pPr>
      <w:r w:rsidRPr="00191D7E">
        <w:lastRenderedPageBreak/>
        <w:t xml:space="preserve">Projekt </w:t>
      </w:r>
      <w:r>
        <w:t>uchwały</w:t>
      </w:r>
      <w:r w:rsidRPr="00191D7E">
        <w:t xml:space="preserve"> nie wywiera wpływu na obszar danych osobowych. W związku z tym nie przeprowadzono oceny skutków dla ochrony danych osobowych, o której mowa w art. 35 ust. 1 rozporządzenia Parlamentu Europejskiego i Rady (UE) 2016/679 z dnia 27 kwietnia 2016</w:t>
      </w:r>
      <w:r>
        <w:t> </w:t>
      </w:r>
      <w:r w:rsidRPr="00191D7E">
        <w:t>r. w sprawie ochrony osób fizycznych w związku z przetwarzaniem danych osobowych i</w:t>
      </w:r>
      <w:r>
        <w:t> </w:t>
      </w:r>
      <w:r w:rsidRPr="00191D7E">
        <w:t>w sprawie swobodnego przepływu takich danych oraz uchylenia dyrektywy 95/46/WE (ogólne rozporządzenie o ochronie danych) (Dz. Urz. UE L 119 z 04.05.2016, str. 1, z późn. zm.).</w:t>
      </w:r>
    </w:p>
    <w:p w14:paraId="096E965A" w14:textId="19CD6D19" w:rsidR="00C53E34" w:rsidRDefault="00C408AF" w:rsidP="00191D7E">
      <w:pPr>
        <w:pStyle w:val="ARTartustawynprozporzdzenia"/>
      </w:pPr>
      <w:r>
        <w:t xml:space="preserve">Dotychczas w </w:t>
      </w:r>
      <w:r w:rsidR="00B24ED2">
        <w:t>Rzecz</w:t>
      </w:r>
      <w:r w:rsidR="00AE467E">
        <w:t>y</w:t>
      </w:r>
      <w:r w:rsidR="00B24ED2">
        <w:t xml:space="preserve">pospolitej Polskiej </w:t>
      </w:r>
      <w:r>
        <w:t xml:space="preserve">nie było </w:t>
      </w:r>
      <w:r w:rsidR="00B24ED2">
        <w:t xml:space="preserve">polityki publicznej </w:t>
      </w:r>
      <w:r>
        <w:t>obejmujące</w:t>
      </w:r>
      <w:r w:rsidR="00B24ED2">
        <w:t>j</w:t>
      </w:r>
      <w:r>
        <w:t xml:space="preserve"> działania na rzecz osób z</w:t>
      </w:r>
      <w:r w:rsidR="00C53E34">
        <w:t> </w:t>
      </w:r>
      <w:r>
        <w:t xml:space="preserve">chorobami otępiennymi oraz ich opiekunów. </w:t>
      </w:r>
    </w:p>
    <w:p w14:paraId="461C1C2A" w14:textId="18445F94" w:rsidR="00191D7E" w:rsidRPr="00AF288E" w:rsidRDefault="00191D7E" w:rsidP="005E213A">
      <w:pPr>
        <w:pStyle w:val="ARTartustawynprozporzdzenia"/>
      </w:pPr>
      <w:r w:rsidRPr="00191D7E">
        <w:t>Nie ma możliwości podjęcia alternatywnych środków umożliwiających osiągnięcie zamierzonego celu w stosunku do projektowane</w:t>
      </w:r>
      <w:r>
        <w:t>j</w:t>
      </w:r>
      <w:r w:rsidRPr="00191D7E">
        <w:t xml:space="preserve"> </w:t>
      </w:r>
      <w:r>
        <w:t>uchwały</w:t>
      </w:r>
      <w:r w:rsidRPr="00191D7E">
        <w:t>.</w:t>
      </w:r>
    </w:p>
    <w:p w14:paraId="763D25AF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CF21" w14:textId="77777777" w:rsidR="00AB592A" w:rsidRDefault="00AB592A">
      <w:r>
        <w:separator/>
      </w:r>
    </w:p>
  </w:endnote>
  <w:endnote w:type="continuationSeparator" w:id="0">
    <w:p w14:paraId="346B73E9" w14:textId="77777777" w:rsidR="00AB592A" w:rsidRDefault="00AB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EFCF" w14:textId="77777777" w:rsidR="00AB592A" w:rsidRDefault="00AB592A">
      <w:r>
        <w:separator/>
      </w:r>
    </w:p>
  </w:footnote>
  <w:footnote w:type="continuationSeparator" w:id="0">
    <w:p w14:paraId="490EEF18" w14:textId="77777777" w:rsidR="00AB592A" w:rsidRDefault="00AB592A">
      <w:r>
        <w:continuationSeparator/>
      </w:r>
    </w:p>
  </w:footnote>
  <w:footnote w:id="1">
    <w:p w14:paraId="3D39002E" w14:textId="7C8560FA" w:rsidR="00517B22" w:rsidRPr="003F407B" w:rsidRDefault="003F407B" w:rsidP="00517B22">
      <w:pPr>
        <w:pStyle w:val="ODNONIKSPECtreodnonikadoodnonika"/>
      </w:pPr>
      <w:r>
        <w:rPr>
          <w:rStyle w:val="Odwoanieprzypisudolnego"/>
        </w:rPr>
        <w:footnoteRef/>
      </w:r>
      <w:r>
        <w:t xml:space="preserve"> </w:t>
      </w:r>
      <w:r w:rsidR="00ED2E7B">
        <w:t xml:space="preserve"> </w:t>
      </w:r>
      <w:r w:rsidRPr="003F407B">
        <w:t>Zagożdżon</w:t>
      </w:r>
      <w:r w:rsidR="00517B22">
        <w:t>,</w:t>
      </w:r>
      <w:r w:rsidRPr="003F407B">
        <w:t xml:space="preserve"> P.</w:t>
      </w:r>
      <w:r w:rsidR="00517B22">
        <w:t>,</w:t>
      </w:r>
      <w:r w:rsidRPr="003F407B">
        <w:t xml:space="preserve"> </w:t>
      </w:r>
      <w:r w:rsidR="00ED2E7B">
        <w:t>,,</w:t>
      </w:r>
      <w:r w:rsidRPr="003F407B">
        <w:t>Zaburzenia funkcji poznawczych. Występowanie objawów depresyjnych.</w:t>
      </w:r>
      <w:r w:rsidR="00517B22">
        <w:t>", w</w:t>
      </w:r>
      <w:r w:rsidR="00517B22" w:rsidRPr="00517B22">
        <w:t>: P. Błędowski,</w:t>
      </w:r>
      <w:r w:rsidR="00517B22">
        <w:t xml:space="preserve"> </w:t>
      </w:r>
      <w:r w:rsidR="00517B22" w:rsidRPr="00517B22">
        <w:t>T.</w:t>
      </w:r>
      <w:r w:rsidR="00517B22">
        <w:t xml:space="preserve"> </w:t>
      </w:r>
      <w:r w:rsidR="00517B22" w:rsidRPr="00517B22">
        <w:t xml:space="preserve">Grodzicki, M. Mossakowska, T. Zdrojewski (red.), </w:t>
      </w:r>
      <w:r w:rsidR="00ED2E7B">
        <w:t>,,</w:t>
      </w:r>
      <w:r w:rsidR="00517B22" w:rsidRPr="00517B22">
        <w:t>Polsenior2. Badanie poszczególnych</w:t>
      </w:r>
      <w:r w:rsidR="00517B22">
        <w:t xml:space="preserve"> </w:t>
      </w:r>
      <w:r w:rsidR="00517B22" w:rsidRPr="00517B22">
        <w:t>obszarów stanu zdrowia osób starszych, w tym jakości życia związanej ze zdrowiem</w:t>
      </w:r>
      <w:r w:rsidR="00517B22">
        <w:t xml:space="preserve">", </w:t>
      </w:r>
      <w:r w:rsidR="00517B22" w:rsidRPr="00517B22">
        <w:t>Gdański Uniwersytet Medyczny, Gdańsk</w:t>
      </w:r>
      <w:r w:rsidR="00517B22">
        <w:t xml:space="preserve"> 2021</w:t>
      </w:r>
      <w:r w:rsidR="00517B22" w:rsidRPr="00517B22">
        <w:t>.</w:t>
      </w:r>
    </w:p>
    <w:p w14:paraId="07464195" w14:textId="0EEE0DE2" w:rsidR="003F407B" w:rsidRDefault="003F407B" w:rsidP="00517B22">
      <w:pPr>
        <w:pStyle w:val="ODNONIKSPECtreodnonikadoodnonika"/>
      </w:pPr>
    </w:p>
  </w:footnote>
  <w:footnote w:id="2">
    <w:p w14:paraId="50AA026D" w14:textId="23E6415F" w:rsidR="00517B22" w:rsidRPr="001B2886" w:rsidRDefault="00517B22" w:rsidP="00E7479C">
      <w:pPr>
        <w:pStyle w:val="ODNONIKSPECtreodnonikadoodnonika"/>
      </w:pPr>
      <w:r>
        <w:rPr>
          <w:rStyle w:val="Odwoanieprzypisudolnego"/>
        </w:rPr>
        <w:footnoteRef/>
      </w:r>
      <w:r>
        <w:t xml:space="preserve"> </w:t>
      </w:r>
      <w:r w:rsidRPr="001B2886">
        <w:t xml:space="preserve">Por. Barcikowska-Kotowicz, M., Barczak, A., Gabryelewicz, T., Gałązka-Sobotka, M. i in., </w:t>
      </w:r>
      <w:r w:rsidR="00AE467E">
        <w:t>,,</w:t>
      </w:r>
      <w:r w:rsidRPr="00517B22">
        <w:t>NFZ o zdrowiu. Choroba Alzheimera i choroby pokrewne</w:t>
      </w:r>
      <w:r>
        <w:t>"</w:t>
      </w:r>
      <w:r w:rsidRPr="00517B22">
        <w:t xml:space="preserve">, </w:t>
      </w:r>
      <w:r w:rsidRPr="001B2886">
        <w:t>NFZ, Warszawa 2022.</w:t>
      </w:r>
    </w:p>
    <w:p w14:paraId="27CC64A1" w14:textId="252BEEE9" w:rsidR="00517B22" w:rsidRDefault="00517B22" w:rsidP="00E7479C">
      <w:pPr>
        <w:pStyle w:val="ODNONIKSPECtreodnonikadoodnonika"/>
      </w:pPr>
    </w:p>
  </w:footnote>
  <w:footnote w:id="3">
    <w:p w14:paraId="53F26505" w14:textId="483FCE6C" w:rsidR="00C53E34" w:rsidRDefault="00C53E34" w:rsidP="00C53E34">
      <w:pPr>
        <w:pStyle w:val="ODNONIKSPECtreodnonikadoodnonika"/>
      </w:pPr>
      <w:r>
        <w:rPr>
          <w:rStyle w:val="Odwoanieprzypisudolnego"/>
        </w:rPr>
        <w:footnoteRef/>
      </w:r>
      <w:r>
        <w:t xml:space="preserve"> </w:t>
      </w:r>
      <w:r w:rsidRPr="00C53E34">
        <w:t>Mapa potrzeb zdrowotnych</w:t>
      </w:r>
      <w:r>
        <w:t xml:space="preserve"> </w:t>
      </w:r>
      <w:r w:rsidRPr="00C53E34">
        <w:t>na okres od 1 stycznia 2022 r. do 31 grudnia 2026 r.</w:t>
      </w:r>
      <w:r>
        <w:t xml:space="preserve">, przyjęta obwieszczeniem </w:t>
      </w:r>
      <w:r w:rsidRPr="00C53E34">
        <w:t>M</w:t>
      </w:r>
      <w:r>
        <w:t xml:space="preserve">inistra Zdrowia </w:t>
      </w:r>
      <w:r w:rsidRPr="00C53E34">
        <w:t>z dnia 27 sierpnia 2021 r.</w:t>
      </w:r>
      <w:r>
        <w:t xml:space="preserve"> </w:t>
      </w:r>
      <w:r w:rsidRPr="00C53E34">
        <w:t>w sprawie mapy potrzeb zdrowotnych</w:t>
      </w:r>
      <w:r w:rsidR="00E7479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F40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FB40C2"/>
    <w:multiLevelType w:val="hybridMultilevel"/>
    <w:tmpl w:val="0B004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B3340F"/>
    <w:multiLevelType w:val="hybridMultilevel"/>
    <w:tmpl w:val="7D64ED4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68C1F33"/>
    <w:multiLevelType w:val="hybridMultilevel"/>
    <w:tmpl w:val="FA149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AEAED0">
      <w:numFmt w:val="bullet"/>
      <w:lvlText w:val="•"/>
      <w:lvlJc w:val="left"/>
      <w:pPr>
        <w:ind w:left="1440" w:hanging="360"/>
      </w:pPr>
      <w:rPr>
        <w:rFonts w:ascii="Lato" w:eastAsia="Lato" w:hAnsi="Lato" w:cs="Lato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7714735">
    <w:abstractNumId w:val="24"/>
  </w:num>
  <w:num w:numId="2" w16cid:durableId="116534187">
    <w:abstractNumId w:val="24"/>
  </w:num>
  <w:num w:numId="3" w16cid:durableId="1093666806">
    <w:abstractNumId w:val="18"/>
  </w:num>
  <w:num w:numId="4" w16cid:durableId="392168014">
    <w:abstractNumId w:val="18"/>
  </w:num>
  <w:num w:numId="5" w16cid:durableId="856238008">
    <w:abstractNumId w:val="37"/>
  </w:num>
  <w:num w:numId="6" w16cid:durableId="17045683">
    <w:abstractNumId w:val="33"/>
  </w:num>
  <w:num w:numId="7" w16cid:durableId="943538136">
    <w:abstractNumId w:val="37"/>
  </w:num>
  <w:num w:numId="8" w16cid:durableId="1230964770">
    <w:abstractNumId w:val="33"/>
  </w:num>
  <w:num w:numId="9" w16cid:durableId="29765000">
    <w:abstractNumId w:val="37"/>
  </w:num>
  <w:num w:numId="10" w16cid:durableId="1817606150">
    <w:abstractNumId w:val="33"/>
  </w:num>
  <w:num w:numId="11" w16cid:durableId="1458571405">
    <w:abstractNumId w:val="14"/>
  </w:num>
  <w:num w:numId="12" w16cid:durableId="1807157882">
    <w:abstractNumId w:val="10"/>
  </w:num>
  <w:num w:numId="13" w16cid:durableId="105125511">
    <w:abstractNumId w:val="15"/>
  </w:num>
  <w:num w:numId="14" w16cid:durableId="1031759074">
    <w:abstractNumId w:val="27"/>
  </w:num>
  <w:num w:numId="15" w16cid:durableId="1183398608">
    <w:abstractNumId w:val="14"/>
  </w:num>
  <w:num w:numId="16" w16cid:durableId="2061316585">
    <w:abstractNumId w:val="16"/>
  </w:num>
  <w:num w:numId="17" w16cid:durableId="969897206">
    <w:abstractNumId w:val="8"/>
  </w:num>
  <w:num w:numId="18" w16cid:durableId="91635555">
    <w:abstractNumId w:val="3"/>
  </w:num>
  <w:num w:numId="19" w16cid:durableId="895552953">
    <w:abstractNumId w:val="2"/>
  </w:num>
  <w:num w:numId="20" w16cid:durableId="528103046">
    <w:abstractNumId w:val="1"/>
  </w:num>
  <w:num w:numId="21" w16cid:durableId="1050226299">
    <w:abstractNumId w:val="0"/>
  </w:num>
  <w:num w:numId="22" w16cid:durableId="1823153331">
    <w:abstractNumId w:val="9"/>
  </w:num>
  <w:num w:numId="23" w16cid:durableId="1165435819">
    <w:abstractNumId w:val="7"/>
  </w:num>
  <w:num w:numId="24" w16cid:durableId="1943950174">
    <w:abstractNumId w:val="6"/>
  </w:num>
  <w:num w:numId="25" w16cid:durableId="2035419696">
    <w:abstractNumId w:val="5"/>
  </w:num>
  <w:num w:numId="26" w16cid:durableId="677199937">
    <w:abstractNumId w:val="4"/>
  </w:num>
  <w:num w:numId="27" w16cid:durableId="202713759">
    <w:abstractNumId w:val="35"/>
  </w:num>
  <w:num w:numId="28" w16cid:durableId="1441604500">
    <w:abstractNumId w:val="26"/>
  </w:num>
  <w:num w:numId="29" w16cid:durableId="1915700320">
    <w:abstractNumId w:val="39"/>
  </w:num>
  <w:num w:numId="30" w16cid:durableId="1646007385">
    <w:abstractNumId w:val="34"/>
  </w:num>
  <w:num w:numId="31" w16cid:durableId="1831478254">
    <w:abstractNumId w:val="19"/>
  </w:num>
  <w:num w:numId="32" w16cid:durableId="221405749">
    <w:abstractNumId w:val="11"/>
  </w:num>
  <w:num w:numId="33" w16cid:durableId="468717049">
    <w:abstractNumId w:val="32"/>
  </w:num>
  <w:num w:numId="34" w16cid:durableId="574361873">
    <w:abstractNumId w:val="21"/>
  </w:num>
  <w:num w:numId="35" w16cid:durableId="1188908902">
    <w:abstractNumId w:val="17"/>
  </w:num>
  <w:num w:numId="36" w16cid:durableId="1741518675">
    <w:abstractNumId w:val="23"/>
  </w:num>
  <w:num w:numId="37" w16cid:durableId="2126850586">
    <w:abstractNumId w:val="28"/>
  </w:num>
  <w:num w:numId="38" w16cid:durableId="1224024461">
    <w:abstractNumId w:val="25"/>
  </w:num>
  <w:num w:numId="39" w16cid:durableId="2126652587">
    <w:abstractNumId w:val="13"/>
  </w:num>
  <w:num w:numId="40" w16cid:durableId="2126190088">
    <w:abstractNumId w:val="31"/>
  </w:num>
  <w:num w:numId="41" w16cid:durableId="1806507212">
    <w:abstractNumId w:val="30"/>
  </w:num>
  <w:num w:numId="42" w16cid:durableId="693728173">
    <w:abstractNumId w:val="22"/>
  </w:num>
  <w:num w:numId="43" w16cid:durableId="137503344">
    <w:abstractNumId w:val="36"/>
  </w:num>
  <w:num w:numId="44" w16cid:durableId="388774521">
    <w:abstractNumId w:val="12"/>
  </w:num>
  <w:num w:numId="45" w16cid:durableId="707607190">
    <w:abstractNumId w:val="29"/>
  </w:num>
  <w:num w:numId="46" w16cid:durableId="934285492">
    <w:abstractNumId w:val="38"/>
  </w:num>
  <w:num w:numId="47" w16cid:durableId="5141492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34"/>
    <w:rsid w:val="000012DA"/>
    <w:rsid w:val="0000246E"/>
    <w:rsid w:val="00003862"/>
    <w:rsid w:val="00011C6E"/>
    <w:rsid w:val="00012A35"/>
    <w:rsid w:val="00016099"/>
    <w:rsid w:val="000160F4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152"/>
    <w:rsid w:val="00036B63"/>
    <w:rsid w:val="00037E1A"/>
    <w:rsid w:val="00043495"/>
    <w:rsid w:val="00046286"/>
    <w:rsid w:val="00046A75"/>
    <w:rsid w:val="00047312"/>
    <w:rsid w:val="000508BD"/>
    <w:rsid w:val="000517AB"/>
    <w:rsid w:val="000526C0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7473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594E"/>
    <w:rsid w:val="000B298D"/>
    <w:rsid w:val="000B5B2D"/>
    <w:rsid w:val="000B5DCE"/>
    <w:rsid w:val="000B6290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CF0"/>
    <w:rsid w:val="000F2BE3"/>
    <w:rsid w:val="000F3D0D"/>
    <w:rsid w:val="000F6ED4"/>
    <w:rsid w:val="000F72B7"/>
    <w:rsid w:val="000F7A6E"/>
    <w:rsid w:val="00103765"/>
    <w:rsid w:val="001042BA"/>
    <w:rsid w:val="00105B6D"/>
    <w:rsid w:val="00106D03"/>
    <w:rsid w:val="00110465"/>
    <w:rsid w:val="00110628"/>
    <w:rsid w:val="0011245A"/>
    <w:rsid w:val="00113E88"/>
    <w:rsid w:val="0011493E"/>
    <w:rsid w:val="00115B72"/>
    <w:rsid w:val="001209EC"/>
    <w:rsid w:val="00120A9E"/>
    <w:rsid w:val="00125A9C"/>
    <w:rsid w:val="001270A2"/>
    <w:rsid w:val="001303AA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1B3"/>
    <w:rsid w:val="00180F2A"/>
    <w:rsid w:val="00184B91"/>
    <w:rsid w:val="00184D4A"/>
    <w:rsid w:val="00186EC1"/>
    <w:rsid w:val="00191D7E"/>
    <w:rsid w:val="00191E1F"/>
    <w:rsid w:val="0019473B"/>
    <w:rsid w:val="001952B1"/>
    <w:rsid w:val="00195A5C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57FD"/>
    <w:rsid w:val="001D1783"/>
    <w:rsid w:val="001D3281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01BC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37688"/>
    <w:rsid w:val="00242081"/>
    <w:rsid w:val="00243777"/>
    <w:rsid w:val="002441CD"/>
    <w:rsid w:val="002501A3"/>
    <w:rsid w:val="0025130D"/>
    <w:rsid w:val="0025166C"/>
    <w:rsid w:val="00251AF3"/>
    <w:rsid w:val="002555D4"/>
    <w:rsid w:val="00261A16"/>
    <w:rsid w:val="00263522"/>
    <w:rsid w:val="00264EC6"/>
    <w:rsid w:val="00271013"/>
    <w:rsid w:val="00273FE4"/>
    <w:rsid w:val="002765B4"/>
    <w:rsid w:val="00276A94"/>
    <w:rsid w:val="0029172D"/>
    <w:rsid w:val="0029405D"/>
    <w:rsid w:val="0029416E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615"/>
    <w:rsid w:val="002D4D30"/>
    <w:rsid w:val="002D5000"/>
    <w:rsid w:val="002D598D"/>
    <w:rsid w:val="002D5A85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9EC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2B0B"/>
    <w:rsid w:val="00334E3A"/>
    <w:rsid w:val="003361DD"/>
    <w:rsid w:val="00340BA7"/>
    <w:rsid w:val="00341A6A"/>
    <w:rsid w:val="00345B9C"/>
    <w:rsid w:val="00352DAE"/>
    <w:rsid w:val="00354B67"/>
    <w:rsid w:val="00354EB9"/>
    <w:rsid w:val="003602AE"/>
    <w:rsid w:val="00360929"/>
    <w:rsid w:val="00361550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74A6"/>
    <w:rsid w:val="003C0AD9"/>
    <w:rsid w:val="003C0ED0"/>
    <w:rsid w:val="003C1D49"/>
    <w:rsid w:val="003C35C4"/>
    <w:rsid w:val="003D12C2"/>
    <w:rsid w:val="003D31B9"/>
    <w:rsid w:val="003D3867"/>
    <w:rsid w:val="003D3EEE"/>
    <w:rsid w:val="003D63F0"/>
    <w:rsid w:val="003E0D1A"/>
    <w:rsid w:val="003E1DF1"/>
    <w:rsid w:val="003E2DA3"/>
    <w:rsid w:val="003E5DF4"/>
    <w:rsid w:val="003F020D"/>
    <w:rsid w:val="003F03D9"/>
    <w:rsid w:val="003F2FBE"/>
    <w:rsid w:val="003F318D"/>
    <w:rsid w:val="003F407B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6BB"/>
    <w:rsid w:val="00417B22"/>
    <w:rsid w:val="00421085"/>
    <w:rsid w:val="0042465E"/>
    <w:rsid w:val="00424DF7"/>
    <w:rsid w:val="00432B76"/>
    <w:rsid w:val="00434D01"/>
    <w:rsid w:val="00435754"/>
    <w:rsid w:val="00435D26"/>
    <w:rsid w:val="00440C99"/>
    <w:rsid w:val="0044175C"/>
    <w:rsid w:val="00445F4D"/>
    <w:rsid w:val="004504C0"/>
    <w:rsid w:val="004505A2"/>
    <w:rsid w:val="004550FB"/>
    <w:rsid w:val="00460C1D"/>
    <w:rsid w:val="0046111A"/>
    <w:rsid w:val="00462946"/>
    <w:rsid w:val="00463F43"/>
    <w:rsid w:val="00464B94"/>
    <w:rsid w:val="004653A8"/>
    <w:rsid w:val="00465A0B"/>
    <w:rsid w:val="004664D6"/>
    <w:rsid w:val="0047077C"/>
    <w:rsid w:val="00470B05"/>
    <w:rsid w:val="0047207C"/>
    <w:rsid w:val="00472CD6"/>
    <w:rsid w:val="00474E3C"/>
    <w:rsid w:val="00477876"/>
    <w:rsid w:val="00480A58"/>
    <w:rsid w:val="00482151"/>
    <w:rsid w:val="00485FAD"/>
    <w:rsid w:val="00486C19"/>
    <w:rsid w:val="00487AED"/>
    <w:rsid w:val="00491EDF"/>
    <w:rsid w:val="00492A3F"/>
    <w:rsid w:val="00494F62"/>
    <w:rsid w:val="004A2001"/>
    <w:rsid w:val="004A3590"/>
    <w:rsid w:val="004B00A7"/>
    <w:rsid w:val="004B0655"/>
    <w:rsid w:val="004B25E2"/>
    <w:rsid w:val="004B34D7"/>
    <w:rsid w:val="004B5037"/>
    <w:rsid w:val="004B5B2F"/>
    <w:rsid w:val="004B626A"/>
    <w:rsid w:val="004B660E"/>
    <w:rsid w:val="004C05BD"/>
    <w:rsid w:val="004C361B"/>
    <w:rsid w:val="004C3B06"/>
    <w:rsid w:val="004C3F97"/>
    <w:rsid w:val="004C7EE7"/>
    <w:rsid w:val="004D2784"/>
    <w:rsid w:val="004D2DEE"/>
    <w:rsid w:val="004D2E1F"/>
    <w:rsid w:val="004D6E25"/>
    <w:rsid w:val="004D7FD9"/>
    <w:rsid w:val="004E1324"/>
    <w:rsid w:val="004E19A5"/>
    <w:rsid w:val="004E37E5"/>
    <w:rsid w:val="004E3FDB"/>
    <w:rsid w:val="004F1F4A"/>
    <w:rsid w:val="004F296D"/>
    <w:rsid w:val="004F3C20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B22"/>
    <w:rsid w:val="00523B54"/>
    <w:rsid w:val="00523FC0"/>
    <w:rsid w:val="005240B8"/>
    <w:rsid w:val="00526DFC"/>
    <w:rsid w:val="00526F43"/>
    <w:rsid w:val="00527651"/>
    <w:rsid w:val="005363AB"/>
    <w:rsid w:val="00542474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5CAC"/>
    <w:rsid w:val="0057617E"/>
    <w:rsid w:val="00576497"/>
    <w:rsid w:val="005835E7"/>
    <w:rsid w:val="0058397F"/>
    <w:rsid w:val="00583BF8"/>
    <w:rsid w:val="00585F33"/>
    <w:rsid w:val="00591124"/>
    <w:rsid w:val="00591B5D"/>
    <w:rsid w:val="00597024"/>
    <w:rsid w:val="005A0274"/>
    <w:rsid w:val="005A095C"/>
    <w:rsid w:val="005A669D"/>
    <w:rsid w:val="005A6CF6"/>
    <w:rsid w:val="005A75D8"/>
    <w:rsid w:val="005A7F83"/>
    <w:rsid w:val="005B259C"/>
    <w:rsid w:val="005B713E"/>
    <w:rsid w:val="005C03B6"/>
    <w:rsid w:val="005C348E"/>
    <w:rsid w:val="005C68E1"/>
    <w:rsid w:val="005D0C3F"/>
    <w:rsid w:val="005D18B1"/>
    <w:rsid w:val="005D2A7D"/>
    <w:rsid w:val="005D3763"/>
    <w:rsid w:val="005D55E1"/>
    <w:rsid w:val="005E19F7"/>
    <w:rsid w:val="005E213A"/>
    <w:rsid w:val="005E4F04"/>
    <w:rsid w:val="005E62C2"/>
    <w:rsid w:val="005E6C71"/>
    <w:rsid w:val="005E7C03"/>
    <w:rsid w:val="005F0963"/>
    <w:rsid w:val="005F2824"/>
    <w:rsid w:val="005F2EBA"/>
    <w:rsid w:val="005F35ED"/>
    <w:rsid w:val="005F480C"/>
    <w:rsid w:val="005F7812"/>
    <w:rsid w:val="005F7A88"/>
    <w:rsid w:val="00603A1A"/>
    <w:rsid w:val="006046D5"/>
    <w:rsid w:val="00607A93"/>
    <w:rsid w:val="00610C08"/>
    <w:rsid w:val="00611F74"/>
    <w:rsid w:val="00612E6B"/>
    <w:rsid w:val="00615772"/>
    <w:rsid w:val="00621256"/>
    <w:rsid w:val="00621FCC"/>
    <w:rsid w:val="00622E4B"/>
    <w:rsid w:val="00627F16"/>
    <w:rsid w:val="006333DA"/>
    <w:rsid w:val="00635134"/>
    <w:rsid w:val="006356E2"/>
    <w:rsid w:val="00642A65"/>
    <w:rsid w:val="00645DCE"/>
    <w:rsid w:val="006465AC"/>
    <w:rsid w:val="006465BF"/>
    <w:rsid w:val="00646DF8"/>
    <w:rsid w:val="00653B22"/>
    <w:rsid w:val="00657BF4"/>
    <w:rsid w:val="006603FB"/>
    <w:rsid w:val="006608DF"/>
    <w:rsid w:val="006623AC"/>
    <w:rsid w:val="006678AF"/>
    <w:rsid w:val="006701EF"/>
    <w:rsid w:val="00671B67"/>
    <w:rsid w:val="00673BA5"/>
    <w:rsid w:val="006774B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71"/>
    <w:rsid w:val="006F2648"/>
    <w:rsid w:val="006F2F10"/>
    <w:rsid w:val="006F4622"/>
    <w:rsid w:val="006F482B"/>
    <w:rsid w:val="006F6311"/>
    <w:rsid w:val="00701952"/>
    <w:rsid w:val="00702556"/>
    <w:rsid w:val="0070277E"/>
    <w:rsid w:val="00704156"/>
    <w:rsid w:val="007069FC"/>
    <w:rsid w:val="00711221"/>
    <w:rsid w:val="00711ECF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9C9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13F8"/>
    <w:rsid w:val="007621AA"/>
    <w:rsid w:val="0076260A"/>
    <w:rsid w:val="00764A67"/>
    <w:rsid w:val="00770F6B"/>
    <w:rsid w:val="00771883"/>
    <w:rsid w:val="00776DC2"/>
    <w:rsid w:val="00780122"/>
    <w:rsid w:val="00780B01"/>
    <w:rsid w:val="0078214B"/>
    <w:rsid w:val="00783DF5"/>
    <w:rsid w:val="0078498A"/>
    <w:rsid w:val="0078610E"/>
    <w:rsid w:val="007878FE"/>
    <w:rsid w:val="00792207"/>
    <w:rsid w:val="00792B64"/>
    <w:rsid w:val="00792E29"/>
    <w:rsid w:val="0079379A"/>
    <w:rsid w:val="00794953"/>
    <w:rsid w:val="00794C3A"/>
    <w:rsid w:val="007A1F2F"/>
    <w:rsid w:val="007A2A5C"/>
    <w:rsid w:val="007A5150"/>
    <w:rsid w:val="007A5373"/>
    <w:rsid w:val="007A789F"/>
    <w:rsid w:val="007B1C04"/>
    <w:rsid w:val="007B75BC"/>
    <w:rsid w:val="007C09C7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EF7"/>
    <w:rsid w:val="007E59C9"/>
    <w:rsid w:val="007F0072"/>
    <w:rsid w:val="007F2EB6"/>
    <w:rsid w:val="007F54C3"/>
    <w:rsid w:val="007F6628"/>
    <w:rsid w:val="00802949"/>
    <w:rsid w:val="0080301E"/>
    <w:rsid w:val="0080365F"/>
    <w:rsid w:val="00812BE5"/>
    <w:rsid w:val="00816103"/>
    <w:rsid w:val="00817429"/>
    <w:rsid w:val="00821514"/>
    <w:rsid w:val="00821E35"/>
    <w:rsid w:val="008233C7"/>
    <w:rsid w:val="00824591"/>
    <w:rsid w:val="00824AED"/>
    <w:rsid w:val="00827820"/>
    <w:rsid w:val="0083008B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5BA1"/>
    <w:rsid w:val="00866867"/>
    <w:rsid w:val="00872257"/>
    <w:rsid w:val="008753E6"/>
    <w:rsid w:val="0087738C"/>
    <w:rsid w:val="008802AF"/>
    <w:rsid w:val="00881926"/>
    <w:rsid w:val="0088318F"/>
    <w:rsid w:val="0088331D"/>
    <w:rsid w:val="00883B08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27F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297B"/>
    <w:rsid w:val="008E58F0"/>
    <w:rsid w:val="008E78A3"/>
    <w:rsid w:val="008F0654"/>
    <w:rsid w:val="008F06CB"/>
    <w:rsid w:val="008F0E1A"/>
    <w:rsid w:val="008F2E83"/>
    <w:rsid w:val="008F612A"/>
    <w:rsid w:val="0090293D"/>
    <w:rsid w:val="009034DE"/>
    <w:rsid w:val="00904A0D"/>
    <w:rsid w:val="00905396"/>
    <w:rsid w:val="0090605D"/>
    <w:rsid w:val="00906419"/>
    <w:rsid w:val="00912889"/>
    <w:rsid w:val="00913A42"/>
    <w:rsid w:val="00914167"/>
    <w:rsid w:val="009143DB"/>
    <w:rsid w:val="00914D82"/>
    <w:rsid w:val="00915065"/>
    <w:rsid w:val="00917CE5"/>
    <w:rsid w:val="009217C0"/>
    <w:rsid w:val="00921830"/>
    <w:rsid w:val="00925241"/>
    <w:rsid w:val="00925CEC"/>
    <w:rsid w:val="00926A3F"/>
    <w:rsid w:val="0092794E"/>
    <w:rsid w:val="00930D30"/>
    <w:rsid w:val="009332A2"/>
    <w:rsid w:val="00936429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23F"/>
    <w:rsid w:val="00965F88"/>
    <w:rsid w:val="009829BD"/>
    <w:rsid w:val="00984E03"/>
    <w:rsid w:val="00987E85"/>
    <w:rsid w:val="00993B6E"/>
    <w:rsid w:val="009943E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4F14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0B15"/>
    <w:rsid w:val="009E1325"/>
    <w:rsid w:val="009E3E77"/>
    <w:rsid w:val="009E3FAB"/>
    <w:rsid w:val="009E5B3F"/>
    <w:rsid w:val="009E7D90"/>
    <w:rsid w:val="009F1AB0"/>
    <w:rsid w:val="009F501D"/>
    <w:rsid w:val="009F63A7"/>
    <w:rsid w:val="009F64F3"/>
    <w:rsid w:val="00A039D5"/>
    <w:rsid w:val="00A0403F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4E8F"/>
    <w:rsid w:val="00A37E70"/>
    <w:rsid w:val="00A437E1"/>
    <w:rsid w:val="00A4685E"/>
    <w:rsid w:val="00A50464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CAB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92A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67E"/>
    <w:rsid w:val="00AE4FBE"/>
    <w:rsid w:val="00AE650F"/>
    <w:rsid w:val="00AE6555"/>
    <w:rsid w:val="00AE7D16"/>
    <w:rsid w:val="00AF288E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322"/>
    <w:rsid w:val="00B21487"/>
    <w:rsid w:val="00B232D1"/>
    <w:rsid w:val="00B24DB5"/>
    <w:rsid w:val="00B24ED2"/>
    <w:rsid w:val="00B31F9E"/>
    <w:rsid w:val="00B3268F"/>
    <w:rsid w:val="00B32C2C"/>
    <w:rsid w:val="00B33A1A"/>
    <w:rsid w:val="00B33E6C"/>
    <w:rsid w:val="00B352F5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3CC8"/>
    <w:rsid w:val="00B774CB"/>
    <w:rsid w:val="00B80402"/>
    <w:rsid w:val="00B80B9A"/>
    <w:rsid w:val="00B830B7"/>
    <w:rsid w:val="00B84305"/>
    <w:rsid w:val="00B848EA"/>
    <w:rsid w:val="00B84B2B"/>
    <w:rsid w:val="00B90500"/>
    <w:rsid w:val="00B9176C"/>
    <w:rsid w:val="00B935A4"/>
    <w:rsid w:val="00B97295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7B1"/>
    <w:rsid w:val="00C2363F"/>
    <w:rsid w:val="00C236C8"/>
    <w:rsid w:val="00C2553B"/>
    <w:rsid w:val="00C260B1"/>
    <w:rsid w:val="00C26E56"/>
    <w:rsid w:val="00C31406"/>
    <w:rsid w:val="00C323AF"/>
    <w:rsid w:val="00C37194"/>
    <w:rsid w:val="00C40637"/>
    <w:rsid w:val="00C408AF"/>
    <w:rsid w:val="00C40F6C"/>
    <w:rsid w:val="00C44426"/>
    <w:rsid w:val="00C445F3"/>
    <w:rsid w:val="00C451F4"/>
    <w:rsid w:val="00C45EB1"/>
    <w:rsid w:val="00C509DC"/>
    <w:rsid w:val="00C53E34"/>
    <w:rsid w:val="00C54A3A"/>
    <w:rsid w:val="00C55566"/>
    <w:rsid w:val="00C56448"/>
    <w:rsid w:val="00C573AF"/>
    <w:rsid w:val="00C667BE"/>
    <w:rsid w:val="00C6766B"/>
    <w:rsid w:val="00C72223"/>
    <w:rsid w:val="00C76417"/>
    <w:rsid w:val="00C7726F"/>
    <w:rsid w:val="00C81A6D"/>
    <w:rsid w:val="00C823DA"/>
    <w:rsid w:val="00C8259F"/>
    <w:rsid w:val="00C82746"/>
    <w:rsid w:val="00C8312F"/>
    <w:rsid w:val="00C84C47"/>
    <w:rsid w:val="00C858A4"/>
    <w:rsid w:val="00C86AFA"/>
    <w:rsid w:val="00C97330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1114"/>
    <w:rsid w:val="00CE31A6"/>
    <w:rsid w:val="00CE6C70"/>
    <w:rsid w:val="00CF09AA"/>
    <w:rsid w:val="00CF4813"/>
    <w:rsid w:val="00CF5233"/>
    <w:rsid w:val="00D00FEC"/>
    <w:rsid w:val="00D02070"/>
    <w:rsid w:val="00D029B8"/>
    <w:rsid w:val="00D02F60"/>
    <w:rsid w:val="00D0464E"/>
    <w:rsid w:val="00D04A96"/>
    <w:rsid w:val="00D07A7B"/>
    <w:rsid w:val="00D108FE"/>
    <w:rsid w:val="00D10E06"/>
    <w:rsid w:val="00D15197"/>
    <w:rsid w:val="00D16820"/>
    <w:rsid w:val="00D169C8"/>
    <w:rsid w:val="00D1793F"/>
    <w:rsid w:val="00D22AF5"/>
    <w:rsid w:val="00D235EA"/>
    <w:rsid w:val="00D247A9"/>
    <w:rsid w:val="00D32079"/>
    <w:rsid w:val="00D32721"/>
    <w:rsid w:val="00D328DC"/>
    <w:rsid w:val="00D33387"/>
    <w:rsid w:val="00D402FB"/>
    <w:rsid w:val="00D47D7A"/>
    <w:rsid w:val="00D50ABD"/>
    <w:rsid w:val="00D51693"/>
    <w:rsid w:val="00D5359B"/>
    <w:rsid w:val="00D55290"/>
    <w:rsid w:val="00D57791"/>
    <w:rsid w:val="00D6046A"/>
    <w:rsid w:val="00D62870"/>
    <w:rsid w:val="00D655D9"/>
    <w:rsid w:val="00D65872"/>
    <w:rsid w:val="00D66D37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834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79C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2E7B"/>
    <w:rsid w:val="00ED5553"/>
    <w:rsid w:val="00ED5E36"/>
    <w:rsid w:val="00ED6961"/>
    <w:rsid w:val="00EE640F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28E9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6F63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16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065"/>
    <w:rsid w:val="00FE0824"/>
    <w:rsid w:val="00FE0B3B"/>
    <w:rsid w:val="00FE1BE2"/>
    <w:rsid w:val="00FE730A"/>
    <w:rsid w:val="00FF0A57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9FBB0"/>
  <w15:docId w15:val="{E28C6143-595B-4775-9FCB-83EAB334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4247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474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42474"/>
    <w:rPr>
      <w:vertAlign w:val="superscript"/>
    </w:rPr>
  </w:style>
  <w:style w:type="paragraph" w:styleId="Poprawka">
    <w:name w:val="Revision"/>
    <w:hidden/>
    <w:uiPriority w:val="99"/>
    <w:semiHidden/>
    <w:rsid w:val="00921830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alkowska\Download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8</Pages>
  <Words>1975</Words>
  <Characters>12450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Kalkowska Aleksandra</dc:creator>
  <cp:lastModifiedBy>Kalkowska Aleksandra</cp:lastModifiedBy>
  <cp:revision>2</cp:revision>
  <cp:lastPrinted>2012-04-23T06:39:00Z</cp:lastPrinted>
  <dcterms:created xsi:type="dcterms:W3CDTF">2025-06-23T07:32:00Z</dcterms:created>
  <dcterms:modified xsi:type="dcterms:W3CDTF">2025-06-23T07:32:00Z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