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BBB7" w14:textId="74B89234" w:rsidR="00826EA3" w:rsidRPr="001E2375" w:rsidRDefault="00A560B4" w:rsidP="00A560B4">
      <w:pPr>
        <w:pStyle w:val="Podstawowyakapitowy"/>
        <w:rPr>
          <w:rFonts w:ascii="Lato" w:hAnsi="Lato" w:cs="Lato"/>
          <w:b/>
          <w:bCs/>
          <w:sz w:val="22"/>
          <w:szCs w:val="22"/>
          <w:u w:val="single"/>
        </w:rPr>
      </w:pPr>
      <w:bookmarkStart w:id="0" w:name="_Hlk243058286"/>
      <w:r w:rsidRPr="001E2375">
        <w:rPr>
          <w:rFonts w:ascii="Lato" w:eastAsia="Calibri" w:hAnsi="Lato" w:cs="Lato"/>
          <w:sz w:val="22"/>
          <w:szCs w:val="22"/>
        </w:rPr>
        <w:t>RDOŚ-Gd-WOO.420.</w:t>
      </w:r>
      <w:r>
        <w:rPr>
          <w:rFonts w:ascii="Lato" w:eastAsia="Calibri" w:hAnsi="Lato" w:cs="Lato"/>
          <w:sz w:val="22"/>
          <w:szCs w:val="22"/>
        </w:rPr>
        <w:t>2</w:t>
      </w:r>
      <w:r w:rsidRPr="001E2375">
        <w:rPr>
          <w:rFonts w:ascii="Lato" w:eastAsia="Calibri" w:hAnsi="Lato" w:cs="Lato"/>
          <w:sz w:val="22"/>
          <w:szCs w:val="22"/>
        </w:rPr>
        <w:t>.202</w:t>
      </w:r>
      <w:r>
        <w:rPr>
          <w:rFonts w:ascii="Lato" w:eastAsia="Calibri" w:hAnsi="Lato" w:cs="Lato"/>
          <w:sz w:val="22"/>
          <w:szCs w:val="22"/>
        </w:rPr>
        <w:t>6</w:t>
      </w:r>
      <w:r w:rsidRPr="001E2375">
        <w:rPr>
          <w:rFonts w:ascii="Lato" w:eastAsia="Calibri" w:hAnsi="Lato" w:cs="Lato"/>
          <w:sz w:val="22"/>
          <w:szCs w:val="22"/>
        </w:rPr>
        <w:t>.MR.</w:t>
      </w:r>
      <w:r>
        <w:rPr>
          <w:rFonts w:ascii="Lato" w:eastAsia="Calibri" w:hAnsi="Lato" w:cs="Lato"/>
          <w:sz w:val="22"/>
          <w:szCs w:val="22"/>
        </w:rPr>
        <w:t>36</w:t>
      </w:r>
      <w:bookmarkEnd w:id="0"/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 w:rsidRPr="001E2375">
        <w:rPr>
          <w:rFonts w:ascii="Lato" w:hAnsi="Lato" w:cs="Lato"/>
          <w:sz w:val="22"/>
          <w:szCs w:val="22"/>
        </w:rPr>
        <w:t>Gdańsk</w:t>
      </w:r>
      <w:r w:rsidR="003E3714" w:rsidRPr="001E2375">
        <w:rPr>
          <w:rFonts w:ascii="Lato" w:hAnsi="Lato" w:cs="Lato"/>
          <w:sz w:val="22"/>
          <w:szCs w:val="22"/>
        </w:rPr>
        <w:t>,</w:t>
      </w:r>
      <w:r w:rsidR="00081C25" w:rsidRPr="001E2375">
        <w:rPr>
          <w:rFonts w:ascii="Lato" w:hAnsi="Lato" w:cs="Lato"/>
          <w:sz w:val="22"/>
          <w:szCs w:val="22"/>
        </w:rPr>
        <w:t xml:space="preserve"> </w:t>
      </w:r>
      <w:r>
        <w:rPr>
          <w:rFonts w:ascii="Lato" w:hAnsi="Lato" w:cs="Lato"/>
          <w:sz w:val="22"/>
          <w:szCs w:val="22"/>
        </w:rPr>
        <w:t>2026-10-19</w:t>
      </w:r>
      <w:r w:rsidR="00606335" w:rsidRPr="001E2375">
        <w:rPr>
          <w:rFonts w:ascii="Lato" w:hAnsi="Lato" w:cs="Lato"/>
          <w:sz w:val="22"/>
          <w:szCs w:val="22"/>
        </w:rPr>
        <w:t xml:space="preserve"> </w:t>
      </w:r>
    </w:p>
    <w:p w14:paraId="5417340B" w14:textId="77777777" w:rsidR="001E2375" w:rsidRPr="001E2375" w:rsidRDefault="001E2375" w:rsidP="00A560B4">
      <w:pPr>
        <w:spacing w:after="0"/>
        <w:rPr>
          <w:rFonts w:ascii="Lato" w:eastAsia="Calibri" w:hAnsi="Lato" w:cs="Lato"/>
          <w:b/>
          <w:sz w:val="10"/>
          <w:szCs w:val="10"/>
        </w:rPr>
      </w:pPr>
    </w:p>
    <w:p w14:paraId="19347EAA" w14:textId="77777777" w:rsidR="001E2375" w:rsidRPr="001E2375" w:rsidRDefault="00A560B4" w:rsidP="00A560B4">
      <w:pPr>
        <w:spacing w:after="0"/>
        <w:rPr>
          <w:rFonts w:ascii="Lato" w:eastAsia="Calibri" w:hAnsi="Lato" w:cs="Lato"/>
          <w:b/>
        </w:rPr>
      </w:pPr>
      <w:r w:rsidRPr="001E2375">
        <w:rPr>
          <w:rFonts w:ascii="Lato" w:eastAsia="Calibri" w:hAnsi="Lato" w:cs="Lato"/>
          <w:b/>
        </w:rPr>
        <w:t>ZAWIADOMIENIE</w:t>
      </w:r>
    </w:p>
    <w:p w14:paraId="0DEBEC1E" w14:textId="77777777" w:rsidR="001E2375" w:rsidRPr="001E2375" w:rsidRDefault="001E2375" w:rsidP="00A560B4">
      <w:pPr>
        <w:spacing w:after="0"/>
        <w:rPr>
          <w:rFonts w:ascii="Lato" w:eastAsia="Calibri" w:hAnsi="Lato" w:cs="Lato"/>
          <w:b/>
          <w:sz w:val="10"/>
          <w:szCs w:val="10"/>
        </w:rPr>
      </w:pPr>
    </w:p>
    <w:p w14:paraId="2ECE02C2" w14:textId="77777777" w:rsidR="001E2375" w:rsidRPr="001E2375" w:rsidRDefault="00A560B4" w:rsidP="00A560B4">
      <w:pPr>
        <w:spacing w:after="0"/>
        <w:rPr>
          <w:rFonts w:ascii="Lato" w:eastAsia="Calibri" w:hAnsi="Lato" w:cs="Lato"/>
        </w:rPr>
      </w:pPr>
      <w:r w:rsidRPr="001E2375">
        <w:rPr>
          <w:rFonts w:ascii="Lato" w:eastAsia="Calibri" w:hAnsi="Lato" w:cs="Lato"/>
        </w:rPr>
        <w:t>Działając na podstawie art. 10 § 1, 36 oraz 49 ustawy z dnia 14 czerwca 1960 roku - Kodeks postępowania administracyjnego (</w:t>
      </w:r>
      <w:r w:rsidRPr="001E2375">
        <w:rPr>
          <w:rFonts w:ascii="Lato" w:eastAsia="Calibri" w:hAnsi="Lato" w:cs="Lato"/>
          <w:iCs/>
        </w:rPr>
        <w:t>tekst jedn. Dz. U. z 2025 r. poz. 1691)</w:t>
      </w:r>
      <w:r w:rsidRPr="001E2375">
        <w:rPr>
          <w:rFonts w:ascii="Lato" w:eastAsia="Calibri" w:hAnsi="Lato" w:cs="Lato"/>
        </w:rPr>
        <w:t>, w związku art. w związku z</w:t>
      </w:r>
      <w:r>
        <w:rPr>
          <w:rFonts w:ascii="Lato" w:eastAsia="Calibri" w:hAnsi="Lato" w:cs="Lato"/>
        </w:rPr>
        <w:t> </w:t>
      </w:r>
      <w:r w:rsidRPr="001E2375">
        <w:rPr>
          <w:rFonts w:ascii="Lato" w:eastAsia="Calibri" w:hAnsi="Lato" w:cs="Lato"/>
        </w:rPr>
        <w:t xml:space="preserve">art. </w:t>
      </w:r>
      <w:r w:rsidRPr="001E2375">
        <w:rPr>
          <w:rFonts w:ascii="Lato" w:hAnsi="Lato" w:cs="Lato"/>
        </w:rPr>
        <w:t xml:space="preserve">75 ust. 1 pkt. 1 lit. p) </w:t>
      </w:r>
      <w:r w:rsidRPr="001E2375">
        <w:rPr>
          <w:rFonts w:ascii="Lato" w:eastAsia="Calibri" w:hAnsi="Lato" w:cs="Lato"/>
        </w:rPr>
        <w:t xml:space="preserve">oraz 74 ust. 3 ustawy z dnia 3 października 2008 r. </w:t>
      </w:r>
      <w:r w:rsidRPr="001E2375">
        <w:rPr>
          <w:rFonts w:ascii="Lato" w:eastAsia="Calibri" w:hAnsi="Lato" w:cs="Lato"/>
          <w:iCs/>
        </w:rPr>
        <w:t>o udostępnianiu informacji o środowisku i jego ochronie, udziale społeczeństwa w ochronie środowiska oraz o ocenach oddziaływania na środowisko (tekst jedn. Dz. U. z 202</w:t>
      </w:r>
      <w:r>
        <w:rPr>
          <w:rFonts w:ascii="Lato" w:eastAsia="Calibri" w:hAnsi="Lato" w:cs="Lato"/>
          <w:iCs/>
        </w:rPr>
        <w:t>6</w:t>
      </w:r>
      <w:r w:rsidRPr="001E2375">
        <w:rPr>
          <w:rFonts w:ascii="Lato" w:eastAsia="Calibri" w:hAnsi="Lato" w:cs="Lato"/>
          <w:iCs/>
        </w:rPr>
        <w:t xml:space="preserve"> r. poz. </w:t>
      </w:r>
      <w:r>
        <w:rPr>
          <w:rFonts w:ascii="Lato" w:eastAsia="Calibri" w:hAnsi="Lato" w:cs="Lato"/>
          <w:iCs/>
        </w:rPr>
        <w:t>670</w:t>
      </w:r>
      <w:r w:rsidRPr="001E2375">
        <w:rPr>
          <w:rFonts w:ascii="Lato" w:eastAsia="Calibri" w:hAnsi="Lato" w:cs="Lato"/>
        </w:rPr>
        <w:t xml:space="preserve"> ze zm.), zwanej dalej ustawą ooś, Regionalny Dyrektor Ochrony Środowiska w Gdańsku, niniejszym zawiadamia, iż w postępowaniu na </w:t>
      </w:r>
      <w:bookmarkStart w:id="1" w:name="_Hlk203658920"/>
      <w:r w:rsidRPr="001E2375">
        <w:rPr>
          <w:rFonts w:ascii="Lato" w:eastAsia="Calibri" w:hAnsi="Lato" w:cs="Lato"/>
          <w:bCs/>
        </w:rPr>
        <w:t>wniosek Generalnej Dyrekcji Dróg Krajowych i Autostrad Oddział w Gdańsku, znak O/GD.I-2.4110.1.2026.IM.1 z dnia 14.01.2026 r., uzupełniony w dniu 29.</w:t>
      </w:r>
      <w:r w:rsidRPr="001E2375">
        <w:rPr>
          <w:rFonts w:ascii="Lato" w:eastAsia="Calibri" w:hAnsi="Lato" w:cs="Lato"/>
          <w:bCs/>
        </w:rPr>
        <w:t xml:space="preserve">01.2026 r. o wydanie decyzji o środowiskowych uwarunkowaniach dla przedsięwzięcia pn.: </w:t>
      </w:r>
      <w:r w:rsidRPr="001E2375">
        <w:rPr>
          <w:rFonts w:ascii="Lato" w:eastAsia="Calibri" w:hAnsi="Lato" w:cs="Lato"/>
          <w:b/>
          <w:bCs/>
        </w:rPr>
        <w:t>„Budowa Drogi Czerwonej w</w:t>
      </w:r>
      <w:r>
        <w:rPr>
          <w:rFonts w:ascii="Lato" w:eastAsia="Calibri" w:hAnsi="Lato" w:cs="Lato"/>
          <w:b/>
          <w:bCs/>
        </w:rPr>
        <w:t> </w:t>
      </w:r>
      <w:r w:rsidRPr="001E2375">
        <w:rPr>
          <w:rFonts w:ascii="Lato" w:eastAsia="Calibri" w:hAnsi="Lato" w:cs="Lato"/>
          <w:b/>
          <w:bCs/>
        </w:rPr>
        <w:t>Gdyni Odcinek 1 Węzeł Gdynia Chylonia (z węzłem) – Węzeł Kwiatkowskiego II (z węzłem) w</w:t>
      </w:r>
      <w:r>
        <w:rPr>
          <w:rFonts w:ascii="Lato" w:eastAsia="Calibri" w:hAnsi="Lato" w:cs="Lato"/>
          <w:b/>
          <w:bCs/>
        </w:rPr>
        <w:t> </w:t>
      </w:r>
      <w:r w:rsidRPr="001E2375">
        <w:rPr>
          <w:rFonts w:ascii="Lato" w:eastAsia="Calibri" w:hAnsi="Lato" w:cs="Lato"/>
          <w:b/>
          <w:bCs/>
        </w:rPr>
        <w:t>wariancie 1D”</w:t>
      </w:r>
      <w:r w:rsidRPr="001E2375">
        <w:rPr>
          <w:rFonts w:ascii="Lato" w:eastAsia="Calibri" w:hAnsi="Lato" w:cs="Lato"/>
          <w:bCs/>
        </w:rPr>
        <w:t>, planowanego do realizacji na obszarze wskazanym w zawiadomieniu znak RDOŚ-Gd-WOO.420.2.2026.MR.2 z dnia 02.02.2026 r.</w:t>
      </w:r>
      <w:r w:rsidRPr="001E2375">
        <w:rPr>
          <w:rFonts w:ascii="Lato" w:eastAsia="Calibri" w:hAnsi="Lato" w:cs="Lato"/>
        </w:rPr>
        <w:t>:</w:t>
      </w:r>
      <w:bookmarkEnd w:id="1"/>
    </w:p>
    <w:p w14:paraId="304C875F" w14:textId="77777777" w:rsidR="001E2375" w:rsidRPr="001E2375" w:rsidRDefault="00A560B4" w:rsidP="00A560B4">
      <w:pPr>
        <w:numPr>
          <w:ilvl w:val="0"/>
          <w:numId w:val="5"/>
        </w:numPr>
        <w:spacing w:after="0"/>
        <w:rPr>
          <w:rFonts w:ascii="Lato" w:eastAsia="Calibri" w:hAnsi="Lato" w:cs="Lato"/>
        </w:rPr>
      </w:pPr>
      <w:bookmarkStart w:id="2" w:name="_Hlk203658958"/>
      <w:r w:rsidRPr="001E2375">
        <w:rPr>
          <w:rFonts w:ascii="Lato" w:eastAsia="Calibri" w:hAnsi="Lato" w:cs="Lato"/>
          <w:bCs/>
        </w:rPr>
        <w:t>Pomorski Państwowy Wojewódzki Inspektor Sanitarny</w:t>
      </w:r>
      <w:r w:rsidRPr="00F06CAA">
        <w:rPr>
          <w:rFonts w:ascii="Lato" w:eastAsia="Calibri" w:hAnsi="Lato" w:cs="Lato"/>
          <w:bCs/>
        </w:rPr>
        <w:t xml:space="preserve">, jako organ opiniujący w przedmiotowym postępowaniu, w opinii znak </w:t>
      </w:r>
      <w:r w:rsidRPr="001E2375">
        <w:rPr>
          <w:rFonts w:ascii="Lato" w:eastAsia="Calibri" w:hAnsi="Lato" w:cs="Lato"/>
          <w:bCs/>
        </w:rPr>
        <w:t>ONS.9022.5.2.2026.WR</w:t>
      </w:r>
      <w:r w:rsidRPr="00F06CAA">
        <w:rPr>
          <w:rFonts w:ascii="Lato" w:eastAsia="Calibri" w:hAnsi="Lato" w:cs="Lato"/>
          <w:bCs/>
        </w:rPr>
        <w:t xml:space="preserve"> z dnia </w:t>
      </w:r>
      <w:r w:rsidRPr="001E2375">
        <w:rPr>
          <w:rFonts w:ascii="Lato" w:eastAsia="Calibri" w:hAnsi="Lato" w:cs="Lato"/>
          <w:bCs/>
        </w:rPr>
        <w:t>11</w:t>
      </w:r>
      <w:r w:rsidRPr="00F06CAA">
        <w:rPr>
          <w:rFonts w:ascii="Lato" w:eastAsia="Calibri" w:hAnsi="Lato" w:cs="Lato"/>
          <w:bCs/>
        </w:rPr>
        <w:t>.03.202</w:t>
      </w:r>
      <w:r w:rsidRPr="001E2375">
        <w:rPr>
          <w:rFonts w:ascii="Lato" w:eastAsia="Calibri" w:hAnsi="Lato" w:cs="Lato"/>
          <w:bCs/>
        </w:rPr>
        <w:t>6 </w:t>
      </w:r>
      <w:r w:rsidRPr="00F06CAA">
        <w:rPr>
          <w:rFonts w:ascii="Lato" w:eastAsia="Calibri" w:hAnsi="Lato" w:cs="Lato"/>
          <w:bCs/>
        </w:rPr>
        <w:t xml:space="preserve">r. wyraził opinię, że nie </w:t>
      </w:r>
      <w:r w:rsidRPr="001E2375">
        <w:rPr>
          <w:rFonts w:ascii="Lato" w:eastAsia="Calibri" w:hAnsi="Lato" w:cs="Lato"/>
          <w:bCs/>
        </w:rPr>
        <w:t>ma konieczności</w:t>
      </w:r>
      <w:r w:rsidRPr="00F06CAA">
        <w:rPr>
          <w:rFonts w:ascii="Lato" w:eastAsia="Calibri" w:hAnsi="Lato" w:cs="Lato"/>
          <w:bCs/>
        </w:rPr>
        <w:t xml:space="preserve"> przeprowadzenia oceny oddziaływania przedsięwzięcia na środowisko</w:t>
      </w:r>
      <w:r w:rsidRPr="001E2375">
        <w:rPr>
          <w:rFonts w:ascii="Lato" w:eastAsia="Calibri" w:hAnsi="Lato" w:cs="Lato"/>
          <w:bCs/>
        </w:rPr>
        <w:t>.</w:t>
      </w:r>
      <w:bookmarkEnd w:id="2"/>
    </w:p>
    <w:p w14:paraId="02F21883" w14:textId="77777777" w:rsidR="001E2375" w:rsidRPr="001E2375" w:rsidRDefault="00A560B4" w:rsidP="00A560B4">
      <w:pPr>
        <w:numPr>
          <w:ilvl w:val="0"/>
          <w:numId w:val="5"/>
        </w:numPr>
        <w:spacing w:after="0"/>
        <w:rPr>
          <w:rFonts w:ascii="Lato" w:eastAsia="Calibri" w:hAnsi="Lato" w:cs="Lato"/>
        </w:rPr>
      </w:pPr>
      <w:bookmarkStart w:id="3" w:name="_Hlk216782707"/>
      <w:r w:rsidRPr="00F06CAA">
        <w:rPr>
          <w:rFonts w:ascii="Lato" w:eastAsia="Calibri" w:hAnsi="Lato" w:cs="Lato"/>
          <w:bCs/>
        </w:rPr>
        <w:t>Dyrektor Regionalnego Zarządu Gospodarki Wodnej w Gdańsku, jako organ uzgadniający w</w:t>
      </w:r>
      <w:r>
        <w:rPr>
          <w:rFonts w:ascii="Lato" w:eastAsia="Calibri" w:hAnsi="Lato" w:cs="Lato"/>
          <w:bCs/>
        </w:rPr>
        <w:t xml:space="preserve"> </w:t>
      </w:r>
      <w:r w:rsidRPr="00F06CAA">
        <w:rPr>
          <w:rFonts w:ascii="Lato" w:eastAsia="Calibri" w:hAnsi="Lato" w:cs="Lato"/>
          <w:bCs/>
        </w:rPr>
        <w:t>przedmiotowym postępowaniu, postanowieniem znak G.RZŚ.</w:t>
      </w:r>
      <w:r w:rsidRPr="001E2375">
        <w:rPr>
          <w:rFonts w:ascii="Lato" w:eastAsia="Calibri" w:hAnsi="Lato" w:cs="Lato"/>
          <w:bCs/>
        </w:rPr>
        <w:t>4130.1.94.2026.MBC.1</w:t>
      </w:r>
      <w:r w:rsidRPr="00F06CAA">
        <w:rPr>
          <w:rFonts w:ascii="Lato" w:eastAsia="Calibri" w:hAnsi="Lato" w:cs="Lato"/>
          <w:bCs/>
        </w:rPr>
        <w:t xml:space="preserve"> z dnia </w:t>
      </w:r>
      <w:r w:rsidRPr="001E2375">
        <w:rPr>
          <w:rFonts w:ascii="Lato" w:eastAsia="Calibri" w:hAnsi="Lato" w:cs="Lato"/>
          <w:bCs/>
        </w:rPr>
        <w:t>13</w:t>
      </w:r>
      <w:r w:rsidRPr="00F06CAA">
        <w:rPr>
          <w:rFonts w:ascii="Lato" w:eastAsia="Calibri" w:hAnsi="Lato" w:cs="Lato"/>
          <w:bCs/>
        </w:rPr>
        <w:t>.</w:t>
      </w:r>
      <w:r w:rsidRPr="001E2375">
        <w:rPr>
          <w:rFonts w:ascii="Lato" w:eastAsia="Calibri" w:hAnsi="Lato" w:cs="Lato"/>
          <w:bCs/>
        </w:rPr>
        <w:t>08</w:t>
      </w:r>
      <w:r w:rsidRPr="00F06CAA">
        <w:rPr>
          <w:rFonts w:ascii="Lato" w:eastAsia="Calibri" w:hAnsi="Lato" w:cs="Lato"/>
          <w:bCs/>
        </w:rPr>
        <w:t>.202</w:t>
      </w:r>
      <w:r w:rsidRPr="001E2375">
        <w:rPr>
          <w:rFonts w:ascii="Lato" w:eastAsia="Calibri" w:hAnsi="Lato" w:cs="Lato"/>
          <w:bCs/>
        </w:rPr>
        <w:t>6</w:t>
      </w:r>
      <w:r w:rsidRPr="00F06CAA">
        <w:rPr>
          <w:rFonts w:ascii="Lato" w:eastAsia="Calibri" w:hAnsi="Lato" w:cs="Lato"/>
          <w:bCs/>
        </w:rPr>
        <w:t xml:space="preserve"> r. uzgodnił realizację przedmiotowego przedsięwzięcia i wskazał na konieczność uwzględnienia w decyzji o środowiskowych uwarunkowaniach warunków i wymagań</w:t>
      </w:r>
      <w:r w:rsidRPr="001E2375">
        <w:rPr>
          <w:rFonts w:ascii="Lato" w:eastAsia="Calibri" w:hAnsi="Lato" w:cs="Lato"/>
        </w:rPr>
        <w:t>.</w:t>
      </w:r>
      <w:bookmarkEnd w:id="3"/>
    </w:p>
    <w:p w14:paraId="1CA31AA1" w14:textId="77777777" w:rsidR="001E2375" w:rsidRPr="001E2375" w:rsidRDefault="00A560B4" w:rsidP="00A560B4">
      <w:pPr>
        <w:numPr>
          <w:ilvl w:val="0"/>
          <w:numId w:val="5"/>
        </w:numPr>
        <w:spacing w:after="0"/>
        <w:rPr>
          <w:rFonts w:ascii="Lato" w:eastAsia="Calibri" w:hAnsi="Lato" w:cs="Lato"/>
        </w:rPr>
      </w:pPr>
      <w:bookmarkStart w:id="4" w:name="_Hlk216782721"/>
      <w:bookmarkStart w:id="5" w:name="_Hlk203658984"/>
      <w:r w:rsidRPr="001E2375">
        <w:rPr>
          <w:rFonts w:ascii="Lato" w:eastAsia="Calibri" w:hAnsi="Lato" w:cs="Lato"/>
        </w:rPr>
        <w:t xml:space="preserve">Wniosek </w:t>
      </w:r>
      <w:r w:rsidRPr="001E2375">
        <w:rPr>
          <w:rFonts w:ascii="Lato" w:eastAsia="Calibri" w:hAnsi="Lato" w:cs="Lato"/>
          <w:bCs/>
        </w:rPr>
        <w:t xml:space="preserve">nie może być rozpatrzony w ustawowym terminie. Ze względu na konieczność przeanalizowania wszystkich zgromadzonych dokumentów, zawiadamia się o wyznaczeniu nowego terminu załatwienia sprawy na dzień </w:t>
      </w:r>
      <w:r w:rsidRPr="00F06CAA">
        <w:rPr>
          <w:rFonts w:ascii="Lato" w:eastAsia="Calibri" w:hAnsi="Lato" w:cs="Lato"/>
          <w:b/>
          <w:bCs/>
        </w:rPr>
        <w:t>2</w:t>
      </w:r>
      <w:r w:rsidRPr="001E2375">
        <w:rPr>
          <w:rFonts w:ascii="Lato" w:eastAsia="Calibri" w:hAnsi="Lato" w:cs="Lato"/>
          <w:b/>
          <w:bCs/>
        </w:rPr>
        <w:t>7</w:t>
      </w:r>
      <w:r w:rsidRPr="00F06CAA">
        <w:rPr>
          <w:rFonts w:ascii="Lato" w:eastAsia="Calibri" w:hAnsi="Lato" w:cs="Lato"/>
          <w:b/>
          <w:bCs/>
        </w:rPr>
        <w:t xml:space="preserve"> </w:t>
      </w:r>
      <w:r w:rsidRPr="001E2375">
        <w:rPr>
          <w:rFonts w:ascii="Lato" w:eastAsia="Calibri" w:hAnsi="Lato" w:cs="Lato"/>
          <w:b/>
          <w:bCs/>
        </w:rPr>
        <w:t>listopada</w:t>
      </w:r>
      <w:r w:rsidRPr="00F06CAA">
        <w:rPr>
          <w:rFonts w:ascii="Lato" w:eastAsia="Calibri" w:hAnsi="Lato" w:cs="Lato"/>
          <w:b/>
          <w:bCs/>
        </w:rPr>
        <w:t xml:space="preserve"> 2026 r</w:t>
      </w:r>
      <w:r w:rsidRPr="001E2375">
        <w:rPr>
          <w:rFonts w:ascii="Lato" w:eastAsia="Calibri" w:hAnsi="Lato" w:cs="Lato"/>
          <w:b/>
          <w:bCs/>
        </w:rPr>
        <w:t>.</w:t>
      </w:r>
      <w:bookmarkEnd w:id="4"/>
    </w:p>
    <w:p w14:paraId="38415F71" w14:textId="77777777" w:rsidR="001E2375" w:rsidRPr="001E2375" w:rsidRDefault="00A560B4" w:rsidP="00A560B4">
      <w:pPr>
        <w:numPr>
          <w:ilvl w:val="0"/>
          <w:numId w:val="5"/>
        </w:numPr>
        <w:spacing w:after="0"/>
        <w:rPr>
          <w:rFonts w:ascii="Lato" w:eastAsia="Calibri" w:hAnsi="Lato" w:cs="Lato"/>
        </w:rPr>
      </w:pPr>
      <w:bookmarkStart w:id="6" w:name="_Hlk216782731"/>
      <w:r w:rsidRPr="001E2375">
        <w:rPr>
          <w:rFonts w:ascii="Lato" w:eastAsia="Calibri" w:hAnsi="Lato" w:cs="Lato"/>
        </w:rPr>
        <w:t>Z</w:t>
      </w:r>
      <w:r w:rsidRPr="001E2375">
        <w:rPr>
          <w:rFonts w:ascii="Lato" w:eastAsia="Calibri" w:hAnsi="Lato" w:cs="Lato"/>
          <w:bCs/>
        </w:rPr>
        <w:t xml:space="preserve">akończyło się zbieranie dowodów w sprawie o </w:t>
      </w:r>
      <w:r w:rsidRPr="001E2375">
        <w:rPr>
          <w:rFonts w:ascii="Lato" w:eastAsia="Calibri" w:hAnsi="Lato" w:cs="Lato"/>
        </w:rPr>
        <w:t>wydanie decyzji o środowiskowych uwarunkowaniach</w:t>
      </w:r>
      <w:r w:rsidRPr="001E2375">
        <w:rPr>
          <w:rFonts w:ascii="Lato" w:eastAsia="Calibri" w:hAnsi="Lato" w:cs="Lato"/>
          <w:bCs/>
        </w:rPr>
        <w:t xml:space="preserve"> dla ww. przedsięwzięcia.</w:t>
      </w:r>
      <w:bookmarkEnd w:id="5"/>
      <w:bookmarkEnd w:id="6"/>
    </w:p>
    <w:p w14:paraId="3EF7516F" w14:textId="77777777" w:rsidR="001E2375" w:rsidRPr="001E2375" w:rsidRDefault="00A560B4" w:rsidP="00A560B4">
      <w:pPr>
        <w:spacing w:after="0"/>
        <w:rPr>
          <w:rFonts w:ascii="Lato" w:eastAsia="Times New Roman" w:hAnsi="Lato" w:cs="Lato"/>
        </w:rPr>
      </w:pPr>
      <w:bookmarkStart w:id="7" w:name="_Hlk216782739"/>
      <w:r w:rsidRPr="001E2375">
        <w:rPr>
          <w:rFonts w:ascii="Lato" w:eastAsia="Times New Roman" w:hAnsi="Lato" w:cs="Lato"/>
        </w:rPr>
        <w:t xml:space="preserve">W związku z powyższym tutejszego Organ informuje, iż </w:t>
      </w:r>
      <w:r w:rsidRPr="001E2375">
        <w:rPr>
          <w:rFonts w:ascii="Lato" w:eastAsia="Times New Roman" w:hAnsi="Lato" w:cs="Lato"/>
          <w:bCs/>
        </w:rPr>
        <w:t xml:space="preserve">przed wydaniem decyzji strony postępowania mogą zapoznać się z aktami sprawy oraz wypowiedzieć co do zebranych dowodów, materiałów oraz zgłoszonych żądań. Decyzja kończąca przedmiotowe postępowanie zostanie wydana nie wcześniej niż po upływie </w:t>
      </w:r>
      <w:r>
        <w:rPr>
          <w:rFonts w:ascii="Lato" w:eastAsia="Times New Roman" w:hAnsi="Lato" w:cs="Lato"/>
          <w:bCs/>
        </w:rPr>
        <w:t>7</w:t>
      </w:r>
      <w:r w:rsidRPr="001E2375">
        <w:rPr>
          <w:rFonts w:ascii="Lato" w:eastAsia="Times New Roman" w:hAnsi="Lato" w:cs="Lato"/>
          <w:bCs/>
        </w:rPr>
        <w:t xml:space="preserve"> dni od dnia doręczenia niniejszego zawiadomienia.</w:t>
      </w:r>
      <w:bookmarkEnd w:id="7"/>
    </w:p>
    <w:p w14:paraId="30FBF1EE" w14:textId="77777777" w:rsidR="001E2375" w:rsidRPr="001E2375" w:rsidRDefault="001E2375" w:rsidP="00A560B4">
      <w:pPr>
        <w:spacing w:after="0"/>
        <w:rPr>
          <w:rFonts w:ascii="Lato" w:eastAsia="Times New Roman" w:hAnsi="Lato" w:cs="Lato"/>
          <w:sz w:val="10"/>
          <w:szCs w:val="10"/>
        </w:rPr>
      </w:pPr>
    </w:p>
    <w:p w14:paraId="4C7D12CC" w14:textId="77777777" w:rsidR="001E2375" w:rsidRPr="001E2375" w:rsidRDefault="00A560B4" w:rsidP="00A560B4">
      <w:pPr>
        <w:spacing w:after="0"/>
        <w:rPr>
          <w:rFonts w:ascii="Lato" w:eastAsia="Times New Roman" w:hAnsi="Lato" w:cs="Lato"/>
        </w:rPr>
      </w:pPr>
      <w:r w:rsidRPr="001E2375">
        <w:rPr>
          <w:rFonts w:ascii="Lato" w:eastAsia="Times New Roman" w:hAnsi="Lato" w:cs="Lato"/>
        </w:rPr>
        <w:t xml:space="preserve">Doręczenie niniejszego zawiadomienia stronom postępowania uważa się za dokonane </w:t>
      </w:r>
      <w:r w:rsidRPr="001E2375">
        <w:rPr>
          <w:rFonts w:ascii="Lato" w:eastAsia="Times New Roman" w:hAnsi="Lato" w:cs="Lato"/>
        </w:rPr>
        <w:br/>
        <w:t>po upływie 14 dni od dnia, w którym nastąpiło jego upublicznienie.</w:t>
      </w:r>
    </w:p>
    <w:p w14:paraId="7547060E" w14:textId="77777777" w:rsidR="001E2375" w:rsidRPr="001E2375" w:rsidRDefault="001E2375" w:rsidP="00A560B4">
      <w:pPr>
        <w:spacing w:after="0" w:line="240" w:lineRule="auto"/>
        <w:rPr>
          <w:rFonts w:ascii="Lato" w:eastAsia="Times New Roman" w:hAnsi="Lato" w:cs="Lato"/>
        </w:rPr>
      </w:pPr>
    </w:p>
    <w:p w14:paraId="40C04125" w14:textId="77777777" w:rsidR="001E2375" w:rsidRPr="001E2375" w:rsidRDefault="00A560B4" w:rsidP="00A560B4">
      <w:pPr>
        <w:overflowPunct w:val="0"/>
        <w:autoSpaceDE w:val="0"/>
        <w:autoSpaceDN w:val="0"/>
        <w:adjustRightInd w:val="0"/>
        <w:spacing w:after="0" w:line="240" w:lineRule="atLeast"/>
        <w:rPr>
          <w:rFonts w:ascii="Lato" w:eastAsia="Times New Roman" w:hAnsi="Lato" w:cs="Lato"/>
        </w:rPr>
      </w:pPr>
      <w:r w:rsidRPr="001E2375">
        <w:rPr>
          <w:rFonts w:ascii="Lato" w:eastAsia="Times New Roman" w:hAnsi="Lato" w:cs="Lato"/>
        </w:rPr>
        <w:t>Upubliczniono w dniach: od……</w:t>
      </w:r>
      <w:r>
        <w:rPr>
          <w:rFonts w:ascii="Lato" w:eastAsia="Times New Roman" w:hAnsi="Lato" w:cs="Lato"/>
        </w:rPr>
        <w:t>……</w:t>
      </w:r>
      <w:r w:rsidRPr="001E2375">
        <w:rPr>
          <w:rFonts w:ascii="Lato" w:eastAsia="Times New Roman" w:hAnsi="Lato" w:cs="Lato"/>
        </w:rPr>
        <w:t>………...do…………</w:t>
      </w:r>
      <w:r>
        <w:rPr>
          <w:rFonts w:ascii="Lato" w:eastAsia="Times New Roman" w:hAnsi="Lato" w:cs="Lato"/>
        </w:rPr>
        <w:t>…..</w:t>
      </w:r>
      <w:r w:rsidRPr="001E2375">
        <w:rPr>
          <w:rFonts w:ascii="Lato" w:eastAsia="Times New Roman" w:hAnsi="Lato" w:cs="Lato"/>
        </w:rPr>
        <w:t>…….</w:t>
      </w:r>
    </w:p>
    <w:p w14:paraId="2A8FFE3C" w14:textId="77777777" w:rsidR="001E2375" w:rsidRPr="001E2375" w:rsidRDefault="00A560B4" w:rsidP="00A560B4">
      <w:pPr>
        <w:overflowPunct w:val="0"/>
        <w:autoSpaceDE w:val="0"/>
        <w:autoSpaceDN w:val="0"/>
        <w:adjustRightInd w:val="0"/>
        <w:spacing w:after="0" w:line="360" w:lineRule="auto"/>
        <w:rPr>
          <w:rFonts w:ascii="Lato" w:eastAsia="Times New Roman" w:hAnsi="Lato" w:cs="Lato"/>
        </w:rPr>
      </w:pPr>
      <w:r w:rsidRPr="001E2375">
        <w:rPr>
          <w:rFonts w:ascii="Lato" w:eastAsia="Times New Roman" w:hAnsi="Lato" w:cs="Lato"/>
        </w:rPr>
        <w:t>Pieczęć urzędu:</w:t>
      </w:r>
    </w:p>
    <w:p w14:paraId="71191CCF" w14:textId="77777777" w:rsidR="001E2375" w:rsidRPr="00C03771" w:rsidRDefault="00A560B4" w:rsidP="00A560B4">
      <w:pPr>
        <w:spacing w:after="0"/>
        <w:ind w:left="3828"/>
        <w:rPr>
          <w:rFonts w:ascii="Lato" w:eastAsia="Calibri" w:hAnsi="Lato" w:cs="Lato"/>
        </w:rPr>
      </w:pPr>
      <w:r w:rsidRPr="00C03771">
        <w:rPr>
          <w:rFonts w:ascii="Lato" w:eastAsia="Calibri" w:hAnsi="Lato" w:cs="Lato"/>
        </w:rPr>
        <w:t>Regionalny Dyrektor Ochrony Środowiska w Gdańsku</w:t>
      </w:r>
    </w:p>
    <w:p w14:paraId="6B73294F" w14:textId="77777777" w:rsidR="001E2375" w:rsidRPr="00C03771" w:rsidRDefault="00A560B4" w:rsidP="00A560B4">
      <w:pPr>
        <w:spacing w:after="0"/>
        <w:ind w:left="3828"/>
        <w:rPr>
          <w:rFonts w:ascii="Lato" w:eastAsia="Calibri" w:hAnsi="Lato" w:cs="Lato"/>
        </w:rPr>
      </w:pPr>
      <w:r w:rsidRPr="00C03771">
        <w:rPr>
          <w:rFonts w:ascii="Lato" w:eastAsia="Calibri" w:hAnsi="Lato" w:cs="Lato"/>
        </w:rPr>
        <w:t>Anna Tchórzewska</w:t>
      </w:r>
    </w:p>
    <w:p w14:paraId="3C049C22" w14:textId="77777777" w:rsidR="001E2375" w:rsidRDefault="00A560B4" w:rsidP="00A560B4">
      <w:pPr>
        <w:spacing w:after="0"/>
        <w:ind w:left="3120" w:firstLine="708"/>
        <w:rPr>
          <w:rFonts w:ascii="Lato" w:eastAsia="Calibri" w:hAnsi="Lato" w:cs="Lato"/>
        </w:rPr>
      </w:pPr>
      <w:r w:rsidRPr="00C03771">
        <w:rPr>
          <w:rFonts w:ascii="Lato" w:eastAsia="Calibri" w:hAnsi="Lato" w:cs="Lato"/>
        </w:rPr>
        <w:t>/podpisano elektronicznie/</w:t>
      </w:r>
    </w:p>
    <w:p w14:paraId="17E69580" w14:textId="77777777" w:rsidR="001E2375" w:rsidRPr="001E2375" w:rsidRDefault="00A560B4" w:rsidP="00A560B4">
      <w:pPr>
        <w:spacing w:after="0"/>
        <w:rPr>
          <w:rFonts w:ascii="Lato" w:eastAsia="Calibri" w:hAnsi="Lato" w:cs="Lato"/>
          <w:sz w:val="18"/>
          <w:szCs w:val="18"/>
          <w:u w:val="single"/>
        </w:rPr>
      </w:pPr>
      <w:r w:rsidRPr="001E2375">
        <w:rPr>
          <w:rFonts w:ascii="Lato" w:eastAsia="Calibri" w:hAnsi="Lato" w:cs="Lato"/>
          <w:sz w:val="18"/>
          <w:szCs w:val="18"/>
          <w:u w:val="single"/>
        </w:rPr>
        <w:lastRenderedPageBreak/>
        <w:t>Art. 36 kpa:</w:t>
      </w:r>
      <w:r w:rsidRPr="001E2375">
        <w:rPr>
          <w:rFonts w:ascii="Lato" w:eastAsia="Calibri" w:hAnsi="Lato" w:cs="Lato"/>
          <w:sz w:val="18"/>
          <w:szCs w:val="18"/>
        </w:rPr>
        <w:t xml:space="preserve"> O</w:t>
      </w:r>
      <w:r w:rsidRPr="001E2375">
        <w:rPr>
          <w:rFonts w:ascii="Lato" w:eastAsia="Calibri" w:hAnsi="Lato" w:cs="Lato"/>
          <w:iCs/>
          <w:sz w:val="18"/>
          <w:szCs w:val="18"/>
        </w:rPr>
        <w:t xml:space="preserve"> każdym przypadku niezałatwienia sprawy w terminie określonym w art. 35 lub w przepisach szczególnych organ administracji publicznej jest obowiązany zawiadomić strony, podając przyczyny zwłoki i wskazując nowy termin załatwienia sprawy.</w:t>
      </w:r>
    </w:p>
    <w:p w14:paraId="04021E7A" w14:textId="77777777" w:rsidR="001E2375" w:rsidRPr="001E2375" w:rsidRDefault="00A560B4" w:rsidP="00A560B4">
      <w:pPr>
        <w:spacing w:after="0"/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Calibri" w:hAnsi="Lato" w:cs="Lato"/>
          <w:sz w:val="18"/>
          <w:szCs w:val="18"/>
          <w:u w:val="single"/>
        </w:rPr>
        <w:t>Art. 10 §  1. kpa:</w:t>
      </w:r>
      <w:r w:rsidRPr="001E2375">
        <w:rPr>
          <w:rFonts w:ascii="Lato" w:eastAsia="Calibri" w:hAnsi="Lato" w:cs="Lato"/>
          <w:sz w:val="18"/>
          <w:szCs w:val="18"/>
        </w:rPr>
        <w:t xml:space="preserve"> Organy administracji publicznej obowiązane są zapewnić stronom czynny udział w każdym stadium postępowania, a przed wydaniem decyzji umożliwić im wypowiedzenie się co do zebranych dowodów i materiałów oraz zgłoszonych żądań.</w:t>
      </w:r>
    </w:p>
    <w:p w14:paraId="6057F307" w14:textId="77777777" w:rsidR="001E2375" w:rsidRPr="001E2375" w:rsidRDefault="00A560B4" w:rsidP="00A560B4">
      <w:pPr>
        <w:spacing w:after="0"/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Calibri" w:hAnsi="Lato" w:cs="Lato"/>
          <w:sz w:val="18"/>
          <w:szCs w:val="18"/>
          <w:u w:val="single"/>
        </w:rPr>
        <w:t>Art. 49  kpa</w:t>
      </w:r>
      <w:r w:rsidRPr="001E2375">
        <w:rPr>
          <w:rFonts w:ascii="Lato" w:eastAsia="Calibri" w:hAnsi="Lato" w:cs="Lato"/>
          <w:sz w:val="18"/>
          <w:szCs w:val="18"/>
        </w:rPr>
        <w:t xml:space="preserve">: </w:t>
      </w:r>
    </w:p>
    <w:p w14:paraId="2913430A" w14:textId="77777777" w:rsidR="001E2375" w:rsidRPr="001E2375" w:rsidRDefault="00A560B4" w:rsidP="00A560B4">
      <w:pPr>
        <w:spacing w:after="0"/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Calibri" w:hAnsi="Lato" w:cs="Lato"/>
          <w:sz w:val="18"/>
          <w:szCs w:val="18"/>
        </w:rPr>
        <w:t xml:space="preserve">§  1.  Jeżeli </w:t>
      </w:r>
      <w:hyperlink r:id="rId8" w:anchor="/search-hypertext/16784712_art%2849%29_1?pit=2018-03-07" w:history="1">
        <w:r w:rsidR="001E2375" w:rsidRPr="001E2375">
          <w:rPr>
            <w:rFonts w:ascii="Lato" w:eastAsia="Calibri" w:hAnsi="Lato" w:cs="Lato"/>
            <w:sz w:val="18"/>
            <w:szCs w:val="18"/>
          </w:rPr>
          <w:t>przepis</w:t>
        </w:r>
      </w:hyperlink>
      <w:r w:rsidRPr="001E2375">
        <w:rPr>
          <w:rFonts w:ascii="Lato" w:eastAsia="Calibri" w:hAnsi="Lato" w:cs="Lato"/>
          <w:sz w:val="18"/>
          <w:szCs w:val="18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62FF94E5" w14:textId="77777777" w:rsidR="001E2375" w:rsidRPr="001E2375" w:rsidRDefault="00A560B4" w:rsidP="00A560B4">
      <w:pPr>
        <w:spacing w:after="0"/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Calibri" w:hAnsi="Lato" w:cs="Lato"/>
          <w:sz w:val="18"/>
          <w:szCs w:val="18"/>
        </w:rPr>
        <w:t>§  2.  Dzień, w którym nastąpiło publiczne obwieszczenie, inne publiczne ogłoszenie lub udostępnienie pisma w 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200133A" w14:textId="77777777" w:rsidR="001E2375" w:rsidRPr="001E2375" w:rsidRDefault="00A560B4" w:rsidP="00A560B4">
      <w:pPr>
        <w:spacing w:after="0"/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Calibri" w:hAnsi="Lato" w:cs="Lato"/>
          <w:sz w:val="18"/>
          <w:szCs w:val="18"/>
          <w:u w:val="single"/>
        </w:rPr>
        <w:t>Art. 74 ust. 3 ustawy ooś</w:t>
      </w:r>
      <w:r w:rsidRPr="001E2375">
        <w:rPr>
          <w:rFonts w:ascii="Lato" w:eastAsia="Calibri" w:hAnsi="Lato" w:cs="Lato"/>
          <w:sz w:val="18"/>
          <w:szCs w:val="18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="001E2375" w:rsidRPr="001E2375">
          <w:rPr>
            <w:rFonts w:ascii="Lato" w:eastAsia="Calibri" w:hAnsi="Lato" w:cs="Lato"/>
            <w:sz w:val="18"/>
            <w:szCs w:val="18"/>
          </w:rPr>
          <w:t>art. 49</w:t>
        </w:r>
      </w:hyperlink>
      <w:r w:rsidRPr="001E2375">
        <w:rPr>
          <w:rFonts w:ascii="Lato" w:eastAsia="Calibri" w:hAnsi="Lato" w:cs="Lato"/>
          <w:sz w:val="18"/>
          <w:szCs w:val="18"/>
        </w:rPr>
        <w:t xml:space="preserve"> Kodeksu postępowania administracyjnego.</w:t>
      </w:r>
    </w:p>
    <w:p w14:paraId="57EE391D" w14:textId="77777777" w:rsidR="001E2375" w:rsidRPr="001E2375" w:rsidRDefault="00A560B4" w:rsidP="00A560B4">
      <w:pPr>
        <w:rPr>
          <w:rFonts w:ascii="Lato" w:eastAsia="Calibri" w:hAnsi="Lato" w:cs="Lato"/>
          <w:sz w:val="18"/>
          <w:szCs w:val="18"/>
        </w:rPr>
      </w:pPr>
      <w:r w:rsidRPr="001E2375">
        <w:rPr>
          <w:rFonts w:ascii="Lato" w:eastAsia="Times New Roman" w:hAnsi="Lato" w:cs="Lato"/>
          <w:iCs/>
          <w:sz w:val="18"/>
          <w:szCs w:val="18"/>
          <w:u w:val="single"/>
          <w:lang w:eastAsia="pl-PL"/>
        </w:rPr>
        <w:t>Art. 75 ust. 1 pkt 1 lit p) ustawy ooś:</w:t>
      </w:r>
      <w:r w:rsidRPr="001E2375">
        <w:rPr>
          <w:rFonts w:ascii="Lato" w:eastAsia="Times New Roman" w:hAnsi="Lato" w:cs="Lato"/>
          <w:iCs/>
          <w:sz w:val="18"/>
          <w:szCs w:val="18"/>
          <w:lang w:eastAsia="pl-PL"/>
        </w:rPr>
        <w:t xml:space="preserve"> Organem właściwym do wydania decyzji o środowiskowych uwarunkowaniach jest regionalny dyrektor ochrony środowiska - w przypadku zmian dokonywanych w obiektach kwalifikowanych jako przedsięwzięcia mogące zawsze znacząco oddziaływać na środowisko lub potencjalnie znacząco oddziaływać na środowisko, w przypadku których do wydania decyzji o środowiskowych uwarunkowaniach właściwy jest regionalny dyrektor ochrony środowiska, określonych w przepisach wydanych na podstawie art. 60 pkt 3.</w:t>
      </w:r>
    </w:p>
    <w:p w14:paraId="6911EB58" w14:textId="77777777" w:rsidR="001E2375" w:rsidRPr="001E2375" w:rsidRDefault="00A560B4" w:rsidP="00A560B4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1E2375">
        <w:rPr>
          <w:rFonts w:ascii="Lato" w:eastAsia="Times New Roman" w:hAnsi="Lato" w:cs="Lato"/>
          <w:sz w:val="18"/>
          <w:szCs w:val="18"/>
          <w:u w:val="single"/>
          <w:lang w:eastAsia="pl-PL"/>
        </w:rPr>
        <w:t>Przekazuje się do upublicznienia:</w:t>
      </w:r>
    </w:p>
    <w:p w14:paraId="6F7E8FB1" w14:textId="77777777" w:rsidR="001E2375" w:rsidRPr="001E2375" w:rsidRDefault="00A560B4" w:rsidP="00A560B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1E2375">
        <w:rPr>
          <w:rFonts w:ascii="Lato" w:eastAsia="Times New Roman" w:hAnsi="Lato" w:cs="Lato"/>
          <w:sz w:val="18"/>
          <w:szCs w:val="18"/>
          <w:lang w:eastAsia="pl-PL"/>
        </w:rPr>
        <w:t>strona internetowa RDOŚ w Gdańsku, https://www.gov.pl/web/rdos-gdansk</w:t>
      </w:r>
    </w:p>
    <w:p w14:paraId="655B7BC0" w14:textId="77777777" w:rsidR="001E2375" w:rsidRPr="001E2375" w:rsidRDefault="00A560B4" w:rsidP="00A560B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1E2375">
        <w:rPr>
          <w:rFonts w:ascii="Lato" w:eastAsia="Times New Roman" w:hAnsi="Lato" w:cs="Lato"/>
          <w:sz w:val="18"/>
          <w:szCs w:val="18"/>
          <w:lang w:eastAsia="pl-PL"/>
        </w:rPr>
        <w:t xml:space="preserve">tablica ogłoszeń RDOŚ w Gdańsku </w:t>
      </w:r>
    </w:p>
    <w:p w14:paraId="01A757BC" w14:textId="77777777" w:rsidR="001E2375" w:rsidRPr="001E2375" w:rsidRDefault="00A560B4" w:rsidP="00A560B4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18"/>
          <w:szCs w:val="18"/>
          <w:lang w:eastAsia="pl-PL"/>
        </w:rPr>
      </w:pPr>
      <w:r w:rsidRPr="001E2375">
        <w:rPr>
          <w:rFonts w:ascii="Lato" w:eastAsia="Times New Roman" w:hAnsi="Lato" w:cs="Lato"/>
          <w:sz w:val="18"/>
          <w:szCs w:val="18"/>
          <w:lang w:eastAsia="pl-PL"/>
        </w:rPr>
        <w:t xml:space="preserve">aa   </w:t>
      </w:r>
      <w:r w:rsidRPr="001E2375">
        <w:rPr>
          <w:rFonts w:ascii="Lato" w:eastAsia="Times New Roman" w:hAnsi="Lato" w:cs="Lato"/>
          <w:bCs/>
          <w:sz w:val="18"/>
          <w:szCs w:val="18"/>
          <w:lang w:eastAsia="pl-PL"/>
        </w:rPr>
        <w:t>Sprawę prowadzi: Marta Radwańska, tel.: 58 68 36 840 w godzinach 10.00-13.00</w:t>
      </w:r>
    </w:p>
    <w:p w14:paraId="0BDD78C1" w14:textId="77777777" w:rsidR="001E2375" w:rsidRPr="001E2375" w:rsidRDefault="00A560B4" w:rsidP="00A560B4">
      <w:pPr>
        <w:tabs>
          <w:tab w:val="center" w:pos="4536"/>
          <w:tab w:val="right" w:pos="9072"/>
        </w:tabs>
        <w:spacing w:after="0" w:line="240" w:lineRule="auto"/>
        <w:rPr>
          <w:rFonts w:ascii="Lato" w:eastAsia="Calibri" w:hAnsi="Lato" w:cs="Lato"/>
          <w:sz w:val="21"/>
          <w:szCs w:val="21"/>
        </w:rPr>
      </w:pPr>
      <w:r w:rsidRPr="001E2375">
        <w:rPr>
          <w:rFonts w:ascii="Lato" w:eastAsia="Calibri" w:hAnsi="Lato" w:cs="Lato"/>
          <w:sz w:val="21"/>
          <w:szCs w:val="21"/>
        </w:rPr>
        <w:tab/>
      </w:r>
    </w:p>
    <w:p w14:paraId="4A6E3318" w14:textId="77777777" w:rsidR="001E2375" w:rsidRPr="001E2375" w:rsidRDefault="001E2375" w:rsidP="00A560B4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00AB00CB" w14:textId="77777777" w:rsidR="001E2375" w:rsidRPr="001E2375" w:rsidRDefault="001E2375" w:rsidP="00A560B4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3B4A181B" w14:textId="77777777" w:rsidR="001E2375" w:rsidRPr="001E2375" w:rsidRDefault="001E2375" w:rsidP="00A560B4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248B8BAB" w14:textId="77777777" w:rsidR="001E2375" w:rsidRPr="001E2375" w:rsidRDefault="001E2375" w:rsidP="00A560B4">
      <w:pPr>
        <w:spacing w:after="0" w:line="240" w:lineRule="auto"/>
        <w:rPr>
          <w:rFonts w:ascii="Lato" w:eastAsia="Calibri" w:hAnsi="Lato" w:cs="Lato"/>
          <w:sz w:val="21"/>
          <w:szCs w:val="21"/>
        </w:rPr>
      </w:pPr>
    </w:p>
    <w:p w14:paraId="1879E57B" w14:textId="77777777" w:rsidR="00E112EA" w:rsidRPr="001E2375" w:rsidRDefault="00E112EA" w:rsidP="00A560B4">
      <w:pPr>
        <w:spacing w:after="0" w:line="360" w:lineRule="auto"/>
        <w:rPr>
          <w:rFonts w:ascii="Lato" w:hAnsi="Lato" w:cs="Lato"/>
        </w:rPr>
      </w:pPr>
    </w:p>
    <w:sectPr w:rsidR="00E112EA" w:rsidRPr="001E2375" w:rsidSect="00E112E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1EFFC" w14:textId="77777777" w:rsidR="00A560B4" w:rsidRDefault="00A560B4">
      <w:pPr>
        <w:spacing w:after="0" w:line="240" w:lineRule="auto"/>
      </w:pPr>
      <w:r>
        <w:separator/>
      </w:r>
    </w:p>
  </w:endnote>
  <w:endnote w:type="continuationSeparator" w:id="0">
    <w:p w14:paraId="5948D3E7" w14:textId="77777777" w:rsidR="00A560B4" w:rsidRDefault="00A5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7A9F0" w14:textId="77777777" w:rsidR="004246CC" w:rsidRPr="001E2375" w:rsidRDefault="00A560B4" w:rsidP="002F42BB">
    <w:pPr>
      <w:pStyle w:val="Stopka"/>
      <w:rPr>
        <w:rFonts w:ascii="Lato" w:hAnsi="Lato" w:cs="Lato"/>
        <w:sz w:val="20"/>
        <w:szCs w:val="20"/>
      </w:rPr>
    </w:pPr>
    <w:r w:rsidRPr="001E2375">
      <w:rPr>
        <w:rFonts w:ascii="Lato" w:hAnsi="Lato" w:cs="Lato"/>
        <w:noProof/>
        <w:sz w:val="20"/>
        <w:szCs w:val="20"/>
      </w:rPr>
      <w:t>RDOŚ-Gd-WOO.420.2.2026.MR.36</w:t>
    </w:r>
    <w:r w:rsidRPr="001E2375">
      <w:rPr>
        <w:rFonts w:ascii="Lato" w:hAnsi="Lato" w:cs="Lato"/>
        <w:sz w:val="20"/>
        <w:szCs w:val="20"/>
      </w:rPr>
      <w:tab/>
    </w:r>
    <w:r>
      <w:rPr>
        <w:rFonts w:ascii="Lato" w:hAnsi="Lato" w:cs="Lato"/>
        <w:sz w:val="20"/>
        <w:szCs w:val="20"/>
      </w:rPr>
      <w:tab/>
    </w:r>
    <w:r w:rsidRPr="001E2375">
      <w:rPr>
        <w:rFonts w:ascii="Lato" w:hAnsi="Lato" w:cs="Lato"/>
        <w:sz w:val="20"/>
        <w:szCs w:val="20"/>
      </w:rPr>
      <w:t xml:space="preserve">Strona </w:t>
    </w:r>
    <w:r w:rsidRPr="001E2375">
      <w:rPr>
        <w:rFonts w:ascii="Lato" w:hAnsi="Lato" w:cs="Lato"/>
        <w:sz w:val="20"/>
        <w:szCs w:val="20"/>
      </w:rPr>
      <w:fldChar w:fldCharType="begin"/>
    </w:r>
    <w:r w:rsidRPr="001E2375">
      <w:rPr>
        <w:rFonts w:ascii="Lato" w:hAnsi="Lato" w:cs="Lato"/>
        <w:sz w:val="20"/>
        <w:szCs w:val="20"/>
      </w:rPr>
      <w:instrText>PAGE  \* Arabic  \* MERGEFORMAT</w:instrText>
    </w:r>
    <w:r w:rsidRPr="001E2375">
      <w:rPr>
        <w:rFonts w:ascii="Lato" w:hAnsi="Lato" w:cs="Lato"/>
        <w:sz w:val="20"/>
        <w:szCs w:val="20"/>
      </w:rPr>
      <w:fldChar w:fldCharType="separate"/>
    </w:r>
    <w:r w:rsidRPr="001E2375">
      <w:rPr>
        <w:rFonts w:ascii="Lato" w:hAnsi="Lato" w:cs="Lato"/>
        <w:sz w:val="20"/>
        <w:szCs w:val="20"/>
      </w:rPr>
      <w:t>1</w:t>
    </w:r>
    <w:r w:rsidRPr="001E2375">
      <w:rPr>
        <w:rFonts w:ascii="Lato" w:hAnsi="Lato" w:cs="Lato"/>
        <w:sz w:val="20"/>
        <w:szCs w:val="20"/>
      </w:rPr>
      <w:fldChar w:fldCharType="end"/>
    </w:r>
    <w:r w:rsidRPr="001E2375">
      <w:rPr>
        <w:rFonts w:ascii="Lato" w:hAnsi="Lato" w:cs="Lato"/>
        <w:sz w:val="20"/>
        <w:szCs w:val="20"/>
      </w:rPr>
      <w:t xml:space="preserve"> z </w:t>
    </w:r>
    <w:r w:rsidRPr="001E2375">
      <w:rPr>
        <w:rFonts w:ascii="Lato" w:hAnsi="Lato" w:cs="Lato"/>
        <w:sz w:val="20"/>
        <w:szCs w:val="20"/>
      </w:rPr>
      <w:fldChar w:fldCharType="begin"/>
    </w:r>
    <w:r w:rsidRPr="001E2375">
      <w:rPr>
        <w:rFonts w:ascii="Lato" w:hAnsi="Lato" w:cs="Lato"/>
        <w:sz w:val="20"/>
        <w:szCs w:val="20"/>
      </w:rPr>
      <w:instrText>NUMPAGES  \* Arabic  \* MERGEFORMAT</w:instrText>
    </w:r>
    <w:r w:rsidRPr="001E2375">
      <w:rPr>
        <w:rFonts w:ascii="Lato" w:hAnsi="Lato" w:cs="Lato"/>
        <w:sz w:val="20"/>
        <w:szCs w:val="20"/>
      </w:rPr>
      <w:fldChar w:fldCharType="separate"/>
    </w:r>
    <w:r w:rsidRPr="001E2375">
      <w:rPr>
        <w:rFonts w:ascii="Lato" w:hAnsi="Lato" w:cs="Lato"/>
        <w:sz w:val="20"/>
        <w:szCs w:val="20"/>
      </w:rPr>
      <w:t>2</w:t>
    </w:r>
    <w:r w:rsidRPr="001E2375">
      <w:rPr>
        <w:rFonts w:ascii="Lato" w:hAnsi="Lato" w:cs="Lato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FB4D0" w14:textId="77777777" w:rsidR="009B51B8" w:rsidRPr="009B51B8" w:rsidRDefault="00A560B4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21DAD4C5" wp14:editId="63213EEA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D1874" w14:textId="77777777" w:rsidR="00A560B4" w:rsidRDefault="00A560B4">
      <w:pPr>
        <w:spacing w:after="0" w:line="240" w:lineRule="auto"/>
      </w:pPr>
      <w:r>
        <w:separator/>
      </w:r>
    </w:p>
  </w:footnote>
  <w:footnote w:type="continuationSeparator" w:id="0">
    <w:p w14:paraId="1D78CD99" w14:textId="77777777" w:rsidR="00A560B4" w:rsidRDefault="00A5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C70B" w14:textId="77777777" w:rsidR="004246CC" w:rsidRDefault="004246CC" w:rsidP="002F42BB">
    <w:pPr>
      <w:pStyle w:val="Nagwek"/>
    </w:pPr>
  </w:p>
  <w:p w14:paraId="401FDA92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ACE7" w14:textId="77777777" w:rsidR="009B51B8" w:rsidRDefault="00A560B4">
    <w:pPr>
      <w:pStyle w:val="Nagwek"/>
    </w:pPr>
    <w:r>
      <w:rPr>
        <w:noProof/>
      </w:rPr>
      <w:drawing>
        <wp:inline distT="0" distB="0" distL="0" distR="0" wp14:anchorId="6865A1E6" wp14:editId="1E00DAE9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16C77A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232A51C2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1902E7A2" w:tentative="1">
      <w:start w:val="1"/>
      <w:numFmt w:val="lowerLetter"/>
      <w:lvlText w:val="%2."/>
      <w:lvlJc w:val="left"/>
      <w:pPr>
        <w:ind w:left="1788" w:hanging="360"/>
      </w:pPr>
    </w:lvl>
    <w:lvl w:ilvl="2" w:tplc="BA6EAAE2" w:tentative="1">
      <w:start w:val="1"/>
      <w:numFmt w:val="lowerRoman"/>
      <w:lvlText w:val="%3."/>
      <w:lvlJc w:val="right"/>
      <w:pPr>
        <w:ind w:left="2508" w:hanging="180"/>
      </w:pPr>
    </w:lvl>
    <w:lvl w:ilvl="3" w:tplc="0D40C3BA" w:tentative="1">
      <w:start w:val="1"/>
      <w:numFmt w:val="decimal"/>
      <w:lvlText w:val="%4."/>
      <w:lvlJc w:val="left"/>
      <w:pPr>
        <w:ind w:left="3228" w:hanging="360"/>
      </w:pPr>
    </w:lvl>
    <w:lvl w:ilvl="4" w:tplc="7278F680" w:tentative="1">
      <w:start w:val="1"/>
      <w:numFmt w:val="lowerLetter"/>
      <w:lvlText w:val="%5."/>
      <w:lvlJc w:val="left"/>
      <w:pPr>
        <w:ind w:left="3948" w:hanging="360"/>
      </w:pPr>
    </w:lvl>
    <w:lvl w:ilvl="5" w:tplc="4CA266C0" w:tentative="1">
      <w:start w:val="1"/>
      <w:numFmt w:val="lowerRoman"/>
      <w:lvlText w:val="%6."/>
      <w:lvlJc w:val="right"/>
      <w:pPr>
        <w:ind w:left="4668" w:hanging="180"/>
      </w:pPr>
    </w:lvl>
    <w:lvl w:ilvl="6" w:tplc="719ABC1E" w:tentative="1">
      <w:start w:val="1"/>
      <w:numFmt w:val="decimal"/>
      <w:lvlText w:val="%7."/>
      <w:lvlJc w:val="left"/>
      <w:pPr>
        <w:ind w:left="5388" w:hanging="360"/>
      </w:pPr>
    </w:lvl>
    <w:lvl w:ilvl="7" w:tplc="609EEAA8" w:tentative="1">
      <w:start w:val="1"/>
      <w:numFmt w:val="lowerLetter"/>
      <w:lvlText w:val="%8."/>
      <w:lvlJc w:val="left"/>
      <w:pPr>
        <w:ind w:left="6108" w:hanging="360"/>
      </w:pPr>
    </w:lvl>
    <w:lvl w:ilvl="8" w:tplc="BD608A0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2990D6A2">
      <w:start w:val="1"/>
      <w:numFmt w:val="decimal"/>
      <w:lvlText w:val="%1."/>
      <w:lvlJc w:val="left"/>
      <w:pPr>
        <w:ind w:left="1428" w:hanging="360"/>
      </w:pPr>
    </w:lvl>
    <w:lvl w:ilvl="1" w:tplc="B6E284F0" w:tentative="1">
      <w:start w:val="1"/>
      <w:numFmt w:val="lowerLetter"/>
      <w:lvlText w:val="%2."/>
      <w:lvlJc w:val="left"/>
      <w:pPr>
        <w:ind w:left="2148" w:hanging="360"/>
      </w:pPr>
    </w:lvl>
    <w:lvl w:ilvl="2" w:tplc="54269FF0" w:tentative="1">
      <w:start w:val="1"/>
      <w:numFmt w:val="lowerRoman"/>
      <w:lvlText w:val="%3."/>
      <w:lvlJc w:val="right"/>
      <w:pPr>
        <w:ind w:left="2868" w:hanging="180"/>
      </w:pPr>
    </w:lvl>
    <w:lvl w:ilvl="3" w:tplc="56ECF274" w:tentative="1">
      <w:start w:val="1"/>
      <w:numFmt w:val="decimal"/>
      <w:lvlText w:val="%4."/>
      <w:lvlJc w:val="left"/>
      <w:pPr>
        <w:ind w:left="3588" w:hanging="360"/>
      </w:pPr>
    </w:lvl>
    <w:lvl w:ilvl="4" w:tplc="EA1496FE" w:tentative="1">
      <w:start w:val="1"/>
      <w:numFmt w:val="lowerLetter"/>
      <w:lvlText w:val="%5."/>
      <w:lvlJc w:val="left"/>
      <w:pPr>
        <w:ind w:left="4308" w:hanging="360"/>
      </w:pPr>
    </w:lvl>
    <w:lvl w:ilvl="5" w:tplc="08283BC0" w:tentative="1">
      <w:start w:val="1"/>
      <w:numFmt w:val="lowerRoman"/>
      <w:lvlText w:val="%6."/>
      <w:lvlJc w:val="right"/>
      <w:pPr>
        <w:ind w:left="5028" w:hanging="180"/>
      </w:pPr>
    </w:lvl>
    <w:lvl w:ilvl="6" w:tplc="C52CD744" w:tentative="1">
      <w:start w:val="1"/>
      <w:numFmt w:val="decimal"/>
      <w:lvlText w:val="%7."/>
      <w:lvlJc w:val="left"/>
      <w:pPr>
        <w:ind w:left="5748" w:hanging="360"/>
      </w:pPr>
    </w:lvl>
    <w:lvl w:ilvl="7" w:tplc="EF4E2F78" w:tentative="1">
      <w:start w:val="1"/>
      <w:numFmt w:val="lowerLetter"/>
      <w:lvlText w:val="%8."/>
      <w:lvlJc w:val="left"/>
      <w:pPr>
        <w:ind w:left="6468" w:hanging="360"/>
      </w:pPr>
    </w:lvl>
    <w:lvl w:ilvl="8" w:tplc="8A52D852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2F81DA4"/>
    <w:multiLevelType w:val="hybridMultilevel"/>
    <w:tmpl w:val="C08EC0DC"/>
    <w:lvl w:ilvl="0" w:tplc="A4AE3E58">
      <w:start w:val="1"/>
      <w:numFmt w:val="decimal"/>
      <w:lvlText w:val="%1."/>
      <w:lvlJc w:val="left"/>
      <w:pPr>
        <w:ind w:left="720" w:hanging="360"/>
      </w:pPr>
    </w:lvl>
    <w:lvl w:ilvl="1" w:tplc="319A3890" w:tentative="1">
      <w:start w:val="1"/>
      <w:numFmt w:val="lowerLetter"/>
      <w:lvlText w:val="%2."/>
      <w:lvlJc w:val="left"/>
      <w:pPr>
        <w:ind w:left="1440" w:hanging="360"/>
      </w:pPr>
    </w:lvl>
    <w:lvl w:ilvl="2" w:tplc="3F3AEC4A" w:tentative="1">
      <w:start w:val="1"/>
      <w:numFmt w:val="lowerRoman"/>
      <w:lvlText w:val="%3."/>
      <w:lvlJc w:val="right"/>
      <w:pPr>
        <w:ind w:left="2160" w:hanging="180"/>
      </w:pPr>
    </w:lvl>
    <w:lvl w:ilvl="3" w:tplc="55AAEE2A" w:tentative="1">
      <w:start w:val="1"/>
      <w:numFmt w:val="decimal"/>
      <w:lvlText w:val="%4."/>
      <w:lvlJc w:val="left"/>
      <w:pPr>
        <w:ind w:left="2880" w:hanging="360"/>
      </w:pPr>
    </w:lvl>
    <w:lvl w:ilvl="4" w:tplc="56DC8AE4" w:tentative="1">
      <w:start w:val="1"/>
      <w:numFmt w:val="lowerLetter"/>
      <w:lvlText w:val="%5."/>
      <w:lvlJc w:val="left"/>
      <w:pPr>
        <w:ind w:left="3600" w:hanging="360"/>
      </w:pPr>
    </w:lvl>
    <w:lvl w:ilvl="5" w:tplc="F440F064" w:tentative="1">
      <w:start w:val="1"/>
      <w:numFmt w:val="lowerRoman"/>
      <w:lvlText w:val="%6."/>
      <w:lvlJc w:val="right"/>
      <w:pPr>
        <w:ind w:left="4320" w:hanging="180"/>
      </w:pPr>
    </w:lvl>
    <w:lvl w:ilvl="6" w:tplc="EDE2B886" w:tentative="1">
      <w:start w:val="1"/>
      <w:numFmt w:val="decimal"/>
      <w:lvlText w:val="%7."/>
      <w:lvlJc w:val="left"/>
      <w:pPr>
        <w:ind w:left="5040" w:hanging="360"/>
      </w:pPr>
    </w:lvl>
    <w:lvl w:ilvl="7" w:tplc="A62A079A" w:tentative="1">
      <w:start w:val="1"/>
      <w:numFmt w:val="lowerLetter"/>
      <w:lvlText w:val="%8."/>
      <w:lvlJc w:val="left"/>
      <w:pPr>
        <w:ind w:left="5760" w:hanging="360"/>
      </w:pPr>
    </w:lvl>
    <w:lvl w:ilvl="8" w:tplc="FE0A5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421D0"/>
    <w:multiLevelType w:val="singleLevel"/>
    <w:tmpl w:val="2EE0A9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num w:numId="1" w16cid:durableId="1969360837">
    <w:abstractNumId w:val="1"/>
  </w:num>
  <w:num w:numId="2" w16cid:durableId="1569807350">
    <w:abstractNumId w:val="0"/>
  </w:num>
  <w:num w:numId="3" w16cid:durableId="1745642699">
    <w:abstractNumId w:val="3"/>
    <w:lvlOverride w:ilvl="0">
      <w:startOverride w:val="1"/>
    </w:lvlOverride>
  </w:num>
  <w:num w:numId="4" w16cid:durableId="1104378671">
    <w:abstractNumId w:val="3"/>
  </w:num>
  <w:num w:numId="5" w16cid:durableId="2014137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2375"/>
    <w:rsid w:val="001E6234"/>
    <w:rsid w:val="001F6474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25A9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C7A"/>
    <w:rsid w:val="004D513A"/>
    <w:rsid w:val="004D7EBD"/>
    <w:rsid w:val="004E1DFF"/>
    <w:rsid w:val="004E753D"/>
    <w:rsid w:val="00550D91"/>
    <w:rsid w:val="00555CF4"/>
    <w:rsid w:val="00560303"/>
    <w:rsid w:val="00566F04"/>
    <w:rsid w:val="005A3DE4"/>
    <w:rsid w:val="005A6A97"/>
    <w:rsid w:val="005B2069"/>
    <w:rsid w:val="005C7453"/>
    <w:rsid w:val="00606320"/>
    <w:rsid w:val="00606335"/>
    <w:rsid w:val="006157D5"/>
    <w:rsid w:val="00664588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C2400"/>
    <w:rsid w:val="007E51E4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560B4"/>
    <w:rsid w:val="00AA3D2A"/>
    <w:rsid w:val="00AD0C02"/>
    <w:rsid w:val="00B01BF9"/>
    <w:rsid w:val="00B03623"/>
    <w:rsid w:val="00B266F7"/>
    <w:rsid w:val="00B34630"/>
    <w:rsid w:val="00B5270B"/>
    <w:rsid w:val="00B96E0B"/>
    <w:rsid w:val="00BA6C20"/>
    <w:rsid w:val="00BC5797"/>
    <w:rsid w:val="00BD2D74"/>
    <w:rsid w:val="00BE34B7"/>
    <w:rsid w:val="00C03771"/>
    <w:rsid w:val="00C129FB"/>
    <w:rsid w:val="00C13BF3"/>
    <w:rsid w:val="00C24491"/>
    <w:rsid w:val="00C33197"/>
    <w:rsid w:val="00C42AA4"/>
    <w:rsid w:val="00C56F6C"/>
    <w:rsid w:val="00C66D02"/>
    <w:rsid w:val="00CA1FD4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66FC4"/>
    <w:rsid w:val="00E879A1"/>
    <w:rsid w:val="00E95CAF"/>
    <w:rsid w:val="00EC1F93"/>
    <w:rsid w:val="00EE5967"/>
    <w:rsid w:val="00EF7C9D"/>
    <w:rsid w:val="00F06CAA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F0C7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741</Words>
  <Characters>4451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6</cp:revision>
  <dcterms:created xsi:type="dcterms:W3CDTF">2026-04-15T08:31:00Z</dcterms:created>
  <dcterms:modified xsi:type="dcterms:W3CDTF">2026-10-20T12:58:00Z</dcterms:modified>
</cp:coreProperties>
</file>