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FEE46" w14:textId="6DA395A6" w:rsidR="008F3769" w:rsidRDefault="00A417E7">
      <w:bookmarkStart w:id="0" w:name="_GoBack"/>
      <w:bookmarkEnd w:id="0"/>
      <w:r>
        <w:t>Zasady zabezpieczeń Poziomu 0</w:t>
      </w:r>
    </w:p>
    <w:p w14:paraId="7BF4C1E0" w14:textId="77777777" w:rsidR="008F3769" w:rsidRPr="008F3769" w:rsidRDefault="008F3769" w:rsidP="008F3769">
      <w:pPr>
        <w:tabs>
          <w:tab w:val="left" w:pos="1657"/>
        </w:tabs>
      </w:pPr>
      <w:r>
        <w:tab/>
      </w:r>
    </w:p>
    <w:tbl>
      <w:tblPr>
        <w:tblW w:w="21220" w:type="dxa"/>
        <w:tblCellMar>
          <w:left w:w="70" w:type="dxa"/>
          <w:right w:w="70" w:type="dxa"/>
        </w:tblCellMar>
        <w:tblLook w:val="04A0" w:firstRow="1" w:lastRow="0" w:firstColumn="1" w:lastColumn="0" w:noHBand="0" w:noVBand="1"/>
      </w:tblPr>
      <w:tblGrid>
        <w:gridCol w:w="1660"/>
        <w:gridCol w:w="2320"/>
        <w:gridCol w:w="2100"/>
        <w:gridCol w:w="15140"/>
      </w:tblGrid>
      <w:tr w:rsidR="008F3769" w:rsidRPr="008F3769" w14:paraId="67C9FA8C" w14:textId="77777777" w:rsidTr="008F3769">
        <w:trPr>
          <w:trHeight w:val="315"/>
        </w:trPr>
        <w:tc>
          <w:tcPr>
            <w:tcW w:w="1660" w:type="dxa"/>
            <w:tcBorders>
              <w:top w:val="single" w:sz="8" w:space="0" w:color="DFE2E5"/>
              <w:left w:val="single" w:sz="8" w:space="0" w:color="DFE2E5"/>
              <w:bottom w:val="single" w:sz="8" w:space="0" w:color="DFE2E5"/>
              <w:right w:val="single" w:sz="8" w:space="0" w:color="DFE2E5"/>
            </w:tcBorders>
            <w:shd w:val="clear" w:color="000000" w:fill="FFFFFF"/>
            <w:vAlign w:val="center"/>
            <w:hideMark/>
          </w:tcPr>
          <w:p w14:paraId="77BEB565"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Grupa zasad</w:t>
            </w:r>
          </w:p>
        </w:tc>
        <w:tc>
          <w:tcPr>
            <w:tcW w:w="2320" w:type="dxa"/>
            <w:tcBorders>
              <w:top w:val="single" w:sz="8" w:space="0" w:color="DFE2E5"/>
              <w:left w:val="nil"/>
              <w:bottom w:val="single" w:sz="8" w:space="0" w:color="DFE2E5"/>
              <w:right w:val="single" w:sz="8" w:space="0" w:color="DFE2E5"/>
            </w:tcBorders>
            <w:shd w:val="clear" w:color="000000" w:fill="FFFFFF"/>
            <w:vAlign w:val="center"/>
            <w:hideMark/>
          </w:tcPr>
          <w:p w14:paraId="6A41C9D1"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Zasada</w:t>
            </w:r>
          </w:p>
        </w:tc>
        <w:tc>
          <w:tcPr>
            <w:tcW w:w="2100" w:type="dxa"/>
            <w:tcBorders>
              <w:top w:val="single" w:sz="8" w:space="0" w:color="DFE2E5"/>
              <w:left w:val="nil"/>
              <w:bottom w:val="single" w:sz="8" w:space="0" w:color="DFE2E5"/>
              <w:right w:val="single" w:sz="8" w:space="0" w:color="DFE2E5"/>
            </w:tcBorders>
            <w:shd w:val="clear" w:color="000000" w:fill="FFFFFF"/>
            <w:vAlign w:val="center"/>
            <w:hideMark/>
          </w:tcPr>
          <w:p w14:paraId="78E846F1"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Ustawienie zabezpieczeń</w:t>
            </w:r>
          </w:p>
        </w:tc>
        <w:tc>
          <w:tcPr>
            <w:tcW w:w="15140" w:type="dxa"/>
            <w:tcBorders>
              <w:top w:val="single" w:sz="8" w:space="0" w:color="DFE2E5"/>
              <w:left w:val="nil"/>
              <w:bottom w:val="single" w:sz="8" w:space="0" w:color="DFE2E5"/>
              <w:right w:val="single" w:sz="8" w:space="0" w:color="DFE2E5"/>
            </w:tcBorders>
            <w:shd w:val="clear" w:color="000000" w:fill="FFFFFF"/>
            <w:vAlign w:val="center"/>
            <w:hideMark/>
          </w:tcPr>
          <w:p w14:paraId="01F67A99"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Opis</w:t>
            </w:r>
          </w:p>
        </w:tc>
      </w:tr>
      <w:tr w:rsidR="008F3769" w:rsidRPr="008F3769" w14:paraId="01794EF0"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4A9DCB31"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Zasady blokady konta</w:t>
            </w:r>
          </w:p>
        </w:tc>
        <w:tc>
          <w:tcPr>
            <w:tcW w:w="2320" w:type="dxa"/>
            <w:tcBorders>
              <w:top w:val="nil"/>
              <w:left w:val="nil"/>
              <w:bottom w:val="single" w:sz="8" w:space="0" w:color="DFE2E5"/>
              <w:right w:val="single" w:sz="8" w:space="0" w:color="DFE2E5"/>
            </w:tcBorders>
            <w:shd w:val="clear" w:color="000000" w:fill="FFFFFF"/>
            <w:vAlign w:val="center"/>
            <w:hideMark/>
          </w:tcPr>
          <w:p w14:paraId="2288EAB9" w14:textId="12FBDB73"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Czas trwania blo</w:t>
            </w:r>
            <w:r w:rsidR="00E151B6">
              <w:rPr>
                <w:rFonts w:ascii="Segoe UI" w:eastAsia="Times New Roman" w:hAnsi="Segoe UI" w:cs="Segoe UI"/>
                <w:color w:val="24292E"/>
                <w:sz w:val="16"/>
                <w:szCs w:val="16"/>
                <w:lang w:eastAsia="pl-PL"/>
              </w:rPr>
              <w:t>k</w:t>
            </w:r>
            <w:r w:rsidRPr="008F3769">
              <w:rPr>
                <w:rFonts w:ascii="Segoe UI" w:eastAsia="Times New Roman" w:hAnsi="Segoe UI" w:cs="Segoe UI"/>
                <w:color w:val="24292E"/>
                <w:sz w:val="16"/>
                <w:szCs w:val="16"/>
                <w:lang w:eastAsia="pl-PL"/>
              </w:rPr>
              <w:t>ady konta</w:t>
            </w:r>
          </w:p>
        </w:tc>
        <w:tc>
          <w:tcPr>
            <w:tcW w:w="2100" w:type="dxa"/>
            <w:tcBorders>
              <w:top w:val="nil"/>
              <w:left w:val="nil"/>
              <w:bottom w:val="single" w:sz="8" w:space="0" w:color="DFE2E5"/>
              <w:right w:val="single" w:sz="8" w:space="0" w:color="DFE2E5"/>
            </w:tcBorders>
            <w:shd w:val="clear" w:color="000000" w:fill="FFFFFF"/>
            <w:vAlign w:val="center"/>
            <w:hideMark/>
          </w:tcPr>
          <w:p w14:paraId="79A17F77"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15</w:t>
            </w:r>
          </w:p>
        </w:tc>
        <w:tc>
          <w:tcPr>
            <w:tcW w:w="15140" w:type="dxa"/>
            <w:tcBorders>
              <w:top w:val="nil"/>
              <w:left w:val="nil"/>
              <w:bottom w:val="single" w:sz="8" w:space="0" w:color="DFE2E5"/>
              <w:right w:val="single" w:sz="8" w:space="0" w:color="DFE2E5"/>
            </w:tcBorders>
            <w:shd w:val="clear" w:color="000000" w:fill="FFFFFF"/>
            <w:vAlign w:val="center"/>
            <w:hideMark/>
          </w:tcPr>
          <w:p w14:paraId="43A3E44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Liczba minut, przez które konto pozostaje zablokowane po zablokowaniu, zanim nie zostanie automatycznie odblokowane. Jeśli zdefiniowano próg blokady konta, czas blokady konta musi być większy lub równy czasowi resetowania.</w:t>
            </w:r>
          </w:p>
        </w:tc>
      </w:tr>
      <w:tr w:rsidR="008F3769" w:rsidRPr="008F3769" w14:paraId="61929590"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25D60A2E"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Zasady blokady konta</w:t>
            </w:r>
          </w:p>
        </w:tc>
        <w:tc>
          <w:tcPr>
            <w:tcW w:w="2320" w:type="dxa"/>
            <w:tcBorders>
              <w:top w:val="nil"/>
              <w:left w:val="nil"/>
              <w:bottom w:val="single" w:sz="8" w:space="0" w:color="DFE2E5"/>
              <w:right w:val="single" w:sz="8" w:space="0" w:color="DFE2E5"/>
            </w:tcBorders>
            <w:shd w:val="clear" w:color="000000" w:fill="F6F8FA"/>
            <w:vAlign w:val="center"/>
            <w:hideMark/>
          </w:tcPr>
          <w:p w14:paraId="1F515B02"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Próg blokady konta</w:t>
            </w:r>
          </w:p>
        </w:tc>
        <w:tc>
          <w:tcPr>
            <w:tcW w:w="2100" w:type="dxa"/>
            <w:tcBorders>
              <w:top w:val="nil"/>
              <w:left w:val="nil"/>
              <w:bottom w:val="single" w:sz="8" w:space="0" w:color="DFE2E5"/>
              <w:right w:val="single" w:sz="8" w:space="0" w:color="DFE2E5"/>
            </w:tcBorders>
            <w:shd w:val="clear" w:color="000000" w:fill="F6F8FA"/>
            <w:vAlign w:val="center"/>
            <w:hideMark/>
          </w:tcPr>
          <w:p w14:paraId="0F1D27F8"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10</w:t>
            </w:r>
          </w:p>
        </w:tc>
        <w:tc>
          <w:tcPr>
            <w:tcW w:w="15140" w:type="dxa"/>
            <w:tcBorders>
              <w:top w:val="nil"/>
              <w:left w:val="nil"/>
              <w:bottom w:val="single" w:sz="8" w:space="0" w:color="DFE2E5"/>
              <w:right w:val="single" w:sz="8" w:space="0" w:color="DFE2E5"/>
            </w:tcBorders>
            <w:shd w:val="clear" w:color="000000" w:fill="F6F8FA"/>
            <w:vAlign w:val="center"/>
            <w:hideMark/>
          </w:tcPr>
          <w:p w14:paraId="6C9314D1"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Liczba nieudanych prób logowania, które powodują zablokowanie konta użytkownika. Zablokowanego konta nie można używać, dopóki nie zostanie zresetowane przez administratora lub dopóki nie upłynie czas blokady konta.</w:t>
            </w:r>
          </w:p>
        </w:tc>
      </w:tr>
      <w:tr w:rsidR="008F3769" w:rsidRPr="008F3769" w14:paraId="2810A398"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4F80B2A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Zasady blokady konta</w:t>
            </w:r>
          </w:p>
        </w:tc>
        <w:tc>
          <w:tcPr>
            <w:tcW w:w="2320" w:type="dxa"/>
            <w:tcBorders>
              <w:top w:val="nil"/>
              <w:left w:val="nil"/>
              <w:bottom w:val="single" w:sz="8" w:space="0" w:color="DFE2E5"/>
              <w:right w:val="single" w:sz="8" w:space="0" w:color="DFE2E5"/>
            </w:tcBorders>
            <w:shd w:val="clear" w:color="000000" w:fill="FFFFFF"/>
            <w:vAlign w:val="center"/>
            <w:hideMark/>
          </w:tcPr>
          <w:p w14:paraId="17531F8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Wyzerowanie blokady konta po</w:t>
            </w:r>
          </w:p>
        </w:tc>
        <w:tc>
          <w:tcPr>
            <w:tcW w:w="2100" w:type="dxa"/>
            <w:tcBorders>
              <w:top w:val="nil"/>
              <w:left w:val="nil"/>
              <w:bottom w:val="single" w:sz="8" w:space="0" w:color="DFE2E5"/>
              <w:right w:val="single" w:sz="8" w:space="0" w:color="DFE2E5"/>
            </w:tcBorders>
            <w:shd w:val="clear" w:color="000000" w:fill="FFFFFF"/>
            <w:vAlign w:val="center"/>
            <w:hideMark/>
          </w:tcPr>
          <w:p w14:paraId="6AEDCDAB"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15</w:t>
            </w:r>
          </w:p>
        </w:tc>
        <w:tc>
          <w:tcPr>
            <w:tcW w:w="15140" w:type="dxa"/>
            <w:tcBorders>
              <w:top w:val="nil"/>
              <w:left w:val="nil"/>
              <w:bottom w:val="single" w:sz="8" w:space="0" w:color="DFE2E5"/>
              <w:right w:val="single" w:sz="8" w:space="0" w:color="DFE2E5"/>
            </w:tcBorders>
            <w:shd w:val="clear" w:color="000000" w:fill="FFFFFF"/>
            <w:vAlign w:val="center"/>
            <w:hideMark/>
          </w:tcPr>
          <w:p w14:paraId="3FF7FF7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Liczba minut, które muszą upłynąć po nieudanej próbie zalogowania, zanim licznik nieudanych prób logowania nie zostanie zresetowany do 0.</w:t>
            </w:r>
          </w:p>
        </w:tc>
      </w:tr>
      <w:tr w:rsidR="008F3769" w:rsidRPr="008F3769" w14:paraId="7D9581DF"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2160C182"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Zasady haseł</w:t>
            </w:r>
          </w:p>
        </w:tc>
        <w:tc>
          <w:tcPr>
            <w:tcW w:w="2320" w:type="dxa"/>
            <w:tcBorders>
              <w:top w:val="nil"/>
              <w:left w:val="nil"/>
              <w:bottom w:val="single" w:sz="8" w:space="0" w:color="DFE2E5"/>
              <w:right w:val="single" w:sz="8" w:space="0" w:color="DFE2E5"/>
            </w:tcBorders>
            <w:shd w:val="clear" w:color="000000" w:fill="F6F8FA"/>
            <w:vAlign w:val="center"/>
            <w:hideMark/>
          </w:tcPr>
          <w:p w14:paraId="17EC500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Wymuszaj tworzenie historii hasła</w:t>
            </w:r>
          </w:p>
        </w:tc>
        <w:tc>
          <w:tcPr>
            <w:tcW w:w="2100" w:type="dxa"/>
            <w:tcBorders>
              <w:top w:val="nil"/>
              <w:left w:val="nil"/>
              <w:bottom w:val="single" w:sz="8" w:space="0" w:color="DFE2E5"/>
              <w:right w:val="single" w:sz="8" w:space="0" w:color="DFE2E5"/>
            </w:tcBorders>
            <w:shd w:val="clear" w:color="000000" w:fill="F6F8FA"/>
            <w:vAlign w:val="center"/>
            <w:hideMark/>
          </w:tcPr>
          <w:p w14:paraId="5FC7C28F"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24</w:t>
            </w:r>
          </w:p>
        </w:tc>
        <w:tc>
          <w:tcPr>
            <w:tcW w:w="15140" w:type="dxa"/>
            <w:tcBorders>
              <w:top w:val="nil"/>
              <w:left w:val="nil"/>
              <w:bottom w:val="single" w:sz="8" w:space="0" w:color="DFE2E5"/>
              <w:right w:val="single" w:sz="8" w:space="0" w:color="DFE2E5"/>
            </w:tcBorders>
            <w:shd w:val="clear" w:color="000000" w:fill="F6F8FA"/>
            <w:vAlign w:val="center"/>
            <w:hideMark/>
          </w:tcPr>
          <w:p w14:paraId="0D7FDED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Liczba unikatowych nowych haseł, które należy powiązać z kontem użytkownika, aby można było ponownie użyć starego hasła.</w:t>
            </w:r>
          </w:p>
        </w:tc>
      </w:tr>
      <w:tr w:rsidR="008F3769" w:rsidRPr="008F3769" w14:paraId="6DB90AFE" w14:textId="77777777" w:rsidTr="008F3769">
        <w:trPr>
          <w:trHeight w:val="31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BA4540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Zasady haseł</w:t>
            </w:r>
          </w:p>
        </w:tc>
        <w:tc>
          <w:tcPr>
            <w:tcW w:w="2320" w:type="dxa"/>
            <w:tcBorders>
              <w:top w:val="nil"/>
              <w:left w:val="nil"/>
              <w:bottom w:val="single" w:sz="8" w:space="0" w:color="DFE2E5"/>
              <w:right w:val="single" w:sz="8" w:space="0" w:color="DFE2E5"/>
            </w:tcBorders>
            <w:shd w:val="clear" w:color="000000" w:fill="FFFFFF"/>
            <w:vAlign w:val="center"/>
            <w:hideMark/>
          </w:tcPr>
          <w:p w14:paraId="1A39634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Minimalna długość hasła</w:t>
            </w:r>
          </w:p>
        </w:tc>
        <w:tc>
          <w:tcPr>
            <w:tcW w:w="2100" w:type="dxa"/>
            <w:tcBorders>
              <w:top w:val="nil"/>
              <w:left w:val="nil"/>
              <w:bottom w:val="single" w:sz="8" w:space="0" w:color="DFE2E5"/>
              <w:right w:val="single" w:sz="8" w:space="0" w:color="DFE2E5"/>
            </w:tcBorders>
            <w:shd w:val="clear" w:color="000000" w:fill="FFFFFF"/>
            <w:vAlign w:val="center"/>
            <w:hideMark/>
          </w:tcPr>
          <w:p w14:paraId="26A315BB"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14</w:t>
            </w:r>
          </w:p>
        </w:tc>
        <w:tc>
          <w:tcPr>
            <w:tcW w:w="15140" w:type="dxa"/>
            <w:tcBorders>
              <w:top w:val="nil"/>
              <w:left w:val="nil"/>
              <w:bottom w:val="single" w:sz="8" w:space="0" w:color="DFE2E5"/>
              <w:right w:val="single" w:sz="8" w:space="0" w:color="DFE2E5"/>
            </w:tcBorders>
            <w:shd w:val="clear" w:color="000000" w:fill="FFFFFF"/>
            <w:vAlign w:val="center"/>
            <w:hideMark/>
          </w:tcPr>
          <w:p w14:paraId="59856679" w14:textId="631E8166"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Najmniejsza liczba znaków, które musi zawierać </w:t>
            </w:r>
            <w:r w:rsidR="00E151B6" w:rsidRPr="008F3769">
              <w:rPr>
                <w:rFonts w:ascii="Segoe UI" w:eastAsia="Times New Roman" w:hAnsi="Segoe UI" w:cs="Segoe UI"/>
                <w:color w:val="24292E"/>
                <w:sz w:val="16"/>
                <w:szCs w:val="16"/>
                <w:lang w:eastAsia="pl-PL"/>
              </w:rPr>
              <w:t>hasło konta</w:t>
            </w:r>
            <w:r w:rsidRPr="008F3769">
              <w:rPr>
                <w:rFonts w:ascii="Segoe UI" w:eastAsia="Times New Roman" w:hAnsi="Segoe UI" w:cs="Segoe UI"/>
                <w:color w:val="24292E"/>
                <w:sz w:val="16"/>
                <w:szCs w:val="16"/>
                <w:lang w:eastAsia="pl-PL"/>
              </w:rPr>
              <w:t xml:space="preserve"> użytkownika.</w:t>
            </w:r>
          </w:p>
        </w:tc>
      </w:tr>
      <w:tr w:rsidR="008F3769" w:rsidRPr="008F3769" w14:paraId="44C70FAA" w14:textId="77777777" w:rsidTr="008F3769">
        <w:trPr>
          <w:trHeight w:val="300"/>
        </w:trPr>
        <w:tc>
          <w:tcPr>
            <w:tcW w:w="1660" w:type="dxa"/>
            <w:vMerge w:val="restart"/>
            <w:tcBorders>
              <w:top w:val="nil"/>
              <w:left w:val="single" w:sz="8" w:space="0" w:color="DFE2E5"/>
              <w:bottom w:val="single" w:sz="8" w:space="0" w:color="DFE2E5"/>
              <w:right w:val="single" w:sz="8" w:space="0" w:color="DFE2E5"/>
            </w:tcBorders>
            <w:shd w:val="clear" w:color="000000" w:fill="F6F8FA"/>
            <w:vAlign w:val="center"/>
            <w:hideMark/>
          </w:tcPr>
          <w:p w14:paraId="6EE7A6B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Zasady haseł</w:t>
            </w:r>
          </w:p>
        </w:tc>
        <w:tc>
          <w:tcPr>
            <w:tcW w:w="2320" w:type="dxa"/>
            <w:vMerge w:val="restart"/>
            <w:tcBorders>
              <w:top w:val="nil"/>
              <w:left w:val="single" w:sz="8" w:space="0" w:color="DFE2E5"/>
              <w:bottom w:val="single" w:sz="8" w:space="0" w:color="DFE2E5"/>
              <w:right w:val="single" w:sz="8" w:space="0" w:color="DFE2E5"/>
            </w:tcBorders>
            <w:shd w:val="clear" w:color="000000" w:fill="F6F8FA"/>
            <w:vAlign w:val="center"/>
            <w:hideMark/>
          </w:tcPr>
          <w:p w14:paraId="47F37872" w14:textId="3B080A51"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Hasło musi spełniać wymagania co do złożoności</w:t>
            </w:r>
          </w:p>
        </w:tc>
        <w:tc>
          <w:tcPr>
            <w:tcW w:w="2100" w:type="dxa"/>
            <w:vMerge w:val="restart"/>
            <w:tcBorders>
              <w:top w:val="nil"/>
              <w:left w:val="single" w:sz="8" w:space="0" w:color="DFE2E5"/>
              <w:bottom w:val="single" w:sz="8" w:space="0" w:color="DFE2E5"/>
              <w:right w:val="single" w:sz="8" w:space="0" w:color="DFE2E5"/>
            </w:tcBorders>
            <w:shd w:val="clear" w:color="000000" w:fill="F6F8FA"/>
            <w:vAlign w:val="center"/>
            <w:hideMark/>
          </w:tcPr>
          <w:p w14:paraId="62608FA5" w14:textId="79AA2EFA"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nil"/>
              <w:right w:val="single" w:sz="8" w:space="0" w:color="DFE2E5"/>
            </w:tcBorders>
            <w:shd w:val="clear" w:color="000000" w:fill="F6F8FA"/>
            <w:vAlign w:val="center"/>
            <w:hideMark/>
          </w:tcPr>
          <w:p w14:paraId="2D738BC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czy hasła muszą spełniać wymagania dotyczące złożoności:</w:t>
            </w:r>
          </w:p>
        </w:tc>
      </w:tr>
      <w:tr w:rsidR="008F3769" w:rsidRPr="008F3769" w14:paraId="15F3FC34" w14:textId="77777777" w:rsidTr="008F3769">
        <w:trPr>
          <w:trHeight w:val="300"/>
        </w:trPr>
        <w:tc>
          <w:tcPr>
            <w:tcW w:w="1660" w:type="dxa"/>
            <w:vMerge/>
            <w:tcBorders>
              <w:top w:val="nil"/>
              <w:left w:val="single" w:sz="8" w:space="0" w:color="DFE2E5"/>
              <w:bottom w:val="single" w:sz="8" w:space="0" w:color="DFE2E5"/>
              <w:right w:val="single" w:sz="8" w:space="0" w:color="DFE2E5"/>
            </w:tcBorders>
            <w:vAlign w:val="center"/>
            <w:hideMark/>
          </w:tcPr>
          <w:p w14:paraId="23B0BE95"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4E8C1B17"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6FF82DB3"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1EFE1EE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1) Nie może zawierać wartości </w:t>
            </w:r>
            <w:proofErr w:type="spellStart"/>
            <w:r w:rsidRPr="008F3769">
              <w:rPr>
                <w:rFonts w:ascii="Segoe UI" w:eastAsia="Times New Roman" w:hAnsi="Segoe UI" w:cs="Segoe UI"/>
                <w:color w:val="24292E"/>
                <w:sz w:val="16"/>
                <w:szCs w:val="16"/>
                <w:lang w:eastAsia="pl-PL"/>
              </w:rPr>
              <w:t>samAccountName</w:t>
            </w:r>
            <w:proofErr w:type="spellEnd"/>
            <w:r w:rsidRPr="008F3769">
              <w:rPr>
                <w:rFonts w:ascii="Segoe UI" w:eastAsia="Times New Roman" w:hAnsi="Segoe UI" w:cs="Segoe UI"/>
                <w:color w:val="24292E"/>
                <w:sz w:val="16"/>
                <w:szCs w:val="16"/>
                <w:lang w:eastAsia="pl-PL"/>
              </w:rPr>
              <w:t xml:space="preserve"> użytkownika (nazwa konta) ani całej wartości </w:t>
            </w:r>
            <w:proofErr w:type="spellStart"/>
            <w:r w:rsidRPr="008F3769">
              <w:rPr>
                <w:rFonts w:ascii="Segoe UI" w:eastAsia="Times New Roman" w:hAnsi="Segoe UI" w:cs="Segoe UI"/>
                <w:color w:val="24292E"/>
                <w:sz w:val="16"/>
                <w:szCs w:val="16"/>
                <w:lang w:eastAsia="pl-PL"/>
              </w:rPr>
              <w:t>displayName</w:t>
            </w:r>
            <w:proofErr w:type="spellEnd"/>
            <w:r w:rsidRPr="008F3769">
              <w:rPr>
                <w:rFonts w:ascii="Segoe UI" w:eastAsia="Times New Roman" w:hAnsi="Segoe UI" w:cs="Segoe UI"/>
                <w:color w:val="24292E"/>
                <w:sz w:val="16"/>
                <w:szCs w:val="16"/>
                <w:lang w:eastAsia="pl-PL"/>
              </w:rPr>
              <w:t xml:space="preserve"> (wartość pełnej nazwy). Żadna z kontroli nie rozróżnia wielkości liter.</w:t>
            </w:r>
          </w:p>
        </w:tc>
      </w:tr>
      <w:tr w:rsidR="008F3769" w:rsidRPr="008F3769" w14:paraId="6934F16B" w14:textId="77777777" w:rsidTr="008F3769">
        <w:trPr>
          <w:trHeight w:val="1050"/>
        </w:trPr>
        <w:tc>
          <w:tcPr>
            <w:tcW w:w="1660" w:type="dxa"/>
            <w:vMerge/>
            <w:tcBorders>
              <w:top w:val="nil"/>
              <w:left w:val="single" w:sz="8" w:space="0" w:color="DFE2E5"/>
              <w:bottom w:val="single" w:sz="8" w:space="0" w:color="DFE2E5"/>
              <w:right w:val="single" w:sz="8" w:space="0" w:color="DFE2E5"/>
            </w:tcBorders>
            <w:vAlign w:val="center"/>
            <w:hideMark/>
          </w:tcPr>
          <w:p w14:paraId="4C1F1588"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5F89D68D"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45F8B863"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71C68DA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Nazwa </w:t>
            </w:r>
            <w:proofErr w:type="spellStart"/>
            <w:r w:rsidRPr="008F3769">
              <w:rPr>
                <w:rFonts w:ascii="Segoe UI" w:eastAsia="Times New Roman" w:hAnsi="Segoe UI" w:cs="Segoe UI"/>
                <w:color w:val="24292E"/>
                <w:sz w:val="16"/>
                <w:szCs w:val="16"/>
                <w:lang w:eastAsia="pl-PL"/>
              </w:rPr>
              <w:t>samAccountName</w:t>
            </w:r>
            <w:proofErr w:type="spellEnd"/>
            <w:r w:rsidRPr="008F3769">
              <w:rPr>
                <w:rFonts w:ascii="Segoe UI" w:eastAsia="Times New Roman" w:hAnsi="Segoe UI" w:cs="Segoe UI"/>
                <w:color w:val="24292E"/>
                <w:sz w:val="16"/>
                <w:szCs w:val="16"/>
                <w:lang w:eastAsia="pl-PL"/>
              </w:rPr>
              <w:t xml:space="preserve"> jest sprawdzana w całości tylko w celu ustalenia, czy jest częścią hasła. Jeśli nazwa </w:t>
            </w:r>
            <w:proofErr w:type="spellStart"/>
            <w:r w:rsidRPr="008F3769">
              <w:rPr>
                <w:rFonts w:ascii="Segoe UI" w:eastAsia="Times New Roman" w:hAnsi="Segoe UI" w:cs="Segoe UI"/>
                <w:color w:val="24292E"/>
                <w:sz w:val="16"/>
                <w:szCs w:val="16"/>
                <w:lang w:eastAsia="pl-PL"/>
              </w:rPr>
              <w:t>samAccountName</w:t>
            </w:r>
            <w:proofErr w:type="spellEnd"/>
            <w:r w:rsidRPr="008F3769">
              <w:rPr>
                <w:rFonts w:ascii="Segoe UI" w:eastAsia="Times New Roman" w:hAnsi="Segoe UI" w:cs="Segoe UI"/>
                <w:color w:val="24292E"/>
                <w:sz w:val="16"/>
                <w:szCs w:val="16"/>
                <w:lang w:eastAsia="pl-PL"/>
              </w:rPr>
              <w:t xml:space="preserve"> ma mniej niż trzy znaki, to sprawdzenie jest pomijane. </w:t>
            </w:r>
            <w:proofErr w:type="spellStart"/>
            <w:r w:rsidRPr="008F3769">
              <w:rPr>
                <w:rFonts w:ascii="Segoe UI" w:eastAsia="Times New Roman" w:hAnsi="Segoe UI" w:cs="Segoe UI"/>
                <w:color w:val="24292E"/>
                <w:sz w:val="16"/>
                <w:szCs w:val="16"/>
                <w:lang w:eastAsia="pl-PL"/>
              </w:rPr>
              <w:t>DisplayName</w:t>
            </w:r>
            <w:proofErr w:type="spellEnd"/>
            <w:r w:rsidRPr="008F3769">
              <w:rPr>
                <w:rFonts w:ascii="Segoe UI" w:eastAsia="Times New Roman" w:hAnsi="Segoe UI" w:cs="Segoe UI"/>
                <w:color w:val="24292E"/>
                <w:sz w:val="16"/>
                <w:szCs w:val="16"/>
                <w:lang w:eastAsia="pl-PL"/>
              </w:rPr>
              <w:t xml:space="preserve"> jest analizowany dla ograniczników: przecinków, kropek, myślników lub łączników, </w:t>
            </w:r>
            <w:proofErr w:type="spellStart"/>
            <w:r w:rsidRPr="008F3769">
              <w:rPr>
                <w:rFonts w:ascii="Segoe UI" w:eastAsia="Times New Roman" w:hAnsi="Segoe UI" w:cs="Segoe UI"/>
                <w:color w:val="24292E"/>
                <w:sz w:val="16"/>
                <w:szCs w:val="16"/>
                <w:lang w:eastAsia="pl-PL"/>
              </w:rPr>
              <w:t>podkreślników</w:t>
            </w:r>
            <w:proofErr w:type="spellEnd"/>
            <w:r w:rsidRPr="008F3769">
              <w:rPr>
                <w:rFonts w:ascii="Segoe UI" w:eastAsia="Times New Roman" w:hAnsi="Segoe UI" w:cs="Segoe UI"/>
                <w:color w:val="24292E"/>
                <w:sz w:val="16"/>
                <w:szCs w:val="16"/>
                <w:lang w:eastAsia="pl-PL"/>
              </w:rPr>
              <w:t xml:space="preserve">, spacji, znaków funta i tabulatorów. Jeśli którykolwiek z tych ograniczników zostanie znaleziony, </w:t>
            </w:r>
            <w:proofErr w:type="spellStart"/>
            <w:r w:rsidRPr="008F3769">
              <w:rPr>
                <w:rFonts w:ascii="Segoe UI" w:eastAsia="Times New Roman" w:hAnsi="Segoe UI" w:cs="Segoe UI"/>
                <w:color w:val="24292E"/>
                <w:sz w:val="16"/>
                <w:szCs w:val="16"/>
                <w:lang w:eastAsia="pl-PL"/>
              </w:rPr>
              <w:t>displayName</w:t>
            </w:r>
            <w:proofErr w:type="spellEnd"/>
            <w:r w:rsidRPr="008F3769">
              <w:rPr>
                <w:rFonts w:ascii="Segoe UI" w:eastAsia="Times New Roman" w:hAnsi="Segoe UI" w:cs="Segoe UI"/>
                <w:color w:val="24292E"/>
                <w:sz w:val="16"/>
                <w:szCs w:val="16"/>
                <w:lang w:eastAsia="pl-PL"/>
              </w:rPr>
              <w:t xml:space="preserve"> zostanie podzielony, a wszystkie przeanalizowane sekcje (</w:t>
            </w:r>
            <w:proofErr w:type="spellStart"/>
            <w:r w:rsidRPr="008F3769">
              <w:rPr>
                <w:rFonts w:ascii="Segoe UI" w:eastAsia="Times New Roman" w:hAnsi="Segoe UI" w:cs="Segoe UI"/>
                <w:color w:val="24292E"/>
                <w:sz w:val="16"/>
                <w:szCs w:val="16"/>
                <w:lang w:eastAsia="pl-PL"/>
              </w:rPr>
              <w:t>tokeny</w:t>
            </w:r>
            <w:proofErr w:type="spellEnd"/>
            <w:r w:rsidRPr="008F3769">
              <w:rPr>
                <w:rFonts w:ascii="Segoe UI" w:eastAsia="Times New Roman" w:hAnsi="Segoe UI" w:cs="Segoe UI"/>
                <w:color w:val="24292E"/>
                <w:sz w:val="16"/>
                <w:szCs w:val="16"/>
                <w:lang w:eastAsia="pl-PL"/>
              </w:rPr>
              <w:t xml:space="preserve">) nie zostaną uwzględnione w haśle. </w:t>
            </w:r>
            <w:proofErr w:type="spellStart"/>
            <w:r w:rsidRPr="008F3769">
              <w:rPr>
                <w:rFonts w:ascii="Segoe UI" w:eastAsia="Times New Roman" w:hAnsi="Segoe UI" w:cs="Segoe UI"/>
                <w:color w:val="24292E"/>
                <w:sz w:val="16"/>
                <w:szCs w:val="16"/>
                <w:lang w:eastAsia="pl-PL"/>
              </w:rPr>
              <w:t>Tokeny</w:t>
            </w:r>
            <w:proofErr w:type="spellEnd"/>
            <w:r w:rsidRPr="008F3769">
              <w:rPr>
                <w:rFonts w:ascii="Segoe UI" w:eastAsia="Times New Roman" w:hAnsi="Segoe UI" w:cs="Segoe UI"/>
                <w:color w:val="24292E"/>
                <w:sz w:val="16"/>
                <w:szCs w:val="16"/>
                <w:lang w:eastAsia="pl-PL"/>
              </w:rPr>
              <w:t xml:space="preserve"> o długości mniejszej niż trzy znaki są ignorowane, a podciągi nie są sprawdzane. Na przykład nazwa „Erin M. </w:t>
            </w:r>
            <w:proofErr w:type="spellStart"/>
            <w:r w:rsidRPr="008F3769">
              <w:rPr>
                <w:rFonts w:ascii="Segoe UI" w:eastAsia="Times New Roman" w:hAnsi="Segoe UI" w:cs="Segoe UI"/>
                <w:color w:val="24292E"/>
                <w:sz w:val="16"/>
                <w:szCs w:val="16"/>
                <w:lang w:eastAsia="pl-PL"/>
              </w:rPr>
              <w:t>Hagens</w:t>
            </w:r>
            <w:proofErr w:type="spellEnd"/>
            <w:r w:rsidRPr="008F3769">
              <w:rPr>
                <w:rFonts w:ascii="Segoe UI" w:eastAsia="Times New Roman" w:hAnsi="Segoe UI" w:cs="Segoe UI"/>
                <w:color w:val="24292E"/>
                <w:sz w:val="16"/>
                <w:szCs w:val="16"/>
                <w:lang w:eastAsia="pl-PL"/>
              </w:rPr>
              <w:t xml:space="preserve">” jest podzielona na trzy </w:t>
            </w:r>
            <w:proofErr w:type="spellStart"/>
            <w:r w:rsidRPr="008F3769">
              <w:rPr>
                <w:rFonts w:ascii="Segoe UI" w:eastAsia="Times New Roman" w:hAnsi="Segoe UI" w:cs="Segoe UI"/>
                <w:color w:val="24292E"/>
                <w:sz w:val="16"/>
                <w:szCs w:val="16"/>
                <w:lang w:eastAsia="pl-PL"/>
              </w:rPr>
              <w:t>tokeny</w:t>
            </w:r>
            <w:proofErr w:type="spellEnd"/>
            <w:r w:rsidRPr="008F3769">
              <w:rPr>
                <w:rFonts w:ascii="Segoe UI" w:eastAsia="Times New Roman" w:hAnsi="Segoe UI" w:cs="Segoe UI"/>
                <w:color w:val="24292E"/>
                <w:sz w:val="16"/>
                <w:szCs w:val="16"/>
                <w:lang w:eastAsia="pl-PL"/>
              </w:rPr>
              <w:t>: „Erin”, „M” i „</w:t>
            </w:r>
            <w:proofErr w:type="spellStart"/>
            <w:r w:rsidRPr="008F3769">
              <w:rPr>
                <w:rFonts w:ascii="Segoe UI" w:eastAsia="Times New Roman" w:hAnsi="Segoe UI" w:cs="Segoe UI"/>
                <w:color w:val="24292E"/>
                <w:sz w:val="16"/>
                <w:szCs w:val="16"/>
                <w:lang w:eastAsia="pl-PL"/>
              </w:rPr>
              <w:t>Hagens</w:t>
            </w:r>
            <w:proofErr w:type="spellEnd"/>
            <w:r w:rsidRPr="008F3769">
              <w:rPr>
                <w:rFonts w:ascii="Segoe UI" w:eastAsia="Times New Roman" w:hAnsi="Segoe UI" w:cs="Segoe UI"/>
                <w:color w:val="24292E"/>
                <w:sz w:val="16"/>
                <w:szCs w:val="16"/>
                <w:lang w:eastAsia="pl-PL"/>
              </w:rPr>
              <w:t>”. Ponieważ drugi żeton ma tylko jedną postać, jest ignorowany. Dlatego ten użytkownik nie może mieć hasła zawierającego „</w:t>
            </w:r>
            <w:proofErr w:type="spellStart"/>
            <w:r w:rsidRPr="008F3769">
              <w:rPr>
                <w:rFonts w:ascii="Segoe UI" w:eastAsia="Times New Roman" w:hAnsi="Segoe UI" w:cs="Segoe UI"/>
                <w:color w:val="24292E"/>
                <w:sz w:val="16"/>
                <w:szCs w:val="16"/>
                <w:lang w:eastAsia="pl-PL"/>
              </w:rPr>
              <w:t>erin</w:t>
            </w:r>
            <w:proofErr w:type="spellEnd"/>
            <w:r w:rsidRPr="008F3769">
              <w:rPr>
                <w:rFonts w:ascii="Segoe UI" w:eastAsia="Times New Roman" w:hAnsi="Segoe UI" w:cs="Segoe UI"/>
                <w:color w:val="24292E"/>
                <w:sz w:val="16"/>
                <w:szCs w:val="16"/>
                <w:lang w:eastAsia="pl-PL"/>
              </w:rPr>
              <w:t>” lub „</w:t>
            </w:r>
            <w:proofErr w:type="spellStart"/>
            <w:r w:rsidRPr="008F3769">
              <w:rPr>
                <w:rFonts w:ascii="Segoe UI" w:eastAsia="Times New Roman" w:hAnsi="Segoe UI" w:cs="Segoe UI"/>
                <w:color w:val="24292E"/>
                <w:sz w:val="16"/>
                <w:szCs w:val="16"/>
                <w:lang w:eastAsia="pl-PL"/>
              </w:rPr>
              <w:t>hagens</w:t>
            </w:r>
            <w:proofErr w:type="spellEnd"/>
            <w:r w:rsidRPr="008F3769">
              <w:rPr>
                <w:rFonts w:ascii="Segoe UI" w:eastAsia="Times New Roman" w:hAnsi="Segoe UI" w:cs="Segoe UI"/>
                <w:color w:val="24292E"/>
                <w:sz w:val="16"/>
                <w:szCs w:val="16"/>
                <w:lang w:eastAsia="pl-PL"/>
              </w:rPr>
              <w:t>”</w:t>
            </w:r>
            <w:r w:rsidR="00E151B6">
              <w:rPr>
                <w:rFonts w:ascii="Segoe UI" w:eastAsia="Times New Roman" w:hAnsi="Segoe UI" w:cs="Segoe UI"/>
                <w:color w:val="24292E"/>
                <w:sz w:val="16"/>
                <w:szCs w:val="16"/>
                <w:lang w:eastAsia="pl-PL"/>
              </w:rPr>
              <w:t>,</w:t>
            </w:r>
            <w:r w:rsidRPr="008F3769">
              <w:rPr>
                <w:rFonts w:ascii="Segoe UI" w:eastAsia="Times New Roman" w:hAnsi="Segoe UI" w:cs="Segoe UI"/>
                <w:color w:val="24292E"/>
                <w:sz w:val="16"/>
                <w:szCs w:val="16"/>
                <w:lang w:eastAsia="pl-PL"/>
              </w:rPr>
              <w:t xml:space="preserve"> jako podciąg w dowolnym miejscu hasła.</w:t>
            </w:r>
          </w:p>
        </w:tc>
      </w:tr>
      <w:tr w:rsidR="008F3769" w:rsidRPr="008F3769" w14:paraId="4CE63769" w14:textId="77777777" w:rsidTr="008F3769">
        <w:trPr>
          <w:trHeight w:val="300"/>
        </w:trPr>
        <w:tc>
          <w:tcPr>
            <w:tcW w:w="1660" w:type="dxa"/>
            <w:vMerge/>
            <w:tcBorders>
              <w:top w:val="nil"/>
              <w:left w:val="single" w:sz="8" w:space="0" w:color="DFE2E5"/>
              <w:bottom w:val="single" w:sz="8" w:space="0" w:color="DFE2E5"/>
              <w:right w:val="single" w:sz="8" w:space="0" w:color="DFE2E5"/>
            </w:tcBorders>
            <w:vAlign w:val="center"/>
            <w:hideMark/>
          </w:tcPr>
          <w:p w14:paraId="2F1E8717"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41314271"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19CEAEA9"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290F596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2) Zawierają znaki z trzech następujących kategorii:</w:t>
            </w:r>
          </w:p>
        </w:tc>
      </w:tr>
      <w:tr w:rsidR="008F3769" w:rsidRPr="008F3769" w14:paraId="118224E0" w14:textId="77777777" w:rsidTr="008F3769">
        <w:trPr>
          <w:trHeight w:val="300"/>
        </w:trPr>
        <w:tc>
          <w:tcPr>
            <w:tcW w:w="1660" w:type="dxa"/>
            <w:vMerge/>
            <w:tcBorders>
              <w:top w:val="nil"/>
              <w:left w:val="single" w:sz="8" w:space="0" w:color="DFE2E5"/>
              <w:bottom w:val="single" w:sz="8" w:space="0" w:color="DFE2E5"/>
              <w:right w:val="single" w:sz="8" w:space="0" w:color="DFE2E5"/>
            </w:tcBorders>
            <w:vAlign w:val="center"/>
            <w:hideMark/>
          </w:tcPr>
          <w:p w14:paraId="36E8934F"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13680136"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18034159"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4FEEA6CF"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Wielkie litery języków europejskich (od A do D12 znaki diakrytyczne, znaki greckie i cyrylicy)</w:t>
            </w:r>
          </w:p>
        </w:tc>
      </w:tr>
      <w:tr w:rsidR="008F3769" w:rsidRPr="008F3769" w14:paraId="7F348275" w14:textId="77777777" w:rsidTr="008F3769">
        <w:trPr>
          <w:trHeight w:val="300"/>
        </w:trPr>
        <w:tc>
          <w:tcPr>
            <w:tcW w:w="1660" w:type="dxa"/>
            <w:vMerge/>
            <w:tcBorders>
              <w:top w:val="nil"/>
              <w:left w:val="single" w:sz="8" w:space="0" w:color="DFE2E5"/>
              <w:bottom w:val="single" w:sz="8" w:space="0" w:color="DFE2E5"/>
              <w:right w:val="single" w:sz="8" w:space="0" w:color="DFE2E5"/>
            </w:tcBorders>
            <w:vAlign w:val="center"/>
            <w:hideMark/>
          </w:tcPr>
          <w:p w14:paraId="48CD5867"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08C535A6"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10A7C6B2"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0F7E66A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Małe litery języków europejskich (od a do z, ostre-s, ze znakami diakrytycznymi, znakami greckimi i cyrylicy)</w:t>
            </w:r>
          </w:p>
        </w:tc>
      </w:tr>
      <w:tr w:rsidR="008F3769" w:rsidRPr="008F3769" w14:paraId="4EDB5C45" w14:textId="77777777" w:rsidTr="008F3769">
        <w:trPr>
          <w:trHeight w:val="300"/>
        </w:trPr>
        <w:tc>
          <w:tcPr>
            <w:tcW w:w="1660" w:type="dxa"/>
            <w:vMerge/>
            <w:tcBorders>
              <w:top w:val="nil"/>
              <w:left w:val="single" w:sz="8" w:space="0" w:color="DFE2E5"/>
              <w:bottom w:val="single" w:sz="8" w:space="0" w:color="DFE2E5"/>
              <w:right w:val="single" w:sz="8" w:space="0" w:color="DFE2E5"/>
            </w:tcBorders>
            <w:vAlign w:val="center"/>
            <w:hideMark/>
          </w:tcPr>
          <w:p w14:paraId="1C7DBD64"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1ED7549C"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45D5AFC0"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31C432B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Cyfry (od 0 do 9)</w:t>
            </w:r>
          </w:p>
        </w:tc>
      </w:tr>
      <w:tr w:rsidR="008F3769" w:rsidRPr="008F3769" w14:paraId="03B3294E" w14:textId="77777777" w:rsidTr="008F3769">
        <w:trPr>
          <w:trHeight w:val="300"/>
        </w:trPr>
        <w:tc>
          <w:tcPr>
            <w:tcW w:w="1660" w:type="dxa"/>
            <w:vMerge/>
            <w:tcBorders>
              <w:top w:val="nil"/>
              <w:left w:val="single" w:sz="8" w:space="0" w:color="DFE2E5"/>
              <w:bottom w:val="single" w:sz="8" w:space="0" w:color="DFE2E5"/>
              <w:right w:val="single" w:sz="8" w:space="0" w:color="DFE2E5"/>
            </w:tcBorders>
            <w:vAlign w:val="center"/>
            <w:hideMark/>
          </w:tcPr>
          <w:p w14:paraId="506F9437"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6395D0F4"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057E0BB8"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4F94349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Znaki niealfanumeryczne (znaki specjalne):</w:t>
            </w:r>
          </w:p>
        </w:tc>
      </w:tr>
      <w:tr w:rsidR="008F3769" w:rsidRPr="008F3769" w14:paraId="0E270AE3" w14:textId="77777777" w:rsidTr="008F3769">
        <w:trPr>
          <w:trHeight w:val="300"/>
        </w:trPr>
        <w:tc>
          <w:tcPr>
            <w:tcW w:w="1660" w:type="dxa"/>
            <w:vMerge/>
            <w:tcBorders>
              <w:top w:val="nil"/>
              <w:left w:val="single" w:sz="8" w:space="0" w:color="DFE2E5"/>
              <w:bottom w:val="single" w:sz="8" w:space="0" w:color="DFE2E5"/>
              <w:right w:val="single" w:sz="8" w:space="0" w:color="DFE2E5"/>
            </w:tcBorders>
            <w:vAlign w:val="center"/>
            <w:hideMark/>
          </w:tcPr>
          <w:p w14:paraId="0B4446A4"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5556C8FC"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7D69495B"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4B3011C8"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(~!@#$%^&amp;*_-+=`|\(){}[]:;"'&lt;&gt;,.?/)</w:t>
            </w:r>
          </w:p>
        </w:tc>
      </w:tr>
      <w:tr w:rsidR="008F3769" w:rsidRPr="008F3769" w14:paraId="7F217B5B" w14:textId="77777777" w:rsidTr="008F3769">
        <w:trPr>
          <w:trHeight w:val="300"/>
        </w:trPr>
        <w:tc>
          <w:tcPr>
            <w:tcW w:w="1660" w:type="dxa"/>
            <w:vMerge/>
            <w:tcBorders>
              <w:top w:val="nil"/>
              <w:left w:val="single" w:sz="8" w:space="0" w:color="DFE2E5"/>
              <w:bottom w:val="single" w:sz="8" w:space="0" w:color="DFE2E5"/>
              <w:right w:val="single" w:sz="8" w:space="0" w:color="DFE2E5"/>
            </w:tcBorders>
            <w:vAlign w:val="center"/>
            <w:hideMark/>
          </w:tcPr>
          <w:p w14:paraId="0AD96928"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51A3C9F8"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13880FE7"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65D6DE77" w14:textId="3E80A363"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Symbole walut, takie jak euro lub funt brytyjski, nie mogą być używane.</w:t>
            </w:r>
          </w:p>
        </w:tc>
      </w:tr>
      <w:tr w:rsidR="008F3769" w:rsidRPr="008F3769" w14:paraId="7558CC0F" w14:textId="77777777" w:rsidTr="008F3769">
        <w:trPr>
          <w:trHeight w:val="315"/>
        </w:trPr>
        <w:tc>
          <w:tcPr>
            <w:tcW w:w="1660" w:type="dxa"/>
            <w:vMerge/>
            <w:tcBorders>
              <w:top w:val="nil"/>
              <w:left w:val="single" w:sz="8" w:space="0" w:color="DFE2E5"/>
              <w:bottom w:val="single" w:sz="8" w:space="0" w:color="DFE2E5"/>
              <w:right w:val="single" w:sz="8" w:space="0" w:color="DFE2E5"/>
            </w:tcBorders>
            <w:vAlign w:val="center"/>
            <w:hideMark/>
          </w:tcPr>
          <w:p w14:paraId="42864320"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33CA0036"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6776EC6F"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single" w:sz="8" w:space="0" w:color="DFE2E5"/>
              <w:right w:val="single" w:sz="8" w:space="0" w:color="DFE2E5"/>
            </w:tcBorders>
            <w:shd w:val="clear" w:color="000000" w:fill="F6F8FA"/>
            <w:vAlign w:val="center"/>
            <w:hideMark/>
          </w:tcPr>
          <w:p w14:paraId="58594FD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Dowolny znak </w:t>
            </w:r>
            <w:proofErr w:type="spellStart"/>
            <w:r w:rsidRPr="008F3769">
              <w:rPr>
                <w:rFonts w:ascii="Segoe UI" w:eastAsia="Times New Roman" w:hAnsi="Segoe UI" w:cs="Segoe UI"/>
                <w:color w:val="24292E"/>
                <w:sz w:val="16"/>
                <w:szCs w:val="16"/>
                <w:lang w:eastAsia="pl-PL"/>
              </w:rPr>
              <w:t>Unicode</w:t>
            </w:r>
            <w:proofErr w:type="spellEnd"/>
            <w:r w:rsidRPr="008F3769">
              <w:rPr>
                <w:rFonts w:ascii="Segoe UI" w:eastAsia="Times New Roman" w:hAnsi="Segoe UI" w:cs="Segoe UI"/>
                <w:color w:val="24292E"/>
                <w:sz w:val="16"/>
                <w:szCs w:val="16"/>
                <w:lang w:eastAsia="pl-PL"/>
              </w:rPr>
              <w:t xml:space="preserve">, który jest sklasyfikowany jako znak alfabetyczny, ale nie jest pisany wielkimi lub małymi literami. Obejmuje to znaki </w:t>
            </w:r>
            <w:proofErr w:type="spellStart"/>
            <w:r w:rsidRPr="008F3769">
              <w:rPr>
                <w:rFonts w:ascii="Segoe UI" w:eastAsia="Times New Roman" w:hAnsi="Segoe UI" w:cs="Segoe UI"/>
                <w:color w:val="24292E"/>
                <w:sz w:val="16"/>
                <w:szCs w:val="16"/>
                <w:lang w:eastAsia="pl-PL"/>
              </w:rPr>
              <w:t>Unicode</w:t>
            </w:r>
            <w:proofErr w:type="spellEnd"/>
            <w:r w:rsidRPr="008F3769">
              <w:rPr>
                <w:rFonts w:ascii="Segoe UI" w:eastAsia="Times New Roman" w:hAnsi="Segoe UI" w:cs="Segoe UI"/>
                <w:color w:val="24292E"/>
                <w:sz w:val="16"/>
                <w:szCs w:val="16"/>
                <w:lang w:eastAsia="pl-PL"/>
              </w:rPr>
              <w:t xml:space="preserve"> z języków azjatyckich.</w:t>
            </w:r>
          </w:p>
        </w:tc>
      </w:tr>
      <w:tr w:rsidR="008F3769" w:rsidRPr="008F3769" w14:paraId="60E7255B"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A995D4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Zasady haseł</w:t>
            </w:r>
          </w:p>
        </w:tc>
        <w:tc>
          <w:tcPr>
            <w:tcW w:w="2320" w:type="dxa"/>
            <w:tcBorders>
              <w:top w:val="nil"/>
              <w:left w:val="nil"/>
              <w:bottom w:val="single" w:sz="8" w:space="0" w:color="DFE2E5"/>
              <w:right w:val="single" w:sz="8" w:space="0" w:color="DFE2E5"/>
            </w:tcBorders>
            <w:shd w:val="clear" w:color="000000" w:fill="FFFFFF"/>
            <w:vAlign w:val="center"/>
            <w:hideMark/>
          </w:tcPr>
          <w:p w14:paraId="189D249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Zapisz hasło korzystając z szyfrowania odwracalnego</w:t>
            </w:r>
          </w:p>
        </w:tc>
        <w:tc>
          <w:tcPr>
            <w:tcW w:w="2100" w:type="dxa"/>
            <w:tcBorders>
              <w:top w:val="nil"/>
              <w:left w:val="nil"/>
              <w:bottom w:val="single" w:sz="8" w:space="0" w:color="DFE2E5"/>
              <w:right w:val="single" w:sz="8" w:space="0" w:color="DFE2E5"/>
            </w:tcBorders>
            <w:shd w:val="clear" w:color="000000" w:fill="FFFFFF"/>
            <w:vAlign w:val="center"/>
            <w:hideMark/>
          </w:tcPr>
          <w:p w14:paraId="5F90C775" w14:textId="76959171"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Wyłączony</w:t>
            </w:r>
          </w:p>
        </w:tc>
        <w:tc>
          <w:tcPr>
            <w:tcW w:w="15140" w:type="dxa"/>
            <w:tcBorders>
              <w:top w:val="nil"/>
              <w:left w:val="nil"/>
              <w:bottom w:val="single" w:sz="8" w:space="0" w:color="DFE2E5"/>
              <w:right w:val="single" w:sz="8" w:space="0" w:color="DFE2E5"/>
            </w:tcBorders>
            <w:shd w:val="clear" w:color="000000" w:fill="FFFFFF"/>
            <w:vAlign w:val="center"/>
            <w:hideMark/>
          </w:tcPr>
          <w:p w14:paraId="5040CC3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czy system operacyjny przechowuje hasła przy użyciu szyfrowania odwracalnego.</w:t>
            </w:r>
          </w:p>
        </w:tc>
      </w:tr>
      <w:tr w:rsidR="008F3769" w:rsidRPr="008F3769" w14:paraId="5318B5A0"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1E9109E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3D3671D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Konta: ogranicz używanie pustych haseł przez konta lokalne tylko do logowania do konsoli</w:t>
            </w:r>
          </w:p>
        </w:tc>
        <w:tc>
          <w:tcPr>
            <w:tcW w:w="2100" w:type="dxa"/>
            <w:tcBorders>
              <w:top w:val="nil"/>
              <w:left w:val="nil"/>
              <w:bottom w:val="single" w:sz="8" w:space="0" w:color="DFE2E5"/>
              <w:right w:val="single" w:sz="8" w:space="0" w:color="DFE2E5"/>
            </w:tcBorders>
            <w:shd w:val="clear" w:color="000000" w:fill="F6F8FA"/>
            <w:vAlign w:val="center"/>
            <w:hideMark/>
          </w:tcPr>
          <w:p w14:paraId="6CBAD791" w14:textId="1A9EF5F3"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6F8FA"/>
            <w:vAlign w:val="center"/>
            <w:hideMark/>
          </w:tcPr>
          <w:p w14:paraId="56ECBCE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konta lokalne, które nie są chronione hasłem, mogą być używane do logowania z lokalizacji innych niż fizyczna konsola komputera. Jeśli ta opcja jest włączona, konta lokalne, które nie są chronione hasłem, będą mogły logować się tylko na klawiaturze komputera.</w:t>
            </w:r>
          </w:p>
        </w:tc>
      </w:tr>
      <w:tr w:rsidR="008F3769" w:rsidRPr="008F3769" w14:paraId="65B7975B" w14:textId="77777777" w:rsidTr="008F3769">
        <w:trPr>
          <w:trHeight w:val="127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75FC99AE"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76A0B14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Inspekcja: Wymuś ustawienia podkategorii zasad inspekcji (Windows Vista lub nowszy), aby zastąpić ustawienia kategorii zasad inspekcji</w:t>
            </w:r>
          </w:p>
        </w:tc>
        <w:tc>
          <w:tcPr>
            <w:tcW w:w="2100" w:type="dxa"/>
            <w:tcBorders>
              <w:top w:val="nil"/>
              <w:left w:val="nil"/>
              <w:bottom w:val="single" w:sz="8" w:space="0" w:color="DFE2E5"/>
              <w:right w:val="single" w:sz="8" w:space="0" w:color="DFE2E5"/>
            </w:tcBorders>
            <w:shd w:val="clear" w:color="000000" w:fill="FFFFFF"/>
            <w:vAlign w:val="center"/>
            <w:hideMark/>
          </w:tcPr>
          <w:p w14:paraId="0DBCECFF" w14:textId="5523AB15"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FFFFF"/>
            <w:vAlign w:val="center"/>
            <w:hideMark/>
          </w:tcPr>
          <w:p w14:paraId="23DCB92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System Windows Vista i nowsze wersje systemu Windows umożliwiają bardziej precyzyjne zarządzanie zasadami inspekcji przy użyciu podkategorii zasad inspekcji. Ustawienie zasad kontroli na poziomie kategorii zastąpi nową funkcję zasad kontroli podkategorii. Zasady grupy pozwalają tylko na ustawienie zasad inspekcji na poziomie kategorii, a istniejące zasady grupy mogą zastąpić ustawienia podkategorii nowych komputerów, gdy są one przyłączone do domeny lub uaktualnione. Aby umożliwić zarządzanie zasadami inspekcji przy użyciu podkategorii bez konieczności zmiany zasad grupy, w systemie Windows Vista i nowszych wersjach pojawiła się nowa wartość rejestru </w:t>
            </w:r>
            <w:proofErr w:type="spellStart"/>
            <w:r w:rsidRPr="008F3769">
              <w:rPr>
                <w:rFonts w:ascii="Segoe UI" w:eastAsia="Times New Roman" w:hAnsi="Segoe UI" w:cs="Segoe UI"/>
                <w:color w:val="24292E"/>
                <w:sz w:val="16"/>
                <w:szCs w:val="16"/>
                <w:lang w:eastAsia="pl-PL"/>
              </w:rPr>
              <w:t>SCENoApplyLegacyAuditPolicy</w:t>
            </w:r>
            <w:proofErr w:type="spellEnd"/>
            <w:r w:rsidRPr="008F3769">
              <w:rPr>
                <w:rFonts w:ascii="Segoe UI" w:eastAsia="Times New Roman" w:hAnsi="Segoe UI" w:cs="Segoe UI"/>
                <w:color w:val="24292E"/>
                <w:sz w:val="16"/>
                <w:szCs w:val="16"/>
                <w:lang w:eastAsia="pl-PL"/>
              </w:rPr>
              <w:t>, która uniemożliwia stosowanie zasad kontroli na poziomie kategorii z zasad grupy i zabezpieczeń lokalnego narzędzia administracyjnego polityki.</w:t>
            </w:r>
          </w:p>
        </w:tc>
      </w:tr>
      <w:tr w:rsidR="008F3769" w:rsidRPr="008F3769" w14:paraId="7B01582D" w14:textId="77777777" w:rsidTr="008F3769">
        <w:trPr>
          <w:trHeight w:val="1050"/>
        </w:trPr>
        <w:tc>
          <w:tcPr>
            <w:tcW w:w="1660" w:type="dxa"/>
            <w:vMerge w:val="restart"/>
            <w:tcBorders>
              <w:top w:val="nil"/>
              <w:left w:val="single" w:sz="8" w:space="0" w:color="DFE2E5"/>
              <w:bottom w:val="single" w:sz="8" w:space="0" w:color="DFE2E5"/>
              <w:right w:val="single" w:sz="8" w:space="0" w:color="DFE2E5"/>
            </w:tcBorders>
            <w:shd w:val="clear" w:color="000000" w:fill="F6F8FA"/>
            <w:vAlign w:val="center"/>
            <w:hideMark/>
          </w:tcPr>
          <w:p w14:paraId="4F3672DF"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vMerge w:val="restart"/>
            <w:tcBorders>
              <w:top w:val="nil"/>
              <w:left w:val="single" w:sz="8" w:space="0" w:color="DFE2E5"/>
              <w:bottom w:val="single" w:sz="8" w:space="0" w:color="DFE2E5"/>
              <w:right w:val="single" w:sz="8" w:space="0" w:color="DFE2E5"/>
            </w:tcBorders>
            <w:shd w:val="clear" w:color="000000" w:fill="F6F8FA"/>
            <w:vAlign w:val="center"/>
            <w:hideMark/>
          </w:tcPr>
          <w:p w14:paraId="76E1B5A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Członek domeny: szyfruj lub podpisuj cyfrowo dane bezpiecznego kanału (zawsze)</w:t>
            </w:r>
          </w:p>
        </w:tc>
        <w:tc>
          <w:tcPr>
            <w:tcW w:w="2100" w:type="dxa"/>
            <w:vMerge w:val="restart"/>
            <w:tcBorders>
              <w:top w:val="nil"/>
              <w:left w:val="single" w:sz="8" w:space="0" w:color="DFE2E5"/>
              <w:bottom w:val="single" w:sz="8" w:space="0" w:color="DFE2E5"/>
              <w:right w:val="single" w:sz="8" w:space="0" w:color="DFE2E5"/>
            </w:tcBorders>
            <w:shd w:val="clear" w:color="000000" w:fill="F6F8FA"/>
            <w:vAlign w:val="center"/>
            <w:hideMark/>
          </w:tcPr>
          <w:p w14:paraId="4C034719" w14:textId="0E313699"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nil"/>
              <w:right w:val="single" w:sz="8" w:space="0" w:color="DFE2E5"/>
            </w:tcBorders>
            <w:shd w:val="clear" w:color="000000" w:fill="F6F8FA"/>
            <w:vAlign w:val="center"/>
            <w:hideMark/>
          </w:tcPr>
          <w:p w14:paraId="34CB6C2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cały ruch bezpiecznego kanału inicjowany przez członka domeny musi być podpisany, czy zaszyfrowany. To ustawienie określa, czy cały ruch bezpiecznego kanału inicjowany przez członka domeny spełnia minimalne wymagania bezpieczeństwa. W szczególności określa, czy cały ruch bezpiecznego kanału inicjowany przez członka domeny musi być podpisany, czy zaszyfrowany. Jeśli ta zasada jest włączona, bezpieczny kanał nie zostanie ustanowiony, chyba</w:t>
            </w:r>
            <w:r w:rsidR="00E151B6">
              <w:rPr>
                <w:rFonts w:ascii="Segoe UI" w:eastAsia="Times New Roman" w:hAnsi="Segoe UI" w:cs="Segoe UI"/>
                <w:color w:val="24292E"/>
                <w:sz w:val="16"/>
                <w:szCs w:val="16"/>
                <w:lang w:eastAsia="pl-PL"/>
              </w:rPr>
              <w:t>,</w:t>
            </w:r>
            <w:r w:rsidRPr="008F3769">
              <w:rPr>
                <w:rFonts w:ascii="Segoe UI" w:eastAsia="Times New Roman" w:hAnsi="Segoe UI" w:cs="Segoe UI"/>
                <w:color w:val="24292E"/>
                <w:sz w:val="16"/>
                <w:szCs w:val="16"/>
                <w:lang w:eastAsia="pl-PL"/>
              </w:rPr>
              <w:t xml:space="preserve"> że zostanie wynegocjowane podpisanie lub szyfrowanie całego ruchu bezpiecznego kanału. Jeśli ta zasada jest wyłączona, szyfrowanie i podpisywanie całego bezpiecznego kanału jest negocjowane z kontrolerem domeny, w którym to przypadku poziom podpisywania i szyfrowania zależy od wersji kontrolera domeny i ustawień następujących dwóch zasad:</w:t>
            </w:r>
          </w:p>
        </w:tc>
      </w:tr>
      <w:tr w:rsidR="008F3769" w:rsidRPr="008F3769" w14:paraId="62F8D586" w14:textId="77777777" w:rsidTr="008F3769">
        <w:trPr>
          <w:trHeight w:val="300"/>
        </w:trPr>
        <w:tc>
          <w:tcPr>
            <w:tcW w:w="1660" w:type="dxa"/>
            <w:vMerge/>
            <w:tcBorders>
              <w:top w:val="nil"/>
              <w:left w:val="single" w:sz="8" w:space="0" w:color="DFE2E5"/>
              <w:bottom w:val="single" w:sz="8" w:space="0" w:color="DFE2E5"/>
              <w:right w:val="single" w:sz="8" w:space="0" w:color="DFE2E5"/>
            </w:tcBorders>
            <w:vAlign w:val="center"/>
            <w:hideMark/>
          </w:tcPr>
          <w:p w14:paraId="7DA0BD24"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1A850597"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7C3440E7"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7BAACFF5" w14:textId="6808DE43" w:rsidR="008F3769" w:rsidRPr="008F3769" w:rsidRDefault="008F3769" w:rsidP="00CA3DA0">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Członek domeny: szyfruj dane bezpiecznego kanału (jeśli to możliwe)</w:t>
            </w:r>
          </w:p>
        </w:tc>
      </w:tr>
      <w:tr w:rsidR="008F3769" w:rsidRPr="008F3769" w14:paraId="43BF3D0B" w14:textId="77777777" w:rsidTr="008F3769">
        <w:trPr>
          <w:trHeight w:val="315"/>
        </w:trPr>
        <w:tc>
          <w:tcPr>
            <w:tcW w:w="1660" w:type="dxa"/>
            <w:vMerge/>
            <w:tcBorders>
              <w:top w:val="nil"/>
              <w:left w:val="single" w:sz="8" w:space="0" w:color="DFE2E5"/>
              <w:bottom w:val="single" w:sz="8" w:space="0" w:color="DFE2E5"/>
              <w:right w:val="single" w:sz="8" w:space="0" w:color="DFE2E5"/>
            </w:tcBorders>
            <w:vAlign w:val="center"/>
            <w:hideMark/>
          </w:tcPr>
          <w:p w14:paraId="7F2468B1"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320" w:type="dxa"/>
            <w:vMerge/>
            <w:tcBorders>
              <w:top w:val="nil"/>
              <w:left w:val="single" w:sz="8" w:space="0" w:color="DFE2E5"/>
              <w:bottom w:val="single" w:sz="8" w:space="0" w:color="DFE2E5"/>
              <w:right w:val="single" w:sz="8" w:space="0" w:color="DFE2E5"/>
            </w:tcBorders>
            <w:vAlign w:val="center"/>
            <w:hideMark/>
          </w:tcPr>
          <w:p w14:paraId="32D14789"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21B228B7"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single" w:sz="8" w:space="0" w:color="DFE2E5"/>
              <w:right w:val="single" w:sz="8" w:space="0" w:color="DFE2E5"/>
            </w:tcBorders>
            <w:shd w:val="clear" w:color="000000" w:fill="F6F8FA"/>
            <w:vAlign w:val="center"/>
            <w:hideMark/>
          </w:tcPr>
          <w:p w14:paraId="4AD0B511"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Członek domeny: podpisuj cyfrowo dane bezpiecznego kanału (jeśli to możliwe)</w:t>
            </w:r>
          </w:p>
        </w:tc>
      </w:tr>
      <w:tr w:rsidR="008F3769" w:rsidRPr="008F3769" w14:paraId="242899F2"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1A95B01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7B91BEDE"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Członek domeny: szyfruj cyfrowo dane bezpiecznego kanału (gdy to możliwe)</w:t>
            </w:r>
          </w:p>
        </w:tc>
        <w:tc>
          <w:tcPr>
            <w:tcW w:w="2100" w:type="dxa"/>
            <w:tcBorders>
              <w:top w:val="nil"/>
              <w:left w:val="nil"/>
              <w:bottom w:val="single" w:sz="8" w:space="0" w:color="DFE2E5"/>
              <w:right w:val="single" w:sz="8" w:space="0" w:color="DFE2E5"/>
            </w:tcBorders>
            <w:shd w:val="clear" w:color="000000" w:fill="FFFFFF"/>
            <w:vAlign w:val="center"/>
            <w:hideMark/>
          </w:tcPr>
          <w:p w14:paraId="21543A4B" w14:textId="05876731"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FFFFF"/>
            <w:vAlign w:val="center"/>
            <w:hideMark/>
          </w:tcPr>
          <w:p w14:paraId="374D1B9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członek domeny próbuje negocjować szyfrowanie dla całego ruchu bezpiecznego kanału, który inicjuje. Jeśli ta opcja jest włączona, członek domeny zażąda szyfrowania całego ruchu bezpiecznego kanału. Jeśli kontroler domeny obsługuje szyfrowanie całego ruchu w bezpiecznym kanale, cały ruch w bezpiecznym kanale zostanie zaszyfrowany. W przeciwnym razie szyfrowane będą tylko informacje logowania przesyłane bezpiecznym kanałem. Jeśli to ustawienie jest wyłączone, członek domeny nie będzie próbował negocjować bezpiecznego szyfrowania kanału.</w:t>
            </w:r>
          </w:p>
        </w:tc>
      </w:tr>
      <w:tr w:rsidR="008F3769" w:rsidRPr="008F3769" w14:paraId="1994CF98"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44A698D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4641D488"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Członek domeny: podpisuj cyfrowo dane bezpiecznego kanału (gdy to możliwe)</w:t>
            </w:r>
          </w:p>
        </w:tc>
        <w:tc>
          <w:tcPr>
            <w:tcW w:w="2100" w:type="dxa"/>
            <w:tcBorders>
              <w:top w:val="nil"/>
              <w:left w:val="nil"/>
              <w:bottom w:val="single" w:sz="8" w:space="0" w:color="DFE2E5"/>
              <w:right w:val="single" w:sz="8" w:space="0" w:color="DFE2E5"/>
            </w:tcBorders>
            <w:shd w:val="clear" w:color="000000" w:fill="F6F8FA"/>
            <w:vAlign w:val="center"/>
            <w:hideMark/>
          </w:tcPr>
          <w:p w14:paraId="6683453D" w14:textId="13C6832C"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6F8FA"/>
            <w:vAlign w:val="center"/>
            <w:hideMark/>
          </w:tcPr>
          <w:p w14:paraId="55041B3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członek domeny próbuje negocjować podpisanie całego ruchu bezpiecznego kanału, który inicjuje. Jeśli ta opcja jest włączona, członek domeny zażąda podpisania całego ruchu bezpiecznego kanału. Jeśli kontroler domeny obsługuje podpisywanie całego ruchu w bezpiecznym kanale, wówczas cały ruch w bezpiecznym kanale zostanie podpisany, co gwarantuje, że nie będzie można go modyfikować podczas przesyłania.</w:t>
            </w:r>
          </w:p>
        </w:tc>
      </w:tr>
      <w:tr w:rsidR="008F3769" w:rsidRPr="008F3769" w14:paraId="5CE54250"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7CECC00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219097A7" w14:textId="6AAF1908"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Członek domeny: wyłącz zmiany hasła  konta komputera</w:t>
            </w:r>
          </w:p>
        </w:tc>
        <w:tc>
          <w:tcPr>
            <w:tcW w:w="2100" w:type="dxa"/>
            <w:tcBorders>
              <w:top w:val="nil"/>
              <w:left w:val="nil"/>
              <w:bottom w:val="single" w:sz="8" w:space="0" w:color="DFE2E5"/>
              <w:right w:val="single" w:sz="8" w:space="0" w:color="DFE2E5"/>
            </w:tcBorders>
            <w:shd w:val="clear" w:color="000000" w:fill="FFFFFF"/>
            <w:vAlign w:val="center"/>
            <w:hideMark/>
          </w:tcPr>
          <w:p w14:paraId="4316AEEB" w14:textId="48ADA503" w:rsidR="008F3769" w:rsidRPr="008F3769" w:rsidRDefault="002605D7"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Wyłączony</w:t>
            </w:r>
          </w:p>
        </w:tc>
        <w:tc>
          <w:tcPr>
            <w:tcW w:w="15140" w:type="dxa"/>
            <w:tcBorders>
              <w:top w:val="nil"/>
              <w:left w:val="nil"/>
              <w:bottom w:val="single" w:sz="8" w:space="0" w:color="DFE2E5"/>
              <w:right w:val="single" w:sz="8" w:space="0" w:color="DFE2E5"/>
            </w:tcBorders>
            <w:shd w:val="clear" w:color="000000" w:fill="FFFFFF"/>
            <w:vAlign w:val="center"/>
            <w:hideMark/>
          </w:tcPr>
          <w:p w14:paraId="584151A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czy członek domeny okresowo zmienia hasło do konta komputera.</w:t>
            </w:r>
          </w:p>
        </w:tc>
      </w:tr>
      <w:tr w:rsidR="008F3769" w:rsidRPr="008F3769" w14:paraId="2F6131FD"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22DD31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lastRenderedPageBreak/>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13075BD8"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Członek domeny: maksymalny wiek hasła konta komputera</w:t>
            </w:r>
          </w:p>
        </w:tc>
        <w:tc>
          <w:tcPr>
            <w:tcW w:w="2100" w:type="dxa"/>
            <w:tcBorders>
              <w:top w:val="nil"/>
              <w:left w:val="nil"/>
              <w:bottom w:val="single" w:sz="8" w:space="0" w:color="DFE2E5"/>
              <w:right w:val="single" w:sz="8" w:space="0" w:color="DFE2E5"/>
            </w:tcBorders>
            <w:shd w:val="clear" w:color="000000" w:fill="F6F8FA"/>
            <w:vAlign w:val="center"/>
            <w:hideMark/>
          </w:tcPr>
          <w:p w14:paraId="1C5B1C14"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30</w:t>
            </w:r>
          </w:p>
        </w:tc>
        <w:tc>
          <w:tcPr>
            <w:tcW w:w="15140" w:type="dxa"/>
            <w:tcBorders>
              <w:top w:val="nil"/>
              <w:left w:val="nil"/>
              <w:bottom w:val="single" w:sz="8" w:space="0" w:color="DFE2E5"/>
              <w:right w:val="single" w:sz="8" w:space="0" w:color="DFE2E5"/>
            </w:tcBorders>
            <w:shd w:val="clear" w:color="000000" w:fill="F6F8FA"/>
            <w:vAlign w:val="center"/>
            <w:hideMark/>
          </w:tcPr>
          <w:p w14:paraId="6E50DDF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jak często członek domeny będzie musiał zmienić hasło do konta komputera</w:t>
            </w:r>
          </w:p>
        </w:tc>
      </w:tr>
      <w:tr w:rsidR="008F3769" w:rsidRPr="008F3769" w14:paraId="7899A741"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3EC7932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0964E34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Członek domeny: wymaga silnego klucza sesji (Windows 2000 lub nowszy)</w:t>
            </w:r>
          </w:p>
        </w:tc>
        <w:tc>
          <w:tcPr>
            <w:tcW w:w="2100" w:type="dxa"/>
            <w:tcBorders>
              <w:top w:val="nil"/>
              <w:left w:val="nil"/>
              <w:bottom w:val="single" w:sz="8" w:space="0" w:color="DFE2E5"/>
              <w:right w:val="single" w:sz="8" w:space="0" w:color="DFE2E5"/>
            </w:tcBorders>
            <w:shd w:val="clear" w:color="000000" w:fill="FFFFFF"/>
            <w:vAlign w:val="center"/>
            <w:hideMark/>
          </w:tcPr>
          <w:p w14:paraId="7E70301F" w14:textId="23717C8A"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FFFFF"/>
            <w:vAlign w:val="center"/>
            <w:hideMark/>
          </w:tcPr>
          <w:p w14:paraId="30F315D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czy do szyfrowania danych bezpiecznego kanału wymagana jest siła klucza 128-bitowego</w:t>
            </w:r>
          </w:p>
        </w:tc>
      </w:tr>
      <w:tr w:rsidR="008F3769" w:rsidRPr="008F3769" w14:paraId="5DD4320B"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39B253C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0944301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Logowanie interakcyjne: limit nieaktywności komputera</w:t>
            </w:r>
          </w:p>
        </w:tc>
        <w:tc>
          <w:tcPr>
            <w:tcW w:w="2100" w:type="dxa"/>
            <w:tcBorders>
              <w:top w:val="nil"/>
              <w:left w:val="nil"/>
              <w:bottom w:val="single" w:sz="8" w:space="0" w:color="DFE2E5"/>
              <w:right w:val="single" w:sz="8" w:space="0" w:color="DFE2E5"/>
            </w:tcBorders>
            <w:shd w:val="clear" w:color="000000" w:fill="F6F8FA"/>
            <w:vAlign w:val="center"/>
            <w:hideMark/>
          </w:tcPr>
          <w:p w14:paraId="17F5AA70" w14:textId="77777777" w:rsidR="008F3769" w:rsidRPr="008F3769" w:rsidRDefault="008F3769" w:rsidP="008F3769">
            <w:pPr>
              <w:jc w:val="center"/>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900</w:t>
            </w:r>
          </w:p>
        </w:tc>
        <w:tc>
          <w:tcPr>
            <w:tcW w:w="15140" w:type="dxa"/>
            <w:tcBorders>
              <w:top w:val="nil"/>
              <w:left w:val="nil"/>
              <w:bottom w:val="single" w:sz="8" w:space="0" w:color="DFE2E5"/>
              <w:right w:val="single" w:sz="8" w:space="0" w:color="DFE2E5"/>
            </w:tcBorders>
            <w:shd w:val="clear" w:color="000000" w:fill="F6F8FA"/>
            <w:vAlign w:val="center"/>
            <w:hideMark/>
          </w:tcPr>
          <w:p w14:paraId="46985A7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Liczba sekund braku aktywności</w:t>
            </w:r>
            <w:r w:rsidR="00E151B6">
              <w:rPr>
                <w:rFonts w:ascii="Segoe UI" w:eastAsia="Times New Roman" w:hAnsi="Segoe UI" w:cs="Segoe UI"/>
                <w:color w:val="24292E"/>
                <w:sz w:val="16"/>
                <w:szCs w:val="16"/>
                <w:lang w:eastAsia="pl-PL"/>
              </w:rPr>
              <w:t>,</w:t>
            </w:r>
            <w:r w:rsidRPr="008F3769">
              <w:rPr>
                <w:rFonts w:ascii="Segoe UI" w:eastAsia="Times New Roman" w:hAnsi="Segoe UI" w:cs="Segoe UI"/>
                <w:color w:val="24292E"/>
                <w:sz w:val="16"/>
                <w:szCs w:val="16"/>
                <w:lang w:eastAsia="pl-PL"/>
              </w:rPr>
              <w:t xml:space="preserve"> po której sesja jest zablokowana</w:t>
            </w:r>
          </w:p>
        </w:tc>
      </w:tr>
      <w:tr w:rsidR="008F3769" w:rsidRPr="008F3769" w14:paraId="43A8F4BB"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3090B88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3B03AF11" w14:textId="56D31B1F" w:rsidR="008F3769" w:rsidRPr="007469E1" w:rsidRDefault="00545EF1" w:rsidP="00545EF1">
            <w:pPr>
              <w:jc w:val="left"/>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Logowanie interakcyjne</w:t>
            </w:r>
            <w:r w:rsidR="003C5E20" w:rsidRPr="007469E1">
              <w:rPr>
                <w:rFonts w:ascii="Segoe UI" w:eastAsia="Times New Roman" w:hAnsi="Segoe UI" w:cs="Segoe UI"/>
                <w:color w:val="24292E"/>
                <w:sz w:val="16"/>
                <w:szCs w:val="16"/>
                <w:lang w:eastAsia="pl-PL"/>
              </w:rPr>
              <w:t xml:space="preserve">: </w:t>
            </w:r>
            <w:r>
              <w:rPr>
                <w:rFonts w:ascii="Segoe UI" w:eastAsia="Times New Roman" w:hAnsi="Segoe UI" w:cs="Segoe UI"/>
                <w:color w:val="24292E"/>
                <w:sz w:val="16"/>
                <w:szCs w:val="16"/>
                <w:lang w:eastAsia="pl-PL"/>
              </w:rPr>
              <w:t>zachowanie</w:t>
            </w:r>
            <w:r w:rsidR="003A2CA8">
              <w:rPr>
                <w:rFonts w:ascii="Segoe UI" w:eastAsia="Times New Roman" w:hAnsi="Segoe UI" w:cs="Segoe UI"/>
                <w:color w:val="24292E"/>
                <w:sz w:val="16"/>
                <w:szCs w:val="16"/>
                <w:lang w:eastAsia="pl-PL"/>
              </w:rPr>
              <w:t xml:space="preserve"> przy usuwaniu karty inteligentnej</w:t>
            </w:r>
          </w:p>
        </w:tc>
        <w:tc>
          <w:tcPr>
            <w:tcW w:w="2100" w:type="dxa"/>
            <w:tcBorders>
              <w:top w:val="nil"/>
              <w:left w:val="nil"/>
              <w:bottom w:val="single" w:sz="8" w:space="0" w:color="DFE2E5"/>
              <w:right w:val="single" w:sz="8" w:space="0" w:color="DFE2E5"/>
            </w:tcBorders>
            <w:shd w:val="clear" w:color="000000" w:fill="FFFFFF"/>
            <w:vAlign w:val="center"/>
            <w:hideMark/>
          </w:tcPr>
          <w:p w14:paraId="175FF678" w14:textId="1D3A0C35" w:rsidR="008F3769" w:rsidRPr="008F3769" w:rsidRDefault="002605D7"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Zablokuj stację roboczą</w:t>
            </w:r>
          </w:p>
        </w:tc>
        <w:tc>
          <w:tcPr>
            <w:tcW w:w="15140" w:type="dxa"/>
            <w:tcBorders>
              <w:top w:val="nil"/>
              <w:left w:val="nil"/>
              <w:bottom w:val="single" w:sz="8" w:space="0" w:color="DFE2E5"/>
              <w:right w:val="single" w:sz="8" w:space="0" w:color="DFE2E5"/>
            </w:tcBorders>
            <w:shd w:val="clear" w:color="000000" w:fill="FFFFFF"/>
            <w:vAlign w:val="center"/>
            <w:hideMark/>
          </w:tcPr>
          <w:p w14:paraId="577F248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co dzieje się, gdy karta inteligentna dla zalogowanego użytkownika jest usuwana z czytnika kart inteligentnych. Jeśli klikniesz Zablokuj stację roboczą we właściwościach dla tej zasady, stacja robocza zostanie zablokowana po usunięciu karty inteligentnej, umożliwiając użytkownikom opuszczenie obszaru, zabranie ze sobą kart inteligentnych i utrzymanie chronionych sesji. Aby to ustawienie działało od systemu Windows Vista, należy uruchomić usługę Zasady usuwania kart inteligentnych.</w:t>
            </w:r>
          </w:p>
        </w:tc>
      </w:tr>
      <w:tr w:rsidR="008F3769" w:rsidRPr="008F3769" w14:paraId="1092DF5A"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43C191C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74029C6A" w14:textId="36B29913" w:rsidR="008F3769" w:rsidRPr="008F3769" w:rsidRDefault="008F3769" w:rsidP="003A2CA8">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Klient sieci Microsoft: podpisuj cyfrowo komunikację (zawsze)</w:t>
            </w:r>
          </w:p>
        </w:tc>
        <w:tc>
          <w:tcPr>
            <w:tcW w:w="2100" w:type="dxa"/>
            <w:tcBorders>
              <w:top w:val="nil"/>
              <w:left w:val="nil"/>
              <w:bottom w:val="single" w:sz="8" w:space="0" w:color="DFE2E5"/>
              <w:right w:val="single" w:sz="8" w:space="0" w:color="DFE2E5"/>
            </w:tcBorders>
            <w:shd w:val="clear" w:color="000000" w:fill="F6F8FA"/>
            <w:vAlign w:val="center"/>
            <w:hideMark/>
          </w:tcPr>
          <w:p w14:paraId="23378AE4" w14:textId="0BB286F3"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6F8FA"/>
            <w:vAlign w:val="center"/>
            <w:hideMark/>
          </w:tcPr>
          <w:p w14:paraId="24D8146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podpisywanie pakietów jest wymagane przez składnik klienta SMB.</w:t>
            </w:r>
          </w:p>
        </w:tc>
      </w:tr>
      <w:tr w:rsidR="008F3769" w:rsidRPr="008F3769" w14:paraId="6F699941"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D8F3AD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2AD0237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Klient sieci Microsoft: Wyślij niezaszyfrowane hasło w celu nawiązania połączenia z innymi serwerami SMB </w:t>
            </w:r>
          </w:p>
        </w:tc>
        <w:tc>
          <w:tcPr>
            <w:tcW w:w="2100" w:type="dxa"/>
            <w:tcBorders>
              <w:top w:val="nil"/>
              <w:left w:val="nil"/>
              <w:bottom w:val="single" w:sz="8" w:space="0" w:color="DFE2E5"/>
              <w:right w:val="single" w:sz="8" w:space="0" w:color="DFE2E5"/>
            </w:tcBorders>
            <w:shd w:val="clear" w:color="000000" w:fill="FFFFFF"/>
            <w:vAlign w:val="center"/>
            <w:hideMark/>
          </w:tcPr>
          <w:p w14:paraId="0DED6746" w14:textId="46C80162" w:rsidR="008F3769" w:rsidRPr="008F3769" w:rsidRDefault="002605D7"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Wyłączony</w:t>
            </w:r>
          </w:p>
        </w:tc>
        <w:tc>
          <w:tcPr>
            <w:tcW w:w="15140" w:type="dxa"/>
            <w:tcBorders>
              <w:top w:val="nil"/>
              <w:left w:val="nil"/>
              <w:bottom w:val="single" w:sz="8" w:space="0" w:color="DFE2E5"/>
              <w:right w:val="single" w:sz="8" w:space="0" w:color="DFE2E5"/>
            </w:tcBorders>
            <w:shd w:val="clear" w:color="000000" w:fill="FFFFFF"/>
            <w:vAlign w:val="center"/>
            <w:hideMark/>
          </w:tcPr>
          <w:p w14:paraId="679F902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Jeśli to ustawienie zabezpieczeń jest włączone, </w:t>
            </w:r>
            <w:proofErr w:type="spellStart"/>
            <w:r w:rsidRPr="008F3769">
              <w:rPr>
                <w:rFonts w:ascii="Segoe UI" w:eastAsia="Times New Roman" w:hAnsi="Segoe UI" w:cs="Segoe UI"/>
                <w:color w:val="24292E"/>
                <w:sz w:val="16"/>
                <w:szCs w:val="16"/>
                <w:lang w:eastAsia="pl-PL"/>
              </w:rPr>
              <w:t>readresator</w:t>
            </w:r>
            <w:proofErr w:type="spellEnd"/>
            <w:r w:rsidRPr="008F3769">
              <w:rPr>
                <w:rFonts w:ascii="Segoe UI" w:eastAsia="Times New Roman" w:hAnsi="Segoe UI" w:cs="Segoe UI"/>
                <w:color w:val="24292E"/>
                <w:sz w:val="16"/>
                <w:szCs w:val="16"/>
                <w:lang w:eastAsia="pl-PL"/>
              </w:rPr>
              <w:t xml:space="preserve"> bloku komunikatów serwera (SMB) może wysyłać hasła w postaci zwykłego tekstu do serwerów SMB innych niż Microsoft, które nie obsługują szyfrowania hasła podczas uwierzytelniania. Wysyłanie niezaszyfrowanych haseł stanowi zagrożenie bezpieczeństwa.</w:t>
            </w:r>
          </w:p>
        </w:tc>
      </w:tr>
      <w:tr w:rsidR="008F3769" w:rsidRPr="008F3769" w14:paraId="5CE3E9A7"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41294D32"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6883574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Serwer sieci Microsoft: podpisuj cyfrowo komunikację (zawsze)</w:t>
            </w:r>
          </w:p>
        </w:tc>
        <w:tc>
          <w:tcPr>
            <w:tcW w:w="2100" w:type="dxa"/>
            <w:tcBorders>
              <w:top w:val="nil"/>
              <w:left w:val="nil"/>
              <w:bottom w:val="single" w:sz="8" w:space="0" w:color="DFE2E5"/>
              <w:right w:val="single" w:sz="8" w:space="0" w:color="DFE2E5"/>
            </w:tcBorders>
            <w:shd w:val="clear" w:color="000000" w:fill="F6F8FA"/>
            <w:vAlign w:val="center"/>
            <w:hideMark/>
          </w:tcPr>
          <w:p w14:paraId="11B8DA2D" w14:textId="3E56E68B"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6F8FA"/>
            <w:vAlign w:val="center"/>
            <w:hideMark/>
          </w:tcPr>
          <w:p w14:paraId="7B96A27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podpisywanie pakietów jest wymagane przez składnik serwera SMB.</w:t>
            </w:r>
          </w:p>
        </w:tc>
      </w:tr>
      <w:tr w:rsidR="008F3769" w:rsidRPr="008F3769" w14:paraId="3BCDF512"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2E87828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1FA6A31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Dostęp sieciowy: Zezwalaj na anonimową translację identyfikatorów SID / nazw</w:t>
            </w:r>
          </w:p>
        </w:tc>
        <w:tc>
          <w:tcPr>
            <w:tcW w:w="2100" w:type="dxa"/>
            <w:tcBorders>
              <w:top w:val="nil"/>
              <w:left w:val="nil"/>
              <w:bottom w:val="single" w:sz="8" w:space="0" w:color="DFE2E5"/>
              <w:right w:val="single" w:sz="8" w:space="0" w:color="DFE2E5"/>
            </w:tcBorders>
            <w:shd w:val="clear" w:color="000000" w:fill="FFFFFF"/>
            <w:vAlign w:val="center"/>
            <w:hideMark/>
          </w:tcPr>
          <w:p w14:paraId="56CACE51" w14:textId="047F7722" w:rsidR="008F3769" w:rsidRPr="008F3769" w:rsidRDefault="002605D7"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Wyłączony</w:t>
            </w:r>
          </w:p>
        </w:tc>
        <w:tc>
          <w:tcPr>
            <w:tcW w:w="15140" w:type="dxa"/>
            <w:tcBorders>
              <w:top w:val="nil"/>
              <w:left w:val="nil"/>
              <w:bottom w:val="single" w:sz="8" w:space="0" w:color="DFE2E5"/>
              <w:right w:val="single" w:sz="8" w:space="0" w:color="DFE2E5"/>
            </w:tcBorders>
            <w:shd w:val="clear" w:color="000000" w:fill="FFFFFF"/>
            <w:vAlign w:val="center"/>
            <w:hideMark/>
          </w:tcPr>
          <w:p w14:paraId="3D59DF0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anonimowy użytkownik może zażądać atrybutów identyfikatora bezpieczeństwa (SID) dla innego użytkownika. Jeśli ta zasada jest włączona, użytkownik ze znajomością identyfikatora SID administratora może skontaktować się z komputerem, na którym włączono tę zasadę, i użyć identyfikatora SID, aby uzyskać nazwę administratora.</w:t>
            </w:r>
          </w:p>
        </w:tc>
      </w:tr>
      <w:tr w:rsidR="008F3769" w:rsidRPr="008F3769" w14:paraId="134DC224"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73F921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0CD4ABC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Dostęp sieciowy: nie zezwalaj na anonimowe wyliczanie kont SAM</w:t>
            </w:r>
          </w:p>
        </w:tc>
        <w:tc>
          <w:tcPr>
            <w:tcW w:w="2100" w:type="dxa"/>
            <w:tcBorders>
              <w:top w:val="nil"/>
              <w:left w:val="nil"/>
              <w:bottom w:val="single" w:sz="8" w:space="0" w:color="DFE2E5"/>
              <w:right w:val="single" w:sz="8" w:space="0" w:color="DFE2E5"/>
            </w:tcBorders>
            <w:shd w:val="clear" w:color="000000" w:fill="F6F8FA"/>
            <w:vAlign w:val="center"/>
            <w:hideMark/>
          </w:tcPr>
          <w:p w14:paraId="55CE3A25" w14:textId="2763E13F"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6F8FA"/>
            <w:vAlign w:val="center"/>
            <w:hideMark/>
          </w:tcPr>
          <w:p w14:paraId="6399834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jakie dodatkowe uprawnienia zostaną przyznane dla anonimowych połączeń z komputerem. System Windows umożliwia anonimowym użytkownikom wykonywanie określonych czynności, takich jak wyliczanie nazw kont domeny i udziałów sieciowych. Jest to wygodne, na przykład, gdy administrator chce przyznać dostęp użytkownikom w zaufanej domenie, która nie utrzymuje wzajemnego zaufania. Ta opcja zabezpieczeń umożliwia nałożenie dodatkowych ograniczeń na anonimowe połączenia w następujący sposób: Włączone: Nie zezwalaj na wyliczanie kont SAM. Ta opcja zastępuje Wszyscy Uprawnieni Użytkownicy w uprawnieniach zabezpieczeń zasobów.</w:t>
            </w:r>
          </w:p>
        </w:tc>
      </w:tr>
      <w:tr w:rsidR="008F3769" w:rsidRPr="008F3769" w14:paraId="5C1D26DC"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291D8AE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6D66F072"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Dostęp sieciowy: nie zezwalaj na anonimowe wyliczanie kont SAM i udziałów</w:t>
            </w:r>
          </w:p>
        </w:tc>
        <w:tc>
          <w:tcPr>
            <w:tcW w:w="2100" w:type="dxa"/>
            <w:tcBorders>
              <w:top w:val="nil"/>
              <w:left w:val="nil"/>
              <w:bottom w:val="single" w:sz="8" w:space="0" w:color="DFE2E5"/>
              <w:right w:val="single" w:sz="8" w:space="0" w:color="DFE2E5"/>
            </w:tcBorders>
            <w:shd w:val="clear" w:color="000000" w:fill="FFFFFF"/>
            <w:vAlign w:val="center"/>
            <w:hideMark/>
          </w:tcPr>
          <w:p w14:paraId="21234385" w14:textId="49E04697"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FFFFF"/>
            <w:vAlign w:val="center"/>
            <w:hideMark/>
          </w:tcPr>
          <w:p w14:paraId="60E213C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dozwolone jest anonimowe wyliczanie kont SAM i udziałów. System Windows umożliwia anonimowym użytkownikom wykonywanie określonych czynności, takich jak wyliczanie nazw kont domeny i udziałów sieciowych. Jest to wygodne, na przykład, gdy administrator chce przyznać dostęp użytkownikom w zaufanej domenie, która nie utrzymuje wzajemnego zaufania. Jeśli nie chcesz zezwalać na anonimowe wyliczanie kont i udziałów SAM, włącz tę zasadę.</w:t>
            </w:r>
          </w:p>
        </w:tc>
      </w:tr>
      <w:tr w:rsidR="008F3769" w:rsidRPr="008F3769" w14:paraId="56B15B9E" w14:textId="77777777" w:rsidTr="008F3769">
        <w:trPr>
          <w:trHeight w:val="31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568ABE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vMerge w:val="restart"/>
            <w:tcBorders>
              <w:top w:val="nil"/>
              <w:left w:val="single" w:sz="8" w:space="0" w:color="DFE2E5"/>
              <w:bottom w:val="single" w:sz="8" w:space="0" w:color="DFE2E5"/>
              <w:right w:val="single" w:sz="8" w:space="0" w:color="DFE2E5"/>
            </w:tcBorders>
            <w:shd w:val="clear" w:color="000000" w:fill="F6F8FA"/>
            <w:vAlign w:val="center"/>
            <w:hideMark/>
          </w:tcPr>
          <w:p w14:paraId="7B97788F"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Dostęp sieciowy: Ogranicz anonimowy dostęp do nazwanych potoków i udziałów</w:t>
            </w:r>
          </w:p>
        </w:tc>
        <w:tc>
          <w:tcPr>
            <w:tcW w:w="2100" w:type="dxa"/>
            <w:vMerge w:val="restart"/>
            <w:tcBorders>
              <w:top w:val="nil"/>
              <w:left w:val="single" w:sz="8" w:space="0" w:color="DFE2E5"/>
              <w:bottom w:val="single" w:sz="8" w:space="0" w:color="DFE2E5"/>
              <w:right w:val="single" w:sz="8" w:space="0" w:color="DFE2E5"/>
            </w:tcBorders>
            <w:shd w:val="clear" w:color="000000" w:fill="F6F8FA"/>
            <w:vAlign w:val="center"/>
            <w:hideMark/>
          </w:tcPr>
          <w:p w14:paraId="7CF8F643" w14:textId="0784A204"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nil"/>
              <w:right w:val="single" w:sz="8" w:space="0" w:color="DFE2E5"/>
            </w:tcBorders>
            <w:shd w:val="clear" w:color="000000" w:fill="F6F8FA"/>
            <w:vAlign w:val="center"/>
            <w:hideMark/>
          </w:tcPr>
          <w:p w14:paraId="760C7354" w14:textId="6A7CBCA2"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Po włączeniu</w:t>
            </w:r>
            <w:r w:rsidR="008D2FA8">
              <w:rPr>
                <w:rFonts w:ascii="Segoe UI" w:eastAsia="Times New Roman" w:hAnsi="Segoe UI" w:cs="Segoe UI"/>
                <w:color w:val="24292E"/>
                <w:sz w:val="16"/>
                <w:szCs w:val="16"/>
                <w:lang w:eastAsia="pl-PL"/>
              </w:rPr>
              <w:t>,</w:t>
            </w:r>
            <w:r w:rsidRPr="008F3769">
              <w:rPr>
                <w:rFonts w:ascii="Segoe UI" w:eastAsia="Times New Roman" w:hAnsi="Segoe UI" w:cs="Segoe UI"/>
                <w:color w:val="24292E"/>
                <w:sz w:val="16"/>
                <w:szCs w:val="16"/>
                <w:lang w:eastAsia="pl-PL"/>
              </w:rPr>
              <w:t xml:space="preserve"> to ustawienie zabezpieczeń ogranicza anonimowy dostęp do udziałów i potoków do ustawień dla:</w:t>
            </w:r>
          </w:p>
        </w:tc>
      </w:tr>
      <w:tr w:rsidR="008F3769" w:rsidRPr="008F3769" w14:paraId="4371321E" w14:textId="77777777" w:rsidTr="008F3769">
        <w:trPr>
          <w:trHeight w:val="31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D14B13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vMerge/>
            <w:tcBorders>
              <w:top w:val="nil"/>
              <w:left w:val="single" w:sz="8" w:space="0" w:color="DFE2E5"/>
              <w:bottom w:val="single" w:sz="8" w:space="0" w:color="DFE2E5"/>
              <w:right w:val="single" w:sz="8" w:space="0" w:color="DFE2E5"/>
            </w:tcBorders>
            <w:vAlign w:val="center"/>
            <w:hideMark/>
          </w:tcPr>
          <w:p w14:paraId="4DDF4546"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09717490"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nil"/>
              <w:right w:val="single" w:sz="8" w:space="0" w:color="DFE2E5"/>
            </w:tcBorders>
            <w:shd w:val="clear" w:color="000000" w:fill="F6F8FA"/>
            <w:vAlign w:val="center"/>
            <w:hideMark/>
          </w:tcPr>
          <w:p w14:paraId="60915B8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Dostęp do sieci: Nazwane potoki, do których można uzyskać dostęp anonimowo</w:t>
            </w:r>
          </w:p>
        </w:tc>
      </w:tr>
      <w:tr w:rsidR="008F3769" w:rsidRPr="008F3769" w14:paraId="64F5CD74" w14:textId="77777777" w:rsidTr="008F3769">
        <w:trPr>
          <w:trHeight w:val="31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89C8E3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vMerge/>
            <w:tcBorders>
              <w:top w:val="nil"/>
              <w:left w:val="single" w:sz="8" w:space="0" w:color="DFE2E5"/>
              <w:bottom w:val="single" w:sz="8" w:space="0" w:color="DFE2E5"/>
              <w:right w:val="single" w:sz="8" w:space="0" w:color="DFE2E5"/>
            </w:tcBorders>
            <w:vAlign w:val="center"/>
            <w:hideMark/>
          </w:tcPr>
          <w:p w14:paraId="59082A8B"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2100" w:type="dxa"/>
            <w:vMerge/>
            <w:tcBorders>
              <w:top w:val="nil"/>
              <w:left w:val="single" w:sz="8" w:space="0" w:color="DFE2E5"/>
              <w:bottom w:val="single" w:sz="8" w:space="0" w:color="DFE2E5"/>
              <w:right w:val="single" w:sz="8" w:space="0" w:color="DFE2E5"/>
            </w:tcBorders>
            <w:vAlign w:val="center"/>
            <w:hideMark/>
          </w:tcPr>
          <w:p w14:paraId="2955058B" w14:textId="77777777" w:rsidR="008F3769" w:rsidRPr="008F3769" w:rsidRDefault="008F3769" w:rsidP="008F3769">
            <w:pPr>
              <w:jc w:val="left"/>
              <w:rPr>
                <w:rFonts w:ascii="Segoe UI" w:eastAsia="Times New Roman" w:hAnsi="Segoe UI" w:cs="Segoe UI"/>
                <w:color w:val="24292E"/>
                <w:sz w:val="16"/>
                <w:szCs w:val="16"/>
                <w:lang w:eastAsia="pl-PL"/>
              </w:rPr>
            </w:pPr>
          </w:p>
        </w:tc>
        <w:tc>
          <w:tcPr>
            <w:tcW w:w="15140" w:type="dxa"/>
            <w:tcBorders>
              <w:top w:val="nil"/>
              <w:left w:val="nil"/>
              <w:bottom w:val="single" w:sz="8" w:space="0" w:color="DFE2E5"/>
              <w:right w:val="single" w:sz="8" w:space="0" w:color="DFE2E5"/>
            </w:tcBorders>
            <w:shd w:val="clear" w:color="000000" w:fill="F6F8FA"/>
            <w:vAlign w:val="center"/>
            <w:hideMark/>
          </w:tcPr>
          <w:p w14:paraId="3DC26051"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Dostęp do sieci: udziały, do których można uzyskać dostęp anonimowo</w:t>
            </w:r>
          </w:p>
        </w:tc>
      </w:tr>
      <w:tr w:rsidR="008F3769" w:rsidRPr="008F3769" w14:paraId="5F6697B2"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44D7C6A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24ED345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Dostęp sieciowy: Ogranicz klientów, którzy mogą wykonywać wywołania zdalne menadżera SAM</w:t>
            </w:r>
          </w:p>
        </w:tc>
        <w:tc>
          <w:tcPr>
            <w:tcW w:w="2100" w:type="dxa"/>
            <w:tcBorders>
              <w:top w:val="nil"/>
              <w:left w:val="nil"/>
              <w:bottom w:val="single" w:sz="8" w:space="0" w:color="DFE2E5"/>
              <w:right w:val="single" w:sz="8" w:space="0" w:color="DFE2E5"/>
            </w:tcBorders>
            <w:shd w:val="clear" w:color="000000" w:fill="FFFFFF"/>
            <w:vAlign w:val="center"/>
            <w:hideMark/>
          </w:tcPr>
          <w:p w14:paraId="3AFD9325" w14:textId="77777777" w:rsidR="008F3769" w:rsidRPr="007469E1" w:rsidRDefault="008F3769" w:rsidP="008F3769">
            <w:pPr>
              <w:jc w:val="center"/>
              <w:rPr>
                <w:rFonts w:ascii="Segoe UI" w:eastAsia="Times New Roman" w:hAnsi="Segoe UI" w:cs="Segoe UI"/>
                <w:color w:val="24292E"/>
                <w:sz w:val="16"/>
                <w:szCs w:val="16"/>
                <w:lang w:val="en-GB" w:eastAsia="pl-PL"/>
              </w:rPr>
            </w:pPr>
            <w:r w:rsidRPr="007469E1">
              <w:rPr>
                <w:rFonts w:ascii="Segoe UI" w:eastAsia="Times New Roman" w:hAnsi="Segoe UI" w:cs="Segoe UI"/>
                <w:color w:val="24292E"/>
                <w:sz w:val="16"/>
                <w:szCs w:val="16"/>
                <w:lang w:val="en-GB" w:eastAsia="pl-PL"/>
              </w:rPr>
              <w:t>O:BAG:BAD:(A;;RC;;;BA)</w:t>
            </w:r>
          </w:p>
        </w:tc>
        <w:tc>
          <w:tcPr>
            <w:tcW w:w="15140" w:type="dxa"/>
            <w:tcBorders>
              <w:top w:val="nil"/>
              <w:left w:val="nil"/>
              <w:bottom w:val="single" w:sz="8" w:space="0" w:color="DFE2E5"/>
              <w:right w:val="single" w:sz="8" w:space="0" w:color="DFE2E5"/>
            </w:tcBorders>
            <w:shd w:val="clear" w:color="000000" w:fill="FFFFFF"/>
            <w:vAlign w:val="center"/>
            <w:hideMark/>
          </w:tcPr>
          <w:p w14:paraId="2D02CC5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zasad pozwala ograniczyć zdalne połączenia RPC do SAM. Jeśli ta opcja nie zostanie wybrana, zostanie użyty domyślny deskryptor zabezpieczeń.</w:t>
            </w:r>
          </w:p>
        </w:tc>
      </w:tr>
      <w:tr w:rsidR="008F3769" w:rsidRPr="008F3769" w14:paraId="41D6A552"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7DD6834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2977C93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Zabezpieczenia sieciowe: Zezwalaj kontu systemowi lokalnemu na używanie pustych sesji</w:t>
            </w:r>
          </w:p>
        </w:tc>
        <w:tc>
          <w:tcPr>
            <w:tcW w:w="2100" w:type="dxa"/>
            <w:tcBorders>
              <w:top w:val="nil"/>
              <w:left w:val="nil"/>
              <w:bottom w:val="single" w:sz="8" w:space="0" w:color="DFE2E5"/>
              <w:right w:val="single" w:sz="8" w:space="0" w:color="DFE2E5"/>
            </w:tcBorders>
            <w:shd w:val="clear" w:color="000000" w:fill="F6F8FA"/>
            <w:vAlign w:val="center"/>
            <w:hideMark/>
          </w:tcPr>
          <w:p w14:paraId="736EE4EC" w14:textId="0089BDA0" w:rsidR="008F3769" w:rsidRPr="008F3769" w:rsidRDefault="002605D7"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Wyłączony</w:t>
            </w:r>
          </w:p>
        </w:tc>
        <w:tc>
          <w:tcPr>
            <w:tcW w:w="15140" w:type="dxa"/>
            <w:tcBorders>
              <w:top w:val="nil"/>
              <w:left w:val="nil"/>
              <w:bottom w:val="single" w:sz="8" w:space="0" w:color="DFE2E5"/>
              <w:right w:val="single" w:sz="8" w:space="0" w:color="DFE2E5"/>
            </w:tcBorders>
            <w:shd w:val="clear" w:color="000000" w:fill="F6F8FA"/>
            <w:vAlign w:val="center"/>
            <w:hideMark/>
          </w:tcPr>
          <w:p w14:paraId="00511671"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Zezwól NTLM na powrót do sesji NULL, gdy jest używany z </w:t>
            </w:r>
            <w:proofErr w:type="spellStart"/>
            <w:r w:rsidRPr="008F3769">
              <w:rPr>
                <w:rFonts w:ascii="Segoe UI" w:eastAsia="Times New Roman" w:hAnsi="Segoe UI" w:cs="Segoe UI"/>
                <w:color w:val="24292E"/>
                <w:sz w:val="16"/>
                <w:szCs w:val="16"/>
                <w:lang w:eastAsia="pl-PL"/>
              </w:rPr>
              <w:t>LocalSystem</w:t>
            </w:r>
            <w:proofErr w:type="spellEnd"/>
          </w:p>
        </w:tc>
      </w:tr>
      <w:tr w:rsidR="008F3769" w:rsidRPr="008F3769" w14:paraId="648096ED"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291247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752FC941"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Zabezpieczenia sieciowe: Nie przechowuj wartości skrótu LAN Managera przy następnej zmianie hasła</w:t>
            </w:r>
          </w:p>
        </w:tc>
        <w:tc>
          <w:tcPr>
            <w:tcW w:w="2100" w:type="dxa"/>
            <w:tcBorders>
              <w:top w:val="nil"/>
              <w:left w:val="nil"/>
              <w:bottom w:val="single" w:sz="8" w:space="0" w:color="DFE2E5"/>
              <w:right w:val="single" w:sz="8" w:space="0" w:color="DFE2E5"/>
            </w:tcBorders>
            <w:shd w:val="clear" w:color="000000" w:fill="FFFFFF"/>
            <w:vAlign w:val="center"/>
            <w:hideMark/>
          </w:tcPr>
          <w:p w14:paraId="4548CA62" w14:textId="0F7DDD0E"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FFFFF"/>
            <w:vAlign w:val="center"/>
            <w:hideMark/>
          </w:tcPr>
          <w:p w14:paraId="1488F08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przy następnej zmianie hasła przechowywana jest wartość skrótu LAN Manager (LM) dla nowego hasła. Skrót LM jest stosunkowo słaby i podatny na atak, w porównaniu z kryptograficznie silniejszym skrótem Windows NT. Ponieważ skrót LM jest przechowywany na komputerze lokalnym w bazie danych bezpieczeństwa, hasła mogą zostać naruszone, jeśli baza danych zostanie zaatakowana.</w:t>
            </w:r>
          </w:p>
        </w:tc>
      </w:tr>
      <w:tr w:rsidR="008F3769" w:rsidRPr="008F3769" w14:paraId="7BB8C0BA"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342AF62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6F326A98"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Zabezpieczenia sieci: poziom uwierzytelnienia LAN Managera</w:t>
            </w:r>
          </w:p>
        </w:tc>
        <w:tc>
          <w:tcPr>
            <w:tcW w:w="2100" w:type="dxa"/>
            <w:tcBorders>
              <w:top w:val="nil"/>
              <w:left w:val="nil"/>
              <w:bottom w:val="single" w:sz="8" w:space="0" w:color="DFE2E5"/>
              <w:right w:val="single" w:sz="8" w:space="0" w:color="DFE2E5"/>
            </w:tcBorders>
            <w:shd w:val="clear" w:color="000000" w:fill="F6F8FA"/>
            <w:vAlign w:val="center"/>
            <w:hideMark/>
          </w:tcPr>
          <w:p w14:paraId="7C30320A" w14:textId="54C42D23" w:rsidR="00C0249C" w:rsidRPr="00C0249C" w:rsidRDefault="00C0249C" w:rsidP="008F3769">
            <w:pPr>
              <w:jc w:val="center"/>
              <w:rPr>
                <w:rFonts w:ascii="Segoe UI" w:eastAsia="Times New Roman" w:hAnsi="Segoe UI" w:cs="Segoe UI"/>
                <w:color w:val="24292E"/>
                <w:sz w:val="16"/>
                <w:szCs w:val="16"/>
                <w:lang w:eastAsia="pl-PL"/>
              </w:rPr>
            </w:pPr>
            <w:r w:rsidRPr="00C0249C">
              <w:rPr>
                <w:rFonts w:ascii="Segoe UI" w:eastAsia="Times New Roman" w:hAnsi="Segoe UI" w:cs="Segoe UI"/>
                <w:color w:val="24292E"/>
                <w:sz w:val="16"/>
                <w:szCs w:val="16"/>
                <w:lang w:eastAsia="pl-PL"/>
              </w:rPr>
              <w:t>Wyślij tylko odpowiedź NTLMv2. Odmów LM i NTLM</w:t>
            </w:r>
          </w:p>
        </w:tc>
        <w:tc>
          <w:tcPr>
            <w:tcW w:w="15140" w:type="dxa"/>
            <w:tcBorders>
              <w:top w:val="nil"/>
              <w:left w:val="nil"/>
              <w:bottom w:val="single" w:sz="8" w:space="0" w:color="DFE2E5"/>
              <w:right w:val="single" w:sz="8" w:space="0" w:color="DFE2E5"/>
            </w:tcBorders>
            <w:shd w:val="clear" w:color="000000" w:fill="F6F8FA"/>
            <w:vAlign w:val="center"/>
            <w:hideMark/>
          </w:tcPr>
          <w:p w14:paraId="5FFCAE54" w14:textId="1064F1FC"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który protokół uwierzytelnienia wyzwanie / odpowiedź jest używany do logowania do sieci. Ten wybór wpływa na poziom protokołu uwierzytelniania używanego przez klientów, wynegocjowany poziom bezpieczeństwa sesji oraz poziom uwierzytelnienia akceptowany przez serwery w następujący sposób: Wyślij tylko odpowiedź NTLMv2 \ odmów LM i NTLM: Klienci używają tylko uwierzytelniania NTLMv2 i używają zabezpieczeń sesji NTLMv2</w:t>
            </w:r>
            <w:r w:rsidR="00DC5A39">
              <w:rPr>
                <w:rFonts w:ascii="Segoe UI" w:eastAsia="Times New Roman" w:hAnsi="Segoe UI" w:cs="Segoe UI"/>
                <w:color w:val="24292E"/>
                <w:sz w:val="16"/>
                <w:szCs w:val="16"/>
                <w:lang w:eastAsia="pl-PL"/>
              </w:rPr>
              <w:t>,</w:t>
            </w:r>
            <w:r w:rsidRPr="008F3769">
              <w:rPr>
                <w:rFonts w:ascii="Segoe UI" w:eastAsia="Times New Roman" w:hAnsi="Segoe UI" w:cs="Segoe UI"/>
                <w:color w:val="24292E"/>
                <w:sz w:val="16"/>
                <w:szCs w:val="16"/>
                <w:lang w:eastAsia="pl-PL"/>
              </w:rPr>
              <w:t xml:space="preserve"> jeśli serwer to obsługuje; kontrolery domeny odrzucają LM i NTLM (akceptują tylko uwierzytelnianie NTLMv2).</w:t>
            </w:r>
          </w:p>
        </w:tc>
      </w:tr>
      <w:tr w:rsidR="008F3769" w:rsidRPr="008F3769" w14:paraId="2FCDD4C4"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79C6953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5256F2F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Zabezpieczenia sieci: Wymagania podpisywania klienta LDAP</w:t>
            </w:r>
          </w:p>
        </w:tc>
        <w:tc>
          <w:tcPr>
            <w:tcW w:w="2100" w:type="dxa"/>
            <w:tcBorders>
              <w:top w:val="nil"/>
              <w:left w:val="nil"/>
              <w:bottom w:val="single" w:sz="8" w:space="0" w:color="DFE2E5"/>
              <w:right w:val="single" w:sz="8" w:space="0" w:color="DFE2E5"/>
            </w:tcBorders>
            <w:shd w:val="clear" w:color="000000" w:fill="FFFFFF"/>
            <w:vAlign w:val="center"/>
            <w:hideMark/>
          </w:tcPr>
          <w:p w14:paraId="6CB49A91" w14:textId="1911B74A" w:rsidR="008F3769" w:rsidRPr="008F3769" w:rsidRDefault="00C0249C"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Negocjuj podpisywanie</w:t>
            </w:r>
          </w:p>
        </w:tc>
        <w:tc>
          <w:tcPr>
            <w:tcW w:w="15140" w:type="dxa"/>
            <w:tcBorders>
              <w:top w:val="nil"/>
              <w:left w:val="nil"/>
              <w:bottom w:val="single" w:sz="8" w:space="0" w:color="DFE2E5"/>
              <w:right w:val="single" w:sz="8" w:space="0" w:color="DFE2E5"/>
            </w:tcBorders>
            <w:shd w:val="clear" w:color="000000" w:fill="FFFFFF"/>
            <w:vAlign w:val="center"/>
            <w:hideMark/>
          </w:tcPr>
          <w:p w14:paraId="679A918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To ustawienie zabezpieczeń określa poziom podpisywania danych, który jest wymagany w imieniu klientów wysyłających żądania LDAP BIND, w następujący sposób: Podpisywanie negocjacji: Jeśli Transport </w:t>
            </w:r>
            <w:proofErr w:type="spellStart"/>
            <w:r w:rsidRPr="008F3769">
              <w:rPr>
                <w:rFonts w:ascii="Segoe UI" w:eastAsia="Times New Roman" w:hAnsi="Segoe UI" w:cs="Segoe UI"/>
                <w:color w:val="24292E"/>
                <w:sz w:val="16"/>
                <w:szCs w:val="16"/>
                <w:lang w:eastAsia="pl-PL"/>
              </w:rPr>
              <w:t>Layer</w:t>
            </w:r>
            <w:proofErr w:type="spellEnd"/>
            <w:r w:rsidRPr="008F3769">
              <w:rPr>
                <w:rFonts w:ascii="Segoe UI" w:eastAsia="Times New Roman" w:hAnsi="Segoe UI" w:cs="Segoe UI"/>
                <w:color w:val="24292E"/>
                <w:sz w:val="16"/>
                <w:szCs w:val="16"/>
                <w:lang w:eastAsia="pl-PL"/>
              </w:rPr>
              <w:t xml:space="preserve"> Security / </w:t>
            </w:r>
            <w:proofErr w:type="spellStart"/>
            <w:r w:rsidRPr="008F3769">
              <w:rPr>
                <w:rFonts w:ascii="Segoe UI" w:eastAsia="Times New Roman" w:hAnsi="Segoe UI" w:cs="Segoe UI"/>
                <w:color w:val="24292E"/>
                <w:sz w:val="16"/>
                <w:szCs w:val="16"/>
                <w:lang w:eastAsia="pl-PL"/>
              </w:rPr>
              <w:t>Secure</w:t>
            </w:r>
            <w:proofErr w:type="spellEnd"/>
            <w:r w:rsidRPr="008F3769">
              <w:rPr>
                <w:rFonts w:ascii="Segoe UI" w:eastAsia="Times New Roman" w:hAnsi="Segoe UI" w:cs="Segoe UI"/>
                <w:color w:val="24292E"/>
                <w:sz w:val="16"/>
                <w:szCs w:val="16"/>
                <w:lang w:eastAsia="pl-PL"/>
              </w:rPr>
              <w:t xml:space="preserve"> Sockets </w:t>
            </w:r>
            <w:proofErr w:type="spellStart"/>
            <w:r w:rsidRPr="008F3769">
              <w:rPr>
                <w:rFonts w:ascii="Segoe UI" w:eastAsia="Times New Roman" w:hAnsi="Segoe UI" w:cs="Segoe UI"/>
                <w:color w:val="24292E"/>
                <w:sz w:val="16"/>
                <w:szCs w:val="16"/>
                <w:lang w:eastAsia="pl-PL"/>
              </w:rPr>
              <w:t>Layer</w:t>
            </w:r>
            <w:proofErr w:type="spellEnd"/>
            <w:r w:rsidRPr="008F3769">
              <w:rPr>
                <w:rFonts w:ascii="Segoe UI" w:eastAsia="Times New Roman" w:hAnsi="Segoe UI" w:cs="Segoe UI"/>
                <w:color w:val="24292E"/>
                <w:sz w:val="16"/>
                <w:szCs w:val="16"/>
                <w:lang w:eastAsia="pl-PL"/>
              </w:rPr>
              <w:t xml:space="preserve"> (TLS \ SSL) nie został uruchomiony, żądanie LDAP BIND są inicjowane z ustawioną opcją podpisywania danych LDAP oprócz opcji określonych przez osobę wywołującą. Jeśli TLS \ SSL zostało uruchomione, żądanie LDAP BIND jest inicjowane z opcjami określonymi przez osobę wywołującą.</w:t>
            </w:r>
          </w:p>
        </w:tc>
      </w:tr>
      <w:tr w:rsidR="008F3769" w:rsidRPr="008F3769" w14:paraId="278047A8" w14:textId="77777777" w:rsidTr="008F3769">
        <w:trPr>
          <w:trHeight w:val="106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06682C3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6573DDC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Zabezpieczenia sieci: minimalne zabezpieczenia sesji dla klientów opartych na NTLM SSP (włączając </w:t>
            </w:r>
            <w:proofErr w:type="spellStart"/>
            <w:r w:rsidRPr="008F3769">
              <w:rPr>
                <w:rFonts w:ascii="Segoe UI" w:eastAsia="Times New Roman" w:hAnsi="Segoe UI" w:cs="Segoe UI"/>
                <w:color w:val="24292E"/>
                <w:sz w:val="16"/>
                <w:szCs w:val="16"/>
                <w:lang w:eastAsia="pl-PL"/>
              </w:rPr>
              <w:t>secure</w:t>
            </w:r>
            <w:proofErr w:type="spellEnd"/>
            <w:r w:rsidRPr="008F3769">
              <w:rPr>
                <w:rFonts w:ascii="Segoe UI" w:eastAsia="Times New Roman" w:hAnsi="Segoe UI" w:cs="Segoe UI"/>
                <w:color w:val="24292E"/>
                <w:sz w:val="16"/>
                <w:szCs w:val="16"/>
                <w:lang w:eastAsia="pl-PL"/>
              </w:rPr>
              <w:t xml:space="preserve"> RPC)</w:t>
            </w:r>
          </w:p>
        </w:tc>
        <w:tc>
          <w:tcPr>
            <w:tcW w:w="2100" w:type="dxa"/>
            <w:tcBorders>
              <w:top w:val="nil"/>
              <w:left w:val="nil"/>
              <w:bottom w:val="single" w:sz="8" w:space="0" w:color="DFE2E5"/>
              <w:right w:val="single" w:sz="8" w:space="0" w:color="DFE2E5"/>
            </w:tcBorders>
            <w:shd w:val="clear" w:color="000000" w:fill="F6F8FA"/>
            <w:vAlign w:val="center"/>
            <w:hideMark/>
          </w:tcPr>
          <w:p w14:paraId="290F881D" w14:textId="77777777" w:rsidR="008F3769" w:rsidRPr="007469E1" w:rsidRDefault="008F3769" w:rsidP="008F3769">
            <w:pPr>
              <w:jc w:val="center"/>
              <w:rPr>
                <w:rFonts w:ascii="Segoe UI" w:eastAsia="Times New Roman" w:hAnsi="Segoe UI" w:cs="Segoe UI"/>
                <w:color w:val="24292E"/>
                <w:sz w:val="16"/>
                <w:szCs w:val="16"/>
                <w:lang w:val="en-GB" w:eastAsia="pl-PL"/>
              </w:rPr>
            </w:pPr>
            <w:r w:rsidRPr="007469E1">
              <w:rPr>
                <w:rFonts w:ascii="Segoe UI" w:eastAsia="Times New Roman" w:hAnsi="Segoe UI" w:cs="Segoe UI"/>
                <w:color w:val="24292E"/>
                <w:sz w:val="16"/>
                <w:szCs w:val="16"/>
                <w:lang w:val="en-GB" w:eastAsia="pl-PL"/>
              </w:rPr>
              <w:t>Require NTLMv2 session security and Require 128-bit encryption</w:t>
            </w:r>
          </w:p>
        </w:tc>
        <w:tc>
          <w:tcPr>
            <w:tcW w:w="15140" w:type="dxa"/>
            <w:tcBorders>
              <w:top w:val="nil"/>
              <w:left w:val="nil"/>
              <w:bottom w:val="single" w:sz="8" w:space="0" w:color="DFE2E5"/>
              <w:right w:val="single" w:sz="8" w:space="0" w:color="DFE2E5"/>
            </w:tcBorders>
            <w:shd w:val="clear" w:color="000000" w:fill="F6F8FA"/>
            <w:vAlign w:val="center"/>
            <w:hideMark/>
          </w:tcPr>
          <w:p w14:paraId="53E58731"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pozwala klientowi wymagać negocjacji 128-bitowego szyfrowania i / lub bezpieczeństwa sesji NTLMv2. Wartości te są zależne od wartości ustawienia zabezpieczeń Poziom uwierzytelnienia LAN Managera.</w:t>
            </w:r>
          </w:p>
        </w:tc>
      </w:tr>
      <w:tr w:rsidR="008F3769" w:rsidRPr="008F3769" w14:paraId="09CCF415" w14:textId="77777777" w:rsidTr="008F3769">
        <w:trPr>
          <w:trHeight w:val="106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7F49BE3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lastRenderedPageBreak/>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4B140B91" w14:textId="402DCB6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Zabezpieczenia sieci: minimalne zabezpieczenia sesji dla serwerów opartych na NTLM SSP (włączając </w:t>
            </w:r>
            <w:proofErr w:type="spellStart"/>
            <w:r w:rsidR="007469E1">
              <w:rPr>
                <w:rFonts w:ascii="Segoe UI" w:eastAsia="Times New Roman" w:hAnsi="Segoe UI" w:cs="Segoe UI"/>
                <w:color w:val="24292E"/>
                <w:sz w:val="16"/>
                <w:szCs w:val="16"/>
                <w:lang w:eastAsia="pl-PL"/>
              </w:rPr>
              <w:t>S</w:t>
            </w:r>
            <w:r w:rsidRPr="008F3769">
              <w:rPr>
                <w:rFonts w:ascii="Segoe UI" w:eastAsia="Times New Roman" w:hAnsi="Segoe UI" w:cs="Segoe UI"/>
                <w:color w:val="24292E"/>
                <w:sz w:val="16"/>
                <w:szCs w:val="16"/>
                <w:lang w:eastAsia="pl-PL"/>
              </w:rPr>
              <w:t>ecure</w:t>
            </w:r>
            <w:proofErr w:type="spellEnd"/>
            <w:r w:rsidRPr="008F3769">
              <w:rPr>
                <w:rFonts w:ascii="Segoe UI" w:eastAsia="Times New Roman" w:hAnsi="Segoe UI" w:cs="Segoe UI"/>
                <w:color w:val="24292E"/>
                <w:sz w:val="16"/>
                <w:szCs w:val="16"/>
                <w:lang w:eastAsia="pl-PL"/>
              </w:rPr>
              <w:t xml:space="preserve"> RPC)</w:t>
            </w:r>
          </w:p>
        </w:tc>
        <w:tc>
          <w:tcPr>
            <w:tcW w:w="2100" w:type="dxa"/>
            <w:tcBorders>
              <w:top w:val="nil"/>
              <w:left w:val="nil"/>
              <w:bottom w:val="single" w:sz="8" w:space="0" w:color="DFE2E5"/>
              <w:right w:val="single" w:sz="8" w:space="0" w:color="DFE2E5"/>
            </w:tcBorders>
            <w:shd w:val="clear" w:color="000000" w:fill="FFFFFF"/>
            <w:vAlign w:val="center"/>
            <w:hideMark/>
          </w:tcPr>
          <w:p w14:paraId="5B0C989C" w14:textId="68257412" w:rsidR="008F3769" w:rsidRPr="003F2DAF" w:rsidRDefault="003F2DAF" w:rsidP="008F3769">
            <w:pPr>
              <w:jc w:val="center"/>
              <w:rPr>
                <w:rFonts w:ascii="Segoe UI" w:eastAsia="Times New Roman" w:hAnsi="Segoe UI" w:cs="Segoe UI"/>
                <w:color w:val="24292E"/>
                <w:sz w:val="16"/>
                <w:szCs w:val="16"/>
                <w:lang w:eastAsia="pl-PL"/>
              </w:rPr>
            </w:pPr>
            <w:r w:rsidRPr="003F2DAF">
              <w:rPr>
                <w:rFonts w:ascii="Segoe UI" w:eastAsia="Times New Roman" w:hAnsi="Segoe UI" w:cs="Segoe UI"/>
                <w:color w:val="24292E"/>
                <w:sz w:val="16"/>
                <w:szCs w:val="16"/>
                <w:lang w:eastAsia="pl-PL"/>
              </w:rPr>
              <w:t>Wymaga zabezpieczeń sesji NTLMv2 i szyfrowania 128 bitowego</w:t>
            </w:r>
          </w:p>
        </w:tc>
        <w:tc>
          <w:tcPr>
            <w:tcW w:w="15140" w:type="dxa"/>
            <w:tcBorders>
              <w:top w:val="nil"/>
              <w:left w:val="nil"/>
              <w:bottom w:val="single" w:sz="8" w:space="0" w:color="DFE2E5"/>
              <w:right w:val="single" w:sz="8" w:space="0" w:color="DFE2E5"/>
            </w:tcBorders>
            <w:shd w:val="clear" w:color="000000" w:fill="FFFFFF"/>
            <w:vAlign w:val="center"/>
            <w:hideMark/>
          </w:tcPr>
          <w:p w14:paraId="0D4777D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pozwala serwerowi wymagać negocjacji 128-bitowego szyfrowania i / lub bezpieczeństwa sesji NTLMv2. Wartości te są zależne od wartości ustawienia zabezpieczeń Poziom uwierzytelnienia LAN Managera.</w:t>
            </w:r>
          </w:p>
        </w:tc>
      </w:tr>
      <w:tr w:rsidR="008F3769" w:rsidRPr="008F3769" w14:paraId="09A7F202" w14:textId="77777777" w:rsidTr="008F3769">
        <w:trPr>
          <w:trHeight w:val="106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16BC8AF8"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5A2C0E8E"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Obiekty systemowe: wzmocnij uprawnienia domyślne wewnętrznych obiektów systemu (np. linków symbolicznych)</w:t>
            </w:r>
          </w:p>
        </w:tc>
        <w:tc>
          <w:tcPr>
            <w:tcW w:w="2100" w:type="dxa"/>
            <w:tcBorders>
              <w:top w:val="nil"/>
              <w:left w:val="nil"/>
              <w:bottom w:val="single" w:sz="8" w:space="0" w:color="DFE2E5"/>
              <w:right w:val="single" w:sz="8" w:space="0" w:color="DFE2E5"/>
            </w:tcBorders>
            <w:shd w:val="clear" w:color="000000" w:fill="F6F8FA"/>
            <w:vAlign w:val="center"/>
            <w:hideMark/>
          </w:tcPr>
          <w:p w14:paraId="67373BD8" w14:textId="1E1BC094"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6F8FA"/>
            <w:vAlign w:val="center"/>
            <w:hideMark/>
          </w:tcPr>
          <w:p w14:paraId="4CFFBAA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To ustawienie zabezpieczeń określa siłę domyślnej uznaniowej listy kontroli dostępu (DACL) dla obiektów. Usługa Active Directory utrzymuje globalną listę współużytkowanych zasobów systemowych, takich jak nazwy urządzeń DOS, </w:t>
            </w:r>
            <w:proofErr w:type="spellStart"/>
            <w:r w:rsidRPr="008F3769">
              <w:rPr>
                <w:rFonts w:ascii="Segoe UI" w:eastAsia="Times New Roman" w:hAnsi="Segoe UI" w:cs="Segoe UI"/>
                <w:color w:val="24292E"/>
                <w:sz w:val="16"/>
                <w:szCs w:val="16"/>
                <w:lang w:eastAsia="pl-PL"/>
              </w:rPr>
              <w:t>muteksy</w:t>
            </w:r>
            <w:proofErr w:type="spellEnd"/>
            <w:r w:rsidRPr="008F3769">
              <w:rPr>
                <w:rFonts w:ascii="Segoe UI" w:eastAsia="Times New Roman" w:hAnsi="Segoe UI" w:cs="Segoe UI"/>
                <w:color w:val="24292E"/>
                <w:sz w:val="16"/>
                <w:szCs w:val="16"/>
                <w:lang w:eastAsia="pl-PL"/>
              </w:rPr>
              <w:t xml:space="preserve"> i semafory. W ten sposób obiekty mogą być lokalizowane i współdzielone między procesami. Każdy typ obiektu jest tworzony z domyślną listą DACL, która określa, kto może uzyskać dostęp do obiektów i jakie uprawnienia są przyznawane. Jeśli ta zasada jest włączona, domyślna lista DACL jest silniejsza, umożliwiając użytkownikom niebędącym administratorami odczytywanie obiektów udostępnionych, ale nie zezwalając tym użytkownikom na modyfikowanie obiektów udostępnionych, których nie utworzyli.</w:t>
            </w:r>
          </w:p>
        </w:tc>
      </w:tr>
      <w:tr w:rsidR="008F3769" w:rsidRPr="008F3769" w14:paraId="53B216AE" w14:textId="77777777" w:rsidTr="008F3769">
        <w:trPr>
          <w:trHeight w:val="127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0AFBF4B2"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7EE70C7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Kontrola konta użytkownika: tryb zatwierdzania przez administratora dla wbudowanego konta administratora</w:t>
            </w:r>
          </w:p>
        </w:tc>
        <w:tc>
          <w:tcPr>
            <w:tcW w:w="2100" w:type="dxa"/>
            <w:tcBorders>
              <w:top w:val="nil"/>
              <w:left w:val="nil"/>
              <w:bottom w:val="single" w:sz="8" w:space="0" w:color="DFE2E5"/>
              <w:right w:val="single" w:sz="8" w:space="0" w:color="DFE2E5"/>
            </w:tcBorders>
            <w:shd w:val="clear" w:color="000000" w:fill="FFFFFF"/>
            <w:vAlign w:val="center"/>
            <w:hideMark/>
          </w:tcPr>
          <w:p w14:paraId="00D5BC66" w14:textId="052D33A3"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FFFFF"/>
            <w:vAlign w:val="center"/>
            <w:hideMark/>
          </w:tcPr>
          <w:p w14:paraId="22A94B1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Wbudowane konto administratora korzysta z trybu zatwierdzania przez administratora - każda operacja wymagająca podniesienia uprawnień spowoduje wyświetlenie monitu o zatwierdzenie tej operacji</w:t>
            </w:r>
          </w:p>
        </w:tc>
      </w:tr>
      <w:tr w:rsidR="008F3769" w:rsidRPr="008F3769" w14:paraId="185741CE" w14:textId="77777777" w:rsidTr="008F3769">
        <w:trPr>
          <w:trHeight w:val="148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721D037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5E19C95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Kontrola konta użytkownika: zachowanie monitu o podniesienie uprawnień dla administratorów w trybie zatwierdzania przez administratora</w:t>
            </w:r>
          </w:p>
        </w:tc>
        <w:tc>
          <w:tcPr>
            <w:tcW w:w="2100" w:type="dxa"/>
            <w:tcBorders>
              <w:top w:val="nil"/>
              <w:left w:val="nil"/>
              <w:bottom w:val="single" w:sz="8" w:space="0" w:color="DFE2E5"/>
              <w:right w:val="single" w:sz="8" w:space="0" w:color="DFE2E5"/>
            </w:tcBorders>
            <w:shd w:val="clear" w:color="000000" w:fill="F6F8FA"/>
            <w:vAlign w:val="center"/>
            <w:hideMark/>
          </w:tcPr>
          <w:p w14:paraId="1E4DC694" w14:textId="22915D29" w:rsidR="008F3769" w:rsidRPr="00CD5731" w:rsidRDefault="002A0FF3" w:rsidP="008F3769">
            <w:pPr>
              <w:jc w:val="center"/>
              <w:rPr>
                <w:rFonts w:ascii="Segoe UI" w:eastAsia="Times New Roman" w:hAnsi="Segoe UI" w:cs="Segoe UI"/>
                <w:color w:val="24292E"/>
                <w:sz w:val="16"/>
                <w:szCs w:val="16"/>
                <w:lang w:eastAsia="pl-PL"/>
              </w:rPr>
            </w:pPr>
            <w:r w:rsidRPr="00CD5731">
              <w:rPr>
                <w:rFonts w:ascii="Segoe UI" w:eastAsia="Times New Roman" w:hAnsi="Segoe UI" w:cs="Segoe UI"/>
                <w:color w:val="24292E"/>
                <w:sz w:val="16"/>
                <w:szCs w:val="16"/>
                <w:lang w:eastAsia="pl-PL"/>
              </w:rPr>
              <w:t>Monituj o zgodę na bezpiecznym pulpicie</w:t>
            </w:r>
          </w:p>
        </w:tc>
        <w:tc>
          <w:tcPr>
            <w:tcW w:w="15140" w:type="dxa"/>
            <w:tcBorders>
              <w:top w:val="nil"/>
              <w:left w:val="nil"/>
              <w:bottom w:val="single" w:sz="8" w:space="0" w:color="DFE2E5"/>
              <w:right w:val="single" w:sz="8" w:space="0" w:color="DFE2E5"/>
            </w:tcBorders>
            <w:shd w:val="clear" w:color="000000" w:fill="F6F8FA"/>
            <w:vAlign w:val="center"/>
            <w:hideMark/>
          </w:tcPr>
          <w:p w14:paraId="28C7E98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Gdy operacja wymaga podniesienia uprawnień, użytkownik jest monitowany na bezpiecznym pulpicie o podanie nazwy i hasła uprzywilejowanego użytkownika. Jeśli użytkownik wprowadzi prawidłowe poświadczenia, operacja będzie kontynuowana z najwyższymi dostępnymi uprawnieniami użytkownika.</w:t>
            </w:r>
          </w:p>
        </w:tc>
      </w:tr>
      <w:tr w:rsidR="008F3769" w:rsidRPr="008F3769" w14:paraId="5467DB41" w14:textId="77777777" w:rsidTr="008F3769">
        <w:trPr>
          <w:trHeight w:val="106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66843A2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79B8AEF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Kontrola konta użytkownika: wykrywanie instalacji aplikacji i monitowanie o podniesienie uprawnień</w:t>
            </w:r>
          </w:p>
        </w:tc>
        <w:tc>
          <w:tcPr>
            <w:tcW w:w="2100" w:type="dxa"/>
            <w:tcBorders>
              <w:top w:val="nil"/>
              <w:left w:val="nil"/>
              <w:bottom w:val="single" w:sz="8" w:space="0" w:color="DFE2E5"/>
              <w:right w:val="single" w:sz="8" w:space="0" w:color="DFE2E5"/>
            </w:tcBorders>
            <w:shd w:val="clear" w:color="000000" w:fill="FFFFFF"/>
            <w:vAlign w:val="center"/>
            <w:hideMark/>
          </w:tcPr>
          <w:p w14:paraId="3D1DBCD5" w14:textId="78A74A87"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FFFFF"/>
            <w:vAlign w:val="center"/>
            <w:hideMark/>
          </w:tcPr>
          <w:p w14:paraId="38E215B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Po wykryciu pakietu instalacyjnego aplikacji wymagającego podniesienia uprawnień użytkownik jest monitowany o podanie nazwy użytkownika administracyjnego i hasła. Jeśli użytkownik wprowadzi prawidłowe poświadczenia, operacja będzie kontynuowana z odpowiednim uprawnieniem.</w:t>
            </w:r>
          </w:p>
        </w:tc>
      </w:tr>
      <w:tr w:rsidR="008F3769" w:rsidRPr="008F3769" w14:paraId="52D93FFB" w14:textId="77777777" w:rsidTr="008F3769">
        <w:trPr>
          <w:trHeight w:val="148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2F533B4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27161DDD" w14:textId="37E0F381"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Kontrola konta użytkownika: zezwalaj aplikacjom </w:t>
            </w:r>
            <w:r w:rsidR="007469E1" w:rsidRPr="008F3769">
              <w:rPr>
                <w:rFonts w:ascii="Segoe UI" w:eastAsia="Times New Roman" w:hAnsi="Segoe UI" w:cs="Segoe UI"/>
                <w:color w:val="24292E"/>
                <w:sz w:val="16"/>
                <w:szCs w:val="16"/>
                <w:lang w:eastAsia="pl-PL"/>
              </w:rPr>
              <w:t>z poziomem</w:t>
            </w:r>
            <w:r w:rsidRPr="008F3769">
              <w:rPr>
                <w:rFonts w:ascii="Segoe UI" w:eastAsia="Times New Roman" w:hAnsi="Segoe UI" w:cs="Segoe UI"/>
                <w:color w:val="24292E"/>
                <w:sz w:val="16"/>
                <w:szCs w:val="16"/>
                <w:lang w:eastAsia="pl-PL"/>
              </w:rPr>
              <w:t xml:space="preserve"> </w:t>
            </w:r>
            <w:proofErr w:type="spellStart"/>
            <w:r w:rsidRPr="008F3769">
              <w:rPr>
                <w:rFonts w:ascii="Segoe UI" w:eastAsia="Times New Roman" w:hAnsi="Segoe UI" w:cs="Segoe UI"/>
                <w:color w:val="24292E"/>
                <w:sz w:val="16"/>
                <w:szCs w:val="16"/>
                <w:lang w:eastAsia="pl-PL"/>
              </w:rPr>
              <w:t>UIAccess</w:t>
            </w:r>
            <w:proofErr w:type="spellEnd"/>
            <w:r w:rsidRPr="008F3769">
              <w:rPr>
                <w:rFonts w:ascii="Segoe UI" w:eastAsia="Times New Roman" w:hAnsi="Segoe UI" w:cs="Segoe UI"/>
                <w:color w:val="24292E"/>
                <w:sz w:val="16"/>
                <w:szCs w:val="16"/>
                <w:lang w:eastAsia="pl-PL"/>
              </w:rPr>
              <w:t xml:space="preserve"> na monitowanie o podniesienie uprawnień bez używania bezpiecznego pulpitu</w:t>
            </w:r>
          </w:p>
        </w:tc>
        <w:tc>
          <w:tcPr>
            <w:tcW w:w="2100" w:type="dxa"/>
            <w:tcBorders>
              <w:top w:val="nil"/>
              <w:left w:val="nil"/>
              <w:bottom w:val="single" w:sz="8" w:space="0" w:color="DFE2E5"/>
              <w:right w:val="single" w:sz="8" w:space="0" w:color="DFE2E5"/>
            </w:tcBorders>
            <w:shd w:val="clear" w:color="000000" w:fill="F6F8FA"/>
            <w:vAlign w:val="center"/>
            <w:hideMark/>
          </w:tcPr>
          <w:p w14:paraId="16845F8F" w14:textId="56170087"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6F8FA"/>
            <w:vAlign w:val="center"/>
            <w:hideMark/>
          </w:tcPr>
          <w:p w14:paraId="6F52B43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zasad kontroluje, czy aplikacje żądające uruchomienia z poziomem integralności interfejsu użytkownika (</w:t>
            </w:r>
            <w:proofErr w:type="spellStart"/>
            <w:r w:rsidRPr="008F3769">
              <w:rPr>
                <w:rFonts w:ascii="Segoe UI" w:eastAsia="Times New Roman" w:hAnsi="Segoe UI" w:cs="Segoe UI"/>
                <w:color w:val="24292E"/>
                <w:sz w:val="16"/>
                <w:szCs w:val="16"/>
                <w:lang w:eastAsia="pl-PL"/>
              </w:rPr>
              <w:t>UIAccess</w:t>
            </w:r>
            <w:proofErr w:type="spellEnd"/>
            <w:r w:rsidRPr="008F3769">
              <w:rPr>
                <w:rFonts w:ascii="Segoe UI" w:eastAsia="Times New Roman" w:hAnsi="Segoe UI" w:cs="Segoe UI"/>
                <w:color w:val="24292E"/>
                <w:sz w:val="16"/>
                <w:szCs w:val="16"/>
                <w:lang w:eastAsia="pl-PL"/>
              </w:rPr>
              <w:t xml:space="preserve">) muszą znajdować się w bezpiecznej lokalizacji w systemie plików. Bezpieczne lokalizacje są ograniczone do: -… \ Program </w:t>
            </w:r>
            <w:proofErr w:type="spellStart"/>
            <w:r w:rsidRPr="008F3769">
              <w:rPr>
                <w:rFonts w:ascii="Segoe UI" w:eastAsia="Times New Roman" w:hAnsi="Segoe UI" w:cs="Segoe UI"/>
                <w:color w:val="24292E"/>
                <w:sz w:val="16"/>
                <w:szCs w:val="16"/>
                <w:lang w:eastAsia="pl-PL"/>
              </w:rPr>
              <w:t>Files</w:t>
            </w:r>
            <w:proofErr w:type="spellEnd"/>
            <w:r w:rsidRPr="008F3769">
              <w:rPr>
                <w:rFonts w:ascii="Segoe UI" w:eastAsia="Times New Roman" w:hAnsi="Segoe UI" w:cs="Segoe UI"/>
                <w:color w:val="24292E"/>
                <w:sz w:val="16"/>
                <w:szCs w:val="16"/>
                <w:lang w:eastAsia="pl-PL"/>
              </w:rPr>
              <w:t xml:space="preserve"> \, w tym </w:t>
            </w:r>
            <w:proofErr w:type="spellStart"/>
            <w:r w:rsidRPr="008F3769">
              <w:rPr>
                <w:rFonts w:ascii="Segoe UI" w:eastAsia="Times New Roman" w:hAnsi="Segoe UI" w:cs="Segoe UI"/>
                <w:color w:val="24292E"/>
                <w:sz w:val="16"/>
                <w:szCs w:val="16"/>
                <w:lang w:eastAsia="pl-PL"/>
              </w:rPr>
              <w:t>podfolderów</w:t>
            </w:r>
            <w:proofErr w:type="spellEnd"/>
            <w:r w:rsidRPr="008F3769">
              <w:rPr>
                <w:rFonts w:ascii="Segoe UI" w:eastAsia="Times New Roman" w:hAnsi="Segoe UI" w:cs="Segoe UI"/>
                <w:color w:val="24292E"/>
                <w:sz w:val="16"/>
                <w:szCs w:val="16"/>
                <w:lang w:eastAsia="pl-PL"/>
              </w:rPr>
              <w:t xml:space="preserve"> -… \ Windows \ system32 \ -… \ Program </w:t>
            </w:r>
            <w:proofErr w:type="spellStart"/>
            <w:r w:rsidRPr="008F3769">
              <w:rPr>
                <w:rFonts w:ascii="Segoe UI" w:eastAsia="Times New Roman" w:hAnsi="Segoe UI" w:cs="Segoe UI"/>
                <w:color w:val="24292E"/>
                <w:sz w:val="16"/>
                <w:szCs w:val="16"/>
                <w:lang w:eastAsia="pl-PL"/>
              </w:rPr>
              <w:t>Files</w:t>
            </w:r>
            <w:proofErr w:type="spellEnd"/>
            <w:r w:rsidRPr="008F3769">
              <w:rPr>
                <w:rFonts w:ascii="Segoe UI" w:eastAsia="Times New Roman" w:hAnsi="Segoe UI" w:cs="Segoe UI"/>
                <w:color w:val="24292E"/>
                <w:sz w:val="16"/>
                <w:szCs w:val="16"/>
                <w:lang w:eastAsia="pl-PL"/>
              </w:rPr>
              <w:t xml:space="preserve"> (x86) \, w tym </w:t>
            </w:r>
            <w:proofErr w:type="spellStart"/>
            <w:r w:rsidRPr="008F3769">
              <w:rPr>
                <w:rFonts w:ascii="Segoe UI" w:eastAsia="Times New Roman" w:hAnsi="Segoe UI" w:cs="Segoe UI"/>
                <w:color w:val="24292E"/>
                <w:sz w:val="16"/>
                <w:szCs w:val="16"/>
                <w:lang w:eastAsia="pl-PL"/>
              </w:rPr>
              <w:t>podfolderów</w:t>
            </w:r>
            <w:proofErr w:type="spellEnd"/>
            <w:r w:rsidRPr="008F3769">
              <w:rPr>
                <w:rFonts w:ascii="Segoe UI" w:eastAsia="Times New Roman" w:hAnsi="Segoe UI" w:cs="Segoe UI"/>
                <w:color w:val="24292E"/>
                <w:sz w:val="16"/>
                <w:szCs w:val="16"/>
                <w:lang w:eastAsia="pl-PL"/>
              </w:rPr>
              <w:t xml:space="preserve"> dla 64-bitowych wersji systemu Windows</w:t>
            </w:r>
          </w:p>
        </w:tc>
      </w:tr>
      <w:tr w:rsidR="008F3769" w:rsidRPr="008F3769" w14:paraId="71DCBEB8" w14:textId="77777777" w:rsidTr="008F3769">
        <w:trPr>
          <w:trHeight w:val="106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7378667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FFFFF"/>
            <w:vAlign w:val="center"/>
            <w:hideMark/>
          </w:tcPr>
          <w:p w14:paraId="6CFF9462"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Kontrola konta użytkownika: Uruchom wszystkich administratorów w trybie zatwierdzania przez administratora</w:t>
            </w:r>
          </w:p>
        </w:tc>
        <w:tc>
          <w:tcPr>
            <w:tcW w:w="2100" w:type="dxa"/>
            <w:tcBorders>
              <w:top w:val="nil"/>
              <w:left w:val="nil"/>
              <w:bottom w:val="single" w:sz="8" w:space="0" w:color="DFE2E5"/>
              <w:right w:val="single" w:sz="8" w:space="0" w:color="DFE2E5"/>
            </w:tcBorders>
            <w:shd w:val="clear" w:color="000000" w:fill="FFFFFF"/>
            <w:vAlign w:val="center"/>
            <w:hideMark/>
          </w:tcPr>
          <w:p w14:paraId="23EC5370" w14:textId="75F168F7"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FFFFF"/>
            <w:vAlign w:val="center"/>
            <w:hideMark/>
          </w:tcPr>
          <w:p w14:paraId="3C49AF7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Ta zasada musi być włączona, a powiązane ustawienia zasad UAC również muszą być odpowiednio ustawione, aby umożliwić wbudowanemu kontowi administratora i wszystkim innym użytkownikom, którzy są członkami grupy administratorów, działanie w trybie zatwierdzania przez administratora (Admin </w:t>
            </w:r>
            <w:proofErr w:type="spellStart"/>
            <w:r w:rsidRPr="008F3769">
              <w:rPr>
                <w:rFonts w:ascii="Segoe UI" w:eastAsia="Times New Roman" w:hAnsi="Segoe UI" w:cs="Segoe UI"/>
                <w:color w:val="24292E"/>
                <w:sz w:val="16"/>
                <w:szCs w:val="16"/>
                <w:lang w:eastAsia="pl-PL"/>
              </w:rPr>
              <w:t>Approval</w:t>
            </w:r>
            <w:proofErr w:type="spellEnd"/>
            <w:r w:rsidRPr="008F3769">
              <w:rPr>
                <w:rFonts w:ascii="Segoe UI" w:eastAsia="Times New Roman" w:hAnsi="Segoe UI" w:cs="Segoe UI"/>
                <w:color w:val="24292E"/>
                <w:sz w:val="16"/>
                <w:szCs w:val="16"/>
                <w:lang w:eastAsia="pl-PL"/>
              </w:rPr>
              <w:t xml:space="preserve"> </w:t>
            </w:r>
            <w:proofErr w:type="spellStart"/>
            <w:r w:rsidRPr="008F3769">
              <w:rPr>
                <w:rFonts w:ascii="Segoe UI" w:eastAsia="Times New Roman" w:hAnsi="Segoe UI" w:cs="Segoe UI"/>
                <w:color w:val="24292E"/>
                <w:sz w:val="16"/>
                <w:szCs w:val="16"/>
                <w:lang w:eastAsia="pl-PL"/>
              </w:rPr>
              <w:t>Mode</w:t>
            </w:r>
            <w:proofErr w:type="spellEnd"/>
            <w:r w:rsidRPr="008F3769">
              <w:rPr>
                <w:rFonts w:ascii="Segoe UI" w:eastAsia="Times New Roman" w:hAnsi="Segoe UI" w:cs="Segoe UI"/>
                <w:color w:val="24292E"/>
                <w:sz w:val="16"/>
                <w:szCs w:val="16"/>
                <w:lang w:eastAsia="pl-PL"/>
              </w:rPr>
              <w:t>).</w:t>
            </w:r>
          </w:p>
        </w:tc>
      </w:tr>
      <w:tr w:rsidR="008F3769" w:rsidRPr="008F3769" w14:paraId="7CFF80E1" w14:textId="77777777" w:rsidTr="008F3769">
        <w:trPr>
          <w:trHeight w:val="1275"/>
        </w:trPr>
        <w:tc>
          <w:tcPr>
            <w:tcW w:w="1660" w:type="dxa"/>
            <w:tcBorders>
              <w:top w:val="nil"/>
              <w:left w:val="single" w:sz="8" w:space="0" w:color="DFE2E5"/>
              <w:bottom w:val="single" w:sz="8" w:space="0" w:color="DFE2E5"/>
              <w:right w:val="single" w:sz="8" w:space="0" w:color="DFE2E5"/>
            </w:tcBorders>
            <w:shd w:val="clear" w:color="000000" w:fill="F6F8FA"/>
            <w:vAlign w:val="center"/>
            <w:hideMark/>
          </w:tcPr>
          <w:p w14:paraId="3C8D80E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Opcje zabezpieczeń</w:t>
            </w:r>
          </w:p>
        </w:tc>
        <w:tc>
          <w:tcPr>
            <w:tcW w:w="2320" w:type="dxa"/>
            <w:tcBorders>
              <w:top w:val="nil"/>
              <w:left w:val="nil"/>
              <w:bottom w:val="single" w:sz="8" w:space="0" w:color="DFE2E5"/>
              <w:right w:val="single" w:sz="8" w:space="0" w:color="DFE2E5"/>
            </w:tcBorders>
            <w:shd w:val="clear" w:color="000000" w:fill="F6F8FA"/>
            <w:vAlign w:val="center"/>
            <w:hideMark/>
          </w:tcPr>
          <w:p w14:paraId="1B979CC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Kontrola konta użytkownika: </w:t>
            </w:r>
            <w:proofErr w:type="spellStart"/>
            <w:r w:rsidRPr="008F3769">
              <w:rPr>
                <w:rFonts w:ascii="Segoe UI" w:eastAsia="Times New Roman" w:hAnsi="Segoe UI" w:cs="Segoe UI"/>
                <w:color w:val="24292E"/>
                <w:sz w:val="16"/>
                <w:szCs w:val="16"/>
                <w:lang w:eastAsia="pl-PL"/>
              </w:rPr>
              <w:t>wirtualizuj</w:t>
            </w:r>
            <w:proofErr w:type="spellEnd"/>
            <w:r w:rsidRPr="008F3769">
              <w:rPr>
                <w:rFonts w:ascii="Segoe UI" w:eastAsia="Times New Roman" w:hAnsi="Segoe UI" w:cs="Segoe UI"/>
                <w:color w:val="24292E"/>
                <w:sz w:val="16"/>
                <w:szCs w:val="16"/>
                <w:lang w:eastAsia="pl-PL"/>
              </w:rPr>
              <w:t xml:space="preserve"> błędy zapisu plików i rejestru w lokalizacjach poszczególnych użytkowników</w:t>
            </w:r>
          </w:p>
        </w:tc>
        <w:tc>
          <w:tcPr>
            <w:tcW w:w="2100" w:type="dxa"/>
            <w:tcBorders>
              <w:top w:val="nil"/>
              <w:left w:val="nil"/>
              <w:bottom w:val="single" w:sz="8" w:space="0" w:color="DFE2E5"/>
              <w:right w:val="single" w:sz="8" w:space="0" w:color="DFE2E5"/>
            </w:tcBorders>
            <w:shd w:val="clear" w:color="000000" w:fill="F6F8FA"/>
            <w:vAlign w:val="center"/>
            <w:hideMark/>
          </w:tcPr>
          <w:p w14:paraId="22654260" w14:textId="51DBE721" w:rsidR="008F3769" w:rsidRPr="008F3769" w:rsidRDefault="00EC2455"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Włączony</w:t>
            </w:r>
          </w:p>
        </w:tc>
        <w:tc>
          <w:tcPr>
            <w:tcW w:w="15140" w:type="dxa"/>
            <w:tcBorders>
              <w:top w:val="nil"/>
              <w:left w:val="nil"/>
              <w:bottom w:val="single" w:sz="8" w:space="0" w:color="DFE2E5"/>
              <w:right w:val="single" w:sz="8" w:space="0" w:color="DFE2E5"/>
            </w:tcBorders>
            <w:shd w:val="clear" w:color="000000" w:fill="F6F8FA"/>
            <w:vAlign w:val="center"/>
            <w:hideMark/>
          </w:tcPr>
          <w:p w14:paraId="21B0217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To ustawienie zasad kontroluje, czy błędy zapisu aplikacji są przekierowywane do zdefiniowanych lokalizacji rejestru i systemu plików. To ustawienie zasad ogranicza aplikacje działające jako administrator i zapisujące dane aplikacji w czasie wykonywania do % </w:t>
            </w:r>
            <w:proofErr w:type="spellStart"/>
            <w:r w:rsidRPr="008F3769">
              <w:rPr>
                <w:rFonts w:ascii="Segoe UI" w:eastAsia="Times New Roman" w:hAnsi="Segoe UI" w:cs="Segoe UI"/>
                <w:color w:val="24292E"/>
                <w:sz w:val="16"/>
                <w:szCs w:val="16"/>
                <w:lang w:eastAsia="pl-PL"/>
              </w:rPr>
              <w:t>ProgramFiles</w:t>
            </w:r>
            <w:proofErr w:type="spellEnd"/>
            <w:r w:rsidRPr="008F3769">
              <w:rPr>
                <w:rFonts w:ascii="Segoe UI" w:eastAsia="Times New Roman" w:hAnsi="Segoe UI" w:cs="Segoe UI"/>
                <w:color w:val="24292E"/>
                <w:sz w:val="16"/>
                <w:szCs w:val="16"/>
                <w:lang w:eastAsia="pl-PL"/>
              </w:rPr>
              <w:t xml:space="preserve">%,% </w:t>
            </w:r>
            <w:proofErr w:type="spellStart"/>
            <w:r w:rsidRPr="008F3769">
              <w:rPr>
                <w:rFonts w:ascii="Segoe UI" w:eastAsia="Times New Roman" w:hAnsi="Segoe UI" w:cs="Segoe UI"/>
                <w:color w:val="24292E"/>
                <w:sz w:val="16"/>
                <w:szCs w:val="16"/>
                <w:lang w:eastAsia="pl-PL"/>
              </w:rPr>
              <w:t>Windir</w:t>
            </w:r>
            <w:proofErr w:type="spellEnd"/>
            <w:r w:rsidRPr="008F3769">
              <w:rPr>
                <w:rFonts w:ascii="Segoe UI" w:eastAsia="Times New Roman" w:hAnsi="Segoe UI" w:cs="Segoe UI"/>
                <w:color w:val="24292E"/>
                <w:sz w:val="16"/>
                <w:szCs w:val="16"/>
                <w:lang w:eastAsia="pl-PL"/>
              </w:rPr>
              <w:t xml:space="preserve">%,% </w:t>
            </w:r>
            <w:proofErr w:type="spellStart"/>
            <w:r w:rsidRPr="008F3769">
              <w:rPr>
                <w:rFonts w:ascii="Segoe UI" w:eastAsia="Times New Roman" w:hAnsi="Segoe UI" w:cs="Segoe UI"/>
                <w:color w:val="24292E"/>
                <w:sz w:val="16"/>
                <w:szCs w:val="16"/>
                <w:lang w:eastAsia="pl-PL"/>
              </w:rPr>
              <w:t>Windir</w:t>
            </w:r>
            <w:proofErr w:type="spellEnd"/>
            <w:r w:rsidRPr="008F3769">
              <w:rPr>
                <w:rFonts w:ascii="Segoe UI" w:eastAsia="Times New Roman" w:hAnsi="Segoe UI" w:cs="Segoe UI"/>
                <w:color w:val="24292E"/>
                <w:sz w:val="16"/>
                <w:szCs w:val="16"/>
                <w:lang w:eastAsia="pl-PL"/>
              </w:rPr>
              <w:t>% \ system32 lub HKLM \ Software.</w:t>
            </w:r>
          </w:p>
        </w:tc>
      </w:tr>
      <w:tr w:rsidR="008F3769" w:rsidRPr="008F3769" w14:paraId="4A1D9E58"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7100249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2D894BAA" w14:textId="18B6F2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Uzyskaj dostęp do Menadżera poświadczeń</w:t>
            </w:r>
            <w:r w:rsidR="00DC5A39">
              <w:rPr>
                <w:rFonts w:ascii="Segoe UI" w:eastAsia="Times New Roman" w:hAnsi="Segoe UI" w:cs="Segoe UI"/>
                <w:color w:val="24292E"/>
                <w:sz w:val="16"/>
                <w:szCs w:val="16"/>
                <w:lang w:eastAsia="pl-PL"/>
              </w:rPr>
              <w:t xml:space="preserve"> </w:t>
            </w:r>
            <w:r w:rsidRPr="008F3769">
              <w:rPr>
                <w:rFonts w:ascii="Segoe UI" w:eastAsia="Times New Roman" w:hAnsi="Segoe UI" w:cs="Segoe UI"/>
                <w:color w:val="24292E"/>
                <w:sz w:val="16"/>
                <w:szCs w:val="16"/>
                <w:lang w:eastAsia="pl-PL"/>
              </w:rPr>
              <w:t>jako zaufany obiekt wywołujący</w:t>
            </w:r>
          </w:p>
        </w:tc>
        <w:tc>
          <w:tcPr>
            <w:tcW w:w="2100" w:type="dxa"/>
            <w:tcBorders>
              <w:top w:val="nil"/>
              <w:left w:val="nil"/>
              <w:bottom w:val="single" w:sz="8" w:space="0" w:color="DFE2E5"/>
              <w:right w:val="single" w:sz="8" w:space="0" w:color="DFE2E5"/>
            </w:tcBorders>
            <w:shd w:val="clear" w:color="000000" w:fill="FFFFFF"/>
            <w:vAlign w:val="center"/>
            <w:hideMark/>
          </w:tcPr>
          <w:p w14:paraId="07288E41" w14:textId="0D64EF48" w:rsidR="008F3769" w:rsidRPr="008F3769" w:rsidRDefault="00CD5731"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Nikt</w:t>
            </w:r>
            <w:r w:rsidR="008F3769" w:rsidRPr="008F3769">
              <w:rPr>
                <w:rFonts w:ascii="Segoe UI" w:eastAsia="Times New Roman" w:hAnsi="Segoe UI" w:cs="Segoe UI"/>
                <w:color w:val="24292E"/>
                <w:sz w:val="16"/>
                <w:szCs w:val="16"/>
                <w:lang w:eastAsia="pl-PL"/>
              </w:rPr>
              <w:t xml:space="preserve"> (blank)</w:t>
            </w:r>
          </w:p>
        </w:tc>
        <w:tc>
          <w:tcPr>
            <w:tcW w:w="15140" w:type="dxa"/>
            <w:tcBorders>
              <w:top w:val="nil"/>
              <w:left w:val="nil"/>
              <w:bottom w:val="single" w:sz="8" w:space="0" w:color="DFE2E5"/>
              <w:right w:val="single" w:sz="8" w:space="0" w:color="DFE2E5"/>
            </w:tcBorders>
            <w:shd w:val="clear" w:color="000000" w:fill="FFFFFF"/>
            <w:vAlign w:val="center"/>
            <w:hideMark/>
          </w:tcPr>
          <w:p w14:paraId="39E610C1"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To ustawienie jest używane przez menedżera poświadczeń podczas tworzenia kopii zapasowej / przywracania. Żadne konta nie powinny mieć tego uprawnienia, ponieważ są przypisane tylko do </w:t>
            </w:r>
            <w:proofErr w:type="spellStart"/>
            <w:r w:rsidRPr="008F3769">
              <w:rPr>
                <w:rFonts w:ascii="Segoe UI" w:eastAsia="Times New Roman" w:hAnsi="Segoe UI" w:cs="Segoe UI"/>
                <w:color w:val="24292E"/>
                <w:sz w:val="16"/>
                <w:szCs w:val="16"/>
                <w:lang w:eastAsia="pl-PL"/>
              </w:rPr>
              <w:t>Winlogon</w:t>
            </w:r>
            <w:proofErr w:type="spellEnd"/>
            <w:r w:rsidRPr="008F3769">
              <w:rPr>
                <w:rFonts w:ascii="Segoe UI" w:eastAsia="Times New Roman" w:hAnsi="Segoe UI" w:cs="Segoe UI"/>
                <w:color w:val="24292E"/>
                <w:sz w:val="16"/>
                <w:szCs w:val="16"/>
                <w:lang w:eastAsia="pl-PL"/>
              </w:rPr>
              <w:t>. Zapisane poświadczenia użytkowników mogą zostać naruszone, jeśli uprawnienie to zostanie przyznane innym podmiotom.</w:t>
            </w:r>
          </w:p>
        </w:tc>
      </w:tr>
      <w:tr w:rsidR="008F3769" w:rsidRPr="008F3769" w14:paraId="2FBAA74F"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6D5074D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429EC13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Uzyskanie dostęp do tego komputera z sieci</w:t>
            </w:r>
          </w:p>
        </w:tc>
        <w:tc>
          <w:tcPr>
            <w:tcW w:w="2100" w:type="dxa"/>
            <w:tcBorders>
              <w:top w:val="nil"/>
              <w:left w:val="nil"/>
              <w:bottom w:val="single" w:sz="8" w:space="0" w:color="DFE2E5"/>
              <w:right w:val="single" w:sz="8" w:space="0" w:color="DFE2E5"/>
            </w:tcBorders>
            <w:shd w:val="clear" w:color="000000" w:fill="F6F8FA"/>
            <w:vAlign w:val="center"/>
            <w:hideMark/>
          </w:tcPr>
          <w:p w14:paraId="5F66E026"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r w:rsidRPr="008F3769">
              <w:rPr>
                <w:rFonts w:ascii="Segoe UI" w:eastAsia="Times New Roman" w:hAnsi="Segoe UI" w:cs="Segoe UI"/>
                <w:color w:val="24292E"/>
                <w:sz w:val="16"/>
                <w:szCs w:val="16"/>
                <w:lang w:eastAsia="pl-PL"/>
              </w:rPr>
              <w:t xml:space="preserve">; Remote Desktop </w:t>
            </w:r>
            <w:proofErr w:type="spellStart"/>
            <w:r w:rsidRPr="008F3769">
              <w:rPr>
                <w:rFonts w:ascii="Segoe UI" w:eastAsia="Times New Roman" w:hAnsi="Segoe UI" w:cs="Segoe UI"/>
                <w:color w:val="24292E"/>
                <w:sz w:val="16"/>
                <w:szCs w:val="16"/>
                <w:lang w:eastAsia="pl-PL"/>
              </w:rPr>
              <w:t>Users</w:t>
            </w:r>
            <w:proofErr w:type="spellEnd"/>
          </w:p>
        </w:tc>
        <w:tc>
          <w:tcPr>
            <w:tcW w:w="15140" w:type="dxa"/>
            <w:tcBorders>
              <w:top w:val="nil"/>
              <w:left w:val="nil"/>
              <w:bottom w:val="single" w:sz="8" w:space="0" w:color="DFE2E5"/>
              <w:right w:val="single" w:sz="8" w:space="0" w:color="DFE2E5"/>
            </w:tcBorders>
            <w:shd w:val="clear" w:color="000000" w:fill="F6F8FA"/>
            <w:vAlign w:val="center"/>
            <w:hideMark/>
          </w:tcPr>
          <w:p w14:paraId="08B2001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prawo użytkownika określa, którzy użytkownicy i grupy mogą łączyć się z komputerem przez sieć. Prawo użytkownika nie ma wpływu na Usługi pulpitu zdalnego.</w:t>
            </w:r>
          </w:p>
        </w:tc>
      </w:tr>
      <w:tr w:rsidR="008F3769" w:rsidRPr="008F3769" w14:paraId="3E830587"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26B14E9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7B20452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Działanie jako część systemu operacyjnego</w:t>
            </w:r>
          </w:p>
        </w:tc>
        <w:tc>
          <w:tcPr>
            <w:tcW w:w="2100" w:type="dxa"/>
            <w:tcBorders>
              <w:top w:val="nil"/>
              <w:left w:val="nil"/>
              <w:bottom w:val="single" w:sz="8" w:space="0" w:color="DFE2E5"/>
              <w:right w:val="single" w:sz="8" w:space="0" w:color="DFE2E5"/>
            </w:tcBorders>
            <w:shd w:val="clear" w:color="000000" w:fill="FFFFFF"/>
            <w:vAlign w:val="center"/>
            <w:hideMark/>
          </w:tcPr>
          <w:p w14:paraId="200ABF25" w14:textId="4E8E773D" w:rsidR="008F3769" w:rsidRPr="008F3769" w:rsidRDefault="00C349C2"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Nikt</w:t>
            </w:r>
            <w:r w:rsidR="008F3769" w:rsidRPr="008F3769">
              <w:rPr>
                <w:rFonts w:ascii="Segoe UI" w:eastAsia="Times New Roman" w:hAnsi="Segoe UI" w:cs="Segoe UI"/>
                <w:color w:val="24292E"/>
                <w:sz w:val="16"/>
                <w:szCs w:val="16"/>
                <w:lang w:eastAsia="pl-PL"/>
              </w:rPr>
              <w:t xml:space="preserve"> (blank)</w:t>
            </w:r>
          </w:p>
        </w:tc>
        <w:tc>
          <w:tcPr>
            <w:tcW w:w="15140" w:type="dxa"/>
            <w:tcBorders>
              <w:top w:val="nil"/>
              <w:left w:val="nil"/>
              <w:bottom w:val="single" w:sz="8" w:space="0" w:color="DFE2E5"/>
              <w:right w:val="single" w:sz="8" w:space="0" w:color="DFE2E5"/>
            </w:tcBorders>
            <w:shd w:val="clear" w:color="000000" w:fill="FFFFFF"/>
            <w:vAlign w:val="center"/>
            <w:hideMark/>
          </w:tcPr>
          <w:p w14:paraId="5753A23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prawo użytkownika pozwala na podszywanie się pod dowolnego użytkownika bez uwierzytelnienia. Proces może zatem uzyskać dostęp do tych samych zasobów lokalnych, co ten użytkownik.</w:t>
            </w:r>
          </w:p>
        </w:tc>
      </w:tr>
      <w:tr w:rsidR="008F3769" w:rsidRPr="008F3769" w14:paraId="75F6C8CF"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4377D4F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67313E0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Zezwalaj na logowanie lokalne</w:t>
            </w:r>
          </w:p>
        </w:tc>
        <w:tc>
          <w:tcPr>
            <w:tcW w:w="2100" w:type="dxa"/>
            <w:tcBorders>
              <w:top w:val="nil"/>
              <w:left w:val="nil"/>
              <w:bottom w:val="single" w:sz="8" w:space="0" w:color="DFE2E5"/>
              <w:right w:val="single" w:sz="8" w:space="0" w:color="DFE2E5"/>
            </w:tcBorders>
            <w:shd w:val="clear" w:color="000000" w:fill="F6F8FA"/>
            <w:vAlign w:val="center"/>
            <w:hideMark/>
          </w:tcPr>
          <w:p w14:paraId="67246A07"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r w:rsidRPr="008F3769">
              <w:rPr>
                <w:rFonts w:ascii="Segoe UI" w:eastAsia="Times New Roman" w:hAnsi="Segoe UI" w:cs="Segoe UI"/>
                <w:color w:val="24292E"/>
                <w:sz w:val="16"/>
                <w:szCs w:val="16"/>
                <w:lang w:eastAsia="pl-PL"/>
              </w:rPr>
              <w:t xml:space="preserve">; </w:t>
            </w:r>
            <w:proofErr w:type="spellStart"/>
            <w:r w:rsidRPr="008F3769">
              <w:rPr>
                <w:rFonts w:ascii="Segoe UI" w:eastAsia="Times New Roman" w:hAnsi="Segoe UI" w:cs="Segoe UI"/>
                <w:color w:val="24292E"/>
                <w:sz w:val="16"/>
                <w:szCs w:val="16"/>
                <w:lang w:eastAsia="pl-PL"/>
              </w:rPr>
              <w:t>Users</w:t>
            </w:r>
            <w:proofErr w:type="spellEnd"/>
          </w:p>
        </w:tc>
        <w:tc>
          <w:tcPr>
            <w:tcW w:w="15140" w:type="dxa"/>
            <w:tcBorders>
              <w:top w:val="nil"/>
              <w:left w:val="nil"/>
              <w:bottom w:val="single" w:sz="8" w:space="0" w:color="DFE2E5"/>
              <w:right w:val="single" w:sz="8" w:space="0" w:color="DFE2E5"/>
            </w:tcBorders>
            <w:shd w:val="clear" w:color="000000" w:fill="F6F8FA"/>
            <w:vAlign w:val="center"/>
            <w:hideMark/>
          </w:tcPr>
          <w:p w14:paraId="7B047B3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którzy użytkownicy mogą zalogować się do komputera</w:t>
            </w:r>
          </w:p>
        </w:tc>
      </w:tr>
      <w:tr w:rsidR="008F3769" w:rsidRPr="008F3769" w14:paraId="4E406828"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1782AE7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0B6B585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Wykonuj kopie zapasowe plików i katalogów</w:t>
            </w:r>
          </w:p>
        </w:tc>
        <w:tc>
          <w:tcPr>
            <w:tcW w:w="2100" w:type="dxa"/>
            <w:tcBorders>
              <w:top w:val="nil"/>
              <w:left w:val="nil"/>
              <w:bottom w:val="single" w:sz="8" w:space="0" w:color="DFE2E5"/>
              <w:right w:val="single" w:sz="8" w:space="0" w:color="DFE2E5"/>
            </w:tcBorders>
            <w:shd w:val="clear" w:color="000000" w:fill="FFFFFF"/>
            <w:vAlign w:val="center"/>
            <w:hideMark/>
          </w:tcPr>
          <w:p w14:paraId="30296816"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FFFFF"/>
            <w:vAlign w:val="center"/>
            <w:hideMark/>
          </w:tcPr>
          <w:p w14:paraId="3F8AE35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którzy użytkownicy mogą ominąć uprawnienia do plików i katalogów, rejestru i innych uprawnień do obiektów trwałych w celu wykonania kopii zapasowej systemu</w:t>
            </w:r>
          </w:p>
        </w:tc>
      </w:tr>
      <w:tr w:rsidR="008F3769" w:rsidRPr="008F3769" w14:paraId="3DF13C6C"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17E8A16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52856C5F"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Utwórz plik stronicowania</w:t>
            </w:r>
          </w:p>
        </w:tc>
        <w:tc>
          <w:tcPr>
            <w:tcW w:w="2100" w:type="dxa"/>
            <w:tcBorders>
              <w:top w:val="nil"/>
              <w:left w:val="nil"/>
              <w:bottom w:val="single" w:sz="8" w:space="0" w:color="DFE2E5"/>
              <w:right w:val="single" w:sz="8" w:space="0" w:color="DFE2E5"/>
            </w:tcBorders>
            <w:shd w:val="clear" w:color="000000" w:fill="F6F8FA"/>
            <w:vAlign w:val="center"/>
            <w:hideMark/>
          </w:tcPr>
          <w:p w14:paraId="639B64EE"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6F8FA"/>
            <w:vAlign w:val="center"/>
            <w:hideMark/>
          </w:tcPr>
          <w:p w14:paraId="5B7BF84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którzy użytkownicy i grupy mogą wywoływać wewnętrzny interfejs programowania aplikacji (API) w celu utworzenia i zmiany rozmiaru pliku strony</w:t>
            </w:r>
          </w:p>
        </w:tc>
      </w:tr>
      <w:tr w:rsidR="008F3769" w:rsidRPr="008F3769" w14:paraId="424739B8"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6AA7D9A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445563AF"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Utwórz obiekt </w:t>
            </w:r>
            <w:proofErr w:type="spellStart"/>
            <w:r w:rsidRPr="008F3769">
              <w:rPr>
                <w:rFonts w:ascii="Segoe UI" w:eastAsia="Times New Roman" w:hAnsi="Segoe UI" w:cs="Segoe UI"/>
                <w:color w:val="24292E"/>
                <w:sz w:val="16"/>
                <w:szCs w:val="16"/>
                <w:lang w:eastAsia="pl-PL"/>
              </w:rPr>
              <w:t>tokenu</w:t>
            </w:r>
            <w:proofErr w:type="spellEnd"/>
          </w:p>
        </w:tc>
        <w:tc>
          <w:tcPr>
            <w:tcW w:w="2100" w:type="dxa"/>
            <w:tcBorders>
              <w:top w:val="nil"/>
              <w:left w:val="nil"/>
              <w:bottom w:val="single" w:sz="8" w:space="0" w:color="DFE2E5"/>
              <w:right w:val="single" w:sz="8" w:space="0" w:color="DFE2E5"/>
            </w:tcBorders>
            <w:shd w:val="clear" w:color="000000" w:fill="FFFFFF"/>
            <w:vAlign w:val="center"/>
            <w:hideMark/>
          </w:tcPr>
          <w:p w14:paraId="1ADE1B20" w14:textId="5955139A" w:rsidR="008F3769" w:rsidRPr="008F3769" w:rsidRDefault="00C349C2"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Nikt</w:t>
            </w:r>
            <w:r w:rsidR="008F3769" w:rsidRPr="008F3769">
              <w:rPr>
                <w:rFonts w:ascii="Segoe UI" w:eastAsia="Times New Roman" w:hAnsi="Segoe UI" w:cs="Segoe UI"/>
                <w:color w:val="24292E"/>
                <w:sz w:val="16"/>
                <w:szCs w:val="16"/>
                <w:lang w:eastAsia="pl-PL"/>
              </w:rPr>
              <w:t xml:space="preserve"> (blank)</w:t>
            </w:r>
          </w:p>
        </w:tc>
        <w:tc>
          <w:tcPr>
            <w:tcW w:w="15140" w:type="dxa"/>
            <w:tcBorders>
              <w:top w:val="nil"/>
              <w:left w:val="nil"/>
              <w:bottom w:val="single" w:sz="8" w:space="0" w:color="DFE2E5"/>
              <w:right w:val="single" w:sz="8" w:space="0" w:color="DFE2E5"/>
            </w:tcBorders>
            <w:shd w:val="clear" w:color="000000" w:fill="FFFFFF"/>
            <w:vAlign w:val="center"/>
            <w:hideMark/>
          </w:tcPr>
          <w:p w14:paraId="55C3595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Określa, które konta mogą być używane przez procesy w celu utworzenia </w:t>
            </w:r>
            <w:proofErr w:type="spellStart"/>
            <w:r w:rsidRPr="008F3769">
              <w:rPr>
                <w:rFonts w:ascii="Segoe UI" w:eastAsia="Times New Roman" w:hAnsi="Segoe UI" w:cs="Segoe UI"/>
                <w:color w:val="24292E"/>
                <w:sz w:val="16"/>
                <w:szCs w:val="16"/>
                <w:lang w:eastAsia="pl-PL"/>
              </w:rPr>
              <w:t>tokena</w:t>
            </w:r>
            <w:proofErr w:type="spellEnd"/>
            <w:r w:rsidRPr="008F3769">
              <w:rPr>
                <w:rFonts w:ascii="Segoe UI" w:eastAsia="Times New Roman" w:hAnsi="Segoe UI" w:cs="Segoe UI"/>
                <w:color w:val="24292E"/>
                <w:sz w:val="16"/>
                <w:szCs w:val="16"/>
                <w:lang w:eastAsia="pl-PL"/>
              </w:rPr>
              <w:t xml:space="preserve">, który może być następnie użyty w celu uzyskania dostępu do dowolnych zasobów lokalnych, gdy proces używa wewnętrznego interfejsu programowania aplikacji (API) do utworzenia </w:t>
            </w:r>
            <w:proofErr w:type="spellStart"/>
            <w:r w:rsidRPr="008F3769">
              <w:rPr>
                <w:rFonts w:ascii="Segoe UI" w:eastAsia="Times New Roman" w:hAnsi="Segoe UI" w:cs="Segoe UI"/>
                <w:color w:val="24292E"/>
                <w:sz w:val="16"/>
                <w:szCs w:val="16"/>
                <w:lang w:eastAsia="pl-PL"/>
              </w:rPr>
              <w:t>tokena</w:t>
            </w:r>
            <w:proofErr w:type="spellEnd"/>
            <w:r w:rsidRPr="008F3769">
              <w:rPr>
                <w:rFonts w:ascii="Segoe UI" w:eastAsia="Times New Roman" w:hAnsi="Segoe UI" w:cs="Segoe UI"/>
                <w:color w:val="24292E"/>
                <w:sz w:val="16"/>
                <w:szCs w:val="16"/>
                <w:lang w:eastAsia="pl-PL"/>
              </w:rPr>
              <w:t xml:space="preserve"> dostępu.</w:t>
            </w:r>
          </w:p>
        </w:tc>
      </w:tr>
      <w:tr w:rsidR="008F3769" w:rsidRPr="008F3769" w14:paraId="25055FF5"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417E1CE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lastRenderedPageBreak/>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1E27108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Utwórz obiekty globalne</w:t>
            </w:r>
          </w:p>
        </w:tc>
        <w:tc>
          <w:tcPr>
            <w:tcW w:w="2100" w:type="dxa"/>
            <w:tcBorders>
              <w:top w:val="nil"/>
              <w:left w:val="nil"/>
              <w:bottom w:val="single" w:sz="8" w:space="0" w:color="DFE2E5"/>
              <w:right w:val="single" w:sz="8" w:space="0" w:color="DFE2E5"/>
            </w:tcBorders>
            <w:shd w:val="clear" w:color="000000" w:fill="F6F8FA"/>
            <w:vAlign w:val="center"/>
            <w:hideMark/>
          </w:tcPr>
          <w:p w14:paraId="5BB1B946" w14:textId="77777777" w:rsidR="008F3769" w:rsidRPr="00EC2455" w:rsidRDefault="008F3769" w:rsidP="008F3769">
            <w:pPr>
              <w:jc w:val="center"/>
              <w:rPr>
                <w:rFonts w:ascii="Segoe UI" w:eastAsia="Times New Roman" w:hAnsi="Segoe UI" w:cs="Segoe UI"/>
                <w:color w:val="24292E"/>
                <w:sz w:val="16"/>
                <w:szCs w:val="16"/>
                <w:lang w:val="en-GB" w:eastAsia="pl-PL"/>
              </w:rPr>
            </w:pPr>
            <w:r w:rsidRPr="00EC2455">
              <w:rPr>
                <w:rFonts w:ascii="Segoe UI" w:eastAsia="Times New Roman" w:hAnsi="Segoe UI" w:cs="Segoe UI"/>
                <w:color w:val="24292E"/>
                <w:sz w:val="16"/>
                <w:szCs w:val="16"/>
                <w:lang w:val="en-GB" w:eastAsia="pl-PL"/>
              </w:rPr>
              <w:t>Administrators; LOCAL SERVICE; NETWORK SERVICE; SERVICE</w:t>
            </w:r>
          </w:p>
        </w:tc>
        <w:tc>
          <w:tcPr>
            <w:tcW w:w="15140" w:type="dxa"/>
            <w:tcBorders>
              <w:top w:val="nil"/>
              <w:left w:val="nil"/>
              <w:bottom w:val="single" w:sz="8" w:space="0" w:color="DFE2E5"/>
              <w:right w:val="single" w:sz="8" w:space="0" w:color="DFE2E5"/>
            </w:tcBorders>
            <w:shd w:val="clear" w:color="000000" w:fill="F6F8FA"/>
            <w:vAlign w:val="center"/>
            <w:hideMark/>
          </w:tcPr>
          <w:p w14:paraId="4C1D8F0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czy użytkownicy mogą tworzyć obiekty globalne dostępne dla wszystkich sesji.</w:t>
            </w:r>
          </w:p>
        </w:tc>
      </w:tr>
      <w:tr w:rsidR="008F3769" w:rsidRPr="008F3769" w14:paraId="428690B3"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5A3EEE01"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3B3D7873" w14:textId="07089188" w:rsidR="008F3769" w:rsidRPr="008F3769" w:rsidRDefault="00DC5A3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Utwórz</w:t>
            </w:r>
            <w:r w:rsidR="008F3769" w:rsidRPr="008F3769">
              <w:rPr>
                <w:rFonts w:ascii="Segoe UI" w:eastAsia="Times New Roman" w:hAnsi="Segoe UI" w:cs="Segoe UI"/>
                <w:color w:val="24292E"/>
                <w:sz w:val="16"/>
                <w:szCs w:val="16"/>
                <w:lang w:eastAsia="pl-PL"/>
              </w:rPr>
              <w:t xml:space="preserve"> trwałe obiekty udostępnione</w:t>
            </w:r>
          </w:p>
        </w:tc>
        <w:tc>
          <w:tcPr>
            <w:tcW w:w="2100" w:type="dxa"/>
            <w:tcBorders>
              <w:top w:val="nil"/>
              <w:left w:val="nil"/>
              <w:bottom w:val="single" w:sz="8" w:space="0" w:color="DFE2E5"/>
              <w:right w:val="single" w:sz="8" w:space="0" w:color="DFE2E5"/>
            </w:tcBorders>
            <w:shd w:val="clear" w:color="000000" w:fill="FFFFFF"/>
            <w:vAlign w:val="center"/>
            <w:hideMark/>
          </w:tcPr>
          <w:p w14:paraId="4042B6AF" w14:textId="706C0452" w:rsidR="008F3769" w:rsidRPr="008F3769" w:rsidRDefault="00C349C2"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Nikt</w:t>
            </w:r>
            <w:r w:rsidR="008F3769" w:rsidRPr="008F3769">
              <w:rPr>
                <w:rFonts w:ascii="Segoe UI" w:eastAsia="Times New Roman" w:hAnsi="Segoe UI" w:cs="Segoe UI"/>
                <w:color w:val="24292E"/>
                <w:sz w:val="16"/>
                <w:szCs w:val="16"/>
                <w:lang w:eastAsia="pl-PL"/>
              </w:rPr>
              <w:t xml:space="preserve"> (blank)</w:t>
            </w:r>
          </w:p>
        </w:tc>
        <w:tc>
          <w:tcPr>
            <w:tcW w:w="15140" w:type="dxa"/>
            <w:tcBorders>
              <w:top w:val="nil"/>
              <w:left w:val="nil"/>
              <w:bottom w:val="single" w:sz="8" w:space="0" w:color="DFE2E5"/>
              <w:right w:val="single" w:sz="8" w:space="0" w:color="DFE2E5"/>
            </w:tcBorders>
            <w:shd w:val="clear" w:color="000000" w:fill="FFFFFF"/>
            <w:vAlign w:val="center"/>
            <w:hideMark/>
          </w:tcPr>
          <w:p w14:paraId="5A67286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które konta mogą być używane przez procesy do utworzenia obiektu katalogu za pomocą menedżera obiektów</w:t>
            </w:r>
          </w:p>
        </w:tc>
      </w:tr>
      <w:tr w:rsidR="008F3769" w:rsidRPr="008F3769" w14:paraId="4A64E910"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3F69F83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5F646A56" w14:textId="77777777" w:rsidR="008F3769" w:rsidRPr="008F3769" w:rsidRDefault="008F3769" w:rsidP="008F3769">
            <w:pPr>
              <w:jc w:val="left"/>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Debuguj</w:t>
            </w:r>
            <w:proofErr w:type="spellEnd"/>
            <w:r w:rsidRPr="008F3769">
              <w:rPr>
                <w:rFonts w:ascii="Segoe UI" w:eastAsia="Times New Roman" w:hAnsi="Segoe UI" w:cs="Segoe UI"/>
                <w:color w:val="24292E"/>
                <w:sz w:val="16"/>
                <w:szCs w:val="16"/>
                <w:lang w:eastAsia="pl-PL"/>
              </w:rPr>
              <w:t xml:space="preserve"> programy</w:t>
            </w:r>
          </w:p>
        </w:tc>
        <w:tc>
          <w:tcPr>
            <w:tcW w:w="2100" w:type="dxa"/>
            <w:tcBorders>
              <w:top w:val="nil"/>
              <w:left w:val="nil"/>
              <w:bottom w:val="single" w:sz="8" w:space="0" w:color="DFE2E5"/>
              <w:right w:val="single" w:sz="8" w:space="0" w:color="DFE2E5"/>
            </w:tcBorders>
            <w:shd w:val="clear" w:color="000000" w:fill="F6F8FA"/>
            <w:vAlign w:val="center"/>
            <w:hideMark/>
          </w:tcPr>
          <w:p w14:paraId="2A5057F6"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6F8FA"/>
            <w:vAlign w:val="center"/>
            <w:hideMark/>
          </w:tcPr>
          <w:p w14:paraId="674B2F5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Określa, którzy użytkownicy mogą dołączyć </w:t>
            </w:r>
            <w:proofErr w:type="spellStart"/>
            <w:r w:rsidRPr="008F3769">
              <w:rPr>
                <w:rFonts w:ascii="Segoe UI" w:eastAsia="Times New Roman" w:hAnsi="Segoe UI" w:cs="Segoe UI"/>
                <w:color w:val="24292E"/>
                <w:sz w:val="16"/>
                <w:szCs w:val="16"/>
                <w:lang w:eastAsia="pl-PL"/>
              </w:rPr>
              <w:t>debugger</w:t>
            </w:r>
            <w:proofErr w:type="spellEnd"/>
            <w:r w:rsidRPr="008F3769">
              <w:rPr>
                <w:rFonts w:ascii="Segoe UI" w:eastAsia="Times New Roman" w:hAnsi="Segoe UI" w:cs="Segoe UI"/>
                <w:color w:val="24292E"/>
                <w:sz w:val="16"/>
                <w:szCs w:val="16"/>
                <w:lang w:eastAsia="pl-PL"/>
              </w:rPr>
              <w:t xml:space="preserve"> do dowolnego procesu lub jądra. Programiści </w:t>
            </w:r>
            <w:proofErr w:type="spellStart"/>
            <w:r w:rsidRPr="008F3769">
              <w:rPr>
                <w:rFonts w:ascii="Segoe UI" w:eastAsia="Times New Roman" w:hAnsi="Segoe UI" w:cs="Segoe UI"/>
                <w:color w:val="24292E"/>
                <w:sz w:val="16"/>
                <w:szCs w:val="16"/>
                <w:lang w:eastAsia="pl-PL"/>
              </w:rPr>
              <w:t>debugujący</w:t>
            </w:r>
            <w:proofErr w:type="spellEnd"/>
            <w:r w:rsidRPr="008F3769">
              <w:rPr>
                <w:rFonts w:ascii="Segoe UI" w:eastAsia="Times New Roman" w:hAnsi="Segoe UI" w:cs="Segoe UI"/>
                <w:color w:val="24292E"/>
                <w:sz w:val="16"/>
                <w:szCs w:val="16"/>
                <w:lang w:eastAsia="pl-PL"/>
              </w:rPr>
              <w:t xml:space="preserve"> własne aplikacje nie muszą mieć przypisanego tego prawa użytkownika. Programiści, którzy </w:t>
            </w:r>
            <w:proofErr w:type="spellStart"/>
            <w:r w:rsidRPr="008F3769">
              <w:rPr>
                <w:rFonts w:ascii="Segoe UI" w:eastAsia="Times New Roman" w:hAnsi="Segoe UI" w:cs="Segoe UI"/>
                <w:color w:val="24292E"/>
                <w:sz w:val="16"/>
                <w:szCs w:val="16"/>
                <w:lang w:eastAsia="pl-PL"/>
              </w:rPr>
              <w:t>debugują</w:t>
            </w:r>
            <w:proofErr w:type="spellEnd"/>
            <w:r w:rsidRPr="008F3769">
              <w:rPr>
                <w:rFonts w:ascii="Segoe UI" w:eastAsia="Times New Roman" w:hAnsi="Segoe UI" w:cs="Segoe UI"/>
                <w:color w:val="24292E"/>
                <w:sz w:val="16"/>
                <w:szCs w:val="16"/>
                <w:lang w:eastAsia="pl-PL"/>
              </w:rPr>
              <w:t xml:space="preserve"> nowe składniki systemu, będą potrzebować tego prawa użytkownika, aby móc to zrobić. To prawo użytkownika zapewnia pełny dostęp do wrażliwych i krytycznych komponentów systemu operacyjnego.</w:t>
            </w:r>
          </w:p>
        </w:tc>
      </w:tr>
      <w:tr w:rsidR="008F3769" w:rsidRPr="008F3769" w14:paraId="55D6D757"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1C4DE25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72F0905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 konta komputerów i użytkowników jako zaufane w kwestii delegowania</w:t>
            </w:r>
          </w:p>
        </w:tc>
        <w:tc>
          <w:tcPr>
            <w:tcW w:w="2100" w:type="dxa"/>
            <w:tcBorders>
              <w:top w:val="nil"/>
              <w:left w:val="nil"/>
              <w:bottom w:val="single" w:sz="8" w:space="0" w:color="DFE2E5"/>
              <w:right w:val="single" w:sz="8" w:space="0" w:color="DFE2E5"/>
            </w:tcBorders>
            <w:shd w:val="clear" w:color="000000" w:fill="FFFFFF"/>
            <w:vAlign w:val="center"/>
            <w:hideMark/>
          </w:tcPr>
          <w:p w14:paraId="11DE8C63" w14:textId="32E79770" w:rsidR="008F3769" w:rsidRPr="008F3769" w:rsidRDefault="00C349C2"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Nikt</w:t>
            </w:r>
            <w:r w:rsidR="008F3769" w:rsidRPr="008F3769">
              <w:rPr>
                <w:rFonts w:ascii="Segoe UI" w:eastAsia="Times New Roman" w:hAnsi="Segoe UI" w:cs="Segoe UI"/>
                <w:color w:val="24292E"/>
                <w:sz w:val="16"/>
                <w:szCs w:val="16"/>
                <w:lang w:eastAsia="pl-PL"/>
              </w:rPr>
              <w:t xml:space="preserve"> (blank)</w:t>
            </w:r>
          </w:p>
        </w:tc>
        <w:tc>
          <w:tcPr>
            <w:tcW w:w="15140" w:type="dxa"/>
            <w:tcBorders>
              <w:top w:val="nil"/>
              <w:left w:val="nil"/>
              <w:bottom w:val="single" w:sz="8" w:space="0" w:color="DFE2E5"/>
              <w:right w:val="single" w:sz="8" w:space="0" w:color="DFE2E5"/>
            </w:tcBorders>
            <w:shd w:val="clear" w:color="000000" w:fill="FFFFFF"/>
            <w:vAlign w:val="center"/>
            <w:hideMark/>
          </w:tcPr>
          <w:p w14:paraId="21BC74B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którzy użytkownicy mogą ustawić ustawienie zaufane dla delegowania (</w:t>
            </w:r>
            <w:proofErr w:type="spellStart"/>
            <w:r w:rsidRPr="008F3769">
              <w:rPr>
                <w:rFonts w:ascii="Segoe UI" w:eastAsia="Times New Roman" w:hAnsi="Segoe UI" w:cs="Segoe UI"/>
                <w:color w:val="24292E"/>
                <w:sz w:val="16"/>
                <w:szCs w:val="16"/>
                <w:lang w:eastAsia="pl-PL"/>
              </w:rPr>
              <w:t>Trusted</w:t>
            </w:r>
            <w:proofErr w:type="spellEnd"/>
            <w:r w:rsidRPr="008F3769">
              <w:rPr>
                <w:rFonts w:ascii="Segoe UI" w:eastAsia="Times New Roman" w:hAnsi="Segoe UI" w:cs="Segoe UI"/>
                <w:color w:val="24292E"/>
                <w:sz w:val="16"/>
                <w:szCs w:val="16"/>
                <w:lang w:eastAsia="pl-PL"/>
              </w:rPr>
              <w:t xml:space="preserve"> for </w:t>
            </w:r>
            <w:proofErr w:type="spellStart"/>
            <w:r w:rsidRPr="008F3769">
              <w:rPr>
                <w:rFonts w:ascii="Segoe UI" w:eastAsia="Times New Roman" w:hAnsi="Segoe UI" w:cs="Segoe UI"/>
                <w:color w:val="24292E"/>
                <w:sz w:val="16"/>
                <w:szCs w:val="16"/>
                <w:lang w:eastAsia="pl-PL"/>
              </w:rPr>
              <w:t>Delegation</w:t>
            </w:r>
            <w:proofErr w:type="spellEnd"/>
            <w:r w:rsidRPr="008F3769">
              <w:rPr>
                <w:rFonts w:ascii="Segoe UI" w:eastAsia="Times New Roman" w:hAnsi="Segoe UI" w:cs="Segoe UI"/>
                <w:color w:val="24292E"/>
                <w:sz w:val="16"/>
                <w:szCs w:val="16"/>
                <w:lang w:eastAsia="pl-PL"/>
              </w:rPr>
              <w:t>) dla obiektu użytkownika lub komputera.</w:t>
            </w:r>
          </w:p>
        </w:tc>
      </w:tr>
      <w:tr w:rsidR="008F3769" w:rsidRPr="008F3769" w14:paraId="5DE2DFCA"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2E10014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370E682C" w14:textId="6EC3B59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Wymuszaj zamknięcie z systemu </w:t>
            </w:r>
            <w:r w:rsidR="00DC5A39" w:rsidRPr="008F3769">
              <w:rPr>
                <w:rFonts w:ascii="Segoe UI" w:eastAsia="Times New Roman" w:hAnsi="Segoe UI" w:cs="Segoe UI"/>
                <w:color w:val="24292E"/>
                <w:sz w:val="16"/>
                <w:szCs w:val="16"/>
                <w:lang w:eastAsia="pl-PL"/>
              </w:rPr>
              <w:t>zdalnego</w:t>
            </w:r>
          </w:p>
        </w:tc>
        <w:tc>
          <w:tcPr>
            <w:tcW w:w="2100" w:type="dxa"/>
            <w:tcBorders>
              <w:top w:val="nil"/>
              <w:left w:val="nil"/>
              <w:bottom w:val="single" w:sz="8" w:space="0" w:color="DFE2E5"/>
              <w:right w:val="single" w:sz="8" w:space="0" w:color="DFE2E5"/>
            </w:tcBorders>
            <w:shd w:val="clear" w:color="000000" w:fill="F6F8FA"/>
            <w:vAlign w:val="center"/>
            <w:hideMark/>
          </w:tcPr>
          <w:p w14:paraId="3EBF363A"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6F8FA"/>
            <w:vAlign w:val="center"/>
            <w:hideMark/>
          </w:tcPr>
          <w:p w14:paraId="48902B88"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którzy użytkownicy mogą wyłączyć komputer ze zdalnej lokalizacji w sieci. Niewłaściwe korzystanie z tego prawa użytkownika może spowodować odmowę usługi.</w:t>
            </w:r>
          </w:p>
        </w:tc>
      </w:tr>
      <w:tr w:rsidR="008F3769" w:rsidRPr="008F3769" w14:paraId="240D5C26" w14:textId="77777777" w:rsidTr="008F3769">
        <w:trPr>
          <w:trHeight w:val="64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63B02AFD"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786E073F"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Personifikuj klienta po uwierzytelnieniu</w:t>
            </w:r>
          </w:p>
        </w:tc>
        <w:tc>
          <w:tcPr>
            <w:tcW w:w="2100" w:type="dxa"/>
            <w:tcBorders>
              <w:top w:val="nil"/>
              <w:left w:val="nil"/>
              <w:bottom w:val="single" w:sz="8" w:space="0" w:color="DFE2E5"/>
              <w:right w:val="single" w:sz="8" w:space="0" w:color="DFE2E5"/>
            </w:tcBorders>
            <w:shd w:val="clear" w:color="000000" w:fill="FFFFFF"/>
            <w:vAlign w:val="center"/>
            <w:hideMark/>
          </w:tcPr>
          <w:p w14:paraId="3018E5D6" w14:textId="77777777" w:rsidR="008F3769" w:rsidRPr="00EC2455" w:rsidRDefault="008F3769" w:rsidP="008F3769">
            <w:pPr>
              <w:jc w:val="center"/>
              <w:rPr>
                <w:rFonts w:ascii="Segoe UI" w:eastAsia="Times New Roman" w:hAnsi="Segoe UI" w:cs="Segoe UI"/>
                <w:color w:val="24292E"/>
                <w:sz w:val="16"/>
                <w:szCs w:val="16"/>
                <w:lang w:val="en-GB" w:eastAsia="pl-PL"/>
              </w:rPr>
            </w:pPr>
            <w:r w:rsidRPr="00EC2455">
              <w:rPr>
                <w:rFonts w:ascii="Segoe UI" w:eastAsia="Times New Roman" w:hAnsi="Segoe UI" w:cs="Segoe UI"/>
                <w:color w:val="24292E"/>
                <w:sz w:val="16"/>
                <w:szCs w:val="16"/>
                <w:lang w:val="en-GB" w:eastAsia="pl-PL"/>
              </w:rPr>
              <w:t>Administrators, SERVICE, Local Service, Network Service</w:t>
            </w:r>
          </w:p>
        </w:tc>
        <w:tc>
          <w:tcPr>
            <w:tcW w:w="15140" w:type="dxa"/>
            <w:tcBorders>
              <w:top w:val="nil"/>
              <w:left w:val="nil"/>
              <w:bottom w:val="single" w:sz="8" w:space="0" w:color="DFE2E5"/>
              <w:right w:val="single" w:sz="8" w:space="0" w:color="DFE2E5"/>
            </w:tcBorders>
            <w:shd w:val="clear" w:color="000000" w:fill="FFFFFF"/>
            <w:vAlign w:val="center"/>
            <w:hideMark/>
          </w:tcPr>
          <w:p w14:paraId="4636169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Przypisanie tego uprawnienia użytkownikowi pozwala programom działającym w jego imieniu na podszywanie się pod klienta. Wymaganie tego prawa użytkownika do tego rodzaju personifikacji uniemożliwia nieautoryzowanemu użytkownikowi przekonanie klienta do połączenia (na przykład przez zdalne wywołanie procedury (RPC) lub nazwane potoki) z utworzoną przez niego usługą, a następnie podszywanie się pod tego klienta, co może podnieść uprawnienia nieautoryzowanego użytkownika do poziomów administracyjnych lub systemowych.</w:t>
            </w:r>
          </w:p>
        </w:tc>
      </w:tr>
      <w:tr w:rsidR="008F3769" w:rsidRPr="008F3769" w14:paraId="1D44B663"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2F94E79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7E862249"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Ładuj i zwalniaj sterowniki urządzeń</w:t>
            </w:r>
          </w:p>
        </w:tc>
        <w:tc>
          <w:tcPr>
            <w:tcW w:w="2100" w:type="dxa"/>
            <w:tcBorders>
              <w:top w:val="nil"/>
              <w:left w:val="nil"/>
              <w:bottom w:val="single" w:sz="8" w:space="0" w:color="DFE2E5"/>
              <w:right w:val="single" w:sz="8" w:space="0" w:color="DFE2E5"/>
            </w:tcBorders>
            <w:shd w:val="clear" w:color="000000" w:fill="F6F8FA"/>
            <w:vAlign w:val="center"/>
            <w:hideMark/>
          </w:tcPr>
          <w:p w14:paraId="7ADE49D2"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6F8FA"/>
            <w:vAlign w:val="center"/>
            <w:hideMark/>
          </w:tcPr>
          <w:p w14:paraId="3CC2EE82"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którzy użytkownicy mogą dynamicznie ładować i zwalniać sterowniki urządzeń lub inny kod w trybie jądra. To prawo użytkownika nie dotyczy sterowników urządzeń Plug and Play.</w:t>
            </w:r>
          </w:p>
        </w:tc>
      </w:tr>
      <w:tr w:rsidR="008F3769" w:rsidRPr="008F3769" w14:paraId="31C0B775"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7015C08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0D88606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Blokuj strony w pamięci</w:t>
            </w:r>
          </w:p>
        </w:tc>
        <w:tc>
          <w:tcPr>
            <w:tcW w:w="2100" w:type="dxa"/>
            <w:tcBorders>
              <w:top w:val="nil"/>
              <w:left w:val="nil"/>
              <w:bottom w:val="single" w:sz="8" w:space="0" w:color="DFE2E5"/>
              <w:right w:val="single" w:sz="8" w:space="0" w:color="DFE2E5"/>
            </w:tcBorders>
            <w:shd w:val="clear" w:color="000000" w:fill="FFFFFF"/>
            <w:vAlign w:val="center"/>
            <w:hideMark/>
          </w:tcPr>
          <w:p w14:paraId="43E7030B" w14:textId="734A97DB" w:rsidR="008F3769" w:rsidRPr="008F3769" w:rsidRDefault="00C349C2" w:rsidP="008F3769">
            <w:pPr>
              <w:jc w:val="center"/>
              <w:rPr>
                <w:rFonts w:ascii="Segoe UI" w:eastAsia="Times New Roman" w:hAnsi="Segoe UI" w:cs="Segoe UI"/>
                <w:color w:val="24292E"/>
                <w:sz w:val="16"/>
                <w:szCs w:val="16"/>
                <w:lang w:eastAsia="pl-PL"/>
              </w:rPr>
            </w:pPr>
            <w:r>
              <w:rPr>
                <w:rFonts w:ascii="Segoe UI" w:eastAsia="Times New Roman" w:hAnsi="Segoe UI" w:cs="Segoe UI"/>
                <w:color w:val="24292E"/>
                <w:sz w:val="16"/>
                <w:szCs w:val="16"/>
                <w:lang w:eastAsia="pl-PL"/>
              </w:rPr>
              <w:t>Nikt</w:t>
            </w:r>
            <w:r w:rsidR="008F3769" w:rsidRPr="008F3769">
              <w:rPr>
                <w:rFonts w:ascii="Segoe UI" w:eastAsia="Times New Roman" w:hAnsi="Segoe UI" w:cs="Segoe UI"/>
                <w:color w:val="24292E"/>
                <w:sz w:val="16"/>
                <w:szCs w:val="16"/>
                <w:lang w:eastAsia="pl-PL"/>
              </w:rPr>
              <w:t xml:space="preserve"> (blank)</w:t>
            </w:r>
          </w:p>
        </w:tc>
        <w:tc>
          <w:tcPr>
            <w:tcW w:w="15140" w:type="dxa"/>
            <w:tcBorders>
              <w:top w:val="nil"/>
              <w:left w:val="nil"/>
              <w:bottom w:val="single" w:sz="8" w:space="0" w:color="DFE2E5"/>
              <w:right w:val="single" w:sz="8" w:space="0" w:color="DFE2E5"/>
            </w:tcBorders>
            <w:shd w:val="clear" w:color="000000" w:fill="FFFFFF"/>
            <w:vAlign w:val="center"/>
            <w:hideMark/>
          </w:tcPr>
          <w:p w14:paraId="106C9C9C"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które konta mogą wykorzystywać proces do przechowywania danych w pamięci fizycznej, co uniemożliwia systemowi stronicowanie danych do pamięci wirtualnej na dysku. Korzystanie z tego przywileju może znacząco wpłynąć na wydajność systemu, zmniejszając ilość dostępnej pamięci RAM.</w:t>
            </w:r>
          </w:p>
        </w:tc>
      </w:tr>
      <w:tr w:rsidR="008F3769" w:rsidRPr="008F3769" w14:paraId="6B676F09"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494AD27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56797D64"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Zarządzaj dziennikami inspekcji i zabezpieczeń</w:t>
            </w:r>
          </w:p>
        </w:tc>
        <w:tc>
          <w:tcPr>
            <w:tcW w:w="2100" w:type="dxa"/>
            <w:tcBorders>
              <w:top w:val="nil"/>
              <w:left w:val="nil"/>
              <w:bottom w:val="single" w:sz="8" w:space="0" w:color="DFE2E5"/>
              <w:right w:val="single" w:sz="8" w:space="0" w:color="DFE2E5"/>
            </w:tcBorders>
            <w:shd w:val="clear" w:color="000000" w:fill="F6F8FA"/>
            <w:vAlign w:val="center"/>
            <w:hideMark/>
          </w:tcPr>
          <w:p w14:paraId="0DCC54D3"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6F8FA"/>
            <w:vAlign w:val="center"/>
            <w:hideMark/>
          </w:tcPr>
          <w:p w14:paraId="72DEE0EA"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którzy użytkownicy mogą określić opcje kontroli dostępu do obiektów dla poszczególnych zasobów, takich jak pliki, obiekty Active Directory i klucze rejestru.</w:t>
            </w:r>
          </w:p>
        </w:tc>
      </w:tr>
      <w:tr w:rsidR="008F3769" w:rsidRPr="008F3769" w14:paraId="3736408B" w14:textId="77777777" w:rsidTr="008F3769">
        <w:trPr>
          <w:trHeight w:val="85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7A1B9A3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0FF70F43"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Modyfikuj wartości środowiska oprogramowania układowego</w:t>
            </w:r>
          </w:p>
        </w:tc>
        <w:tc>
          <w:tcPr>
            <w:tcW w:w="2100" w:type="dxa"/>
            <w:tcBorders>
              <w:top w:val="nil"/>
              <w:left w:val="nil"/>
              <w:bottom w:val="single" w:sz="8" w:space="0" w:color="DFE2E5"/>
              <w:right w:val="single" w:sz="8" w:space="0" w:color="DFE2E5"/>
            </w:tcBorders>
            <w:shd w:val="clear" w:color="000000" w:fill="FFFFFF"/>
            <w:vAlign w:val="center"/>
            <w:hideMark/>
          </w:tcPr>
          <w:p w14:paraId="14113F81"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FFFFF"/>
            <w:vAlign w:val="center"/>
            <w:hideMark/>
          </w:tcPr>
          <w:p w14:paraId="74BDFA3F"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kto może modyfikować wartości środowiskowe oprogramowania układowego. Zmienne środowiskowe oprogramowania układowego to ustawienia przechowywane w nieulotnej pamięci RAM komputerów innych niż x86. Efekt ustawienia zależy od procesora.</w:t>
            </w:r>
          </w:p>
        </w:tc>
      </w:tr>
      <w:tr w:rsidR="008F3769" w:rsidRPr="008F3769" w14:paraId="2D8AE9D9"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3756DF8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1AC9048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Wykonaj zadania konserwacji woluminów</w:t>
            </w:r>
          </w:p>
        </w:tc>
        <w:tc>
          <w:tcPr>
            <w:tcW w:w="2100" w:type="dxa"/>
            <w:tcBorders>
              <w:top w:val="nil"/>
              <w:left w:val="nil"/>
              <w:bottom w:val="single" w:sz="8" w:space="0" w:color="DFE2E5"/>
              <w:right w:val="single" w:sz="8" w:space="0" w:color="DFE2E5"/>
            </w:tcBorders>
            <w:shd w:val="clear" w:color="000000" w:fill="F6F8FA"/>
            <w:vAlign w:val="center"/>
            <w:hideMark/>
          </w:tcPr>
          <w:p w14:paraId="2CBF460C"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6F8FA"/>
            <w:vAlign w:val="center"/>
            <w:hideMark/>
          </w:tcPr>
          <w:p w14:paraId="40EF0B22"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którzy użytkownicy i grupy mogą uruchamiać zadania konserwacyjne na woluminie, takie jak zdalna defragmentacja.</w:t>
            </w:r>
          </w:p>
        </w:tc>
      </w:tr>
      <w:tr w:rsidR="008F3769" w:rsidRPr="008F3769" w14:paraId="39459E8A"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453A032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5D97900F"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Profiluj pojedynczy proces</w:t>
            </w:r>
          </w:p>
        </w:tc>
        <w:tc>
          <w:tcPr>
            <w:tcW w:w="2100" w:type="dxa"/>
            <w:tcBorders>
              <w:top w:val="nil"/>
              <w:left w:val="nil"/>
              <w:bottom w:val="single" w:sz="8" w:space="0" w:color="DFE2E5"/>
              <w:right w:val="single" w:sz="8" w:space="0" w:color="DFE2E5"/>
            </w:tcBorders>
            <w:shd w:val="clear" w:color="000000" w:fill="FFFFFF"/>
            <w:vAlign w:val="center"/>
            <w:hideMark/>
          </w:tcPr>
          <w:p w14:paraId="1A7E85B0"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FFFFF"/>
            <w:vAlign w:val="center"/>
            <w:hideMark/>
          </w:tcPr>
          <w:p w14:paraId="02DB7C8B"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To ustawienie zabezpieczeń określa, którzy użytkownicy mogą korzystać z narzędzi monitorowania wydajności do monitorowania wydajności procesów niesystemowych.</w:t>
            </w:r>
          </w:p>
        </w:tc>
      </w:tr>
      <w:tr w:rsidR="008F3769" w:rsidRPr="008F3769" w14:paraId="1C85D696"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3EDFD6E6"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6F8FA"/>
            <w:vAlign w:val="center"/>
            <w:hideMark/>
          </w:tcPr>
          <w:p w14:paraId="2C43F9F7"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Przywracaj pliki i katalogi</w:t>
            </w:r>
          </w:p>
        </w:tc>
        <w:tc>
          <w:tcPr>
            <w:tcW w:w="2100" w:type="dxa"/>
            <w:tcBorders>
              <w:top w:val="nil"/>
              <w:left w:val="nil"/>
              <w:bottom w:val="single" w:sz="8" w:space="0" w:color="DFE2E5"/>
              <w:right w:val="single" w:sz="8" w:space="0" w:color="DFE2E5"/>
            </w:tcBorders>
            <w:shd w:val="clear" w:color="000000" w:fill="F6F8FA"/>
            <w:vAlign w:val="center"/>
            <w:hideMark/>
          </w:tcPr>
          <w:p w14:paraId="46D94C5A"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6F8FA"/>
            <w:vAlign w:val="center"/>
            <w:hideMark/>
          </w:tcPr>
          <w:p w14:paraId="1952E773" w14:textId="651A61FB"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 xml:space="preserve">Określa, którzy użytkownicy mogą ominąć uprawnienia do plików, katalogów, rejestru i innych obiektów trwałych podczas przywracania kopii zapasowych plików i katalogów, oraz określa, którzy użytkownicy mogą ustawić dowolną ważną zasadę </w:t>
            </w:r>
            <w:r w:rsidR="00DC5A39" w:rsidRPr="008F3769">
              <w:rPr>
                <w:rFonts w:ascii="Segoe UI" w:eastAsia="Times New Roman" w:hAnsi="Segoe UI" w:cs="Segoe UI"/>
                <w:color w:val="24292E"/>
                <w:sz w:val="16"/>
                <w:szCs w:val="16"/>
                <w:lang w:eastAsia="pl-PL"/>
              </w:rPr>
              <w:t>zabezpieczeń, jako</w:t>
            </w:r>
            <w:r w:rsidRPr="008F3769">
              <w:rPr>
                <w:rFonts w:ascii="Segoe UI" w:eastAsia="Times New Roman" w:hAnsi="Segoe UI" w:cs="Segoe UI"/>
                <w:color w:val="24292E"/>
                <w:sz w:val="16"/>
                <w:szCs w:val="16"/>
                <w:lang w:eastAsia="pl-PL"/>
              </w:rPr>
              <w:t xml:space="preserve"> właściciela obiektu.</w:t>
            </w:r>
          </w:p>
        </w:tc>
      </w:tr>
      <w:tr w:rsidR="008F3769" w:rsidRPr="008F3769" w14:paraId="0F29F0C5" w14:textId="77777777" w:rsidTr="008F3769">
        <w:trPr>
          <w:trHeight w:val="435"/>
        </w:trPr>
        <w:tc>
          <w:tcPr>
            <w:tcW w:w="1660" w:type="dxa"/>
            <w:tcBorders>
              <w:top w:val="nil"/>
              <w:left w:val="single" w:sz="8" w:space="0" w:color="DFE2E5"/>
              <w:bottom w:val="single" w:sz="8" w:space="0" w:color="DFE2E5"/>
              <w:right w:val="single" w:sz="8" w:space="0" w:color="DFE2E5"/>
            </w:tcBorders>
            <w:shd w:val="clear" w:color="000000" w:fill="FFFFFF"/>
            <w:vAlign w:val="center"/>
            <w:hideMark/>
          </w:tcPr>
          <w:p w14:paraId="5585E79F"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Przypisywanie praw użytkownika</w:t>
            </w:r>
          </w:p>
        </w:tc>
        <w:tc>
          <w:tcPr>
            <w:tcW w:w="2320" w:type="dxa"/>
            <w:tcBorders>
              <w:top w:val="nil"/>
              <w:left w:val="nil"/>
              <w:bottom w:val="single" w:sz="8" w:space="0" w:color="DFE2E5"/>
              <w:right w:val="single" w:sz="8" w:space="0" w:color="DFE2E5"/>
            </w:tcBorders>
            <w:shd w:val="clear" w:color="000000" w:fill="FFFFFF"/>
            <w:vAlign w:val="center"/>
            <w:hideMark/>
          </w:tcPr>
          <w:p w14:paraId="0D13A245"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Przejmij na własność pliki lub inne obiekty</w:t>
            </w:r>
          </w:p>
        </w:tc>
        <w:tc>
          <w:tcPr>
            <w:tcW w:w="2100" w:type="dxa"/>
            <w:tcBorders>
              <w:top w:val="nil"/>
              <w:left w:val="nil"/>
              <w:bottom w:val="single" w:sz="8" w:space="0" w:color="DFE2E5"/>
              <w:right w:val="single" w:sz="8" w:space="0" w:color="DFE2E5"/>
            </w:tcBorders>
            <w:shd w:val="clear" w:color="000000" w:fill="FFFFFF"/>
            <w:vAlign w:val="center"/>
            <w:hideMark/>
          </w:tcPr>
          <w:p w14:paraId="4544ECEF" w14:textId="77777777" w:rsidR="008F3769" w:rsidRPr="008F3769" w:rsidRDefault="008F3769" w:rsidP="008F3769">
            <w:pPr>
              <w:jc w:val="center"/>
              <w:rPr>
                <w:rFonts w:ascii="Segoe UI" w:eastAsia="Times New Roman" w:hAnsi="Segoe UI" w:cs="Segoe UI"/>
                <w:color w:val="24292E"/>
                <w:sz w:val="16"/>
                <w:szCs w:val="16"/>
                <w:lang w:eastAsia="pl-PL"/>
              </w:rPr>
            </w:pPr>
            <w:proofErr w:type="spellStart"/>
            <w:r w:rsidRPr="008F3769">
              <w:rPr>
                <w:rFonts w:ascii="Segoe UI" w:eastAsia="Times New Roman" w:hAnsi="Segoe UI" w:cs="Segoe UI"/>
                <w:color w:val="24292E"/>
                <w:sz w:val="16"/>
                <w:szCs w:val="16"/>
                <w:lang w:eastAsia="pl-PL"/>
              </w:rPr>
              <w:t>Administrators</w:t>
            </w:r>
            <w:proofErr w:type="spellEnd"/>
          </w:p>
        </w:tc>
        <w:tc>
          <w:tcPr>
            <w:tcW w:w="15140" w:type="dxa"/>
            <w:tcBorders>
              <w:top w:val="nil"/>
              <w:left w:val="nil"/>
              <w:bottom w:val="single" w:sz="8" w:space="0" w:color="DFE2E5"/>
              <w:right w:val="single" w:sz="8" w:space="0" w:color="DFE2E5"/>
            </w:tcBorders>
            <w:shd w:val="clear" w:color="000000" w:fill="FFFFFF"/>
            <w:vAlign w:val="center"/>
            <w:hideMark/>
          </w:tcPr>
          <w:p w14:paraId="00426BB0" w14:textId="77777777" w:rsidR="008F3769" w:rsidRPr="008F3769" w:rsidRDefault="008F3769" w:rsidP="008F3769">
            <w:pPr>
              <w:jc w:val="left"/>
              <w:rPr>
                <w:rFonts w:ascii="Segoe UI" w:eastAsia="Times New Roman" w:hAnsi="Segoe UI" w:cs="Segoe UI"/>
                <w:color w:val="24292E"/>
                <w:sz w:val="16"/>
                <w:szCs w:val="16"/>
                <w:lang w:eastAsia="pl-PL"/>
              </w:rPr>
            </w:pPr>
            <w:r w:rsidRPr="008F3769">
              <w:rPr>
                <w:rFonts w:ascii="Segoe UI" w:eastAsia="Times New Roman" w:hAnsi="Segoe UI" w:cs="Segoe UI"/>
                <w:color w:val="24292E"/>
                <w:sz w:val="16"/>
                <w:szCs w:val="16"/>
                <w:lang w:eastAsia="pl-PL"/>
              </w:rPr>
              <w:t>Określa, którzy użytkownicy mogą przejąć na własność dowolny zabezpieczany obiekt w systemie, w tym obiekty Active Directory, pliki i foldery, drukarki, klucze rejestru, procesy i wątki</w:t>
            </w:r>
          </w:p>
        </w:tc>
      </w:tr>
    </w:tbl>
    <w:p w14:paraId="57066106" w14:textId="77777777" w:rsidR="00C87863" w:rsidRPr="008F3769" w:rsidRDefault="00C87863" w:rsidP="008F3769">
      <w:pPr>
        <w:tabs>
          <w:tab w:val="left" w:pos="1657"/>
        </w:tabs>
      </w:pPr>
    </w:p>
    <w:sectPr w:rsidR="00C87863" w:rsidRPr="008F3769" w:rsidSect="008F3769">
      <w:headerReference w:type="even" r:id="rId6"/>
      <w:headerReference w:type="default" r:id="rId7"/>
      <w:footerReference w:type="even" r:id="rId8"/>
      <w:footerReference w:type="default" r:id="rId9"/>
      <w:headerReference w:type="first" r:id="rId10"/>
      <w:footerReference w:type="first" r:id="rId11"/>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EB83A" w14:textId="77777777" w:rsidR="001B0268" w:rsidRDefault="001B0268" w:rsidP="00F54E78">
      <w:r>
        <w:separator/>
      </w:r>
    </w:p>
  </w:endnote>
  <w:endnote w:type="continuationSeparator" w:id="0">
    <w:p w14:paraId="7473904F" w14:textId="77777777" w:rsidR="001B0268" w:rsidRDefault="001B0268" w:rsidP="00F5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7B6D" w14:textId="77777777" w:rsidR="00F54E78" w:rsidRDefault="00F54E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B028" w14:textId="77777777" w:rsidR="00F54E78" w:rsidRDefault="00F54E7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5FA3" w14:textId="77777777" w:rsidR="00F54E78" w:rsidRDefault="00F54E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8EFC7" w14:textId="77777777" w:rsidR="001B0268" w:rsidRDefault="001B0268" w:rsidP="00F54E78">
      <w:r>
        <w:separator/>
      </w:r>
    </w:p>
  </w:footnote>
  <w:footnote w:type="continuationSeparator" w:id="0">
    <w:p w14:paraId="28860A4B" w14:textId="77777777" w:rsidR="001B0268" w:rsidRDefault="001B0268" w:rsidP="00F5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AC29" w14:textId="77777777" w:rsidR="00F54E78" w:rsidRDefault="00F54E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7143" w14:textId="77777777" w:rsidR="00F54E78" w:rsidRDefault="00F54E7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D22F" w14:textId="77777777" w:rsidR="00F54E78" w:rsidRDefault="00F54E7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69"/>
    <w:rsid w:val="001B0268"/>
    <w:rsid w:val="002605D7"/>
    <w:rsid w:val="002A0FF3"/>
    <w:rsid w:val="003A2CA8"/>
    <w:rsid w:val="003C5E20"/>
    <w:rsid w:val="003F2DAF"/>
    <w:rsid w:val="00545EF1"/>
    <w:rsid w:val="007469E1"/>
    <w:rsid w:val="008D2FA8"/>
    <w:rsid w:val="008F3769"/>
    <w:rsid w:val="009B6AF5"/>
    <w:rsid w:val="00A417E7"/>
    <w:rsid w:val="00C0249C"/>
    <w:rsid w:val="00C349C2"/>
    <w:rsid w:val="00C87863"/>
    <w:rsid w:val="00CA3DA0"/>
    <w:rsid w:val="00CD5731"/>
    <w:rsid w:val="00DC5A39"/>
    <w:rsid w:val="00E151B6"/>
    <w:rsid w:val="00EA43E4"/>
    <w:rsid w:val="00EC2455"/>
    <w:rsid w:val="00F54E78"/>
    <w:rsid w:val="00F96E80"/>
    <w:rsid w:val="1217CB9D"/>
    <w:rsid w:val="53CB9289"/>
    <w:rsid w:val="5F9B3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0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3E4"/>
    <w:pPr>
      <w:jc w:val="both"/>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owek4">
    <w:name w:val="Nagłowek 4"/>
    <w:basedOn w:val="Normalny"/>
    <w:next w:val="Normalny"/>
    <w:autoRedefine/>
    <w:qFormat/>
    <w:rsid w:val="00F96E80"/>
    <w:pPr>
      <w:suppressAutoHyphens/>
      <w:autoSpaceDN w:val="0"/>
      <w:spacing w:after="160" w:line="256" w:lineRule="auto"/>
      <w:jc w:val="left"/>
      <w:textAlignment w:val="baseline"/>
    </w:pPr>
    <w:rPr>
      <w:rFonts w:ascii="Times New Roman" w:hAnsi="Times New Roman"/>
      <w:iCs/>
      <w:color w:val="1F4D78"/>
      <w:sz w:val="24"/>
      <w:szCs w:val="24"/>
    </w:rPr>
  </w:style>
  <w:style w:type="paragraph" w:styleId="Tekstdymka">
    <w:name w:val="Balloon Text"/>
    <w:basedOn w:val="Normalny"/>
    <w:link w:val="TekstdymkaZnak"/>
    <w:uiPriority w:val="99"/>
    <w:semiHidden/>
    <w:unhideWhenUsed/>
    <w:rsid w:val="00E151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1B6"/>
    <w:rPr>
      <w:rFonts w:ascii="Segoe UI" w:hAnsi="Segoe UI" w:cs="Segoe UI"/>
      <w:sz w:val="18"/>
      <w:szCs w:val="18"/>
    </w:rPr>
  </w:style>
  <w:style w:type="character" w:styleId="Odwoaniedokomentarza">
    <w:name w:val="annotation reference"/>
    <w:basedOn w:val="Domylnaczcionkaakapitu"/>
    <w:uiPriority w:val="99"/>
    <w:semiHidden/>
    <w:unhideWhenUsed/>
    <w:rsid w:val="00E151B6"/>
    <w:rPr>
      <w:sz w:val="16"/>
      <w:szCs w:val="16"/>
    </w:rPr>
  </w:style>
  <w:style w:type="paragraph" w:styleId="Tekstkomentarza">
    <w:name w:val="annotation text"/>
    <w:basedOn w:val="Normalny"/>
    <w:link w:val="TekstkomentarzaZnak"/>
    <w:uiPriority w:val="99"/>
    <w:semiHidden/>
    <w:unhideWhenUsed/>
    <w:rsid w:val="00E151B6"/>
    <w:rPr>
      <w:sz w:val="20"/>
      <w:szCs w:val="20"/>
    </w:rPr>
  </w:style>
  <w:style w:type="character" w:customStyle="1" w:styleId="TekstkomentarzaZnak">
    <w:name w:val="Tekst komentarza Znak"/>
    <w:basedOn w:val="Domylnaczcionkaakapitu"/>
    <w:link w:val="Tekstkomentarza"/>
    <w:uiPriority w:val="99"/>
    <w:semiHidden/>
    <w:rsid w:val="00E151B6"/>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151B6"/>
    <w:rPr>
      <w:b/>
      <w:bCs/>
    </w:rPr>
  </w:style>
  <w:style w:type="character" w:customStyle="1" w:styleId="TematkomentarzaZnak">
    <w:name w:val="Temat komentarza Znak"/>
    <w:basedOn w:val="TekstkomentarzaZnak"/>
    <w:link w:val="Tematkomentarza"/>
    <w:uiPriority w:val="99"/>
    <w:semiHidden/>
    <w:rsid w:val="00E151B6"/>
    <w:rPr>
      <w:rFonts w:ascii="Calibri" w:hAnsi="Calibri" w:cs="Times New Roman"/>
      <w:b/>
      <w:bCs/>
      <w:sz w:val="20"/>
      <w:szCs w:val="20"/>
    </w:rPr>
  </w:style>
  <w:style w:type="paragraph" w:styleId="Nagwek">
    <w:name w:val="header"/>
    <w:basedOn w:val="Normalny"/>
    <w:link w:val="NagwekZnak"/>
    <w:uiPriority w:val="99"/>
    <w:unhideWhenUsed/>
    <w:rsid w:val="00F54E78"/>
    <w:pPr>
      <w:tabs>
        <w:tab w:val="center" w:pos="4536"/>
        <w:tab w:val="right" w:pos="9072"/>
      </w:tabs>
    </w:pPr>
  </w:style>
  <w:style w:type="character" w:customStyle="1" w:styleId="NagwekZnak">
    <w:name w:val="Nagłówek Znak"/>
    <w:basedOn w:val="Domylnaczcionkaakapitu"/>
    <w:link w:val="Nagwek"/>
    <w:uiPriority w:val="99"/>
    <w:rsid w:val="00F54E78"/>
    <w:rPr>
      <w:rFonts w:ascii="Calibri" w:hAnsi="Calibri" w:cs="Times New Roman"/>
    </w:rPr>
  </w:style>
  <w:style w:type="paragraph" w:styleId="Stopka">
    <w:name w:val="footer"/>
    <w:basedOn w:val="Normalny"/>
    <w:link w:val="StopkaZnak"/>
    <w:uiPriority w:val="99"/>
    <w:unhideWhenUsed/>
    <w:rsid w:val="00F54E78"/>
    <w:pPr>
      <w:tabs>
        <w:tab w:val="center" w:pos="4536"/>
        <w:tab w:val="right" w:pos="9072"/>
      </w:tabs>
    </w:pPr>
  </w:style>
  <w:style w:type="character" w:customStyle="1" w:styleId="StopkaZnak">
    <w:name w:val="Stopka Znak"/>
    <w:basedOn w:val="Domylnaczcionkaakapitu"/>
    <w:link w:val="Stopka"/>
    <w:uiPriority w:val="99"/>
    <w:rsid w:val="00F54E7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3440</Words>
  <Characters>20642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2020-11-27T07:19:00Z</dcterms:created>
  <dcterms:modified xsi:type="dcterms:W3CDTF">2020-11-27T07:19:00Z</dcterms:modified>
</cp:coreProperties>
</file>