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prowadzenie prac konserwatorskich lub restauratorskich albo badań konserwatorskich przy zabytku ruchomym wpisanym do rejestru zabytków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276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Wydawanie pozwoleń wojewódzkiego konserwatora zabytków na prowadzenie prac konserwatorskich, prac restauratorskich, badań konserwatorskich albo badań architektonicznych przy zabytku wpisanym do rejestru zabytków 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9001829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0f5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b40f5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b40f5a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40f5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b40f5a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D24D-02D1-4447-ABE7-BD81DE31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LibreOffice/7.5.3.2$Windows_X86_64 LibreOffice_project/9f56dff12ba03b9acd7730a5a481eea045e468f3</Application>
  <AppVersion>15.0000</AppVersion>
  <Pages>4</Pages>
  <Words>925</Words>
  <Characters>7159</Characters>
  <CharactersWithSpaces>8013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2024-06-21T08:35:00Z</dcterms:created>
  <dc:creator>Michał Sowa</dc:creator>
  <dc:description/>
  <dc:language>pl-PL</dc:language>
  <cp:lastModifiedBy/>
  <cp:lastPrinted>2024-08-07T07:54:00Z</cp:lastPrinted>
  <dcterms:modified xsi:type="dcterms:W3CDTF">2024-09-23T21:41:41Z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