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B5C" w:rsidRPr="00176B5C" w:rsidRDefault="0027722C" w:rsidP="00176B5C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76B5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176B5C" w:rsidRPr="00176B5C" w:rsidRDefault="0027722C" w:rsidP="00176B5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176B5C" w:rsidRPr="00176B5C" w:rsidRDefault="0027722C" w:rsidP="00176B5C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76B5C" w:rsidRPr="00176B5C" w:rsidRDefault="0027722C" w:rsidP="00176B5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76B5C" w:rsidRPr="00176B5C" w:rsidRDefault="0027722C" w:rsidP="00176B5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76B5C" w:rsidRPr="00176B5C" w:rsidRDefault="0027722C" w:rsidP="00176B5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76B5C" w:rsidRPr="00176B5C" w:rsidRDefault="0027722C" w:rsidP="00176B5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>24 czerwca 2021 r.</w:t>
      </w:r>
      <w:bookmarkEnd w:id="0"/>
    </w:p>
    <w:p w:rsidR="00176B5C" w:rsidRPr="00176B5C" w:rsidRDefault="0027722C" w:rsidP="0017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bookmarkStart w:id="1" w:name="_GoBack"/>
      <w:r w:rsidRPr="00176B5C">
        <w:rPr>
          <w:rFonts w:ascii="Times New Roman" w:eastAsia="Times New Roman" w:hAnsi="Times New Roman" w:cs="Times New Roman"/>
          <w:sz w:val="20"/>
          <w:szCs w:val="24"/>
          <w:lang w:eastAsia="pl-PL"/>
        </w:rPr>
        <w:t>WNP-I.4131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.139</w:t>
      </w:r>
      <w:r w:rsidRPr="00176B5C">
        <w:rPr>
          <w:rFonts w:ascii="Times New Roman" w:eastAsia="Times New Roman" w:hAnsi="Times New Roman" w:cs="Times New Roman"/>
          <w:sz w:val="20"/>
          <w:szCs w:val="24"/>
          <w:lang w:eastAsia="pl-PL"/>
        </w:rPr>
        <w:t>.2021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.KS</w:t>
      </w:r>
    </w:p>
    <w:bookmarkEnd w:id="1"/>
    <w:p w:rsidR="00176B5C" w:rsidRPr="00176B5C" w:rsidRDefault="0027722C" w:rsidP="00176B5C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76B5C" w:rsidRPr="00176B5C" w:rsidRDefault="0027722C" w:rsidP="00176B5C">
      <w:pPr>
        <w:tabs>
          <w:tab w:val="left" w:pos="4095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76B5C" w:rsidRPr="00176B5C" w:rsidRDefault="0027722C" w:rsidP="00176B5C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Rada Gminy Michałowice</w:t>
      </w:r>
    </w:p>
    <w:p w:rsidR="000B17EE" w:rsidRDefault="0027722C" w:rsidP="00176B5C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Reguły, </w:t>
      </w:r>
      <w:r w:rsidRPr="00176B5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ul.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Aleja Powstańców </w:t>
      </w:r>
    </w:p>
    <w:p w:rsidR="00176B5C" w:rsidRPr="00176B5C" w:rsidRDefault="0027722C" w:rsidP="00176B5C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Warszawy</w:t>
      </w:r>
      <w:r w:rsidRPr="00176B5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1</w:t>
      </w:r>
    </w:p>
    <w:p w:rsidR="00176B5C" w:rsidRPr="00176B5C" w:rsidRDefault="0027722C" w:rsidP="00176B5C">
      <w:pPr>
        <w:spacing w:after="0" w:line="276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05-816 Michałowice</w:t>
      </w:r>
    </w:p>
    <w:p w:rsidR="00176B5C" w:rsidRPr="00176B5C" w:rsidRDefault="0027722C" w:rsidP="00176B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B5C" w:rsidRPr="00176B5C" w:rsidRDefault="0027722C" w:rsidP="00176B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176B5C" w:rsidRPr="00176B5C" w:rsidRDefault="0027722C" w:rsidP="00176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91 ust. 1, w związku z art. 86 ustawy z dnia 8 marca 1990 r. </w:t>
      </w: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samorządzie gminnym (Dz. U. z 2020 </w:t>
      </w: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713, z późn. zm.)</w:t>
      </w:r>
    </w:p>
    <w:p w:rsidR="00176B5C" w:rsidRPr="00176B5C" w:rsidRDefault="0027722C" w:rsidP="00176B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</w:t>
      </w:r>
    </w:p>
    <w:p w:rsidR="00176B5C" w:rsidRPr="00176B5C" w:rsidRDefault="0027722C" w:rsidP="00176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Michałowice </w:t>
      </w: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XXXII/360/2021 </w:t>
      </w:r>
      <w:r w:rsidRPr="00176B5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maja 2021 r. </w:t>
      </w:r>
      <w:r w:rsidRPr="00176B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ustalenia szczegółowych zasad ponoszenia odpłatności za pobyt w mieszkaniach chronionych.</w:t>
      </w:r>
    </w:p>
    <w:p w:rsidR="00176B5C" w:rsidRDefault="0027722C" w:rsidP="00BA42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4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BA42FA" w:rsidRDefault="0027722C" w:rsidP="00BA42F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4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31 maja 2021 r. Rada Gminy Michałowice podjęła uchwałę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XXXII/360/2021 </w:t>
      </w:r>
      <w:r w:rsidRPr="00176B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ustalenia szczegółowych zasad ponoszenia odpłatności za pobyt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mieszkaniach chronionych. </w:t>
      </w:r>
    </w:p>
    <w:p w:rsidR="00176B5C" w:rsidRPr="00176B5C" w:rsidRDefault="0027722C" w:rsidP="00BA4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podstawę prawną do podjęcia uchwały wskazano art. 18 ust. 2 pkt 15,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40 ust. 1,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41 ust. 1 ustawy o samorządzie gminnym oraz art. 17 ust. 1 pkt 3, art. 97 ust. 1 i ust. 5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2004 r. o pomocy społecznej (Dz. U. z 2020 r. poz. 1876, z późn.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7EE" w:rsidRPr="00D33B36" w:rsidRDefault="0027722C" w:rsidP="000B1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Przepis </w:t>
      </w:r>
      <w:hyperlink r:id="rId7" w:anchor="/document/17087802?unitId=art(17)ust(1)pkt(3)&amp;cm=DOCUMENT" w:history="1">
        <w:r w:rsidRPr="00D33B3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17 ust. 1 pkt 3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pomocy społecznej wskazuje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że do zadań własnych gminy o charakterze obowiązkowym należy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m.in.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udzielanie schronienia.</w:t>
      </w:r>
    </w:p>
    <w:p w:rsidR="00D44EC9" w:rsidRDefault="0027722C" w:rsidP="00D44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 art. 97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ustawy o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powiatu lub rada gminy w drodze uchwały ustala, w zakresie zadań własnych, szczegółowe zasady ponoszenia odpłatności za pobyt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ośrodkach wsparcia i mieszkaniach chronionych</w:t>
      </w:r>
      <w:r w:rsidRPr="008F3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Stosownie zaś do </w:t>
      </w:r>
      <w:hyperlink r:id="rId8" w:anchor="/document/16798871?unitId=art(53)ust(2)&amp;cm=DOCUMENT" w:history="1">
        <w:r w:rsidRPr="009F33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53 ust. 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pomocy społecznej </w:t>
      </w:r>
      <w:r w:rsidRPr="009F3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mieszkanie chronione jest formą pomocy społecznej przygotowującą osoby tam przebywające, pod opieką specjalistów, do prowadzenia </w:t>
      </w:r>
      <w:r w:rsidRPr="009F33CB">
        <w:rPr>
          <w:rFonts w:ascii="Times New Roman" w:hAnsi="Times New Roman" w:cs="Times New Roman"/>
          <w:sz w:val="24"/>
          <w:szCs w:val="24"/>
          <w:shd w:val="clear" w:color="auto" w:fill="FFFFFF"/>
        </w:rPr>
        <w:t>samodzielnego życia lub zastępującą pobyt w placówce zapewniającej całodobową opiekę. Mieszkanie chronione zapewnia warunki samodzielnego funkcjonowania w środowisku, w integracji ze społecznością lokalną.</w:t>
      </w:r>
      <w:r w:rsidRPr="00E77D48">
        <w:rPr>
          <w:rFonts w:ascii="Open Sans" w:hAnsi="Open Sans"/>
          <w:color w:val="333333"/>
          <w:shd w:val="clear" w:color="auto" w:fill="FFFFFF"/>
        </w:rPr>
        <w:t xml:space="preserve"> </w:t>
      </w:r>
      <w:r w:rsidRPr="00D44EC9">
        <w:rPr>
          <w:rFonts w:ascii="Times New Roman" w:hAnsi="Times New Roman" w:cs="Times New Roman"/>
          <w:sz w:val="24"/>
          <w:szCs w:val="24"/>
        </w:rPr>
        <w:t>Z kolei pojęcie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,,</w:t>
      </w:r>
      <w:r>
        <w:rPr>
          <w:rFonts w:ascii="Times New Roman" w:hAnsi="Times New Roman" w:cs="Times New Roman"/>
          <w:sz w:val="24"/>
          <w:szCs w:val="24"/>
        </w:rPr>
        <w:t>Zasady”</w:t>
      </w:r>
      <w:r w:rsidRPr="008F339A">
        <w:rPr>
          <w:rFonts w:ascii="Times New Roman" w:hAnsi="Times New Roman" w:cs="Times New Roman"/>
          <w:sz w:val="24"/>
          <w:szCs w:val="24"/>
        </w:rPr>
        <w:t xml:space="preserve"> - zgodnie ze słownikiem </w:t>
      </w:r>
      <w:r w:rsidRPr="008F339A">
        <w:rPr>
          <w:rFonts w:ascii="Times New Roman" w:hAnsi="Times New Roman" w:cs="Times New Roman"/>
          <w:sz w:val="24"/>
          <w:szCs w:val="24"/>
        </w:rPr>
        <w:t xml:space="preserve">języka polskiego </w:t>
      </w:r>
      <w:r w:rsidRPr="00D44EC9">
        <w:rPr>
          <w:rStyle w:val="Uwydatnienie"/>
          <w:rFonts w:ascii="Times New Roman" w:hAnsi="Times New Roman" w:cs="Times New Roman"/>
          <w:i w:val="0"/>
          <w:sz w:val="24"/>
          <w:szCs w:val="24"/>
        </w:rPr>
        <w:t>PWN</w:t>
      </w:r>
      <w:r>
        <w:rPr>
          <w:rFonts w:ascii="Times New Roman" w:hAnsi="Times New Roman" w:cs="Times New Roman"/>
          <w:sz w:val="24"/>
          <w:szCs w:val="24"/>
        </w:rPr>
        <w:t xml:space="preserve"> to: norma postępowania, ewentualnie</w:t>
      </w:r>
      <w:r w:rsidRPr="008F339A">
        <w:rPr>
          <w:rFonts w:ascii="Times New Roman" w:hAnsi="Times New Roman" w:cs="Times New Roman"/>
          <w:sz w:val="24"/>
          <w:szCs w:val="24"/>
        </w:rPr>
        <w:t xml:space="preserve"> ustalony na mocy jakiegoś przepisu lub zwyczaju sposób postępowania w danych okolicznościach, jak również podstawa funkcjonowania lub konstrukcji czegoś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7EE" w:rsidRPr="00D44EC9" w:rsidRDefault="0027722C" w:rsidP="00D44EC9">
      <w:pPr>
        <w:spacing w:after="0" w:line="360" w:lineRule="auto"/>
        <w:ind w:firstLine="708"/>
        <w:jc w:val="both"/>
        <w:rPr>
          <w:rFonts w:ascii="Open Sans" w:hAnsi="Open Sans"/>
          <w:color w:val="333333"/>
          <w:shd w:val="clear" w:color="auto" w:fill="FFFFFF"/>
        </w:rPr>
      </w:pPr>
      <w:r w:rsidRPr="00522C54">
        <w:rPr>
          <w:rFonts w:ascii="Times New Roman" w:hAnsi="Times New Roman" w:cs="Times New Roman"/>
          <w:sz w:val="24"/>
          <w:szCs w:val="24"/>
          <w:shd w:val="clear" w:color="auto" w:fill="FFFFFF"/>
        </w:rPr>
        <w:t>Organ nadzoru analizując treść kwestionowanej</w:t>
      </w:r>
      <w:r w:rsidRPr="00522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uchwały uznał</w:t>
      </w:r>
      <w:r w:rsidRPr="00522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wadliwe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następujące </w:t>
      </w:r>
      <w:r w:rsidRPr="00522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regulacje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niej zawarte:</w:t>
      </w:r>
      <w:r w:rsidRPr="00522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§ 2, § 3 oraz § 6.</w:t>
      </w:r>
    </w:p>
    <w:p w:rsidR="00590110" w:rsidRDefault="0027722C" w:rsidP="00966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2 kwestionowanej uchwały Rada Gminy Michałowice postanowiła, że: </w:t>
      </w:r>
      <w:r w:rsidRPr="00F263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,,Stawka dobowa opłaty za jeden dzień pobytu w mieszkaniu chronionym dla jednej osoby wynosi 50,00 zł”.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0D9" w:rsidRDefault="0027722C" w:rsidP="00966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organu nadzoru wskazanie w sposób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sztywny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opłaty ponoszonej przez osobę korzystającą ze świadczenia w formie pobytu w mieszkaniu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chronionym, jest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ekroczeniem delegacji ustawowej zawartej w art. 95 ust. 5 ustawy o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Ustawodawca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bowiem </w:t>
      </w:r>
      <w:r w:rsidRPr="00AD2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upoważnił Radę do określenia szczegółowych zasad ponoszenia odpłatności, a nie do określenia wysokości konkretnych opłat.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ależy 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zać, że wysokość opłaty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ustalana przez podmiot kierujący w uzgodnieniu z osobą kierowaną na pobyt do mieszkania chronionego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przyznanego jej zakresu usług (art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97 ust.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pomocy społecznej).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samym Rada wkroczyła w kompetencje organu kierującego na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obyt w mieszkaniu chronionym,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stanowi istotne naruszenie prawa.</w:t>
      </w:r>
    </w:p>
    <w:p w:rsidR="00E96668" w:rsidRDefault="0027722C" w:rsidP="00AA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Michałowice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§3 kwestionowanej uchwały określiła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osób, których dochód przekracza kryterium dochodowe ustalone zgodnie z art. 8 ustawy o pomocy społecznej wskaźniki odpłatności za pobyt w mieszkaniu chronionym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procentowo. </w:t>
      </w:r>
      <w:r w:rsidRPr="00D33B3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33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6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chwała rady gminy, powiatu powinna tak kształtow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ać zasady odpłatności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by uwzględniały one zakres ś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wiadczonych usług i ich koszty.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Organ -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jak wynika z powołanego przepisu ma ustalić zasady ponoszenia op</w:t>
      </w:r>
      <w:r w:rsidRPr="00E9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łat, a nie ich sztywną wysokość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176345">
        <w:rPr>
          <w:rFonts w:ascii="Times New Roman" w:hAnsi="Times New Roman" w:cs="Times New Roman"/>
          <w:i/>
          <w:sz w:val="24"/>
          <w:szCs w:val="24"/>
        </w:rPr>
        <w:t xml:space="preserve">Jak słusznie zauważa WSA w Gliwicach w ramach rzeczonych zasad rada </w:t>
      </w:r>
      <w:r w:rsidRPr="00176345">
        <w:rPr>
          <w:rFonts w:ascii="Times New Roman" w:hAnsi="Times New Roman" w:cs="Times New Roman"/>
          <w:i/>
          <w:sz w:val="24"/>
          <w:szCs w:val="24"/>
        </w:rPr>
        <w:t>gminy powinna określić jedynie granice, w których o</w:t>
      </w:r>
      <w:r>
        <w:rPr>
          <w:rFonts w:ascii="Times New Roman" w:hAnsi="Times New Roman" w:cs="Times New Roman"/>
          <w:i/>
          <w:sz w:val="24"/>
          <w:szCs w:val="24"/>
        </w:rPr>
        <w:t>płata będzie ustalona. Zdaniem S</w:t>
      </w:r>
      <w:r w:rsidRPr="00176345">
        <w:rPr>
          <w:rFonts w:ascii="Times New Roman" w:hAnsi="Times New Roman" w:cs="Times New Roman"/>
          <w:i/>
          <w:sz w:val="24"/>
          <w:szCs w:val="24"/>
        </w:rPr>
        <w:t xml:space="preserve">ądu: „naturalnym elementem warunkującym określenie poziomu odpłatności będzie sytuacja dochodowa osoby korzystającej z danej formy świadczenia. Oznacza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176345">
        <w:rPr>
          <w:rFonts w:ascii="Times New Roman" w:hAnsi="Times New Roman" w:cs="Times New Roman"/>
          <w:i/>
          <w:sz w:val="24"/>
          <w:szCs w:val="24"/>
        </w:rPr>
        <w:t>to, że im wyższy poz</w:t>
      </w:r>
      <w:r w:rsidRPr="00176345">
        <w:rPr>
          <w:rFonts w:ascii="Times New Roman" w:hAnsi="Times New Roman" w:cs="Times New Roman"/>
          <w:i/>
          <w:sz w:val="24"/>
          <w:szCs w:val="24"/>
        </w:rPr>
        <w:t>iom dochodu świadczeniobiorcy, tym większa jego partycypacja w kosztach udzielanej pomocy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339A">
        <w:rPr>
          <w:rFonts w:ascii="Times New Roman" w:hAnsi="Times New Roman" w:cs="Times New Roman"/>
          <w:i/>
          <w:sz w:val="24"/>
          <w:szCs w:val="24"/>
        </w:rPr>
        <w:t xml:space="preserve">(wyroki WSA we Wrocławiu z 21.02.2006 r.: </w:t>
      </w:r>
      <w:hyperlink r:id="rId9" w:anchor="/document/520313523?cm=DOCUMENT" w:history="1">
        <w:r w:rsidRPr="008F339A">
          <w:rPr>
            <w:rFonts w:ascii="Times New Roman" w:hAnsi="Times New Roman" w:cs="Times New Roman"/>
            <w:i/>
            <w:sz w:val="24"/>
            <w:szCs w:val="24"/>
          </w:rPr>
          <w:t>IV SA/</w:t>
        </w:r>
        <w:proofErr w:type="spellStart"/>
        <w:r w:rsidRPr="008F339A">
          <w:rPr>
            <w:rFonts w:ascii="Times New Roman" w:hAnsi="Times New Roman" w:cs="Times New Roman"/>
            <w:i/>
            <w:sz w:val="24"/>
            <w:szCs w:val="24"/>
          </w:rPr>
          <w:t>Wr</w:t>
        </w:r>
        <w:proofErr w:type="spellEnd"/>
        <w:r w:rsidRPr="008F339A">
          <w:rPr>
            <w:rFonts w:ascii="Times New Roman" w:hAnsi="Times New Roman" w:cs="Times New Roman"/>
            <w:i/>
            <w:sz w:val="24"/>
            <w:szCs w:val="24"/>
          </w:rPr>
          <w:t xml:space="preserve"> 598/04</w:t>
        </w:r>
      </w:hyperlink>
      <w:r w:rsidRPr="008F339A">
        <w:rPr>
          <w:rFonts w:ascii="Times New Roman" w:hAnsi="Times New Roman" w:cs="Times New Roman"/>
          <w:i/>
          <w:sz w:val="24"/>
          <w:szCs w:val="24"/>
        </w:rPr>
        <w:t xml:space="preserve">, LEX nr 219827; </w:t>
      </w:r>
      <w:hyperlink r:id="rId10" w:anchor="/document/520386751?cm=DOCUMENT" w:history="1">
        <w:r w:rsidRPr="008F339A">
          <w:rPr>
            <w:rFonts w:ascii="Times New Roman" w:hAnsi="Times New Roman" w:cs="Times New Roman"/>
            <w:i/>
            <w:sz w:val="24"/>
            <w:szCs w:val="24"/>
          </w:rPr>
          <w:t>IV SA/</w:t>
        </w:r>
        <w:proofErr w:type="spellStart"/>
        <w:r w:rsidRPr="008F339A">
          <w:rPr>
            <w:rFonts w:ascii="Times New Roman" w:hAnsi="Times New Roman" w:cs="Times New Roman"/>
            <w:i/>
            <w:sz w:val="24"/>
            <w:szCs w:val="24"/>
          </w:rPr>
          <w:t>Wr</w:t>
        </w:r>
        <w:proofErr w:type="spellEnd"/>
        <w:r w:rsidRPr="008F339A">
          <w:rPr>
            <w:rFonts w:ascii="Times New Roman" w:hAnsi="Times New Roman" w:cs="Times New Roman"/>
            <w:i/>
            <w:sz w:val="24"/>
            <w:szCs w:val="24"/>
          </w:rPr>
          <w:t xml:space="preserve"> 556/04</w:t>
        </w:r>
      </w:hyperlink>
      <w:r w:rsidRPr="008F339A">
        <w:rPr>
          <w:rFonts w:ascii="Times New Roman" w:hAnsi="Times New Roman" w:cs="Times New Roman"/>
          <w:i/>
          <w:sz w:val="24"/>
          <w:szCs w:val="24"/>
        </w:rPr>
        <w:t>, LEX nr 293055)</w:t>
      </w:r>
      <w:r w:rsidRPr="008F3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>(Iwona Sierpowska Pomoc społeczna, Komentarz, wydanie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Opublikowane WKP 2017 r.). </w:t>
      </w:r>
    </w:p>
    <w:p w:rsidR="003921E7" w:rsidRDefault="0027722C" w:rsidP="00AA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ocenie organu nadzoru 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posiadając kompetencje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jedynie 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ustalania 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>,,szczegółowych zasad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ponoszenia odpłat za pobyt w mieszkaniu chronionym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powinna określić tylko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granice, w ramach których opłata winna zostać ustalona przez uprawnione podmioty.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chwała 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>winna wskazywać maksymalny ,,pułap” odpłatności przy określonym w tab</w:t>
      </w:r>
      <w:r w:rsidRPr="00D33B36">
        <w:rPr>
          <w:rFonts w:ascii="Times New Roman" w:hAnsi="Times New Roman" w:cs="Times New Roman"/>
          <w:sz w:val="24"/>
          <w:szCs w:val="24"/>
          <w:shd w:val="clear" w:color="auto" w:fill="FFFFFF"/>
        </w:rPr>
        <w:t>eli dochodzie.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07B7" w:rsidRPr="00AA5DEB" w:rsidRDefault="0027722C" w:rsidP="00AA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 wyroku </w:t>
      </w:r>
      <w:r w:rsidRPr="00C707B7">
        <w:rPr>
          <w:rFonts w:ascii="Times New Roman" w:hAnsi="Times New Roman" w:cs="Times New Roman"/>
          <w:sz w:val="24"/>
          <w:szCs w:val="24"/>
          <w:shd w:val="clear" w:color="auto" w:fill="FFFFFF"/>
        </w:rPr>
        <w:t>z dnia 28 stycznia 2014 r. sygn. akt IV SA/Wr 629/13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70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WSA we Wrocławiu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jedn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oznacznie postanowił</w:t>
      </w:r>
      <w:r w:rsidRPr="00C707B7">
        <w:rPr>
          <w:rFonts w:ascii="Times New Roman" w:hAnsi="Times New Roman" w:cs="Times New Roman"/>
          <w:sz w:val="24"/>
          <w:szCs w:val="24"/>
          <w:shd w:val="clear" w:color="auto" w:fill="FFFFFF"/>
        </w:rPr>
        <w:t>, że: ,,</w:t>
      </w:r>
      <w:r w:rsidRPr="00C707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Rada nie ma kompetencji w tym za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kresie, a w zakresie ustalania ,,szczegółowych zasad”</w:t>
      </w:r>
      <w:r w:rsidRPr="00C707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powinna określić jedynie granice, w ramach których opłata winna zostać ustalona przez uprawnione podmioty. </w:t>
      </w:r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Granic tych nie stanowią konkretne stawki opłat (wyrażone w procentach) uzależnione od wysokości dochodu. Ustalenie przez organ uchwałodawczy konkre</w:t>
      </w:r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tnego wymiaru ponoszonej opłaty w istocie jest działaniem przekraczającym </w:t>
      </w:r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upoważnienie ustawowe zawarte w </w:t>
      </w:r>
      <w:hyperlink r:id="rId11" w:anchor="/document/16798871?unitId=art(97)ust(5)&amp;cm=DOCUMENT" w:history="1">
        <w:r w:rsidRPr="00AD2987">
          <w:rPr>
            <w:rStyle w:val="Hipercze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shd w:val="clear" w:color="auto" w:fill="FFFFFF"/>
          </w:rPr>
          <w:t>art. 97 ust. 5</w:t>
        </w:r>
      </w:hyperlink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ustawy oraz wkroczeniem w kompetencje </w:t>
      </w:r>
      <w:r w:rsidRPr="00AD29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innego organu</w:t>
      </w:r>
      <w:r w:rsidRPr="00C707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Ustawodawca nie przyznał radzie powiatu prawa do ustalania wysokości opłat za pobyt w mieszkaniu chronionym, a jedynie uprawnienie do ustanawiania określonych reguł, jakie powinien stosować podmiot kierujący do mieszkania chronionego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”.</w:t>
      </w:r>
    </w:p>
    <w:p w:rsidR="00F263CD" w:rsidRPr="00F263CD" w:rsidRDefault="0027722C" w:rsidP="009214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FE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</w:t>
      </w:r>
      <w:r w:rsidRPr="009214FE">
        <w:rPr>
          <w:rFonts w:ascii="Times New Roman" w:eastAsia="Times New Roman" w:hAnsi="Times New Roman" w:cs="Times New Roman"/>
          <w:sz w:val="24"/>
          <w:szCs w:val="24"/>
          <w:lang w:eastAsia="ar-SA"/>
        </w:rPr>
        <w:t>pnie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263CD">
        <w:rPr>
          <w:rFonts w:ascii="Times New Roman" w:hAnsi="Times New Roman" w:cs="Times New Roman"/>
          <w:sz w:val="24"/>
          <w:szCs w:val="24"/>
        </w:rPr>
        <w:t xml:space="preserve"> § 6 Rada Gminy </w:t>
      </w:r>
      <w:r>
        <w:rPr>
          <w:rFonts w:ascii="Times New Roman" w:hAnsi="Times New Roman" w:cs="Times New Roman"/>
          <w:sz w:val="24"/>
          <w:szCs w:val="24"/>
        </w:rPr>
        <w:t xml:space="preserve">Michałowice </w:t>
      </w:r>
      <w:r w:rsidRPr="00F263CD">
        <w:rPr>
          <w:rFonts w:ascii="Times New Roman" w:hAnsi="Times New Roman" w:cs="Times New Roman"/>
          <w:sz w:val="24"/>
          <w:szCs w:val="24"/>
        </w:rPr>
        <w:t>postanowiła, że:</w:t>
      </w:r>
    </w:p>
    <w:p w:rsidR="00F263CD" w:rsidRPr="00F263C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3CD">
        <w:rPr>
          <w:rFonts w:ascii="Times New Roman" w:hAnsi="Times New Roman" w:cs="Times New Roman"/>
          <w:i/>
          <w:sz w:val="24"/>
          <w:szCs w:val="24"/>
        </w:rPr>
        <w:t xml:space="preserve">,,1. Z ponoszenia odpłatności w części lub całości mogą być zwolnione osoby: </w:t>
      </w:r>
    </w:p>
    <w:p w:rsidR="00F263CD" w:rsidRPr="00F263C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3CD">
        <w:rPr>
          <w:rFonts w:ascii="Times New Roman" w:hAnsi="Times New Roman" w:cs="Times New Roman"/>
          <w:i/>
          <w:sz w:val="24"/>
          <w:szCs w:val="24"/>
        </w:rPr>
        <w:t xml:space="preserve">1) które doświadczyły zdarzenia losowego lub klęski żywiołowej; </w:t>
      </w:r>
    </w:p>
    <w:p w:rsidR="00F263CD" w:rsidRPr="00F263C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3CD">
        <w:rPr>
          <w:rFonts w:ascii="Times New Roman" w:hAnsi="Times New Roman" w:cs="Times New Roman"/>
          <w:i/>
          <w:sz w:val="24"/>
          <w:szCs w:val="24"/>
        </w:rPr>
        <w:t xml:space="preserve">2) które ponoszą znaczne wydatki w tym na leki, leczenie i rehabilitację; </w:t>
      </w:r>
    </w:p>
    <w:p w:rsidR="00F263CD" w:rsidRPr="00F263C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3CD">
        <w:rPr>
          <w:rFonts w:ascii="Times New Roman" w:hAnsi="Times New Roman" w:cs="Times New Roman"/>
          <w:i/>
          <w:sz w:val="24"/>
          <w:szCs w:val="24"/>
        </w:rPr>
        <w:t>3) których kwota dochodu na osobę, pozostającego po wniesieniu odpłatności byłaby niższa niż 70% kryterium dochodowego osoby samotnie gospodarującej, o którym mowa w ustawie o pomoc</w:t>
      </w:r>
      <w:r w:rsidRPr="00F263CD">
        <w:rPr>
          <w:rFonts w:ascii="Times New Roman" w:hAnsi="Times New Roman" w:cs="Times New Roman"/>
          <w:i/>
          <w:sz w:val="24"/>
          <w:szCs w:val="24"/>
        </w:rPr>
        <w:t xml:space="preserve">y społecznej. </w:t>
      </w:r>
    </w:p>
    <w:p w:rsidR="006F7AF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3CD">
        <w:rPr>
          <w:rFonts w:ascii="Times New Roman" w:hAnsi="Times New Roman" w:cs="Times New Roman"/>
          <w:i/>
          <w:sz w:val="24"/>
          <w:szCs w:val="24"/>
        </w:rPr>
        <w:t xml:space="preserve">2. Z ponoszenia odpłatności w całości mogą być zwolnione osoby, które spełniają więcej niż jedno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F263CD">
        <w:rPr>
          <w:rFonts w:ascii="Times New Roman" w:hAnsi="Times New Roman" w:cs="Times New Roman"/>
          <w:i/>
          <w:sz w:val="24"/>
          <w:szCs w:val="24"/>
        </w:rPr>
        <w:t>z kryteriów pokreślonych w ust.1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263CD" w:rsidRPr="00F263CD" w:rsidRDefault="0027722C" w:rsidP="00F263C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3.Nie pobiera się odpłatności za miesiąc, w którym nastąpił zgon osoby, korzystającej z pobytu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w mieszkaniu </w:t>
      </w:r>
      <w:r>
        <w:rPr>
          <w:rFonts w:ascii="Times New Roman" w:hAnsi="Times New Roman" w:cs="Times New Roman"/>
          <w:i/>
          <w:sz w:val="24"/>
          <w:szCs w:val="24"/>
        </w:rPr>
        <w:t>chronionym</w:t>
      </w:r>
      <w:r w:rsidRPr="00F263CD">
        <w:rPr>
          <w:rFonts w:ascii="Times New Roman" w:hAnsi="Times New Roman" w:cs="Times New Roman"/>
          <w:i/>
          <w:sz w:val="24"/>
          <w:szCs w:val="24"/>
        </w:rPr>
        <w:t>”.</w:t>
      </w:r>
    </w:p>
    <w:p w:rsidR="004F7782" w:rsidRDefault="0027722C" w:rsidP="00396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Zdaniem organu nadzoru także regulacje dotyczące § 6 kwestionowanej uchwały zostały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jęte z przekroczeniem upoważnienia ustawowego. Wskazana regulacja nie stanowi zasady ponoszenia odpłatności, lecz opisuje sytuacje, w których możliwe jest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 lub częściowe) odstąpienie od pobierania opłaty. </w:t>
      </w:r>
    </w:p>
    <w:p w:rsidR="004F7782" w:rsidRDefault="0027722C" w:rsidP="00506A69">
      <w:pPr>
        <w:pStyle w:val="NormalnyWeb"/>
        <w:spacing w:after="0" w:line="360" w:lineRule="auto"/>
        <w:ind w:firstLine="708"/>
        <w:jc w:val="both"/>
        <w:rPr>
          <w:rFonts w:eastAsia="Times New Roman"/>
          <w:lang w:eastAsia="pl-PL"/>
        </w:rPr>
      </w:pPr>
      <w:r w:rsidRPr="004F7782">
        <w:rPr>
          <w:rFonts w:eastAsia="Times New Roman"/>
          <w:lang w:eastAsia="pl-PL"/>
        </w:rPr>
        <w:t xml:space="preserve">Art. 97 ust. 1 zdanie drugie ustawy o pomocy </w:t>
      </w:r>
      <w:r w:rsidRPr="004F7782">
        <w:rPr>
          <w:rFonts w:eastAsia="Times New Roman"/>
          <w:lang w:eastAsia="pl-PL"/>
        </w:rPr>
        <w:t xml:space="preserve">społecznej stanowi, że: </w:t>
      </w:r>
      <w:r w:rsidRPr="004F7782">
        <w:rPr>
          <w:rFonts w:eastAsia="Times New Roman"/>
          <w:i/>
          <w:lang w:eastAsia="pl-PL"/>
        </w:rPr>
        <w:t>,,</w:t>
      </w:r>
      <w:r w:rsidRPr="004F7782">
        <w:rPr>
          <w:rFonts w:eastAsia="Times New Roman"/>
          <w:i/>
          <w:lang w:eastAsia="pl-PL"/>
        </w:rPr>
        <w:t>Osoby nie ponoszą opłat, jeżeli dochód</w:t>
      </w:r>
      <w:r w:rsidRPr="004F7782">
        <w:rPr>
          <w:rFonts w:eastAsia="Times New Roman"/>
          <w:i/>
          <w:lang w:eastAsia="pl-PL"/>
        </w:rPr>
        <w:t xml:space="preserve"> osoby samotnie gospodarującej </w:t>
      </w:r>
      <w:r w:rsidRPr="004F7782">
        <w:rPr>
          <w:rFonts w:eastAsia="Times New Roman"/>
          <w:i/>
          <w:lang w:eastAsia="pl-PL"/>
        </w:rPr>
        <w:t>lub dochód na osobę w rodzinie nie przekrac</w:t>
      </w:r>
      <w:r w:rsidRPr="004F7782">
        <w:rPr>
          <w:rFonts w:eastAsia="Times New Roman"/>
          <w:i/>
          <w:lang w:eastAsia="pl-PL"/>
        </w:rPr>
        <w:t xml:space="preserve">za kryterium </w:t>
      </w:r>
      <w:r w:rsidRPr="004F7782">
        <w:rPr>
          <w:rFonts w:eastAsia="Times New Roman"/>
          <w:i/>
          <w:lang w:eastAsia="pl-PL"/>
        </w:rPr>
        <w:t>dochodowego”</w:t>
      </w:r>
      <w:r w:rsidRPr="004F7782">
        <w:rPr>
          <w:rFonts w:eastAsia="Times New Roman"/>
          <w:lang w:eastAsia="pl-PL"/>
        </w:rPr>
        <w:t xml:space="preserve">. </w:t>
      </w:r>
      <w:r w:rsidRPr="004F7782">
        <w:rPr>
          <w:rFonts w:eastAsia="Times New Roman"/>
          <w:b/>
          <w:lang w:eastAsia="pl-PL"/>
        </w:rPr>
        <w:t xml:space="preserve">W cytowanym przepisie </w:t>
      </w:r>
      <w:r w:rsidRPr="004F7782">
        <w:rPr>
          <w:rFonts w:eastAsia="Times New Roman"/>
          <w:b/>
          <w:lang w:eastAsia="pl-PL"/>
        </w:rPr>
        <w:t>ustawodawca przewidział zwolnienie z opłat za pobyt w mieszkaniach chronionych</w:t>
      </w:r>
      <w:r w:rsidRPr="004F7782">
        <w:rPr>
          <w:rFonts w:eastAsia="Times New Roman"/>
          <w:b/>
          <w:lang w:eastAsia="pl-PL"/>
        </w:rPr>
        <w:t xml:space="preserve">, </w:t>
      </w:r>
      <w:r w:rsidRPr="004F7782">
        <w:rPr>
          <w:b/>
          <w:shd w:val="clear" w:color="auto" w:fill="FFFFFF"/>
        </w:rPr>
        <w:t xml:space="preserve">które nie powinno być utożsamiane z odstąpieniem </w:t>
      </w:r>
      <w:r>
        <w:rPr>
          <w:b/>
          <w:shd w:val="clear" w:color="auto" w:fill="FFFFFF"/>
        </w:rPr>
        <w:br/>
      </w:r>
      <w:r w:rsidRPr="004F7782">
        <w:rPr>
          <w:b/>
          <w:shd w:val="clear" w:color="auto" w:fill="FFFFFF"/>
        </w:rPr>
        <w:t xml:space="preserve">od żądania opłaty. </w:t>
      </w:r>
      <w:r w:rsidRPr="004F7782">
        <w:rPr>
          <w:shd w:val="clear" w:color="auto" w:fill="FFFFFF"/>
        </w:rPr>
        <w:t>To drugie uprawnienie jest wyraze</w:t>
      </w:r>
      <w:r>
        <w:rPr>
          <w:shd w:val="clear" w:color="auto" w:fill="FFFFFF"/>
        </w:rPr>
        <w:t xml:space="preserve">m władzy dyskrecjonalnej organu </w:t>
      </w:r>
      <w:r w:rsidRPr="004F7782">
        <w:rPr>
          <w:shd w:val="clear" w:color="auto" w:fill="FFFFFF"/>
        </w:rPr>
        <w:t>admini</w:t>
      </w:r>
      <w:r w:rsidRPr="004F7782">
        <w:rPr>
          <w:shd w:val="clear" w:color="auto" w:fill="FFFFFF"/>
        </w:rPr>
        <w:t xml:space="preserve">strującego, jego uznaniu pozostawia się zaniechanie ściągnięcia opłaty, co zależne jest nie tyle od dochodu osoby kierowanej, co od jej sytuacji majątkowej, życiowej i rodzinnej. Skorzystanie </w:t>
      </w:r>
      <w:r>
        <w:rPr>
          <w:shd w:val="clear" w:color="auto" w:fill="FFFFFF"/>
        </w:rPr>
        <w:br/>
      </w:r>
      <w:r w:rsidRPr="004F7782">
        <w:rPr>
          <w:shd w:val="clear" w:color="auto" w:fill="FFFFFF"/>
        </w:rPr>
        <w:t>z przedmiotowego uprawnienia wymaga szczegółowej podstawy prawn</w:t>
      </w:r>
      <w:r w:rsidRPr="004F7782">
        <w:rPr>
          <w:shd w:val="clear" w:color="auto" w:fill="FFFFFF"/>
        </w:rPr>
        <w:t>ej, a t</w:t>
      </w:r>
      <w:r w:rsidRPr="004F7782">
        <w:rPr>
          <w:shd w:val="clear" w:color="auto" w:fill="FFFFFF"/>
        </w:rPr>
        <w:t xml:space="preserve">akiego upoważnienia </w:t>
      </w:r>
      <w:r w:rsidRPr="004F7782">
        <w:rPr>
          <w:shd w:val="clear" w:color="auto" w:fill="FFFFFF"/>
        </w:rPr>
        <w:lastRenderedPageBreak/>
        <w:t xml:space="preserve">nie zawiera </w:t>
      </w:r>
      <w:hyperlink r:id="rId12" w:anchor="/document/16798871?unitId=art(97)&amp;cm=DOCUMENT" w:history="1">
        <w:r w:rsidRPr="004F7782">
          <w:rPr>
            <w:rStyle w:val="Hipercze"/>
            <w:color w:val="auto"/>
            <w:u w:val="none"/>
            <w:shd w:val="clear" w:color="auto" w:fill="FFFFFF"/>
          </w:rPr>
          <w:t>art. 97</w:t>
        </w:r>
      </w:hyperlink>
      <w:r w:rsidRPr="004F7782">
        <w:rPr>
          <w:shd w:val="clear" w:color="auto" w:fill="FFFFFF"/>
        </w:rPr>
        <w:t xml:space="preserve"> </w:t>
      </w:r>
      <w:r w:rsidRPr="004F7782">
        <w:rPr>
          <w:shd w:val="clear" w:color="auto" w:fill="FFFFFF"/>
        </w:rPr>
        <w:t>ustawy</w:t>
      </w:r>
      <w:r w:rsidRPr="004F7782">
        <w:rPr>
          <w:shd w:val="clear" w:color="auto" w:fill="FFFFFF"/>
        </w:rPr>
        <w:t xml:space="preserve"> o pomocy społecznej</w:t>
      </w:r>
      <w:r w:rsidRPr="004F7782">
        <w:rPr>
          <w:shd w:val="clear" w:color="auto" w:fill="FFFFFF"/>
        </w:rPr>
        <w:t>, który przewiduje jedynie obligatoryjne zwolnienie z opłat. Jest ono zależne od spełnienia kryt</w:t>
      </w:r>
      <w:r w:rsidRPr="004F7782">
        <w:rPr>
          <w:shd w:val="clear" w:color="auto" w:fill="FFFFFF"/>
        </w:rPr>
        <w:t>erium dochodowego i odnosi się do osoby samotnie gospodarującej lub osoby w rodzinie kierowanej do placówki, których dochody są niższ</w:t>
      </w:r>
      <w:r w:rsidRPr="004F7782">
        <w:rPr>
          <w:shd w:val="clear" w:color="auto" w:fill="FFFFFF"/>
        </w:rPr>
        <w:t xml:space="preserve">e lub równe kwotom określonym w </w:t>
      </w:r>
      <w:hyperlink r:id="rId13" w:anchor="/document/16798871?unitId=art(8)ust(1)&amp;cm=DOCUMENT" w:history="1">
        <w:r w:rsidRPr="004F7782">
          <w:rPr>
            <w:rStyle w:val="Hipercze"/>
            <w:color w:val="auto"/>
            <w:u w:val="none"/>
            <w:shd w:val="clear" w:color="auto" w:fill="FFFFFF"/>
          </w:rPr>
          <w:t>ar</w:t>
        </w:r>
        <w:r w:rsidRPr="004F7782">
          <w:rPr>
            <w:rStyle w:val="Hipercze"/>
            <w:color w:val="auto"/>
            <w:u w:val="none"/>
            <w:shd w:val="clear" w:color="auto" w:fill="FFFFFF"/>
          </w:rPr>
          <w:t>t. 8 ust. 1</w:t>
        </w:r>
      </w:hyperlink>
      <w:r w:rsidRPr="004F7782">
        <w:rPr>
          <w:shd w:val="clear" w:color="auto" w:fill="FFFFFF"/>
        </w:rPr>
        <w:t xml:space="preserve"> ustawy o pomocy społecznej. Zatem Rada nie posiada </w:t>
      </w:r>
      <w:r w:rsidRPr="004F7782">
        <w:rPr>
          <w:shd w:val="clear" w:color="auto" w:fill="FFFFFF"/>
        </w:rPr>
        <w:t>żadnej kompetencji do wprowadzenia zwolnienia bądź obniżenia opłat pobieranych za pobyt w mieszkaniu chronionym.</w:t>
      </w:r>
      <w:r w:rsidRPr="004F7782">
        <w:rPr>
          <w:shd w:val="clear" w:color="auto" w:fill="FFFFFF"/>
        </w:rPr>
        <w:t xml:space="preserve"> </w:t>
      </w:r>
      <w:r w:rsidRPr="004F7782">
        <w:rPr>
          <w:i/>
          <w:shd w:val="clear" w:color="auto" w:fill="FFFFFF"/>
        </w:rPr>
        <w:t>,,</w:t>
      </w:r>
      <w:r w:rsidRPr="004F7782">
        <w:rPr>
          <w:rFonts w:eastAsia="Times New Roman"/>
          <w:i/>
          <w:lang w:eastAsia="pl-PL"/>
        </w:rPr>
        <w:t>W doktrynie i orzecznictwie przyjmu</w:t>
      </w:r>
      <w:r>
        <w:rPr>
          <w:rFonts w:eastAsia="Times New Roman"/>
          <w:i/>
          <w:lang w:eastAsia="pl-PL"/>
        </w:rPr>
        <w:t>je się, że normy kompetencyjne -</w:t>
      </w:r>
      <w:r w:rsidRPr="004F7782">
        <w:rPr>
          <w:rFonts w:eastAsia="Times New Roman"/>
          <w:i/>
          <w:lang w:eastAsia="pl-PL"/>
        </w:rPr>
        <w:t xml:space="preserve"> w tym przypadku </w:t>
      </w:r>
      <w:hyperlink r:id="rId14" w:anchor="/document/17087802?unitId=art(97)ust(5)&amp;cm=DOCUMENT" w:history="1">
        <w:r w:rsidRPr="004F7782">
          <w:rPr>
            <w:rFonts w:eastAsia="Times New Roman"/>
            <w:i/>
            <w:lang w:eastAsia="pl-PL"/>
          </w:rPr>
          <w:t>art. 97 ust. 5</w:t>
        </w:r>
      </w:hyperlink>
      <w:r w:rsidRPr="004F7782">
        <w:rPr>
          <w:rFonts w:eastAsia="Times New Roman"/>
          <w:i/>
          <w:lang w:eastAsia="pl-PL"/>
        </w:rPr>
        <w:t xml:space="preserve"> ustawy - powinny być interpretowane w sposób ścisły; przyjmuje się zakaz domniemania kompetencji. Stąd nie należy dokonywać wykładn</w:t>
      </w:r>
      <w:r w:rsidRPr="004F7782">
        <w:rPr>
          <w:rFonts w:eastAsia="Times New Roman"/>
          <w:i/>
          <w:lang w:eastAsia="pl-PL"/>
        </w:rPr>
        <w:t xml:space="preserve">i rozszerzającej przepisów kompetencyjnych. </w:t>
      </w:r>
      <w:r w:rsidRPr="000963C4">
        <w:rPr>
          <w:rFonts w:eastAsia="Times New Roman"/>
          <w:b/>
          <w:i/>
          <w:lang w:eastAsia="pl-PL"/>
        </w:rPr>
        <w:t xml:space="preserve">Organ wykonujący kompetencję prawodawczą zawartą w upoważnieniu ustawowym jest obowiązany działać w granicach upoważnienia. </w:t>
      </w:r>
      <w:r w:rsidRPr="004F7782">
        <w:rPr>
          <w:rFonts w:eastAsia="Times New Roman"/>
          <w:b/>
          <w:i/>
          <w:lang w:eastAsia="pl-PL"/>
        </w:rPr>
        <w:t>Według Sądu organ ustalając treść § 6 dokonał wykładni rozszerzającej omawianego przepis</w:t>
      </w:r>
      <w:r w:rsidRPr="004F7782">
        <w:rPr>
          <w:rFonts w:eastAsia="Times New Roman"/>
          <w:b/>
          <w:i/>
          <w:lang w:eastAsia="pl-PL"/>
        </w:rPr>
        <w:t xml:space="preserve">u. </w:t>
      </w:r>
      <w:hyperlink r:id="rId15" w:anchor="/document/17087802?unitId=art(97)ust(5)&amp;cm=DOCUMENT" w:history="1">
        <w:r w:rsidRPr="004F7782">
          <w:rPr>
            <w:rFonts w:eastAsia="Times New Roman"/>
            <w:b/>
            <w:i/>
            <w:lang w:eastAsia="pl-PL"/>
          </w:rPr>
          <w:t>Art. 97 ust. 5</w:t>
        </w:r>
      </w:hyperlink>
      <w:r w:rsidRPr="004F7782">
        <w:rPr>
          <w:rFonts w:eastAsia="Times New Roman"/>
          <w:b/>
          <w:i/>
          <w:lang w:eastAsia="pl-PL"/>
        </w:rPr>
        <w:t xml:space="preserve"> zobow</w:t>
      </w:r>
      <w:r>
        <w:rPr>
          <w:rFonts w:eastAsia="Times New Roman"/>
          <w:b/>
          <w:i/>
          <w:lang w:eastAsia="pl-PL"/>
        </w:rPr>
        <w:t xml:space="preserve">iązuje radę gminy </w:t>
      </w:r>
      <w:r w:rsidRPr="000963C4">
        <w:rPr>
          <w:rFonts w:eastAsia="Times New Roman"/>
          <w:b/>
          <w:i/>
          <w:lang w:eastAsia="pl-PL"/>
        </w:rPr>
        <w:t>do ustalenia ,,</w:t>
      </w:r>
      <w:r w:rsidRPr="004F7782">
        <w:rPr>
          <w:rFonts w:eastAsia="Times New Roman"/>
          <w:b/>
          <w:i/>
          <w:lang w:eastAsia="pl-PL"/>
        </w:rPr>
        <w:t>szczegółowy</w:t>
      </w:r>
      <w:r w:rsidRPr="000963C4">
        <w:rPr>
          <w:rFonts w:eastAsia="Times New Roman"/>
          <w:b/>
          <w:i/>
          <w:lang w:eastAsia="pl-PL"/>
        </w:rPr>
        <w:t>ch zasad ponoszenia odpłatności”</w:t>
      </w:r>
      <w:r w:rsidRPr="004F7782">
        <w:rPr>
          <w:rFonts w:eastAsia="Times New Roman"/>
          <w:b/>
          <w:i/>
          <w:lang w:eastAsia="pl-PL"/>
        </w:rPr>
        <w:t>, nie daje zatem uprawnień do ustalenia przypadków, które uzasad</w:t>
      </w:r>
      <w:r w:rsidRPr="004F7782">
        <w:rPr>
          <w:rFonts w:eastAsia="Times New Roman"/>
          <w:b/>
          <w:i/>
          <w:lang w:eastAsia="pl-PL"/>
        </w:rPr>
        <w:t xml:space="preserve">niają z jej </w:t>
      </w:r>
      <w:r w:rsidRPr="004F7782">
        <w:rPr>
          <w:rFonts w:eastAsia="Times New Roman"/>
          <w:b/>
          <w:i/>
          <w:iCs/>
          <w:lang w:eastAsia="pl-PL"/>
        </w:rPr>
        <w:t>zwolnienia</w:t>
      </w:r>
      <w:r w:rsidRPr="004F7782">
        <w:rPr>
          <w:rFonts w:eastAsia="Times New Roman"/>
          <w:b/>
          <w:i/>
          <w:lang w:eastAsia="pl-PL"/>
        </w:rPr>
        <w:t>, jak to uczynił</w:t>
      </w:r>
      <w:r w:rsidRPr="000963C4">
        <w:rPr>
          <w:rFonts w:eastAsia="Times New Roman"/>
          <w:b/>
          <w:i/>
          <w:lang w:eastAsia="pl-PL"/>
        </w:rPr>
        <w:t xml:space="preserve"> organ</w:t>
      </w:r>
      <w:r w:rsidRPr="004F7782">
        <w:rPr>
          <w:rFonts w:eastAsia="Times New Roman"/>
          <w:i/>
          <w:lang w:eastAsia="pl-PL"/>
        </w:rPr>
        <w:t>”</w:t>
      </w:r>
      <w:r>
        <w:rPr>
          <w:rFonts w:eastAsia="Times New Roman"/>
          <w:lang w:eastAsia="pl-PL"/>
        </w:rPr>
        <w:t xml:space="preserve"> (wyrok WSA we Wrocławiu z dnia 20 marca 2020 r. sygn. akt IV SA/Wr 34/20).</w:t>
      </w:r>
      <w:bookmarkStart w:id="2" w:name="ezdPracownikNazwa"/>
      <w:bookmarkStart w:id="3" w:name="ezdPracownikStanowisko"/>
      <w:r>
        <w:rPr>
          <w:rFonts w:eastAsia="Times New Roman"/>
          <w:lang w:eastAsia="pl-PL"/>
        </w:rPr>
        <w:t>Konstanty Radziwiłł</w:t>
      </w:r>
      <w:bookmarkEnd w:id="2"/>
      <w:bookmarkEnd w:id="3"/>
    </w:p>
    <w:p w:rsidR="001F3508" w:rsidRPr="004F7782" w:rsidRDefault="0027722C" w:rsidP="004F7782">
      <w:pPr>
        <w:pStyle w:val="NormalnyWeb"/>
        <w:spacing w:after="0" w:line="360" w:lineRule="auto"/>
        <w:ind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Należy podkreślić</w:t>
      </w:r>
      <w:r w:rsidRPr="007F1378">
        <w:rPr>
          <w:rFonts w:eastAsia="Times New Roman"/>
          <w:lang w:eastAsia="pl-PL"/>
        </w:rPr>
        <w:t xml:space="preserve">, że uchwała będąca przedmiotem rozstrzygnięcia nadzorczego stanowi akt prawa miejscowego. </w:t>
      </w:r>
      <w:r w:rsidRPr="007F1378">
        <w:rPr>
          <w:rFonts w:eastAsia="Calibri"/>
          <w:color w:val="000000"/>
          <w:lang w:eastAsia="pl-PL" w:bidi="pl-PL"/>
        </w:rPr>
        <w:t>W świetl</w:t>
      </w:r>
      <w:r w:rsidRPr="007F1378">
        <w:rPr>
          <w:rFonts w:eastAsia="Calibri"/>
          <w:color w:val="000000"/>
          <w:lang w:eastAsia="pl-PL" w:bidi="pl-PL"/>
        </w:rPr>
        <w:t>e art. 94 Konstytucji RP organy samorządu terytorialnego wydają akty prawa miejscowego obowiązujące na obszarze działania tych organów, na podstawie i w granicach upoważnień zawartych w ustawie. Oznacza to, że do wydania aktu prawa miejscowego wymagane jes</w:t>
      </w:r>
      <w:r w:rsidRPr="007F1378">
        <w:rPr>
          <w:rFonts w:eastAsia="Calibri"/>
          <w:color w:val="000000"/>
          <w:lang w:eastAsia="pl-PL" w:bidi="pl-PL"/>
        </w:rPr>
        <w:t>t zawarte w ustawie odrębne upoważnienie konkretnego organu do uregulowania w określonej formie danego zakresu spraw. Jednocześnie konstytucyjna zasada praworządności wyrażona w art. 7 Konstytucji RP wymaga, żeby materia regulowana wydanym aktem normatywny</w:t>
      </w:r>
      <w:r w:rsidRPr="007F1378">
        <w:rPr>
          <w:rFonts w:eastAsia="Calibri"/>
          <w:color w:val="000000"/>
          <w:lang w:eastAsia="pl-PL" w:bidi="pl-PL"/>
        </w:rPr>
        <w:t xml:space="preserve">m wynikała </w:t>
      </w:r>
      <w:r>
        <w:rPr>
          <w:rFonts w:eastAsia="Calibri"/>
          <w:color w:val="000000"/>
          <w:lang w:eastAsia="pl-PL" w:bidi="pl-PL"/>
        </w:rPr>
        <w:br/>
      </w:r>
      <w:r w:rsidRPr="007F1378">
        <w:rPr>
          <w:rFonts w:eastAsia="Calibri"/>
          <w:color w:val="000000"/>
          <w:lang w:eastAsia="pl-PL" w:bidi="pl-PL"/>
        </w:rPr>
        <w:t>z upoważnienia ustawowego i mieściła się w granicach prawa. Każde unormowanie wykraczające poza udzielone upoważnienie jest naruszeniem normy upoważniającej i zarazem naruszeniem konstytucyjnych warunków legalności aktu prawa miejscowego wydane</w:t>
      </w:r>
      <w:r w:rsidRPr="007F1378">
        <w:rPr>
          <w:rFonts w:eastAsia="Calibri"/>
          <w:color w:val="000000"/>
          <w:lang w:eastAsia="pl-PL" w:bidi="pl-PL"/>
        </w:rPr>
        <w:t>go na podstawie upoważnienia ustawowego (wyrok N</w:t>
      </w:r>
      <w:r>
        <w:rPr>
          <w:rFonts w:eastAsia="Calibri"/>
          <w:color w:val="000000"/>
          <w:lang w:eastAsia="pl-PL" w:bidi="pl-PL"/>
        </w:rPr>
        <w:t>SA</w:t>
      </w:r>
      <w:r w:rsidRPr="007F1378">
        <w:rPr>
          <w:rFonts w:eastAsia="Calibri"/>
          <w:color w:val="000000"/>
          <w:lang w:eastAsia="pl-PL" w:bidi="pl-PL"/>
        </w:rPr>
        <w:t xml:space="preserve"> z dnia 14 grudnia 2011 r. sygn. akt II OSK 2058/11). Wobec powyższego, postanowienia uchwały stanowiące realizację normy kompetencyjnej nie mogą naruszać innych przepisów ustawy (być z nimi sprzeczne).</w:t>
      </w:r>
    </w:p>
    <w:p w:rsidR="00EA1D84" w:rsidRPr="00EA1D84" w:rsidRDefault="0027722C" w:rsidP="00EA1D84">
      <w:pPr>
        <w:widowControl w:val="0"/>
        <w:spacing w:after="0" w:line="36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Mat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erial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 xml:space="preserve">noprawna podstawa do działania rady gminy w zakresie stanowienia aktów prawa miejscowego musi bowiem wynikać wprost z zapisów ustawy (delegacji ustawowej) i nie może być oparta na ogólnych przepisach zawartych w ustawach. Zgodnie z zasadą legalności 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(art. 7 Konstytucji RP), organy władzy publicznej działają na podstawie i w granicach prawa. Rada gminy obowiązana jest; zate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m przestrzegać zakresu upoważnie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nia ustawowego udzielonego jej przez ustawę w zakresie tworzenia aktów prawa miejscowego, a w ramac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 xml:space="preserve">h udzielonej jej delegacji w tych 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lastRenderedPageBreak/>
        <w:t xml:space="preserve">działaniach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  <w:lang w:eastAsia="pl-PL" w:bidi="pl-PL"/>
        </w:rPr>
        <w:t>nie może wykraczać w materię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  <w:lang w:eastAsia="pl-PL" w:bidi="pl-PL"/>
        </w:rPr>
        <w:t xml:space="preserve"> uregulowaną ustawą</w:t>
      </w:r>
      <w:r w:rsidRPr="00EA1D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 w:bidi="pl-PL"/>
        </w:rPr>
        <w:t>. (...)".</w:t>
      </w:r>
      <w:r w:rsidRPr="00EA1D84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(por. uzasadnienie do wyroku WSA w Olsztynie z dnia 12 stycznia 2016 r. sygn. akt II SA/OI 1269/15).</w:t>
      </w:r>
    </w:p>
    <w:p w:rsidR="00EA1D84" w:rsidRPr="00EA1D84" w:rsidRDefault="0027722C" w:rsidP="00EA1D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powyższe, stwierdzenie nieważności p</w:t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rzedmiotowej </w:t>
      </w:r>
      <w:r w:rsidRPr="00EA1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uchwały </w:t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Michałowice, w całości</w:t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w pełni uzasadnione.</w:t>
      </w:r>
    </w:p>
    <w:p w:rsidR="00EA1D84" w:rsidRPr="00EA1D84" w:rsidRDefault="0027722C" w:rsidP="00EA1D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niniejsze rozstrzygnięcie nadzorcze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Gminie</w:t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skarga do Wojewódzkiego Sądu Administracyjnego w Warszawie w terminie 30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daty jego doręczenia, wnoszona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organu, który skarżone orzeczenie wydał.</w:t>
      </w:r>
    </w:p>
    <w:p w:rsidR="00EA1D84" w:rsidRPr="00EA1D84" w:rsidRDefault="0027722C" w:rsidP="00CB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rozstrzygnięcie nadzorcze wstrzymuje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z mocy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1D8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jego doręczenia.</w:t>
      </w:r>
    </w:p>
    <w:p w:rsidR="00EA1D84" w:rsidRPr="00EA1D84" w:rsidRDefault="0027722C" w:rsidP="00EA1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1D84" w:rsidRPr="00EA1D84" w:rsidRDefault="0027722C" w:rsidP="00EA1D84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D84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EA1D84" w:rsidRPr="00390178" w:rsidRDefault="0027722C" w:rsidP="00390178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D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weryfikowanym ważnym kwalifikowanym </w:t>
      </w:r>
      <w:r w:rsidRPr="00EA1D84">
        <w:rPr>
          <w:rFonts w:ascii="Times New Roman" w:eastAsia="Times New Roman" w:hAnsi="Times New Roman" w:cs="Times New Roman"/>
          <w:sz w:val="20"/>
          <w:szCs w:val="20"/>
          <w:lang w:eastAsia="pl-PL"/>
        </w:rPr>
        <w:t>certyfikatem/</w:t>
      </w:r>
    </w:p>
    <w:sectPr w:rsidR="00EA1D84" w:rsidRPr="00390178" w:rsidSect="00E51E35">
      <w:footerReference w:type="default" r:id="rId16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2C" w:rsidRDefault="0027722C">
      <w:pPr>
        <w:spacing w:after="0" w:line="240" w:lineRule="auto"/>
      </w:pPr>
      <w:r>
        <w:separator/>
      </w:r>
    </w:p>
  </w:endnote>
  <w:endnote w:type="continuationSeparator" w:id="0">
    <w:p w:rsidR="0027722C" w:rsidRDefault="0027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E35" w:rsidRPr="004A1390" w:rsidRDefault="0027722C" w:rsidP="00E51E35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2C" w:rsidRDefault="0027722C">
      <w:pPr>
        <w:spacing w:after="0" w:line="240" w:lineRule="auto"/>
      </w:pPr>
      <w:r>
        <w:separator/>
      </w:r>
    </w:p>
  </w:footnote>
  <w:footnote w:type="continuationSeparator" w:id="0">
    <w:p w:rsidR="0027722C" w:rsidRDefault="00277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BC"/>
    <w:rsid w:val="0027722C"/>
    <w:rsid w:val="008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E443B-363C-43CB-B89A-091043F8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B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B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33C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D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17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F339A"/>
    <w:rPr>
      <w:i/>
      <w:iCs/>
    </w:rPr>
  </w:style>
  <w:style w:type="paragraph" w:styleId="NormalnyWeb">
    <w:name w:val="Normal (Web)"/>
    <w:basedOn w:val="Normalny"/>
    <w:uiPriority w:val="99"/>
    <w:unhideWhenUsed/>
    <w:rsid w:val="004F77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2021-06-25T09:27:00Z</dcterms:created>
  <dcterms:modified xsi:type="dcterms:W3CDTF">2021-06-25T09:27:00Z</dcterms:modified>
</cp:coreProperties>
</file>