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EC" w:rsidRPr="003818D2" w:rsidRDefault="00617DFC">
      <w:pPr>
        <w:spacing w:after="4" w:line="254" w:lineRule="auto"/>
        <w:ind w:left="498" w:hanging="10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color w:val="181717"/>
          <w:sz w:val="20"/>
        </w:rPr>
        <w:t xml:space="preserve">WZÓR FORMULARZA ROCZNEGO SPRAWOZDANIA Z DZIAŁALNOŚCI W ZAKRESIE PRZEWOZU </w:t>
      </w:r>
    </w:p>
    <w:p w:rsidR="00160DEC" w:rsidRPr="003818D2" w:rsidRDefault="00617DFC">
      <w:pPr>
        <w:spacing w:after="43"/>
        <w:ind w:right="7"/>
        <w:jc w:val="center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color w:val="181717"/>
          <w:sz w:val="20"/>
        </w:rPr>
        <w:t>TOWARÓW NIEBEZPIECZNYCH</w:t>
      </w:r>
    </w:p>
    <w:p w:rsidR="00160DEC" w:rsidRPr="003818D2" w:rsidRDefault="00160DEC">
      <w:pPr>
        <w:spacing w:after="0"/>
        <w:ind w:left="569"/>
        <w:rPr>
          <w:rFonts w:ascii="Times New Roman" w:hAnsi="Times New Roman" w:cs="Times New Roman"/>
        </w:rPr>
      </w:pPr>
    </w:p>
    <w:tbl>
      <w:tblPr>
        <w:tblStyle w:val="TableGrid"/>
        <w:tblW w:w="9727" w:type="dxa"/>
        <w:tblInd w:w="68" w:type="dxa"/>
        <w:tblCellMar>
          <w:top w:w="39" w:type="dxa"/>
          <w:left w:w="68" w:type="dxa"/>
          <w:right w:w="15" w:type="dxa"/>
        </w:tblCellMar>
        <w:tblLook w:val="04A0"/>
      </w:tblPr>
      <w:tblGrid>
        <w:gridCol w:w="2781"/>
        <w:gridCol w:w="2082"/>
        <w:gridCol w:w="696"/>
        <w:gridCol w:w="2502"/>
        <w:gridCol w:w="1666"/>
      </w:tblGrid>
      <w:tr w:rsidR="00160DEC" w:rsidRPr="003818D2">
        <w:trPr>
          <w:trHeight w:val="684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b/>
              </w:rPr>
              <w:t xml:space="preserve">Roczne sprawozdanie </w:t>
            </w:r>
          </w:p>
          <w:p w:rsidR="00160DEC" w:rsidRPr="003818D2" w:rsidRDefault="00617DFC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b/>
              </w:rPr>
              <w:t>z działalności w zakresie przewozu towarów niebezpiecznych za rok:</w:t>
            </w:r>
            <w:r w:rsidR="00224FEA" w:rsidRPr="003818D2">
              <w:rPr>
                <w:rFonts w:ascii="Times New Roman" w:eastAsia="Times New Roman" w:hAnsi="Times New Roman" w:cs="Times New Roman"/>
                <w:b/>
              </w:rPr>
              <w:t xml:space="preserve"> 2023.</w:t>
            </w: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861"/>
        </w:trPr>
        <w:tc>
          <w:tcPr>
            <w:tcW w:w="4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FFFFFF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1. Sprawozdanie dotyczy działalności w zakresie*: </w:t>
            </w:r>
          </w:p>
        </w:tc>
        <w:tc>
          <w:tcPr>
            <w:tcW w:w="4864" w:type="dxa"/>
            <w:gridSpan w:val="3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Segoe UI Symbol" w:hAnsi="Times New Roman" w:cs="Times New Roman"/>
              </w:rPr>
              <w:t></w:t>
            </w:r>
            <w:r w:rsidR="00224FEA" w:rsidRPr="003818D2">
              <w:rPr>
                <w:rFonts w:ascii="Times New Roman" w:eastAsia="Segoe UI Symbol" w:hAnsi="Times New Roman" w:cs="Times New Roman"/>
              </w:rPr>
              <w:t xml:space="preserve"> </w:t>
            </w:r>
            <w:r w:rsidRPr="003818D2">
              <w:rPr>
                <w:rFonts w:ascii="Times New Roman" w:eastAsia="Times New Roman" w:hAnsi="Times New Roman" w:cs="Times New Roman"/>
              </w:rPr>
              <w:t xml:space="preserve">przewozu drogowego (część A) </w:t>
            </w:r>
          </w:p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Segoe UI Symbol" w:hAnsi="Times New Roman" w:cs="Times New Roman"/>
              </w:rPr>
              <w:t></w:t>
            </w:r>
            <w:r w:rsidRPr="003818D2">
              <w:rPr>
                <w:rFonts w:ascii="Times New Roman" w:eastAsia="Times New Roman" w:hAnsi="Times New Roman" w:cs="Times New Roman"/>
              </w:rPr>
              <w:t xml:space="preserve">  przewozu koleją (część B) </w:t>
            </w:r>
          </w:p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Segoe UI Symbol" w:hAnsi="Times New Roman" w:cs="Times New Roman"/>
              </w:rPr>
              <w:t></w:t>
            </w:r>
            <w:r w:rsidRPr="003818D2">
              <w:rPr>
                <w:rFonts w:ascii="Times New Roman" w:eastAsia="Times New Roman" w:hAnsi="Times New Roman" w:cs="Times New Roman"/>
              </w:rPr>
              <w:t xml:space="preserve">  przewozu żeglugą śródlądową (część C) </w:t>
            </w:r>
          </w:p>
        </w:tc>
      </w:tr>
      <w:tr w:rsidR="00160DEC" w:rsidRPr="003818D2">
        <w:trPr>
          <w:trHeight w:val="331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2. Oznaczenie uczestnika przewozu towarów niebezpiecznych: </w:t>
            </w:r>
          </w:p>
        </w:tc>
      </w:tr>
      <w:tr w:rsidR="00160DEC" w:rsidRPr="003818D2">
        <w:trPr>
          <w:trHeight w:val="1257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Imię i nazwisko albo nazwa uczestnika przewozu towarów niebezpiecznych**: </w:t>
            </w:r>
          </w:p>
        </w:tc>
      </w:tr>
      <w:tr w:rsidR="00160DEC" w:rsidRPr="003818D2">
        <w:trPr>
          <w:trHeight w:val="296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20"/>
              </w:rPr>
              <w:t>NIP</w:t>
            </w:r>
            <w:r w:rsidRPr="003818D2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160DEC" w:rsidRPr="003818D2">
        <w:trPr>
          <w:trHeight w:val="1043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Miejsce zamieszkania albo siedziba i adres oraz numer telefonu:</w:t>
            </w: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1796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spacing w:after="1" w:line="238" w:lineRule="auto"/>
              <w:ind w:left="223" w:right="54" w:hanging="222"/>
              <w:jc w:val="both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3. Krótki opis wypadków lub awarii*** z podaniem daty i miejsca zdarzenia oraz z podaniem informacji, czy dany wypadek albo awaria wymagały zgłoszenia do właściwego organu zgodnie z 1.8.5.3 RID/ADR/ADN, a jeżeli tak – wskazanie organu, do którego złożono raport: </w:t>
            </w: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774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4. Uwagi:  </w:t>
            </w: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306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5. Sprawozdanie sporządził(a): </w:t>
            </w:r>
          </w:p>
        </w:tc>
      </w:tr>
      <w:tr w:rsidR="00160DEC" w:rsidRPr="003818D2">
        <w:trPr>
          <w:trHeight w:val="754"/>
        </w:trPr>
        <w:tc>
          <w:tcPr>
            <w:tcW w:w="2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780"/>
        </w:trPr>
        <w:tc>
          <w:tcPr>
            <w:tcW w:w="27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60DEC" w:rsidRPr="003818D2" w:rsidRDefault="00617DFC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imię i nazwisko doradcy 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DEC" w:rsidRPr="003818D2" w:rsidRDefault="00617DFC">
            <w:pPr>
              <w:spacing w:after="1" w:line="238" w:lineRule="auto"/>
              <w:ind w:left="759" w:right="168" w:hanging="296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numer świadectwa doradcy  oraz kraj wydania  </w:t>
            </w:r>
          </w:p>
          <w:p w:rsidR="00160DEC" w:rsidRPr="003818D2" w:rsidRDefault="00617DFC">
            <w:pPr>
              <w:ind w:left="278" w:right="332" w:firstLine="189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(jeżeli jest inny niż Polska)  i data ważności tego świadectwa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DEC" w:rsidRPr="003818D2" w:rsidRDefault="00617DFC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podpis doradcy </w:t>
            </w:r>
          </w:p>
          <w:p w:rsidR="00160DEC" w:rsidRPr="003818D2" w:rsidRDefault="00617DFC">
            <w:pPr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(dodatkowo można podać numer telefonu kontaktowego)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data sporządzenia </w:t>
            </w:r>
          </w:p>
        </w:tc>
      </w:tr>
      <w:tr w:rsidR="00160DEC" w:rsidRPr="003818D2">
        <w:trPr>
          <w:trHeight w:val="1040"/>
        </w:trPr>
        <w:tc>
          <w:tcPr>
            <w:tcW w:w="555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160DEC" w:rsidRPr="003818D2">
        <w:trPr>
          <w:trHeight w:val="419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88" w:right="162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>imię i nazwisko oraz podpis uczestnika przewozu  towarów niebezpiecznych</w:t>
            </w:r>
          </w:p>
        </w:tc>
      </w:tr>
    </w:tbl>
    <w:p w:rsidR="00160DEC" w:rsidRPr="003818D2" w:rsidRDefault="00160DEC">
      <w:pPr>
        <w:spacing w:after="135"/>
        <w:ind w:left="569"/>
        <w:rPr>
          <w:rFonts w:ascii="Times New Roman" w:hAnsi="Times New Roman" w:cs="Times New Roman"/>
        </w:rPr>
      </w:pPr>
    </w:p>
    <w:p w:rsidR="00160DEC" w:rsidRPr="003818D2" w:rsidRDefault="00617DFC">
      <w:pPr>
        <w:spacing w:after="4" w:line="248" w:lineRule="auto"/>
        <w:ind w:left="848" w:right="195" w:hanging="300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* Zaznacza się tylko jeden zakres przewozu; w zależności od zaznaczonego zakresu przewozu wypełnia się i załącza do sprawozdania odpowiednio część A, B lub C sprawozdania. </w:t>
      </w:r>
    </w:p>
    <w:p w:rsidR="00160DEC" w:rsidRPr="003818D2" w:rsidRDefault="00617DFC">
      <w:pPr>
        <w:tabs>
          <w:tab w:val="center" w:pos="548"/>
          <w:tab w:val="center" w:pos="3029"/>
        </w:tabs>
        <w:spacing w:after="4" w:line="248" w:lineRule="auto"/>
        <w:rPr>
          <w:rFonts w:ascii="Times New Roman" w:hAnsi="Times New Roman" w:cs="Times New Roman"/>
        </w:rPr>
      </w:pPr>
      <w:r w:rsidRPr="003818D2">
        <w:rPr>
          <w:rFonts w:ascii="Times New Roman" w:hAnsi="Times New Roman" w:cs="Times New Roman"/>
        </w:rPr>
        <w:tab/>
      </w:r>
      <w:r w:rsidRPr="003818D2">
        <w:rPr>
          <w:rFonts w:ascii="Times New Roman" w:eastAsia="Times New Roman" w:hAnsi="Times New Roman" w:cs="Times New Roman"/>
          <w:sz w:val="18"/>
        </w:rPr>
        <w:t xml:space="preserve">** </w:t>
      </w:r>
      <w:r w:rsidRPr="003818D2">
        <w:rPr>
          <w:rFonts w:ascii="Times New Roman" w:eastAsia="Times New Roman" w:hAnsi="Times New Roman" w:cs="Times New Roman"/>
          <w:sz w:val="18"/>
        </w:rPr>
        <w:tab/>
        <w:t xml:space="preserve">Należy podać nazwę podmiotu określoną w KRS lub CEIDG.  </w:t>
      </w:r>
    </w:p>
    <w:p w:rsidR="00160DEC" w:rsidRPr="003818D2" w:rsidRDefault="00617DFC">
      <w:pPr>
        <w:spacing w:after="4" w:line="248" w:lineRule="auto"/>
        <w:ind w:left="843" w:right="195" w:hanging="486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*** W przypadku przewozu drogowego fakultatywnie można podać zdarzenia, które nie podlegają zgłoszeniu na podstawie 1.8.5.1 ADR, jeżeli w opinii doradcy pomoże to w identyfikacji słabych punktów wpływających na bezpieczeństwo przewozu towarów niebezpiecznych. Dopuszczalne jest również wskazanie dodatkowego dokumentu, w którym podane są informacje o wypadkach lub awariach. </w:t>
      </w:r>
    </w:p>
    <w:p w:rsidR="00160DEC" w:rsidRPr="003818D2" w:rsidRDefault="00160DEC">
      <w:pPr>
        <w:spacing w:after="0"/>
        <w:ind w:left="848"/>
        <w:rPr>
          <w:rFonts w:ascii="Times New Roman" w:hAnsi="Times New Roman" w:cs="Times New Roman"/>
        </w:rPr>
      </w:pPr>
    </w:p>
    <w:p w:rsidR="00160DEC" w:rsidRPr="003818D2" w:rsidRDefault="00617DFC">
      <w:pPr>
        <w:pStyle w:val="Nagwek2"/>
        <w:ind w:left="276"/>
      </w:pPr>
      <w:r w:rsidRPr="003818D2">
        <w:lastRenderedPageBreak/>
        <w:t xml:space="preserve">CZĘŚĆ A </w:t>
      </w:r>
    </w:p>
    <w:tbl>
      <w:tblPr>
        <w:tblStyle w:val="TableGrid"/>
        <w:tblW w:w="10449" w:type="dxa"/>
        <w:tblInd w:w="-29" w:type="dxa"/>
        <w:tblLayout w:type="fixed"/>
        <w:tblCellMar>
          <w:top w:w="33" w:type="dxa"/>
          <w:left w:w="107" w:type="dxa"/>
          <w:right w:w="115" w:type="dxa"/>
        </w:tblCellMar>
        <w:tblLook w:val="04A0"/>
      </w:tblPr>
      <w:tblGrid>
        <w:gridCol w:w="851"/>
        <w:gridCol w:w="1559"/>
        <w:gridCol w:w="1418"/>
        <w:gridCol w:w="1276"/>
        <w:gridCol w:w="1093"/>
        <w:gridCol w:w="324"/>
        <w:gridCol w:w="1276"/>
        <w:gridCol w:w="1134"/>
        <w:gridCol w:w="1518"/>
      </w:tblGrid>
      <w:tr w:rsidR="00160DEC" w:rsidRPr="003818D2" w:rsidTr="004E7170">
        <w:trPr>
          <w:trHeight w:val="359"/>
        </w:trPr>
        <w:tc>
          <w:tcPr>
            <w:tcW w:w="1044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PRZEWÓZ DROGOWY </w:t>
            </w:r>
          </w:p>
        </w:tc>
      </w:tr>
      <w:tr w:rsidR="00160DEC" w:rsidRPr="003818D2" w:rsidTr="004E7170">
        <w:trPr>
          <w:trHeight w:val="358"/>
        </w:trPr>
        <w:tc>
          <w:tcPr>
            <w:tcW w:w="1044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Ilość towarów niebezpiecznych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>1), 2)</w:t>
            </w:r>
          </w:p>
        </w:tc>
      </w:tr>
      <w:tr w:rsidR="00160DEC" w:rsidRPr="003818D2" w:rsidTr="004E7170">
        <w:trPr>
          <w:trHeight w:val="358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DEC" w:rsidRPr="003818D2" w:rsidRDefault="00617DF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Klasa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DEC" w:rsidRPr="003818D2" w:rsidRDefault="00617DFC">
            <w:pPr>
              <w:ind w:left="128" w:right="67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Sposób przewozu </w:t>
            </w:r>
          </w:p>
        </w:tc>
        <w:tc>
          <w:tcPr>
            <w:tcW w:w="8039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Rodzaj operacji transportowych </w:t>
            </w:r>
          </w:p>
        </w:tc>
      </w:tr>
      <w:tr w:rsidR="0004110C" w:rsidRPr="003818D2" w:rsidTr="004E7170">
        <w:trPr>
          <w:trHeight w:val="1331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CE6302">
            <w:pPr>
              <w:ind w:left="5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818D2">
              <w:rPr>
                <w:rFonts w:ascii="Times New Roman" w:hAnsi="Times New Roman" w:cs="Times New Roman"/>
              </w:rPr>
              <w:t>nadawanie</w:t>
            </w:r>
            <w:r w:rsidRPr="003818D2">
              <w:rPr>
                <w:rFonts w:ascii="Times New Roman" w:hAnsi="Times New Roman" w:cs="Times New Roman"/>
                <w:vertAlign w:val="superscript"/>
              </w:rPr>
              <w:t>4</w:t>
            </w:r>
            <w:r w:rsidR="007566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CE6302" w:rsidP="00224FEA">
            <w:pPr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pakownie</w:t>
            </w:r>
            <w:r w:rsidRPr="003818D2">
              <w:rPr>
                <w:rFonts w:ascii="Times New Roman" w:hAnsi="Times New Roman" w:cs="Times New Roman"/>
                <w:vertAlign w:val="superscript"/>
              </w:rPr>
              <w:t>5</w:t>
            </w:r>
            <w:r w:rsidR="007566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F14FD3">
            <w:pPr>
              <w:ind w:left="5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napełnianie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F14FD3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załadunek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F14FD3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przewó</w:t>
            </w:r>
            <w:r w:rsidR="0004110C" w:rsidRPr="003818D2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F14FD3">
            <w:pPr>
              <w:ind w:left="5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  <w:noProof/>
              </w:rPr>
              <w:t>rozładunek</w:t>
            </w:r>
          </w:p>
        </w:tc>
      </w:tr>
      <w:tr w:rsidR="0004110C" w:rsidRPr="003818D2" w:rsidTr="004E7170">
        <w:trPr>
          <w:trHeight w:val="584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0DEC" w:rsidRPr="003818D2" w:rsidRDefault="00617DFC" w:rsidP="00285431">
            <w:pPr>
              <w:spacing w:after="1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cysternach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6)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04110C" w:rsidRPr="003818D2" w:rsidTr="004E7170">
        <w:trPr>
          <w:trHeight w:val="66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617DFC" w:rsidP="00285431">
            <w:pPr>
              <w:spacing w:after="4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w sztukach przesyłek </w:t>
            </w:r>
          </w:p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04110C" w:rsidRPr="003818D2" w:rsidTr="004E7170">
        <w:trPr>
          <w:trHeight w:val="448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617DFC" w:rsidP="00285431">
            <w:pPr>
              <w:spacing w:after="6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luzem </w:t>
            </w:r>
          </w:p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04110C" w:rsidRPr="003818D2" w:rsidTr="004E7170">
        <w:trPr>
          <w:trHeight w:val="728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617DFC" w:rsidP="00285431">
            <w:pPr>
              <w:spacing w:after="33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MEMU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7) </w:t>
            </w:r>
          </w:p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04110C" w:rsidRPr="003818D2" w:rsidTr="004E7170">
        <w:trPr>
          <w:trHeight w:val="802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617DFC" w:rsidP="00285431">
            <w:pPr>
              <w:ind w:left="2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 Ogółem w klasie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3) </w:t>
            </w:r>
          </w:p>
          <w:p w:rsidR="00160DEC" w:rsidRPr="003818D2" w:rsidRDefault="00160DEC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C" w:rsidRPr="003818D2" w:rsidRDefault="00160DEC">
            <w:pPr>
              <w:rPr>
                <w:rFonts w:ascii="Times New Roman" w:hAnsi="Times New Roman" w:cs="Times New Roman"/>
              </w:rPr>
            </w:pPr>
          </w:p>
        </w:tc>
      </w:tr>
      <w:tr w:rsidR="00160DEC" w:rsidRPr="003818D2" w:rsidTr="004E7170">
        <w:trPr>
          <w:trHeight w:val="353"/>
        </w:trPr>
        <w:tc>
          <w:tcPr>
            <w:tcW w:w="10449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tym towarów niebezpiecznych dużego ryzyka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>8)</w:t>
            </w:r>
          </w:p>
        </w:tc>
      </w:tr>
      <w:tr w:rsidR="00160DEC" w:rsidRPr="003818D2" w:rsidTr="004E7170">
        <w:trPr>
          <w:trHeight w:val="35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0DEC" w:rsidRPr="003818D2" w:rsidRDefault="00617DFC">
            <w:pPr>
              <w:ind w:left="9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UN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60DEC" w:rsidRPr="003818D2" w:rsidRDefault="00617DFC">
            <w:pPr>
              <w:ind w:left="128" w:right="67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Sposób przewozu </w:t>
            </w:r>
          </w:p>
        </w:tc>
        <w:tc>
          <w:tcPr>
            <w:tcW w:w="80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160DEC" w:rsidRPr="003818D2" w:rsidRDefault="00617DF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Rodzaj operacji transportowych</w:t>
            </w:r>
          </w:p>
        </w:tc>
      </w:tr>
      <w:tr w:rsidR="003818D2" w:rsidRPr="003818D2" w:rsidTr="004E7170">
        <w:trPr>
          <w:trHeight w:val="1395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nadawanie</w:t>
            </w:r>
            <w:r w:rsidRPr="003818D2">
              <w:rPr>
                <w:rFonts w:ascii="Times New Roman" w:hAnsi="Times New Roman" w:cs="Times New Roman"/>
                <w:vertAlign w:val="superscript"/>
              </w:rPr>
              <w:t>4</w:t>
            </w:r>
            <w:r w:rsidR="007566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pakownie</w:t>
            </w:r>
            <w:r w:rsidRPr="003818D2">
              <w:rPr>
                <w:rFonts w:ascii="Times New Roman" w:hAnsi="Times New Roman" w:cs="Times New Roman"/>
                <w:vertAlign w:val="superscript"/>
              </w:rPr>
              <w:t>5</w:t>
            </w:r>
            <w:r w:rsidR="007566E5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ind w:left="5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napełnianie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załadunek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A57D4E">
            <w:pPr>
              <w:ind w:left="57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</w:rPr>
              <w:t>przewóz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3818D2" w:rsidRPr="003818D2" w:rsidRDefault="003818D2" w:rsidP="00A57D4E">
            <w:pPr>
              <w:ind w:left="55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hAnsi="Times New Roman" w:cs="Times New Roman"/>
                <w:noProof/>
              </w:rPr>
              <w:t>rozładunek</w:t>
            </w:r>
          </w:p>
        </w:tc>
      </w:tr>
      <w:tr w:rsidR="003818D2" w:rsidRPr="003818D2" w:rsidTr="004E7170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285431">
            <w:pPr>
              <w:spacing w:after="34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cysternach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6) </w:t>
            </w:r>
          </w:p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838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285431">
            <w:pPr>
              <w:spacing w:after="6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w sztukach przesyłek </w:t>
            </w:r>
          </w:p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719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 w:rsidP="00285431">
            <w:pPr>
              <w:spacing w:after="61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luzem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724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18D2" w:rsidRPr="003818D2" w:rsidRDefault="003818D2" w:rsidP="00285431">
            <w:pPr>
              <w:spacing w:after="33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>w MEMU</w:t>
            </w:r>
            <w:r w:rsidRPr="003818D2">
              <w:rPr>
                <w:rFonts w:ascii="Times New Roman" w:eastAsia="Times New Roman" w:hAnsi="Times New Roman" w:cs="Times New Roman"/>
                <w:vertAlign w:val="superscript"/>
              </w:rPr>
              <w:t xml:space="preserve">7)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799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</w:rPr>
              <w:t xml:space="preserve"> Ogółem dla UN </w:t>
            </w:r>
          </w:p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3818D2" w:rsidRPr="003818D2" w:rsidRDefault="003818D2">
            <w:pPr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588"/>
        </w:trPr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</w:tcPr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3818D2" w:rsidRPr="003818D2" w:rsidTr="004E7170">
        <w:trPr>
          <w:trHeight w:val="528"/>
        </w:trPr>
        <w:tc>
          <w:tcPr>
            <w:tcW w:w="2410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000000"/>
            </w:tcBorders>
          </w:tcPr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  <w:p w:rsidR="003818D2" w:rsidRPr="003818D2" w:rsidRDefault="003818D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>podpis doradcy</w:t>
            </w:r>
          </w:p>
        </w:tc>
        <w:tc>
          <w:tcPr>
            <w:tcW w:w="42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8D2" w:rsidRPr="003818D2" w:rsidRDefault="003818D2">
            <w:pPr>
              <w:jc w:val="center"/>
              <w:rPr>
                <w:rFonts w:ascii="Times New Roman" w:hAnsi="Times New Roman" w:cs="Times New Roman"/>
              </w:rPr>
            </w:pPr>
            <w:r w:rsidRPr="003818D2">
              <w:rPr>
                <w:rFonts w:ascii="Times New Roman" w:eastAsia="Times New Roman" w:hAnsi="Times New Roman" w:cs="Times New Roman"/>
                <w:sz w:val="16"/>
              </w:rPr>
              <w:t xml:space="preserve">imię i nazwisko oraz podpis uczestnika przewozu towarów niebezpiecznych </w:t>
            </w:r>
          </w:p>
        </w:tc>
      </w:tr>
    </w:tbl>
    <w:p w:rsidR="00160DEC" w:rsidRPr="003818D2" w:rsidRDefault="00160DEC">
      <w:pPr>
        <w:rPr>
          <w:rFonts w:ascii="Times New Roman" w:hAnsi="Times New Roman" w:cs="Times New Roman"/>
        </w:rPr>
        <w:sectPr w:rsidR="00160DEC" w:rsidRPr="003818D2">
          <w:footnotePr>
            <w:numRestart w:val="eachPage"/>
          </w:footnotePr>
          <w:pgSz w:w="11906" w:h="16838"/>
          <w:pgMar w:top="992" w:right="1014" w:bottom="953" w:left="1020" w:header="708" w:footer="708" w:gutter="0"/>
          <w:cols w:space="708"/>
          <w:titlePg/>
        </w:sectPr>
      </w:pP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lastRenderedPageBreak/>
        <w:t>1)</w:t>
      </w:r>
    </w:p>
    <w:p w:rsidR="00160DEC" w:rsidRPr="003818D2" w:rsidRDefault="00617DFC">
      <w:pPr>
        <w:spacing w:after="4" w:line="239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Ilość towarów niebezpiecznych podaje się w następujących jednostkach zaokrąglonych do pełnych jedności (w przypadku klasy 1 – z dokładnością do 0,01): </w:t>
      </w:r>
    </w:p>
    <w:p w:rsidR="00160DEC" w:rsidRPr="003818D2" w:rsidRDefault="00617DFC">
      <w:pPr>
        <w:spacing w:after="40"/>
        <w:ind w:left="460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przedmiotów: masa brutto w kilogramach (kg),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przedmiotów klasy 1: całkowita masa netto zawartości materiału wybuchowego w kilogramach (kg), z dokładnością do 0,01 (kg),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towarów niebezpiecznych umieszczonych w maszynach lub w wyposażeniu, określonych w przepisach ADR: całkowita ilość towarów niebezpiecznych w kilogramach (kg) lub w litrach (l),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materiałów stałych, gazów skroplonych, gazów schłodzonych skroplonych oraz gazów rozpuszczonych: masa netto w kilogramach (kg),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materiałów ciekłych i gazów sprężonych: objętość w litrach (l) albo masa brutto w kilogramach (brutto kg), albo masa netto w kilogramach (netto kg), </w:t>
      </w:r>
    </w:p>
    <w:p w:rsidR="00160DEC" w:rsidRPr="003818D2" w:rsidRDefault="00617DFC">
      <w:pPr>
        <w:spacing w:after="4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‒odnośnie do towarów niebezpiecznych klasy 7: w bekerelach (Bq) jako aktywność zawartości promieniotwórczej lub zamiennie w gramach (g) jako masa materiałów rozszczepialnych.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2)</w:t>
      </w:r>
    </w:p>
    <w:p w:rsidR="00160DEC" w:rsidRPr="003818D2" w:rsidRDefault="00617DFC">
      <w:pPr>
        <w:spacing w:after="4" w:line="308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Podczas wpisywania ilości towarów niebezpiecznych należy obowiązkowo podać zastosowaną jednostkę, z tym że można stosować dziesiętne wielokrotności i podwielokrotności zastosowanych jednostek. W przypadku gdy wartość dotyczącą jednej pozycji formularza (klasa albo UN, sposób przewozu, rodzaj operacji transportowej) stanowią dane częściowe wyrażone w różnych jednostkach miary, dane te wprowadza się do tej samej pozycji formularza, jedne pod drugimi, i podaje się zastosowaną jednostkę. 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3)</w:t>
      </w:r>
    </w:p>
    <w:p w:rsidR="00160DEC" w:rsidRPr="003818D2" w:rsidRDefault="00617DFC">
      <w:pPr>
        <w:spacing w:after="0"/>
        <w:ind w:left="301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Klasa według ADR.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4)</w:t>
      </w:r>
    </w:p>
    <w:p w:rsidR="00160DEC" w:rsidRPr="003818D2" w:rsidRDefault="00617DFC">
      <w:pPr>
        <w:spacing w:after="4" w:line="308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>Należy podać ilość towarów niebezpiecznych wynikającą z czynności wykonywanych przez nadawcę, o którym mowa w  1.4 ADR.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5)</w:t>
      </w:r>
    </w:p>
    <w:p w:rsidR="00160DEC" w:rsidRPr="003818D2" w:rsidRDefault="00617DFC">
      <w:pPr>
        <w:spacing w:after="4" w:line="308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>Należy podać ilość towarów niebezpiecznych wynikającą z czynności wykonywanych przez pakującego, o którym mowa w 1.4 ADR.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6)</w:t>
      </w:r>
    </w:p>
    <w:p w:rsidR="00160DEC" w:rsidRPr="003818D2" w:rsidRDefault="00617DFC">
      <w:pPr>
        <w:spacing w:after="4"/>
        <w:ind w:left="291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Wypełnia się dla cystern, pojazdów-baterii i MEGC, o których mowa w 1.2.1 ADR.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7)</w:t>
      </w:r>
    </w:p>
    <w:p w:rsidR="00160DEC" w:rsidRPr="003818D2" w:rsidRDefault="00617DFC">
      <w:pPr>
        <w:spacing w:after="4" w:line="308" w:lineRule="auto"/>
        <w:ind w:left="476" w:right="28" w:hanging="185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Jeżeli w kolumnie „Sposób przewozu” wskazano ilość towarów niebezpiecznych odnośnie do operacji transportowych dotyczących MEMU, to w pozostałych sposobach przewozu (tj. w cysternach, w sztukach przesyłek, luzem) nie ujmuje się tych towarów niebezpiecznych. </w:t>
      </w:r>
    </w:p>
    <w:p w:rsidR="00160DEC" w:rsidRPr="003818D2" w:rsidRDefault="00617DFC">
      <w:pPr>
        <w:spacing w:after="0"/>
        <w:ind w:left="186" w:hanging="10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2"/>
        </w:rPr>
        <w:t>8)</w:t>
      </w:r>
    </w:p>
    <w:p w:rsidR="00160DEC" w:rsidRPr="003818D2" w:rsidRDefault="00617DFC">
      <w:pPr>
        <w:spacing w:after="33"/>
        <w:ind w:left="291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Ilość towarów niebezpiecznych podaje się osobno dla każdego numeru UN. </w:t>
      </w:r>
    </w:p>
    <w:p w:rsidR="00160DEC" w:rsidRPr="003818D2" w:rsidRDefault="00617DFC" w:rsidP="00285431">
      <w:pPr>
        <w:spacing w:after="274"/>
        <w:ind w:left="191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 Sposób wypełniania formularza: </w:t>
      </w:r>
    </w:p>
    <w:p w:rsidR="00160DEC" w:rsidRPr="003818D2" w:rsidRDefault="00617DFC">
      <w:pPr>
        <w:numPr>
          <w:ilvl w:val="0"/>
          <w:numId w:val="1"/>
        </w:numPr>
        <w:spacing w:after="34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formularz w postaci papierowej wypełnia się w sposób czytelny, pismem odręcznym (kolorem niebieskim), maszynowym lub komputerowym (nie dotyczy formularza elektronicznego),  </w:t>
      </w:r>
    </w:p>
    <w:p w:rsidR="00160DEC" w:rsidRPr="003818D2" w:rsidRDefault="00617DFC">
      <w:pPr>
        <w:numPr>
          <w:ilvl w:val="0"/>
          <w:numId w:val="1"/>
        </w:numPr>
        <w:spacing w:after="4" w:line="308" w:lineRule="auto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ilość towarów niebezpiecznych, w tym ilość towarów dużego ryzyka, podaje się osobno dla każdej klasy objętej sprawozdaniem, w kolejności wynikającej z numeracji klas, </w:t>
      </w:r>
    </w:p>
    <w:p w:rsidR="00160DEC" w:rsidRPr="003818D2" w:rsidRDefault="00617DFC">
      <w:pPr>
        <w:numPr>
          <w:ilvl w:val="0"/>
          <w:numId w:val="1"/>
        </w:numPr>
        <w:spacing w:after="39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w niewypełnionych rubrykach należy wstawić znak „X”, </w:t>
      </w:r>
    </w:p>
    <w:p w:rsidR="00160DEC" w:rsidRPr="003818D2" w:rsidRDefault="00617DFC">
      <w:pPr>
        <w:numPr>
          <w:ilvl w:val="0"/>
          <w:numId w:val="1"/>
        </w:numPr>
        <w:spacing w:after="4" w:line="308" w:lineRule="auto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podpis doradcy oraz imię i nazwisko oraz podpis uczestnika przewozu towarów niebezpiecznych składa się na pierwszej i ostatniej stronie formularza, </w:t>
      </w:r>
    </w:p>
    <w:p w:rsidR="00160DEC" w:rsidRPr="003818D2" w:rsidRDefault="00617DFC">
      <w:pPr>
        <w:numPr>
          <w:ilvl w:val="0"/>
          <w:numId w:val="1"/>
        </w:numPr>
        <w:spacing w:after="40"/>
        <w:ind w:left="475" w:right="28" w:hanging="284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sprawozdanie nie obejmuje towarów niebezpiecznych: </w:t>
      </w:r>
    </w:p>
    <w:p w:rsidR="00160DEC" w:rsidRPr="003818D2" w:rsidRDefault="00617DFC">
      <w:pPr>
        <w:spacing w:after="40"/>
        <w:ind w:left="460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‒których przewóz odbywał się w całości poza terytorium Rzeczypospolitej Polskiej, </w:t>
      </w:r>
    </w:p>
    <w:p w:rsidR="00160DEC" w:rsidRPr="003818D2" w:rsidRDefault="00617DFC">
      <w:pPr>
        <w:spacing w:after="73"/>
        <w:ind w:left="460" w:right="28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18"/>
        </w:rPr>
        <w:t xml:space="preserve">‒zawartych w próżnych nieoczyszczonych: opakowaniach, cysternach, kontenerach i pojazdach, </w:t>
      </w:r>
    </w:p>
    <w:p w:rsidR="00160DEC" w:rsidRPr="003818D2" w:rsidRDefault="00617DFC">
      <w:pPr>
        <w:spacing w:after="29" w:line="308" w:lineRule="auto"/>
        <w:ind w:left="753" w:right="28" w:hanging="293"/>
        <w:jc w:val="both"/>
        <w:rPr>
          <w:rFonts w:ascii="Times New Roman" w:hAnsi="Times New Roman" w:cs="Times New Roman"/>
        </w:rPr>
      </w:pPr>
      <w:r w:rsidRPr="003818D2">
        <w:rPr>
          <w:rFonts w:ascii="Times New Roman" w:eastAsia="Times New Roman" w:hAnsi="Times New Roman" w:cs="Times New Roman"/>
          <w:sz w:val="20"/>
        </w:rPr>
        <w:t>‒</w:t>
      </w:r>
      <w:r w:rsidRPr="003818D2">
        <w:rPr>
          <w:rFonts w:ascii="Times New Roman" w:eastAsia="Times New Roman" w:hAnsi="Times New Roman" w:cs="Times New Roman"/>
          <w:sz w:val="18"/>
        </w:rPr>
        <w:t>w ilościach, dla których ADR nie wymaga oznakowania jednostki transportowej tablicą barwy pomarańczowej, o której mowa w 5.3 ADR.</w:t>
      </w:r>
    </w:p>
    <w:p w:rsidR="00160DEC" w:rsidRPr="003818D2" w:rsidRDefault="00160DEC">
      <w:pPr>
        <w:spacing w:after="75"/>
        <w:ind w:left="191"/>
        <w:rPr>
          <w:rFonts w:ascii="Times New Roman" w:hAnsi="Times New Roman" w:cs="Times New Roman"/>
        </w:rPr>
      </w:pPr>
    </w:p>
    <w:sectPr w:rsidR="00160DEC" w:rsidRPr="003818D2" w:rsidSect="00177BFD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298" w:right="1435" w:bottom="2890" w:left="1164" w:header="633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E1F" w:rsidRDefault="001E3E1F">
      <w:pPr>
        <w:spacing w:after="0" w:line="240" w:lineRule="auto"/>
      </w:pPr>
      <w:r>
        <w:separator/>
      </w:r>
    </w:p>
  </w:endnote>
  <w:endnote w:type="continuationSeparator" w:id="1">
    <w:p w:rsidR="001E3E1F" w:rsidRDefault="001E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E1F" w:rsidRDefault="001E3E1F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1">
    <w:p w:rsidR="001E3E1F" w:rsidRDefault="001E3E1F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C" w:rsidRDefault="00177BFD">
    <w:pPr>
      <w:spacing w:after="133"/>
      <w:ind w:left="-143"/>
    </w:pPr>
    <w:r>
      <w:rPr>
        <w:noProof/>
      </w:rPr>
      <w:pict>
        <v:group id="Group 26583" o:spid="_x0000_s2053" style="position:absolute;left:0;text-align:left;margin-left:51pt;margin-top:59.75pt;width:493.25pt;height:.75pt;z-index:251658240;mso-position-horizontal-relative:page;mso-position-vertical-relative:page" coordsize="62639,95">
          <v:shape id="Shape 26584" o:spid="_x0000_s2054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</w:p>
  <w:p w:rsidR="00160DEC" w:rsidRDefault="00617DFC">
    <w:pPr>
      <w:spacing w:after="0"/>
      <w:ind w:left="191"/>
    </w:pPr>
    <w:r>
      <w:rPr>
        <w:rFonts w:ascii="Times New Roman" w:eastAsia="Times New Roman" w:hAnsi="Times New Roman" w:cs="Times New Roman"/>
        <w:sz w:val="18"/>
      </w:rPr>
      <w:t xml:space="preserve">Objaśnienia: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C" w:rsidRDefault="00177BFD" w:rsidP="00285431">
    <w:pPr>
      <w:spacing w:after="133"/>
      <w:ind w:left="-143"/>
    </w:pPr>
    <w:r>
      <w:rPr>
        <w:noProof/>
      </w:rPr>
      <w:pict>
        <v:group id="Group 26566" o:spid="_x0000_s2051" style="position:absolute;left:0;text-align:left;margin-left:51pt;margin-top:59.75pt;width:493.25pt;height:.75pt;z-index:251659264;mso-position-horizontal-relative:page;mso-position-vertical-relative:page" coordsize="62639,95">
          <v:shape id="Shape 26567" o:spid="_x0000_s2052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C" w:rsidRDefault="00177BFD">
    <w:pPr>
      <w:spacing w:after="133"/>
      <w:ind w:left="-143"/>
    </w:pPr>
    <w:r>
      <w:rPr>
        <w:noProof/>
      </w:rPr>
      <w:pict>
        <v:group id="Group 26544" o:spid="_x0000_s2049" style="position:absolute;left:0;text-align:left;margin-left:51pt;margin-top:59.75pt;width:493.25pt;height:.75pt;z-index:251660288;mso-position-horizontal-relative:page;mso-position-vertical-relative:page" coordsize="62639,95">
          <v:shape id="Shape 26545" o:spid="_x0000_s2050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</w:p>
  <w:p w:rsidR="00160DEC" w:rsidRDefault="00617DFC">
    <w:pPr>
      <w:tabs>
        <w:tab w:val="center" w:pos="4797"/>
        <w:tab w:val="right" w:pos="9721"/>
      </w:tabs>
      <w:spacing w:after="355"/>
      <w:ind w:left="-143" w:right="-415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177BFD" w:rsidRPr="00177BFD">
      <w:fldChar w:fldCharType="begin"/>
    </w:r>
    <w:r>
      <w:instrText xml:space="preserve"> PAGE   \* MERGEFORMAT </w:instrText>
    </w:r>
    <w:r w:rsidR="00177BFD" w:rsidRPr="00177BFD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4</w:t>
    </w:r>
    <w:r w:rsidR="00177BFD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1227</w:t>
    </w:r>
  </w:p>
  <w:p w:rsidR="00160DEC" w:rsidRDefault="00617DFC">
    <w:pPr>
      <w:spacing w:after="0"/>
      <w:ind w:left="191"/>
    </w:pPr>
    <w:r>
      <w:rPr>
        <w:rFonts w:ascii="Times New Roman" w:eastAsia="Times New Roman" w:hAnsi="Times New Roman" w:cs="Times New Roman"/>
        <w:sz w:val="18"/>
      </w:rPr>
      <w:t xml:space="preserve">Objaśnienia: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3372"/>
    <w:multiLevelType w:val="hybridMultilevel"/>
    <w:tmpl w:val="9F446F9A"/>
    <w:lvl w:ilvl="0" w:tplc="DB28273E">
      <w:start w:val="1"/>
      <w:numFmt w:val="lowerLetter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6B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681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6C04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2B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585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7CC0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F68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7CDE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153EE4"/>
    <w:multiLevelType w:val="hybridMultilevel"/>
    <w:tmpl w:val="031C80C2"/>
    <w:lvl w:ilvl="0" w:tplc="F2FA1ADE">
      <w:start w:val="1"/>
      <w:numFmt w:val="lowerLetter"/>
      <w:lvlText w:val="%1)"/>
      <w:lvlJc w:val="left"/>
      <w:pPr>
        <w:ind w:left="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AC4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A2B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6A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7A2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021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784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B03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64D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3B690B"/>
    <w:multiLevelType w:val="hybridMultilevel"/>
    <w:tmpl w:val="2584A024"/>
    <w:lvl w:ilvl="0" w:tplc="FF8A18B8">
      <w:start w:val="1"/>
      <w:numFmt w:val="lowerLetter"/>
      <w:lvlText w:val="%1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F24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7C74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4C5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6CB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61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543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34B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887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160DEC"/>
    <w:rsid w:val="0004110C"/>
    <w:rsid w:val="00160DEC"/>
    <w:rsid w:val="00177BFD"/>
    <w:rsid w:val="001C57AA"/>
    <w:rsid w:val="001E3E1F"/>
    <w:rsid w:val="00224FEA"/>
    <w:rsid w:val="0027665A"/>
    <w:rsid w:val="00285431"/>
    <w:rsid w:val="002E24C5"/>
    <w:rsid w:val="003818D2"/>
    <w:rsid w:val="004E7170"/>
    <w:rsid w:val="00617DFC"/>
    <w:rsid w:val="006369F1"/>
    <w:rsid w:val="007566E5"/>
    <w:rsid w:val="00872283"/>
    <w:rsid w:val="00C503E5"/>
    <w:rsid w:val="00CE6302"/>
    <w:rsid w:val="00F1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BFD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177BFD"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rsid w:val="00177BFD"/>
    <w:pPr>
      <w:keepNext/>
      <w:keepLines/>
      <w:spacing w:after="0"/>
      <w:ind w:left="28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77BF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sid w:val="00177BFD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rsid w:val="00177BFD"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177BFD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sid w:val="00177BFD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177B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431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431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INFRASTRUKTURY z dnia 2 czerwca 2022 r. zmieniające rozporządzenie w sprawie formularza rocznego sprawozdania z działalności w zakresie przewozu towarów niebezpiecznych oraz sposobu jego wypełniania</vt:lpstr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INFRASTRUKTURY z dnia 2 czerwca 2022 r. zmieniające rozporządzenie w sprawie formularza rocznego sprawozdania z działalności w zakresie przewozu towarów niebezpiecznych oraz sposobu jego wypełniania</dc:title>
  <dc:subject/>
  <dc:creator>RCL</dc:creator>
  <cp:keywords/>
  <cp:lastModifiedBy>Krzysztof Nowak</cp:lastModifiedBy>
  <cp:revision>4</cp:revision>
  <dcterms:created xsi:type="dcterms:W3CDTF">2023-12-29T09:16:00Z</dcterms:created>
  <dcterms:modified xsi:type="dcterms:W3CDTF">2024-01-02T09:46:00Z</dcterms:modified>
</cp:coreProperties>
</file>