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B431" w14:textId="1E1ECF82" w:rsidR="0089496D" w:rsidRPr="008152F5" w:rsidRDefault="0052346E" w:rsidP="0052346E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="0089496D"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14:paraId="3573C00D" w14:textId="77777777" w:rsidR="0089496D" w:rsidRPr="008152F5" w:rsidRDefault="0089496D" w:rsidP="0052346E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14:paraId="2B3CC7CB" w14:textId="77777777" w:rsidR="0052346E" w:rsidRDefault="0052346E" w:rsidP="0052346E">
      <w:pPr>
        <w:pStyle w:val="Nagwek1"/>
        <w:spacing w:after="120"/>
        <w:rPr>
          <w:rFonts w:asciiTheme="minorHAnsi" w:hAnsiTheme="minorHAnsi"/>
          <w:sz w:val="23"/>
          <w:szCs w:val="23"/>
        </w:rPr>
      </w:pPr>
    </w:p>
    <w:p w14:paraId="349B7D21" w14:textId="5D623262" w:rsidR="0089496D" w:rsidRDefault="0089496D" w:rsidP="0052346E">
      <w:pPr>
        <w:pStyle w:val="Nagwek1"/>
        <w:spacing w:after="120"/>
        <w:rPr>
          <w:rFonts w:asciiTheme="minorHAnsi" w:hAnsiTheme="minorHAnsi"/>
          <w:sz w:val="23"/>
          <w:szCs w:val="23"/>
        </w:rPr>
      </w:pPr>
      <w:r w:rsidRPr="008152F5">
        <w:rPr>
          <w:rFonts w:asciiTheme="minorHAnsi" w:hAnsiTheme="minorHAnsi"/>
          <w:sz w:val="23"/>
          <w:szCs w:val="23"/>
        </w:rPr>
        <w:t>Oświadczenie członka Zespołu do spraw wyłonienia kandydatów na urząd sędziego Europejskiego Trybunału Praw Człowieka w Strasburgu</w:t>
      </w:r>
      <w:r w:rsidR="00C21167">
        <w:rPr>
          <w:rFonts w:asciiTheme="minorHAnsi" w:hAnsiTheme="minorHAnsi"/>
          <w:sz w:val="23"/>
          <w:szCs w:val="23"/>
        </w:rPr>
        <w:t xml:space="preserve"> (zwanego dalej Zespołem)</w:t>
      </w:r>
    </w:p>
    <w:p w14:paraId="55C97A8E" w14:textId="77777777" w:rsidR="0052346E" w:rsidRPr="0052346E" w:rsidRDefault="0052346E" w:rsidP="0052346E">
      <w:pPr>
        <w:rPr>
          <w:lang w:eastAsia="en-US"/>
        </w:rPr>
      </w:pPr>
    </w:p>
    <w:p w14:paraId="4C1C1CA0" w14:textId="03EF73E1" w:rsidR="0089496D" w:rsidRPr="008152F5" w:rsidRDefault="0089496D" w:rsidP="0052346E">
      <w:pPr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Ja, niżej podpisana(y), oświadczam, że zapoznała(e)m się z przepisami dotyczącymi przetwarzania i ochrony danych osobowych, zrozumiała(e)m ich treść i zobowiązuję się do</w:t>
      </w:r>
      <w:r w:rsidR="00944612" w:rsidRPr="008152F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ich przestrzegania, w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szczególności:</w:t>
      </w:r>
    </w:p>
    <w:p w14:paraId="6D830475" w14:textId="093B0AFC" w:rsidR="0089496D" w:rsidRPr="008152F5" w:rsidRDefault="0089496D" w:rsidP="0052346E">
      <w:pPr>
        <w:numPr>
          <w:ilvl w:val="0"/>
          <w:numId w:val="1"/>
        </w:numPr>
        <w:suppressAutoHyphens w:val="0"/>
        <w:spacing w:after="120" w:line="240" w:lineRule="auto"/>
        <w:ind w:left="426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Rozporządzenia PE i Rady (UE) 2016/679 z dnia 27 kwietnia 2016 r. w sprawie ochrony osób fizycznych w związku z przetwarzaniem danych osobowych i w sprawie swobodnego przepływu takich danych oraz uchylenia dyrektywy 95/46/WE (RODO) (Dz. Urz. UE L 119 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04.05.2016, str. 1).</w:t>
      </w:r>
    </w:p>
    <w:p w14:paraId="564EF0A4" w14:textId="47FD3381" w:rsidR="0089496D" w:rsidRPr="008152F5" w:rsidRDefault="0089496D" w:rsidP="0052346E">
      <w:pPr>
        <w:numPr>
          <w:ilvl w:val="0"/>
          <w:numId w:val="1"/>
        </w:numPr>
        <w:suppressAutoHyphens w:val="0"/>
        <w:spacing w:after="120" w:line="240" w:lineRule="auto"/>
        <w:ind w:left="426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Ustawy z dnia 10 maja 2018 r. o ochronie danych osobowych (Dz.U. z 2019 r. poz. 1781 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późn. zm.).</w:t>
      </w:r>
    </w:p>
    <w:p w14:paraId="2D72B266" w14:textId="018CE419" w:rsidR="0089496D" w:rsidRPr="001165CA" w:rsidRDefault="0089496D" w:rsidP="00A71505">
      <w:pPr>
        <w:numPr>
          <w:ilvl w:val="0"/>
          <w:numId w:val="1"/>
        </w:numPr>
        <w:suppressAutoHyphens w:val="0"/>
        <w:spacing w:after="120" w:line="240" w:lineRule="auto"/>
        <w:ind w:left="426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 xml:space="preserve">Zarządzenia nr 1 Ministra Spraw Zagranicznych z dnia 13 stycznia 2012 r. w sprawie powołania Zespołu do spraw wyłonienia kandydatów na urząd sędziego Europejskiego Trybunału Praw Człowieka w Strasburgu (Dz. Urz. Min. Spraw Zagr. </w:t>
      </w:r>
      <w:r w:rsidR="00A71505" w:rsidRPr="00A71505">
        <w:rPr>
          <w:rFonts w:asciiTheme="minorHAnsi" w:hAnsiTheme="minorHAnsi" w:cs="Times New Roman"/>
          <w:sz w:val="23"/>
          <w:szCs w:val="23"/>
        </w:rPr>
        <w:t>z 2012 r. poz. 1</w:t>
      </w:r>
      <w:r w:rsidR="00FA6DA3">
        <w:rPr>
          <w:rFonts w:asciiTheme="minorHAnsi" w:hAnsiTheme="minorHAnsi" w:cs="Times New Roman"/>
          <w:sz w:val="23"/>
          <w:szCs w:val="23"/>
        </w:rPr>
        <w:t xml:space="preserve"> z późn. zm.</w:t>
      </w:r>
      <w:r w:rsidRPr="001165CA">
        <w:rPr>
          <w:rFonts w:asciiTheme="minorHAnsi" w:hAnsiTheme="minorHAnsi" w:cs="Times New Roman"/>
          <w:sz w:val="23"/>
          <w:szCs w:val="23"/>
        </w:rPr>
        <w:t>).</w:t>
      </w:r>
    </w:p>
    <w:p w14:paraId="1DE82A26" w14:textId="77777777" w:rsidR="0052346E" w:rsidRDefault="0052346E" w:rsidP="0052346E">
      <w:pPr>
        <w:spacing w:after="120" w:line="240" w:lineRule="auto"/>
        <w:jc w:val="both"/>
        <w:rPr>
          <w:rFonts w:asciiTheme="minorHAnsi" w:hAnsiTheme="minorHAnsi" w:cs="Times New Roman"/>
          <w:sz w:val="23"/>
          <w:szCs w:val="23"/>
          <w:u w:val="single"/>
        </w:rPr>
      </w:pPr>
    </w:p>
    <w:p w14:paraId="2432BF55" w14:textId="77777777" w:rsidR="0089496D" w:rsidRPr="008152F5" w:rsidRDefault="0089496D" w:rsidP="0052346E">
      <w:pPr>
        <w:spacing w:after="120" w:line="240" w:lineRule="auto"/>
        <w:jc w:val="both"/>
        <w:rPr>
          <w:rFonts w:asciiTheme="minorHAnsi" w:hAnsiTheme="minorHAnsi" w:cs="Times New Roman"/>
          <w:sz w:val="23"/>
          <w:szCs w:val="23"/>
          <w:u w:val="single"/>
        </w:rPr>
      </w:pPr>
      <w:r w:rsidRPr="008152F5">
        <w:rPr>
          <w:rFonts w:asciiTheme="minorHAnsi" w:hAnsiTheme="minorHAnsi" w:cs="Times New Roman"/>
          <w:sz w:val="23"/>
          <w:szCs w:val="23"/>
          <w:u w:val="single"/>
        </w:rPr>
        <w:t>Jednocześnie oświadczam, że:</w:t>
      </w:r>
    </w:p>
    <w:p w14:paraId="49E2F645" w14:textId="6BB9CC2D" w:rsidR="0089496D" w:rsidRPr="008152F5" w:rsidRDefault="0089496D" w:rsidP="0052346E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 xml:space="preserve">zapewnię ochronę danym osobowym przetwarzanym w związku z organizacją </w:t>
      </w:r>
      <w:r w:rsidR="001F15AE" w:rsidRPr="008152F5">
        <w:rPr>
          <w:rFonts w:asciiTheme="minorHAnsi" w:hAnsiTheme="minorHAnsi" w:cs="Times New Roman"/>
          <w:sz w:val="23"/>
          <w:szCs w:val="23"/>
        </w:rPr>
        <w:t xml:space="preserve">i przebiegiem </w:t>
      </w:r>
      <w:r w:rsidRPr="008152F5">
        <w:rPr>
          <w:rFonts w:asciiTheme="minorHAnsi" w:hAnsiTheme="minorHAnsi" w:cs="Times New Roman"/>
          <w:sz w:val="23"/>
          <w:szCs w:val="23"/>
        </w:rPr>
        <w:t xml:space="preserve">procedury wyłonienia </w:t>
      </w:r>
      <w:r w:rsidR="00C21167">
        <w:rPr>
          <w:rFonts w:asciiTheme="minorHAnsi" w:hAnsiTheme="minorHAnsi" w:cs="Times New Roman"/>
          <w:sz w:val="23"/>
          <w:szCs w:val="23"/>
        </w:rPr>
        <w:t xml:space="preserve">przez Zespół </w:t>
      </w:r>
      <w:r w:rsidRPr="008152F5">
        <w:rPr>
          <w:rFonts w:asciiTheme="minorHAnsi" w:hAnsiTheme="minorHAnsi" w:cs="Times New Roman"/>
          <w:sz w:val="23"/>
          <w:szCs w:val="23"/>
        </w:rPr>
        <w:t xml:space="preserve">kandydatów na urząd Sędziego Europejskiego Trybunału Praw Człowieka w Strasburgu, </w:t>
      </w:r>
      <w:r w:rsidR="001F15AE" w:rsidRPr="008152F5">
        <w:rPr>
          <w:rFonts w:asciiTheme="minorHAnsi" w:hAnsiTheme="minorHAnsi" w:cs="Times New Roman"/>
          <w:sz w:val="23"/>
          <w:szCs w:val="23"/>
        </w:rPr>
        <w:t>zaopiniowaniem kandydatów i, w razie potrzeby, kandydatów rezerwowych przez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="001F15AE" w:rsidRPr="008152F5">
        <w:rPr>
          <w:rFonts w:asciiTheme="minorHAnsi" w:hAnsiTheme="minorHAnsi" w:cs="Times New Roman"/>
          <w:sz w:val="23"/>
          <w:szCs w:val="23"/>
        </w:rPr>
        <w:t>Doradczy Panel Ekspertów Rady Europy do spraw wyłonienia kandydatów na wybór na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="001F15AE" w:rsidRPr="008152F5">
        <w:rPr>
          <w:rFonts w:asciiTheme="minorHAnsi" w:hAnsiTheme="minorHAnsi" w:cs="Times New Roman"/>
          <w:sz w:val="23"/>
          <w:szCs w:val="23"/>
        </w:rPr>
        <w:t xml:space="preserve">stanowisko sędziego Europejskiego Trybunału Praw Człowieka, oraz przekazaniem ostatecznej listy kandydatów Prezesowi Rady Ministrów, Sekretarzowi Generalnemu Zgromadzenia Parlamentarnego Rady Europy oraz do wiadomości publicznej, </w:t>
      </w:r>
      <w:r w:rsidRPr="008152F5">
        <w:rPr>
          <w:rFonts w:asciiTheme="minorHAnsi" w:hAnsiTheme="minorHAnsi" w:cs="Times New Roman"/>
          <w:sz w:val="23"/>
          <w:szCs w:val="23"/>
        </w:rPr>
        <w:t>a w szczególności zabezpieczę je przed dostępem osób nieupoważnionych, zabraniem, uszkodzeniem oraz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nieuzasadnioną modyfikacją lub</w:t>
      </w:r>
      <w:r w:rsidR="00944612" w:rsidRPr="008152F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zniszczeniem;</w:t>
      </w:r>
    </w:p>
    <w:p w14:paraId="230E9F77" w14:textId="085DC568" w:rsidR="0089496D" w:rsidRPr="008152F5" w:rsidRDefault="0089496D" w:rsidP="0052346E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zachowam w tajemnicy, także po zakończeniu prac Zespołu do spraw wyłonienia kandydatów na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urząd sędziego Europejskiego Trybunału Praw Człowieka w Strasburgu, wszelkie informacje, które powziąłem w związku z realizacją zadań członka Zespołu, oraz dotyczące przetwarzania oraz sposobów zabezpieczenia danych osobowych osób, które zgłosiły się do udziału w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procedurze wyłonienia kandydatów na urząd Sędziego;</w:t>
      </w:r>
    </w:p>
    <w:p w14:paraId="03086F60" w14:textId="77777777" w:rsidR="0089496D" w:rsidRPr="008152F5" w:rsidRDefault="0089496D" w:rsidP="0052346E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natychmiast przekażę informacje o próbie lub fakcie naruszenia ochrony lub</w:t>
      </w:r>
      <w:r w:rsidR="00944612" w:rsidRPr="008152F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 xml:space="preserve">bezpieczeństwa przetwarzanych danych osobowych, przesyłając na adres </w:t>
      </w:r>
      <w:hyperlink r:id="rId7" w:history="1">
        <w:r w:rsidRPr="008152F5">
          <w:rPr>
            <w:rStyle w:val="Hipercze"/>
            <w:rFonts w:asciiTheme="minorHAnsi" w:hAnsiTheme="minorHAnsi" w:cs="Times New Roman"/>
            <w:sz w:val="23"/>
            <w:szCs w:val="23"/>
          </w:rPr>
          <w:t>iod@msz.gov.pl</w:t>
        </w:r>
      </w:hyperlink>
      <w:r w:rsidRPr="008152F5">
        <w:rPr>
          <w:rFonts w:asciiTheme="minorHAnsi" w:hAnsiTheme="minorHAnsi" w:cs="Times New Roman"/>
          <w:sz w:val="23"/>
          <w:szCs w:val="23"/>
        </w:rPr>
        <w:t>;</w:t>
      </w:r>
    </w:p>
    <w:p w14:paraId="75A572DD" w14:textId="6E71E594" w:rsidR="0089496D" w:rsidRDefault="008152F5" w:rsidP="0052346E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jestem również świadomy(a) odpowiedzialności określonej w przepisach prawa, wynikającej 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nieprzestrzegania przepisów o ochronie danych osobowych</w:t>
      </w:r>
      <w:r w:rsidR="0089496D" w:rsidRPr="008152F5">
        <w:rPr>
          <w:rFonts w:asciiTheme="minorHAnsi" w:hAnsiTheme="minorHAnsi" w:cs="Times New Roman"/>
          <w:sz w:val="23"/>
          <w:szCs w:val="23"/>
        </w:rPr>
        <w:t>.</w:t>
      </w:r>
    </w:p>
    <w:p w14:paraId="67435A32" w14:textId="77777777" w:rsidR="0052346E" w:rsidRPr="008152F5" w:rsidRDefault="0052346E" w:rsidP="0052346E">
      <w:pPr>
        <w:suppressAutoHyphens w:val="0"/>
        <w:spacing w:after="120" w:line="240" w:lineRule="auto"/>
        <w:ind w:left="131"/>
        <w:jc w:val="both"/>
        <w:rPr>
          <w:rFonts w:asciiTheme="minorHAnsi" w:hAnsiTheme="minorHAnsi" w:cs="Times New Roman"/>
          <w:sz w:val="23"/>
          <w:szCs w:val="23"/>
        </w:rPr>
      </w:pPr>
    </w:p>
    <w:p w14:paraId="673482F1" w14:textId="3416BC52" w:rsidR="0089496D" w:rsidRPr="008152F5" w:rsidRDefault="0052346E" w:rsidP="0052346E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…….</w:t>
      </w:r>
      <w:r w:rsidR="0089496D" w:rsidRPr="008152F5">
        <w:rPr>
          <w:rFonts w:asciiTheme="minorHAnsi" w:hAnsiTheme="minorHAnsi" w:cs="Times New Roman"/>
          <w:sz w:val="23"/>
          <w:szCs w:val="23"/>
        </w:rPr>
        <w:t>......................................................</w:t>
      </w:r>
    </w:p>
    <w:p w14:paraId="649055A7" w14:textId="77777777" w:rsidR="000D765D" w:rsidRPr="008152F5" w:rsidRDefault="0089496D" w:rsidP="0052346E">
      <w:pPr>
        <w:spacing w:after="120" w:line="240" w:lineRule="auto"/>
        <w:jc w:val="right"/>
        <w:rPr>
          <w:rFonts w:asciiTheme="minorHAnsi" w:hAnsiTheme="minorHAnsi"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(podpis osoby ubiegającej się o dostęp do danych osobowych)</w:t>
      </w:r>
    </w:p>
    <w:p w14:paraId="3701057C" w14:textId="77777777" w:rsidR="008152F5" w:rsidRPr="008152F5" w:rsidRDefault="008152F5" w:rsidP="0052346E">
      <w:pPr>
        <w:spacing w:after="120" w:line="240" w:lineRule="auto"/>
        <w:jc w:val="right"/>
        <w:rPr>
          <w:rFonts w:asciiTheme="minorHAnsi" w:hAnsiTheme="minorHAnsi"/>
          <w:sz w:val="23"/>
          <w:szCs w:val="23"/>
        </w:rPr>
      </w:pPr>
    </w:p>
    <w:sectPr w:rsidR="008152F5" w:rsidRPr="008152F5" w:rsidSect="00523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2AD1F" w14:textId="77777777" w:rsidR="00342EE2" w:rsidRDefault="00342EE2" w:rsidP="00C963F8">
      <w:pPr>
        <w:spacing w:after="0" w:line="240" w:lineRule="auto"/>
      </w:pPr>
      <w:r>
        <w:separator/>
      </w:r>
    </w:p>
  </w:endnote>
  <w:endnote w:type="continuationSeparator" w:id="0">
    <w:p w14:paraId="484E19BD" w14:textId="77777777" w:rsidR="00342EE2" w:rsidRDefault="00342EE2" w:rsidP="00C9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2668" w14:textId="77777777" w:rsidR="00C963F8" w:rsidRDefault="00C963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C950" w14:textId="77777777" w:rsidR="00C963F8" w:rsidRDefault="00C963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C781" w14:textId="77777777" w:rsidR="00C963F8" w:rsidRDefault="00C9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B482" w14:textId="77777777" w:rsidR="00342EE2" w:rsidRDefault="00342EE2" w:rsidP="00C963F8">
      <w:pPr>
        <w:spacing w:after="0" w:line="240" w:lineRule="auto"/>
      </w:pPr>
      <w:r>
        <w:separator/>
      </w:r>
    </w:p>
  </w:footnote>
  <w:footnote w:type="continuationSeparator" w:id="0">
    <w:p w14:paraId="288220E0" w14:textId="77777777" w:rsidR="00342EE2" w:rsidRDefault="00342EE2" w:rsidP="00C9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5BB9" w14:textId="77777777" w:rsidR="00C963F8" w:rsidRDefault="00C963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4D8E" w14:textId="77777777" w:rsidR="00C963F8" w:rsidRDefault="00C963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91E6" w14:textId="77777777" w:rsidR="00C963F8" w:rsidRDefault="00C96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3FD9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" w15:restartNumberingAfterBreak="0">
    <w:nsid w:val="2F482181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D"/>
    <w:rsid w:val="000204D5"/>
    <w:rsid w:val="00074D2F"/>
    <w:rsid w:val="000D765D"/>
    <w:rsid w:val="001165CA"/>
    <w:rsid w:val="001253B8"/>
    <w:rsid w:val="001651CA"/>
    <w:rsid w:val="001F15AE"/>
    <w:rsid w:val="00272E18"/>
    <w:rsid w:val="002B7F39"/>
    <w:rsid w:val="00342EE2"/>
    <w:rsid w:val="00413B68"/>
    <w:rsid w:val="004A1A1B"/>
    <w:rsid w:val="004F2DE4"/>
    <w:rsid w:val="0052346E"/>
    <w:rsid w:val="0052392D"/>
    <w:rsid w:val="00570F7D"/>
    <w:rsid w:val="00610A40"/>
    <w:rsid w:val="00634DD0"/>
    <w:rsid w:val="00635211"/>
    <w:rsid w:val="0064195F"/>
    <w:rsid w:val="00675BE4"/>
    <w:rsid w:val="00687631"/>
    <w:rsid w:val="007042B3"/>
    <w:rsid w:val="00777033"/>
    <w:rsid w:val="007B25E3"/>
    <w:rsid w:val="008152F5"/>
    <w:rsid w:val="00822348"/>
    <w:rsid w:val="0089496D"/>
    <w:rsid w:val="008A147A"/>
    <w:rsid w:val="00944612"/>
    <w:rsid w:val="009C0DD5"/>
    <w:rsid w:val="00A2794D"/>
    <w:rsid w:val="00A71505"/>
    <w:rsid w:val="00BC76A1"/>
    <w:rsid w:val="00C152AD"/>
    <w:rsid w:val="00C21167"/>
    <w:rsid w:val="00C963F8"/>
    <w:rsid w:val="00D761D3"/>
    <w:rsid w:val="00D85051"/>
    <w:rsid w:val="00DC5FAA"/>
    <w:rsid w:val="00E02D0C"/>
    <w:rsid w:val="00E13312"/>
    <w:rsid w:val="00E81072"/>
    <w:rsid w:val="00ED6195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D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96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496D"/>
    <w:pPr>
      <w:keepNext/>
      <w:suppressAutoHyphens w:val="0"/>
      <w:spacing w:after="24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96D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89496D"/>
    <w:rPr>
      <w:strike w:val="0"/>
      <w:dstrike w:val="0"/>
      <w:color w:val="325498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D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DD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D0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3F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3F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2021-05-24T10:26:00Z</dcterms:created>
  <dcterms:modified xsi:type="dcterms:W3CDTF">2021-05-24T10:26:00Z</dcterms:modified>
</cp:coreProperties>
</file>