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4.0 -->
  <w:body>
    <w:p w:rsidR="00A77B3E">
      <w:pPr>
        <w:spacing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Zarządzenie</w:t>
      </w:r>
      <w:r>
        <w:rPr>
          <w:rFonts w:ascii="Times New Roman" w:eastAsia="Times New Roman" w:hAnsi="Times New Roman" w:cs="Times New Roman"/>
          <w:b/>
          <w:caps/>
          <w:sz w:val="24"/>
        </w:rPr>
        <w:br/>
      </w:r>
      <w:r>
        <w:rPr>
          <w:rFonts w:ascii="Times New Roman" w:eastAsia="Times New Roman" w:hAnsi="Times New Roman" w:cs="Times New Roman"/>
          <w:b/>
          <w:caps/>
          <w:sz w:val="24"/>
        </w:rPr>
        <w:t>Regionalnego Dyrektora Ochrony Środowiska w Bydgoszczy</w:t>
      </w:r>
    </w:p>
    <w:p w:rsidR="00A77B3E">
      <w:pPr>
        <w:spacing w:before="280" w:after="280" w:line="240" w:lineRule="auto"/>
        <w:ind w:left="0"/>
        <w:jc w:val="center"/>
        <w:rPr>
          <w:rFonts w:ascii="Times New Roman" w:eastAsia="Times New Roman" w:hAnsi="Times New Roman" w:cs="Times New Roman"/>
          <w:b/>
          <w:caps/>
          <w:sz w:val="24"/>
        </w:rPr>
      </w:pPr>
      <w:r>
        <w:rPr>
          <w:rFonts w:ascii="Times New Roman" w:eastAsia="Times New Roman" w:hAnsi="Times New Roman" w:cs="Times New Roman"/>
          <w:b w:val="0"/>
          <w:caps w:val="0"/>
          <w:sz w:val="24"/>
        </w:rPr>
        <w:t>z dnia 4 czerwca 2025 r.</w:t>
      </w:r>
    </w:p>
    <w:p w:rsidR="00A77B3E">
      <w:pPr>
        <w:spacing w:before="280" w:after="280" w:line="240" w:lineRule="auto"/>
        <w:ind w:left="0"/>
        <w:jc w:val="center"/>
        <w:rPr>
          <w:rFonts w:ascii="Times New Roman" w:eastAsia="Times New Roman" w:hAnsi="Times New Roman" w:cs="Times New Roman"/>
          <w:b w:val="0"/>
          <w:caps w:val="0"/>
          <w:sz w:val="22"/>
        </w:rPr>
      </w:pP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rezerwatu przyrody „Las Piwnicki”</w:t>
      </w:r>
    </w:p>
    <w:p w:rsidR="00A77B3E">
      <w:pPr>
        <w:keepNext w:val="0"/>
        <w:keepLines/>
        <w:spacing w:before="120" w:after="120" w:line="240" w:lineRule="auto"/>
        <w:ind w:left="0" w:right="0" w:firstLine="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16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kwietnia 2004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roku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ochronie przyrody (Dz. U. z 2024 r. poz. 1478 i 1940) zarządza się, co następuje: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auto"/>
          <w:sz w:val="24"/>
          <w:u w:val="none"/>
          <w:vertAlign w:val="baseline"/>
        </w:rPr>
        <w:t>Rezerwat przyrody pod nazwą „Las Piwnicki”, zwany dalej „rezerwatem”, obejmuje obszar o powierzchni 44,34 ha, położony na terenie gminy Łysomice, w powiecie toruńskim, w województwie kujawsko-pomorskim.</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 obszarach graniczących z rezerwatem wyznacza się otulinę o powierzchni 46,80 ha, położoną na terenie gminy Łysomice, w powiecie toruńskim, w województwie kujawsko-pomorskim.</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Położenie i przebieg granicy rezerwatu oraz jego otuliny w postaci mapy są określone w załączniku nr 1 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Położenie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 granicy rezerwatu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wykazu współrzędnych punktów załamania granicy są określone w załączniku nr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zarządzenia.</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Położenie i przebieg granicy otuliny rezerwatu w postaci wykazu współrzędnych punktów załamania granicy są określone w załączniku nr 3 do zarządzenia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2. </w:t>
      </w:r>
      <w:r>
        <w:rPr>
          <w:rFonts w:ascii="Times New Roman" w:eastAsia="Times New Roman" w:hAnsi="Times New Roman" w:cs="Times New Roman"/>
          <w:b w:val="0"/>
          <w:i w:val="0"/>
          <w:caps w:val="0"/>
          <w:strike w:val="0"/>
          <w:color w:val="000000"/>
          <w:sz w:val="24"/>
          <w:u w:val="none" w:color="000000"/>
          <w:vertAlign w:val="baseline"/>
        </w:rPr>
        <w:t>Celem ochrony rezerwatu jest zachowanie wielogatunkowych zbiorowisk leśnych o cechach naturalnych, występujących na glebach wytworzonych z piasków terasowych i wydmowych.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rezerwatu określa się rodzaj - Leśny (L).</w:t>
      </w:r>
    </w:p>
    <w:p w:rsidR="00A77B3E">
      <w:pPr>
        <w:keepNext w:val="0"/>
        <w:keepLines/>
        <w:spacing w:before="120" w:after="120" w:line="240" w:lineRule="auto"/>
        <w:ind w:left="0" w:right="0" w:firstLine="34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rezerwatu określa się typ i podtyp:</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ze względu na dominujący przedmiot ochrony: typ – Fitocenotyczny (PFi), podtyp - zbiorowisk leśnych (zl);</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ze względu na główny typ ekosystemu: typ – Leśny i borowy (EL), podtyp - lasów nizinnych (lni).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4. </w:t>
      </w:r>
      <w:r>
        <w:rPr>
          <w:rFonts w:ascii="Times New Roman" w:eastAsia="Times New Roman" w:hAnsi="Times New Roman" w:cs="Times New Roman"/>
          <w:b w:val="0"/>
          <w:i w:val="0"/>
          <w:caps w:val="0"/>
          <w:strike w:val="0"/>
          <w:color w:val="000000"/>
          <w:sz w:val="24"/>
          <w:u w:val="none" w:color="000000"/>
          <w:vertAlign w:val="baseline"/>
        </w:rPr>
        <w:t>Nadzór nad rezerwatem sprawuje Regionalny Dyrektor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Bydgoszczy.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5. </w:t>
      </w:r>
      <w:r>
        <w:rPr>
          <w:rFonts w:ascii="Times New Roman" w:eastAsia="Times New Roman" w:hAnsi="Times New Roman" w:cs="Times New Roman"/>
          <w:b w:val="0"/>
          <w:i w:val="0"/>
          <w:caps w:val="0"/>
          <w:strike w:val="0"/>
          <w:color w:val="000000"/>
          <w:sz w:val="24"/>
          <w:u w:val="none" w:color="000000"/>
          <w:vertAlign w:val="baseline"/>
        </w:rPr>
        <w:t>Traci moc zarządzenie Regionalnego Dyrektora Ochrony Środowiska w Bydgoszczy z dnia 29 stycznia 2016 r. w sprawie rezerwatu przyrody Las Piwnicki (Dz. Urz. Woj. Kuj-Pom. poz. 509).</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sz w:val="24"/>
        </w:rPr>
        <w:t>§ 6. </w:t>
      </w:r>
      <w:r>
        <w:rPr>
          <w:rFonts w:ascii="Times New Roman" w:eastAsia="Times New Roman" w:hAnsi="Times New Roman" w:cs="Times New Roman"/>
          <w:b w:val="0"/>
          <w:i w:val="0"/>
          <w:caps w:val="0"/>
          <w:strike w:val="0"/>
          <w:color w:val="000000"/>
          <w:sz w:val="24"/>
          <w:u w:val="none" w:color="000000"/>
          <w:vertAlign w:val="baseline"/>
        </w:rPr>
        <w:t>Zarządzenie wchodzi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po upływie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 od dnia ogłoszenia.</w:t>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2670440" cy="1054608"/>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4"/>
          <w:u w:val="none" w:color="000000"/>
          <w:vertAlign w:val="baseline"/>
        </w:rPr>
        <w:sectPr>
          <w:footerReference w:type="default" r:id="rId7"/>
          <w:endnotePr>
            <w:numFmt w:val="decimal"/>
          </w:endnotePr>
          <w:pgSz w:w="11906" w:h="16838"/>
          <w:pgMar w:top="992" w:right="1020" w:bottom="992" w:left="1020" w:header="708" w:footer="708" w:gutter="0"/>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jego otuliny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mapy</w:t>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1443" cy="7572767"/>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r:link="rId9"/>
                    <a:stretch>
                      <a:fillRect/>
                    </a:stretch>
                  </pic:blipFill>
                  <pic:spPr>
                    <a:xfrm>
                      <a:off x="0" y="0"/>
                      <a:ext cx="6271443" cy="7572767"/>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1443" cy="7572767"/>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r:link="rId11"/>
                    <a:stretch>
                      <a:fillRect/>
                    </a:stretch>
                  </pic:blipFill>
                  <pic:spPr>
                    <a:xfrm>
                      <a:off x="0" y="0"/>
                      <a:ext cx="6271443" cy="7572767"/>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1443" cy="7572767"/>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r:link="rId13"/>
                    <a:stretch>
                      <a:fillRect/>
                    </a:stretch>
                  </pic:blipFill>
                  <pic:spPr>
                    <a:xfrm>
                      <a:off x="0" y="0"/>
                      <a:ext cx="6271443" cy="7572767"/>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1443" cy="7572767"/>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r:link="rId15"/>
                    <a:stretch>
                      <a:fillRect/>
                    </a:stretch>
                  </pic:blipFill>
                  <pic:spPr>
                    <a:xfrm>
                      <a:off x="0" y="0"/>
                      <a:ext cx="6271443" cy="7572767"/>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1443" cy="7572767"/>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6" r:link="rId17"/>
                    <a:stretch>
                      <a:fillRect/>
                    </a:stretch>
                  </pic:blipFill>
                  <pic:spPr>
                    <a:xfrm>
                      <a:off x="0" y="0"/>
                      <a:ext cx="6271443" cy="7572767"/>
                    </a:xfrm>
                    <a:prstGeom prst="rect">
                      <a:avLst/>
                    </a:prstGeom>
                  </pic:spPr>
                </pic:pic>
              </a:graphicData>
            </a:graphic>
          </wp:inline>
        </w:drawing>
      </w:r>
    </w:p>
    <w:p w:rsidR="00A77B3E">
      <w:pPr>
        <w:keepNext w:val="0"/>
        <w:keepLines w:val="0"/>
        <w:spacing w:before="120" w:after="120" w:line="240" w:lineRule="auto"/>
        <w:ind w:left="283" w:right="0" w:firstLine="227"/>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6898" cy="7579354"/>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8" r:link="rId19"/>
                    <a:stretch>
                      <a:fillRect/>
                    </a:stretch>
                  </pic:blipFill>
                  <pic:spPr>
                    <a:xfrm>
                      <a:off x="0" y="0"/>
                      <a:ext cx="6276898" cy="7579354"/>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041"/>
        <w:gridCol w:w="504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105"/>
        </w:trPr>
        <w:tc>
          <w:tcPr>
            <w:tcW w:w="5040" w:type="dxa"/>
            <w:tcBorders>
              <w:top w:val="nil"/>
              <w:left w:val="nil"/>
              <w:bottom w:val="nil"/>
              <w:right w:val="nil"/>
            </w:tcBorders>
            <w:noWrap w:val="0"/>
            <w:tcMar>
              <w:top w:w="100" w:type="dxa"/>
            </w:tcMar>
            <w:textDirection w:val="lrTb"/>
            <w:vAlign w:val="top"/>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p>
        </w:tc>
        <w:tc>
          <w:tcPr>
            <w:tcW w:w="5040" w:type="dxa"/>
            <w:tcBorders>
              <w:top w:val="nil"/>
              <w:left w:val="nil"/>
              <w:bottom w:val="nil"/>
              <w:right w:val="nil"/>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2"/>
                <w:u w:val="none" w:color="000000"/>
                <w:vertAlign w:val="baseline"/>
              </w:rPr>
            </w:pP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85876" cy="1060704"/>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5" r:link="rId20"/>
                    <a:stretch>
                      <a:fillRect/>
                    </a:stretch>
                  </pic:blipFill>
                  <pic:spPr>
                    <a:xfrm>
                      <a:off x="0" y="0"/>
                      <a:ext cx="2685876" cy="1060704"/>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21"/>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r>
        <w:rPr>
          <w:rStyle w:val="FootnoteReference"/>
          <w:rFonts w:ascii="Times New Roman" w:eastAsia="Times New Roman" w:hAnsi="Times New Roman" w:cs="Times New Roman"/>
          <w:b/>
          <w:i w:val="0"/>
          <w:caps w:val="0"/>
          <w:strike w:val="0"/>
          <w:color w:val="000000"/>
          <w:sz w:val="20"/>
          <w:u w:val="none" w:color="000000"/>
          <w:vertAlign w:val="superscript"/>
        </w:rPr>
        <w:footnoteReference w:customMarkFollows="1" w:id="2"/>
        <w:t xml:space="preserve">1)</w:t>
      </w:r>
      <w:r>
        <w:rPr>
          <w:rFonts w:ascii="Times New Roman" w:eastAsia="Times New Roman" w:hAnsi="Times New Roman" w:cs="Times New Roman"/>
          <w:b w:val="0"/>
          <w:i w:val="0"/>
          <w:caps w:val="0"/>
          <w:strike w:val="0"/>
          <w:color w:val="000000"/>
          <w:sz w:val="22"/>
          <w:u w:val="none" w:color="000000"/>
          <w:vertAlign w:val="baseline"/>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318"/>
        <w:gridCol w:w="3382"/>
        <w:gridCol w:w="338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Nr</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X</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Y</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579260,42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469917,65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579290,34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469868,08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579295,25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469839,51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579311,33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469826,10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579307,76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469789,48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579318,72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469766,44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579331,61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469758,75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579351,45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469710,50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469714,57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579348,09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469681,99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579360,93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469684,27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579362,78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469599,87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579369,70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469563,48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579377,28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469539,71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579387,53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469521,51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579393,84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469501,03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579395,19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469496,65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469492,43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469454,94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579409,21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469447,59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579414,05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469441,65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579409,61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469434,80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579407,86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469416,13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579411,17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469413,75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579410,37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469399,33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579406,93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469395,49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579404,02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469388,61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579405,61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469380,67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579413,68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469374,45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579414,43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469353,05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579449,04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469338,71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579479,21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469343,16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579498,82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469356,35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579513,16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469357,67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579529,31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469346,63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579536,24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469337,23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579538,21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469318,11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579531,29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469289,76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579539,70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469267,84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579554,43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469248,75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579556,22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469248,50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579561,16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469247,78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579562,42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469222,46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579556,25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469206,04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579563,71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469203,43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579649,84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469170,98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579633,79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469197,61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579617,50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469225,15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579599,39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469263,61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579591,65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469283,82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579585,75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469305,22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579586,32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469314,52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579579,42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469399,06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579583,60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469425,66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579625,06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469523,82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579629,87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469554,60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579639,60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469803,41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579649,13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469835,50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469839,81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469851,44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579654,34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469898,36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579661,36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469940,74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579654,90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470013,10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470050,67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579634,84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470054,30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579647,14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470097,87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579647,61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470132,69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579663,19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470148,12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579597,35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470265,43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579585,49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470275,37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579565,97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470291,72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579538,07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470306,06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579512,84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470310,52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579509,13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470311,17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579472,42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470508,86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579460,50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470570,83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579460,00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470573,44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579404,57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470572,64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579194,62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470583,91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579115,88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470580,27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579100,51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470566,72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579092,85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470559,97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579093,10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470557,89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579097,54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470548,18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470545,85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579088,90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470549,71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579081,55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470552,07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579079,00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470545,08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470547,25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579071,38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470550,36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579067,61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470550,07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579064,83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470547,81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579065,18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470538,07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579070,56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470524,90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470521,33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579080,69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470521,21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579086,94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470524,13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579090,19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470523,17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579089,22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470517,10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579087,40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470507,69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579100,31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470475,63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579101,30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470470,45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579098,95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470463,29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579098,95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470453,53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579087,90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470449,34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579080,27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470438,07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470433,59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579061,48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470426,96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579061,85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470423,85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579064,94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470421,58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579065,04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470417,99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579062,51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470413,47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579077,18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470403,20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579078,72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470395,30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579090,07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470388,62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470386,13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579097,35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470381,83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579096,96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470376,04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470371,57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579091,59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470363,69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579089,93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470360,43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579086,77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470358,46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579079,48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470358,45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579074,60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470357,17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579072,96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470351,55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579084,32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470317,08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579088,75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470310,96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579102,17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470304,90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579101,83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470299,70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470297,18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579126,49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470284,01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470280,04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470276,65</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579128,89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470272,62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579129,19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470268,67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470264,84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579142,01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470253,24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579149,57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470239,74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579156,26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470222,70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579152,19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470178,26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579170,47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470154,00</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579181,96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470148,74</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579186,19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470143,16</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579218,64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470106,59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579218,64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470106,59</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579195,98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470072,32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579227,82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470044,02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579234,52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469998,47</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579250,60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469977,93</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579258,19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469958,28</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579260,42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469917,65</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70440" cy="1054608"/>
            <wp:docPr id="10001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5" r:link="rId22"/>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23"/>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363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zarządzenia</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Regionalnego Dyrektora Ochrony Środowiska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Bydgoszczy</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czerwca 2025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Położenie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przebieg granicy otuliny rezerwatu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postaci wykazu współrzędnych punktów załamania granicy w</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układzie współrzędnych płaskich prostokątnych</w:t>
      </w:r>
      <w:r>
        <w:rPr>
          <w:rFonts w:ascii="Times New Roman" w:eastAsia="Times New Roman" w:hAnsi="Times New Roman" w:cs="Times New Roman"/>
          <w:b/>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PL-1992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86"/>
        <w:gridCol w:w="2532"/>
        <w:gridCol w:w="2532"/>
        <w:gridCol w:w="253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Nr</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X</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Y</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rPr>
                <w:b/>
              </w:rPr>
              <w:t>Komentarz</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579845,61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469747,15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579820,44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469761,26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579789,53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469825,33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579800,14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469846,67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579802,23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469932,26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579797,50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469973,32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579797,32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469985,35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579815,78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469997,52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579786,74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469988,74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579764,26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469983,69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579755,15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469979,13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579741,75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469961,55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579648,89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469815,55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579649,13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469835,50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579639,60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469803,41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579629,87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469554,60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579625,06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469523,82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579583,60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469425,66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579579,42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469399,06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579586,32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469314,52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579585,75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469305,22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579591,65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469283,82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579599,39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469263,61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579617,50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469225,15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579633,79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469197,61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579649,84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469170,98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579662,01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469166,39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579645,85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469192,74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579713,16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469207,75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579784,88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469223,80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579878,80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469244,69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579913,53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469250,33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579922,30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469251,75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579936,32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469259,34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579948,22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469311,88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579946,60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469317,38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579932,55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469318,61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579923,02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469330,65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579909,40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469330,39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579880,69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469325,36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579867,59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469328,14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579848,94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469317,02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579835,58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469312,39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579826,45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469312,26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579820,23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469329,87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579820,50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469351,95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579825,79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469366,10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579831,48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469384,63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579831,74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469401,96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579831,74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469418,49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579831,88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469419,96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579827,55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469429,20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579825,57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469473,51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579821,61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469500,01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579801,83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469553,02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579797,09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469571,22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579853,57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469567,25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579853,40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469569,76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579848,51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469642,03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579856,77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469652,64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579845,61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469747,15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1</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579712,59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469928,84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579708,25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469945,09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579702,65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469970,47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579700,58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469987,38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579700,46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469988,43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579700,46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470012,61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579704,98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470034,48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579707,71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470044,11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579715,86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470059,82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579721,21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470053,32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579726,16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470049,89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579746,28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470035,94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579776,04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470095,34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579783,03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470112,70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579787,79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470143,18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579786,41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470160,12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579780,59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470178,64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579760,00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470227,28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579757,79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470244,08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579750,79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470263,86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579748,48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470293,76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579654,29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470248,63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579647,84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470288,18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579642,21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470329,37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579641,97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470331,12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470355,96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579634,43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470386,21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579632,68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470400,81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579632,44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470416,37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579630,78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470425,74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579627,76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470451,77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579625,06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470477,81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579617,28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470540,67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579612,05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470575,12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579591,67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470730,31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579585,48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470718,82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579444,14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470674,39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579444,06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470674,90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579324,03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470622,13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579145,17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470732,05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579118,51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470748,44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579106,18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470756,02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579020,91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470808,42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578977,13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470835,32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578975,88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470827,77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578979,61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470822,58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578992,38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470815,57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579000,21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470802,93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579002,23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470794,86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579006,89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470784,11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579020,37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470768,61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579021,96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470755,51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579015,98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470749,28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579022,76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470740,58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470734,18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579026,70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470728,22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579028,05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470724,00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579025,35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470715,59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579019,78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470715,17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579016,01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470707,78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578997,08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470698,24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578995,96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470680,99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578997,45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470661,28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578998,40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470650,91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579001,41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470648,12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579017,52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470633,53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579020,20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470628,97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470621,70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579022,91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579017,79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470614,72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578926,57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470603,36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578937,15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470565,68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578969,58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470448,17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578993,29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470434,01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579020,57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470417,70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579020,57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470417,67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579023,66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470404,16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579025,89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470394,45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578984,85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470386,10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579005,83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470297,58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579051,03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470300,99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579052,05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470301,07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579055,03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470291,53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579081,71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470216,62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579124,36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470096,85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579154,86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470011,19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579155,22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470010,68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579107,06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469937,84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579064,45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469873,41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579121,82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469840,84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579126,55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469814,27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579133,43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469794,69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579148,38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469760,03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579159,49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469724,18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579171,26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469692,69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579186,21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469661,73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579192,96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469635,01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579216,89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469595,90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579240,50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469545,01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579246,48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469539,44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579250,17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469535,26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579256,08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469529,20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579269,14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469518,13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579311,19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469501,50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579332,54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469486,60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579337,42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469478,12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579350,49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469450,73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579353,05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469446,45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579353,90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469445,05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579359,18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469436,25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579373,62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469406,40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579376,09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469393,56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579372,28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469381,44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579370,21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469374,86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579353,26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469335,09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579352,81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469334,25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579352,50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469333,66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579348,99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469327,07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579346,02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469320,80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579344,59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469318,76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579340,95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469318,28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579311,40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469300,41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579311,29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469300,32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579375,44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469274,38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579554,43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469248,75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579539,70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469267,84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579531,29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469289,76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579538,21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469318,11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579536,24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469337,23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579529,31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469346,63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579513,16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469357,67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579498,82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469356,35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579479,21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469343,16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579449,04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469338,71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579414,43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469353,05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579413,68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469374,45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579405,61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469380,67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579404,02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469388,61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579406,93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469395,49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579410,37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469399,33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579411,17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469413,75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579407,86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469416,13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579409,61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469434,80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579414,05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469441,65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579409,21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469447,59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469454,94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469492,43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579395,19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469496,65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579393,84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469501,03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579387,53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469521,51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579377,28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469539,71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579369,70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469563,48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579362,78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469599,87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579360,93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469684,27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579348,09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469681,99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579344,27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469714,57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579351,45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469710,50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579331,61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469758,75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579318,72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469766,44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579307,76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469789,48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579311,33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469826,10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579295,25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469839,51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579290,34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469868,08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579260,42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469917,65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579258,19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469958,28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579250,60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469977,93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579234,52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469998,47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579227,82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470044,02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579195,98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470072,32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579218,64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470106,59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579218,64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470106,59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579186,19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470143,16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579181,96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470148,74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579170,47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470154,00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179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579152,19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470178,26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579156,26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470222,70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579149,57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470239,74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579142,01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470253,24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470264,84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579129,19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470268,67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579128,89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470272,62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579130,76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470276,65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579130,38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470280,04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579126,49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470284,01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579104,27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470297,18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579101,83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470299,70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579102,17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470304,90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579088,75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470310,96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579084,32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470317,08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579072,96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470351,55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579074,60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470357,17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579079,48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470358,45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579086,77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470358,46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579089,93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470360,43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199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579091,59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470363,69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470371,57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579096,96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470376,04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579097,35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470381,83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470386,13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579090,07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470388,62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579078,72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470395,30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579077,18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470403,20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579062,51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470413,47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579065,04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470417,99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209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579064,94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470421,58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579061,85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470423,85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579061,48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470426,96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470433,59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579080,27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470438,07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579087,90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470449,34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579098,95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470453,53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579098,95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470463,29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579101,30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470470,45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579100,31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470475,63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579087,40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470507,69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579089,22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470517,10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579090,19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470523,17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579086,94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470524,13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579080,69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470521,21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470521,33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579070,56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470524,90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579065,18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470538,07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579064,83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470547,81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579067,61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470550,07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229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579071,38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470550,36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579075,35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470547,25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579079,00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470545,08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579081,55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470552,07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579088,90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470549,71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579095,52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470545,85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579097,54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470548,18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579093,10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470557,89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579092,85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470559,97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579100,51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470566,72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239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579115,88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470580,27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579194,62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470583,91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579404,57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470572,64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579460,00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470573,44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579460,50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470570,83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579472,42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470508,86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579509,13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470311,17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579512,84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470310,52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579538,07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470306,06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579565,97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470291,72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579585,49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470275,37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579597,35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470265,43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579663,19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470148,12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579647,61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470132,69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579647,14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470097,87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579634,84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470054,30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579651,54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470050,67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579654,90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470013,10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579661,36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469940,74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258</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579654,34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469898,36</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579651,85</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469851,44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260</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469839,81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579651,23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469839,81</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262</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579659,83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469857,47</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r>
        <w:tblPrEx>
          <w:tblW w:w="5000" w:type="pct"/>
          <w:tblLayout w:type="fixed"/>
          <w:tblCellMar>
            <w:left w:w="108" w:type="dxa"/>
            <w:right w:w="108" w:type="dxa"/>
          </w:tblCellMar>
        </w:tblPrEx>
        <w:trPr>
          <w:trHeight w:val="255"/>
        </w:trPr>
        <w:tc>
          <w:tcPr>
            <w:tcW w:w="156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263</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579712,59</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right"/>
              <w:rPr>
                <w:rFonts w:ascii="Times New Roman" w:eastAsia="Times New Roman" w:hAnsi="Times New Roman" w:cs="Times New Roman"/>
                <w:b w:val="0"/>
                <w:i w:val="0"/>
                <w:caps w:val="0"/>
                <w:strike w:val="0"/>
                <w:color w:val="000000"/>
                <w:sz w:val="22"/>
                <w:u w:val="none" w:color="000000"/>
                <w:vertAlign w:val="baseline"/>
              </w:rPr>
            </w:pPr>
            <w:r>
              <w:t>469928,84</w:t>
            </w:r>
          </w:p>
        </w:tc>
        <w:tc>
          <w:tcPr>
            <w:tcW w:w="1590" w:type="dxa"/>
            <w:tcBorders>
              <w:top w:val="single" w:sz="2" w:space="0" w:color="auto"/>
              <w:left w:val="single" w:sz="2" w:space="0" w:color="auto"/>
              <w:bottom w:val="single" w:sz="2" w:space="0" w:color="auto"/>
              <w:right w:val="single" w:sz="2" w:space="0" w:color="auto"/>
            </w:tcBorders>
            <w:noWrap w:val="0"/>
            <w:tcMar>
              <w:top w:w="100" w:type="dxa"/>
            </w:tcMar>
            <w:textDirection w:val="lrTb"/>
            <w:vAlign w:val="bottom"/>
          </w:tcPr>
          <w:p w:rsidR="00A77B3E">
            <w:pPr>
              <w:spacing w:before="0" w:after="0"/>
              <w:jc w:val="left"/>
              <w:rPr>
                <w:rFonts w:ascii="Times New Roman" w:eastAsia="Times New Roman" w:hAnsi="Times New Roman" w:cs="Times New Roman"/>
                <w:b w:val="0"/>
                <w:i w:val="0"/>
                <w:caps w:val="0"/>
                <w:strike w:val="0"/>
                <w:color w:val="000000"/>
                <w:sz w:val="22"/>
                <w:u w:val="none" w:color="000000"/>
                <w:vertAlign w:val="baseline"/>
              </w:rPr>
            </w:pPr>
            <w:r>
              <w:t>Część 2</w:t>
            </w:r>
          </w:p>
        </w:tc>
      </w:tr>
    </w:tbl>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2670440" cy="1054608"/>
            <wp:docPr id="10001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 r:link="rId24"/>
                    <a:stretch>
                      <a:fillRect/>
                    </a:stretch>
                  </pic:blipFill>
                  <pic:spPr>
                    <a:xfrm>
                      <a:off x="0" y="0"/>
                      <a:ext cx="2670440" cy="1054608"/>
                    </a:xfrm>
                    <a:prstGeom prst="rect">
                      <a:avLst/>
                    </a:prstGeom>
                  </pic:spPr>
                </pic:pic>
              </a:graphicData>
            </a:graphic>
          </wp:inline>
        </w:drawing>
      </w:r>
    </w:p>
    <w:p w:rsidR="00A77B3E">
      <w:pPr>
        <w:keepNext w:val="0"/>
        <w:keepLines w:val="0"/>
        <w:spacing w:before="120" w:after="120" w:line="240" w:lineRule="auto"/>
        <w:ind w:left="283" w:right="0" w:firstLine="227"/>
        <w:jc w:val="right"/>
        <w:rPr>
          <w:rFonts w:ascii="Times New Roman" w:eastAsia="Times New Roman" w:hAnsi="Times New Roman" w:cs="Times New Roman"/>
          <w:b w:val="0"/>
          <w:i w:val="0"/>
          <w:caps w:val="0"/>
          <w:strike w:val="0"/>
          <w:color w:val="000000"/>
          <w:sz w:val="22"/>
          <w:u w:val="none" w:color="000000"/>
          <w:vertAlign w:val="baseline"/>
        </w:rPr>
        <w:sectPr>
          <w:footerReference w:type="default" r:id="rId25"/>
          <w:endnotePr>
            <w:numFmt w:val="decimal"/>
          </w:endnotePr>
          <w:type w:val="nextPage"/>
          <w:pgSz w:w="11906" w:h="16838"/>
          <w:pgMar w:top="992" w:right="1020" w:bottom="992" w:left="102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 w:val="22"/>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w:t>
      </w:r>
      <w:r>
        <w:rPr>
          <w:b/>
          <w:caps/>
          <w:color w:val="000000"/>
          <w:szCs w:val="20"/>
          <w:shd w:val="clear" w:color="auto" w:fill="FFFFFF"/>
        </w:rPr>
        <w:t>ZASADNIENIE</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 xml:space="preserve">Na podstawie art. 13 </w:t>
      </w:r>
      <w:r>
        <w:rPr>
          <w:color w:val="000000"/>
          <w:szCs w:val="20"/>
          <w:shd w:val="clear" w:color="auto" w:fill="FFFFFF"/>
          <w:lang w:val="x-none" w:eastAsia="en-US" w:bidi="ar-SA"/>
        </w:rPr>
        <w:t>ust. </w:t>
      </w:r>
      <w:r>
        <w:rPr>
          <w:color w:val="000000"/>
          <w:szCs w:val="20"/>
          <w:shd w:val="clear" w:color="auto" w:fill="FFFFFF"/>
        </w:rPr>
        <w:t>3</w:t>
      </w:r>
      <w:r>
        <w:rPr>
          <w:color w:val="000000"/>
          <w:szCs w:val="20"/>
          <w:shd w:val="clear" w:color="auto" w:fill="FFFFFF"/>
          <w:lang w:val="x-none" w:eastAsia="en-US" w:bidi="ar-SA"/>
        </w:rPr>
        <w:t xml:space="preserve"> ustawy z dnia 16 kwietnia 2004 roku o ochronie przyrody </w:t>
      </w:r>
      <w:r>
        <w:rPr>
          <w:color w:val="000000"/>
          <w:szCs w:val="20"/>
          <w:shd w:val="clear" w:color="auto" w:fill="FFFFFF"/>
          <w:lang w:val="x-none" w:eastAsia="en-US" w:bidi="ar-SA"/>
        </w:rPr>
        <w:t>(Dz. U. z 202</w:t>
      </w:r>
      <w:r>
        <w:rPr>
          <w:color w:val="000000"/>
          <w:szCs w:val="20"/>
          <w:shd w:val="clear" w:color="auto" w:fill="FFFFFF"/>
        </w:rPr>
        <w:t>4</w:t>
      </w:r>
      <w:r>
        <w:rPr>
          <w:color w:val="000000"/>
          <w:szCs w:val="20"/>
          <w:shd w:val="clear" w:color="auto" w:fill="FFFFFF"/>
          <w:lang w:val="x-none" w:eastAsia="en-US" w:bidi="ar-SA"/>
        </w:rPr>
        <w:t xml:space="preserve"> r. poz. </w:t>
      </w:r>
      <w:r>
        <w:rPr>
          <w:color w:val="000000"/>
          <w:szCs w:val="20"/>
          <w:shd w:val="clear" w:color="auto" w:fill="FFFFFF"/>
        </w:rPr>
        <w:t>1478 ze zm.</w:t>
      </w:r>
      <w:r>
        <w:rPr>
          <w:color w:val="000000"/>
          <w:szCs w:val="20"/>
          <w:shd w:val="clear" w:color="auto" w:fill="FFFFFF"/>
          <w:lang w:val="x-none" w:eastAsia="en-US" w:bidi="ar-SA"/>
        </w:rPr>
        <w:t>)</w:t>
      </w:r>
      <w:r>
        <w:rPr>
          <w:color w:val="000000"/>
          <w:szCs w:val="20"/>
          <w:shd w:val="clear" w:color="auto" w:fill="FFFFFF"/>
        </w:rPr>
        <w:t xml:space="preserve"> u</w:t>
      </w:r>
      <w:r>
        <w:rPr>
          <w:color w:val="000000"/>
          <w:szCs w:val="20"/>
          <w:shd w:val="clear" w:color="auto" w:fill="FFFFFF"/>
          <w:lang w:val="x-none" w:eastAsia="en-US" w:bidi="ar-SA"/>
        </w:rPr>
        <w:t xml:space="preserve">znanie za rezerwat przyrody następuje w drodze aktu prawa miejscowego w formie zarządzenia regionalnego dyrektora ochrony środowiska, które określa jego nazwę, położenie lub przebieg granicy i otulinę, jeżeli została wyznaczona, cele ochrony oraz rodzaj, typ i podtyp rezerwatu przyrody, a także sprawującego nadzór nad rezerwatem. </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 xml:space="preserve">Obecnie zarządzenie uchyla zarządzenie Regionalnego Dyrektora Ochrony Środowiska </w:t>
        <w:br/>
        <w:t xml:space="preserve">w Bydgoszczy z dnia 29 stycznia 2016 r. w sprawie rezerwatu przyrody „Las Piwnicki" </w:t>
      </w:r>
      <w:r>
        <w:rPr>
          <w:color w:val="000000"/>
          <w:szCs w:val="20"/>
          <w:shd w:val="clear" w:color="auto" w:fill="FFFFFF"/>
          <w:lang w:val="x-none" w:eastAsia="en-US" w:bidi="ar-SA"/>
        </w:rPr>
        <w:t>(Dz. Urz. Woj. Kuj-Pom. poz. 509)</w:t>
      </w:r>
      <w:r>
        <w:rPr>
          <w:color w:val="000000"/>
          <w:szCs w:val="20"/>
          <w:shd w:val="clear" w:color="auto" w:fill="FFFFFF"/>
        </w:rPr>
        <w:t>. W niniejszym zarządzeniu powiększony został obszar rezerwatu przyrody z 36,95 ha na 44,34 ha. Potrzeba rozszerzenia granic ww. rezerwatu przyrody została przedstawiona przez Nadleśnictwo Toruń, które zwróciło się z wnioskiem z dnia 22 maja 2024 r., określając zakres powiększenia. Proponowane do włączenia powierzchnie charakteryzują się występowaniem zespołów roślinnych typowych dla rezerwatu „Las Piwnicki”,  drzewostanami  w  wieku  około  150  lat  oraz  unikalnymi  cechami  przyrodniczymi  w najbliższym sąsiedztwie rezerwatu. Cel ochrony rezerwatu, którym jest zachowanie wielogatunkowych zbiorowisk leśnych o cechach naturalnych, występujących na glebach wytworzonych z piasków terasowych i wydmowych, nie ulega zmianie.</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Na obszarach graniczących z rezerwatem wyznaczono otulinę o powierzchni 46,80 ha.</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rPr>
      </w:pPr>
      <w:r>
        <w:rPr>
          <w:color w:val="000000"/>
          <w:szCs w:val="20"/>
          <w:shd w:val="clear" w:color="auto" w:fill="FFFFFF"/>
        </w:rPr>
        <w:t>Na początku 2024 r. Nadleśnictwo Toruń zleciło wykonanie opracowania pn.  Inwentaryzacja  przyrodniczo-leśna terenów planowanych do przyłączenia w obszar rezerwatu „Las Piwnicki”. Zakres opracowania obejmuje opis:  ogólnych  danych  o  istniejącym  rezerwacie,  granic  terenu  planowanego  do włączenia i środowiska  przyrodniczego  terenu  planowanego  do  włączenia.  Metodyka prowadzonych prac obejmuje: typy ekosystemów (podział na ekosystemy leśne, nieleśne, wodne, torfowiskowe), siedliska  przyrodnicze  będące  przedmiotem  ochrony  w  ramach  obszarów  Natura 2000, roślinność  (wykaz  systematycznych  zbiorowisk  leśnych),  zbiorowiska  leśne  z  oceną zachodzących procesów (w tym zaobserwowane zagrożenia i przejawy degeneracji), gatunki roślin dziko występujących oraz ich siedliska i stanowiska, w tym objęte ochroną gatunkową, zagrożone wyginięciem,  rzadko  występujące  oraz  występujące  poza  granicami  naturalnego  zasięgu  (w szczególności zagrażające gatunkom rodzimym), ocenę spójności i wpływu powiększenia terenu rezerwatu  na  przedmiot  ochrony.  Wyniki ekspertyzy potwierdziły bardzo wysokie walory przyrodnicze przedmiotowego terenu.</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rPr>
      </w:pPr>
      <w:r>
        <w:rPr>
          <w:color w:val="000000"/>
          <w:szCs w:val="20"/>
          <w:shd w:val="clear" w:color="auto" w:fill="FFFFFF"/>
        </w:rPr>
        <w:t xml:space="preserve">Z powyższych względów, warto zachować przedmiotowy teren dla przyszłych pokoleń, </w:t>
        <w:br/>
        <w:t>a ochrona w formie rezerwatu przyrody zapewni trwanie terenów leśnych. Dodatkowo, powiększona  powierzchnia rezerwatu  pozwoli  na  stworzenie  przestrzeni  i  warunków  do  pełniejszych obserwacji  zachodzących procesów naturalnych.</w:t>
      </w:r>
    </w:p>
    <w:p>
      <w:pPr>
        <w:keepNext w:val="0"/>
        <w:keepLines w:val="0"/>
        <w:widowControl/>
        <w:suppressLineNumbers w:val="0"/>
        <w:shd w:val="clear" w:color="auto" w:fill="auto"/>
        <w:suppressAutoHyphens w:val="0"/>
        <w:spacing w:before="0" w:beforeAutospacing="0" w:after="0" w:afterAutospacing="0" w:line="360" w:lineRule="auto"/>
        <w:ind w:left="0" w:right="0" w:firstLine="708"/>
        <w:contextualSpacing w:val="0"/>
        <w:rPr>
          <w:color w:val="000000"/>
          <w:szCs w:val="20"/>
          <w:shd w:val="clear" w:color="auto" w:fill="FFFFFF"/>
        </w:rPr>
      </w:pPr>
      <w:r>
        <w:rPr>
          <w:color w:val="000000"/>
          <w:szCs w:val="20"/>
          <w:shd w:val="clear" w:color="auto" w:fill="FFFFFF"/>
        </w:rPr>
        <w:t>Rezerwat przyrody „Las Piwnicki” położony jest na gruntach należących do Skarbu Państwa,  zarządzanych  przez  Państwowe  Gospodarstwo  Leśne  Lasy  Państwowe  Nadleśnictwo Toruń oraz Państwowe Gospodarstwo Wodne Wody Polskie Regionalny Zarząd Gospodarki Wodnej w Gdańsku.</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Państwowe  Gospodarstwo  Leśne  Lasy  Państwowe  Nadleśnictwo Toruń, zarządca części obszaru rezerwatu, wyraziło zgodę na powiększenie rezerwatu przyrody „Las Piwnicki” i zaopiniowała projekt rezerwatu pismem z dnia. 27 lutego 2025 r., znak ZG.7212.8.2024.</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 xml:space="preserve">Regionalna  Dyrekcja  Lasów  Państwowych  w  Toruniu  wyraziła  zgodę  na  powiększenie rezerwatu przyrody „Las Piwnicki” i zaopiniowała projekt rezerwatu pismem z dnia 5 lutego 2025 r., znak 1ZO.7212.9.2025. </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Państwowe  Gospodarstwo  Wodne  Wody  Polskie  Regionalny  Zarząd  Gospodarki  Wodnej w Gdańsku, zarządca części obszaru rezerwatu, wyraziło zgodę na powiększenie rezerwatu przyrody „Las Piwnicki” pismem z dnia 23 stycznia 2025 r., znak: G.RZŚ.492.3.2025.MBC.1.</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Projekt zarządzenia został pozytywnie zaopiniowany przez Regionalną Radę Ochrony Przyrody w Bydgoszczy uchwałą nr 13/2025 z dnia 12 maja 2025 r.</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r>
        <w:rPr>
          <w:color w:val="000000"/>
          <w:szCs w:val="20"/>
          <w:shd w:val="clear" w:color="auto" w:fill="FFFFFF"/>
        </w:rPr>
        <w:t>Na podstawie art. 59 ust. 2 ustawy z dnia 23 stycznia 2009 r. o wojew</w:t>
      </w:r>
      <w:r>
        <w:rPr>
          <w:color w:val="000000"/>
          <w:szCs w:val="20"/>
          <w:shd w:val="clear" w:color="auto" w:fill="FFFFFF"/>
        </w:rPr>
        <w:t>odzie</w:t>
      </w:r>
      <w:r>
        <w:rPr>
          <w:color w:val="000000"/>
          <w:szCs w:val="20"/>
          <w:shd w:val="clear" w:color="auto" w:fill="FFFFFF"/>
        </w:rPr>
        <w:t xml:space="preserve"> </w:t>
        <w:br/>
        <w:t xml:space="preserve">i administracji rządowej w województwie  </w:t>
      </w:r>
      <w:r>
        <w:rPr>
          <w:color w:val="000000"/>
          <w:szCs w:val="20"/>
          <w:shd w:val="clear" w:color="auto" w:fill="FFFFFF"/>
        </w:rPr>
        <w:t>(Dz. U. z 2025 r. poz. 428)</w:t>
      </w:r>
      <w:r>
        <w:rPr>
          <w:color w:val="000000"/>
          <w:szCs w:val="20"/>
          <w:shd w:val="clear" w:color="auto" w:fill="FFFFFF"/>
        </w:rPr>
        <w:t>, projekt zarządzenia został uzgodniony pozytywnie przez Wojewodę Kujawsko-Pomorskiego pismem znak: WRS.II.710.4.4.2025, z dnia 15 maja 2025 r.</w:t>
      </w: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rPr>
          <w:color w:val="000000"/>
          <w:szCs w:val="20"/>
          <w:shd w:val="clear" w:color="auto" w:fill="FFFFFF"/>
        </w:rPr>
      </w:pPr>
    </w:p>
    <w:p>
      <w:pPr>
        <w:keepNext w:val="0"/>
        <w:keepLines w:val="0"/>
        <w:widowControl/>
        <w:suppressLineNumbers w:val="0"/>
        <w:shd w:val="clear" w:color="auto" w:fill="auto"/>
        <w:suppressAutoHyphens w:val="0"/>
        <w:spacing w:before="0" w:beforeAutospacing="0" w:after="0" w:afterAutospacing="0" w:line="360" w:lineRule="auto"/>
        <w:ind w:left="0" w:right="0" w:firstLine="720"/>
        <w:contextualSpacing w:val="0"/>
        <w:jc w:val="right"/>
        <w:rPr>
          <w:color w:val="000000"/>
          <w:szCs w:val="20"/>
          <w:shd w:val="clear" w:color="auto" w:fill="FFFFFF"/>
          <w:lang w:val="x-none" w:eastAsia="en-US" w:bidi="ar-SA"/>
        </w:rPr>
      </w:pPr>
      <w:r>
        <w:drawing>
          <wp:inline>
            <wp:extent cx="2639060" cy="105219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6"/>
                    <a:stretch>
                      <a:fillRect/>
                    </a:stretch>
                  </pic:blipFill>
                  <pic:spPr>
                    <a:xfrm>
                      <a:off x="0" y="0"/>
                      <a:ext cx="2639060" cy="1052195"/>
                    </a:xfrm>
                    <a:prstGeom prst="rect">
                      <a:avLst/>
                    </a:prstGeom>
                    <a:noFill/>
                  </pic:spPr>
                </pic:pic>
              </a:graphicData>
            </a:graphic>
          </wp:inline>
        </w:drawing>
      </w:r>
    </w:p>
    <w:sectPr>
      <w:footerReference w:type="default" r:id="rId27"/>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0EE202C0-4E76-49B4-A0E5-6C4B03BB2619.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0EE202C0-4E76-49B4-A0E5-6C4B03BB2619.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0EE202C0-4E76-49B4-A0E5-6C4B03BB2619.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577"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0EE202C0-4E76-49B4-A0E5-6C4B03BB2619. Uchwalony</w:t>
          </w:r>
        </w:p>
      </w:tc>
      <w:tc>
        <w:tcPr>
          <w:tcW w:w="3289"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403" w:type="dxa"/>
          <w:tcBorders>
            <w:top w:val="single" w:sz="2" w:space="0" w:color="auto"/>
            <w:left w:val="nil"/>
            <w:bottom w:val="nil"/>
            <w:right w:val="nil"/>
          </w:tcBorders>
          <w:noWrap w:val="0"/>
          <w:tcMar>
            <w:top w:w="100" w:type="dxa"/>
          </w:tcMar>
          <w:textDirection w:val="lrTb"/>
          <w:vAlign w:val="bottom"/>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0EE202C0-4E76-49B4-A0E5-6C4B03BB2619. Uchwalony</w:t>
          </w:r>
        </w:p>
      </w:tc>
      <w:tc>
        <w:tcPr>
          <w:tcW w:w="3202" w:type="dxa"/>
          <w:tcBorders>
            <w:top w:val="single" w:sz="2" w:space="0" w:color="auto"/>
            <w:left w:val="nil"/>
            <w:bottom w:val="nil"/>
            <w:right w:val="nil"/>
          </w:tcBorders>
          <w:noWrap w:val="0"/>
          <w:tcMar>
            <w:top w:w="100" w:type="dxa"/>
          </w:tcMar>
          <w:textDirection w:val="lrTb"/>
          <w:vAlign w:val="bottom"/>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pPr>
      <w:r>
        <w:separator/>
      </w:r>
    </w:p>
  </w:footnote>
  <w:footnote w:type="continuationSeparator" w:id="1">
    <w:p>
      <w:pPr>
        <w:spacing w:after="0" w:line="240" w:lineRule="auto"/>
      </w:pPr>
      <w:r>
        <w:continuationSeparator/>
      </w:r>
    </w:p>
  </w:footnote>
  <w:footnote w:id="2">
    <w:p>
      <w:pPr>
        <w:pStyle w:val="FootnoteText"/>
        <w:keepNext w:val="0"/>
        <w:keepLines/>
        <w:spacing w:before="0" w:after="0" w:line="240" w:lineRule="auto"/>
        <w:ind w:left="170" w:right="0" w:hanging="170"/>
        <w:jc w:val="both"/>
        <w:rPr>
          <w:rFonts w:ascii="Times New Roman" w:eastAsia="Times New Roman" w:hAnsi="Times New Roman" w:cs="Times New Roman"/>
          <w:sz w:val="20"/>
        </w:rPr>
      </w:pPr>
      <w:r>
        <w:rPr>
          <w:rStyle w:val="FootnoteReference"/>
          <w:b w:val="0"/>
          <w:caps w:val="0"/>
        </w:rPr>
        <w:t>1) </w:t>
      </w:r>
      <w:r>
        <w:rPr>
          <w:rFonts w:ascii="Times New Roman" w:eastAsia="Times New Roman" w:hAnsi="Times New Roman" w:cs="Times New Roman"/>
          <w:b w:val="0"/>
          <w:caps w:val="0"/>
          <w:sz w:val="20"/>
        </w:rPr>
        <w:t>Układ współrzędnych płaskich prostokątnych PL-1992 jest jednym z układów tworzących państwowy system odniesień przestrzennych, o którym mowa w przepisach wydanych na podstawie art. 3 ust. 5 ustawy z dnia 17 maja 1989 r. – Prawo geodezyjne i kartograficzne (t.j. Dz. U. z 2024 r. poz. 1151 i 1824).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footnotePr>
    <w:footnote w:id="0"/>
    <w:footnote w:id="1"/>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rsid w:val="00805BCE"/>
    <w:rPr>
      <w:vertAlign w:val="superscript"/>
    </w:rPr>
  </w:style>
  <w:style w:type="paragraph" w:styleId="FootnoteText">
    <w:name w:val="footnote text"/>
    <w:basedOn w:val="Normal"/>
    <w:rsid w:val="00805BCE"/>
    <w:rPr>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Zalacznik35018E0C-8221-401A-B9B4-4F5BA85FC016.jpg" TargetMode="External" /><Relationship Id="rId12" Type="http://schemas.openxmlformats.org/officeDocument/2006/relationships/image" Target="media/image4.png" /><Relationship Id="rId13" Type="http://schemas.openxmlformats.org/officeDocument/2006/relationships/image" Target="Zalacznik5827AAC3-A192-4FD9-B9FF-1392788F1F29.jpg" TargetMode="External" /><Relationship Id="rId14" Type="http://schemas.openxmlformats.org/officeDocument/2006/relationships/image" Target="media/image5.png" /><Relationship Id="rId15" Type="http://schemas.openxmlformats.org/officeDocument/2006/relationships/image" Target="ZalacznikB5306A74-7AB3-4872-9BCB-7CC9B33C0D84.jpg" TargetMode="External" /><Relationship Id="rId16" Type="http://schemas.openxmlformats.org/officeDocument/2006/relationships/image" Target="media/image6.png" /><Relationship Id="rId17" Type="http://schemas.openxmlformats.org/officeDocument/2006/relationships/image" Target="ZalacznikDE6CF04A-600F-471A-B7BD-8FDFD1495CD9.jpg" TargetMode="External" /><Relationship Id="rId18" Type="http://schemas.openxmlformats.org/officeDocument/2006/relationships/image" Target="media/image7.png" /><Relationship Id="rId19" Type="http://schemas.openxmlformats.org/officeDocument/2006/relationships/image" Target="Zalacznik00245A6E-E080-41EE-A2EB-BE0EFFCDAD06.jpg" TargetMode="External" /><Relationship Id="rId2" Type="http://schemas.openxmlformats.org/officeDocument/2006/relationships/settings" Target="settings.xml" /><Relationship Id="rId20" Type="http://schemas.openxmlformats.org/officeDocument/2006/relationships/image" Target="ZalacznikB4E4611F-54DB-45DD-A7C3-73A89CCF519D.jpg" TargetMode="External" /><Relationship Id="rId21" Type="http://schemas.openxmlformats.org/officeDocument/2006/relationships/footer" Target="footer2.xml" /><Relationship Id="rId22" Type="http://schemas.openxmlformats.org/officeDocument/2006/relationships/image" Target="Zalacznik072B3464-DC0A-4EA3-AC42-CBB71946FCE7.jpg" TargetMode="External" /><Relationship Id="rId23" Type="http://schemas.openxmlformats.org/officeDocument/2006/relationships/footer" Target="footer3.xml" /><Relationship Id="rId24" Type="http://schemas.openxmlformats.org/officeDocument/2006/relationships/image" Target="ZalacznikAEA33986-9770-4D3B-808F-54B16322E764.jpg" TargetMode="External" /><Relationship Id="rId25" Type="http://schemas.openxmlformats.org/officeDocument/2006/relationships/footer" Target="footer4.xml" /><Relationship Id="rId26" Type="http://schemas.openxmlformats.org/officeDocument/2006/relationships/image" Target="media/image8.jpeg" /><Relationship Id="rId27" Type="http://schemas.openxmlformats.org/officeDocument/2006/relationships/footer" Target="footer5.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jpeg" /><Relationship Id="rId6" Type="http://schemas.openxmlformats.org/officeDocument/2006/relationships/image" Target="Zalacznik1159FB50-757B-467B-8425-858EC48D3581.jpg" TargetMode="External" /><Relationship Id="rId7" Type="http://schemas.openxmlformats.org/officeDocument/2006/relationships/footer" Target="footer1.xml" /><Relationship Id="rId8" Type="http://schemas.openxmlformats.org/officeDocument/2006/relationships/image" Target="media/image2.png" /><Relationship Id="rId9" Type="http://schemas.openxmlformats.org/officeDocument/2006/relationships/image" Target="Zalacznik16B2DEEB-3AFD-412A-BDA4-C1AD20736D66.jpg" TargetMode="Externa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Regionalny Dyrektor Ochrony Środowiska w Bydgoszczy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z dnia 4 czerwca 2025 r.</dc:title>
  <dc:subject>w^sprawie rezerwatu przyrody „Las Piwnicki”</dc:subject>
  <dc:creator>kleszczynska</dc:creator>
  <cp:lastModifiedBy>kleszczynska</cp:lastModifiedBy>
  <cp:revision>1</cp:revision>
  <dcterms:created xsi:type="dcterms:W3CDTF">2025-06-02T13:11:45Z</dcterms:created>
  <dcterms:modified xsi:type="dcterms:W3CDTF">2025-06-02T13:11:45Z</dcterms:modified>
  <cp:category>Akt prawny</cp:category>
</cp:coreProperties>
</file>