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0DB32D" w14:textId="77777777" w:rsidR="000B3477" w:rsidRPr="000D5D4B" w:rsidRDefault="000B3477" w:rsidP="00C4041F">
      <w:pPr>
        <w:pStyle w:val="Nagwek1"/>
        <w:rPr>
          <w:rFonts w:asciiTheme="minorHAnsi" w:eastAsia="Calibri" w:hAnsiTheme="minorHAnsi" w:cstheme="minorHAnsi"/>
          <w:b/>
          <w:color w:val="auto"/>
          <w:sz w:val="28"/>
          <w:szCs w:val="28"/>
        </w:rPr>
      </w:pPr>
      <w:r w:rsidRPr="000D5D4B">
        <w:rPr>
          <w:rFonts w:asciiTheme="minorHAnsi" w:eastAsia="Calibri" w:hAnsiTheme="minorHAnsi" w:cstheme="minorHAnsi"/>
          <w:b/>
          <w:color w:val="auto"/>
          <w:sz w:val="28"/>
          <w:szCs w:val="28"/>
        </w:rPr>
        <w:t>ORZECZENIE</w:t>
      </w:r>
      <w:r w:rsidR="008D732F" w:rsidRPr="000D5D4B">
        <w:rPr>
          <w:rFonts w:asciiTheme="minorHAnsi" w:eastAsia="Calibri" w:hAnsiTheme="minorHAnsi" w:cstheme="minorHAnsi"/>
          <w:b/>
          <w:color w:val="auto"/>
          <w:sz w:val="28"/>
          <w:szCs w:val="28"/>
        </w:rPr>
        <w:br/>
      </w:r>
      <w:r w:rsidRPr="000D5D4B">
        <w:rPr>
          <w:rFonts w:asciiTheme="minorHAnsi" w:eastAsia="Calibri" w:hAnsiTheme="minorHAnsi" w:cstheme="minorHAnsi"/>
          <w:b/>
          <w:color w:val="auto"/>
          <w:sz w:val="28"/>
          <w:szCs w:val="28"/>
        </w:rPr>
        <w:t>Głównej Komisji Orzekającej w Sprawach o Naruszenie Dyscypliny Finansów Publicznych</w:t>
      </w:r>
    </w:p>
    <w:p w14:paraId="6A9F8A5B" w14:textId="49BBFAD0" w:rsidR="000B3477" w:rsidRDefault="00F6525C" w:rsidP="00C4041F">
      <w:pPr>
        <w:spacing w:before="600" w:after="0" w:line="276" w:lineRule="auto"/>
        <w:rPr>
          <w:rFonts w:eastAsia="Calibri" w:cstheme="minorHAnsi"/>
          <w:sz w:val="24"/>
        </w:rPr>
      </w:pPr>
      <w:r>
        <w:rPr>
          <w:rFonts w:eastAsia="Calibri" w:cstheme="minorHAnsi"/>
          <w:sz w:val="24"/>
        </w:rPr>
        <w:t xml:space="preserve">Warszawa, dnia </w:t>
      </w:r>
      <w:r w:rsidR="005950D2">
        <w:rPr>
          <w:rFonts w:eastAsia="Calibri" w:cstheme="minorHAnsi"/>
          <w:sz w:val="24"/>
        </w:rPr>
        <w:t>7 kwietnia</w:t>
      </w:r>
      <w:r w:rsidR="004045D8" w:rsidRPr="00E928D0">
        <w:rPr>
          <w:rFonts w:eastAsia="Calibri" w:cstheme="minorHAnsi"/>
          <w:sz w:val="24"/>
        </w:rPr>
        <w:t xml:space="preserve"> </w:t>
      </w:r>
      <w:r w:rsidR="006745C5">
        <w:rPr>
          <w:rFonts w:eastAsia="Calibri" w:cstheme="minorHAnsi"/>
          <w:sz w:val="24"/>
        </w:rPr>
        <w:t>2022</w:t>
      </w:r>
      <w:r w:rsidR="000B3477" w:rsidRPr="00E928D0">
        <w:rPr>
          <w:rFonts w:eastAsia="Calibri" w:cstheme="minorHAnsi"/>
          <w:sz w:val="24"/>
        </w:rPr>
        <w:t xml:space="preserve"> r.</w:t>
      </w:r>
    </w:p>
    <w:p w14:paraId="2FD1BC6E" w14:textId="63F3FFF6" w:rsidR="00A33BD0" w:rsidRPr="00E928D0" w:rsidRDefault="000B3477" w:rsidP="001529FC">
      <w:pPr>
        <w:spacing w:after="240" w:line="360" w:lineRule="auto"/>
        <w:rPr>
          <w:rFonts w:eastAsia="Calibri" w:cstheme="minorHAnsi"/>
          <w:sz w:val="24"/>
        </w:rPr>
      </w:pPr>
      <w:r w:rsidRPr="00E928D0">
        <w:rPr>
          <w:rFonts w:eastAsia="Calibri" w:cstheme="minorHAnsi"/>
          <w:sz w:val="24"/>
        </w:rPr>
        <w:t xml:space="preserve">Główna Komisja Orzekająca w Sprawach o Naruszenie Dyscypliny Finansów Publicznych </w:t>
      </w:r>
      <w:r w:rsidRPr="00E928D0">
        <w:rPr>
          <w:rFonts w:eastAsia="Calibri" w:cstheme="minorHAnsi"/>
          <w:sz w:val="24"/>
        </w:rPr>
        <w:br/>
        <w:t>w składzie:</w:t>
      </w:r>
    </w:p>
    <w:tbl>
      <w:tblPr>
        <w:tblW w:w="9120" w:type="dxa"/>
        <w:tblInd w:w="108" w:type="dxa"/>
        <w:tblLayout w:type="fixed"/>
        <w:tblLook w:val="0000" w:firstRow="0" w:lastRow="0" w:firstColumn="0" w:lastColumn="0" w:noHBand="0" w:noVBand="0"/>
      </w:tblPr>
      <w:tblGrid>
        <w:gridCol w:w="1985"/>
        <w:gridCol w:w="3260"/>
        <w:gridCol w:w="3875"/>
      </w:tblGrid>
      <w:tr w:rsidR="000B3477" w:rsidRPr="00E928D0" w14:paraId="122AC8DE" w14:textId="77777777" w:rsidTr="002636DF">
        <w:trPr>
          <w:cantSplit/>
        </w:trPr>
        <w:tc>
          <w:tcPr>
            <w:tcW w:w="1985" w:type="dxa"/>
          </w:tcPr>
          <w:p w14:paraId="7F59BF2A" w14:textId="35557BC6" w:rsidR="000B3477" w:rsidRPr="00E928D0" w:rsidRDefault="00FC4C72" w:rsidP="00167CDC">
            <w:pPr>
              <w:spacing w:after="0" w:line="360" w:lineRule="atLeast"/>
              <w:rPr>
                <w:rFonts w:eastAsia="Times New Roman" w:cstheme="minorHAnsi"/>
                <w:b/>
                <w:sz w:val="24"/>
                <w:szCs w:val="24"/>
                <w:lang w:eastAsia="pl-PL"/>
              </w:rPr>
            </w:pPr>
            <w:r>
              <w:rPr>
                <w:rFonts w:eastAsia="Times New Roman" w:cstheme="minorHAnsi"/>
                <w:b/>
                <w:sz w:val="24"/>
                <w:szCs w:val="24"/>
                <w:lang w:eastAsia="pl-PL"/>
              </w:rPr>
              <w:t>Przewodnicząca</w:t>
            </w:r>
            <w:r w:rsidR="000B3477" w:rsidRPr="00E928D0">
              <w:rPr>
                <w:rFonts w:eastAsia="Times New Roman" w:cstheme="minorHAnsi"/>
                <w:b/>
                <w:sz w:val="24"/>
                <w:szCs w:val="24"/>
                <w:lang w:eastAsia="pl-PL"/>
              </w:rPr>
              <w:t>:</w:t>
            </w:r>
          </w:p>
        </w:tc>
        <w:tc>
          <w:tcPr>
            <w:tcW w:w="3260" w:type="dxa"/>
          </w:tcPr>
          <w:p w14:paraId="3107B44E" w14:textId="77EFF94A"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B9047E" w:rsidRPr="00B9047E">
              <w:rPr>
                <w:rFonts w:eastAsia="Times New Roman" w:cstheme="minorHAnsi"/>
                <w:sz w:val="24"/>
                <w:szCs w:val="24"/>
                <w:lang w:eastAsia="pl-PL"/>
              </w:rPr>
              <w:t>:</w:t>
            </w:r>
          </w:p>
        </w:tc>
        <w:tc>
          <w:tcPr>
            <w:tcW w:w="3875" w:type="dxa"/>
          </w:tcPr>
          <w:p w14:paraId="0F9CEC88" w14:textId="2E407F58" w:rsidR="000B3477" w:rsidRPr="00E928D0" w:rsidRDefault="005950D2" w:rsidP="006D4A71">
            <w:pPr>
              <w:keepNext/>
              <w:tabs>
                <w:tab w:val="right" w:pos="8931"/>
              </w:tabs>
              <w:spacing w:after="0" w:line="360" w:lineRule="atLeast"/>
              <w:ind w:right="-10"/>
              <w:outlineLvl w:val="2"/>
              <w:rPr>
                <w:rFonts w:eastAsia="Times New Roman" w:cstheme="minorHAnsi"/>
                <w:b/>
                <w:i/>
                <w:sz w:val="24"/>
                <w:szCs w:val="24"/>
                <w:lang w:eastAsia="pl-PL"/>
              </w:rPr>
            </w:pPr>
            <w:r>
              <w:rPr>
                <w:rFonts w:eastAsia="Times New Roman" w:cstheme="minorHAnsi"/>
                <w:b/>
                <w:sz w:val="24"/>
                <w:szCs w:val="24"/>
                <w:lang w:eastAsia="pl-PL"/>
              </w:rPr>
              <w:t>Katarzyna Ronikier-Dolańska</w:t>
            </w:r>
          </w:p>
        </w:tc>
      </w:tr>
      <w:tr w:rsidR="000B3477" w:rsidRPr="00E928D0" w14:paraId="2759C0BA" w14:textId="77777777" w:rsidTr="002636DF">
        <w:trPr>
          <w:cantSplit/>
        </w:trPr>
        <w:tc>
          <w:tcPr>
            <w:tcW w:w="1985" w:type="dxa"/>
          </w:tcPr>
          <w:p w14:paraId="0E68AD9D" w14:textId="77777777" w:rsidR="000B3477" w:rsidRPr="00E928D0" w:rsidRDefault="000B3477" w:rsidP="00167CDC">
            <w:pPr>
              <w:spacing w:after="0" w:line="360" w:lineRule="atLeast"/>
              <w:rPr>
                <w:rFonts w:eastAsia="Times New Roman" w:cstheme="minorHAnsi"/>
                <w:b/>
                <w:sz w:val="24"/>
                <w:szCs w:val="24"/>
                <w:lang w:eastAsia="pl-PL"/>
              </w:rPr>
            </w:pPr>
            <w:r w:rsidRPr="00E928D0">
              <w:rPr>
                <w:rFonts w:eastAsia="Times New Roman" w:cstheme="minorHAnsi"/>
                <w:b/>
                <w:sz w:val="24"/>
                <w:szCs w:val="24"/>
                <w:lang w:eastAsia="pl-PL"/>
              </w:rPr>
              <w:t xml:space="preserve">Członkowie: </w:t>
            </w:r>
          </w:p>
        </w:tc>
        <w:tc>
          <w:tcPr>
            <w:tcW w:w="3260" w:type="dxa"/>
          </w:tcPr>
          <w:p w14:paraId="60D92604" w14:textId="66C45B49"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w:t>
            </w:r>
            <w:r w:rsidR="004045D8" w:rsidRPr="004045D8">
              <w:rPr>
                <w:rFonts w:eastAsia="Times New Roman" w:cstheme="minorHAnsi"/>
                <w:sz w:val="24"/>
                <w:szCs w:val="24"/>
                <w:lang w:eastAsia="pl-PL"/>
              </w:rPr>
              <w:t xml:space="preserve"> GKO</w:t>
            </w:r>
            <w:r w:rsidR="00F6525C" w:rsidRPr="00F6525C">
              <w:rPr>
                <w:rFonts w:eastAsia="Times New Roman" w:cstheme="minorHAnsi"/>
                <w:sz w:val="24"/>
                <w:szCs w:val="24"/>
                <w:lang w:eastAsia="pl-PL"/>
              </w:rPr>
              <w:t>:</w:t>
            </w:r>
          </w:p>
        </w:tc>
        <w:tc>
          <w:tcPr>
            <w:tcW w:w="3875" w:type="dxa"/>
          </w:tcPr>
          <w:p w14:paraId="05945A52" w14:textId="6BBBEF52" w:rsidR="000B3477" w:rsidRPr="00E928D0" w:rsidRDefault="005950D2" w:rsidP="00167CDC">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Anna Maksym</w:t>
            </w:r>
            <w:r w:rsidR="00FC4C72">
              <w:rPr>
                <w:rFonts w:eastAsia="Times New Roman" w:cstheme="minorHAnsi"/>
                <w:b/>
                <w:sz w:val="24"/>
                <w:szCs w:val="24"/>
                <w:lang w:eastAsia="pl-PL"/>
              </w:rPr>
              <w:t xml:space="preserve"> (spr.)</w:t>
            </w:r>
          </w:p>
        </w:tc>
      </w:tr>
      <w:tr w:rsidR="000B3477" w:rsidRPr="00E928D0" w14:paraId="48F4C630" w14:textId="77777777" w:rsidTr="002636DF">
        <w:trPr>
          <w:cantSplit/>
        </w:trPr>
        <w:tc>
          <w:tcPr>
            <w:tcW w:w="1985" w:type="dxa"/>
          </w:tcPr>
          <w:p w14:paraId="3943573E" w14:textId="77777777" w:rsidR="000B3477" w:rsidRPr="00E928D0" w:rsidRDefault="000B3477" w:rsidP="00167CDC">
            <w:pPr>
              <w:spacing w:after="0" w:line="360" w:lineRule="atLeast"/>
              <w:rPr>
                <w:rFonts w:eastAsia="Times New Roman" w:cstheme="minorHAnsi"/>
                <w:sz w:val="24"/>
                <w:szCs w:val="24"/>
                <w:lang w:eastAsia="pl-PL"/>
              </w:rPr>
            </w:pPr>
          </w:p>
        </w:tc>
        <w:tc>
          <w:tcPr>
            <w:tcW w:w="3260" w:type="dxa"/>
          </w:tcPr>
          <w:p w14:paraId="6776BDC9" w14:textId="1CB2E580" w:rsidR="000B3477" w:rsidRPr="00E928D0" w:rsidRDefault="00C14327" w:rsidP="00167CDC">
            <w:pPr>
              <w:spacing w:after="0" w:line="360" w:lineRule="atLeast"/>
              <w:rPr>
                <w:rFonts w:eastAsia="Times New Roman" w:cstheme="minorHAnsi"/>
                <w:sz w:val="24"/>
                <w:szCs w:val="24"/>
                <w:lang w:eastAsia="pl-PL"/>
              </w:rPr>
            </w:pPr>
            <w:r>
              <w:rPr>
                <w:rFonts w:eastAsia="Times New Roman" w:cstheme="minorHAnsi"/>
                <w:sz w:val="24"/>
                <w:szCs w:val="24"/>
                <w:lang w:eastAsia="pl-PL"/>
              </w:rPr>
              <w:t>Członek GKO:</w:t>
            </w:r>
          </w:p>
        </w:tc>
        <w:tc>
          <w:tcPr>
            <w:tcW w:w="3875" w:type="dxa"/>
          </w:tcPr>
          <w:p w14:paraId="515BC72C" w14:textId="08E98A90" w:rsidR="000B3477" w:rsidRPr="00E928D0" w:rsidRDefault="005950D2" w:rsidP="00FC4C72">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Jarosław Talarowski</w:t>
            </w:r>
            <w:r w:rsidR="006D4A71">
              <w:rPr>
                <w:rFonts w:eastAsia="Times New Roman" w:cstheme="minorHAnsi"/>
                <w:b/>
                <w:sz w:val="24"/>
                <w:szCs w:val="24"/>
                <w:lang w:eastAsia="pl-PL"/>
              </w:rPr>
              <w:t xml:space="preserve"> </w:t>
            </w:r>
          </w:p>
        </w:tc>
      </w:tr>
      <w:tr w:rsidR="000B3477" w:rsidRPr="00E928D0" w14:paraId="308A44D4" w14:textId="77777777" w:rsidTr="002636DF">
        <w:trPr>
          <w:cantSplit/>
        </w:trPr>
        <w:tc>
          <w:tcPr>
            <w:tcW w:w="1985" w:type="dxa"/>
          </w:tcPr>
          <w:p w14:paraId="71640C28" w14:textId="77777777" w:rsidR="000B3477" w:rsidRPr="00E928D0" w:rsidRDefault="000B3477" w:rsidP="00167CDC">
            <w:pPr>
              <w:spacing w:after="0" w:line="360" w:lineRule="atLeast"/>
              <w:rPr>
                <w:rFonts w:eastAsia="Times New Roman" w:cstheme="minorHAnsi"/>
                <w:sz w:val="24"/>
                <w:szCs w:val="24"/>
                <w:lang w:eastAsia="pl-PL"/>
              </w:rPr>
            </w:pPr>
            <w:r w:rsidRPr="00E928D0">
              <w:rPr>
                <w:rFonts w:eastAsia="Times New Roman" w:cstheme="minorHAnsi"/>
                <w:sz w:val="24"/>
                <w:szCs w:val="24"/>
                <w:lang w:eastAsia="pl-PL"/>
              </w:rPr>
              <w:t>Protokolant:</w:t>
            </w:r>
          </w:p>
        </w:tc>
        <w:tc>
          <w:tcPr>
            <w:tcW w:w="3260" w:type="dxa"/>
          </w:tcPr>
          <w:p w14:paraId="263349E0" w14:textId="77777777" w:rsidR="000B3477" w:rsidRPr="00E928D0" w:rsidRDefault="000B3477" w:rsidP="00167CDC">
            <w:pPr>
              <w:spacing w:after="0" w:line="360" w:lineRule="atLeast"/>
              <w:rPr>
                <w:rFonts w:eastAsia="Times New Roman" w:cstheme="minorHAnsi"/>
                <w:i/>
                <w:sz w:val="24"/>
                <w:szCs w:val="24"/>
                <w:lang w:eastAsia="pl-PL"/>
              </w:rPr>
            </w:pPr>
          </w:p>
        </w:tc>
        <w:tc>
          <w:tcPr>
            <w:tcW w:w="3875" w:type="dxa"/>
          </w:tcPr>
          <w:p w14:paraId="18A5ED38" w14:textId="6A809B35" w:rsidR="000B3477" w:rsidRPr="00E928D0" w:rsidRDefault="00C14327" w:rsidP="00167CDC">
            <w:pPr>
              <w:keepNext/>
              <w:tabs>
                <w:tab w:val="right" w:pos="8931"/>
              </w:tabs>
              <w:spacing w:after="0" w:line="360" w:lineRule="atLeast"/>
              <w:ind w:right="-10"/>
              <w:outlineLvl w:val="2"/>
              <w:rPr>
                <w:rFonts w:eastAsia="Times New Roman" w:cstheme="minorHAnsi"/>
                <w:b/>
                <w:sz w:val="24"/>
                <w:szCs w:val="24"/>
                <w:lang w:eastAsia="pl-PL"/>
              </w:rPr>
            </w:pPr>
            <w:r>
              <w:rPr>
                <w:rFonts w:eastAsia="Times New Roman" w:cstheme="minorHAnsi"/>
                <w:b/>
                <w:sz w:val="24"/>
                <w:szCs w:val="24"/>
                <w:lang w:eastAsia="pl-PL"/>
              </w:rPr>
              <w:t>Dorota Machnicka</w:t>
            </w:r>
          </w:p>
        </w:tc>
      </w:tr>
    </w:tbl>
    <w:p w14:paraId="78EFA276" w14:textId="77777777" w:rsidR="00B841FE" w:rsidRDefault="00B841FE" w:rsidP="00B841FE">
      <w:pPr>
        <w:pStyle w:val="Tekstpodstawowy1"/>
        <w:shd w:val="clear" w:color="auto" w:fill="auto"/>
        <w:spacing w:before="0" w:after="0" w:line="365" w:lineRule="exact"/>
        <w:ind w:right="40"/>
        <w:rPr>
          <w:rFonts w:asciiTheme="minorHAnsi" w:hAnsiTheme="minorHAnsi" w:cstheme="minorHAnsi"/>
          <w:sz w:val="24"/>
          <w:szCs w:val="22"/>
        </w:rPr>
      </w:pPr>
    </w:p>
    <w:p w14:paraId="23D8E294" w14:textId="255DC7AE" w:rsidR="00DD28FD" w:rsidRPr="00DD28FD" w:rsidRDefault="000B3477" w:rsidP="00DD28FD">
      <w:pPr>
        <w:pStyle w:val="Bodytext2"/>
        <w:spacing w:after="249" w:line="360" w:lineRule="auto"/>
        <w:rPr>
          <w:rFonts w:asciiTheme="minorHAnsi" w:hAnsiTheme="minorHAnsi" w:cstheme="minorHAnsi"/>
          <w:sz w:val="24"/>
          <w:szCs w:val="24"/>
        </w:rPr>
      </w:pPr>
      <w:r w:rsidRPr="00101B7A">
        <w:rPr>
          <w:rFonts w:asciiTheme="minorHAnsi" w:hAnsiTheme="minorHAnsi" w:cstheme="minorHAnsi"/>
          <w:sz w:val="24"/>
          <w:szCs w:val="24"/>
        </w:rPr>
        <w:t xml:space="preserve">przy udziale Zastępcy Głównego Rzecznika Dyscypliny Finansów Publicznych </w:t>
      </w:r>
      <w:r w:rsidR="005950D2">
        <w:rPr>
          <w:rFonts w:asciiTheme="minorHAnsi" w:hAnsiTheme="minorHAnsi" w:cstheme="minorHAnsi"/>
          <w:sz w:val="24"/>
          <w:szCs w:val="24"/>
        </w:rPr>
        <w:t>Damiana Grzelki</w:t>
      </w:r>
      <w:r w:rsidRPr="00101B7A">
        <w:rPr>
          <w:rFonts w:asciiTheme="minorHAnsi" w:hAnsiTheme="minorHAnsi" w:cstheme="minorHAnsi"/>
          <w:sz w:val="24"/>
          <w:szCs w:val="24"/>
        </w:rPr>
        <w:t>,</w:t>
      </w:r>
      <w:r w:rsidR="00B9047E" w:rsidRPr="00101B7A">
        <w:rPr>
          <w:rFonts w:asciiTheme="minorHAnsi" w:hAnsiTheme="minorHAnsi" w:cstheme="minorHAnsi"/>
          <w:sz w:val="24"/>
          <w:szCs w:val="24"/>
        </w:rPr>
        <w:t xml:space="preserve"> </w:t>
      </w:r>
      <w:r w:rsidRPr="00101B7A">
        <w:rPr>
          <w:rFonts w:asciiTheme="minorHAnsi" w:hAnsiTheme="minorHAnsi" w:cstheme="minorHAnsi"/>
          <w:sz w:val="24"/>
          <w:szCs w:val="24"/>
        </w:rPr>
        <w:t xml:space="preserve">po rozpoznaniu na rozprawie w dniu </w:t>
      </w:r>
      <w:r w:rsidR="005950D2">
        <w:rPr>
          <w:rFonts w:asciiTheme="minorHAnsi" w:hAnsiTheme="minorHAnsi" w:cstheme="minorHAnsi"/>
          <w:sz w:val="24"/>
          <w:szCs w:val="24"/>
        </w:rPr>
        <w:t>7 kwietni</w:t>
      </w:r>
      <w:r w:rsidR="006745C5" w:rsidRPr="00101B7A">
        <w:rPr>
          <w:rFonts w:asciiTheme="minorHAnsi" w:hAnsiTheme="minorHAnsi" w:cstheme="minorHAnsi"/>
          <w:sz w:val="24"/>
          <w:szCs w:val="24"/>
        </w:rPr>
        <w:t>a</w:t>
      </w:r>
      <w:r w:rsidR="004045D8" w:rsidRPr="00101B7A">
        <w:rPr>
          <w:rFonts w:asciiTheme="minorHAnsi" w:hAnsiTheme="minorHAnsi" w:cstheme="minorHAnsi"/>
          <w:sz w:val="24"/>
          <w:szCs w:val="24"/>
        </w:rPr>
        <w:t xml:space="preserve"> </w:t>
      </w:r>
      <w:r w:rsidR="006745C5" w:rsidRPr="00101B7A">
        <w:rPr>
          <w:rFonts w:asciiTheme="minorHAnsi" w:hAnsiTheme="minorHAnsi" w:cstheme="minorHAnsi"/>
          <w:sz w:val="24"/>
          <w:szCs w:val="24"/>
        </w:rPr>
        <w:t>2022</w:t>
      </w:r>
      <w:r w:rsidRPr="00101B7A">
        <w:rPr>
          <w:rFonts w:asciiTheme="minorHAnsi" w:hAnsiTheme="minorHAnsi" w:cstheme="minorHAnsi"/>
          <w:sz w:val="24"/>
          <w:szCs w:val="24"/>
        </w:rPr>
        <w:t xml:space="preserve"> r. odwołania</w:t>
      </w:r>
      <w:r w:rsidR="007B3459" w:rsidRPr="00101B7A">
        <w:rPr>
          <w:rFonts w:asciiTheme="minorHAnsi" w:hAnsiTheme="minorHAnsi" w:cstheme="minorHAnsi"/>
          <w:sz w:val="24"/>
          <w:szCs w:val="24"/>
        </w:rPr>
        <w:t xml:space="preserve"> </w:t>
      </w:r>
      <w:r w:rsidR="00DD28FD" w:rsidRPr="00DD28FD">
        <w:rPr>
          <w:rFonts w:asciiTheme="minorHAnsi" w:hAnsiTheme="minorHAnsi" w:cstheme="minorHAnsi"/>
          <w:sz w:val="24"/>
          <w:szCs w:val="24"/>
        </w:rPr>
        <w:t xml:space="preserve">wniesionego przez Obrońcę Pani </w:t>
      </w:r>
      <w:r w:rsidR="00C4041F">
        <w:rPr>
          <w:rFonts w:asciiTheme="minorHAnsi" w:hAnsiTheme="minorHAnsi" w:cstheme="minorHAnsi"/>
          <w:sz w:val="24"/>
          <w:szCs w:val="24"/>
        </w:rPr>
        <w:t>(...)</w:t>
      </w:r>
      <w:r w:rsidR="00DD28FD">
        <w:rPr>
          <w:rFonts w:asciiTheme="minorHAnsi" w:hAnsiTheme="minorHAnsi" w:cstheme="minorHAnsi"/>
          <w:sz w:val="24"/>
          <w:szCs w:val="24"/>
        </w:rPr>
        <w:t xml:space="preserve"> (zam. ul. </w:t>
      </w:r>
      <w:r w:rsidR="00C4041F">
        <w:rPr>
          <w:rFonts w:asciiTheme="minorHAnsi" w:hAnsiTheme="minorHAnsi" w:cstheme="minorHAnsi"/>
          <w:sz w:val="24"/>
          <w:szCs w:val="24"/>
        </w:rPr>
        <w:t xml:space="preserve">(…) </w:t>
      </w:r>
      <w:r w:rsidR="00DD28FD">
        <w:rPr>
          <w:rFonts w:asciiTheme="minorHAnsi" w:hAnsiTheme="minorHAnsi" w:cstheme="minorHAnsi"/>
          <w:sz w:val="24"/>
          <w:szCs w:val="24"/>
        </w:rPr>
        <w:t>)</w:t>
      </w:r>
      <w:r w:rsidR="00DD28FD" w:rsidRPr="00DD28FD">
        <w:rPr>
          <w:rFonts w:asciiTheme="minorHAnsi" w:hAnsiTheme="minorHAnsi" w:cstheme="minorHAnsi"/>
          <w:sz w:val="24"/>
          <w:szCs w:val="24"/>
        </w:rPr>
        <w:t xml:space="preserve">, pełniącej w czasie zarzucanego naruszenia funkcję Skarbnika Gminy </w:t>
      </w:r>
      <w:r w:rsidR="00C4041F">
        <w:rPr>
          <w:rFonts w:asciiTheme="minorHAnsi" w:hAnsiTheme="minorHAnsi" w:cstheme="minorHAnsi"/>
          <w:sz w:val="24"/>
          <w:szCs w:val="24"/>
        </w:rPr>
        <w:t xml:space="preserve">(...) </w:t>
      </w:r>
      <w:r w:rsidR="00DD28FD" w:rsidRPr="00DD28FD">
        <w:rPr>
          <w:rFonts w:asciiTheme="minorHAnsi" w:hAnsiTheme="minorHAnsi" w:cstheme="minorHAnsi"/>
          <w:sz w:val="24"/>
          <w:szCs w:val="24"/>
        </w:rPr>
        <w:t xml:space="preserve">, od orzeczenia Regionalnej Komisji Orzekającej w sprawach o naruszenie dyscypliny finansów publicznych przy Regionalnej Izbie Obrachunkowej w Warszawie z 9 czerwca 2021 r. w sprawie o sygn. akt RKO.6111.15.2020, którym Regionalna Komisja Orzekająca uznała Panią </w:t>
      </w:r>
      <w:r w:rsidR="00C4041F">
        <w:rPr>
          <w:rFonts w:asciiTheme="minorHAnsi" w:hAnsiTheme="minorHAnsi" w:cstheme="minorHAnsi"/>
          <w:sz w:val="24"/>
          <w:szCs w:val="24"/>
        </w:rPr>
        <w:t>(...)</w:t>
      </w:r>
      <w:r w:rsidR="00DD28FD" w:rsidRPr="00DD28FD">
        <w:rPr>
          <w:rFonts w:asciiTheme="minorHAnsi" w:hAnsiTheme="minorHAnsi" w:cstheme="minorHAnsi"/>
          <w:sz w:val="24"/>
          <w:szCs w:val="24"/>
        </w:rPr>
        <w:t xml:space="preserve"> odpowiedzialną za naruszenie dyscypliny finansów publicznych określone w art. 18b pkt 2 uondfp polegające na nienależytym dokonaniu wstępnej kontroli zgodności operacji gospodarczej z planem finansowym, które miało wpływ na zaciągnięcie zobowiązań w łącznej kwocie 8.311.587,53 zł niemieszczących się w planie finansowym jednostki sektora finansów publicznych, tj.:</w:t>
      </w:r>
    </w:p>
    <w:p w14:paraId="52791491" w14:textId="776209BB"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w:t>
      </w:r>
      <w:r w:rsidRPr="00DD28FD">
        <w:rPr>
          <w:rFonts w:asciiTheme="minorHAnsi" w:hAnsiTheme="minorHAnsi" w:cstheme="minorHAnsi"/>
          <w:sz w:val="24"/>
          <w:szCs w:val="24"/>
        </w:rPr>
        <w:tab/>
        <w:t>dnia 31 sierpnia 2018 r. została zawarta umowa z</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nr 1/ZO.8/2018 na wykonanie zmówienia pod nazwą: „Pełnienie nadzoru inwestorskiego dla zadania Przebudowa ulic na terenie Gminy </w:t>
      </w:r>
      <w:r w:rsidR="00C4041F">
        <w:rPr>
          <w:rFonts w:asciiTheme="minorHAnsi" w:hAnsiTheme="minorHAnsi" w:cstheme="minorHAnsi"/>
          <w:sz w:val="24"/>
          <w:szCs w:val="24"/>
        </w:rPr>
        <w:t>(...)</w:t>
      </w:r>
      <w:r w:rsidRPr="00DD28FD">
        <w:rPr>
          <w:rFonts w:asciiTheme="minorHAnsi" w:hAnsiTheme="minorHAnsi" w:cstheme="minorHAnsi"/>
          <w:sz w:val="24"/>
          <w:szCs w:val="24"/>
        </w:rPr>
        <w:t>” za wynagrodzeniem ryczałtowym w kwocie 38.000,00 zł brutto. Powyższą umowę zaciągnięto zobowiązanie przekraczające zakres upoważnienia o kwotę 38.000,00 zł;</w:t>
      </w:r>
    </w:p>
    <w:p w14:paraId="0A16DF7D" w14:textId="53859BF8"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w:t>
      </w:r>
      <w:r w:rsidRPr="00DD28FD">
        <w:rPr>
          <w:rFonts w:asciiTheme="minorHAnsi" w:hAnsiTheme="minorHAnsi" w:cstheme="minorHAnsi"/>
          <w:sz w:val="24"/>
          <w:szCs w:val="24"/>
        </w:rPr>
        <w:tab/>
        <w:t xml:space="preserve">dnia 3 września 2018 r. została zawarta umowa z firmą Przedsiębiorstwo Transportowo-Handlowe </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nr 1/</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/2018 na wykonanie zadania inwestycyjnego pod nazwą: „Przebudowa ulicy 11 Listopada, Słonecznej, Kopernika, Jaśminowej, Młodzieżowej </w:t>
      </w:r>
      <w:r w:rsidRPr="00DD28FD">
        <w:rPr>
          <w:rFonts w:asciiTheme="minorHAnsi" w:hAnsiTheme="minorHAnsi" w:cstheme="minorHAnsi"/>
          <w:sz w:val="24"/>
          <w:szCs w:val="24"/>
        </w:rPr>
        <w:lastRenderedPageBreak/>
        <w:t xml:space="preserve">na dz. ew. nr 1152, 1145/6, 1146, 1147, 1145/1, 1183 1172, 1144, 1153, 1182, 451/8, 1173 w m. </w:t>
      </w:r>
      <w:r w:rsidR="00C4041F">
        <w:rPr>
          <w:rFonts w:asciiTheme="minorHAnsi" w:hAnsiTheme="minorHAnsi" w:cstheme="minorHAnsi"/>
          <w:sz w:val="24"/>
          <w:szCs w:val="24"/>
        </w:rPr>
        <w:t>(...)</w:t>
      </w:r>
      <w:r w:rsidRPr="00DD28FD">
        <w:rPr>
          <w:rFonts w:asciiTheme="minorHAnsi" w:hAnsiTheme="minorHAnsi" w:cstheme="minorHAnsi"/>
          <w:sz w:val="24"/>
          <w:szCs w:val="24"/>
        </w:rPr>
        <w:t xml:space="preserve"> na odcinku od km 0+000 do km 0+840 o dł. 840 mb.” za wynagrodzeniem ryczałtowym w kwocie 1.991.051,90 zł brutto. Powyższą umowę zaciągnięto zobowiązanie przekraczające zakres upoważnienia o kwotę 1.991.051,90 zł;</w:t>
      </w:r>
    </w:p>
    <w:p w14:paraId="2A886599" w14:textId="452EEBFB"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w:t>
      </w:r>
      <w:r w:rsidRPr="00DD28FD">
        <w:rPr>
          <w:rFonts w:asciiTheme="minorHAnsi" w:hAnsiTheme="minorHAnsi" w:cstheme="minorHAnsi"/>
          <w:sz w:val="24"/>
          <w:szCs w:val="24"/>
        </w:rPr>
        <w:tab/>
        <w:t xml:space="preserve">dnia 3 września 2018 r. została zawarta umowa z firmą Przedsiębiorstwo Transportowo-Handlowe </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nr 2/</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/2018 na wykonanie zadania inwestycyjnego pod nazwą: „Przebudowa ulicy Sportowej, Lipowej, Akacjowej, Klonowej, Sosnowej, Modrzewiowej, Brzozowej i Jodłowej na dz. ew. nr 1197/1, 1198, 2053, 2044, 2035, 2021/1, 2055/1, 2034/1, 2025/1, 2065/1, 2072/1, 2082/1, 2086/1, 2081/2, 2090/1, 138, 107 w m. </w:t>
      </w:r>
      <w:r w:rsidR="00C4041F">
        <w:rPr>
          <w:rFonts w:asciiTheme="minorHAnsi" w:hAnsiTheme="minorHAnsi" w:cstheme="minorHAnsi"/>
          <w:sz w:val="24"/>
          <w:szCs w:val="24"/>
        </w:rPr>
        <w:t>(...)</w:t>
      </w:r>
      <w:r w:rsidRPr="00DD28FD">
        <w:rPr>
          <w:rFonts w:asciiTheme="minorHAnsi" w:hAnsiTheme="minorHAnsi" w:cstheme="minorHAnsi"/>
          <w:sz w:val="24"/>
          <w:szCs w:val="24"/>
        </w:rPr>
        <w:t xml:space="preserve"> na odcinku od km 0+000 do km 1+110 o dł. 1,11 km.” za wynagrodzeniem w kwocie 1.998.230,17 zł brutto. Powyższą umowę zaciągnięto zobowiązanie przekraczające zakres upoważnienia o kwotę 1.998.230,17 zł;</w:t>
      </w:r>
    </w:p>
    <w:p w14:paraId="4DAE7858" w14:textId="41D8D314"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w:t>
      </w:r>
      <w:r w:rsidRPr="00DD28FD">
        <w:rPr>
          <w:rFonts w:asciiTheme="minorHAnsi" w:hAnsiTheme="minorHAnsi" w:cstheme="minorHAnsi"/>
          <w:sz w:val="24"/>
          <w:szCs w:val="24"/>
        </w:rPr>
        <w:tab/>
        <w:t xml:space="preserve">dnia 3 września 2018 r. została zawarta umowa z firmą Przedsiębiorstwo Transportowo-Handlowe </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nr 3/</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/2018 na wykonanie zadania inwestycyjnego pod nazwą: „Przebudowa ulicy Targowej na dz. ew. nr 549, 548/13, 135/2, 141, 548/14, 548/9, 565/6, 133, 124, 138 w m. </w:t>
      </w:r>
      <w:r w:rsidR="00C4041F">
        <w:rPr>
          <w:rFonts w:asciiTheme="minorHAnsi" w:hAnsiTheme="minorHAnsi" w:cstheme="minorHAnsi"/>
          <w:sz w:val="24"/>
          <w:szCs w:val="24"/>
        </w:rPr>
        <w:t>(...)</w:t>
      </w:r>
      <w:r w:rsidRPr="00DD28FD">
        <w:rPr>
          <w:rFonts w:asciiTheme="minorHAnsi" w:hAnsiTheme="minorHAnsi" w:cstheme="minorHAnsi"/>
          <w:sz w:val="24"/>
          <w:szCs w:val="24"/>
        </w:rPr>
        <w:t xml:space="preserve"> na odcinku od km 0+000 do km 1+110 o dł. 1,11 km.” za wynagrodzeniem w kwocie 1.670.755,89 zł brutto. Powyższą umowę zaciągnięto zobowiązanie przekraczające zakres upoważnienia o kwotę 3.378,78 zł;</w:t>
      </w:r>
    </w:p>
    <w:p w14:paraId="394BB909" w14:textId="7F15CDB7"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w:t>
      </w:r>
      <w:r w:rsidRPr="00DD28FD">
        <w:rPr>
          <w:rFonts w:asciiTheme="minorHAnsi" w:hAnsiTheme="minorHAnsi" w:cstheme="minorHAnsi"/>
          <w:sz w:val="24"/>
          <w:szCs w:val="24"/>
        </w:rPr>
        <w:tab/>
        <w:t xml:space="preserve">dnia 3 września 2018 r. została zawarta umowa z firmą Przedsiębiorstwo Transportowo-Handlowe </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nr 4/</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/2018 na wykonanie zadania inwestycyjnego pod nazwą: „Przebudowa ulicy Szkolnej i Południowej na dz. ew. 172, 156/2, 154, 155, 140 w m. </w:t>
      </w:r>
      <w:r w:rsidR="00DA6E6D">
        <w:rPr>
          <w:rFonts w:asciiTheme="minorHAnsi" w:hAnsiTheme="minorHAnsi" w:cstheme="minorHAnsi"/>
          <w:sz w:val="24"/>
          <w:szCs w:val="24"/>
        </w:rPr>
        <w:t>(...)</w:t>
      </w:r>
      <w:r w:rsidRPr="00DD28FD">
        <w:rPr>
          <w:rFonts w:asciiTheme="minorHAnsi" w:hAnsiTheme="minorHAnsi" w:cstheme="minorHAnsi"/>
          <w:sz w:val="24"/>
          <w:szCs w:val="24"/>
        </w:rPr>
        <w:t xml:space="preserve"> na odcinku od km 0+000 do km 0+640 o dł. 640 mb.” za wynagrodzeniem w kwocie 1.188.873,78 zł brutto. Powyższą umowę zaciągnięto zobowiązanie przekraczające zakres upoważnienia o kwotę 1.188.873,78 zł;</w:t>
      </w:r>
    </w:p>
    <w:p w14:paraId="29066BC8" w14:textId="00E4248E"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w:t>
      </w:r>
      <w:r w:rsidRPr="00DD28FD">
        <w:rPr>
          <w:rFonts w:asciiTheme="minorHAnsi" w:hAnsiTheme="minorHAnsi" w:cstheme="minorHAnsi"/>
          <w:sz w:val="24"/>
          <w:szCs w:val="24"/>
        </w:rPr>
        <w:tab/>
        <w:t xml:space="preserve">dnia 3 września 2018 r. została zawarta umowa z firmą Przedsiębiorstwo Transportowo-Handlowe </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nr 5/</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/2018 na wykonanie zadania inwestycyjnego pod nazwą: „Przebudowa ulic na Osiedlu, ulica </w:t>
      </w:r>
      <w:r w:rsidR="0086610C">
        <w:rPr>
          <w:rFonts w:asciiTheme="minorHAnsi" w:hAnsiTheme="minorHAnsi" w:cstheme="minorHAnsi"/>
          <w:sz w:val="24"/>
          <w:szCs w:val="24"/>
        </w:rPr>
        <w:t xml:space="preserve">(...) </w:t>
      </w:r>
      <w:r w:rsidRPr="00DD28FD">
        <w:rPr>
          <w:rFonts w:asciiTheme="minorHAnsi" w:hAnsiTheme="minorHAnsi" w:cstheme="minorHAnsi"/>
          <w:sz w:val="24"/>
          <w:szCs w:val="24"/>
        </w:rPr>
        <w:t xml:space="preserve">, </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i </w:t>
      </w:r>
      <w:r w:rsidR="0086610C">
        <w:rPr>
          <w:rFonts w:asciiTheme="minorHAnsi" w:hAnsiTheme="minorHAnsi" w:cstheme="minorHAnsi"/>
          <w:sz w:val="24"/>
          <w:szCs w:val="24"/>
        </w:rPr>
        <w:t>(…)</w:t>
      </w:r>
      <w:r w:rsidRPr="00DD28FD">
        <w:rPr>
          <w:rFonts w:asciiTheme="minorHAnsi" w:hAnsiTheme="minorHAnsi" w:cstheme="minorHAnsi"/>
          <w:sz w:val="24"/>
          <w:szCs w:val="24"/>
        </w:rPr>
        <w:t xml:space="preserve"> na dz. ew. nr </w:t>
      </w:r>
      <w:r w:rsidR="0086610C">
        <w:rPr>
          <w:rFonts w:asciiTheme="minorHAnsi" w:hAnsiTheme="minorHAnsi" w:cstheme="minorHAnsi"/>
          <w:sz w:val="24"/>
          <w:szCs w:val="24"/>
        </w:rPr>
        <w:t xml:space="preserve"> (…) </w:t>
      </w:r>
      <w:r w:rsidRPr="00DD28FD">
        <w:rPr>
          <w:rFonts w:asciiTheme="minorHAnsi" w:hAnsiTheme="minorHAnsi" w:cstheme="minorHAnsi"/>
          <w:sz w:val="24"/>
          <w:szCs w:val="24"/>
        </w:rPr>
        <w:t xml:space="preserve">/24, </w:t>
      </w:r>
      <w:r w:rsidR="0086610C">
        <w:rPr>
          <w:rFonts w:asciiTheme="minorHAnsi" w:hAnsiTheme="minorHAnsi" w:cstheme="minorHAnsi"/>
          <w:sz w:val="24"/>
          <w:szCs w:val="24"/>
        </w:rPr>
        <w:t xml:space="preserve">(…) </w:t>
      </w:r>
      <w:r w:rsidRPr="00DD28FD">
        <w:rPr>
          <w:rFonts w:asciiTheme="minorHAnsi" w:hAnsiTheme="minorHAnsi" w:cstheme="minorHAnsi"/>
          <w:sz w:val="24"/>
          <w:szCs w:val="24"/>
        </w:rPr>
        <w:t xml:space="preserve">/28, </w:t>
      </w:r>
      <w:r w:rsidR="0086610C">
        <w:rPr>
          <w:rFonts w:asciiTheme="minorHAnsi" w:hAnsiTheme="minorHAnsi" w:cstheme="minorHAnsi"/>
          <w:sz w:val="24"/>
          <w:szCs w:val="24"/>
        </w:rPr>
        <w:t xml:space="preserve">(…) </w:t>
      </w:r>
      <w:r w:rsidRPr="00DD28FD">
        <w:rPr>
          <w:rFonts w:asciiTheme="minorHAnsi" w:hAnsiTheme="minorHAnsi" w:cstheme="minorHAnsi"/>
          <w:sz w:val="24"/>
          <w:szCs w:val="24"/>
        </w:rPr>
        <w:t xml:space="preserve">/33, </w:t>
      </w:r>
      <w:r w:rsidR="0086610C">
        <w:rPr>
          <w:rFonts w:asciiTheme="minorHAnsi" w:hAnsiTheme="minorHAnsi" w:cstheme="minorHAnsi"/>
          <w:sz w:val="24"/>
          <w:szCs w:val="24"/>
        </w:rPr>
        <w:t xml:space="preserve">(…) </w:t>
      </w:r>
      <w:r w:rsidRPr="00DD28FD">
        <w:rPr>
          <w:rFonts w:asciiTheme="minorHAnsi" w:hAnsiTheme="minorHAnsi" w:cstheme="minorHAnsi"/>
          <w:sz w:val="24"/>
          <w:szCs w:val="24"/>
        </w:rPr>
        <w:t xml:space="preserve">/13 w m. </w:t>
      </w:r>
      <w:r w:rsidR="00DA6E6D">
        <w:rPr>
          <w:rFonts w:asciiTheme="minorHAnsi" w:hAnsiTheme="minorHAnsi" w:cstheme="minorHAnsi"/>
          <w:sz w:val="24"/>
          <w:szCs w:val="24"/>
        </w:rPr>
        <w:t>(...)</w:t>
      </w:r>
      <w:r w:rsidRPr="00DD28FD">
        <w:rPr>
          <w:rFonts w:asciiTheme="minorHAnsi" w:hAnsiTheme="minorHAnsi" w:cstheme="minorHAnsi"/>
          <w:sz w:val="24"/>
          <w:szCs w:val="24"/>
        </w:rPr>
        <w:t xml:space="preserve"> na odcinku od km 0+000 do km 0+540 o dł. 540 mb.” za wynagrodzeniem w kwocie 1.424.675,79 zł brutto. Powyższą umowę zaciągnięto </w:t>
      </w:r>
      <w:r w:rsidRPr="00DD28FD">
        <w:rPr>
          <w:rFonts w:asciiTheme="minorHAnsi" w:hAnsiTheme="minorHAnsi" w:cstheme="minorHAnsi"/>
          <w:sz w:val="24"/>
          <w:szCs w:val="24"/>
        </w:rPr>
        <w:lastRenderedPageBreak/>
        <w:t>zobowiązanie przekraczające zakres upoważnienia o kwotę 1.424.675.79 zł.</w:t>
      </w:r>
    </w:p>
    <w:p w14:paraId="7661A581" w14:textId="77777777"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Zaciągnięcie kwestionowanych zobowiązań nastąpiło z naruszeniem - obowiązujących obecnie i w datach zawarcia ww. umów – art. 46 ust. 1 i art. 261 ustawy z dnia 27 sierpnia 2009 r. o finansach publicznych (Dz. U. z 2019 r. poz. 869 ze zm.).</w:t>
      </w:r>
    </w:p>
    <w:p w14:paraId="1B173B81" w14:textId="069A5F56" w:rsidR="00DD28FD" w:rsidRPr="00DD28FD" w:rsidRDefault="00DD28FD" w:rsidP="00DD28FD">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 xml:space="preserve">Powyższe świadczy o nienależytym dokonaniu wstępnej kontroli zgodności operacji gospodarczych z planem wydatków, co stanowi naruszenie </w:t>
      </w:r>
      <w:r w:rsidR="00456595">
        <w:rPr>
          <w:rFonts w:asciiTheme="minorHAnsi" w:hAnsiTheme="minorHAnsi" w:cstheme="minorHAnsi"/>
          <w:sz w:val="24"/>
          <w:szCs w:val="24"/>
        </w:rPr>
        <w:t xml:space="preserve">art. </w:t>
      </w:r>
      <w:r w:rsidRPr="00DD28FD">
        <w:rPr>
          <w:rFonts w:asciiTheme="minorHAnsi" w:hAnsiTheme="minorHAnsi" w:cstheme="minorHAnsi"/>
          <w:sz w:val="24"/>
          <w:szCs w:val="24"/>
        </w:rPr>
        <w:t>54 ust. 4 w zw. z ust. 1 cyt. ustawy o finansach publicznych.</w:t>
      </w:r>
    </w:p>
    <w:p w14:paraId="1C36A600" w14:textId="778AFFE6" w:rsidR="00A33BD0" w:rsidRPr="00A33BD0" w:rsidRDefault="00DD28FD" w:rsidP="00A33BD0">
      <w:pPr>
        <w:pStyle w:val="Bodytext2"/>
        <w:spacing w:after="249" w:line="360" w:lineRule="auto"/>
        <w:rPr>
          <w:rFonts w:asciiTheme="minorHAnsi" w:hAnsiTheme="minorHAnsi" w:cstheme="minorHAnsi"/>
          <w:sz w:val="24"/>
          <w:szCs w:val="24"/>
        </w:rPr>
      </w:pPr>
      <w:r w:rsidRPr="00DD28FD">
        <w:rPr>
          <w:rFonts w:asciiTheme="minorHAnsi" w:hAnsiTheme="minorHAnsi" w:cstheme="minorHAnsi"/>
          <w:sz w:val="24"/>
          <w:szCs w:val="24"/>
        </w:rPr>
        <w:t>Komisja Orzekająca I instancji wymierzyła Obwinionej karę nagany oraz obciążyła obowiązkiem zwrotu kosztów postępowania na rzecz Skarb</w:t>
      </w:r>
      <w:r>
        <w:rPr>
          <w:rFonts w:asciiTheme="minorHAnsi" w:hAnsiTheme="minorHAnsi" w:cstheme="minorHAnsi"/>
          <w:sz w:val="24"/>
          <w:szCs w:val="24"/>
        </w:rPr>
        <w:t>u Państwa w wysokości 413,40 zł;</w:t>
      </w:r>
    </w:p>
    <w:p w14:paraId="29FA3CDD" w14:textId="77777777" w:rsidR="00EF6D63" w:rsidRPr="00140FB9" w:rsidRDefault="00EF6D63" w:rsidP="00EF6D63">
      <w:pPr>
        <w:spacing w:after="353" w:line="230" w:lineRule="exact"/>
        <w:ind w:left="20"/>
        <w:rPr>
          <w:rFonts w:ascii="Calibri" w:eastAsia="Calibri" w:hAnsi="Calibri" w:cs="Calibri"/>
          <w:b/>
          <w:bCs/>
          <w:color w:val="000000"/>
          <w:sz w:val="24"/>
          <w:szCs w:val="24"/>
          <w:lang w:val="pl" w:eastAsia="pl-PL"/>
        </w:rPr>
      </w:pPr>
      <w:bookmarkStart w:id="0" w:name="bookmark3"/>
      <w:r w:rsidRPr="00140FB9">
        <w:rPr>
          <w:rFonts w:ascii="Calibri" w:eastAsia="Calibri" w:hAnsi="Calibri" w:cs="Calibri"/>
          <w:b/>
          <w:bCs/>
          <w:color w:val="000000"/>
          <w:sz w:val="24"/>
          <w:szCs w:val="24"/>
          <w:lang w:val="pl" w:eastAsia="pl-PL"/>
        </w:rPr>
        <w:t>orzeka</w:t>
      </w:r>
      <w:bookmarkEnd w:id="0"/>
    </w:p>
    <w:p w14:paraId="2844D6D7" w14:textId="6FBC06DE" w:rsidR="00B21724" w:rsidRPr="00DA6E6D" w:rsidRDefault="00EF6D63" w:rsidP="00DA6E6D">
      <w:pPr>
        <w:spacing w:after="225" w:line="360" w:lineRule="auto"/>
        <w:rPr>
          <w:rFonts w:ascii="Calibri" w:eastAsia="Calibri" w:hAnsi="Calibri" w:cs="Calibri"/>
          <w:b/>
          <w:bCs/>
          <w:color w:val="000000"/>
          <w:sz w:val="24"/>
          <w:szCs w:val="24"/>
          <w:lang w:val="pl" w:eastAsia="pl-PL"/>
        </w:rPr>
      </w:pPr>
      <w:bookmarkStart w:id="1" w:name="bookmark4"/>
      <w:r w:rsidRPr="00A33BD0">
        <w:rPr>
          <w:rFonts w:ascii="Calibri" w:eastAsia="Calibri" w:hAnsi="Calibri" w:cs="Calibri"/>
          <w:b/>
          <w:bCs/>
          <w:color w:val="000000"/>
          <w:sz w:val="24"/>
          <w:szCs w:val="24"/>
          <w:lang w:val="pl" w:eastAsia="pl-PL"/>
        </w:rPr>
        <w:t>na</w:t>
      </w:r>
      <w:r w:rsidR="00A33BD0" w:rsidRPr="00A33BD0">
        <w:rPr>
          <w:rFonts w:ascii="Calibri" w:eastAsia="Calibri" w:hAnsi="Calibri" w:cs="Calibri"/>
          <w:b/>
          <w:bCs/>
          <w:color w:val="000000"/>
          <w:sz w:val="24"/>
          <w:szCs w:val="24"/>
          <w:lang w:val="pl" w:eastAsia="pl-PL"/>
        </w:rPr>
        <w:t xml:space="preserve"> podstawie art. 147 ust. 1 pkt 1 uondfp, utrzymuje w mocy </w:t>
      </w:r>
      <w:r w:rsidRPr="00A33BD0">
        <w:rPr>
          <w:rFonts w:ascii="Calibri" w:eastAsia="Calibri" w:hAnsi="Calibri" w:cs="Calibri"/>
          <w:b/>
          <w:bCs/>
          <w:color w:val="000000"/>
          <w:sz w:val="24"/>
          <w:szCs w:val="24"/>
          <w:lang w:val="pl" w:eastAsia="pl-PL"/>
        </w:rPr>
        <w:t>orze</w:t>
      </w:r>
      <w:bookmarkEnd w:id="1"/>
      <w:r w:rsidR="00A33BD0" w:rsidRPr="00A33BD0">
        <w:rPr>
          <w:rFonts w:ascii="Calibri" w:eastAsia="Calibri" w:hAnsi="Calibri" w:cs="Calibri"/>
          <w:b/>
          <w:bCs/>
          <w:color w:val="000000"/>
          <w:sz w:val="24"/>
          <w:szCs w:val="24"/>
          <w:lang w:val="pl" w:eastAsia="pl-PL"/>
        </w:rPr>
        <w:t xml:space="preserve">czenie </w:t>
      </w:r>
      <w:r w:rsidR="00A33BD0" w:rsidRPr="00A33BD0">
        <w:rPr>
          <w:rFonts w:cstheme="minorHAnsi"/>
          <w:b/>
          <w:sz w:val="24"/>
          <w:szCs w:val="24"/>
        </w:rPr>
        <w:t>Regionalnej Komisji Orzekającej w sprawach o naruszenie dyscypliny finansów publicznych przy Regionalnej Izbie Obrachunkowej w Warszawie</w:t>
      </w:r>
      <w:r w:rsidR="00A33BD0" w:rsidRPr="00A33BD0">
        <w:rPr>
          <w:rFonts w:cstheme="minorHAnsi"/>
          <w:sz w:val="24"/>
          <w:szCs w:val="24"/>
        </w:rPr>
        <w:t xml:space="preserve"> </w:t>
      </w:r>
      <w:r w:rsidR="00A33BD0" w:rsidRPr="00A33BD0">
        <w:rPr>
          <w:rFonts w:ascii="Calibri" w:eastAsia="Calibri" w:hAnsi="Calibri" w:cs="Calibri"/>
          <w:b/>
          <w:bCs/>
          <w:color w:val="000000"/>
          <w:sz w:val="24"/>
          <w:szCs w:val="24"/>
          <w:lang w:val="pl" w:eastAsia="pl-PL"/>
        </w:rPr>
        <w:t xml:space="preserve">w zaskarżonej części. </w:t>
      </w:r>
    </w:p>
    <w:p w14:paraId="10E5E032" w14:textId="77777777" w:rsidR="00EF6D63" w:rsidRPr="00140FB9" w:rsidRDefault="00EF6D63" w:rsidP="00EF6D63">
      <w:pPr>
        <w:keepNext/>
        <w:keepLines/>
        <w:spacing w:after="159" w:line="270" w:lineRule="exact"/>
        <w:ind w:left="20"/>
        <w:outlineLvl w:val="0"/>
        <w:rPr>
          <w:rFonts w:ascii="Calibri" w:eastAsia="Calibri" w:hAnsi="Calibri" w:cs="Calibri"/>
          <w:b/>
          <w:bCs/>
          <w:color w:val="000000"/>
          <w:sz w:val="28"/>
          <w:szCs w:val="28"/>
          <w:lang w:val="pl" w:eastAsia="pl-PL"/>
        </w:rPr>
      </w:pPr>
      <w:bookmarkStart w:id="2" w:name="bookmark5"/>
      <w:r w:rsidRPr="00140FB9">
        <w:rPr>
          <w:rFonts w:ascii="Calibri" w:eastAsia="Calibri" w:hAnsi="Calibri" w:cs="Calibri"/>
          <w:b/>
          <w:bCs/>
          <w:color w:val="000000"/>
          <w:sz w:val="28"/>
          <w:szCs w:val="28"/>
          <w:lang w:val="pl" w:eastAsia="pl-PL"/>
        </w:rPr>
        <w:t>Pouczenie:</w:t>
      </w:r>
      <w:bookmarkEnd w:id="2"/>
    </w:p>
    <w:p w14:paraId="14DF352F" w14:textId="7D507361" w:rsidR="009062BB" w:rsidRDefault="00EF6D63" w:rsidP="00381E64">
      <w:pPr>
        <w:spacing w:after="0" w:line="276" w:lineRule="auto"/>
        <w:ind w:left="20" w:right="240"/>
        <w:rPr>
          <w:sz w:val="24"/>
          <w:szCs w:val="24"/>
        </w:rPr>
      </w:pPr>
      <w:r w:rsidRPr="00EF6D63">
        <w:rPr>
          <w:rFonts w:ascii="Calibri" w:eastAsia="Calibri" w:hAnsi="Calibri" w:cs="Calibri"/>
          <w:color w:val="000000"/>
          <w:sz w:val="24"/>
          <w:szCs w:val="24"/>
          <w:lang w:val="pl" w:eastAsia="pl-PL"/>
        </w:rPr>
        <w:t>Orzeczenie niniejsze jest prawomocne w dniu jego wydania. Na niniejsze orzeczenie - w terminie 30 dni od dnia jego doręczenia - służy skarga do Wojewódzkiego Sądu Administracyjnego w Warszawie. Skargę wnosi się za pośrednict</w:t>
      </w:r>
      <w:r>
        <w:rPr>
          <w:rFonts w:ascii="Calibri" w:eastAsia="Calibri" w:hAnsi="Calibri" w:cs="Calibri"/>
          <w:color w:val="000000"/>
          <w:sz w:val="24"/>
          <w:szCs w:val="24"/>
          <w:lang w:val="pl" w:eastAsia="pl-PL"/>
        </w:rPr>
        <w:t>wem Głównej Komisji Orzekającej.</w:t>
      </w:r>
    </w:p>
    <w:p w14:paraId="37AC050D" w14:textId="77777777" w:rsidR="009062BB" w:rsidRDefault="009062BB" w:rsidP="009062BB">
      <w:pPr>
        <w:spacing w:before="120"/>
        <w:ind w:right="20"/>
        <w:rPr>
          <w:rFonts w:ascii="Calibri" w:hAnsi="Calibri" w:cs="Calibri"/>
          <w:b/>
          <w:szCs w:val="24"/>
        </w:rPr>
      </w:pPr>
      <w:r>
        <w:rPr>
          <w:rFonts w:ascii="Calibri" w:hAnsi="Calibri" w:cs="Calibri"/>
          <w:b/>
          <w:szCs w:val="24"/>
        </w:rPr>
        <w:t>UZASADNIENIE</w:t>
      </w:r>
    </w:p>
    <w:p w14:paraId="5D4AA248" w14:textId="1123FEC3"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Orzeczeniem z dnia 9 czerwca 2021 r. Regionalna Komisja Orzekająca w Sprawach o Naruszenie Dyscypliny Finansów Publicznych przy Regionalnej Izbie Obrachunkowej w Warszawie (</w:t>
      </w:r>
      <w:r w:rsidRPr="006764B3">
        <w:rPr>
          <w:sz w:val="24"/>
          <w:szCs w:val="24"/>
        </w:rPr>
        <w:t>dalej zwanej również „RKO”</w:t>
      </w:r>
      <w:r w:rsidRPr="006764B3">
        <w:rPr>
          <w:rFonts w:ascii="Calibri" w:hAnsi="Calibri" w:cs="Calibri"/>
          <w:sz w:val="24"/>
          <w:szCs w:val="24"/>
        </w:rPr>
        <w:t xml:space="preserve">) uznała Panią </w:t>
      </w:r>
      <w:r w:rsidR="00C4041F">
        <w:rPr>
          <w:rFonts w:ascii="Calibri" w:hAnsi="Calibri" w:cs="Calibri"/>
          <w:sz w:val="24"/>
          <w:szCs w:val="24"/>
        </w:rPr>
        <w:t>(...)</w:t>
      </w:r>
      <w:r w:rsidRPr="006764B3">
        <w:rPr>
          <w:rFonts w:ascii="Calibri" w:hAnsi="Calibri" w:cs="Calibri"/>
          <w:sz w:val="24"/>
          <w:szCs w:val="24"/>
        </w:rPr>
        <w:t xml:space="preserve"> - Skarbnika Gminy </w:t>
      </w:r>
      <w:r w:rsidR="00C4041F">
        <w:rPr>
          <w:rFonts w:ascii="Calibri" w:hAnsi="Calibri" w:cs="Calibri"/>
          <w:sz w:val="24"/>
          <w:szCs w:val="24"/>
        </w:rPr>
        <w:t>(...)</w:t>
      </w:r>
      <w:r w:rsidRPr="006764B3">
        <w:rPr>
          <w:rFonts w:ascii="Calibri" w:hAnsi="Calibri" w:cs="Calibri"/>
          <w:sz w:val="24"/>
          <w:szCs w:val="24"/>
        </w:rPr>
        <w:t xml:space="preserve"> odpowiedzialną za naruszenie dyscypliny finansów publicznych polegające na nienależytym dokonaniu kontroli operacji gospodarczej z planem finansowym. Miało to wpływ na zaciągnięcie zobowiązań w łącznej kwocie 8.311.587</w:t>
      </w:r>
      <w:r>
        <w:rPr>
          <w:rFonts w:ascii="Calibri" w:hAnsi="Calibri" w:cs="Calibri"/>
          <w:sz w:val="24"/>
          <w:szCs w:val="24"/>
        </w:rPr>
        <w:t>,53</w:t>
      </w:r>
      <w:r w:rsidR="008C7059">
        <w:rPr>
          <w:rFonts w:ascii="Calibri" w:hAnsi="Calibri" w:cs="Calibri"/>
          <w:sz w:val="24"/>
          <w:szCs w:val="24"/>
        </w:rPr>
        <w:t xml:space="preserve"> zł</w:t>
      </w:r>
      <w:r>
        <w:rPr>
          <w:rFonts w:ascii="Calibri" w:hAnsi="Calibri" w:cs="Calibri"/>
          <w:sz w:val="24"/>
          <w:szCs w:val="24"/>
        </w:rPr>
        <w:t xml:space="preserve">, co naruszyło </w:t>
      </w:r>
      <w:r w:rsidRPr="00DD28FD">
        <w:rPr>
          <w:rFonts w:cstheme="minorHAnsi"/>
          <w:sz w:val="24"/>
          <w:szCs w:val="24"/>
        </w:rPr>
        <w:t xml:space="preserve">54 ust. 4 w zw. z ust. 1 </w:t>
      </w:r>
      <w:r w:rsidRPr="006764B3">
        <w:rPr>
          <w:rFonts w:ascii="Calibri" w:hAnsi="Calibri" w:cs="Calibri"/>
          <w:sz w:val="24"/>
          <w:szCs w:val="24"/>
        </w:rPr>
        <w:t>ustawy o finansach publicznych (</w:t>
      </w:r>
      <w:r>
        <w:rPr>
          <w:sz w:val="24"/>
          <w:szCs w:val="24"/>
        </w:rPr>
        <w:t>zwanej dalej uofp</w:t>
      </w:r>
      <w:r w:rsidRPr="006764B3">
        <w:rPr>
          <w:rFonts w:ascii="Calibri" w:hAnsi="Calibri" w:cs="Calibri"/>
          <w:sz w:val="24"/>
          <w:szCs w:val="24"/>
        </w:rPr>
        <w:t xml:space="preserve">) oraz wyczerpało znamiona naruszenia dyscypliny finansów publicznych określone w art. 18b pkt 2 ustawy o odpowiedzialności za naruszenie dyscypliny finansów publicznych (zwanej dalej uondfp). </w:t>
      </w:r>
    </w:p>
    <w:p w14:paraId="134086D7"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lastRenderedPageBreak/>
        <w:t>N</w:t>
      </w:r>
      <w:r>
        <w:rPr>
          <w:rFonts w:ascii="Calibri" w:hAnsi="Calibri" w:cs="Calibri"/>
          <w:sz w:val="24"/>
          <w:szCs w:val="24"/>
        </w:rPr>
        <w:t>a podstawie art. 31 ust. 1 pkt 2</w:t>
      </w:r>
      <w:r w:rsidRPr="006764B3">
        <w:rPr>
          <w:rFonts w:ascii="Calibri" w:hAnsi="Calibri" w:cs="Calibri"/>
          <w:sz w:val="24"/>
          <w:szCs w:val="24"/>
        </w:rPr>
        <w:t xml:space="preserve"> uondfp RKO wymierzyła Obwinionej karę nagany oraz na podstawie art. 167 ust. 1 uondfp obciążyła Obwinioną obowiązkiem zwrotu na rzecz Skarbu Państwa kwoty 413,40 zł tytułem kosztów postępowania.</w:t>
      </w:r>
    </w:p>
    <w:p w14:paraId="2D81A20D" w14:textId="33549894"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RKO ustaliła, że Pani </w:t>
      </w:r>
      <w:r w:rsidR="00C4041F">
        <w:rPr>
          <w:rFonts w:ascii="Calibri" w:hAnsi="Calibri" w:cs="Calibri"/>
          <w:sz w:val="24"/>
          <w:szCs w:val="24"/>
        </w:rPr>
        <w:t>(...)</w:t>
      </w:r>
      <w:r w:rsidRPr="006764B3">
        <w:rPr>
          <w:rFonts w:ascii="Calibri" w:hAnsi="Calibri" w:cs="Calibri"/>
          <w:sz w:val="24"/>
          <w:szCs w:val="24"/>
        </w:rPr>
        <w:t xml:space="preserve"> sześciokrotnie dokonała nienależytej kontro</w:t>
      </w:r>
      <w:r>
        <w:rPr>
          <w:rFonts w:ascii="Calibri" w:hAnsi="Calibri" w:cs="Calibri"/>
          <w:sz w:val="24"/>
          <w:szCs w:val="24"/>
        </w:rPr>
        <w:t>li zgodności operacji gospodarczej</w:t>
      </w:r>
      <w:r w:rsidRPr="006764B3">
        <w:rPr>
          <w:rFonts w:ascii="Calibri" w:hAnsi="Calibri" w:cs="Calibri"/>
          <w:sz w:val="24"/>
          <w:szCs w:val="24"/>
        </w:rPr>
        <w:t xml:space="preserve"> z planem finansowym, co miało wpływ na zaciągnięcie zobowiązań, które nie mieściły się w planie finansowym jednostki. Kontrasygnowane umowy były </w:t>
      </w:r>
      <w:r>
        <w:rPr>
          <w:rFonts w:ascii="Calibri" w:hAnsi="Calibri" w:cs="Calibri"/>
          <w:sz w:val="24"/>
          <w:szCs w:val="24"/>
        </w:rPr>
        <w:t>z</w:t>
      </w:r>
      <w:r w:rsidRPr="006764B3">
        <w:rPr>
          <w:rFonts w:ascii="Calibri" w:hAnsi="Calibri" w:cs="Calibri"/>
          <w:sz w:val="24"/>
          <w:szCs w:val="24"/>
        </w:rPr>
        <w:t>wiązane z przedsięwzięciami inwestycyjnymi</w:t>
      </w:r>
      <w:r>
        <w:rPr>
          <w:rFonts w:ascii="Calibri" w:hAnsi="Calibri" w:cs="Calibri"/>
          <w:sz w:val="24"/>
          <w:szCs w:val="24"/>
        </w:rPr>
        <w:t xml:space="preserve"> gminy</w:t>
      </w:r>
      <w:r w:rsidRPr="006764B3">
        <w:rPr>
          <w:rFonts w:ascii="Calibri" w:hAnsi="Calibri" w:cs="Calibri"/>
          <w:sz w:val="24"/>
          <w:szCs w:val="24"/>
        </w:rPr>
        <w:t xml:space="preserve">. Każdorazowo datą popełnienia czynu był dzień zawarcia umów, które zostały przez Obwinioną kontrasygnowane. Wyjaśnienia Obwinionej złożone podczas rozprawy dotyczyły w głównej mierze okoliczności w jakich doszło do zarzucanych czynów. Obwiniona miała świadomość, że plan finansowy obowiązujący w czasie parafowania przez nią umów nie przewidywał wydatków na zadania objęte tymi umowami. Podkreśliła, że kontrasygnowane przez nią umowy dotyczyły realizacji przedsięwzięć drogowych, które były istotne z punktu widzenia lokalnej społeczności. Obwiniona stwierdziła, że złożyła podpis na dokumentach ponieważ gmina dysponowała promesą wydaną przez Ministra Spraw Wewnętrznych i Administracji w związku z realizacją zadania inwestycyjnego. Obwinionej wydano ponadto polecenie służbowe kontrasygnowania umów.  Wskazała również, że – w oparciu o dotychczasowe doświadczenia – zakładała, że gmina nie będzie miała problemów z uzyskaniem kredytu w celu sfinansowania wkładu własnego przewidzianego w kosztorysie inwestycji. </w:t>
      </w:r>
    </w:p>
    <w:p w14:paraId="61328C2F" w14:textId="54348759"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W toku postępowania przed </w:t>
      </w:r>
      <w:r w:rsidR="008C7059">
        <w:rPr>
          <w:rFonts w:ascii="Calibri" w:hAnsi="Calibri" w:cs="Calibri"/>
          <w:sz w:val="24"/>
          <w:szCs w:val="24"/>
        </w:rPr>
        <w:t>RKO</w:t>
      </w:r>
      <w:r w:rsidRPr="006764B3">
        <w:rPr>
          <w:rFonts w:ascii="Calibri" w:hAnsi="Calibri" w:cs="Calibri"/>
          <w:sz w:val="24"/>
          <w:szCs w:val="24"/>
        </w:rPr>
        <w:t xml:space="preserve"> Obrońca obwinionej wskazywał na art. 36 uondfp, przytaczając okoliczności jakie miałyby przemawiać za </w:t>
      </w:r>
      <w:r>
        <w:rPr>
          <w:rFonts w:ascii="Calibri" w:hAnsi="Calibri" w:cs="Calibri"/>
          <w:sz w:val="24"/>
          <w:szCs w:val="24"/>
        </w:rPr>
        <w:t xml:space="preserve">złagodzeniem ustalonej kary, bądź </w:t>
      </w:r>
      <w:r w:rsidRPr="006764B3">
        <w:rPr>
          <w:rFonts w:ascii="Calibri" w:hAnsi="Calibri" w:cs="Calibri"/>
          <w:sz w:val="24"/>
          <w:szCs w:val="24"/>
        </w:rPr>
        <w:t xml:space="preserve">odstąpieniem od </w:t>
      </w:r>
      <w:r>
        <w:rPr>
          <w:rFonts w:ascii="Calibri" w:hAnsi="Calibri" w:cs="Calibri"/>
          <w:sz w:val="24"/>
          <w:szCs w:val="24"/>
        </w:rPr>
        <w:t>jej wymierzenia</w:t>
      </w:r>
      <w:r w:rsidRPr="006764B3">
        <w:rPr>
          <w:rFonts w:ascii="Calibri" w:hAnsi="Calibri" w:cs="Calibri"/>
          <w:sz w:val="24"/>
          <w:szCs w:val="24"/>
        </w:rPr>
        <w:t xml:space="preserve">. Obrońca wskazywał w szczególności, że zadanie inwestycyjne miało akceptację Rady Gminy a także, że Pani </w:t>
      </w:r>
      <w:r w:rsidR="00C4041F">
        <w:rPr>
          <w:rFonts w:ascii="Calibri" w:hAnsi="Calibri" w:cs="Calibri"/>
          <w:sz w:val="24"/>
          <w:szCs w:val="24"/>
        </w:rPr>
        <w:t>(...)</w:t>
      </w:r>
      <w:r w:rsidRPr="006764B3">
        <w:rPr>
          <w:rFonts w:ascii="Calibri" w:hAnsi="Calibri" w:cs="Calibri"/>
          <w:sz w:val="24"/>
          <w:szCs w:val="24"/>
        </w:rPr>
        <w:t xml:space="preserve"> działała wyłącznie w interesie gminy i nie osiągnęła w związku z przedmiotową sprawą żadnych korzyści. Zwrócił ponadto uwagę na pośpiech, jaki towarzyszył procedurom związanym z przygotowaniem inwestycji do realizacji, a także na fakt, iż Obwiniona otrzymała polecenie parafowania umów dotyczących</w:t>
      </w:r>
      <w:r>
        <w:rPr>
          <w:rFonts w:ascii="Calibri" w:hAnsi="Calibri" w:cs="Calibri"/>
          <w:sz w:val="24"/>
          <w:szCs w:val="24"/>
        </w:rPr>
        <w:t xml:space="preserve"> </w:t>
      </w:r>
      <w:r w:rsidRPr="006764B3">
        <w:rPr>
          <w:rFonts w:ascii="Calibri" w:hAnsi="Calibri" w:cs="Calibri"/>
          <w:sz w:val="24"/>
          <w:szCs w:val="24"/>
        </w:rPr>
        <w:t xml:space="preserve">inwestycji. </w:t>
      </w:r>
    </w:p>
    <w:p w14:paraId="6B38E181" w14:textId="11282446"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W uzasadnieniu </w:t>
      </w:r>
      <w:r>
        <w:rPr>
          <w:rFonts w:ascii="Calibri" w:hAnsi="Calibri" w:cs="Calibri"/>
          <w:sz w:val="24"/>
          <w:szCs w:val="24"/>
        </w:rPr>
        <w:t>RKO –</w:t>
      </w:r>
      <w:r w:rsidRPr="006764B3">
        <w:rPr>
          <w:rFonts w:ascii="Calibri" w:hAnsi="Calibri" w:cs="Calibri"/>
          <w:sz w:val="24"/>
          <w:szCs w:val="24"/>
        </w:rPr>
        <w:t xml:space="preserve"> akcentując szczególną, umocowaną</w:t>
      </w:r>
      <w:r>
        <w:rPr>
          <w:rFonts w:ascii="Calibri" w:hAnsi="Calibri" w:cs="Calibri"/>
          <w:sz w:val="24"/>
          <w:szCs w:val="24"/>
        </w:rPr>
        <w:t xml:space="preserve"> ustawowo, rolę skarbnika gminy </w:t>
      </w:r>
      <w:r w:rsidRPr="006764B3">
        <w:rPr>
          <w:rFonts w:ascii="Calibri" w:hAnsi="Calibri" w:cs="Calibri"/>
          <w:sz w:val="24"/>
          <w:szCs w:val="24"/>
        </w:rPr>
        <w:t xml:space="preserve">wskazała, iż „…do obowiązków głównego księgowego budżetu (Skarbnika) zaś należy: prowadzenie rachunkowości jednostki, wykonywanie dyspozycji środkami pieniężnymi oraz dokonywanie wstępnej kontroli zgodności operacji gospodarczych i finansowych z planem </w:t>
      </w:r>
      <w:r w:rsidRPr="006764B3">
        <w:rPr>
          <w:rFonts w:ascii="Calibri" w:hAnsi="Calibri" w:cs="Calibri"/>
          <w:sz w:val="24"/>
          <w:szCs w:val="24"/>
        </w:rPr>
        <w:lastRenderedPageBreak/>
        <w:t>finansowym, a także kompletności i rzetelności dokumentów dotyczących operacji gospodarczych i finansowych.</w:t>
      </w:r>
    </w:p>
    <w:p w14:paraId="00300A6D"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Dokonywanie wstępnej kontroli zgodności operacji gospodarczych i finansowych z planem finansowym oraz kompletności i rzetelności dokumentów dotyczących operacji gospodarczych i finansowych polega na złożeniu podpisu na dokumentach potwierdzających dokonanie operacji. Złożenie podpisu</w:t>
      </w:r>
      <w:r w:rsidRPr="006764B3">
        <w:rPr>
          <w:rFonts w:ascii="Calibri" w:hAnsi="Calibri" w:cs="Calibri"/>
          <w:iCs/>
          <w:sz w:val="24"/>
          <w:szCs w:val="24"/>
        </w:rPr>
        <w:t xml:space="preserve"> przez</w:t>
      </w:r>
      <w:r w:rsidRPr="006764B3">
        <w:rPr>
          <w:rFonts w:ascii="Calibri" w:hAnsi="Calibri" w:cs="Calibri"/>
          <w:sz w:val="24"/>
          <w:szCs w:val="24"/>
        </w:rPr>
        <w:t xml:space="preserve"> głównego księgowego na dokumentach, obok podpisu pracownika właściwego rzeczowo oznacza, że:</w:t>
      </w:r>
    </w:p>
    <w:p w14:paraId="4E0CB51D"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1) nie zawiera zastrzeżeń do przedstawionej przez właściwych rzeczowo pracowników oceny prawidłowości tej operacji i jej zgodności z prawem;</w:t>
      </w:r>
    </w:p>
    <w:p w14:paraId="588CF83F"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nie zgłasza zastrzeżeń, do kompletności oraz formalno - rachunkowej rzetelności i prawidłowości dokumentów dotyczących tej operacji;</w:t>
      </w:r>
    </w:p>
    <w:p w14:paraId="331C6187"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zobowiązania z operacji mieszczą się w planie finansowym jednostki.</w:t>
      </w:r>
    </w:p>
    <w:p w14:paraId="62D64D4F" w14:textId="785D0D96"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W rozpatrywanej sprawie Skarbnik Gminy Pani </w:t>
      </w:r>
      <w:r w:rsidR="00C4041F">
        <w:rPr>
          <w:rFonts w:ascii="Calibri" w:hAnsi="Calibri" w:cs="Calibri"/>
          <w:sz w:val="24"/>
          <w:szCs w:val="24"/>
        </w:rPr>
        <w:t>(...)</w:t>
      </w:r>
      <w:r w:rsidRPr="006764B3">
        <w:rPr>
          <w:rFonts w:ascii="Calibri" w:hAnsi="Calibri" w:cs="Calibri"/>
          <w:sz w:val="24"/>
          <w:szCs w:val="24"/>
        </w:rPr>
        <w:t xml:space="preserve"> złożyła podpis na dokumentach zobowiązujących do wypłaty wynagrodzeń wykonawcom za realizację zadań, które nie były zaplanowane w budżecie zarówno pod względem rzeczowym jak i finansowym, naruszając tym samym zasady określone w art. 46 ust. 1 i art. 261 ustawy o finansach publicznych, co świadczy o nienależnym dokonaniu wstępnej kontroli zgodności operacji gospodarczych z planem wydatków, co stanowi naruszenie art. 54 ust. 4 w związku z ust. 1 cyt. Ustawy o finansach publicznych.”</w:t>
      </w:r>
      <w:r w:rsidR="008C7059">
        <w:rPr>
          <w:rFonts w:ascii="Calibri" w:hAnsi="Calibri" w:cs="Calibri"/>
          <w:sz w:val="24"/>
          <w:szCs w:val="24"/>
        </w:rPr>
        <w:t>.</w:t>
      </w:r>
    </w:p>
    <w:p w14:paraId="5260C4A9" w14:textId="6C36D0A2"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Kara wymierzona przez RKO, podyktowana była okolicznościami świadczącymi o znacznej szkodliwości dla ładu finansów publicznych – w szczególności kwotą na jaką opiewały parafowane umowy, ale także okolicznościami wpływającymi na korzyść Obwinionej</w:t>
      </w:r>
      <w:r w:rsidR="008C7059">
        <w:rPr>
          <w:rFonts w:ascii="Calibri" w:hAnsi="Calibri" w:cs="Calibri"/>
          <w:sz w:val="24"/>
          <w:szCs w:val="24"/>
        </w:rPr>
        <w:t>,</w:t>
      </w:r>
      <w:r w:rsidRPr="006764B3">
        <w:rPr>
          <w:rFonts w:ascii="Calibri" w:hAnsi="Calibri" w:cs="Calibri"/>
          <w:sz w:val="24"/>
          <w:szCs w:val="24"/>
        </w:rPr>
        <w:t xml:space="preserve"> tj. dotychczasową niekaralnością Obwinionej za naruszenie dyscypliny finansów publicznych oraz dobrą opinią o sposobie wywiązywania się z obowiązków służbowych.</w:t>
      </w:r>
    </w:p>
    <w:p w14:paraId="656575FD" w14:textId="4C0449DA"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Z </w:t>
      </w:r>
      <w:r w:rsidR="008C7059">
        <w:rPr>
          <w:rFonts w:ascii="Calibri" w:hAnsi="Calibri" w:cs="Calibri"/>
          <w:sz w:val="24"/>
          <w:szCs w:val="24"/>
        </w:rPr>
        <w:t>o</w:t>
      </w:r>
      <w:r w:rsidRPr="006764B3">
        <w:rPr>
          <w:rFonts w:ascii="Calibri" w:hAnsi="Calibri" w:cs="Calibri"/>
          <w:sz w:val="24"/>
          <w:szCs w:val="24"/>
        </w:rPr>
        <w:t xml:space="preserve">rzeczeniem Komisji I Instancji nie zgodziła się Obwiniona, składając za pośrednictwem Obrońcy odwołanie do Głównej Komisji Orzekającej. </w:t>
      </w:r>
    </w:p>
    <w:p w14:paraId="006C48A6"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W odwołaniu z 19 lipca 2021 r. Obrońca Obwinionej wniósł o </w:t>
      </w:r>
      <w:r w:rsidRPr="006764B3">
        <w:rPr>
          <w:rFonts w:ascii="Calibri" w:hAnsi="Calibri" w:cs="Calibri" w:hint="eastAsia"/>
          <w:sz w:val="24"/>
          <w:szCs w:val="24"/>
        </w:rPr>
        <w:t>uchylenie orzeczenia i rozstrzygnięcie sprawy co do istoty poprzez odstąpienie od wymierzenia kary, ewentualnie wymierzenie łącznej kary upomnienia.</w:t>
      </w:r>
    </w:p>
    <w:p w14:paraId="552BC4B2" w14:textId="77777777" w:rsidR="009062BB" w:rsidRPr="006764B3" w:rsidRDefault="009062BB" w:rsidP="009062BB">
      <w:pPr>
        <w:autoSpaceDE w:val="0"/>
        <w:autoSpaceDN w:val="0"/>
        <w:adjustRightInd w:val="0"/>
        <w:spacing w:after="120" w:line="360" w:lineRule="auto"/>
        <w:rPr>
          <w:rFonts w:ascii="Calibri" w:hAnsi="Calibri" w:cs="Calibri"/>
          <w:b/>
          <w:sz w:val="24"/>
          <w:szCs w:val="24"/>
        </w:rPr>
      </w:pPr>
      <w:r w:rsidRPr="006764B3">
        <w:rPr>
          <w:rFonts w:ascii="Calibri" w:hAnsi="Calibri" w:cs="Calibri"/>
          <w:b/>
          <w:sz w:val="24"/>
          <w:szCs w:val="24"/>
        </w:rPr>
        <w:lastRenderedPageBreak/>
        <w:t>Główna Komisja Orzekająca zważyła, co następuje.</w:t>
      </w:r>
    </w:p>
    <w:p w14:paraId="0B25C9F1"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Odwołanie nie może zostać uwzględnione.</w:t>
      </w:r>
    </w:p>
    <w:p w14:paraId="43C0E95C"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RKO dokonała prawidłowej oceny stanu prawnego i faktycznego, co znalazło stosowne odzwierciedlenie w uzasadnieniu orzeczenia. </w:t>
      </w:r>
    </w:p>
    <w:p w14:paraId="5AC53AD9" w14:textId="2310F6EE"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GKO stwierdziła, że nie ma wątpliwości co do winy Obwinionej. Pani </w:t>
      </w:r>
      <w:r w:rsidR="00C4041F">
        <w:rPr>
          <w:rFonts w:ascii="Calibri" w:hAnsi="Calibri" w:cs="Calibri"/>
          <w:sz w:val="24"/>
          <w:szCs w:val="24"/>
        </w:rPr>
        <w:t>(...)</w:t>
      </w:r>
      <w:r w:rsidRPr="006764B3">
        <w:rPr>
          <w:rFonts w:ascii="Calibri" w:hAnsi="Calibri" w:cs="Calibri"/>
          <w:sz w:val="24"/>
          <w:szCs w:val="24"/>
        </w:rPr>
        <w:t>, jako główna księgowa, nie dokonała należytej kontrol</w:t>
      </w:r>
      <w:r>
        <w:rPr>
          <w:rFonts w:ascii="Calibri" w:hAnsi="Calibri" w:cs="Calibri"/>
          <w:sz w:val="24"/>
          <w:szCs w:val="24"/>
        </w:rPr>
        <w:t>i zgodności operacji gospodarczych</w:t>
      </w:r>
      <w:r w:rsidRPr="006764B3">
        <w:rPr>
          <w:rFonts w:ascii="Calibri" w:hAnsi="Calibri" w:cs="Calibri"/>
          <w:sz w:val="24"/>
          <w:szCs w:val="24"/>
        </w:rPr>
        <w:t xml:space="preserve"> z planem finansowym, co miało wpływ na zaciągnięcie zobowiązań, które nie mieściły się w planie finansowym jednostki. </w:t>
      </w:r>
    </w:p>
    <w:p w14:paraId="5B6F7B29"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Wniesione odwołanie nie kwestionuje sprawstwa przypisanego naruszenia dyscypliny finansów publicznych. We wniesionym odwołaniu obrońca zarzuca jednakże orzeczeniu RKO naruszenie norm art. 33 ust. 1 i 3 oraz art. 36 ust. 1 i 2 uondfp poprzez brak prawidłowej oceny i zastosowania przesłanek wymiaru kary oraz uwzględnienia okoliczności łagodzących. Odwołujący wnosi zatem o uchylenie orzeczenia i rozstrzygnięcie sprawy co do istoty poprzez odstąpienie od wymierzenia kary, ewentualnie wymierzenie łącznej kary upomnienia. </w:t>
      </w:r>
    </w:p>
    <w:p w14:paraId="5ED4B60D" w14:textId="5B92016B"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Należy podkreślić, że przepisy zawarte w rozdziale 3. uondfp, na które wskazuje Obrońca, określają całościowo reguły w zakresie kar za naruszenie dyscypliny finansów publicznych oraz ich wymiaru. Reguły te powinny każdorazowo znaleźć zastosowanie w toku orzekania. W pierwszym rzędzie uwzględnić należy zatem ocenę co do stopnia szkodliwości dla finansów publicznych naruszenia, stopnia winy, a także cel kary w zakresie społecznego oddziaływania oraz cele zapobiegawcze i dyscyplinujące, które ma osiągnąć w stosunku do ukaranego. Natomiast przesłanki wymienione art. 33 uondfp powinny zostać przez organ orzekający zbadane, ale ich ewentualny wpływ na wymiar kary musi być każdorazowo oceniany łącznie z pozostałymi okolicznościami popełnionego naruszenia. </w:t>
      </w:r>
    </w:p>
    <w:p w14:paraId="2158E89E"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Należy pamiętać, że przeprowadzanie wstępnej kontroli zgodności operacji gospodarczych i finansowych z planem finansowym jest jednym z ustawowo określnych obowiązków głównego księgowego. Obowiązek ten jest objęty reżimem odpowiedzialności za naruszenie dyscypliny finansów publicznych.</w:t>
      </w:r>
    </w:p>
    <w:p w14:paraId="6AE0AB58" w14:textId="6A304781"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Dokonanie stosownej kontroli zgodności poszczególnych operacji gospodarczych i finansowych z planem finansowym jednostki potwierdza złożenie przez głównego </w:t>
      </w:r>
      <w:r w:rsidRPr="006764B3">
        <w:rPr>
          <w:rFonts w:ascii="Calibri" w:hAnsi="Calibri" w:cs="Calibri"/>
          <w:sz w:val="24"/>
          <w:szCs w:val="24"/>
        </w:rPr>
        <w:lastRenderedPageBreak/>
        <w:t xml:space="preserve">księgowego podpisu na dokumentach dotyczących tych operacji. </w:t>
      </w:r>
      <w:r>
        <w:rPr>
          <w:rFonts w:ascii="Calibri" w:hAnsi="Calibri" w:cs="Calibri"/>
          <w:sz w:val="24"/>
          <w:szCs w:val="24"/>
        </w:rPr>
        <w:t>Rzetelne</w:t>
      </w:r>
      <w:r w:rsidRPr="006764B3">
        <w:rPr>
          <w:rFonts w:ascii="Calibri" w:hAnsi="Calibri" w:cs="Calibri"/>
          <w:sz w:val="24"/>
          <w:szCs w:val="24"/>
        </w:rPr>
        <w:t xml:space="preserve"> wykonywanie obowiązków głównego księgowego w tym zakresie służy prawidłowemu</w:t>
      </w:r>
      <w:r w:rsidR="00CD4CBE">
        <w:rPr>
          <w:rFonts w:ascii="Calibri" w:hAnsi="Calibri" w:cs="Calibri"/>
          <w:sz w:val="24"/>
          <w:szCs w:val="24"/>
        </w:rPr>
        <w:t>,</w:t>
      </w:r>
      <w:r w:rsidRPr="006764B3">
        <w:rPr>
          <w:rFonts w:ascii="Calibri" w:hAnsi="Calibri" w:cs="Calibri"/>
          <w:sz w:val="24"/>
          <w:szCs w:val="24"/>
        </w:rPr>
        <w:t xml:space="preserve"> tj. zgodnemu z regulacjami ustawy o finansach publicznych zaciąganiu zobowiązań przez jednostki sektora finansów publicznych. W dłuższej perspektywie bez wątpienia jest natomiast jednym z warunków utrzymania stabilności finansowej jednostki samorządu terytorialnego.</w:t>
      </w:r>
    </w:p>
    <w:p w14:paraId="481A46C7" w14:textId="424BCEAD"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Pani </w:t>
      </w:r>
      <w:r w:rsidR="00C4041F">
        <w:rPr>
          <w:rFonts w:ascii="Calibri" w:hAnsi="Calibri" w:cs="Calibri"/>
          <w:sz w:val="24"/>
          <w:szCs w:val="24"/>
        </w:rPr>
        <w:t>(...)</w:t>
      </w:r>
      <w:r w:rsidRPr="006764B3">
        <w:rPr>
          <w:rFonts w:ascii="Calibri" w:hAnsi="Calibri" w:cs="Calibri"/>
          <w:sz w:val="24"/>
          <w:szCs w:val="24"/>
        </w:rPr>
        <w:t xml:space="preserve"> złożyła podpisy na dokumentach wymienionych w sentencji orzeczenia, przy czym z zebranego materiału dowodowego jednoznacznie wynika, że wstępna kontrola została dokonana nienależycie. Z akt sprawy – w tym z wyjaśnień </w:t>
      </w:r>
      <w:r w:rsidR="00CD4CBE">
        <w:rPr>
          <w:rFonts w:ascii="Calibri" w:hAnsi="Calibri" w:cs="Calibri"/>
          <w:sz w:val="24"/>
          <w:szCs w:val="24"/>
        </w:rPr>
        <w:t>O</w:t>
      </w:r>
      <w:r w:rsidRPr="006764B3">
        <w:rPr>
          <w:rFonts w:ascii="Calibri" w:hAnsi="Calibri" w:cs="Calibri"/>
          <w:sz w:val="24"/>
          <w:szCs w:val="24"/>
        </w:rPr>
        <w:t xml:space="preserve">bwinionej – wynika, że w chwili składania podpisów miała świadomość, że plan finansowy jednostki samorządu terytorialnego obowiązujący w czasie parafowania przez nią umów nie przewiduje wydatków inwestycyjnych objętych tymi umowami. Ustalenia RKO, w sposób czytelny przedstawione w uzasadnieniu, które dotyczą poszczególnych zobowiązań znajdują odzwierciedlenie w zebranym materiale dowodowym – tym samym nie budzą zastrzeżeń GKO. </w:t>
      </w:r>
      <w:r w:rsidR="00CD4CBE">
        <w:rPr>
          <w:rFonts w:ascii="Calibri" w:hAnsi="Calibri" w:cs="Calibri"/>
          <w:sz w:val="24"/>
          <w:szCs w:val="24"/>
        </w:rPr>
        <w:t>RKO</w:t>
      </w:r>
      <w:r w:rsidRPr="006764B3">
        <w:rPr>
          <w:rFonts w:ascii="Calibri" w:hAnsi="Calibri" w:cs="Calibri"/>
          <w:sz w:val="24"/>
          <w:szCs w:val="24"/>
        </w:rPr>
        <w:t xml:space="preserve"> przytoczyła w uzasadnieniu wzorzec postepowania jaki powinien znaleźć zastosowanie w sytuacji, w jakiej znalazła się Obwiniona. Wzorzec ten wynika wprost z ustawy o finansach publicznych. W toku postępowania stwierdzono, że procedura przewidziana w </w:t>
      </w:r>
      <w:r>
        <w:rPr>
          <w:rFonts w:ascii="Calibri" w:hAnsi="Calibri" w:cs="Calibri"/>
          <w:sz w:val="24"/>
          <w:szCs w:val="24"/>
        </w:rPr>
        <w:t xml:space="preserve">tej </w:t>
      </w:r>
      <w:r w:rsidRPr="006764B3">
        <w:rPr>
          <w:rFonts w:ascii="Calibri" w:hAnsi="Calibri" w:cs="Calibri"/>
          <w:sz w:val="24"/>
          <w:szCs w:val="24"/>
        </w:rPr>
        <w:t xml:space="preserve">ustawie nie została dochowana. Kontrasygnaty złożone przez Obwinioną świadczą o dokonaniu  wstępnej kontroli dokumentów. Jednocześnie, biorąc pod uwagę poczynione w toku postepowania ustalenia, kontrola przedmiotowych dokumentów została dokonania w sposób nienależyty. </w:t>
      </w:r>
    </w:p>
    <w:p w14:paraId="331A2B37"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W omawianej sprawie należy mieć na względzie również fakt, że gmina otrzymała promesę dotyczącą realizacji inwestycji, która została wydan</w:t>
      </w:r>
      <w:r>
        <w:rPr>
          <w:rFonts w:ascii="Calibri" w:hAnsi="Calibri" w:cs="Calibri"/>
          <w:sz w:val="24"/>
          <w:szCs w:val="24"/>
        </w:rPr>
        <w:t>a</w:t>
      </w:r>
      <w:r w:rsidRPr="006764B3">
        <w:rPr>
          <w:rFonts w:ascii="Calibri" w:hAnsi="Calibri" w:cs="Calibri"/>
          <w:sz w:val="24"/>
          <w:szCs w:val="24"/>
        </w:rPr>
        <w:t xml:space="preserve"> przez </w:t>
      </w:r>
      <w:r>
        <w:rPr>
          <w:rFonts w:ascii="Calibri" w:hAnsi="Calibri" w:cs="Calibri"/>
          <w:sz w:val="24"/>
          <w:szCs w:val="24"/>
        </w:rPr>
        <w:t>Ministra S</w:t>
      </w:r>
      <w:r w:rsidRPr="006764B3">
        <w:rPr>
          <w:rFonts w:ascii="Calibri" w:hAnsi="Calibri" w:cs="Calibri"/>
          <w:sz w:val="24"/>
          <w:szCs w:val="24"/>
        </w:rPr>
        <w:t>praw Wewnętrznych i Administracji (promesa z 12 lipca 2018 r., znak: DOLiZK-III-7741-14-37/2018, zmieniona promesą z 28 sierpnia 2018 r., znak: DOLiZK-III-7741-14-37/2018). GKO przeanalizowała materiał dowodowy w tym zakresie. Wynika z niego jednoznacznie, że wydana promesa nie mogła stanowić podstawy do zaciągnięcia zobowiązania, jak również dokonania wydatku, bez uprzedniego stosownego uwzględnienia w budżecie jednostki zadania inwestycyjnego objętego promesą.</w:t>
      </w:r>
    </w:p>
    <w:p w14:paraId="0DF8BE8A" w14:textId="67A4475C"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Odnosząc się do ujętych przez Obrońcę konkretnych prze</w:t>
      </w:r>
      <w:r>
        <w:rPr>
          <w:rFonts w:ascii="Calibri" w:hAnsi="Calibri" w:cs="Calibri"/>
          <w:sz w:val="24"/>
          <w:szCs w:val="24"/>
        </w:rPr>
        <w:t>słanek do odstąpienia od wymierzenia</w:t>
      </w:r>
      <w:r w:rsidRPr="006764B3">
        <w:rPr>
          <w:rFonts w:ascii="Calibri" w:hAnsi="Calibri" w:cs="Calibri"/>
          <w:sz w:val="24"/>
          <w:szCs w:val="24"/>
        </w:rPr>
        <w:t xml:space="preserve"> kary, bądź zmiany jej wymiaru, GKO zauważa</w:t>
      </w:r>
      <w:r w:rsidR="00CD4CBE">
        <w:rPr>
          <w:rFonts w:ascii="Calibri" w:hAnsi="Calibri" w:cs="Calibri"/>
          <w:sz w:val="24"/>
          <w:szCs w:val="24"/>
        </w:rPr>
        <w:t>,</w:t>
      </w:r>
      <w:r w:rsidRPr="006764B3">
        <w:rPr>
          <w:rFonts w:ascii="Calibri" w:hAnsi="Calibri" w:cs="Calibri"/>
          <w:sz w:val="24"/>
          <w:szCs w:val="24"/>
        </w:rPr>
        <w:t xml:space="preserve"> co następuje. </w:t>
      </w:r>
    </w:p>
    <w:p w14:paraId="1AB27AA5" w14:textId="3CBC783E"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lastRenderedPageBreak/>
        <w:t xml:space="preserve">W zakresie argumentów, że Obwiniona działała wyłącznie w interesie Gminy </w:t>
      </w:r>
      <w:r w:rsidR="00C4041F">
        <w:rPr>
          <w:rFonts w:ascii="Calibri" w:hAnsi="Calibri" w:cs="Calibri"/>
          <w:sz w:val="24"/>
          <w:szCs w:val="24"/>
        </w:rPr>
        <w:t>(...)</w:t>
      </w:r>
      <w:r w:rsidRPr="006764B3">
        <w:rPr>
          <w:rFonts w:ascii="Calibri" w:hAnsi="Calibri" w:cs="Calibri"/>
          <w:sz w:val="24"/>
          <w:szCs w:val="24"/>
        </w:rPr>
        <w:t xml:space="preserve"> i w przekonaniu, że finansowanie inwestycji przebiegnie bezproblemowo, GKO podkreśla, że nie kwestionuje faktu, iż działanie </w:t>
      </w:r>
      <w:r w:rsidR="00CD4CBE">
        <w:rPr>
          <w:rFonts w:ascii="Calibri" w:hAnsi="Calibri" w:cs="Calibri"/>
          <w:sz w:val="24"/>
          <w:szCs w:val="24"/>
        </w:rPr>
        <w:t>O</w:t>
      </w:r>
      <w:r w:rsidRPr="006764B3">
        <w:rPr>
          <w:rFonts w:ascii="Calibri" w:hAnsi="Calibri" w:cs="Calibri"/>
          <w:sz w:val="24"/>
          <w:szCs w:val="24"/>
        </w:rPr>
        <w:t>bwinionej miało związek z możliwością otrzymania przez j</w:t>
      </w:r>
      <w:r w:rsidR="00CD4CBE">
        <w:rPr>
          <w:rFonts w:ascii="Calibri" w:hAnsi="Calibri" w:cs="Calibri"/>
          <w:sz w:val="24"/>
          <w:szCs w:val="24"/>
        </w:rPr>
        <w:t xml:space="preserve">ednostkę samorządu </w:t>
      </w:r>
      <w:r w:rsidRPr="006764B3">
        <w:rPr>
          <w:rFonts w:ascii="Calibri" w:hAnsi="Calibri" w:cs="Calibri"/>
          <w:sz w:val="24"/>
          <w:szCs w:val="24"/>
        </w:rPr>
        <w:t>t</w:t>
      </w:r>
      <w:r w:rsidR="00CD4CBE">
        <w:rPr>
          <w:rFonts w:ascii="Calibri" w:hAnsi="Calibri" w:cs="Calibri"/>
          <w:sz w:val="24"/>
          <w:szCs w:val="24"/>
        </w:rPr>
        <w:t>erytorialnego</w:t>
      </w:r>
      <w:r w:rsidRPr="006764B3">
        <w:rPr>
          <w:rFonts w:ascii="Calibri" w:hAnsi="Calibri" w:cs="Calibri"/>
          <w:sz w:val="24"/>
          <w:szCs w:val="24"/>
        </w:rPr>
        <w:t xml:space="preserve"> znaczącego dofinansowania przedsięwzięcia inwestycyjnego. Możliwość otrzymania takiego dofinansowania wynikała z promesy </w:t>
      </w:r>
      <w:r>
        <w:rPr>
          <w:rFonts w:ascii="Calibri" w:hAnsi="Calibri" w:cs="Calibri"/>
          <w:sz w:val="24"/>
          <w:szCs w:val="24"/>
        </w:rPr>
        <w:t>wydanej</w:t>
      </w:r>
      <w:r w:rsidRPr="006764B3">
        <w:rPr>
          <w:rFonts w:ascii="Calibri" w:hAnsi="Calibri" w:cs="Calibri"/>
          <w:sz w:val="24"/>
          <w:szCs w:val="24"/>
        </w:rPr>
        <w:t xml:space="preserve"> przez MSWiA dot</w:t>
      </w:r>
      <w:r>
        <w:rPr>
          <w:rFonts w:ascii="Calibri" w:hAnsi="Calibri" w:cs="Calibri"/>
          <w:sz w:val="24"/>
          <w:szCs w:val="24"/>
        </w:rPr>
        <w:t>yczącej</w:t>
      </w:r>
      <w:r w:rsidRPr="006764B3">
        <w:rPr>
          <w:rFonts w:ascii="Calibri" w:hAnsi="Calibri" w:cs="Calibri"/>
          <w:sz w:val="24"/>
          <w:szCs w:val="24"/>
        </w:rPr>
        <w:t xml:space="preserve"> 5 zadań inwestycyjnych. Zrealizowanie celu wydanej promesy, w tym otrzymanie dofinansowania inwestycji uzależnione jednak było od odpowiednich działań podjętych przez jednostkę. Działania podejmowane przez Gminę powinny być przy tym zgodnie regulacjami obowiązującymi przy </w:t>
      </w:r>
      <w:r>
        <w:rPr>
          <w:rFonts w:ascii="Calibri" w:hAnsi="Calibri" w:cs="Calibri"/>
          <w:sz w:val="24"/>
          <w:szCs w:val="24"/>
        </w:rPr>
        <w:t>realizacji</w:t>
      </w:r>
      <w:r w:rsidRPr="006764B3">
        <w:rPr>
          <w:rFonts w:ascii="Calibri" w:hAnsi="Calibri" w:cs="Calibri"/>
          <w:sz w:val="24"/>
          <w:szCs w:val="24"/>
        </w:rPr>
        <w:t xml:space="preserve"> zadania finansowanego ze środków publicznych. Otrzymane zapewnienie finansowania nie wyłączało bowiem regulacji dotyczących wykonywania budżetu jednostki, w żaden sposób nie mogło zatem stanowić samoistnej podstawy do zaciągnięcia zawiązania, bądź też dokonania wydatku z budżetu gminy. </w:t>
      </w:r>
    </w:p>
    <w:p w14:paraId="4C17BC7F" w14:textId="5D53B501" w:rsidR="009062BB" w:rsidRDefault="009062BB" w:rsidP="009062BB">
      <w:pPr>
        <w:autoSpaceDE w:val="0"/>
        <w:autoSpaceDN w:val="0"/>
        <w:adjustRightInd w:val="0"/>
        <w:spacing w:after="120" w:line="360" w:lineRule="auto"/>
        <w:rPr>
          <w:sz w:val="24"/>
          <w:szCs w:val="24"/>
        </w:rPr>
      </w:pPr>
      <w:r w:rsidRPr="006764B3">
        <w:rPr>
          <w:rFonts w:ascii="Calibri" w:hAnsi="Calibri" w:cs="Calibri"/>
          <w:sz w:val="24"/>
          <w:szCs w:val="24"/>
        </w:rPr>
        <w:t>Dodatkowo, otrzymanie dofinansowania tego konkretnego zadnia inwestycyjnego wymagało poniesienia przez gminę wydatków w ramach</w:t>
      </w:r>
      <w:r w:rsidR="00CD4CBE">
        <w:rPr>
          <w:rFonts w:ascii="Calibri" w:hAnsi="Calibri" w:cs="Calibri"/>
          <w:sz w:val="24"/>
          <w:szCs w:val="24"/>
        </w:rPr>
        <w:t>,</w:t>
      </w:r>
      <w:r w:rsidRPr="006764B3">
        <w:rPr>
          <w:rFonts w:ascii="Calibri" w:hAnsi="Calibri" w:cs="Calibri"/>
          <w:sz w:val="24"/>
          <w:szCs w:val="24"/>
        </w:rPr>
        <w:t xml:space="preserve"> tzw. wkładu własnego. </w:t>
      </w:r>
      <w:r>
        <w:rPr>
          <w:rFonts w:ascii="Calibri" w:hAnsi="Calibri" w:cs="Calibri"/>
          <w:sz w:val="24"/>
          <w:szCs w:val="24"/>
        </w:rPr>
        <w:t>M</w:t>
      </w:r>
      <w:r w:rsidRPr="006764B3">
        <w:rPr>
          <w:rFonts w:ascii="Calibri" w:hAnsi="Calibri" w:cs="Calibri"/>
          <w:sz w:val="24"/>
          <w:szCs w:val="24"/>
        </w:rPr>
        <w:t>ontaż finansowy</w:t>
      </w:r>
      <w:r>
        <w:rPr>
          <w:rFonts w:ascii="Calibri" w:hAnsi="Calibri" w:cs="Calibri"/>
          <w:sz w:val="24"/>
          <w:szCs w:val="24"/>
        </w:rPr>
        <w:t xml:space="preserve"> określający źródła finansowania zadania </w:t>
      </w:r>
      <w:r w:rsidRPr="006764B3">
        <w:rPr>
          <w:rFonts w:ascii="Calibri" w:hAnsi="Calibri" w:cs="Calibri"/>
          <w:sz w:val="24"/>
          <w:szCs w:val="24"/>
        </w:rPr>
        <w:t xml:space="preserve">wynikał wprost z promesy. </w:t>
      </w:r>
      <w:r>
        <w:rPr>
          <w:rFonts w:ascii="Calibri" w:hAnsi="Calibri" w:cs="Calibri"/>
          <w:sz w:val="24"/>
          <w:szCs w:val="24"/>
        </w:rPr>
        <w:t>Było t</w:t>
      </w:r>
      <w:r w:rsidRPr="006764B3">
        <w:rPr>
          <w:rFonts w:ascii="Calibri" w:hAnsi="Calibri" w:cs="Calibri"/>
          <w:sz w:val="24"/>
          <w:szCs w:val="24"/>
        </w:rPr>
        <w:t>o</w:t>
      </w:r>
      <w:r>
        <w:rPr>
          <w:rFonts w:ascii="Calibri" w:hAnsi="Calibri" w:cs="Calibri"/>
          <w:sz w:val="24"/>
          <w:szCs w:val="24"/>
        </w:rPr>
        <w:t xml:space="preserve"> przy tym</w:t>
      </w:r>
      <w:r w:rsidRPr="006764B3">
        <w:rPr>
          <w:rFonts w:ascii="Calibri" w:hAnsi="Calibri" w:cs="Calibri"/>
          <w:sz w:val="24"/>
          <w:szCs w:val="24"/>
        </w:rPr>
        <w:t xml:space="preserve"> rozwiązanie zgodne z przepisami ustawowymi dotyczącymi dofinansowywania zadań własnych jednostek samorządu terytorialnego – na postawie art. 128 ust. 2 </w:t>
      </w:r>
      <w:r>
        <w:rPr>
          <w:rFonts w:ascii="Calibri" w:hAnsi="Calibri" w:cs="Calibri"/>
          <w:sz w:val="24"/>
          <w:szCs w:val="24"/>
        </w:rPr>
        <w:t>oufp</w:t>
      </w:r>
      <w:r w:rsidRPr="006764B3">
        <w:rPr>
          <w:rFonts w:ascii="Calibri" w:hAnsi="Calibri" w:cs="Calibri"/>
          <w:sz w:val="24"/>
          <w:szCs w:val="24"/>
        </w:rPr>
        <w:t xml:space="preserve"> kwota dotacji na dofinansowanie zadań własnych bieżących i inwestycyjnych nie może stanowić więcej niż 80% kosztów realizacji zadania, chyba że odrębne ustawy stanowią inaczej. Ze zgromadzonego w sprawie materiału dowodowego wynika, że o ile kwota promesy została ostatecznie, już po zaciągnięciu zobowiązania,  wprowadzona do budżetu gminy, to w toku realizacji przedsięwzięcia pojawiły się problemy z pozyskaniem środków finansowych na pokrycie tzw. wkładu własnego gminy. Jest to szczególnie istotne, gdyż „utrzymanie” montażu finansowego ustanowionego dla danego zadania warunkuje prawidłowe rozl</w:t>
      </w:r>
      <w:r>
        <w:rPr>
          <w:rFonts w:ascii="Calibri" w:hAnsi="Calibri" w:cs="Calibri"/>
          <w:sz w:val="24"/>
          <w:szCs w:val="24"/>
        </w:rPr>
        <w:t>iczenie przyznanej dotacji</w:t>
      </w:r>
      <w:r w:rsidRPr="006764B3">
        <w:rPr>
          <w:rFonts w:ascii="Calibri" w:hAnsi="Calibri" w:cs="Calibri"/>
          <w:sz w:val="24"/>
          <w:szCs w:val="24"/>
        </w:rPr>
        <w:t xml:space="preserve">. Zgodnie z przepisami uofp </w:t>
      </w:r>
      <w:r w:rsidRPr="006764B3">
        <w:rPr>
          <w:sz w:val="24"/>
          <w:szCs w:val="24"/>
        </w:rPr>
        <w:t xml:space="preserve">dotacje są to podlegające szczególnym zasadom rozliczania środki z budżetu państwa, budżetu jednostek samorządu terytorialnego oraz z państwowych funduszy celowych przeznaczone na podstawie niniejszej ustawy, odrębnych ustaw lub umów międzynarodowych, na finansowanie lub dofinansowanie realizacji zadań publicznych. Należy zatem podkreślić, że prawidłowość wykorzystania dotacji </w:t>
      </w:r>
      <w:r w:rsidRPr="006764B3">
        <w:rPr>
          <w:sz w:val="24"/>
          <w:szCs w:val="24"/>
        </w:rPr>
        <w:lastRenderedPageBreak/>
        <w:t>uwarunkowana była między innymi poniesieniem wydatków ze środków własnych gminy</w:t>
      </w:r>
      <w:r>
        <w:rPr>
          <w:sz w:val="24"/>
          <w:szCs w:val="24"/>
        </w:rPr>
        <w:t>,</w:t>
      </w:r>
      <w:r w:rsidRPr="006764B3">
        <w:rPr>
          <w:sz w:val="24"/>
          <w:szCs w:val="24"/>
        </w:rPr>
        <w:t xml:space="preserve"> zgodnie z postanowieniami wynikającymi z umów dotacyjnych. </w:t>
      </w:r>
    </w:p>
    <w:p w14:paraId="45A72296"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Z materiału dowodowego wynika, że pismem z 4 kwietnia 2019 r. Wojewoda Mazowiecki zawiadomił o wszczęciu postepowania administracyjnego w sprawie zwrotu dotacji udzielonej na zadania objęte promesą. Powodem wszczęcia postepowania było stwierdzenie niemożności rozliczenia końcowego zadań inwestycyjnych ze względu na niewydatkowanie przez gminę w roku 2018 środków w ramach tzw. wkładu własnego. W tej konkretnej sprawie należy zatem zwrócić uwagę na opóźnienia nie tylko w zakresie ujęcia w uchwale budżetowej gminy kwoty wynikającej z promesy, ale poważnych zaniedbań w zakresie pozyskania i zapewnienia odpowiedniego ujęcia w planie finansowym zabezpieczenia środków w części dotyczącej wkładu własnego.  Głowna Księgowa powinna sobie zdawać sprawę z konieczności przestrzegania</w:t>
      </w:r>
      <w:r>
        <w:rPr>
          <w:rFonts w:ascii="Calibri" w:hAnsi="Calibri" w:cs="Calibri"/>
          <w:sz w:val="24"/>
          <w:szCs w:val="24"/>
        </w:rPr>
        <w:t xml:space="preserve"> </w:t>
      </w:r>
      <w:r w:rsidRPr="006764B3">
        <w:rPr>
          <w:rFonts w:ascii="Calibri" w:hAnsi="Calibri" w:cs="Calibri"/>
          <w:sz w:val="24"/>
          <w:szCs w:val="24"/>
        </w:rPr>
        <w:t xml:space="preserve">obowiązujących przepisów dotyczących wydatkowania dotacji z budżetu państwa oraz z potencjalnych skutków naruszenia tych regulacji. </w:t>
      </w:r>
      <w:r>
        <w:rPr>
          <w:rFonts w:ascii="Calibri" w:hAnsi="Calibri" w:cs="Calibri"/>
          <w:sz w:val="24"/>
          <w:szCs w:val="24"/>
        </w:rPr>
        <w:t>W świetle powyższych u</w:t>
      </w:r>
      <w:r w:rsidRPr="006764B3">
        <w:rPr>
          <w:rFonts w:ascii="Calibri" w:hAnsi="Calibri" w:cs="Calibri"/>
          <w:sz w:val="24"/>
          <w:szCs w:val="24"/>
        </w:rPr>
        <w:t>staleń argument dotyczący działania dla dobra gminy, GKO uznaje za chybiony. Również założenie z góry przez Obwinioną, że inwestycja w zakresie jej sfinansowania nie napotka na żadne problemy, należy ocenić negatywnie.</w:t>
      </w:r>
      <w:r>
        <w:rPr>
          <w:rFonts w:ascii="Calibri" w:hAnsi="Calibri" w:cs="Calibri"/>
          <w:sz w:val="24"/>
          <w:szCs w:val="24"/>
        </w:rPr>
        <w:t xml:space="preserve"> </w:t>
      </w:r>
      <w:r w:rsidRPr="006764B3">
        <w:rPr>
          <w:rFonts w:ascii="Calibri" w:hAnsi="Calibri" w:cs="Calibri"/>
          <w:sz w:val="24"/>
          <w:szCs w:val="24"/>
        </w:rPr>
        <w:t xml:space="preserve">Tym bardziej, że koszt zadania inwestycyjnego był dla gminy – również ocenie Obwinionej – bardzo znaczący. </w:t>
      </w:r>
    </w:p>
    <w:p w14:paraId="37E6B527"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Obrońca wskazuje takż</w:t>
      </w:r>
      <w:r>
        <w:rPr>
          <w:rFonts w:ascii="Calibri" w:hAnsi="Calibri" w:cs="Calibri"/>
          <w:sz w:val="24"/>
          <w:szCs w:val="24"/>
        </w:rPr>
        <w:t>e</w:t>
      </w:r>
      <w:r w:rsidRPr="006764B3">
        <w:rPr>
          <w:rFonts w:ascii="Calibri" w:hAnsi="Calibri" w:cs="Calibri"/>
          <w:sz w:val="24"/>
          <w:szCs w:val="24"/>
        </w:rPr>
        <w:t>, że zwoływanie posiedzenia Rady Gminy nie należało do obowiązków Obwinionej. GKO nie kwestionuje w żaden sposób faktu, iż rolą obwinionej nie było zwoływanie takiego posiedzenia – nie może to być jednak okolicznością łagodzącą w kontekście badania odpowiedzialności za zaniedbanie w zakresie działań przypisanych głównemu księgowemu.</w:t>
      </w:r>
    </w:p>
    <w:p w14:paraId="28C058C9" w14:textId="77777777"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Analogiczny wniosek należy przyjąć jeżeli chodzi o podniesioną przez Obrońcę kwestię porównania odpowiedzialności Obwinionej z odpowiedzialnością Wójta Gminy – ustalenia poczynione w zakresie działań Wójta Gminy w żadnym razie nie mogą </w:t>
      </w:r>
      <w:r>
        <w:rPr>
          <w:rFonts w:ascii="Calibri" w:hAnsi="Calibri" w:cs="Calibri"/>
          <w:sz w:val="24"/>
          <w:szCs w:val="24"/>
        </w:rPr>
        <w:t>wpływać na udowodnione zarzuty dotyczące</w:t>
      </w:r>
      <w:r w:rsidRPr="006764B3">
        <w:rPr>
          <w:rFonts w:ascii="Calibri" w:hAnsi="Calibri" w:cs="Calibri"/>
          <w:sz w:val="24"/>
          <w:szCs w:val="24"/>
        </w:rPr>
        <w:t xml:space="preserve"> kontroli wstępnej dokonywanej przez głównego księgowego. Należy ponownie podkreślić, że w przypadku Obwinionej ocena dokonana przez RKO dotyczyła wyłącznie jej roli w całym procesie. Zastrzeżenia odnoszą się bowiem do wykonania kontroli wstępnej, która należy do czynności zastrzeżonych ustawowo dla głównego księgowego. </w:t>
      </w:r>
    </w:p>
    <w:p w14:paraId="761AD2A9" w14:textId="5D98015C"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lastRenderedPageBreak/>
        <w:t>RKO w swoim uzasadnieniu słusznie zwróciła uwagę na rolę skarbnika jst w kontekście dbałości o ład finansów publicznych. Działanie zgodnie z zatwierdzonym planem finansowym jest jednym z kluczowych elementów tego ładu. Funkcja głównego księgowego jednostki samorządowa terytorialnego wymaga nie tylko posiadania wiedzy w zakresie przepisów regulujących procedurę budżetową jst (począwszy od planowania, poprzez wykonywanie i sprawozdawczość), ale też świadomości jak ważne przestrzeganie tych regulacji. Należy mieć na względzie, że czynności podejmowane przez skarbnika muszą uwzględniać bezpieczeństwo finansowe jednostki samorządu terytorialnego, powinny być bowiem gwarantem stabilności finansowej jednostki. Z przepisów jednoznacznie wynika brak podstaw do zaakceptowania zobowiązań nieposiadających umocowania w budżecie jednostki. Obwiniona zdawała sobie z tego sprawę, mimo to zdecydowała się na działanie wbrew obowiązującej normie. Co istotne czyny Obwinionej dotyczyły kilku dokumentów oraz –na co należy zwrócić szczególną uwagę – znacznych z punktu widzenia budżetu Gminy.</w:t>
      </w:r>
    </w:p>
    <w:p w14:paraId="7E108DB5" w14:textId="2B791923" w:rsidR="009062BB" w:rsidRPr="006764B3" w:rsidRDefault="009062BB" w:rsidP="009062BB">
      <w:pPr>
        <w:autoSpaceDE w:val="0"/>
        <w:autoSpaceDN w:val="0"/>
        <w:adjustRightInd w:val="0"/>
        <w:spacing w:after="120" w:line="360" w:lineRule="auto"/>
        <w:rPr>
          <w:rFonts w:ascii="Calibri" w:hAnsi="Calibri" w:cs="Calibri"/>
          <w:sz w:val="24"/>
          <w:szCs w:val="24"/>
        </w:rPr>
      </w:pPr>
      <w:r w:rsidRPr="006764B3">
        <w:rPr>
          <w:rFonts w:ascii="Calibri" w:hAnsi="Calibri" w:cs="Calibri"/>
          <w:sz w:val="24"/>
          <w:szCs w:val="24"/>
        </w:rPr>
        <w:t xml:space="preserve">W związku z tym GKO, podzielając ocenę dokonaną przez RKO, uznała stopień szkodliwości czynów związanych z uchybieniami dotyczącymi kontroli wstępnej za znaczny. Decyzja co do wymiaru kary wymierzonej obwinionej została przez Komisję I Instancji odpowiednio uzasadniona. Analiza sprawy dokonana przez GKO – uwzględniająca całość materiału dowodowego zgromadzonego w sprawie, również w kontekście argumentów ujętych w odwołaniu – nie dała podstaw do złagodzenia wymiaru kary, ani tym bardziej do odstąpienia od jej wymierzenia.  </w:t>
      </w:r>
    </w:p>
    <w:p w14:paraId="2275C5EC" w14:textId="1D557587" w:rsidR="00DD5516" w:rsidRPr="00DD5516" w:rsidRDefault="009062BB" w:rsidP="00381E64">
      <w:pPr>
        <w:autoSpaceDE w:val="0"/>
        <w:autoSpaceDN w:val="0"/>
        <w:adjustRightInd w:val="0"/>
        <w:spacing w:after="120" w:line="360" w:lineRule="auto"/>
        <w:rPr>
          <w:b/>
          <w:bCs/>
          <w:i/>
          <w:sz w:val="24"/>
          <w:szCs w:val="24"/>
        </w:rPr>
      </w:pPr>
      <w:r w:rsidRPr="006764B3">
        <w:rPr>
          <w:rFonts w:ascii="Calibri" w:hAnsi="Calibri" w:cs="Calibri"/>
          <w:sz w:val="24"/>
          <w:szCs w:val="24"/>
        </w:rPr>
        <w:t>Z powyższych względów orzeczono</w:t>
      </w:r>
      <w:r w:rsidR="00CD4CBE">
        <w:rPr>
          <w:rFonts w:ascii="Calibri" w:hAnsi="Calibri" w:cs="Calibri"/>
          <w:sz w:val="24"/>
          <w:szCs w:val="24"/>
        </w:rPr>
        <w:t>,</w:t>
      </w:r>
      <w:r w:rsidRPr="006764B3">
        <w:rPr>
          <w:rFonts w:ascii="Calibri" w:hAnsi="Calibri" w:cs="Calibri"/>
          <w:sz w:val="24"/>
          <w:szCs w:val="24"/>
        </w:rPr>
        <w:t xml:space="preserve"> jak w sentencji.</w:t>
      </w:r>
      <w:bookmarkStart w:id="3" w:name="_GoBack"/>
      <w:bookmarkEnd w:id="3"/>
      <w:r w:rsidR="00381E64" w:rsidRPr="00DD5516">
        <w:rPr>
          <w:b/>
          <w:bCs/>
          <w:i/>
          <w:sz w:val="24"/>
          <w:szCs w:val="24"/>
        </w:rPr>
        <w:t xml:space="preserve"> </w:t>
      </w:r>
    </w:p>
    <w:p w14:paraId="4B4DEC36" w14:textId="3A7A471E" w:rsidR="004A3B45" w:rsidRPr="007218F7" w:rsidRDefault="004A3B45" w:rsidP="005F6C16">
      <w:pPr>
        <w:spacing w:after="240" w:line="360" w:lineRule="auto"/>
        <w:ind w:right="45"/>
        <w:rPr>
          <w:rFonts w:eastAsia="Calibri" w:cstheme="minorHAnsi"/>
          <w:sz w:val="24"/>
        </w:rPr>
      </w:pPr>
    </w:p>
    <w:sectPr w:rsidR="004A3B45" w:rsidRPr="007218F7" w:rsidSect="002636DF">
      <w:headerReference w:type="default" r:id="rId11"/>
      <w:footerReference w:type="default" r:id="rId12"/>
      <w:headerReference w:type="first" r:id="rId13"/>
      <w:pgSz w:w="11906" w:h="16838" w:code="9"/>
      <w:pgMar w:top="1418" w:right="1418" w:bottom="1418" w:left="1418"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84AE15" w14:textId="77777777" w:rsidR="002636DF" w:rsidRDefault="002636DF">
      <w:pPr>
        <w:spacing w:after="0" w:line="240" w:lineRule="auto"/>
      </w:pPr>
      <w:r>
        <w:separator/>
      </w:r>
    </w:p>
  </w:endnote>
  <w:endnote w:type="continuationSeparator" w:id="0">
    <w:p w14:paraId="706DEE22" w14:textId="77777777" w:rsidR="002636DF" w:rsidRDefault="0026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B034" w14:textId="77777777" w:rsidR="002636DF" w:rsidRPr="001E48A5" w:rsidRDefault="000B3477" w:rsidP="002636DF">
    <w:pPr>
      <w:jc w:val="center"/>
      <w:rPr>
        <w:sz w:val="20"/>
        <w:szCs w:val="20"/>
      </w:rPr>
    </w:pPr>
    <w:r w:rsidRPr="001E48A5">
      <w:rPr>
        <w:sz w:val="20"/>
        <w:szCs w:val="20"/>
      </w:rPr>
      <w:t>–</w:t>
    </w:r>
    <w:r>
      <w:rPr>
        <w:sz w:val="20"/>
        <w:szCs w:val="20"/>
      </w:rPr>
      <w:t xml:space="preserve"> </w:t>
    </w:r>
    <w:r w:rsidRPr="001E48A5">
      <w:rPr>
        <w:sz w:val="20"/>
        <w:szCs w:val="20"/>
      </w:rPr>
      <w:fldChar w:fldCharType="begin"/>
    </w:r>
    <w:r w:rsidRPr="001E48A5">
      <w:rPr>
        <w:sz w:val="20"/>
        <w:szCs w:val="20"/>
      </w:rPr>
      <w:instrText xml:space="preserve"> PAGE    \* MERGEFORMAT </w:instrText>
    </w:r>
    <w:r w:rsidRPr="001E48A5">
      <w:rPr>
        <w:sz w:val="20"/>
        <w:szCs w:val="20"/>
      </w:rPr>
      <w:fldChar w:fldCharType="separate"/>
    </w:r>
    <w:r w:rsidR="00381E64">
      <w:rPr>
        <w:noProof/>
        <w:sz w:val="20"/>
        <w:szCs w:val="20"/>
      </w:rPr>
      <w:t>10</w:t>
    </w:r>
    <w:r w:rsidRPr="001E48A5">
      <w:rPr>
        <w:sz w:val="20"/>
        <w:szCs w:val="20"/>
      </w:rPr>
      <w:fldChar w:fldCharType="end"/>
    </w:r>
    <w:r>
      <w:rPr>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47840" w14:textId="77777777" w:rsidR="002636DF" w:rsidRDefault="002636DF">
      <w:pPr>
        <w:spacing w:after="0" w:line="240" w:lineRule="auto"/>
      </w:pPr>
      <w:r>
        <w:separator/>
      </w:r>
    </w:p>
  </w:footnote>
  <w:footnote w:type="continuationSeparator" w:id="0">
    <w:p w14:paraId="4CE8C21A" w14:textId="77777777" w:rsidR="002636DF" w:rsidRDefault="00263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C74A8" w14:textId="59D38DA8" w:rsidR="002636DF" w:rsidRPr="00B9047E" w:rsidRDefault="00B9047E" w:rsidP="002636DF">
    <w:pPr>
      <w:pStyle w:val="Nagwek"/>
      <w:ind w:firstLine="0"/>
      <w:rPr>
        <w:rFonts w:asciiTheme="minorHAnsi" w:hAnsiTheme="minorHAnsi" w:cstheme="minorHAnsi"/>
        <w:b/>
        <w:lang w:val="pl-PL"/>
      </w:rPr>
    </w:pPr>
    <w:r>
      <w:rPr>
        <w:rFonts w:asciiTheme="minorHAnsi" w:hAnsiTheme="minorHAnsi" w:cstheme="minorHAnsi"/>
        <w:b/>
      </w:rPr>
      <w:t>Sygn. akt BDF1.4800.</w:t>
    </w:r>
    <w:r w:rsidR="00FC4C72">
      <w:rPr>
        <w:rFonts w:asciiTheme="minorHAnsi" w:hAnsiTheme="minorHAnsi" w:cstheme="minorHAnsi"/>
        <w:b/>
        <w:lang w:val="pl-PL"/>
      </w:rPr>
      <w:t>67</w:t>
    </w:r>
    <w:r>
      <w:rPr>
        <w:rFonts w:asciiTheme="minorHAnsi" w:hAnsiTheme="minorHAnsi" w:cstheme="minorHAnsi"/>
        <w:b/>
      </w:rPr>
      <w:t>.202</w:t>
    </w:r>
    <w:r w:rsidR="000924CC">
      <w:rPr>
        <w:rFonts w:asciiTheme="minorHAnsi" w:hAnsiTheme="minorHAnsi" w:cstheme="minorHAnsi"/>
        <w:b/>
        <w:lang w:val="pl-PL"/>
      </w:rPr>
      <w:t>1</w:t>
    </w:r>
  </w:p>
  <w:p w14:paraId="2ED434FD" w14:textId="77777777" w:rsidR="002636DF" w:rsidRPr="00D00DA1" w:rsidRDefault="002636DF" w:rsidP="002636DF">
    <w:pPr>
      <w:pStyle w:val="Nagwek"/>
      <w:ind w:firstLine="0"/>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C9A92" w14:textId="77777777" w:rsidR="002636DF" w:rsidRPr="001E48A5" w:rsidRDefault="000B3477" w:rsidP="002636DF">
    <w:pPr>
      <w:pStyle w:val="Nagwek"/>
      <w:ind w:firstLine="0"/>
      <w:rPr>
        <w:b/>
      </w:rPr>
    </w:pPr>
    <w:r>
      <w:rPr>
        <w:b/>
      </w:rPr>
      <w:t>Sygn. akt BDF1/490</w:t>
    </w:r>
    <w:r w:rsidRPr="001E48A5">
      <w:rPr>
        <w:b/>
      </w:rPr>
      <w:t>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5664A"/>
    <w:multiLevelType w:val="hybridMultilevel"/>
    <w:tmpl w:val="D3F2A3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A2D0359"/>
    <w:multiLevelType w:val="hybridMultilevel"/>
    <w:tmpl w:val="397A4A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0AEC22F4"/>
    <w:multiLevelType w:val="hybridMultilevel"/>
    <w:tmpl w:val="9E943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0270A8"/>
    <w:multiLevelType w:val="hybridMultilevel"/>
    <w:tmpl w:val="3CE2FAA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AA2F00"/>
    <w:multiLevelType w:val="hybridMultilevel"/>
    <w:tmpl w:val="D8BA0DBA"/>
    <w:lvl w:ilvl="0" w:tplc="FC3062BC">
      <w:start w:val="1"/>
      <w:numFmt w:val="decimal"/>
      <w:lvlText w:val="%1)"/>
      <w:lvlJc w:val="left"/>
      <w:pPr>
        <w:ind w:left="900" w:hanging="5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17E2F"/>
    <w:multiLevelType w:val="hybridMultilevel"/>
    <w:tmpl w:val="5A722302"/>
    <w:lvl w:ilvl="0" w:tplc="0415000F">
      <w:start w:val="1"/>
      <w:numFmt w:val="decimal"/>
      <w:lvlText w:val="%1."/>
      <w:lvlJc w:val="left"/>
      <w:pPr>
        <w:ind w:left="2203" w:hanging="360"/>
      </w:pPr>
    </w:lvl>
    <w:lvl w:ilvl="1" w:tplc="04150019" w:tentative="1">
      <w:start w:val="1"/>
      <w:numFmt w:val="lowerLetter"/>
      <w:lvlText w:val="%2."/>
      <w:lvlJc w:val="left"/>
      <w:pPr>
        <w:ind w:left="2923" w:hanging="360"/>
      </w:pPr>
    </w:lvl>
    <w:lvl w:ilvl="2" w:tplc="0415001B" w:tentative="1">
      <w:start w:val="1"/>
      <w:numFmt w:val="lowerRoman"/>
      <w:lvlText w:val="%3."/>
      <w:lvlJc w:val="right"/>
      <w:pPr>
        <w:ind w:left="3643" w:hanging="180"/>
      </w:pPr>
    </w:lvl>
    <w:lvl w:ilvl="3" w:tplc="0415000F" w:tentative="1">
      <w:start w:val="1"/>
      <w:numFmt w:val="decimal"/>
      <w:lvlText w:val="%4."/>
      <w:lvlJc w:val="left"/>
      <w:pPr>
        <w:ind w:left="4363" w:hanging="360"/>
      </w:pPr>
    </w:lvl>
    <w:lvl w:ilvl="4" w:tplc="04150019" w:tentative="1">
      <w:start w:val="1"/>
      <w:numFmt w:val="lowerLetter"/>
      <w:lvlText w:val="%5."/>
      <w:lvlJc w:val="left"/>
      <w:pPr>
        <w:ind w:left="5083" w:hanging="360"/>
      </w:pPr>
    </w:lvl>
    <w:lvl w:ilvl="5" w:tplc="0415001B" w:tentative="1">
      <w:start w:val="1"/>
      <w:numFmt w:val="lowerRoman"/>
      <w:lvlText w:val="%6."/>
      <w:lvlJc w:val="right"/>
      <w:pPr>
        <w:ind w:left="5803" w:hanging="180"/>
      </w:pPr>
    </w:lvl>
    <w:lvl w:ilvl="6" w:tplc="0415000F" w:tentative="1">
      <w:start w:val="1"/>
      <w:numFmt w:val="decimal"/>
      <w:lvlText w:val="%7."/>
      <w:lvlJc w:val="left"/>
      <w:pPr>
        <w:ind w:left="6523" w:hanging="360"/>
      </w:pPr>
    </w:lvl>
    <w:lvl w:ilvl="7" w:tplc="04150019" w:tentative="1">
      <w:start w:val="1"/>
      <w:numFmt w:val="lowerLetter"/>
      <w:lvlText w:val="%8."/>
      <w:lvlJc w:val="left"/>
      <w:pPr>
        <w:ind w:left="7243" w:hanging="360"/>
      </w:pPr>
    </w:lvl>
    <w:lvl w:ilvl="8" w:tplc="0415001B" w:tentative="1">
      <w:start w:val="1"/>
      <w:numFmt w:val="lowerRoman"/>
      <w:lvlText w:val="%9."/>
      <w:lvlJc w:val="right"/>
      <w:pPr>
        <w:ind w:left="7963" w:hanging="180"/>
      </w:pPr>
    </w:lvl>
  </w:abstractNum>
  <w:abstractNum w:abstractNumId="6" w15:restartNumberingAfterBreak="0">
    <w:nsid w:val="172C36E0"/>
    <w:multiLevelType w:val="hybridMultilevel"/>
    <w:tmpl w:val="9E9435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88555F"/>
    <w:multiLevelType w:val="hybridMultilevel"/>
    <w:tmpl w:val="EC7A8554"/>
    <w:lvl w:ilvl="0" w:tplc="3098944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A9623D8"/>
    <w:multiLevelType w:val="hybridMultilevel"/>
    <w:tmpl w:val="B0B0E4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2831C7"/>
    <w:multiLevelType w:val="hybridMultilevel"/>
    <w:tmpl w:val="CC14CF5E"/>
    <w:lvl w:ilvl="0" w:tplc="3098944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9A1F03"/>
    <w:multiLevelType w:val="hybridMultilevel"/>
    <w:tmpl w:val="E3BC472A"/>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283A85"/>
    <w:multiLevelType w:val="hybridMultilevel"/>
    <w:tmpl w:val="9364E8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AC6DF2"/>
    <w:multiLevelType w:val="hybridMultilevel"/>
    <w:tmpl w:val="36583A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047742"/>
    <w:multiLevelType w:val="hybridMultilevel"/>
    <w:tmpl w:val="E224399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9B1722"/>
    <w:multiLevelType w:val="hybridMultilevel"/>
    <w:tmpl w:val="7624B600"/>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FC17CC"/>
    <w:multiLevelType w:val="hybridMultilevel"/>
    <w:tmpl w:val="44D2A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DC4061F"/>
    <w:multiLevelType w:val="hybridMultilevel"/>
    <w:tmpl w:val="313A0896"/>
    <w:lvl w:ilvl="0" w:tplc="FB720B46">
      <w:start w:val="1"/>
      <w:numFmt w:val="upperRoman"/>
      <w:lvlText w:val="%1."/>
      <w:lvlJc w:val="left"/>
      <w:pPr>
        <w:ind w:left="720" w:hanging="360"/>
      </w:pPr>
      <w:rPr>
        <w:rFonts w:cstheme="minorBidi"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B26A31"/>
    <w:multiLevelType w:val="hybridMultilevel"/>
    <w:tmpl w:val="5F548EC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FB87465"/>
    <w:multiLevelType w:val="hybridMultilevel"/>
    <w:tmpl w:val="EF0AE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E4D32"/>
    <w:multiLevelType w:val="hybridMultilevel"/>
    <w:tmpl w:val="5EA8DD38"/>
    <w:lvl w:ilvl="0" w:tplc="1EBA2C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3009D6"/>
    <w:multiLevelType w:val="hybridMultilevel"/>
    <w:tmpl w:val="02640D9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CE97556"/>
    <w:multiLevelType w:val="hybridMultilevel"/>
    <w:tmpl w:val="8D404D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18A0AE4"/>
    <w:multiLevelType w:val="hybridMultilevel"/>
    <w:tmpl w:val="03E23F5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4913347E"/>
    <w:multiLevelType w:val="hybridMultilevel"/>
    <w:tmpl w:val="F2949B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494D4D35"/>
    <w:multiLevelType w:val="hybridMultilevel"/>
    <w:tmpl w:val="17D0C4AC"/>
    <w:lvl w:ilvl="0" w:tplc="721E4E72">
      <w:start w:val="1"/>
      <w:numFmt w:val="decimal"/>
      <w:lvlText w:val="%1."/>
      <w:lvlJc w:val="left"/>
      <w:pPr>
        <w:ind w:left="360" w:hanging="360"/>
      </w:pPr>
      <w:rPr>
        <w:b/>
        <w:i w:val="0"/>
      </w:rPr>
    </w:lvl>
    <w:lvl w:ilvl="1" w:tplc="A42CD2D6">
      <w:start w:val="1"/>
      <w:numFmt w:val="decimal"/>
      <w:lvlText w:val="%2)"/>
      <w:lvlJc w:val="left"/>
      <w:pPr>
        <w:tabs>
          <w:tab w:val="num" w:pos="1174"/>
        </w:tabs>
        <w:ind w:left="1174" w:hanging="454"/>
      </w:pPr>
      <w:rPr>
        <w:rFonts w:hint="default"/>
      </w:rPr>
    </w:lvl>
    <w:lvl w:ilvl="2" w:tplc="AC5AACDA">
      <w:start w:val="1"/>
      <w:numFmt w:val="upperRoman"/>
      <w:lvlText w:val="%3."/>
      <w:lvlJc w:val="left"/>
      <w:pPr>
        <w:ind w:left="2340" w:hanging="72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C66280F"/>
    <w:multiLevelType w:val="hybridMultilevel"/>
    <w:tmpl w:val="EE1AE46E"/>
    <w:lvl w:ilvl="0" w:tplc="DE5E4BD2">
      <w:start w:val="1"/>
      <w:numFmt w:val="upperRoman"/>
      <w:lvlText w:val="%1."/>
      <w:lvlJc w:val="left"/>
      <w:pPr>
        <w:ind w:left="1080" w:hanging="72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667FFA"/>
    <w:multiLevelType w:val="hybridMultilevel"/>
    <w:tmpl w:val="CAD2811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524C0521"/>
    <w:multiLevelType w:val="hybridMultilevel"/>
    <w:tmpl w:val="D51C2A0C"/>
    <w:lvl w:ilvl="0" w:tplc="24EE4A5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33C7CF5"/>
    <w:multiLevelType w:val="hybridMultilevel"/>
    <w:tmpl w:val="47D4F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AF2CD3"/>
    <w:multiLevelType w:val="hybridMultilevel"/>
    <w:tmpl w:val="B504F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3F93696"/>
    <w:multiLevelType w:val="hybridMultilevel"/>
    <w:tmpl w:val="EF0AEF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D70816"/>
    <w:multiLevelType w:val="hybridMultilevel"/>
    <w:tmpl w:val="E46A7230"/>
    <w:lvl w:ilvl="0" w:tplc="D9F8A0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7E0BD4"/>
    <w:multiLevelType w:val="hybridMultilevel"/>
    <w:tmpl w:val="07FC9B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5704435"/>
    <w:multiLevelType w:val="hybridMultilevel"/>
    <w:tmpl w:val="65D06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6B2188"/>
    <w:multiLevelType w:val="hybridMultilevel"/>
    <w:tmpl w:val="235AB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CD860CB"/>
    <w:multiLevelType w:val="hybridMultilevel"/>
    <w:tmpl w:val="4B3CB30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CE4370A"/>
    <w:multiLevelType w:val="hybridMultilevel"/>
    <w:tmpl w:val="954C307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2F32286"/>
    <w:multiLevelType w:val="hybridMultilevel"/>
    <w:tmpl w:val="3A6EFB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38C03A2"/>
    <w:multiLevelType w:val="hybridMultilevel"/>
    <w:tmpl w:val="7AD6CAAC"/>
    <w:lvl w:ilvl="0" w:tplc="52F2629C">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39" w15:restartNumberingAfterBreak="0">
    <w:nsid w:val="76D77A4F"/>
    <w:multiLevelType w:val="hybridMultilevel"/>
    <w:tmpl w:val="0E7C0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9E34318"/>
    <w:multiLevelType w:val="hybridMultilevel"/>
    <w:tmpl w:val="5CCA3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02632B"/>
    <w:multiLevelType w:val="hybridMultilevel"/>
    <w:tmpl w:val="611CC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EB9416A"/>
    <w:multiLevelType w:val="hybridMultilevel"/>
    <w:tmpl w:val="1E0ABB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3"/>
  </w:num>
  <w:num w:numId="3">
    <w:abstractNumId w:val="19"/>
  </w:num>
  <w:num w:numId="4">
    <w:abstractNumId w:val="12"/>
  </w:num>
  <w:num w:numId="5">
    <w:abstractNumId w:val="9"/>
  </w:num>
  <w:num w:numId="6">
    <w:abstractNumId w:val="20"/>
  </w:num>
  <w:num w:numId="7">
    <w:abstractNumId w:val="18"/>
  </w:num>
  <w:num w:numId="8">
    <w:abstractNumId w:val="36"/>
  </w:num>
  <w:num w:numId="9">
    <w:abstractNumId w:val="17"/>
  </w:num>
  <w:num w:numId="10">
    <w:abstractNumId w:val="3"/>
  </w:num>
  <w:num w:numId="11">
    <w:abstractNumId w:val="26"/>
  </w:num>
  <w:num w:numId="12">
    <w:abstractNumId w:val="0"/>
  </w:num>
  <w:num w:numId="13">
    <w:abstractNumId w:val="10"/>
  </w:num>
  <w:num w:numId="14">
    <w:abstractNumId w:val="6"/>
  </w:num>
  <w:num w:numId="15">
    <w:abstractNumId w:val="35"/>
  </w:num>
  <w:num w:numId="16">
    <w:abstractNumId w:val="22"/>
  </w:num>
  <w:num w:numId="17">
    <w:abstractNumId w:val="1"/>
  </w:num>
  <w:num w:numId="18">
    <w:abstractNumId w:val="37"/>
  </w:num>
  <w:num w:numId="19">
    <w:abstractNumId w:val="8"/>
  </w:num>
  <w:num w:numId="20">
    <w:abstractNumId w:val="21"/>
  </w:num>
  <w:num w:numId="21">
    <w:abstractNumId w:val="2"/>
  </w:num>
  <w:num w:numId="22">
    <w:abstractNumId w:val="31"/>
  </w:num>
  <w:num w:numId="23">
    <w:abstractNumId w:val="14"/>
  </w:num>
  <w:num w:numId="24">
    <w:abstractNumId w:val="42"/>
  </w:num>
  <w:num w:numId="25">
    <w:abstractNumId w:val="25"/>
  </w:num>
  <w:num w:numId="26">
    <w:abstractNumId w:val="27"/>
  </w:num>
  <w:num w:numId="27">
    <w:abstractNumId w:val="16"/>
  </w:num>
  <w:num w:numId="28">
    <w:abstractNumId w:val="23"/>
  </w:num>
  <w:num w:numId="29">
    <w:abstractNumId w:val="4"/>
  </w:num>
  <w:num w:numId="30">
    <w:abstractNumId w:val="30"/>
  </w:num>
  <w:num w:numId="31">
    <w:abstractNumId w:val="24"/>
  </w:num>
  <w:num w:numId="32">
    <w:abstractNumId w:val="5"/>
  </w:num>
  <w:num w:numId="33">
    <w:abstractNumId w:val="11"/>
  </w:num>
  <w:num w:numId="34">
    <w:abstractNumId w:val="15"/>
  </w:num>
  <w:num w:numId="35">
    <w:abstractNumId w:val="40"/>
  </w:num>
  <w:num w:numId="36">
    <w:abstractNumId w:val="34"/>
  </w:num>
  <w:num w:numId="37">
    <w:abstractNumId w:val="32"/>
  </w:num>
  <w:num w:numId="38">
    <w:abstractNumId w:val="28"/>
  </w:num>
  <w:num w:numId="39">
    <w:abstractNumId w:val="29"/>
  </w:num>
  <w:num w:numId="40">
    <w:abstractNumId w:val="39"/>
  </w:num>
  <w:num w:numId="41">
    <w:abstractNumId w:val="41"/>
  </w:num>
  <w:num w:numId="42">
    <w:abstractNumId w:val="38"/>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477"/>
    <w:rsid w:val="000506D5"/>
    <w:rsid w:val="00072E4F"/>
    <w:rsid w:val="000924CC"/>
    <w:rsid w:val="000B3477"/>
    <w:rsid w:val="000C1773"/>
    <w:rsid w:val="000D5D4B"/>
    <w:rsid w:val="000E0554"/>
    <w:rsid w:val="000F2943"/>
    <w:rsid w:val="00101B7A"/>
    <w:rsid w:val="00140FB9"/>
    <w:rsid w:val="00152441"/>
    <w:rsid w:val="001529FC"/>
    <w:rsid w:val="00167CDC"/>
    <w:rsid w:val="00174453"/>
    <w:rsid w:val="00182624"/>
    <w:rsid w:val="001A1227"/>
    <w:rsid w:val="001A6AF4"/>
    <w:rsid w:val="0023071F"/>
    <w:rsid w:val="002636DF"/>
    <w:rsid w:val="002C23D3"/>
    <w:rsid w:val="00312035"/>
    <w:rsid w:val="00347CCB"/>
    <w:rsid w:val="00356612"/>
    <w:rsid w:val="003778A5"/>
    <w:rsid w:val="00381E64"/>
    <w:rsid w:val="00395555"/>
    <w:rsid w:val="003D7B65"/>
    <w:rsid w:val="003E253D"/>
    <w:rsid w:val="003F4046"/>
    <w:rsid w:val="004045D8"/>
    <w:rsid w:val="00426582"/>
    <w:rsid w:val="00454B8A"/>
    <w:rsid w:val="00456595"/>
    <w:rsid w:val="004A3B45"/>
    <w:rsid w:val="004E5838"/>
    <w:rsid w:val="004F26EB"/>
    <w:rsid w:val="00582A50"/>
    <w:rsid w:val="005950D2"/>
    <w:rsid w:val="005F6C16"/>
    <w:rsid w:val="00611964"/>
    <w:rsid w:val="00630588"/>
    <w:rsid w:val="00666B24"/>
    <w:rsid w:val="006745C5"/>
    <w:rsid w:val="006D4A71"/>
    <w:rsid w:val="006F0128"/>
    <w:rsid w:val="00700FC6"/>
    <w:rsid w:val="007218F7"/>
    <w:rsid w:val="007911E3"/>
    <w:rsid w:val="007B3459"/>
    <w:rsid w:val="007B5306"/>
    <w:rsid w:val="007C66B2"/>
    <w:rsid w:val="007D3D88"/>
    <w:rsid w:val="007F1743"/>
    <w:rsid w:val="007F3F44"/>
    <w:rsid w:val="0086610C"/>
    <w:rsid w:val="00886689"/>
    <w:rsid w:val="008C6569"/>
    <w:rsid w:val="008C7059"/>
    <w:rsid w:val="008D6B59"/>
    <w:rsid w:val="008D732F"/>
    <w:rsid w:val="008E435B"/>
    <w:rsid w:val="009007BE"/>
    <w:rsid w:val="009062BB"/>
    <w:rsid w:val="0093722E"/>
    <w:rsid w:val="0094650F"/>
    <w:rsid w:val="00961910"/>
    <w:rsid w:val="009C150B"/>
    <w:rsid w:val="009D2307"/>
    <w:rsid w:val="00A07B61"/>
    <w:rsid w:val="00A33BD0"/>
    <w:rsid w:val="00A43F87"/>
    <w:rsid w:val="00A8588A"/>
    <w:rsid w:val="00AA749B"/>
    <w:rsid w:val="00AD3486"/>
    <w:rsid w:val="00AE37FA"/>
    <w:rsid w:val="00AF3B2D"/>
    <w:rsid w:val="00AF3D02"/>
    <w:rsid w:val="00B15493"/>
    <w:rsid w:val="00B21724"/>
    <w:rsid w:val="00B46C4A"/>
    <w:rsid w:val="00B61452"/>
    <w:rsid w:val="00B81691"/>
    <w:rsid w:val="00B841FE"/>
    <w:rsid w:val="00B9047E"/>
    <w:rsid w:val="00B95D71"/>
    <w:rsid w:val="00C14327"/>
    <w:rsid w:val="00C15BBA"/>
    <w:rsid w:val="00C272D4"/>
    <w:rsid w:val="00C4041F"/>
    <w:rsid w:val="00C50815"/>
    <w:rsid w:val="00C74E86"/>
    <w:rsid w:val="00CA012A"/>
    <w:rsid w:val="00CA18FA"/>
    <w:rsid w:val="00CD4493"/>
    <w:rsid w:val="00CD4CBE"/>
    <w:rsid w:val="00D37D01"/>
    <w:rsid w:val="00DA6E6D"/>
    <w:rsid w:val="00DD28FD"/>
    <w:rsid w:val="00DD5516"/>
    <w:rsid w:val="00DF54B1"/>
    <w:rsid w:val="00E10885"/>
    <w:rsid w:val="00E35B74"/>
    <w:rsid w:val="00E74BD3"/>
    <w:rsid w:val="00E928D0"/>
    <w:rsid w:val="00ED0CE8"/>
    <w:rsid w:val="00EF6D63"/>
    <w:rsid w:val="00F12D5B"/>
    <w:rsid w:val="00F6525C"/>
    <w:rsid w:val="00F72B9A"/>
    <w:rsid w:val="00F91EC1"/>
    <w:rsid w:val="00FA1333"/>
    <w:rsid w:val="00FC4C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0035B1E"/>
  <w15:chartTrackingRefBased/>
  <w15:docId w15:val="{B5BAB0BE-8D11-4B48-8116-A5B76A6C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955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3955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955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B3477"/>
    <w:pPr>
      <w:tabs>
        <w:tab w:val="center" w:pos="4536"/>
        <w:tab w:val="right" w:pos="9072"/>
      </w:tabs>
      <w:spacing w:after="0" w:line="240" w:lineRule="auto"/>
      <w:ind w:firstLine="851"/>
      <w:jc w:val="both"/>
    </w:pPr>
    <w:rPr>
      <w:rFonts w:ascii="Times New Roman" w:eastAsia="Calibri" w:hAnsi="Times New Roman" w:cs="Times New Roman"/>
      <w:sz w:val="24"/>
      <w:lang w:val="x-none"/>
    </w:rPr>
  </w:style>
  <w:style w:type="character" w:customStyle="1" w:styleId="NagwekZnak">
    <w:name w:val="Nagłówek Znak"/>
    <w:basedOn w:val="Domylnaczcionkaakapitu"/>
    <w:link w:val="Nagwek"/>
    <w:uiPriority w:val="99"/>
    <w:rsid w:val="000B3477"/>
    <w:rPr>
      <w:rFonts w:ascii="Times New Roman" w:eastAsia="Calibri" w:hAnsi="Times New Roman" w:cs="Times New Roman"/>
      <w:sz w:val="24"/>
      <w:lang w:val="x-none"/>
    </w:rPr>
  </w:style>
  <w:style w:type="character" w:styleId="Odwoaniedokomentarza">
    <w:name w:val="annotation reference"/>
    <w:basedOn w:val="Domylnaczcionkaakapitu"/>
    <w:uiPriority w:val="99"/>
    <w:semiHidden/>
    <w:unhideWhenUsed/>
    <w:rsid w:val="000B3477"/>
    <w:rPr>
      <w:sz w:val="16"/>
      <w:szCs w:val="16"/>
    </w:rPr>
  </w:style>
  <w:style w:type="paragraph" w:styleId="Tekstkomentarza">
    <w:name w:val="annotation text"/>
    <w:basedOn w:val="Normalny"/>
    <w:link w:val="TekstkomentarzaZnak"/>
    <w:uiPriority w:val="99"/>
    <w:semiHidden/>
    <w:unhideWhenUsed/>
    <w:rsid w:val="000B3477"/>
    <w:pPr>
      <w:spacing w:before="240" w:after="0" w:line="240" w:lineRule="auto"/>
      <w:ind w:firstLine="851"/>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semiHidden/>
    <w:rsid w:val="000B3477"/>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0B3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3477"/>
    <w:rPr>
      <w:rFonts w:ascii="Segoe UI" w:hAnsi="Segoe UI" w:cs="Segoe UI"/>
      <w:sz w:val="18"/>
      <w:szCs w:val="18"/>
    </w:rPr>
  </w:style>
  <w:style w:type="paragraph" w:styleId="Akapitzlist">
    <w:name w:val="List Paragraph"/>
    <w:basedOn w:val="Normalny"/>
    <w:uiPriority w:val="34"/>
    <w:qFormat/>
    <w:rsid w:val="00E928D0"/>
    <w:pPr>
      <w:ind w:left="720"/>
      <w:contextualSpacing/>
    </w:pPr>
  </w:style>
  <w:style w:type="character" w:customStyle="1" w:styleId="Nagwek1Znak">
    <w:name w:val="Nagłówek 1 Znak"/>
    <w:basedOn w:val="Domylnaczcionkaakapitu"/>
    <w:link w:val="Nagwek1"/>
    <w:uiPriority w:val="9"/>
    <w:rsid w:val="0039555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395555"/>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395555"/>
    <w:rPr>
      <w:rFonts w:asciiTheme="majorHAnsi" w:eastAsiaTheme="majorEastAsia" w:hAnsiTheme="majorHAnsi" w:cstheme="majorBidi"/>
      <w:color w:val="1F4D78" w:themeColor="accent1" w:themeShade="7F"/>
      <w:sz w:val="24"/>
      <w:szCs w:val="24"/>
    </w:rPr>
  </w:style>
  <w:style w:type="paragraph" w:styleId="Stopka">
    <w:name w:val="footer"/>
    <w:basedOn w:val="Normalny"/>
    <w:link w:val="StopkaZnak"/>
    <w:uiPriority w:val="99"/>
    <w:unhideWhenUsed/>
    <w:rsid w:val="00DF54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54B1"/>
  </w:style>
  <w:style w:type="paragraph" w:styleId="Tekstprzypisudolnego">
    <w:name w:val="footnote text"/>
    <w:basedOn w:val="Normalny"/>
    <w:link w:val="TekstprzypisudolnegoZnak"/>
    <w:unhideWhenUsed/>
    <w:rsid w:val="003D7B65"/>
    <w:pPr>
      <w:spacing w:after="0" w:line="240" w:lineRule="auto"/>
    </w:pPr>
    <w:rPr>
      <w:sz w:val="20"/>
      <w:szCs w:val="20"/>
    </w:rPr>
  </w:style>
  <w:style w:type="character" w:customStyle="1" w:styleId="TekstprzypisudolnegoZnak">
    <w:name w:val="Tekst przypisu dolnego Znak"/>
    <w:basedOn w:val="Domylnaczcionkaakapitu"/>
    <w:link w:val="Tekstprzypisudolnego"/>
    <w:rsid w:val="003D7B65"/>
    <w:rPr>
      <w:sz w:val="20"/>
      <w:szCs w:val="20"/>
    </w:rPr>
  </w:style>
  <w:style w:type="character" w:styleId="Odwoanieprzypisudolnego">
    <w:name w:val="footnote reference"/>
    <w:basedOn w:val="Domylnaczcionkaakapitu"/>
    <w:unhideWhenUsed/>
    <w:rsid w:val="003D7B65"/>
    <w:rPr>
      <w:vertAlign w:val="superscript"/>
    </w:rPr>
  </w:style>
  <w:style w:type="character" w:customStyle="1" w:styleId="Footnote">
    <w:name w:val="Footnote_"/>
    <w:basedOn w:val="Domylnaczcionkaakapitu"/>
    <w:link w:val="Footnote0"/>
    <w:rsid w:val="00EF6D63"/>
    <w:rPr>
      <w:rFonts w:ascii="Calibri" w:eastAsia="Calibri" w:hAnsi="Calibri" w:cs="Calibri"/>
      <w:sz w:val="20"/>
      <w:szCs w:val="20"/>
      <w:shd w:val="clear" w:color="auto" w:fill="FFFFFF"/>
    </w:rPr>
  </w:style>
  <w:style w:type="character" w:customStyle="1" w:styleId="Bodytext">
    <w:name w:val="Body text_"/>
    <w:basedOn w:val="Domylnaczcionkaakapitu"/>
    <w:link w:val="Tekstpodstawowy1"/>
    <w:rsid w:val="00EF6D63"/>
    <w:rPr>
      <w:rFonts w:ascii="Calibri" w:eastAsia="Calibri" w:hAnsi="Calibri" w:cs="Calibri"/>
      <w:sz w:val="23"/>
      <w:szCs w:val="23"/>
      <w:shd w:val="clear" w:color="auto" w:fill="FFFFFF"/>
    </w:rPr>
  </w:style>
  <w:style w:type="paragraph" w:customStyle="1" w:styleId="Footnote0">
    <w:name w:val="Footnote"/>
    <w:basedOn w:val="Normalny"/>
    <w:link w:val="Footnote"/>
    <w:rsid w:val="00EF6D63"/>
    <w:pPr>
      <w:shd w:val="clear" w:color="auto" w:fill="FFFFFF"/>
      <w:spacing w:after="0" w:line="240" w:lineRule="exact"/>
      <w:jc w:val="both"/>
    </w:pPr>
    <w:rPr>
      <w:rFonts w:ascii="Calibri" w:eastAsia="Calibri" w:hAnsi="Calibri" w:cs="Calibri"/>
      <w:sz w:val="20"/>
      <w:szCs w:val="20"/>
    </w:rPr>
  </w:style>
  <w:style w:type="paragraph" w:customStyle="1" w:styleId="Tekstpodstawowy1">
    <w:name w:val="Tekst podstawowy1"/>
    <w:basedOn w:val="Normalny"/>
    <w:link w:val="Bodytext"/>
    <w:rsid w:val="00EF6D63"/>
    <w:pPr>
      <w:shd w:val="clear" w:color="auto" w:fill="FFFFFF"/>
      <w:spacing w:before="780" w:after="780" w:line="0" w:lineRule="atLeast"/>
    </w:pPr>
    <w:rPr>
      <w:rFonts w:ascii="Calibri" w:eastAsia="Calibri" w:hAnsi="Calibri" w:cs="Calibri"/>
      <w:sz w:val="23"/>
      <w:szCs w:val="23"/>
    </w:rPr>
  </w:style>
  <w:style w:type="character" w:customStyle="1" w:styleId="TekstpodstawowyZnak">
    <w:name w:val="Tekst podstawowy Znak"/>
    <w:basedOn w:val="Domylnaczcionkaakapitu"/>
    <w:link w:val="Tekstpodstawowy"/>
    <w:uiPriority w:val="1"/>
    <w:qFormat/>
    <w:rsid w:val="006745C5"/>
    <w:rPr>
      <w:rFonts w:eastAsia="Lato" w:cs="Lato"/>
      <w:sz w:val="24"/>
    </w:rPr>
  </w:style>
  <w:style w:type="paragraph" w:styleId="Tekstpodstawowy">
    <w:name w:val="Body Text"/>
    <w:basedOn w:val="Normalny"/>
    <w:link w:val="TekstpodstawowyZnak"/>
    <w:uiPriority w:val="1"/>
    <w:qFormat/>
    <w:rsid w:val="006745C5"/>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6745C5"/>
  </w:style>
  <w:style w:type="paragraph" w:styleId="Tekstpodstawowywcity">
    <w:name w:val="Body Text Indent"/>
    <w:basedOn w:val="Normalny"/>
    <w:link w:val="TekstpodstawowywcityZnak"/>
    <w:uiPriority w:val="99"/>
    <w:unhideWhenUsed/>
    <w:rsid w:val="006745C5"/>
    <w:pPr>
      <w:spacing w:after="120"/>
      <w:ind w:left="283"/>
    </w:pPr>
  </w:style>
  <w:style w:type="character" w:customStyle="1" w:styleId="TekstpodstawowywcityZnak">
    <w:name w:val="Tekst podstawowy wcięty Znak"/>
    <w:basedOn w:val="Domylnaczcionkaakapitu"/>
    <w:link w:val="Tekstpodstawowywcity"/>
    <w:uiPriority w:val="99"/>
    <w:rsid w:val="006745C5"/>
  </w:style>
  <w:style w:type="character" w:customStyle="1" w:styleId="Teksttreci">
    <w:name w:val="Tekst treści_"/>
    <w:rsid w:val="00101B7A"/>
    <w:rPr>
      <w:rFonts w:ascii="Arial" w:eastAsia="Arial" w:hAnsi="Arial" w:cs="Arial"/>
      <w:b w:val="0"/>
      <w:bCs w:val="0"/>
      <w:i w:val="0"/>
      <w:iCs w:val="0"/>
      <w:smallCaps w:val="0"/>
      <w:strike w:val="0"/>
      <w:sz w:val="18"/>
      <w:szCs w:val="18"/>
      <w:u w:val="none"/>
    </w:rPr>
  </w:style>
  <w:style w:type="paragraph" w:customStyle="1" w:styleId="Bodytext2">
    <w:name w:val="Body text (2)"/>
    <w:basedOn w:val="Normalny"/>
    <w:rsid w:val="0093722E"/>
    <w:pPr>
      <w:widowControl w:val="0"/>
      <w:shd w:val="clear" w:color="auto" w:fill="FFFFFF"/>
      <w:spacing w:after="0" w:line="224" w:lineRule="exact"/>
    </w:pPr>
    <w:rPr>
      <w:rFonts w:ascii="Arial" w:eastAsia="Arial" w:hAnsi="Arial"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D1643AF25F8DA418A8D860F0A8CFC32" ma:contentTypeVersion="" ma:contentTypeDescription="Utwórz nowy dokument." ma:contentTypeScope="" ma:versionID="e8eea0622d6399ab98c0f0e3649f6aab">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FCC71D-8A31-4D36-B330-A9220DF9CE7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D0C051F-52F3-4C5F-B13D-06A458547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7DFFB2F-779E-4266-AF07-FDA478252D68}">
  <ds:schemaRefs>
    <ds:schemaRef ds:uri="http://schemas.microsoft.com/sharepoint/v3/contenttype/forms"/>
  </ds:schemaRefs>
</ds:datastoreItem>
</file>

<file path=customXml/itemProps4.xml><?xml version="1.0" encoding="utf-8"?>
<ds:datastoreItem xmlns:ds="http://schemas.openxmlformats.org/officeDocument/2006/customXml" ds:itemID="{6E79C190-B1E3-4946-A18D-AAC878990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10</Pages>
  <Words>3119</Words>
  <Characters>18717</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Ministerstwo Finansów</Company>
  <LinksUpToDate>false</LinksUpToDate>
  <CharactersWithSpaces>21793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Zych Magdalena</dc:creator>
  <cp:keywords/>
  <dc:description/>
  <cp:lastModifiedBy>Pytel Dominik</cp:lastModifiedBy>
  <cp:revision>1</cp:revision>
  <cp:lastPrinted>2022-04-07T12:37:00Z</cp:lastPrinted>
  <dcterms:created xsi:type="dcterms:W3CDTF">2021-12-07T06:54:00Z</dcterms:created>
  <dcterms:modified xsi:type="dcterms:W3CDTF">2023-08-29T09:01:00Z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0x0101006D1643AF25F8DA418A8D860F0A8CFC32</vt:lpwstr>
  </property>
  <property fmtid="{D5CDD505-2E9C-101B-9397-08002B2CF9AE}" pid="3" name="MFCATEGORY">
    <vt:lpwstr>InformacjePrzeznaczoneWylacznieDoUzytkuWewnetrznego</vt:lpwstr>
  </property>
  <property fmtid="{D5CDD505-2E9C-101B-9397-08002B2CF9AE}" pid="4" name="MFClassifiedBy">
    <vt:lpwstr>UxC4dwLulzfINJ8nQH+xvX5LNGipWa4BRSZhPgxsCvnjDKBWJdCz0HhpS/sYjoAr5XI4Bjz6+sNm9Bf5i3bWQw==</vt:lpwstr>
  </property>
  <property fmtid="{D5CDD505-2E9C-101B-9397-08002B2CF9AE}" pid="5" name="MFClassificationDate">
    <vt:lpwstr>2021-12-06T14:50:57.1797585+01:00</vt:lpwstr>
  </property>
  <property fmtid="{D5CDD505-2E9C-101B-9397-08002B2CF9AE}" pid="6" name="MFClassifiedBySID">
    <vt:lpwstr>UxC4dwLulzfINJ8nQH+xvX5LNGipWa4BRSZhPgxsCvm42mrIC/DSDv0ggS+FjUN/2v1BBotkLlY5aAiEhoi6ucJ6+fDIg1f5BEwoa8WJbLspuk4FNaYidYoU+/AQDbAp</vt:lpwstr>
  </property>
  <property fmtid="{D5CDD505-2E9C-101B-9397-08002B2CF9AE}" pid="7" name="MFGRNItemId">
    <vt:lpwstr>GRN-7b1bbf05-6942-4848-b868-d65cd5578dab</vt:lpwstr>
  </property>
  <property fmtid="{D5CDD505-2E9C-101B-9397-08002B2CF9AE}" pid="8" name="MFHash">
    <vt:lpwstr>NkJphhVeLzO7I0SIQLvTZlmsqo0tGO+lJlZJhZat368=</vt:lpwstr>
  </property>
  <property fmtid="{D5CDD505-2E9C-101B-9397-08002B2CF9AE}" pid="9" name="DLPManualFileClassification">
    <vt:lpwstr>{5fdfc941-3fcf-4a5b-87be-4848800d39d0}</vt:lpwstr>
  </property>
  <property fmtid="{D5CDD505-2E9C-101B-9397-08002B2CF9AE}" pid="10" name="MFRefresh">
    <vt:lpwstr>False</vt:lpwstr>
  </property>
</Properties>
</file>