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F9" w:rsidRPr="00280C7C" w:rsidRDefault="000D5A54" w:rsidP="00A936F9">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7" o:title=""/>
            <w10:wrap type="topAndBottom"/>
            <w10:anchorlock/>
          </v:shape>
          <o:OLEObject Type="Embed" ProgID="CorelDraw.Rysunek.8" ShapeID="_x0000_s1026" DrawAspect="Content" ObjectID="_1713857674" r:id="rId8"/>
        </w:object>
      </w:r>
      <w:r w:rsidR="009D7029" w:rsidRPr="00E96BF7">
        <w:rPr>
          <w:rFonts w:ascii="Arial" w:hAnsi="Arial" w:cs="Arial"/>
          <w:b/>
          <w:sz w:val="28"/>
          <w:szCs w:val="28"/>
        </w:rPr>
        <w:t>WOJEWODA OPOLSKI</w:t>
      </w:r>
    </w:p>
    <w:p w:rsidR="00A936F9" w:rsidRPr="00280C7C" w:rsidRDefault="009D7029" w:rsidP="00A936F9">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13 kwietnia 2022</w:t>
      </w:r>
      <w:bookmarkEnd w:id="1"/>
      <w:r>
        <w:rPr>
          <w:rFonts w:ascii="Arial" w:hAnsi="Arial" w:cs="Arial"/>
          <w:sz w:val="22"/>
          <w:szCs w:val="22"/>
        </w:rPr>
        <w:t xml:space="preserve"> </w:t>
      </w:r>
      <w:r w:rsidRPr="00280C7C">
        <w:rPr>
          <w:rFonts w:ascii="Arial" w:hAnsi="Arial" w:cs="Arial"/>
          <w:sz w:val="22"/>
          <w:szCs w:val="22"/>
        </w:rPr>
        <w:t>r.</w:t>
      </w:r>
    </w:p>
    <w:p w:rsidR="00A936F9" w:rsidRPr="00186481" w:rsidRDefault="009D7029" w:rsidP="00C93EF3">
      <w:pPr>
        <w:tabs>
          <w:tab w:val="left" w:pos="5245"/>
        </w:tabs>
        <w:spacing w:after="600" w:line="360" w:lineRule="auto"/>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PS.I.431.4.2022</w:t>
      </w:r>
      <w:bookmarkEnd w:id="2"/>
      <w:r w:rsidRPr="00186481">
        <w:rPr>
          <w:rFonts w:ascii="Arial" w:hAnsi="Arial" w:cs="Arial"/>
          <w:sz w:val="22"/>
          <w:szCs w:val="22"/>
        </w:rPr>
        <w:t>.</w:t>
      </w:r>
      <w:bookmarkStart w:id="3" w:name="ezdAutorInicjaly"/>
      <w:r w:rsidRPr="00186481">
        <w:rPr>
          <w:rFonts w:ascii="Arial" w:hAnsi="Arial" w:cs="Arial"/>
          <w:sz w:val="22"/>
          <w:szCs w:val="22"/>
        </w:rPr>
        <w:t>SH</w:t>
      </w:r>
      <w:bookmarkEnd w:id="3"/>
    </w:p>
    <w:p w:rsidR="00D02626" w:rsidRPr="008F144D" w:rsidRDefault="009D7029" w:rsidP="008F144D">
      <w:pPr>
        <w:tabs>
          <w:tab w:val="left" w:pos="-7371"/>
          <w:tab w:val="right" w:pos="9072"/>
        </w:tabs>
        <w:spacing w:before="840"/>
        <w:ind w:left="5812"/>
        <w:contextualSpacing/>
        <w:rPr>
          <w:rFonts w:ascii="Arial" w:eastAsia="Calibri" w:hAnsi="Arial" w:cs="Arial"/>
          <w:b/>
          <w:sz w:val="24"/>
          <w:szCs w:val="24"/>
          <w:lang w:eastAsia="en-US"/>
        </w:rPr>
      </w:pPr>
      <w:r w:rsidRPr="008F144D">
        <w:rPr>
          <w:rFonts w:ascii="Arial" w:eastAsia="Calibri" w:hAnsi="Arial" w:cs="Arial"/>
          <w:b/>
          <w:sz w:val="24"/>
          <w:szCs w:val="24"/>
          <w:lang w:eastAsia="en-US"/>
        </w:rPr>
        <w:t>Pan</w:t>
      </w:r>
    </w:p>
    <w:p w:rsidR="00D02626" w:rsidRPr="008F144D" w:rsidRDefault="009D7029" w:rsidP="008F144D">
      <w:pPr>
        <w:tabs>
          <w:tab w:val="right" w:pos="9072"/>
        </w:tabs>
        <w:ind w:left="5812"/>
        <w:contextualSpacing/>
        <w:rPr>
          <w:rFonts w:ascii="Arial" w:eastAsia="Calibri" w:hAnsi="Arial" w:cs="Arial"/>
          <w:b/>
          <w:sz w:val="24"/>
          <w:szCs w:val="24"/>
          <w:lang w:eastAsia="en-US"/>
        </w:rPr>
      </w:pPr>
      <w:r w:rsidRPr="008F144D">
        <w:rPr>
          <w:rFonts w:ascii="Arial" w:eastAsia="Calibri" w:hAnsi="Arial" w:cs="Arial"/>
          <w:b/>
          <w:sz w:val="24"/>
          <w:szCs w:val="24"/>
          <w:lang w:eastAsia="en-US"/>
        </w:rPr>
        <w:t xml:space="preserve">Norbert Koston </w:t>
      </w:r>
    </w:p>
    <w:p w:rsidR="00D02626" w:rsidRPr="008F144D" w:rsidRDefault="009D7029" w:rsidP="008F144D">
      <w:pPr>
        <w:tabs>
          <w:tab w:val="right" w:pos="9072"/>
        </w:tabs>
        <w:ind w:left="5812"/>
        <w:contextualSpacing/>
        <w:rPr>
          <w:rFonts w:ascii="Arial" w:eastAsia="Calibri" w:hAnsi="Arial" w:cs="Arial"/>
          <w:b/>
          <w:sz w:val="24"/>
          <w:szCs w:val="24"/>
          <w:lang w:eastAsia="en-US"/>
        </w:rPr>
      </w:pPr>
      <w:r w:rsidRPr="008F144D">
        <w:rPr>
          <w:rFonts w:ascii="Arial" w:eastAsia="Calibri" w:hAnsi="Arial" w:cs="Arial"/>
          <w:b/>
          <w:sz w:val="24"/>
          <w:szCs w:val="24"/>
          <w:lang w:eastAsia="en-US"/>
        </w:rPr>
        <w:t>Burmistrz Kolonowskiego</w:t>
      </w:r>
    </w:p>
    <w:p w:rsidR="00D02626" w:rsidRPr="008F144D" w:rsidRDefault="009D7029" w:rsidP="008F144D">
      <w:pPr>
        <w:tabs>
          <w:tab w:val="left" w:pos="-7371"/>
          <w:tab w:val="right" w:pos="9072"/>
        </w:tabs>
        <w:ind w:left="5812"/>
        <w:contextualSpacing/>
        <w:rPr>
          <w:rFonts w:ascii="Arial" w:eastAsia="Calibri" w:hAnsi="Arial" w:cs="Arial"/>
          <w:b/>
          <w:sz w:val="24"/>
          <w:szCs w:val="24"/>
          <w:lang w:eastAsia="en-US"/>
        </w:rPr>
      </w:pPr>
      <w:r w:rsidRPr="008F144D">
        <w:rPr>
          <w:rFonts w:ascii="Arial" w:eastAsia="Calibri" w:hAnsi="Arial" w:cs="Arial"/>
          <w:b/>
          <w:sz w:val="24"/>
          <w:szCs w:val="24"/>
          <w:lang w:eastAsia="en-US"/>
        </w:rPr>
        <w:t>ul. Księdza Czerwionki 39</w:t>
      </w:r>
    </w:p>
    <w:p w:rsidR="00D02626" w:rsidRPr="008F144D" w:rsidRDefault="009D7029" w:rsidP="008F144D">
      <w:pPr>
        <w:tabs>
          <w:tab w:val="left" w:pos="-7371"/>
          <w:tab w:val="right" w:pos="9072"/>
        </w:tabs>
        <w:spacing w:after="480" w:line="360" w:lineRule="auto"/>
        <w:ind w:left="5812"/>
        <w:rPr>
          <w:rFonts w:ascii="Arial" w:eastAsia="Calibri" w:hAnsi="Arial" w:cs="Arial"/>
          <w:b/>
          <w:sz w:val="24"/>
          <w:szCs w:val="24"/>
          <w:lang w:eastAsia="en-US"/>
        </w:rPr>
      </w:pPr>
      <w:r w:rsidRPr="008F144D">
        <w:rPr>
          <w:rFonts w:ascii="Arial" w:eastAsia="Calibri" w:hAnsi="Arial" w:cs="Arial"/>
          <w:b/>
          <w:sz w:val="24"/>
          <w:szCs w:val="24"/>
          <w:lang w:eastAsia="en-US"/>
        </w:rPr>
        <w:t>47-110 Kolonowskie</w:t>
      </w:r>
    </w:p>
    <w:p w:rsidR="00D02626" w:rsidRPr="008F144D" w:rsidRDefault="009D7029" w:rsidP="00C93EF3">
      <w:pPr>
        <w:tabs>
          <w:tab w:val="left" w:pos="4164"/>
          <w:tab w:val="right" w:pos="9072"/>
        </w:tabs>
        <w:spacing w:after="600" w:line="360" w:lineRule="auto"/>
        <w:jc w:val="center"/>
        <w:rPr>
          <w:rFonts w:ascii="Arial" w:eastAsia="Calibri" w:hAnsi="Arial" w:cs="Arial"/>
          <w:b/>
          <w:spacing w:val="20"/>
          <w:sz w:val="24"/>
          <w:szCs w:val="24"/>
          <w:lang w:eastAsia="en-US"/>
        </w:rPr>
      </w:pPr>
      <w:r w:rsidRPr="008F144D">
        <w:rPr>
          <w:rFonts w:ascii="Arial" w:eastAsia="Calibri" w:hAnsi="Arial" w:cs="Arial"/>
          <w:b/>
          <w:spacing w:val="20"/>
          <w:sz w:val="24"/>
          <w:szCs w:val="24"/>
          <w:lang w:eastAsia="en-US"/>
        </w:rPr>
        <w:t>Wystąpienie pokontrolne</w:t>
      </w:r>
    </w:p>
    <w:p w:rsidR="00C31765" w:rsidRPr="008F144D" w:rsidRDefault="009D7029" w:rsidP="0019395E">
      <w:pPr>
        <w:spacing w:after="120" w:line="360" w:lineRule="auto"/>
        <w:ind w:firstLine="567"/>
        <w:rPr>
          <w:rFonts w:ascii="Arial" w:hAnsi="Arial" w:cs="Arial"/>
          <w:color w:val="000000" w:themeColor="text1"/>
          <w:sz w:val="24"/>
          <w:szCs w:val="24"/>
        </w:rPr>
      </w:pPr>
      <w:r w:rsidRPr="008F144D">
        <w:rPr>
          <w:rFonts w:ascii="Arial" w:hAnsi="Arial" w:cs="Arial"/>
          <w:sz w:val="24"/>
          <w:szCs w:val="24"/>
        </w:rPr>
        <w:t xml:space="preserve">W dniu 11 marca 2022 r. w siedzibie Miejsko-Gminnego Ośrodka Pomocy Społecznej w  Kolonowskiem została przeprowadzona kontrola doraźna w zakresie realizacji </w:t>
      </w:r>
      <w:r w:rsidRPr="008F144D">
        <w:rPr>
          <w:rFonts w:ascii="Arial" w:eastAsia="Calibri" w:hAnsi="Arial" w:cs="Arial"/>
          <w:sz w:val="24"/>
          <w:szCs w:val="24"/>
        </w:rPr>
        <w:t xml:space="preserve">zadań gminy wynikających z ustawy z dnia 29 lipca 2005 r. </w:t>
      </w:r>
      <w:r>
        <w:rPr>
          <w:rFonts w:ascii="Arial" w:eastAsia="Calibri" w:hAnsi="Arial" w:cs="Arial"/>
          <w:sz w:val="24"/>
          <w:szCs w:val="24"/>
        </w:rPr>
        <w:br/>
      </w:r>
      <w:r w:rsidRPr="008F144D">
        <w:rPr>
          <w:rFonts w:ascii="Arial" w:eastAsia="Calibri" w:hAnsi="Arial" w:cs="Arial"/>
          <w:sz w:val="24"/>
          <w:szCs w:val="24"/>
        </w:rPr>
        <w:t>o przeciwdziałaniu przemocy w rodzinie</w:t>
      </w:r>
      <w:r>
        <w:rPr>
          <w:rFonts w:ascii="Arial" w:eastAsia="Calibri" w:hAnsi="Arial" w:cs="Arial"/>
          <w:color w:val="000000" w:themeColor="text1"/>
          <w:sz w:val="24"/>
          <w:szCs w:val="24"/>
          <w:vertAlign w:val="superscript"/>
        </w:rPr>
        <w:footnoteReference w:id="1"/>
      </w:r>
      <w:r w:rsidRPr="008F144D">
        <w:rPr>
          <w:rFonts w:ascii="Arial" w:eastAsia="Calibri" w:hAnsi="Arial" w:cs="Arial"/>
          <w:sz w:val="24"/>
          <w:szCs w:val="24"/>
        </w:rPr>
        <w:t xml:space="preserve"> oraz wybranych aktów wykonawczych, </w:t>
      </w:r>
      <w:r>
        <w:rPr>
          <w:rFonts w:ascii="Arial" w:eastAsia="Calibri" w:hAnsi="Arial" w:cs="Arial"/>
          <w:sz w:val="24"/>
          <w:szCs w:val="24"/>
        </w:rPr>
        <w:br/>
      </w:r>
      <w:r w:rsidRPr="008F144D">
        <w:rPr>
          <w:rFonts w:ascii="Arial" w:eastAsia="Calibri" w:hAnsi="Arial" w:cs="Arial"/>
          <w:sz w:val="24"/>
          <w:szCs w:val="24"/>
        </w:rPr>
        <w:t>w związku ze skargą Pana (…)</w:t>
      </w:r>
      <w:r w:rsidRPr="008F144D">
        <w:rPr>
          <w:rFonts w:ascii="Arial" w:hAnsi="Arial" w:cs="Arial"/>
          <w:sz w:val="24"/>
          <w:szCs w:val="24"/>
        </w:rPr>
        <w:t xml:space="preserve"> z dnia 15 lutego 2022 r. (data wpływu do OUW – 21.03.2022 r.), na bezpodstawne wszczęcie procedury „Niebieskie Karty”</w:t>
      </w:r>
      <w:r w:rsidRPr="008F144D">
        <w:rPr>
          <w:rFonts w:ascii="Arial" w:hAnsi="Arial" w:cs="Arial"/>
          <w:color w:val="000000" w:themeColor="text1"/>
          <w:sz w:val="24"/>
          <w:szCs w:val="24"/>
        </w:rPr>
        <w:t xml:space="preserve">. </w:t>
      </w:r>
    </w:p>
    <w:p w:rsidR="00D02626" w:rsidRPr="008F144D" w:rsidRDefault="009D7029" w:rsidP="0019395E">
      <w:pPr>
        <w:spacing w:after="120" w:line="360" w:lineRule="auto"/>
        <w:ind w:firstLine="567"/>
        <w:rPr>
          <w:rFonts w:ascii="Arial" w:hAnsi="Arial" w:cs="Arial"/>
          <w:color w:val="000000" w:themeColor="text1"/>
          <w:sz w:val="24"/>
          <w:szCs w:val="24"/>
        </w:rPr>
      </w:pPr>
      <w:r w:rsidRPr="008F144D">
        <w:rPr>
          <w:rFonts w:ascii="Arial" w:hAnsi="Arial" w:cs="Arial"/>
          <w:sz w:val="24"/>
          <w:szCs w:val="24"/>
        </w:rPr>
        <w:t>Szczegółowe wyniki kontroli zostały przedstawione w protokole kontroli.</w:t>
      </w:r>
    </w:p>
    <w:p w:rsidR="0019395E" w:rsidRDefault="009D7029" w:rsidP="0019395E">
      <w:pPr>
        <w:spacing w:after="120" w:line="360" w:lineRule="auto"/>
        <w:ind w:firstLine="567"/>
        <w:rPr>
          <w:rFonts w:ascii="Arial" w:hAnsi="Arial" w:cs="Arial"/>
          <w:b/>
          <w:sz w:val="24"/>
          <w:szCs w:val="24"/>
        </w:rPr>
      </w:pPr>
      <w:r w:rsidRPr="008F144D">
        <w:rPr>
          <w:rFonts w:ascii="Arial" w:hAnsi="Arial" w:cs="Arial"/>
          <w:sz w:val="24"/>
          <w:szCs w:val="24"/>
        </w:rPr>
        <w:t>Realizację zadań przez Zespół Interdyscyplinarny w Kolonowskiem i grupę roboczą utworzoną do pracy z rodziną (…) w kontrolowanym zakresie ocenia się</w:t>
      </w:r>
      <w:r w:rsidRPr="008F144D">
        <w:rPr>
          <w:rFonts w:ascii="Arial" w:hAnsi="Arial" w:cs="Arial"/>
          <w:b/>
          <w:sz w:val="24"/>
          <w:szCs w:val="24"/>
        </w:rPr>
        <w:t xml:space="preserve"> pozytywnie z nieprawidłowościami.</w:t>
      </w:r>
    </w:p>
    <w:p w:rsidR="00C31765" w:rsidRPr="0019395E" w:rsidRDefault="009D7029" w:rsidP="0019395E">
      <w:pPr>
        <w:spacing w:after="120" w:line="360" w:lineRule="auto"/>
        <w:ind w:firstLine="567"/>
        <w:rPr>
          <w:rFonts w:ascii="Arial" w:hAnsi="Arial" w:cs="Arial"/>
          <w:b/>
          <w:sz w:val="24"/>
          <w:szCs w:val="24"/>
        </w:rPr>
      </w:pPr>
      <w:r w:rsidRPr="008F144D">
        <w:rPr>
          <w:rFonts w:ascii="Arial" w:hAnsi="Arial" w:cs="Arial"/>
          <w:sz w:val="24"/>
          <w:szCs w:val="24"/>
        </w:rPr>
        <w:t>Z ustaleń kontroli wynika, że Skarga Pana (…) dotycząca tego,</w:t>
      </w:r>
      <w:r w:rsidRPr="008F144D">
        <w:rPr>
          <w:rFonts w:ascii="Arial" w:eastAsia="Calibri" w:hAnsi="Arial" w:cs="Arial"/>
          <w:sz w:val="24"/>
          <w:szCs w:val="24"/>
          <w:lang w:eastAsia="en-US"/>
        </w:rPr>
        <w:t xml:space="preserve"> że</w:t>
      </w:r>
      <w:r w:rsidRPr="008F144D">
        <w:rPr>
          <w:rFonts w:ascii="Arial" w:hAnsi="Arial" w:cs="Arial"/>
          <w:sz w:val="24"/>
          <w:szCs w:val="24"/>
        </w:rPr>
        <w:t xml:space="preserve"> bezpodstawnie została wszczęta procedura „Niebieskie Karty” wobec niego, jako osoby wobec, której istnieje podejrzenie, że stosuje przemoc </w:t>
      </w:r>
      <w:r w:rsidRPr="008F144D">
        <w:rPr>
          <w:rFonts w:ascii="Arial" w:hAnsi="Arial" w:cs="Arial"/>
          <w:color w:val="000000" w:themeColor="text1"/>
          <w:sz w:val="24"/>
          <w:szCs w:val="24"/>
        </w:rPr>
        <w:t xml:space="preserve">w rodzinie – jedynie na podstawie rzekomego odłączenia przez niego prądu w pokoju syna (…) </w:t>
      </w:r>
      <w:r w:rsidRPr="008F144D">
        <w:rPr>
          <w:rFonts w:ascii="Arial" w:hAnsi="Arial" w:cs="Arial"/>
          <w:sz w:val="24"/>
          <w:szCs w:val="24"/>
        </w:rPr>
        <w:t xml:space="preserve">– </w:t>
      </w:r>
      <w:r w:rsidRPr="008F144D">
        <w:rPr>
          <w:rFonts w:ascii="Arial" w:hAnsi="Arial" w:cs="Arial"/>
          <w:b/>
          <w:sz w:val="24"/>
          <w:szCs w:val="24"/>
        </w:rPr>
        <w:t>nie zasługuje na uwzględnienie</w:t>
      </w:r>
      <w:r w:rsidRPr="008F144D">
        <w:rPr>
          <w:rFonts w:ascii="Arial" w:hAnsi="Arial" w:cs="Arial"/>
          <w:sz w:val="24"/>
          <w:szCs w:val="24"/>
        </w:rPr>
        <w:t>.</w:t>
      </w:r>
    </w:p>
    <w:p w:rsidR="008F144D" w:rsidRPr="008F144D" w:rsidRDefault="009D7029" w:rsidP="0019395E">
      <w:pPr>
        <w:spacing w:after="120" w:line="360" w:lineRule="auto"/>
        <w:ind w:firstLine="567"/>
        <w:rPr>
          <w:rFonts w:ascii="Arial" w:hAnsi="Arial" w:cs="Arial"/>
          <w:sz w:val="24"/>
          <w:szCs w:val="24"/>
        </w:rPr>
      </w:pPr>
      <w:r w:rsidRPr="008F144D">
        <w:rPr>
          <w:rFonts w:ascii="Arial" w:hAnsi="Arial" w:cs="Arial"/>
          <w:color w:val="000000" w:themeColor="text1"/>
          <w:sz w:val="24"/>
          <w:szCs w:val="24"/>
        </w:rPr>
        <w:t xml:space="preserve">Z akt sprawy wynika, że w dniu 14.12.2021 r. Pan (…), pełnoletni syn skarżącego – jako osoba pokrzywdzona, złożył w Komisariacie Policji </w:t>
      </w:r>
      <w:r>
        <w:rPr>
          <w:rFonts w:ascii="Arial" w:hAnsi="Arial" w:cs="Arial"/>
          <w:color w:val="000000" w:themeColor="text1"/>
          <w:sz w:val="24"/>
          <w:szCs w:val="24"/>
        </w:rPr>
        <w:br/>
      </w:r>
      <w:r w:rsidRPr="008F144D">
        <w:rPr>
          <w:rFonts w:ascii="Arial" w:hAnsi="Arial" w:cs="Arial"/>
          <w:color w:val="000000" w:themeColor="text1"/>
          <w:sz w:val="24"/>
          <w:szCs w:val="24"/>
        </w:rPr>
        <w:lastRenderedPageBreak/>
        <w:t>w Zawadzkiem, zawiadomienie o przestępstwie z art. 207 § 1 ustawy z dnia 6 czerwca 1997 r.</w:t>
      </w:r>
      <w:r w:rsidRPr="008F144D">
        <w:rPr>
          <w:rFonts w:ascii="Arial" w:hAnsi="Arial" w:cs="Arial"/>
          <w:sz w:val="24"/>
          <w:szCs w:val="24"/>
        </w:rPr>
        <w:t xml:space="preserve"> –</w:t>
      </w:r>
      <w:r w:rsidRPr="008F144D">
        <w:rPr>
          <w:rFonts w:ascii="Arial" w:hAnsi="Arial" w:cs="Arial"/>
          <w:color w:val="000000" w:themeColor="text1"/>
          <w:sz w:val="24"/>
          <w:szCs w:val="24"/>
        </w:rPr>
        <w:t xml:space="preserve"> Kodeks karny (Dz. U. z 2021 r., poz. 2345), który stanowi cyt.: </w:t>
      </w:r>
      <w:r w:rsidRPr="008F144D">
        <w:rPr>
          <w:rFonts w:ascii="Arial" w:hAnsi="Arial" w:cs="Arial"/>
          <w:i/>
          <w:color w:val="212529"/>
          <w:sz w:val="24"/>
          <w:szCs w:val="24"/>
          <w:shd w:val="clear" w:color="auto" w:fill="FFFFFF"/>
        </w:rPr>
        <w:t xml:space="preserve">Kto znęca się fizycznie lub psychicznie nad osobą najbliższą lub nad inną osobą pozostającą w stałym lub przemijającym stosunku zależności od sprawcy, </w:t>
      </w:r>
      <w:r w:rsidRPr="008F144D">
        <w:rPr>
          <w:rFonts w:ascii="Arial" w:hAnsi="Arial" w:cs="Arial"/>
          <w:i/>
          <w:color w:val="212529"/>
          <w:sz w:val="24"/>
          <w:szCs w:val="24"/>
        </w:rPr>
        <w:t>podlega karze pozbawienia wolności od 3 miesięcy do lat 5</w:t>
      </w:r>
      <w:r w:rsidRPr="008F144D">
        <w:rPr>
          <w:rFonts w:ascii="Arial" w:hAnsi="Arial" w:cs="Arial"/>
          <w:color w:val="212529"/>
          <w:sz w:val="24"/>
          <w:szCs w:val="24"/>
        </w:rPr>
        <w:t xml:space="preserve">. Jako sprawcę tego czynu wskazał swojego ojca – Pana (…). </w:t>
      </w:r>
    </w:p>
    <w:p w:rsidR="0019395E" w:rsidRDefault="009D7029" w:rsidP="0019395E">
      <w:pPr>
        <w:spacing w:after="120" w:line="360" w:lineRule="auto"/>
        <w:ind w:firstLine="567"/>
        <w:rPr>
          <w:rFonts w:ascii="Arial" w:hAnsi="Arial" w:cs="Arial"/>
          <w:sz w:val="24"/>
          <w:szCs w:val="24"/>
        </w:rPr>
      </w:pPr>
      <w:r w:rsidRPr="008F144D">
        <w:rPr>
          <w:rFonts w:ascii="Arial" w:hAnsi="Arial" w:cs="Arial"/>
          <w:color w:val="212529"/>
          <w:sz w:val="24"/>
          <w:szCs w:val="24"/>
        </w:rPr>
        <w:t xml:space="preserve">Jednocześnie Policja po przyjęciu przedmiotowego zawiadomienia </w:t>
      </w:r>
      <w:r w:rsidRPr="008F144D">
        <w:rPr>
          <w:rFonts w:ascii="Arial" w:hAnsi="Arial" w:cs="Arial"/>
          <w:color w:val="000000" w:themeColor="text1"/>
          <w:sz w:val="24"/>
          <w:szCs w:val="24"/>
        </w:rPr>
        <w:t>wszczęła procedurę „Niebieskie Karty”, w której zgłaszający otrzymał status osoby, co do której istnieje podejrzenie, że jest dotknięta przemocą w rodzinie, a jego ojciec status osoby, wobec której istnieje podejrzenie, że stosuje przemoc w rodzinie. Z akt sprawy wynika, że w f</w:t>
      </w:r>
      <w:r w:rsidRPr="008F144D">
        <w:rPr>
          <w:rFonts w:ascii="Arial" w:hAnsi="Arial" w:cs="Arial"/>
          <w:sz w:val="24"/>
          <w:szCs w:val="24"/>
        </w:rPr>
        <w:t xml:space="preserve">ormularzu „Niebieska Karta – A”, w punkcie IV o nazwie cyt.: </w:t>
      </w:r>
      <w:r w:rsidRPr="008F144D">
        <w:rPr>
          <w:rFonts w:ascii="Arial" w:hAnsi="Arial" w:cs="Arial"/>
          <w:i/>
          <w:sz w:val="24"/>
          <w:szCs w:val="24"/>
        </w:rPr>
        <w:t>Czy osoba, wobec której istnieje podejrzenie, że stosuje przemoc w rodzinie, zachowywała się w następujący sposób</w:t>
      </w:r>
      <w:r w:rsidRPr="008F144D">
        <w:rPr>
          <w:rFonts w:ascii="Arial" w:hAnsi="Arial" w:cs="Arial"/>
          <w:sz w:val="24"/>
          <w:szCs w:val="24"/>
        </w:rPr>
        <w:t xml:space="preserve">:, funkcjonariusz Policji, który wypełniał przedmiotowy formularz w obecności Pana (…) zaznaczył następujące formy stosowania przemocy przez skarżącego wobec syna cyt.: </w:t>
      </w:r>
      <w:r w:rsidRPr="008F144D">
        <w:rPr>
          <w:rFonts w:ascii="Arial" w:hAnsi="Arial" w:cs="Arial"/>
          <w:i/>
          <w:sz w:val="24"/>
          <w:szCs w:val="24"/>
        </w:rPr>
        <w:t>wyzwiska, ośmieszanie, groźby, krytykowanie, poniżanie, ciągłe niepokojenie, groźba karalna/znieważenie</w:t>
      </w:r>
      <w:r w:rsidRPr="008F144D">
        <w:rPr>
          <w:rFonts w:ascii="Arial" w:hAnsi="Arial" w:cs="Arial"/>
          <w:sz w:val="24"/>
          <w:szCs w:val="24"/>
        </w:rPr>
        <w:t>.</w:t>
      </w:r>
    </w:p>
    <w:p w:rsidR="00C31765" w:rsidRPr="0019395E" w:rsidRDefault="009D7029" w:rsidP="0019395E">
      <w:pPr>
        <w:spacing w:after="120" w:line="360" w:lineRule="auto"/>
        <w:ind w:firstLine="567"/>
        <w:rPr>
          <w:rFonts w:ascii="Arial" w:hAnsi="Arial" w:cs="Arial"/>
          <w:sz w:val="24"/>
          <w:szCs w:val="24"/>
        </w:rPr>
      </w:pPr>
      <w:r w:rsidRPr="0019395E">
        <w:rPr>
          <w:rFonts w:ascii="Arial" w:hAnsi="Arial" w:cs="Arial"/>
          <w:sz w:val="24"/>
          <w:szCs w:val="24"/>
        </w:rPr>
        <w:t xml:space="preserve">Wobec powyższego wszczęcie procedury „Niebiskie Karty” w rodzinie skarżącego było zgodne z art. 9d ust. 4 ustawy o przeciwdziałaniu przemocy </w:t>
      </w:r>
      <w:r>
        <w:rPr>
          <w:rFonts w:ascii="Arial" w:hAnsi="Arial" w:cs="Arial"/>
          <w:sz w:val="24"/>
          <w:szCs w:val="24"/>
        </w:rPr>
        <w:br/>
      </w:r>
      <w:r w:rsidRPr="0019395E">
        <w:rPr>
          <w:rFonts w:ascii="Arial" w:hAnsi="Arial" w:cs="Arial"/>
          <w:sz w:val="24"/>
          <w:szCs w:val="24"/>
        </w:rPr>
        <w:t xml:space="preserve">w rodzinie, który stanowi cyt.: </w:t>
      </w:r>
      <w:r w:rsidRPr="0019395E">
        <w:rPr>
          <w:rFonts w:ascii="Arial" w:hAnsi="Arial" w:cs="Arial"/>
          <w:i/>
          <w:sz w:val="24"/>
          <w:szCs w:val="24"/>
        </w:rPr>
        <w:t>Wszczęcie procedury „Niebieskie Karty” następuje przez wypełnienie formularza „Niebieska Karta” w przypadku powzięcia, w toku prowadzonych czynności służbowych lub zawodowych, podejrzenia stosowania przemocy wobec członków rodziny lub w wyniku zgłoszenia dokonanego przez członka rodziny lub przez osobę będącą świadkiem przemocy w rodzinie</w:t>
      </w:r>
      <w:r w:rsidRPr="0019395E">
        <w:rPr>
          <w:rFonts w:ascii="Arial" w:hAnsi="Arial" w:cs="Arial"/>
          <w:sz w:val="24"/>
          <w:szCs w:val="24"/>
        </w:rPr>
        <w:t>.</w:t>
      </w:r>
    </w:p>
    <w:p w:rsidR="00A936F9" w:rsidRPr="008F144D" w:rsidRDefault="009D7029" w:rsidP="0019395E">
      <w:pPr>
        <w:autoSpaceDE w:val="0"/>
        <w:autoSpaceDN w:val="0"/>
        <w:adjustRightInd w:val="0"/>
        <w:spacing w:after="120" w:line="360" w:lineRule="auto"/>
        <w:ind w:firstLine="567"/>
        <w:rPr>
          <w:rFonts w:ascii="Arial" w:hAnsi="Arial" w:cs="Arial"/>
          <w:sz w:val="24"/>
          <w:szCs w:val="24"/>
        </w:rPr>
      </w:pPr>
      <w:r w:rsidRPr="008F144D">
        <w:rPr>
          <w:rFonts w:ascii="Arial" w:hAnsi="Arial" w:cs="Arial"/>
          <w:b/>
          <w:sz w:val="24"/>
          <w:szCs w:val="24"/>
        </w:rPr>
        <w:t xml:space="preserve">W wyniku przeprowadzonej kontroli stwierdzono </w:t>
      </w:r>
      <w:r>
        <w:rPr>
          <w:rFonts w:ascii="Arial" w:hAnsi="Arial" w:cs="Arial"/>
          <w:b/>
          <w:sz w:val="24"/>
          <w:szCs w:val="24"/>
        </w:rPr>
        <w:t xml:space="preserve">następujące </w:t>
      </w:r>
      <w:r w:rsidRPr="008F144D">
        <w:rPr>
          <w:rFonts w:ascii="Arial" w:hAnsi="Arial" w:cs="Arial"/>
          <w:b/>
          <w:sz w:val="24"/>
          <w:szCs w:val="24"/>
        </w:rPr>
        <w:t>nieprawidłowości:</w:t>
      </w:r>
    </w:p>
    <w:p w:rsidR="00EF2FD0" w:rsidRPr="008F144D" w:rsidRDefault="009D7029" w:rsidP="00AE16CE">
      <w:pPr>
        <w:numPr>
          <w:ilvl w:val="0"/>
          <w:numId w:val="3"/>
        </w:numPr>
        <w:spacing w:line="360" w:lineRule="auto"/>
        <w:ind w:left="714" w:hanging="357"/>
        <w:rPr>
          <w:rFonts w:ascii="Arial" w:eastAsia="Calibri" w:hAnsi="Arial" w:cs="Arial"/>
          <w:sz w:val="24"/>
          <w:szCs w:val="24"/>
          <w:lang w:eastAsia="en-US"/>
        </w:rPr>
      </w:pPr>
      <w:r w:rsidRPr="008F144D">
        <w:rPr>
          <w:rFonts w:ascii="Arial" w:eastAsia="Calibri" w:hAnsi="Arial" w:cs="Arial"/>
          <w:sz w:val="24"/>
          <w:szCs w:val="24"/>
          <w:lang w:eastAsia="en-US"/>
        </w:rPr>
        <w:t>Nierzetelne sporządzenie protokołu z posiedzenia Zespołu Interdyscyplinarnego przez co nie zawiera on wszystkich niezbędnych informacji dotyczącej realizacji zadań przez Zespół, określonych w art. 9b ust. 1 i 2 ustawy</w:t>
      </w:r>
      <w:r w:rsidR="009429B9">
        <w:rPr>
          <w:rFonts w:ascii="Arial" w:eastAsia="Calibri" w:hAnsi="Arial" w:cs="Arial"/>
          <w:sz w:val="24"/>
          <w:szCs w:val="24"/>
          <w:lang w:eastAsia="en-US"/>
        </w:rPr>
        <w:t xml:space="preserve"> o przeciwdziałaniu przemocy w rodzinie</w:t>
      </w:r>
      <w:r w:rsidRPr="008F144D">
        <w:rPr>
          <w:rFonts w:ascii="Arial" w:eastAsia="Calibri" w:hAnsi="Arial" w:cs="Arial"/>
          <w:sz w:val="24"/>
          <w:szCs w:val="24"/>
          <w:lang w:eastAsia="en-US"/>
        </w:rPr>
        <w:t>.</w:t>
      </w:r>
    </w:p>
    <w:p w:rsidR="001B0105" w:rsidRPr="008F144D" w:rsidRDefault="009D7029" w:rsidP="00AE16CE">
      <w:pPr>
        <w:pStyle w:val="Akapitzlist"/>
        <w:spacing w:after="0" w:line="360" w:lineRule="auto"/>
        <w:contextualSpacing w:val="0"/>
        <w:rPr>
          <w:rFonts w:ascii="Arial" w:hAnsi="Arial" w:cs="Arial"/>
          <w:sz w:val="24"/>
          <w:szCs w:val="24"/>
        </w:rPr>
      </w:pPr>
      <w:r w:rsidRPr="008F144D">
        <w:rPr>
          <w:rFonts w:ascii="Arial" w:hAnsi="Arial" w:cs="Arial"/>
          <w:sz w:val="24"/>
          <w:szCs w:val="24"/>
        </w:rPr>
        <w:t xml:space="preserve">Sporządzenie protokołu z posiedzenia Zespołu Interdyscyplinarnego bez dokładnego wskazywania tematów i problemów omawianych na posiedzeniu przez członków Zespołu skutkuje niemożnością ustalenia, czy Zespół Interdyscyplinarny właściwie realizuje zadania wynikające z ustawy </w:t>
      </w:r>
      <w:r>
        <w:rPr>
          <w:rFonts w:ascii="Arial" w:hAnsi="Arial" w:cs="Arial"/>
          <w:sz w:val="24"/>
          <w:szCs w:val="24"/>
        </w:rPr>
        <w:br/>
      </w:r>
      <w:r w:rsidRPr="008F144D">
        <w:rPr>
          <w:rFonts w:ascii="Arial" w:hAnsi="Arial" w:cs="Arial"/>
          <w:sz w:val="24"/>
          <w:szCs w:val="24"/>
        </w:rPr>
        <w:t>o przeciwdziałaniu przemocy w rodzinie.</w:t>
      </w:r>
    </w:p>
    <w:p w:rsidR="00EF2FD0" w:rsidRPr="008F144D" w:rsidRDefault="009D7029" w:rsidP="00AE16CE">
      <w:pPr>
        <w:numPr>
          <w:ilvl w:val="0"/>
          <w:numId w:val="3"/>
        </w:numPr>
        <w:spacing w:line="360" w:lineRule="auto"/>
        <w:ind w:left="714" w:hanging="357"/>
        <w:rPr>
          <w:rFonts w:ascii="Arial" w:eastAsia="Calibri" w:hAnsi="Arial" w:cs="Arial"/>
          <w:color w:val="FF0000"/>
          <w:sz w:val="24"/>
          <w:szCs w:val="24"/>
          <w:lang w:eastAsia="en-US"/>
        </w:rPr>
      </w:pPr>
      <w:r w:rsidRPr="008F144D">
        <w:rPr>
          <w:rFonts w:ascii="Arial" w:eastAsia="Calibri" w:hAnsi="Arial" w:cs="Arial"/>
          <w:color w:val="000000" w:themeColor="text1"/>
          <w:sz w:val="24"/>
          <w:szCs w:val="24"/>
          <w:lang w:eastAsia="en-US"/>
        </w:rPr>
        <w:lastRenderedPageBreak/>
        <w:t>Protokół z posiedzenia Zespołu Interdyscyplinarnego, nie jest podpisany przez wszystkich uczestników tego posiedzenia, a tym samym osoby uczestniczące w tym posiedzeniu nie znają treści zapisanej w protokole i nie mają wpływu na to co zostało w nim zapisane.</w:t>
      </w:r>
    </w:p>
    <w:p w:rsidR="00BF1AC3" w:rsidRPr="009429B9" w:rsidRDefault="009D7029" w:rsidP="00AE16CE">
      <w:pPr>
        <w:pStyle w:val="Akapitzlist"/>
        <w:spacing w:after="0" w:line="360" w:lineRule="auto"/>
        <w:contextualSpacing w:val="0"/>
        <w:rPr>
          <w:rFonts w:ascii="Arial" w:hAnsi="Arial" w:cs="Arial"/>
          <w:color w:val="000000" w:themeColor="text1"/>
          <w:sz w:val="24"/>
          <w:szCs w:val="24"/>
        </w:rPr>
      </w:pPr>
      <w:r w:rsidRPr="008F144D">
        <w:rPr>
          <w:rFonts w:ascii="Arial" w:hAnsi="Arial" w:cs="Arial"/>
          <w:sz w:val="24"/>
          <w:szCs w:val="24"/>
        </w:rPr>
        <w:t xml:space="preserve">Nie zapoznanie z treścią protokołu sporządzonego ze spotkania grupy roboczej wszystkich uczestników tego spotkania powoduje to, że osoby te nie miały wpływu na to, co zostało zapisane w tym protokole, a tym samym nie </w:t>
      </w:r>
      <w:r w:rsidRPr="009429B9">
        <w:rPr>
          <w:rFonts w:ascii="Arial" w:hAnsi="Arial" w:cs="Arial"/>
          <w:sz w:val="24"/>
          <w:szCs w:val="24"/>
        </w:rPr>
        <w:t xml:space="preserve">mogły wnieść ewentualnych uwag i zastrzeżeń do tych zapisów. Powyższe może skutkować również tym, że osoba sporządzająca taki protokół może </w:t>
      </w:r>
      <w:r w:rsidRPr="009429B9">
        <w:rPr>
          <w:rFonts w:ascii="Arial" w:hAnsi="Arial" w:cs="Arial"/>
          <w:sz w:val="24"/>
          <w:szCs w:val="24"/>
        </w:rPr>
        <w:br/>
        <w:t>w sposób niewłaściwy – odbiegający od stanu faktycznego, opisać przebieg takiego spotkania.</w:t>
      </w:r>
    </w:p>
    <w:p w:rsidR="009429B9" w:rsidRPr="009429B9" w:rsidRDefault="009D7029" w:rsidP="009429B9">
      <w:pPr>
        <w:numPr>
          <w:ilvl w:val="0"/>
          <w:numId w:val="3"/>
        </w:numPr>
        <w:spacing w:line="360" w:lineRule="auto"/>
        <w:ind w:left="714" w:hanging="357"/>
        <w:rPr>
          <w:rFonts w:ascii="Arial" w:eastAsia="Calibri" w:hAnsi="Arial" w:cs="Arial"/>
          <w:color w:val="00B0F0"/>
          <w:sz w:val="24"/>
          <w:szCs w:val="24"/>
          <w:lang w:eastAsia="en-US"/>
        </w:rPr>
      </w:pPr>
      <w:r w:rsidRPr="009429B9">
        <w:rPr>
          <w:rFonts w:ascii="Arial" w:eastAsia="Calibri" w:hAnsi="Arial" w:cs="Arial"/>
          <w:sz w:val="24"/>
          <w:szCs w:val="24"/>
          <w:lang w:eastAsia="en-US"/>
        </w:rPr>
        <w:t>Nie udokumentowano zachowania 3 – dniowego terminu przekazania formularza „Niebieska Karta – A” wszystkim członkom grupy roboczej – stosownie do § 8 ust. 1 rozporządzenia</w:t>
      </w:r>
      <w:r w:rsidR="009429B9" w:rsidRPr="009429B9">
        <w:rPr>
          <w:rFonts w:ascii="Arial" w:hAnsi="Arial" w:cs="Arial"/>
          <w:sz w:val="24"/>
          <w:szCs w:val="24"/>
        </w:rPr>
        <w:t xml:space="preserve"> Rady Ministrów z dnia 13 września 2011 r. w sprawie procedury „Niebieskie Karty” oraz wzorów formularzy „Niebieska Karta”</w:t>
      </w:r>
      <w:r w:rsidR="009429B9" w:rsidRPr="009429B9">
        <w:rPr>
          <w:rStyle w:val="Odwoanieprzypisudolnego"/>
          <w:rFonts w:ascii="Arial" w:hAnsi="Arial" w:cs="Arial"/>
          <w:sz w:val="24"/>
          <w:szCs w:val="24"/>
        </w:rPr>
        <w:footnoteReference w:id="2"/>
      </w:r>
      <w:r w:rsidR="009429B9">
        <w:rPr>
          <w:rFonts w:ascii="Arial" w:hAnsi="Arial" w:cs="Arial"/>
          <w:sz w:val="24"/>
          <w:szCs w:val="24"/>
        </w:rPr>
        <w:t xml:space="preserve">, </w:t>
      </w:r>
      <w:r w:rsidR="009429B9" w:rsidRPr="009429B9">
        <w:rPr>
          <w:rFonts w:ascii="Arial" w:eastAsia="Calibri" w:hAnsi="Arial" w:cs="Arial"/>
          <w:sz w:val="24"/>
          <w:szCs w:val="24"/>
          <w:lang w:eastAsia="en-US"/>
        </w:rPr>
        <w:t>co jest niezgodne z § 10 ust. 1</w:t>
      </w:r>
      <w:r w:rsidR="009429B9">
        <w:rPr>
          <w:rFonts w:ascii="Arial" w:eastAsia="Calibri" w:hAnsi="Arial" w:cs="Arial"/>
          <w:sz w:val="24"/>
          <w:szCs w:val="24"/>
          <w:lang w:eastAsia="en-US"/>
        </w:rPr>
        <w:t xml:space="preserve"> tego rozporządzenia.</w:t>
      </w:r>
    </w:p>
    <w:p w:rsidR="00C31765" w:rsidRPr="009429B9" w:rsidRDefault="009D7029" w:rsidP="00C31765">
      <w:pPr>
        <w:spacing w:line="360" w:lineRule="auto"/>
        <w:ind w:left="714"/>
        <w:rPr>
          <w:rFonts w:ascii="Arial" w:eastAsia="Calibri" w:hAnsi="Arial" w:cs="Arial"/>
          <w:sz w:val="24"/>
          <w:szCs w:val="24"/>
          <w:lang w:eastAsia="en-US"/>
        </w:rPr>
      </w:pPr>
      <w:r w:rsidRPr="009429B9">
        <w:rPr>
          <w:rFonts w:ascii="Arial" w:eastAsia="Calibri" w:hAnsi="Arial" w:cs="Arial"/>
          <w:sz w:val="24"/>
          <w:szCs w:val="24"/>
          <w:lang w:eastAsia="en-US"/>
        </w:rPr>
        <w:t xml:space="preserve">Powyższe skutkuje brakiem możliwości dokonania oceny, czy zadania są właściwie realizowane. </w:t>
      </w:r>
    </w:p>
    <w:p w:rsidR="00EF2FD0" w:rsidRPr="008F144D" w:rsidRDefault="009D7029" w:rsidP="001B0105">
      <w:pPr>
        <w:numPr>
          <w:ilvl w:val="0"/>
          <w:numId w:val="3"/>
        </w:numPr>
        <w:spacing w:line="360" w:lineRule="auto"/>
        <w:ind w:left="714" w:hanging="357"/>
        <w:contextualSpacing/>
        <w:rPr>
          <w:rFonts w:ascii="Arial" w:eastAsia="Calibri" w:hAnsi="Arial" w:cs="Arial"/>
          <w:sz w:val="24"/>
          <w:szCs w:val="24"/>
          <w:lang w:eastAsia="en-US"/>
        </w:rPr>
      </w:pPr>
      <w:r w:rsidRPr="009429B9">
        <w:rPr>
          <w:rFonts w:ascii="Arial" w:eastAsia="Calibri" w:hAnsi="Arial" w:cs="Arial"/>
          <w:sz w:val="24"/>
          <w:szCs w:val="24"/>
          <w:lang w:eastAsia="en-US"/>
        </w:rPr>
        <w:t>Zaproszono, a nie wezwano osobę, wobec której istnieje podejrzenie, że stosuje przemoc w rodzinie, na spotkanie grupy roboczej, co jest niezgodne</w:t>
      </w:r>
      <w:r w:rsidRPr="008F144D">
        <w:rPr>
          <w:rFonts w:ascii="Arial" w:eastAsia="Calibri" w:hAnsi="Arial" w:cs="Arial"/>
          <w:sz w:val="24"/>
          <w:szCs w:val="24"/>
          <w:lang w:eastAsia="en-US"/>
        </w:rPr>
        <w:t xml:space="preserve"> </w:t>
      </w:r>
      <w:r>
        <w:rPr>
          <w:rFonts w:ascii="Arial" w:eastAsia="Calibri" w:hAnsi="Arial" w:cs="Arial"/>
          <w:sz w:val="24"/>
          <w:szCs w:val="24"/>
          <w:lang w:eastAsia="en-US"/>
        </w:rPr>
        <w:br/>
      </w:r>
      <w:r w:rsidRPr="008F144D">
        <w:rPr>
          <w:rFonts w:ascii="Arial" w:eastAsia="Calibri" w:hAnsi="Arial" w:cs="Arial"/>
          <w:sz w:val="24"/>
          <w:szCs w:val="24"/>
          <w:lang w:eastAsia="en-US"/>
        </w:rPr>
        <w:t>z § 17 ust. 1 rozporządzenia.</w:t>
      </w:r>
    </w:p>
    <w:p w:rsidR="001B0105" w:rsidRPr="008F144D" w:rsidRDefault="009D7029" w:rsidP="001B0105">
      <w:pPr>
        <w:pStyle w:val="Akapitzlist"/>
        <w:spacing w:after="0" w:line="360" w:lineRule="auto"/>
        <w:contextualSpacing w:val="0"/>
        <w:rPr>
          <w:rFonts w:ascii="Arial" w:hAnsi="Arial" w:cs="Arial"/>
          <w:color w:val="FF0000"/>
          <w:sz w:val="24"/>
          <w:szCs w:val="24"/>
        </w:rPr>
      </w:pPr>
      <w:r w:rsidRPr="008F144D">
        <w:rPr>
          <w:rFonts w:ascii="Arial" w:hAnsi="Arial" w:cs="Arial"/>
          <w:sz w:val="24"/>
          <w:szCs w:val="24"/>
        </w:rPr>
        <w:t>Rozporządzenie w § 17 ust. 1 wskazuje wprost</w:t>
      </w:r>
      <w:r w:rsidRPr="008F144D">
        <w:rPr>
          <w:rFonts w:ascii="Arial" w:hAnsi="Arial" w:cs="Arial"/>
          <w:color w:val="FF0000"/>
          <w:sz w:val="24"/>
          <w:szCs w:val="24"/>
        </w:rPr>
        <w:t xml:space="preserve"> </w:t>
      </w:r>
      <w:r w:rsidRPr="008F144D">
        <w:rPr>
          <w:rFonts w:ascii="Arial" w:hAnsi="Arial" w:cs="Arial"/>
          <w:sz w:val="24"/>
          <w:szCs w:val="24"/>
        </w:rPr>
        <w:t xml:space="preserve">sposób wzywania osoby, wobec której istnieje podejrzenie, że stosuje przemoc w rodzinie na posiedzenie Zespołu Interdyscyplinarnego/grupy roboczej. Wzywanie tej osoby przez Przewodniczącą Zespołu, a nie zapraszanie, czy też informowanie o terminie posiedzenia jest już swego rodzaju działaniem, które ma na celu zobligowanie członka rodziny podejrzanego o stosowanie przemocy do zaprzestania czynności przemocowych oraz współdziałania </w:t>
      </w:r>
      <w:r>
        <w:rPr>
          <w:rFonts w:ascii="Arial" w:hAnsi="Arial" w:cs="Arial"/>
          <w:sz w:val="24"/>
          <w:szCs w:val="24"/>
        </w:rPr>
        <w:br/>
      </w:r>
      <w:r w:rsidRPr="008F144D">
        <w:rPr>
          <w:rFonts w:ascii="Arial" w:hAnsi="Arial" w:cs="Arial"/>
          <w:sz w:val="24"/>
          <w:szCs w:val="24"/>
        </w:rPr>
        <w:t>z właściwymi podmiotami w celu rozwiązania problemu przemocy w rodzinie.</w:t>
      </w:r>
    </w:p>
    <w:p w:rsidR="00EF2FD0" w:rsidRPr="008F144D" w:rsidRDefault="009D7029" w:rsidP="001B0105">
      <w:pPr>
        <w:numPr>
          <w:ilvl w:val="0"/>
          <w:numId w:val="3"/>
        </w:numPr>
        <w:spacing w:line="360" w:lineRule="auto"/>
        <w:ind w:left="714" w:hanging="357"/>
        <w:rPr>
          <w:rFonts w:ascii="Arial" w:eastAsia="Calibri" w:hAnsi="Arial" w:cs="Arial"/>
          <w:sz w:val="24"/>
          <w:szCs w:val="24"/>
          <w:lang w:eastAsia="en-US"/>
        </w:rPr>
      </w:pPr>
      <w:r w:rsidRPr="008F144D">
        <w:rPr>
          <w:rFonts w:ascii="Arial" w:eastAsia="Calibri" w:hAnsi="Arial" w:cs="Arial"/>
          <w:sz w:val="24"/>
          <w:szCs w:val="24"/>
          <w:lang w:eastAsia="en-US"/>
        </w:rPr>
        <w:t xml:space="preserve">Protokoły ze spotkań grupy roboczej z osobą, co do której istnieje podejrzenie, że jest dotknięta przemocą w rodzinie oraz z osobą, wobec której istnieje podejrzenie, że stosuje przemoc w rodzinie, nie są podpisane przez wszystkich uczestników tych spotkań, a tym samym osoby uczestniczące </w:t>
      </w:r>
      <w:r w:rsidR="00AC6768">
        <w:rPr>
          <w:rFonts w:ascii="Arial" w:eastAsia="Calibri" w:hAnsi="Arial" w:cs="Arial"/>
          <w:sz w:val="24"/>
          <w:szCs w:val="24"/>
          <w:lang w:eastAsia="en-US"/>
        </w:rPr>
        <w:br/>
      </w:r>
      <w:r w:rsidRPr="008F144D">
        <w:rPr>
          <w:rFonts w:ascii="Arial" w:eastAsia="Calibri" w:hAnsi="Arial" w:cs="Arial"/>
          <w:sz w:val="24"/>
          <w:szCs w:val="24"/>
          <w:lang w:eastAsia="en-US"/>
        </w:rPr>
        <w:lastRenderedPageBreak/>
        <w:t>w tych spotkaniach nie znają treści zapisanych w protokołach i nie mają wpływu na to co zostało w nich zapisane.</w:t>
      </w:r>
    </w:p>
    <w:p w:rsidR="00BF1AC3" w:rsidRPr="008F144D" w:rsidRDefault="009D7029" w:rsidP="0019395E">
      <w:pPr>
        <w:pStyle w:val="Akapitzlist"/>
        <w:spacing w:after="0" w:line="360" w:lineRule="auto"/>
        <w:contextualSpacing w:val="0"/>
        <w:rPr>
          <w:rFonts w:ascii="Arial" w:hAnsi="Arial" w:cs="Arial"/>
          <w:color w:val="000000" w:themeColor="text1"/>
          <w:sz w:val="24"/>
          <w:szCs w:val="24"/>
        </w:rPr>
      </w:pPr>
      <w:r w:rsidRPr="008F144D">
        <w:rPr>
          <w:rFonts w:ascii="Arial" w:hAnsi="Arial" w:cs="Arial"/>
          <w:sz w:val="24"/>
          <w:szCs w:val="24"/>
        </w:rPr>
        <w:t xml:space="preserve">Nie zapoznanie z treścią protokołu sporządzonego ze spotkania grupy roboczej wszystkich uczestników tego spotkania powoduje to, że osoby te nie miały wpływu na to, co zostało zapisane w tym protokole, a tym samym nie mogły wnieść ewentualnych uwag i zastrzeżeń do tych zapisów. Powyższe może skutkować również tym, że osoba sporządzająca taki protokół może </w:t>
      </w:r>
      <w:r>
        <w:rPr>
          <w:rFonts w:ascii="Arial" w:hAnsi="Arial" w:cs="Arial"/>
          <w:sz w:val="24"/>
          <w:szCs w:val="24"/>
        </w:rPr>
        <w:br/>
      </w:r>
      <w:r w:rsidRPr="008F144D">
        <w:rPr>
          <w:rFonts w:ascii="Arial" w:hAnsi="Arial" w:cs="Arial"/>
          <w:sz w:val="24"/>
          <w:szCs w:val="24"/>
        </w:rPr>
        <w:t>w sposób niewłaściwy – odbiegający od stanu faktycznego, opisać przebieg takiego spotkania.</w:t>
      </w:r>
    </w:p>
    <w:p w:rsidR="00EF2FD0" w:rsidRPr="008F144D" w:rsidRDefault="009D7029" w:rsidP="00C242A8">
      <w:pPr>
        <w:numPr>
          <w:ilvl w:val="0"/>
          <w:numId w:val="3"/>
        </w:numPr>
        <w:spacing w:line="360" w:lineRule="auto"/>
        <w:ind w:left="714" w:hanging="357"/>
        <w:rPr>
          <w:rFonts w:ascii="Arial" w:eastAsia="Calibri" w:hAnsi="Arial" w:cs="Arial"/>
          <w:color w:val="000000" w:themeColor="text1"/>
          <w:sz w:val="24"/>
          <w:szCs w:val="24"/>
          <w:lang w:eastAsia="en-US"/>
        </w:rPr>
      </w:pPr>
      <w:r w:rsidRPr="008F144D">
        <w:rPr>
          <w:rFonts w:ascii="Arial" w:eastAsia="Calibri" w:hAnsi="Arial" w:cs="Arial"/>
          <w:sz w:val="24"/>
          <w:szCs w:val="24"/>
          <w:lang w:eastAsia="en-US"/>
        </w:rPr>
        <w:t xml:space="preserve">Odmówiono Policji przekazania dokumentacji z prowadzonej procedury „Niebieskie </w:t>
      </w:r>
      <w:r w:rsidRPr="008F144D">
        <w:rPr>
          <w:rFonts w:ascii="Arial" w:eastAsia="Calibri" w:hAnsi="Arial" w:cs="Arial"/>
          <w:color w:val="000000" w:themeColor="text1"/>
          <w:sz w:val="24"/>
          <w:szCs w:val="24"/>
          <w:lang w:eastAsia="en-US"/>
        </w:rPr>
        <w:t>Karty w rodzinie Państwa K. – w związku z prowadzonym postępowaniem, co jest niezgodne z § 10 ust. 2 rozporządzenia.</w:t>
      </w:r>
    </w:p>
    <w:p w:rsidR="00C242A8" w:rsidRPr="008F144D" w:rsidRDefault="009D7029" w:rsidP="00C242A8">
      <w:pPr>
        <w:spacing w:after="120" w:line="360" w:lineRule="auto"/>
        <w:ind w:left="714"/>
        <w:rPr>
          <w:rFonts w:ascii="Arial" w:eastAsia="Calibri" w:hAnsi="Arial" w:cs="Arial"/>
          <w:color w:val="FF0000"/>
          <w:sz w:val="24"/>
          <w:szCs w:val="24"/>
          <w:lang w:eastAsia="en-US"/>
        </w:rPr>
      </w:pPr>
      <w:r w:rsidRPr="008F144D">
        <w:rPr>
          <w:rFonts w:ascii="Arial" w:eastAsia="Calibri" w:hAnsi="Arial" w:cs="Arial"/>
          <w:color w:val="000000" w:themeColor="text1"/>
          <w:sz w:val="24"/>
          <w:szCs w:val="24"/>
          <w:lang w:eastAsia="en-US"/>
        </w:rPr>
        <w:t>Stosownie do</w:t>
      </w:r>
      <w:r w:rsidRPr="008F144D">
        <w:rPr>
          <w:rFonts w:ascii="Arial" w:hAnsi="Arial" w:cs="Arial"/>
          <w:color w:val="000000" w:themeColor="text1"/>
          <w:sz w:val="24"/>
          <w:szCs w:val="24"/>
        </w:rPr>
        <w:t xml:space="preserve"> § 10 ust. 2 rozporządzenia </w:t>
      </w:r>
      <w:r w:rsidRPr="008F144D">
        <w:rPr>
          <w:rFonts w:ascii="Arial" w:hAnsi="Arial" w:cs="Arial"/>
          <w:sz w:val="24"/>
          <w:szCs w:val="24"/>
        </w:rPr>
        <w:t>w przypadku popełnienia przestępstwa, dokumenty przekazywane są organom właściwym do prowadzenia postępowania przygotowawczego. Z powyższego przepisu wynika, że Zespół Interdyscyplinarny ma obowiązek przekazania dokumentów, w przypadku podejrzenia popełnienia przestępstwa, a do organów właściwych do prowadzenia postępowania przygotowawczego należy ocena otrzymanego materiału i podjęcie decyzji o formie prowadzonych działań. Ustawodawca określił w przepisie kryterium konieczne do przekazania jakim jest podejrzenie popełnienia przestępstwa. Natomiast nie jest nim rodzaj podejmowanych przez organy właściwe do prowadzenia postępowania przygotowawczego czynności. Bez znaczenia pozostaje wiec forma prowadzonych przez organy postępowania przygotowawczego działań (czy będzie to etap czynności sprawdzających w rozumieniu art. 307 k.p.k., czy etap postępowania przygotowawczego).</w:t>
      </w:r>
    </w:p>
    <w:p w:rsidR="00EF2FD0" w:rsidRPr="0019395E" w:rsidRDefault="009D7029" w:rsidP="0019395E">
      <w:pPr>
        <w:spacing w:after="120" w:line="360" w:lineRule="auto"/>
        <w:ind w:firstLine="567"/>
        <w:rPr>
          <w:rFonts w:ascii="Arial" w:hAnsi="Arial" w:cs="Arial"/>
          <w:b/>
          <w:sz w:val="24"/>
          <w:szCs w:val="24"/>
        </w:rPr>
      </w:pPr>
      <w:r w:rsidRPr="0019395E">
        <w:rPr>
          <w:rFonts w:ascii="Arial" w:hAnsi="Arial" w:cs="Arial"/>
          <w:b/>
          <w:sz w:val="24"/>
          <w:szCs w:val="24"/>
        </w:rPr>
        <w:t>W wyniku kontroli stwierdzono następujące uchybienia:</w:t>
      </w:r>
    </w:p>
    <w:p w:rsidR="00EF2FD0" w:rsidRPr="008F144D" w:rsidRDefault="009D7029" w:rsidP="0019395E">
      <w:pPr>
        <w:numPr>
          <w:ilvl w:val="0"/>
          <w:numId w:val="4"/>
        </w:numPr>
        <w:spacing w:line="360" w:lineRule="auto"/>
        <w:ind w:left="567" w:hanging="357"/>
        <w:rPr>
          <w:rFonts w:ascii="Arial" w:eastAsia="Calibri" w:hAnsi="Arial" w:cs="Arial"/>
          <w:sz w:val="24"/>
          <w:szCs w:val="24"/>
          <w:lang w:eastAsia="en-US"/>
        </w:rPr>
      </w:pPr>
      <w:r w:rsidRPr="008F144D">
        <w:rPr>
          <w:rFonts w:ascii="Arial" w:eastAsia="Calibri" w:hAnsi="Arial" w:cs="Arial"/>
          <w:sz w:val="24"/>
          <w:szCs w:val="24"/>
          <w:lang w:eastAsia="en-US"/>
        </w:rPr>
        <w:t>Zaproszenie na spotkanie grupy roboczej skierowane do osoby, co do której istnieje podejrzenie, że jest dotknięta przemocą w rodzinie, nie zawiera podstawy prawnej zaproszenia, tj. § 16 ust. 1 pkt 3 rozporządzenia.</w:t>
      </w:r>
    </w:p>
    <w:p w:rsidR="001B0105" w:rsidRPr="008F144D" w:rsidRDefault="009D7029" w:rsidP="0019395E">
      <w:pPr>
        <w:pStyle w:val="Akapitzlist"/>
        <w:spacing w:after="0" w:line="360" w:lineRule="auto"/>
        <w:ind w:left="567"/>
        <w:contextualSpacing w:val="0"/>
        <w:rPr>
          <w:rFonts w:ascii="Arial" w:hAnsi="Arial" w:cs="Arial"/>
          <w:sz w:val="24"/>
          <w:szCs w:val="24"/>
        </w:rPr>
      </w:pPr>
      <w:r w:rsidRPr="008F144D">
        <w:rPr>
          <w:rFonts w:ascii="Arial" w:hAnsi="Arial" w:cs="Arial"/>
          <w:sz w:val="24"/>
          <w:szCs w:val="24"/>
        </w:rPr>
        <w:t xml:space="preserve">Zaproszenie na spotkanie grupy roboczej, które jest kierowane do </w:t>
      </w:r>
      <w:r w:rsidRPr="008F144D">
        <w:rPr>
          <w:rFonts w:ascii="Arial" w:eastAsiaTheme="minorHAnsi" w:hAnsi="Arial" w:cs="Arial"/>
          <w:sz w:val="24"/>
          <w:szCs w:val="24"/>
        </w:rPr>
        <w:t xml:space="preserve">osoby, co do której istnieje podejrzenie, że jest dotknięta przemocą w rodzinie, powinno zawierać przepisy na podstawie, których zaprasza się osobę na spotkanie grupy roboczej. Osoba zapraszana ma prawo zapoznania się z przepisami, </w:t>
      </w:r>
      <w:r w:rsidRPr="008F144D">
        <w:rPr>
          <w:rFonts w:ascii="Arial" w:eastAsiaTheme="minorHAnsi" w:hAnsi="Arial" w:cs="Arial"/>
          <w:sz w:val="24"/>
          <w:szCs w:val="24"/>
        </w:rPr>
        <w:lastRenderedPageBreak/>
        <w:t>regulującymi tryb działania w ramach procedury „Niebieskie Karty”, co może wzbudzić w niej poczucie bezpieczeństwa, że odpowiednie organy posiadają legitymację prawną do udzielania jej pomocy.</w:t>
      </w:r>
    </w:p>
    <w:p w:rsidR="00EF2FD0" w:rsidRPr="008F144D" w:rsidRDefault="009D7029" w:rsidP="0019395E">
      <w:pPr>
        <w:numPr>
          <w:ilvl w:val="0"/>
          <w:numId w:val="4"/>
        </w:numPr>
        <w:spacing w:line="360" w:lineRule="auto"/>
        <w:ind w:left="567" w:hanging="357"/>
        <w:rPr>
          <w:rFonts w:ascii="Arial" w:eastAsia="Calibri" w:hAnsi="Arial" w:cs="Arial"/>
          <w:sz w:val="24"/>
          <w:szCs w:val="24"/>
          <w:lang w:eastAsia="en-US"/>
        </w:rPr>
      </w:pPr>
      <w:r w:rsidRPr="008F144D">
        <w:rPr>
          <w:rFonts w:ascii="Arial" w:eastAsia="Calibri" w:hAnsi="Arial" w:cs="Arial"/>
          <w:sz w:val="24"/>
          <w:szCs w:val="24"/>
          <w:lang w:eastAsia="en-US"/>
        </w:rPr>
        <w:t>Dokument skierowany do osoby, wobec której istnieje podejrzenie, że stosuje przemoc w rodzinie, zapraszający na spotkanie z grupą roboczą nie zawiera podstawy prawnej tej czynności, tj. § 17 ust. 1 rozporządzenia.</w:t>
      </w:r>
    </w:p>
    <w:p w:rsidR="001B0105" w:rsidRPr="008F144D" w:rsidRDefault="009D7029" w:rsidP="0019395E">
      <w:pPr>
        <w:pStyle w:val="Akapitzlist"/>
        <w:spacing w:after="0" w:line="360" w:lineRule="auto"/>
        <w:ind w:left="567"/>
        <w:contextualSpacing w:val="0"/>
        <w:rPr>
          <w:rFonts w:ascii="Arial" w:hAnsi="Arial" w:cs="Arial"/>
          <w:sz w:val="24"/>
          <w:szCs w:val="24"/>
        </w:rPr>
      </w:pPr>
      <w:r w:rsidRPr="008F144D">
        <w:rPr>
          <w:rFonts w:ascii="Arial" w:hAnsi="Arial" w:cs="Arial"/>
          <w:sz w:val="24"/>
          <w:szCs w:val="24"/>
        </w:rPr>
        <w:t>Stosownie do § 17 ust. 1 rozporządzenia do osoby, wobec której istnieje podejrzenie, że stosuje przemoc w rodzinie na spotkanie grupy roboczej kierowane jest wezwanie, któ</w:t>
      </w:r>
      <w:r w:rsidRPr="008F144D">
        <w:rPr>
          <w:rFonts w:ascii="Arial" w:eastAsiaTheme="minorHAnsi" w:hAnsi="Arial" w:cs="Arial"/>
          <w:sz w:val="24"/>
          <w:szCs w:val="24"/>
        </w:rPr>
        <w:t xml:space="preserve">re powinno zawierać przepisy na podstawie, których wzywa się tą osobę. Osoba wzywana ma prawo zapoznania się </w:t>
      </w:r>
      <w:r>
        <w:rPr>
          <w:rFonts w:ascii="Arial" w:eastAsiaTheme="minorHAnsi" w:hAnsi="Arial" w:cs="Arial"/>
          <w:sz w:val="24"/>
          <w:szCs w:val="24"/>
        </w:rPr>
        <w:br/>
      </w:r>
      <w:r w:rsidRPr="008F144D">
        <w:rPr>
          <w:rFonts w:ascii="Arial" w:eastAsiaTheme="minorHAnsi" w:hAnsi="Arial" w:cs="Arial"/>
          <w:sz w:val="24"/>
          <w:szCs w:val="24"/>
        </w:rPr>
        <w:t>z</w:t>
      </w:r>
      <w:r>
        <w:rPr>
          <w:rFonts w:ascii="Arial" w:eastAsiaTheme="minorHAnsi" w:hAnsi="Arial" w:cs="Arial"/>
          <w:sz w:val="24"/>
          <w:szCs w:val="24"/>
        </w:rPr>
        <w:t xml:space="preserve"> </w:t>
      </w:r>
      <w:r w:rsidRPr="008F144D">
        <w:rPr>
          <w:rFonts w:ascii="Arial" w:eastAsiaTheme="minorHAnsi" w:hAnsi="Arial" w:cs="Arial"/>
          <w:sz w:val="24"/>
          <w:szCs w:val="24"/>
        </w:rPr>
        <w:t xml:space="preserve"> przepisami regulującymi tryb działania w ramach procedury „Niebieskie Karty”, na podstawie których realizowana jest wobec niej taka czynność.</w:t>
      </w:r>
    </w:p>
    <w:p w:rsidR="00EF2FD0" w:rsidRPr="008F144D" w:rsidRDefault="009D7029" w:rsidP="0019395E">
      <w:pPr>
        <w:numPr>
          <w:ilvl w:val="0"/>
          <w:numId w:val="4"/>
        </w:numPr>
        <w:spacing w:line="360" w:lineRule="auto"/>
        <w:ind w:left="567" w:hanging="357"/>
        <w:rPr>
          <w:rFonts w:ascii="Arial" w:eastAsia="Calibri" w:hAnsi="Arial" w:cs="Arial"/>
          <w:sz w:val="24"/>
          <w:szCs w:val="24"/>
          <w:lang w:eastAsia="en-US"/>
        </w:rPr>
      </w:pPr>
      <w:r w:rsidRPr="008F144D">
        <w:rPr>
          <w:rFonts w:ascii="Arial" w:eastAsia="Calibri" w:hAnsi="Arial" w:cs="Arial"/>
          <w:sz w:val="24"/>
          <w:szCs w:val="24"/>
          <w:lang w:eastAsia="en-US"/>
        </w:rPr>
        <w:t>Nie odnotowywano daty wpływu na notatkach (włączonych do materiałów gromadzonych w ramach procedury „Niebieskie Karty”) sporządzonych przez funkcjonariusza Policji, pracownika socjalnego i przedstawiciela GKRPA, będących członkami grupy roboczej, z realizacji zadań ujętych w indywidualnym planie pomocy oraz wynikających z § 11, 12 i 13 rozporządzenia.</w:t>
      </w:r>
    </w:p>
    <w:p w:rsidR="00C242A8" w:rsidRPr="008F144D" w:rsidRDefault="009D7029" w:rsidP="0019395E">
      <w:pPr>
        <w:pStyle w:val="Akapitzlist"/>
        <w:spacing w:after="120" w:line="360" w:lineRule="auto"/>
        <w:ind w:left="567"/>
        <w:contextualSpacing w:val="0"/>
        <w:rPr>
          <w:rFonts w:ascii="Arial" w:hAnsi="Arial" w:cs="Arial"/>
          <w:sz w:val="24"/>
          <w:szCs w:val="24"/>
        </w:rPr>
      </w:pPr>
      <w:r w:rsidRPr="008F144D">
        <w:rPr>
          <w:rFonts w:ascii="Arial" w:hAnsi="Arial" w:cs="Arial"/>
          <w:sz w:val="24"/>
          <w:szCs w:val="24"/>
        </w:rPr>
        <w:t xml:space="preserve">Nieodnotowywanie daty wpływu na notatkach sporządzonych przez poszczególnych członków grupy roboczej z realizacji zadań ujętych </w:t>
      </w:r>
      <w:r>
        <w:rPr>
          <w:rFonts w:ascii="Arial" w:hAnsi="Arial" w:cs="Arial"/>
          <w:sz w:val="24"/>
          <w:szCs w:val="24"/>
        </w:rPr>
        <w:br/>
      </w:r>
      <w:r w:rsidRPr="008F144D">
        <w:rPr>
          <w:rFonts w:ascii="Arial" w:hAnsi="Arial" w:cs="Arial"/>
          <w:sz w:val="24"/>
          <w:szCs w:val="24"/>
        </w:rPr>
        <w:t>w indywidualnym planie pomocy oraz wynikających z § 11, 12 i 13 rozporządzenia., jak również nieodnotowanie informacji o przedłożeniu tych notatek w protokołach z posiedzenia grupy roboczej skutkuje tym, że nie można ustalić faktycznej daty włączenia tej dokumentacji do materiałów prowadzonej procedury.</w:t>
      </w:r>
    </w:p>
    <w:p w:rsidR="00A27565" w:rsidRPr="008F144D" w:rsidRDefault="009D7029" w:rsidP="00C242A8">
      <w:pPr>
        <w:spacing w:line="360" w:lineRule="auto"/>
        <w:ind w:firstLine="567"/>
        <w:rPr>
          <w:rFonts w:ascii="Arial" w:eastAsia="Calibri" w:hAnsi="Arial" w:cs="Arial"/>
          <w:color w:val="000000" w:themeColor="text1"/>
          <w:sz w:val="24"/>
          <w:szCs w:val="24"/>
        </w:rPr>
      </w:pPr>
      <w:r w:rsidRPr="008F144D">
        <w:rPr>
          <w:rFonts w:ascii="Arial" w:eastAsia="Calibri" w:hAnsi="Arial" w:cs="Arial"/>
          <w:color w:val="000000" w:themeColor="text1"/>
          <w:sz w:val="24"/>
          <w:szCs w:val="24"/>
        </w:rPr>
        <w:t>Za powstałe nieprawidłowości wyszczególnione powyżej w części „stwierdzone nieprawidłowości” oraz uchybienia wyszczególnione w części „stwierdzone uchybienia”, odpowiadają:</w:t>
      </w:r>
    </w:p>
    <w:p w:rsidR="00A27565" w:rsidRPr="008F144D" w:rsidRDefault="009D7029" w:rsidP="001B0105">
      <w:pPr>
        <w:pStyle w:val="Akapitzlist"/>
        <w:numPr>
          <w:ilvl w:val="0"/>
          <w:numId w:val="6"/>
        </w:numPr>
        <w:spacing w:after="0" w:line="360" w:lineRule="auto"/>
        <w:ind w:left="782" w:hanging="357"/>
        <w:contextualSpacing w:val="0"/>
        <w:rPr>
          <w:rFonts w:ascii="Arial" w:hAnsi="Arial" w:cs="Arial"/>
          <w:color w:val="000000" w:themeColor="text1"/>
          <w:sz w:val="24"/>
          <w:szCs w:val="24"/>
        </w:rPr>
      </w:pPr>
      <w:r w:rsidRPr="008F144D">
        <w:rPr>
          <w:rFonts w:ascii="Arial" w:hAnsi="Arial" w:cs="Arial"/>
          <w:color w:val="000000" w:themeColor="text1"/>
          <w:sz w:val="24"/>
          <w:szCs w:val="24"/>
        </w:rPr>
        <w:t xml:space="preserve">za nieprawidłowości wymienione w punktach 1, 2, 3, 4 i 6 oraz uchybienia   odpowiedzialny jest Przewodniczący Zespołu Interdyscyplinarnego </w:t>
      </w:r>
      <w:r w:rsidRPr="008F144D">
        <w:rPr>
          <w:rFonts w:ascii="Arial" w:hAnsi="Arial" w:cs="Arial"/>
          <w:color w:val="000000" w:themeColor="text1"/>
          <w:sz w:val="24"/>
          <w:szCs w:val="24"/>
        </w:rPr>
        <w:br/>
        <w:t>w Kolonowskiem;</w:t>
      </w:r>
    </w:p>
    <w:p w:rsidR="00A27565" w:rsidRPr="008F144D" w:rsidRDefault="009D7029" w:rsidP="0019395E">
      <w:pPr>
        <w:numPr>
          <w:ilvl w:val="0"/>
          <w:numId w:val="6"/>
        </w:numPr>
        <w:spacing w:after="120" w:line="360" w:lineRule="auto"/>
        <w:ind w:left="782" w:hanging="357"/>
        <w:rPr>
          <w:rFonts w:ascii="Arial" w:eastAsia="Calibri" w:hAnsi="Arial" w:cs="Arial"/>
          <w:color w:val="000000" w:themeColor="text1"/>
          <w:sz w:val="24"/>
          <w:szCs w:val="24"/>
          <w:lang w:eastAsia="en-US"/>
        </w:rPr>
      </w:pPr>
      <w:r w:rsidRPr="008F144D">
        <w:rPr>
          <w:rFonts w:ascii="Arial" w:eastAsia="Calibri" w:hAnsi="Arial" w:cs="Arial"/>
          <w:color w:val="000000" w:themeColor="text1"/>
          <w:sz w:val="24"/>
          <w:szCs w:val="24"/>
          <w:lang w:eastAsia="en-US"/>
        </w:rPr>
        <w:t xml:space="preserve">za nieprawidłowość wymienioną w punkcie 5 odpowiedzialni są bezpośrednio członkowie grupy roboczej, a poprzez brak właściwego nadzoru nad pracą grupy – pośrednio Przewodniczący Zespołu Interdyscyplinarnego </w:t>
      </w:r>
      <w:r>
        <w:rPr>
          <w:rFonts w:ascii="Arial" w:eastAsia="Calibri" w:hAnsi="Arial" w:cs="Arial"/>
          <w:color w:val="000000" w:themeColor="text1"/>
          <w:sz w:val="24"/>
          <w:szCs w:val="24"/>
          <w:lang w:eastAsia="en-US"/>
        </w:rPr>
        <w:br/>
      </w:r>
      <w:r w:rsidRPr="008F144D">
        <w:rPr>
          <w:rFonts w:ascii="Arial" w:eastAsia="Calibri" w:hAnsi="Arial" w:cs="Arial"/>
          <w:color w:val="000000" w:themeColor="text1"/>
          <w:sz w:val="24"/>
          <w:szCs w:val="24"/>
          <w:lang w:eastAsia="en-US"/>
        </w:rPr>
        <w:t>w Kolonowskiem.</w:t>
      </w:r>
    </w:p>
    <w:p w:rsidR="00A27565" w:rsidRPr="008F144D" w:rsidRDefault="009D7029" w:rsidP="00D67F1B">
      <w:pPr>
        <w:autoSpaceDE w:val="0"/>
        <w:autoSpaceDN w:val="0"/>
        <w:adjustRightInd w:val="0"/>
        <w:spacing w:after="120" w:line="360" w:lineRule="auto"/>
        <w:ind w:firstLine="567"/>
        <w:rPr>
          <w:rFonts w:ascii="Arial" w:hAnsi="Arial" w:cs="Arial"/>
          <w:color w:val="000000" w:themeColor="text1"/>
          <w:sz w:val="24"/>
          <w:szCs w:val="24"/>
        </w:rPr>
      </w:pPr>
      <w:r w:rsidRPr="008F144D">
        <w:rPr>
          <w:rFonts w:ascii="Arial" w:hAnsi="Arial" w:cs="Arial"/>
          <w:color w:val="000000" w:themeColor="text1"/>
          <w:sz w:val="24"/>
          <w:szCs w:val="24"/>
        </w:rPr>
        <w:lastRenderedPageBreak/>
        <w:t xml:space="preserve">W związku z powyższym, na podstawie § 19 ust. 1 rozporządzenia Ministra Pracy i Polityki Społecznej z dnia 3 czerwca 2011 r. w sprawie nadzoru i kontroli nad realizacją zadań z zakresu przeciwdziałania przemocy w rodzinie (Dz. U. z 2011 r. </w:t>
      </w:r>
      <w:r>
        <w:rPr>
          <w:rFonts w:ascii="Arial" w:hAnsi="Arial" w:cs="Arial"/>
          <w:color w:val="000000" w:themeColor="text1"/>
          <w:sz w:val="24"/>
          <w:szCs w:val="24"/>
        </w:rPr>
        <w:br/>
      </w:r>
      <w:r w:rsidRPr="008F144D">
        <w:rPr>
          <w:rFonts w:ascii="Arial" w:hAnsi="Arial" w:cs="Arial"/>
          <w:color w:val="000000" w:themeColor="text1"/>
          <w:sz w:val="24"/>
          <w:szCs w:val="24"/>
        </w:rPr>
        <w:t>Nr 126, poz. 718)</w:t>
      </w:r>
    </w:p>
    <w:p w:rsidR="00A27565" w:rsidRPr="008F144D" w:rsidRDefault="009D7029" w:rsidP="001B0105">
      <w:pPr>
        <w:spacing w:after="120" w:line="360" w:lineRule="auto"/>
        <w:jc w:val="center"/>
        <w:rPr>
          <w:rFonts w:ascii="Arial" w:hAnsi="Arial" w:cs="Arial"/>
          <w:b/>
          <w:color w:val="000000" w:themeColor="text1"/>
          <w:sz w:val="24"/>
          <w:szCs w:val="24"/>
        </w:rPr>
      </w:pPr>
      <w:r w:rsidRPr="008F144D">
        <w:rPr>
          <w:rFonts w:ascii="Arial" w:hAnsi="Arial" w:cs="Arial"/>
          <w:b/>
          <w:color w:val="000000" w:themeColor="text1"/>
          <w:sz w:val="24"/>
          <w:szCs w:val="24"/>
        </w:rPr>
        <w:t>zalecam:</w:t>
      </w:r>
    </w:p>
    <w:p w:rsidR="00A27565" w:rsidRPr="008F144D" w:rsidRDefault="009D7029" w:rsidP="0019395E">
      <w:pPr>
        <w:numPr>
          <w:ilvl w:val="0"/>
          <w:numId w:val="5"/>
        </w:numPr>
        <w:spacing w:line="360" w:lineRule="auto"/>
        <w:ind w:left="567" w:hanging="340"/>
        <w:rPr>
          <w:rFonts w:ascii="Arial" w:hAnsi="Arial" w:cs="Arial"/>
          <w:b/>
          <w:bCs/>
          <w:color w:val="000000" w:themeColor="text1"/>
          <w:sz w:val="24"/>
          <w:szCs w:val="24"/>
        </w:rPr>
      </w:pPr>
      <w:r w:rsidRPr="008F144D">
        <w:rPr>
          <w:rFonts w:ascii="Arial" w:hAnsi="Arial" w:cs="Arial"/>
          <w:b/>
          <w:bCs/>
          <w:color w:val="000000" w:themeColor="text1"/>
          <w:sz w:val="24"/>
          <w:szCs w:val="24"/>
        </w:rPr>
        <w:t xml:space="preserve">sporządzanie protokołów z posiedzeń Zespołu Interdyscyplinarnego </w:t>
      </w:r>
      <w:r>
        <w:rPr>
          <w:rFonts w:ascii="Arial" w:hAnsi="Arial" w:cs="Arial"/>
          <w:b/>
          <w:bCs/>
          <w:color w:val="000000" w:themeColor="text1"/>
          <w:sz w:val="24"/>
          <w:szCs w:val="24"/>
        </w:rPr>
        <w:br/>
      </w:r>
      <w:r w:rsidRPr="008F144D">
        <w:rPr>
          <w:rFonts w:ascii="Arial" w:hAnsi="Arial" w:cs="Arial"/>
          <w:b/>
          <w:bCs/>
          <w:color w:val="000000" w:themeColor="text1"/>
          <w:sz w:val="24"/>
          <w:szCs w:val="24"/>
        </w:rPr>
        <w:t>z opisem realizowanych zadań wynikających z art. 9b ust. 1 i 2 ustawy;</w:t>
      </w:r>
    </w:p>
    <w:p w:rsidR="00A94FCE" w:rsidRPr="008F144D" w:rsidRDefault="009D7029" w:rsidP="0019395E">
      <w:pPr>
        <w:numPr>
          <w:ilvl w:val="0"/>
          <w:numId w:val="5"/>
        </w:numPr>
        <w:spacing w:line="360" w:lineRule="auto"/>
        <w:ind w:left="567" w:hanging="340"/>
        <w:rPr>
          <w:rFonts w:ascii="Arial" w:hAnsi="Arial" w:cs="Arial"/>
          <w:b/>
          <w:bCs/>
          <w:color w:val="000000" w:themeColor="text1"/>
          <w:sz w:val="24"/>
          <w:szCs w:val="24"/>
        </w:rPr>
      </w:pPr>
      <w:r w:rsidRPr="008F144D">
        <w:rPr>
          <w:rFonts w:ascii="Arial" w:hAnsi="Arial" w:cs="Arial"/>
          <w:b/>
          <w:bCs/>
          <w:sz w:val="24"/>
          <w:szCs w:val="24"/>
        </w:rPr>
        <w:t>podpisywanie</w:t>
      </w:r>
      <w:r w:rsidRPr="008F144D">
        <w:rPr>
          <w:rFonts w:ascii="Arial" w:eastAsia="Calibri" w:hAnsi="Arial" w:cs="Arial"/>
          <w:b/>
          <w:sz w:val="24"/>
          <w:szCs w:val="24"/>
          <w:lang w:eastAsia="en-US"/>
        </w:rPr>
        <w:t xml:space="preserve"> protokołów z posiedzenia Zespołu Interdyscyplinarnego przez wszystkich uczestników posiedzenia wraz z opisem ewentualnego stanowiska odrębnego poszczególnych członków Zespołu;</w:t>
      </w:r>
    </w:p>
    <w:p w:rsidR="00A27565" w:rsidRPr="008F144D" w:rsidRDefault="009D7029" w:rsidP="0019395E">
      <w:pPr>
        <w:numPr>
          <w:ilvl w:val="0"/>
          <w:numId w:val="5"/>
        </w:numPr>
        <w:spacing w:line="360" w:lineRule="auto"/>
        <w:ind w:left="567" w:hanging="340"/>
        <w:rPr>
          <w:rFonts w:ascii="Arial" w:hAnsi="Arial" w:cs="Arial"/>
          <w:b/>
          <w:bCs/>
          <w:color w:val="000000" w:themeColor="text1"/>
          <w:sz w:val="24"/>
          <w:szCs w:val="24"/>
        </w:rPr>
      </w:pPr>
      <w:r w:rsidRPr="008F144D">
        <w:rPr>
          <w:rFonts w:ascii="Arial" w:hAnsi="Arial" w:cs="Arial"/>
          <w:b/>
          <w:bCs/>
          <w:color w:val="000000" w:themeColor="text1"/>
          <w:sz w:val="24"/>
          <w:szCs w:val="24"/>
        </w:rPr>
        <w:t>dokumentowanie działania potwierdzającego przestrzeganie 3 – dniowego terminu przekazania formularza „Niebieska Karta – A” pozostałym członkom grupy roboczej przez Przewodniczącego Zespołu Interdyscyplinarnego, stosownie do § 10 ust. 1 rozporządzenia;</w:t>
      </w:r>
    </w:p>
    <w:p w:rsidR="00A27565" w:rsidRPr="008F144D" w:rsidRDefault="009D7029" w:rsidP="0019395E">
      <w:pPr>
        <w:numPr>
          <w:ilvl w:val="0"/>
          <w:numId w:val="5"/>
        </w:numPr>
        <w:spacing w:line="360" w:lineRule="auto"/>
        <w:ind w:left="567"/>
        <w:rPr>
          <w:rFonts w:ascii="Arial" w:hAnsi="Arial" w:cs="Arial"/>
          <w:b/>
          <w:bCs/>
          <w:color w:val="000000" w:themeColor="text1"/>
          <w:sz w:val="24"/>
          <w:szCs w:val="24"/>
        </w:rPr>
      </w:pPr>
      <w:r w:rsidRPr="008F144D">
        <w:rPr>
          <w:rFonts w:ascii="Arial" w:eastAsia="Calibri" w:hAnsi="Arial" w:cs="Arial"/>
          <w:b/>
          <w:color w:val="000000" w:themeColor="text1"/>
          <w:sz w:val="24"/>
          <w:szCs w:val="24"/>
          <w:lang w:eastAsia="en-US"/>
        </w:rPr>
        <w:t xml:space="preserve">wzywanie, a nie zapraszanie osoby, wobec której istnieje podejrzenie, że stosuje przemoc w rodzinie, na spotkanie grupy roboczej, stosownie do </w:t>
      </w:r>
      <w:r>
        <w:rPr>
          <w:rFonts w:ascii="Arial" w:eastAsia="Calibri" w:hAnsi="Arial" w:cs="Arial"/>
          <w:b/>
          <w:color w:val="000000" w:themeColor="text1"/>
          <w:sz w:val="24"/>
          <w:szCs w:val="24"/>
          <w:lang w:eastAsia="en-US"/>
        </w:rPr>
        <w:br/>
      </w:r>
      <w:r w:rsidRPr="008F144D">
        <w:rPr>
          <w:rFonts w:ascii="Arial" w:eastAsia="Calibri" w:hAnsi="Arial" w:cs="Arial"/>
          <w:b/>
          <w:color w:val="000000" w:themeColor="text1"/>
          <w:sz w:val="24"/>
          <w:szCs w:val="24"/>
          <w:lang w:eastAsia="en-US"/>
        </w:rPr>
        <w:t>§ 17 ust. 1 rozporządzenia;</w:t>
      </w:r>
    </w:p>
    <w:p w:rsidR="00A27565" w:rsidRPr="008F144D" w:rsidRDefault="009D7029" w:rsidP="0019395E">
      <w:pPr>
        <w:numPr>
          <w:ilvl w:val="0"/>
          <w:numId w:val="5"/>
        </w:numPr>
        <w:spacing w:line="360" w:lineRule="auto"/>
        <w:ind w:left="567"/>
        <w:rPr>
          <w:rFonts w:ascii="Arial" w:hAnsi="Arial" w:cs="Arial"/>
          <w:b/>
          <w:bCs/>
          <w:sz w:val="24"/>
          <w:szCs w:val="24"/>
        </w:rPr>
      </w:pPr>
      <w:r w:rsidRPr="008F144D">
        <w:rPr>
          <w:rFonts w:ascii="Arial" w:hAnsi="Arial" w:cs="Arial"/>
          <w:b/>
          <w:bCs/>
          <w:sz w:val="24"/>
          <w:szCs w:val="24"/>
        </w:rPr>
        <w:t>podpisywanie</w:t>
      </w:r>
      <w:r w:rsidRPr="008F144D">
        <w:rPr>
          <w:rFonts w:ascii="Arial" w:eastAsia="Calibri" w:hAnsi="Arial" w:cs="Arial"/>
          <w:b/>
          <w:sz w:val="24"/>
          <w:szCs w:val="24"/>
          <w:lang w:eastAsia="en-US"/>
        </w:rPr>
        <w:t xml:space="preserve"> protokołów z posiedzenia grupy roboczej przez wszystkich uczestników posiedzenia wraz z opisem ewentualnego stanowiska odrębnego poszczególnych członków grupy roboczej;</w:t>
      </w:r>
    </w:p>
    <w:p w:rsidR="00AE16CE" w:rsidRPr="008F144D" w:rsidRDefault="009D7029" w:rsidP="0019395E">
      <w:pPr>
        <w:numPr>
          <w:ilvl w:val="0"/>
          <w:numId w:val="5"/>
        </w:numPr>
        <w:spacing w:line="360" w:lineRule="auto"/>
        <w:ind w:left="567"/>
        <w:rPr>
          <w:rFonts w:ascii="Arial" w:eastAsia="Calibri" w:hAnsi="Arial" w:cs="Arial"/>
          <w:b/>
          <w:color w:val="000000" w:themeColor="text1"/>
          <w:sz w:val="24"/>
          <w:szCs w:val="24"/>
          <w:lang w:eastAsia="en-US"/>
        </w:rPr>
      </w:pPr>
      <w:r w:rsidRPr="008F144D">
        <w:rPr>
          <w:rFonts w:ascii="Arial" w:eastAsia="Calibri" w:hAnsi="Arial" w:cs="Arial"/>
          <w:b/>
          <w:color w:val="000000" w:themeColor="text1"/>
          <w:sz w:val="24"/>
          <w:szCs w:val="24"/>
          <w:lang w:eastAsia="en-US"/>
        </w:rPr>
        <w:t>przekazywanie Policji dokumentacji z prowadzonych procedur „Niebieskie Karty”</w:t>
      </w:r>
      <w:r>
        <w:rPr>
          <w:rFonts w:ascii="Arial" w:eastAsia="Calibri" w:hAnsi="Arial" w:cs="Arial"/>
          <w:b/>
          <w:color w:val="000000" w:themeColor="text1"/>
          <w:sz w:val="24"/>
          <w:szCs w:val="24"/>
          <w:lang w:eastAsia="en-US"/>
        </w:rPr>
        <w:t xml:space="preserve"> </w:t>
      </w:r>
      <w:r w:rsidRPr="008F144D">
        <w:rPr>
          <w:rFonts w:ascii="Arial" w:eastAsia="Calibri" w:hAnsi="Arial" w:cs="Arial"/>
          <w:b/>
          <w:color w:val="000000" w:themeColor="text1"/>
          <w:sz w:val="24"/>
          <w:szCs w:val="24"/>
          <w:lang w:eastAsia="en-US"/>
        </w:rPr>
        <w:t xml:space="preserve"> w przypadku wystąpienia przez Policję o taką dokumentację, stosownie do § 10 ust. 2 rozporządzenia;</w:t>
      </w:r>
    </w:p>
    <w:p w:rsidR="00A27565" w:rsidRPr="008F144D" w:rsidRDefault="009D7029" w:rsidP="0019395E">
      <w:pPr>
        <w:numPr>
          <w:ilvl w:val="0"/>
          <w:numId w:val="5"/>
        </w:numPr>
        <w:spacing w:line="360" w:lineRule="auto"/>
        <w:ind w:left="567"/>
        <w:rPr>
          <w:rFonts w:ascii="Arial" w:eastAsia="Calibri" w:hAnsi="Arial" w:cs="Arial"/>
          <w:sz w:val="24"/>
          <w:szCs w:val="24"/>
          <w:lang w:eastAsia="en-US"/>
        </w:rPr>
      </w:pPr>
      <w:r w:rsidRPr="008F144D">
        <w:rPr>
          <w:rFonts w:ascii="Arial" w:hAnsi="Arial" w:cs="Arial"/>
          <w:b/>
          <w:sz w:val="24"/>
          <w:szCs w:val="24"/>
        </w:rPr>
        <w:t xml:space="preserve">dostosowanie treści zaproszenia na spotkanie grupy roboczej kierowane do </w:t>
      </w:r>
      <w:r w:rsidRPr="008F144D">
        <w:rPr>
          <w:rFonts w:ascii="Arial" w:eastAsiaTheme="minorHAnsi" w:hAnsi="Arial" w:cs="Arial"/>
          <w:b/>
          <w:sz w:val="24"/>
          <w:szCs w:val="24"/>
        </w:rPr>
        <w:t xml:space="preserve">osoby, co do której istnieje podejrzenie, że jest dotknięta przemocą </w:t>
      </w:r>
      <w:r>
        <w:rPr>
          <w:rFonts w:ascii="Arial" w:eastAsiaTheme="minorHAnsi" w:hAnsi="Arial" w:cs="Arial"/>
          <w:b/>
          <w:sz w:val="24"/>
          <w:szCs w:val="24"/>
        </w:rPr>
        <w:br/>
      </w:r>
      <w:r w:rsidRPr="008F144D">
        <w:rPr>
          <w:rFonts w:ascii="Arial" w:eastAsiaTheme="minorHAnsi" w:hAnsi="Arial" w:cs="Arial"/>
          <w:b/>
          <w:sz w:val="24"/>
          <w:szCs w:val="24"/>
        </w:rPr>
        <w:t>w rodzinie,</w:t>
      </w:r>
      <w:r w:rsidRPr="008F144D">
        <w:rPr>
          <w:rFonts w:ascii="Arial" w:hAnsi="Arial" w:cs="Arial"/>
          <w:b/>
          <w:sz w:val="24"/>
          <w:szCs w:val="24"/>
        </w:rPr>
        <w:t xml:space="preserve"> do</w:t>
      </w:r>
      <w:r w:rsidRPr="008F144D">
        <w:rPr>
          <w:rFonts w:ascii="Arial" w:eastAsiaTheme="minorHAnsi" w:hAnsi="Arial" w:cs="Arial"/>
          <w:b/>
          <w:sz w:val="24"/>
          <w:szCs w:val="24"/>
        </w:rPr>
        <w:t xml:space="preserve"> przepisów regulujących tryb działania w ramach procedury „Niebieskie Karty</w:t>
      </w:r>
      <w:r w:rsidRPr="008F144D">
        <w:rPr>
          <w:rFonts w:ascii="Arial" w:hAnsi="Arial" w:cs="Arial"/>
          <w:b/>
          <w:bCs/>
          <w:sz w:val="24"/>
          <w:szCs w:val="24"/>
        </w:rPr>
        <w:t>;</w:t>
      </w:r>
    </w:p>
    <w:p w:rsidR="00A27565" w:rsidRPr="008F144D" w:rsidRDefault="009D7029" w:rsidP="0019395E">
      <w:pPr>
        <w:numPr>
          <w:ilvl w:val="0"/>
          <w:numId w:val="5"/>
        </w:numPr>
        <w:spacing w:line="360" w:lineRule="auto"/>
        <w:ind w:left="567" w:hanging="357"/>
        <w:rPr>
          <w:rFonts w:ascii="Arial" w:eastAsia="Calibri" w:hAnsi="Arial" w:cs="Arial"/>
          <w:sz w:val="24"/>
          <w:szCs w:val="24"/>
          <w:lang w:eastAsia="en-US"/>
        </w:rPr>
      </w:pPr>
      <w:r w:rsidRPr="008F144D">
        <w:rPr>
          <w:rFonts w:ascii="Arial" w:hAnsi="Arial" w:cs="Arial"/>
          <w:b/>
          <w:sz w:val="24"/>
          <w:szCs w:val="24"/>
        </w:rPr>
        <w:t xml:space="preserve">dostosowanie treści wezwania na spotkanie grupy roboczej skierowane do </w:t>
      </w:r>
      <w:r w:rsidRPr="008F144D">
        <w:rPr>
          <w:rFonts w:ascii="Arial" w:eastAsiaTheme="minorHAnsi" w:hAnsi="Arial" w:cs="Arial"/>
          <w:b/>
          <w:sz w:val="24"/>
          <w:szCs w:val="24"/>
        </w:rPr>
        <w:t xml:space="preserve">osoby, wobec której istnieje podejrzenie, że stosuje przemoc </w:t>
      </w:r>
      <w:r>
        <w:rPr>
          <w:rFonts w:ascii="Arial" w:eastAsiaTheme="minorHAnsi" w:hAnsi="Arial" w:cs="Arial"/>
          <w:b/>
          <w:sz w:val="24"/>
          <w:szCs w:val="24"/>
        </w:rPr>
        <w:br/>
      </w:r>
      <w:r w:rsidRPr="008F144D">
        <w:rPr>
          <w:rFonts w:ascii="Arial" w:eastAsiaTheme="minorHAnsi" w:hAnsi="Arial" w:cs="Arial"/>
          <w:b/>
          <w:sz w:val="24"/>
          <w:szCs w:val="24"/>
        </w:rPr>
        <w:t>w rodzinie,</w:t>
      </w:r>
      <w:r w:rsidRPr="008F144D">
        <w:rPr>
          <w:rFonts w:ascii="Arial" w:hAnsi="Arial" w:cs="Arial"/>
          <w:b/>
          <w:sz w:val="24"/>
          <w:szCs w:val="24"/>
        </w:rPr>
        <w:t xml:space="preserve"> do </w:t>
      </w:r>
      <w:r w:rsidRPr="008F144D">
        <w:rPr>
          <w:rFonts w:ascii="Arial" w:eastAsiaTheme="minorHAnsi" w:hAnsi="Arial" w:cs="Arial"/>
          <w:b/>
          <w:sz w:val="24"/>
          <w:szCs w:val="24"/>
        </w:rPr>
        <w:t>przepisów regulujących tryb działania w ramach procedury „Niebieskie Karty”</w:t>
      </w:r>
      <w:r w:rsidRPr="008F144D">
        <w:rPr>
          <w:rFonts w:ascii="Arial" w:hAnsi="Arial" w:cs="Arial"/>
          <w:b/>
          <w:sz w:val="24"/>
          <w:szCs w:val="24"/>
        </w:rPr>
        <w:t>;</w:t>
      </w:r>
    </w:p>
    <w:p w:rsidR="00C10BD7" w:rsidRPr="008F144D" w:rsidRDefault="009D7029" w:rsidP="0019395E">
      <w:pPr>
        <w:numPr>
          <w:ilvl w:val="0"/>
          <w:numId w:val="5"/>
        </w:numPr>
        <w:spacing w:after="240" w:line="360" w:lineRule="auto"/>
        <w:ind w:left="567" w:hanging="357"/>
        <w:rPr>
          <w:rFonts w:ascii="Arial" w:eastAsia="Calibri" w:hAnsi="Arial" w:cs="Arial"/>
          <w:b/>
          <w:sz w:val="24"/>
          <w:szCs w:val="24"/>
          <w:lang w:eastAsia="en-US"/>
        </w:rPr>
      </w:pPr>
      <w:r w:rsidRPr="008F144D">
        <w:rPr>
          <w:rFonts w:ascii="Arial" w:eastAsia="Calibri" w:hAnsi="Arial" w:cs="Arial"/>
          <w:b/>
          <w:sz w:val="24"/>
          <w:szCs w:val="24"/>
          <w:lang w:eastAsia="en-US"/>
        </w:rPr>
        <w:t xml:space="preserve">odnotowywanie daty wpływu na notatkach (włączonych do materiałów gromadzonych w ramach procedury „Niebieskie Karty”) sporządzonych </w:t>
      </w:r>
      <w:r w:rsidRPr="008F144D">
        <w:rPr>
          <w:rFonts w:ascii="Arial" w:eastAsia="Calibri" w:hAnsi="Arial" w:cs="Arial"/>
          <w:b/>
          <w:sz w:val="24"/>
          <w:szCs w:val="24"/>
          <w:lang w:eastAsia="en-US"/>
        </w:rPr>
        <w:lastRenderedPageBreak/>
        <w:t xml:space="preserve">przez poszczególnych członków grupy roboczej, z realizacji zadań ujętych </w:t>
      </w:r>
      <w:r w:rsidRPr="008F144D">
        <w:rPr>
          <w:rFonts w:ascii="Arial" w:eastAsia="Calibri" w:hAnsi="Arial" w:cs="Arial"/>
          <w:b/>
          <w:sz w:val="24"/>
          <w:szCs w:val="24"/>
          <w:lang w:eastAsia="en-US"/>
        </w:rPr>
        <w:br/>
        <w:t>w indywidualnym planie pomocy oraz wynikających z rozporządzenia.</w:t>
      </w:r>
    </w:p>
    <w:p w:rsidR="00A27565" w:rsidRPr="008F144D" w:rsidRDefault="009D7029" w:rsidP="00D67F1B">
      <w:pPr>
        <w:spacing w:line="360" w:lineRule="auto"/>
        <w:ind w:firstLine="567"/>
        <w:rPr>
          <w:rFonts w:ascii="Arial" w:hAnsi="Arial" w:cs="Arial"/>
          <w:bCs/>
          <w:sz w:val="24"/>
          <w:szCs w:val="24"/>
        </w:rPr>
      </w:pPr>
      <w:r w:rsidRPr="008F144D">
        <w:rPr>
          <w:rFonts w:ascii="Arial" w:hAnsi="Arial" w:cs="Arial"/>
          <w:bCs/>
          <w:sz w:val="24"/>
          <w:szCs w:val="24"/>
        </w:rPr>
        <w:t xml:space="preserve">Informację o sposobie wykonania zaleceń, a także o działaniach podjętych na rzecz ich realizacji lub o przyczynach nie podjęcia tych działań, należy przedłożyć do Wydziału Polityki Społecznej Opolskiego Urzędu Wojewódzkiego w Opolu, </w:t>
      </w:r>
      <w:r>
        <w:rPr>
          <w:rFonts w:ascii="Arial" w:hAnsi="Arial" w:cs="Arial"/>
          <w:bCs/>
          <w:sz w:val="24"/>
          <w:szCs w:val="24"/>
        </w:rPr>
        <w:br/>
      </w:r>
      <w:r w:rsidRPr="008F144D">
        <w:rPr>
          <w:rFonts w:ascii="Arial" w:hAnsi="Arial" w:cs="Arial"/>
          <w:bCs/>
          <w:sz w:val="24"/>
          <w:szCs w:val="24"/>
        </w:rPr>
        <w:t>w terminie 30 dni od otrzymania niniejszego wystąpienia.</w:t>
      </w:r>
    </w:p>
    <w:tbl>
      <w:tblPr>
        <w:tblpPr w:leftFromText="141" w:rightFromText="141" w:vertAnchor="text" w:horzAnchor="margin" w:tblpXSpec="right" w:tblpY="545"/>
        <w:tblW w:w="0" w:type="auto"/>
        <w:tblCellMar>
          <w:left w:w="0" w:type="dxa"/>
          <w:right w:w="0" w:type="dxa"/>
        </w:tblCellMar>
        <w:tblLook w:val="04A0" w:firstRow="1" w:lastRow="0" w:firstColumn="1" w:lastColumn="0" w:noHBand="0" w:noVBand="1"/>
      </w:tblPr>
      <w:tblGrid>
        <w:gridCol w:w="4089"/>
      </w:tblGrid>
      <w:tr w:rsidR="006F46CE" w:rsidTr="00D67F1B">
        <w:tc>
          <w:tcPr>
            <w:tcW w:w="4089" w:type="dxa"/>
            <w:tcMar>
              <w:top w:w="0" w:type="dxa"/>
              <w:left w:w="108" w:type="dxa"/>
              <w:bottom w:w="0" w:type="dxa"/>
              <w:right w:w="108" w:type="dxa"/>
            </w:tcMar>
            <w:hideMark/>
          </w:tcPr>
          <w:p w:rsidR="00D67F1B" w:rsidRPr="00D67F1B" w:rsidRDefault="009D7029" w:rsidP="00D67F1B">
            <w:pPr>
              <w:jc w:val="center"/>
              <w:rPr>
                <w:rFonts w:ascii="Arial" w:eastAsia="Calibri" w:hAnsi="Arial" w:cs="Arial"/>
                <w:b/>
                <w:bCs/>
                <w:color w:val="FF0000"/>
                <w:lang w:eastAsia="en-US"/>
              </w:rPr>
            </w:pPr>
            <w:bookmarkStart w:id="4" w:name="_Hlk92187890"/>
            <w:r w:rsidRPr="00D67F1B">
              <w:rPr>
                <w:rFonts w:ascii="Arial" w:eastAsia="Calibri" w:hAnsi="Arial" w:cs="Arial"/>
                <w:b/>
                <w:bCs/>
                <w:color w:val="FF0000"/>
                <w:lang w:eastAsia="en-US"/>
              </w:rPr>
              <w:t>Z up. Wojewody Opolskiego</w:t>
            </w:r>
            <w:bookmarkEnd w:id="4"/>
          </w:p>
        </w:tc>
      </w:tr>
      <w:tr w:rsidR="006F46CE" w:rsidTr="00D67F1B">
        <w:tc>
          <w:tcPr>
            <w:tcW w:w="4089" w:type="dxa"/>
            <w:tcMar>
              <w:top w:w="0" w:type="dxa"/>
              <w:left w:w="108" w:type="dxa"/>
              <w:bottom w:w="0" w:type="dxa"/>
              <w:right w:w="108" w:type="dxa"/>
            </w:tcMar>
          </w:tcPr>
          <w:p w:rsidR="00D67F1B" w:rsidRPr="00D67F1B" w:rsidRDefault="000D5A54" w:rsidP="00D67F1B">
            <w:pPr>
              <w:jc w:val="center"/>
              <w:rPr>
                <w:rFonts w:ascii="Arial" w:eastAsia="Calibri" w:hAnsi="Arial" w:cs="Arial"/>
                <w:b/>
                <w:bCs/>
                <w:i/>
                <w:iCs/>
                <w:color w:val="FF0000"/>
                <w:lang w:eastAsia="en-US"/>
              </w:rPr>
            </w:pPr>
          </w:p>
        </w:tc>
      </w:tr>
      <w:tr w:rsidR="006F46CE" w:rsidTr="00D67F1B">
        <w:tc>
          <w:tcPr>
            <w:tcW w:w="4089" w:type="dxa"/>
            <w:tcMar>
              <w:top w:w="0" w:type="dxa"/>
              <w:left w:w="108" w:type="dxa"/>
              <w:bottom w:w="0" w:type="dxa"/>
              <w:right w:w="108" w:type="dxa"/>
            </w:tcMar>
          </w:tcPr>
          <w:p w:rsidR="00D67F1B" w:rsidRPr="00D67F1B" w:rsidRDefault="000D5A54" w:rsidP="00D67F1B">
            <w:pPr>
              <w:jc w:val="center"/>
              <w:rPr>
                <w:rFonts w:ascii="Arial" w:eastAsia="Calibri" w:hAnsi="Arial" w:cs="Arial"/>
                <w:i/>
                <w:iCs/>
                <w:color w:val="FF0000"/>
                <w:sz w:val="18"/>
                <w:szCs w:val="18"/>
                <w:lang w:eastAsia="en-US"/>
              </w:rPr>
            </w:pPr>
          </w:p>
        </w:tc>
      </w:tr>
      <w:tr w:rsidR="006F46CE" w:rsidTr="00D67F1B">
        <w:tc>
          <w:tcPr>
            <w:tcW w:w="4089" w:type="dxa"/>
            <w:tcMar>
              <w:top w:w="0" w:type="dxa"/>
              <w:left w:w="108" w:type="dxa"/>
              <w:bottom w:w="0" w:type="dxa"/>
              <w:right w:w="108" w:type="dxa"/>
            </w:tcMar>
            <w:hideMark/>
          </w:tcPr>
          <w:p w:rsidR="00D67F1B" w:rsidRPr="00D67F1B" w:rsidRDefault="009D7029" w:rsidP="00D67F1B">
            <w:pPr>
              <w:jc w:val="center"/>
              <w:rPr>
                <w:rFonts w:ascii="Arial" w:eastAsia="Calibri" w:hAnsi="Arial" w:cs="Arial"/>
                <w:i/>
                <w:iCs/>
                <w:color w:val="FF0000"/>
                <w:sz w:val="18"/>
                <w:szCs w:val="18"/>
                <w:lang w:eastAsia="en-US"/>
              </w:rPr>
            </w:pPr>
            <w:r w:rsidRPr="00D67F1B">
              <w:rPr>
                <w:rFonts w:ascii="Arial" w:eastAsia="Calibri" w:hAnsi="Arial" w:cs="Arial"/>
                <w:i/>
                <w:iCs/>
                <w:color w:val="FF0000"/>
                <w:sz w:val="18"/>
                <w:szCs w:val="18"/>
                <w:lang w:eastAsia="en-US"/>
              </w:rPr>
              <w:t>Krystian Goetz</w:t>
            </w:r>
          </w:p>
        </w:tc>
      </w:tr>
      <w:tr w:rsidR="006F46CE" w:rsidTr="00D67F1B">
        <w:trPr>
          <w:trHeight w:val="260"/>
        </w:trPr>
        <w:tc>
          <w:tcPr>
            <w:tcW w:w="4089" w:type="dxa"/>
            <w:tcMar>
              <w:top w:w="0" w:type="dxa"/>
              <w:left w:w="108" w:type="dxa"/>
              <w:bottom w:w="0" w:type="dxa"/>
              <w:right w:w="108" w:type="dxa"/>
            </w:tcMar>
            <w:hideMark/>
          </w:tcPr>
          <w:p w:rsidR="00D67F1B" w:rsidRPr="0019395E" w:rsidRDefault="009D7029" w:rsidP="00D67F1B">
            <w:pPr>
              <w:jc w:val="center"/>
              <w:rPr>
                <w:rFonts w:ascii="Arial" w:eastAsia="Calibri" w:hAnsi="Arial" w:cs="Arial"/>
                <w:iCs/>
                <w:color w:val="FF0000"/>
                <w:sz w:val="18"/>
                <w:szCs w:val="18"/>
                <w:lang w:eastAsia="en-US"/>
              </w:rPr>
            </w:pPr>
            <w:r w:rsidRPr="0019395E">
              <w:rPr>
                <w:rFonts w:ascii="Arial" w:eastAsia="Calibri" w:hAnsi="Arial" w:cs="Arial"/>
                <w:iCs/>
                <w:color w:val="FF0000"/>
                <w:sz w:val="18"/>
                <w:szCs w:val="18"/>
                <w:lang w:eastAsia="en-US"/>
              </w:rPr>
              <w:t>Kierownik Oddziału Nadzoru</w:t>
            </w:r>
          </w:p>
          <w:p w:rsidR="00D67F1B" w:rsidRPr="00D67F1B" w:rsidRDefault="009D7029" w:rsidP="00D67F1B">
            <w:pPr>
              <w:jc w:val="center"/>
              <w:rPr>
                <w:rFonts w:ascii="Calibri" w:eastAsia="Calibri" w:hAnsi="Calibri" w:cs="Calibri"/>
                <w:sz w:val="22"/>
                <w:szCs w:val="22"/>
                <w:lang w:eastAsia="en-US"/>
              </w:rPr>
            </w:pPr>
            <w:r w:rsidRPr="0019395E">
              <w:rPr>
                <w:rFonts w:ascii="Arial" w:eastAsia="Calibri" w:hAnsi="Arial" w:cs="Arial"/>
                <w:iCs/>
                <w:color w:val="FF0000"/>
                <w:sz w:val="18"/>
                <w:szCs w:val="18"/>
                <w:lang w:eastAsia="en-US"/>
              </w:rPr>
              <w:t>i Kontroli Pomocy Społecznej</w:t>
            </w:r>
          </w:p>
        </w:tc>
      </w:tr>
    </w:tbl>
    <w:p w:rsidR="00D67F1B" w:rsidRPr="00C10BD7" w:rsidRDefault="009D7029" w:rsidP="00D67F1B">
      <w:pPr>
        <w:keepNext/>
        <w:keepLines/>
        <w:tabs>
          <w:tab w:val="left" w:pos="-3686"/>
          <w:tab w:val="center" w:pos="6237"/>
        </w:tabs>
        <w:spacing w:before="480" w:after="480" w:line="360" w:lineRule="auto"/>
        <w:rPr>
          <w:rFonts w:ascii="Arial" w:hAnsi="Arial" w:cs="Arial"/>
          <w:b/>
          <w:color w:val="FF0000"/>
          <w:sz w:val="22"/>
          <w:szCs w:val="22"/>
        </w:rPr>
      </w:pPr>
      <w:r>
        <w:rPr>
          <w:rFonts w:ascii="Arial" w:hAnsi="Arial" w:cs="Arial"/>
          <w:b/>
          <w:color w:val="FF0000"/>
          <w:sz w:val="22"/>
          <w:szCs w:val="22"/>
        </w:rPr>
        <w:tab/>
      </w:r>
    </w:p>
    <w:p w:rsidR="00C65DE0" w:rsidRPr="00C10BD7" w:rsidRDefault="000D5A54" w:rsidP="00D67F1B">
      <w:pPr>
        <w:keepNext/>
        <w:keepLines/>
        <w:tabs>
          <w:tab w:val="left" w:pos="-3686"/>
          <w:tab w:val="center" w:pos="6237"/>
        </w:tabs>
        <w:spacing w:before="480" w:after="480" w:line="360" w:lineRule="auto"/>
        <w:rPr>
          <w:rFonts w:ascii="Arial" w:hAnsi="Arial" w:cs="Arial"/>
          <w:b/>
          <w:color w:val="FF0000"/>
          <w:sz w:val="22"/>
          <w:szCs w:val="22"/>
        </w:rPr>
      </w:pPr>
    </w:p>
    <w:sectPr w:rsidR="00C65DE0" w:rsidRPr="00C10BD7" w:rsidSect="0019395E">
      <w:footerReference w:type="default" r:id="rId9"/>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86F" w:rsidRDefault="009D7029">
      <w:r>
        <w:separator/>
      </w:r>
    </w:p>
  </w:endnote>
  <w:endnote w:type="continuationSeparator" w:id="0">
    <w:p w:rsidR="0001286F" w:rsidRDefault="009D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297085"/>
      <w:docPartObj>
        <w:docPartGallery w:val="Page Numbers (Bottom of Page)"/>
        <w:docPartUnique/>
      </w:docPartObj>
    </w:sdtPr>
    <w:sdtEndPr/>
    <w:sdtContent>
      <w:sdt>
        <w:sdtPr>
          <w:id w:val="-1769616900"/>
          <w:docPartObj>
            <w:docPartGallery w:val="Page Numbers (Top of Page)"/>
            <w:docPartUnique/>
          </w:docPartObj>
        </w:sdtPr>
        <w:sdtEndPr/>
        <w:sdtContent>
          <w:p w:rsidR="0019395E" w:rsidRDefault="009D7029">
            <w:pPr>
              <w:pStyle w:val="Stopka"/>
              <w:jc w:val="right"/>
            </w:pPr>
            <w:r w:rsidRPr="0019395E">
              <w:rPr>
                <w:rFonts w:ascii="Arial" w:hAnsi="Arial" w:cs="Arial"/>
              </w:rPr>
              <w:t xml:space="preserve">Strona </w:t>
            </w:r>
            <w:r w:rsidRPr="0019395E">
              <w:rPr>
                <w:rFonts w:ascii="Arial" w:hAnsi="Arial" w:cs="Arial"/>
                <w:b/>
                <w:bCs/>
              </w:rPr>
              <w:fldChar w:fldCharType="begin"/>
            </w:r>
            <w:r w:rsidRPr="0019395E">
              <w:rPr>
                <w:rFonts w:ascii="Arial" w:hAnsi="Arial" w:cs="Arial"/>
                <w:b/>
                <w:bCs/>
              </w:rPr>
              <w:instrText>PAGE</w:instrText>
            </w:r>
            <w:r w:rsidRPr="0019395E">
              <w:rPr>
                <w:rFonts w:ascii="Arial" w:hAnsi="Arial" w:cs="Arial"/>
                <w:b/>
                <w:bCs/>
              </w:rPr>
              <w:fldChar w:fldCharType="separate"/>
            </w:r>
            <w:r>
              <w:rPr>
                <w:rFonts w:ascii="Arial" w:hAnsi="Arial" w:cs="Arial"/>
                <w:b/>
                <w:bCs/>
                <w:noProof/>
              </w:rPr>
              <w:t>7</w:t>
            </w:r>
            <w:r w:rsidRPr="0019395E">
              <w:rPr>
                <w:rFonts w:ascii="Arial" w:hAnsi="Arial" w:cs="Arial"/>
                <w:b/>
                <w:bCs/>
              </w:rPr>
              <w:fldChar w:fldCharType="end"/>
            </w:r>
            <w:r w:rsidRPr="0019395E">
              <w:rPr>
                <w:rFonts w:ascii="Arial" w:hAnsi="Arial" w:cs="Arial"/>
              </w:rPr>
              <w:t xml:space="preserve"> z </w:t>
            </w:r>
            <w:r w:rsidRPr="0019395E">
              <w:rPr>
                <w:rFonts w:ascii="Arial" w:hAnsi="Arial" w:cs="Arial"/>
                <w:b/>
                <w:bCs/>
              </w:rPr>
              <w:fldChar w:fldCharType="begin"/>
            </w:r>
            <w:r w:rsidRPr="0019395E">
              <w:rPr>
                <w:rFonts w:ascii="Arial" w:hAnsi="Arial" w:cs="Arial"/>
                <w:b/>
                <w:bCs/>
              </w:rPr>
              <w:instrText>NUMPAGES</w:instrText>
            </w:r>
            <w:r w:rsidRPr="0019395E">
              <w:rPr>
                <w:rFonts w:ascii="Arial" w:hAnsi="Arial" w:cs="Arial"/>
                <w:b/>
                <w:bCs/>
              </w:rPr>
              <w:fldChar w:fldCharType="separate"/>
            </w:r>
            <w:r>
              <w:rPr>
                <w:rFonts w:ascii="Arial" w:hAnsi="Arial" w:cs="Arial"/>
                <w:b/>
                <w:bCs/>
                <w:noProof/>
              </w:rPr>
              <w:t>7</w:t>
            </w:r>
            <w:r w:rsidRPr="0019395E">
              <w:rPr>
                <w:rFonts w:ascii="Arial" w:hAnsi="Arial" w:cs="Arial"/>
                <w:b/>
                <w:bCs/>
              </w:rPr>
              <w:fldChar w:fldCharType="end"/>
            </w:r>
          </w:p>
        </w:sdtContent>
      </w:sdt>
    </w:sdtContent>
  </w:sdt>
  <w:p w:rsidR="00C10BD7" w:rsidRDefault="000D5A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C72" w:rsidRDefault="009D7029" w:rsidP="00D02626">
      <w:r>
        <w:separator/>
      </w:r>
    </w:p>
  </w:footnote>
  <w:footnote w:type="continuationSeparator" w:id="0">
    <w:p w:rsidR="009A0C72" w:rsidRDefault="009D7029" w:rsidP="00D02626">
      <w:r>
        <w:continuationSeparator/>
      </w:r>
    </w:p>
  </w:footnote>
  <w:footnote w:id="1">
    <w:p w:rsidR="00D02626" w:rsidRPr="0048689E" w:rsidRDefault="009D7029" w:rsidP="00D02626">
      <w:pPr>
        <w:pStyle w:val="Tekstprzypisudolnego"/>
        <w:jc w:val="both"/>
        <w:rPr>
          <w:rFonts w:ascii="Arial" w:hAnsi="Arial" w:cs="Arial"/>
          <w:sz w:val="16"/>
          <w:szCs w:val="16"/>
        </w:rPr>
      </w:pPr>
      <w:r w:rsidRPr="00886529">
        <w:rPr>
          <w:rStyle w:val="Odwoanieprzypisudolnego"/>
          <w:rFonts w:ascii="Arial" w:hAnsi="Arial" w:cs="Arial"/>
          <w:sz w:val="18"/>
          <w:szCs w:val="18"/>
        </w:rPr>
        <w:footnoteRef/>
      </w:r>
      <w:r w:rsidRPr="00886529">
        <w:rPr>
          <w:rFonts w:ascii="Arial" w:hAnsi="Arial" w:cs="Arial"/>
          <w:sz w:val="18"/>
          <w:szCs w:val="18"/>
        </w:rPr>
        <w:t xml:space="preserve"> </w:t>
      </w:r>
      <w:r w:rsidRPr="0048689E">
        <w:rPr>
          <w:rFonts w:ascii="Arial" w:eastAsia="Calibri" w:hAnsi="Arial" w:cs="Arial"/>
          <w:sz w:val="16"/>
          <w:szCs w:val="16"/>
        </w:rPr>
        <w:t>(</w:t>
      </w:r>
      <w:r w:rsidRPr="0048689E">
        <w:rPr>
          <w:rFonts w:ascii="Arial" w:hAnsi="Arial" w:cs="Arial"/>
          <w:color w:val="000000" w:themeColor="text1"/>
          <w:sz w:val="16"/>
          <w:szCs w:val="16"/>
        </w:rPr>
        <w:t xml:space="preserve">Dz. U. z 2021 r., poz. 1249), </w:t>
      </w:r>
      <w:r w:rsidRPr="0048689E">
        <w:rPr>
          <w:rFonts w:ascii="Arial" w:hAnsi="Arial" w:cs="Arial"/>
          <w:sz w:val="16"/>
          <w:szCs w:val="16"/>
        </w:rPr>
        <w:t xml:space="preserve">nazywana w dalszej części wystąpienia pokontrolnego: „ustawą o przeciwdziałaniu przemocy </w:t>
      </w:r>
      <w:r>
        <w:rPr>
          <w:rFonts w:ascii="Arial" w:hAnsi="Arial" w:cs="Arial"/>
          <w:sz w:val="16"/>
          <w:szCs w:val="16"/>
        </w:rPr>
        <w:br/>
      </w:r>
      <w:r w:rsidRPr="0048689E">
        <w:rPr>
          <w:rFonts w:ascii="Arial" w:hAnsi="Arial" w:cs="Arial"/>
          <w:sz w:val="16"/>
          <w:szCs w:val="16"/>
        </w:rPr>
        <w:t>w rodzinie”.</w:t>
      </w:r>
    </w:p>
  </w:footnote>
  <w:footnote w:id="2">
    <w:p w:rsidR="009429B9" w:rsidRPr="009429B9" w:rsidRDefault="009429B9" w:rsidP="009429B9">
      <w:pPr>
        <w:pStyle w:val="Tekstprzypisudolnego"/>
        <w:rPr>
          <w:rFonts w:ascii="Arial" w:hAnsi="Arial" w:cs="Arial"/>
          <w:sz w:val="16"/>
          <w:szCs w:val="16"/>
        </w:rPr>
      </w:pPr>
      <w:r w:rsidRPr="009429B9">
        <w:rPr>
          <w:rStyle w:val="Odwoanieprzypisudolnego"/>
          <w:rFonts w:ascii="Arial" w:hAnsi="Arial" w:cs="Arial"/>
          <w:sz w:val="16"/>
          <w:szCs w:val="16"/>
        </w:rPr>
        <w:t>2</w:t>
      </w:r>
      <w:r w:rsidRPr="009429B9">
        <w:rPr>
          <w:rFonts w:ascii="Arial" w:hAnsi="Arial" w:cs="Arial"/>
          <w:sz w:val="16"/>
          <w:szCs w:val="16"/>
        </w:rPr>
        <w:t xml:space="preserve"> (Dz. U. z 2011 r. Nr 209, poz. 1245), nazywane w dalszej części protokołu „rozporządzeniem”.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F85"/>
    <w:multiLevelType w:val="hybridMultilevel"/>
    <w:tmpl w:val="2A08DDCC"/>
    <w:lvl w:ilvl="0" w:tplc="F40C1618">
      <w:start w:val="1"/>
      <w:numFmt w:val="decimal"/>
      <w:lvlText w:val="%1)"/>
      <w:lvlJc w:val="left"/>
      <w:pPr>
        <w:ind w:left="360" w:hanging="360"/>
      </w:pPr>
      <w:rPr>
        <w:b/>
      </w:rPr>
    </w:lvl>
    <w:lvl w:ilvl="1" w:tplc="FBEE86F2">
      <w:numFmt w:val="bullet"/>
      <w:lvlText w:val="•"/>
      <w:lvlJc w:val="left"/>
      <w:pPr>
        <w:ind w:left="1770" w:hanging="690"/>
      </w:pPr>
      <w:rPr>
        <w:rFonts w:ascii="Arial" w:eastAsia="Calibri" w:hAnsi="Arial" w:cs="Arial" w:hint="default"/>
      </w:rPr>
    </w:lvl>
    <w:lvl w:ilvl="2" w:tplc="955EC122" w:tentative="1">
      <w:start w:val="1"/>
      <w:numFmt w:val="lowerRoman"/>
      <w:lvlText w:val="%3."/>
      <w:lvlJc w:val="right"/>
      <w:pPr>
        <w:ind w:left="2160" w:hanging="180"/>
      </w:pPr>
    </w:lvl>
    <w:lvl w:ilvl="3" w:tplc="B5D099D4" w:tentative="1">
      <w:start w:val="1"/>
      <w:numFmt w:val="decimal"/>
      <w:lvlText w:val="%4."/>
      <w:lvlJc w:val="left"/>
      <w:pPr>
        <w:ind w:left="2880" w:hanging="360"/>
      </w:pPr>
    </w:lvl>
    <w:lvl w:ilvl="4" w:tplc="C2A6EFE0" w:tentative="1">
      <w:start w:val="1"/>
      <w:numFmt w:val="lowerLetter"/>
      <w:lvlText w:val="%5."/>
      <w:lvlJc w:val="left"/>
      <w:pPr>
        <w:ind w:left="3600" w:hanging="360"/>
      </w:pPr>
    </w:lvl>
    <w:lvl w:ilvl="5" w:tplc="F8A22B14" w:tentative="1">
      <w:start w:val="1"/>
      <w:numFmt w:val="lowerRoman"/>
      <w:lvlText w:val="%6."/>
      <w:lvlJc w:val="right"/>
      <w:pPr>
        <w:ind w:left="4320" w:hanging="180"/>
      </w:pPr>
    </w:lvl>
    <w:lvl w:ilvl="6" w:tplc="1102C4C4" w:tentative="1">
      <w:start w:val="1"/>
      <w:numFmt w:val="decimal"/>
      <w:lvlText w:val="%7."/>
      <w:lvlJc w:val="left"/>
      <w:pPr>
        <w:ind w:left="5040" w:hanging="360"/>
      </w:pPr>
    </w:lvl>
    <w:lvl w:ilvl="7" w:tplc="269A4F68" w:tentative="1">
      <w:start w:val="1"/>
      <w:numFmt w:val="lowerLetter"/>
      <w:lvlText w:val="%8."/>
      <w:lvlJc w:val="left"/>
      <w:pPr>
        <w:ind w:left="5760" w:hanging="360"/>
      </w:pPr>
    </w:lvl>
    <w:lvl w:ilvl="8" w:tplc="A7A607D4" w:tentative="1">
      <w:start w:val="1"/>
      <w:numFmt w:val="lowerRoman"/>
      <w:lvlText w:val="%9."/>
      <w:lvlJc w:val="right"/>
      <w:pPr>
        <w:ind w:left="6480" w:hanging="180"/>
      </w:pPr>
    </w:lvl>
  </w:abstractNum>
  <w:abstractNum w:abstractNumId="1" w15:restartNumberingAfterBreak="0">
    <w:nsid w:val="091B6F60"/>
    <w:multiLevelType w:val="hybridMultilevel"/>
    <w:tmpl w:val="5DA4E28E"/>
    <w:lvl w:ilvl="0" w:tplc="BD7CC208">
      <w:start w:val="1"/>
      <w:numFmt w:val="decimal"/>
      <w:lvlText w:val="%1."/>
      <w:lvlJc w:val="left"/>
      <w:pPr>
        <w:ind w:left="720" w:hanging="360"/>
      </w:pPr>
      <w:rPr>
        <w:rFonts w:hint="default"/>
        <w:i w:val="0"/>
        <w:color w:val="000000" w:themeColor="text1"/>
      </w:rPr>
    </w:lvl>
    <w:lvl w:ilvl="1" w:tplc="66EE40DE" w:tentative="1">
      <w:start w:val="1"/>
      <w:numFmt w:val="lowerLetter"/>
      <w:lvlText w:val="%2."/>
      <w:lvlJc w:val="left"/>
      <w:pPr>
        <w:ind w:left="1440" w:hanging="360"/>
      </w:pPr>
    </w:lvl>
    <w:lvl w:ilvl="2" w:tplc="E91C99FC" w:tentative="1">
      <w:start w:val="1"/>
      <w:numFmt w:val="lowerRoman"/>
      <w:lvlText w:val="%3."/>
      <w:lvlJc w:val="right"/>
      <w:pPr>
        <w:ind w:left="2160" w:hanging="180"/>
      </w:pPr>
    </w:lvl>
    <w:lvl w:ilvl="3" w:tplc="E63297F0" w:tentative="1">
      <w:start w:val="1"/>
      <w:numFmt w:val="decimal"/>
      <w:lvlText w:val="%4."/>
      <w:lvlJc w:val="left"/>
      <w:pPr>
        <w:ind w:left="2880" w:hanging="360"/>
      </w:pPr>
    </w:lvl>
    <w:lvl w:ilvl="4" w:tplc="3C9EC640" w:tentative="1">
      <w:start w:val="1"/>
      <w:numFmt w:val="lowerLetter"/>
      <w:lvlText w:val="%5."/>
      <w:lvlJc w:val="left"/>
      <w:pPr>
        <w:ind w:left="3600" w:hanging="360"/>
      </w:pPr>
    </w:lvl>
    <w:lvl w:ilvl="5" w:tplc="258E2840" w:tentative="1">
      <w:start w:val="1"/>
      <w:numFmt w:val="lowerRoman"/>
      <w:lvlText w:val="%6."/>
      <w:lvlJc w:val="right"/>
      <w:pPr>
        <w:ind w:left="4320" w:hanging="180"/>
      </w:pPr>
    </w:lvl>
    <w:lvl w:ilvl="6" w:tplc="9970F940" w:tentative="1">
      <w:start w:val="1"/>
      <w:numFmt w:val="decimal"/>
      <w:lvlText w:val="%7."/>
      <w:lvlJc w:val="left"/>
      <w:pPr>
        <w:ind w:left="5040" w:hanging="360"/>
      </w:pPr>
    </w:lvl>
    <w:lvl w:ilvl="7" w:tplc="CAFE0196" w:tentative="1">
      <w:start w:val="1"/>
      <w:numFmt w:val="lowerLetter"/>
      <w:lvlText w:val="%8."/>
      <w:lvlJc w:val="left"/>
      <w:pPr>
        <w:ind w:left="5760" w:hanging="360"/>
      </w:pPr>
    </w:lvl>
    <w:lvl w:ilvl="8" w:tplc="1CCC37BE" w:tentative="1">
      <w:start w:val="1"/>
      <w:numFmt w:val="lowerRoman"/>
      <w:lvlText w:val="%9."/>
      <w:lvlJc w:val="right"/>
      <w:pPr>
        <w:ind w:left="6480" w:hanging="180"/>
      </w:pPr>
    </w:lvl>
  </w:abstractNum>
  <w:abstractNum w:abstractNumId="2" w15:restartNumberingAfterBreak="0">
    <w:nsid w:val="0F06011E"/>
    <w:multiLevelType w:val="hybridMultilevel"/>
    <w:tmpl w:val="D9682816"/>
    <w:lvl w:ilvl="0" w:tplc="703AD62E">
      <w:start w:val="1"/>
      <w:numFmt w:val="decimal"/>
      <w:lvlText w:val="%1."/>
      <w:lvlJc w:val="left"/>
      <w:pPr>
        <w:ind w:left="720" w:hanging="360"/>
      </w:pPr>
      <w:rPr>
        <w:rFonts w:ascii="Arial" w:eastAsia="Calibri" w:hAnsi="Arial" w:cs="Arial"/>
      </w:rPr>
    </w:lvl>
    <w:lvl w:ilvl="1" w:tplc="5D4CB780" w:tentative="1">
      <w:start w:val="1"/>
      <w:numFmt w:val="lowerLetter"/>
      <w:lvlText w:val="%2."/>
      <w:lvlJc w:val="left"/>
      <w:pPr>
        <w:ind w:left="1440" w:hanging="360"/>
      </w:pPr>
    </w:lvl>
    <w:lvl w:ilvl="2" w:tplc="2E66775E" w:tentative="1">
      <w:start w:val="1"/>
      <w:numFmt w:val="lowerRoman"/>
      <w:lvlText w:val="%3."/>
      <w:lvlJc w:val="right"/>
      <w:pPr>
        <w:ind w:left="2160" w:hanging="180"/>
      </w:pPr>
    </w:lvl>
    <w:lvl w:ilvl="3" w:tplc="B6042720" w:tentative="1">
      <w:start w:val="1"/>
      <w:numFmt w:val="decimal"/>
      <w:lvlText w:val="%4."/>
      <w:lvlJc w:val="left"/>
      <w:pPr>
        <w:ind w:left="2880" w:hanging="360"/>
      </w:pPr>
    </w:lvl>
    <w:lvl w:ilvl="4" w:tplc="83C8EF90" w:tentative="1">
      <w:start w:val="1"/>
      <w:numFmt w:val="lowerLetter"/>
      <w:lvlText w:val="%5."/>
      <w:lvlJc w:val="left"/>
      <w:pPr>
        <w:ind w:left="3600" w:hanging="360"/>
      </w:pPr>
    </w:lvl>
    <w:lvl w:ilvl="5" w:tplc="FFBA0D14" w:tentative="1">
      <w:start w:val="1"/>
      <w:numFmt w:val="lowerRoman"/>
      <w:lvlText w:val="%6."/>
      <w:lvlJc w:val="right"/>
      <w:pPr>
        <w:ind w:left="4320" w:hanging="180"/>
      </w:pPr>
    </w:lvl>
    <w:lvl w:ilvl="6" w:tplc="348898C2" w:tentative="1">
      <w:start w:val="1"/>
      <w:numFmt w:val="decimal"/>
      <w:lvlText w:val="%7."/>
      <w:lvlJc w:val="left"/>
      <w:pPr>
        <w:ind w:left="5040" w:hanging="360"/>
      </w:pPr>
    </w:lvl>
    <w:lvl w:ilvl="7" w:tplc="E39A2B34" w:tentative="1">
      <w:start w:val="1"/>
      <w:numFmt w:val="lowerLetter"/>
      <w:lvlText w:val="%8."/>
      <w:lvlJc w:val="left"/>
      <w:pPr>
        <w:ind w:left="5760" w:hanging="360"/>
      </w:pPr>
    </w:lvl>
    <w:lvl w:ilvl="8" w:tplc="C5221EF8" w:tentative="1">
      <w:start w:val="1"/>
      <w:numFmt w:val="lowerRoman"/>
      <w:lvlText w:val="%9."/>
      <w:lvlJc w:val="right"/>
      <w:pPr>
        <w:ind w:left="6480" w:hanging="180"/>
      </w:pPr>
    </w:lvl>
  </w:abstractNum>
  <w:abstractNum w:abstractNumId="3" w15:restartNumberingAfterBreak="0">
    <w:nsid w:val="2A3565D3"/>
    <w:multiLevelType w:val="hybridMultilevel"/>
    <w:tmpl w:val="72ACC8CE"/>
    <w:lvl w:ilvl="0" w:tplc="9F5C0676">
      <w:start w:val="1"/>
      <w:numFmt w:val="decimal"/>
      <w:lvlText w:val="%1)"/>
      <w:lvlJc w:val="left"/>
      <w:pPr>
        <w:ind w:left="786" w:hanging="360"/>
      </w:pPr>
      <w:rPr>
        <w:sz w:val="24"/>
        <w:szCs w:val="24"/>
      </w:rPr>
    </w:lvl>
    <w:lvl w:ilvl="1" w:tplc="2CF2BAEA" w:tentative="1">
      <w:start w:val="1"/>
      <w:numFmt w:val="lowerLetter"/>
      <w:lvlText w:val="%2."/>
      <w:lvlJc w:val="left"/>
      <w:pPr>
        <w:ind w:left="1506" w:hanging="360"/>
      </w:pPr>
    </w:lvl>
    <w:lvl w:ilvl="2" w:tplc="42DC5996" w:tentative="1">
      <w:start w:val="1"/>
      <w:numFmt w:val="lowerRoman"/>
      <w:lvlText w:val="%3."/>
      <w:lvlJc w:val="right"/>
      <w:pPr>
        <w:ind w:left="2226" w:hanging="180"/>
      </w:pPr>
    </w:lvl>
    <w:lvl w:ilvl="3" w:tplc="562AFF7E" w:tentative="1">
      <w:start w:val="1"/>
      <w:numFmt w:val="decimal"/>
      <w:lvlText w:val="%4."/>
      <w:lvlJc w:val="left"/>
      <w:pPr>
        <w:ind w:left="2946" w:hanging="360"/>
      </w:pPr>
    </w:lvl>
    <w:lvl w:ilvl="4" w:tplc="22DA8E04" w:tentative="1">
      <w:start w:val="1"/>
      <w:numFmt w:val="lowerLetter"/>
      <w:lvlText w:val="%5."/>
      <w:lvlJc w:val="left"/>
      <w:pPr>
        <w:ind w:left="3666" w:hanging="360"/>
      </w:pPr>
    </w:lvl>
    <w:lvl w:ilvl="5" w:tplc="940AB1A2" w:tentative="1">
      <w:start w:val="1"/>
      <w:numFmt w:val="lowerRoman"/>
      <w:lvlText w:val="%6."/>
      <w:lvlJc w:val="right"/>
      <w:pPr>
        <w:ind w:left="4386" w:hanging="180"/>
      </w:pPr>
    </w:lvl>
    <w:lvl w:ilvl="6" w:tplc="2E5017DC" w:tentative="1">
      <w:start w:val="1"/>
      <w:numFmt w:val="decimal"/>
      <w:lvlText w:val="%7."/>
      <w:lvlJc w:val="left"/>
      <w:pPr>
        <w:ind w:left="5106" w:hanging="360"/>
      </w:pPr>
    </w:lvl>
    <w:lvl w:ilvl="7" w:tplc="C6820F00" w:tentative="1">
      <w:start w:val="1"/>
      <w:numFmt w:val="lowerLetter"/>
      <w:lvlText w:val="%8."/>
      <w:lvlJc w:val="left"/>
      <w:pPr>
        <w:ind w:left="5826" w:hanging="360"/>
      </w:pPr>
    </w:lvl>
    <w:lvl w:ilvl="8" w:tplc="DA64CE10" w:tentative="1">
      <w:start w:val="1"/>
      <w:numFmt w:val="lowerRoman"/>
      <w:lvlText w:val="%9."/>
      <w:lvlJc w:val="right"/>
      <w:pPr>
        <w:ind w:left="6546" w:hanging="180"/>
      </w:pPr>
    </w:lvl>
  </w:abstractNum>
  <w:abstractNum w:abstractNumId="4" w15:restartNumberingAfterBreak="0">
    <w:nsid w:val="33EC2459"/>
    <w:multiLevelType w:val="hybridMultilevel"/>
    <w:tmpl w:val="9702A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7E671F"/>
    <w:multiLevelType w:val="hybridMultilevel"/>
    <w:tmpl w:val="556C7774"/>
    <w:lvl w:ilvl="0" w:tplc="5006866C">
      <w:start w:val="1"/>
      <w:numFmt w:val="decimal"/>
      <w:lvlText w:val="%1."/>
      <w:lvlJc w:val="left"/>
      <w:pPr>
        <w:ind w:left="720" w:hanging="360"/>
      </w:pPr>
      <w:rPr>
        <w:color w:val="000000" w:themeColor="text1"/>
      </w:rPr>
    </w:lvl>
    <w:lvl w:ilvl="1" w:tplc="65EC8F54">
      <w:start w:val="1"/>
      <w:numFmt w:val="lowerLetter"/>
      <w:lvlText w:val="%2)"/>
      <w:lvlJc w:val="left"/>
      <w:pPr>
        <w:ind w:left="1440" w:hanging="360"/>
      </w:pPr>
      <w:rPr>
        <w:rFonts w:hint="default"/>
      </w:rPr>
    </w:lvl>
    <w:lvl w:ilvl="2" w:tplc="FE2EC79C">
      <w:start w:val="1"/>
      <w:numFmt w:val="decimal"/>
      <w:lvlText w:val="%3)"/>
      <w:lvlJc w:val="left"/>
      <w:pPr>
        <w:ind w:left="1069" w:hanging="360"/>
      </w:pPr>
      <w:rPr>
        <w:rFonts w:ascii="Arial" w:hAnsi="Arial" w:cs="Arial" w:hint="default"/>
        <w:color w:val="000000" w:themeColor="text1"/>
      </w:rPr>
    </w:lvl>
    <w:lvl w:ilvl="3" w:tplc="60B8115C" w:tentative="1">
      <w:start w:val="1"/>
      <w:numFmt w:val="decimal"/>
      <w:lvlText w:val="%4."/>
      <w:lvlJc w:val="left"/>
      <w:pPr>
        <w:ind w:left="2880" w:hanging="360"/>
      </w:pPr>
    </w:lvl>
    <w:lvl w:ilvl="4" w:tplc="44C6BD86" w:tentative="1">
      <w:start w:val="1"/>
      <w:numFmt w:val="lowerLetter"/>
      <w:lvlText w:val="%5."/>
      <w:lvlJc w:val="left"/>
      <w:pPr>
        <w:ind w:left="3600" w:hanging="360"/>
      </w:pPr>
    </w:lvl>
    <w:lvl w:ilvl="5" w:tplc="78E09FB8" w:tentative="1">
      <w:start w:val="1"/>
      <w:numFmt w:val="lowerRoman"/>
      <w:lvlText w:val="%6."/>
      <w:lvlJc w:val="right"/>
      <w:pPr>
        <w:ind w:left="4320" w:hanging="180"/>
      </w:pPr>
    </w:lvl>
    <w:lvl w:ilvl="6" w:tplc="F462EBD0" w:tentative="1">
      <w:start w:val="1"/>
      <w:numFmt w:val="decimal"/>
      <w:lvlText w:val="%7."/>
      <w:lvlJc w:val="left"/>
      <w:pPr>
        <w:ind w:left="5040" w:hanging="360"/>
      </w:pPr>
    </w:lvl>
    <w:lvl w:ilvl="7" w:tplc="246CC1D6" w:tentative="1">
      <w:start w:val="1"/>
      <w:numFmt w:val="lowerLetter"/>
      <w:lvlText w:val="%8."/>
      <w:lvlJc w:val="left"/>
      <w:pPr>
        <w:ind w:left="5760" w:hanging="360"/>
      </w:pPr>
    </w:lvl>
    <w:lvl w:ilvl="8" w:tplc="C494F5A8" w:tentative="1">
      <w:start w:val="1"/>
      <w:numFmt w:val="lowerRoman"/>
      <w:lvlText w:val="%9."/>
      <w:lvlJc w:val="right"/>
      <w:pPr>
        <w:ind w:left="6480" w:hanging="180"/>
      </w:pPr>
    </w:lvl>
  </w:abstractNum>
  <w:abstractNum w:abstractNumId="6" w15:restartNumberingAfterBreak="0">
    <w:nsid w:val="67DE7A93"/>
    <w:multiLevelType w:val="hybridMultilevel"/>
    <w:tmpl w:val="532642BA"/>
    <w:lvl w:ilvl="0" w:tplc="F404E7C0">
      <w:start w:val="1"/>
      <w:numFmt w:val="decimal"/>
      <w:lvlText w:val="%1."/>
      <w:lvlJc w:val="left"/>
      <w:pPr>
        <w:ind w:left="360" w:hanging="360"/>
      </w:pPr>
      <w:rPr>
        <w:rFonts w:ascii="Arial" w:eastAsiaTheme="minorHAnsi" w:hAnsi="Arial" w:cs="Arial"/>
        <w:b w:val="0"/>
      </w:rPr>
    </w:lvl>
    <w:lvl w:ilvl="1" w:tplc="5C441574">
      <w:start w:val="1"/>
      <w:numFmt w:val="decimal"/>
      <w:lvlText w:val="%2)"/>
      <w:lvlJc w:val="left"/>
      <w:pPr>
        <w:ind w:left="786" w:hanging="360"/>
      </w:pPr>
      <w:rPr>
        <w:rFonts w:hint="default"/>
        <w:b/>
        <w:color w:val="auto"/>
      </w:rPr>
    </w:lvl>
    <w:lvl w:ilvl="2" w:tplc="699626DA" w:tentative="1">
      <w:start w:val="1"/>
      <w:numFmt w:val="lowerRoman"/>
      <w:lvlText w:val="%3."/>
      <w:lvlJc w:val="right"/>
      <w:pPr>
        <w:ind w:left="1800" w:hanging="180"/>
      </w:pPr>
    </w:lvl>
    <w:lvl w:ilvl="3" w:tplc="F83CCA12" w:tentative="1">
      <w:start w:val="1"/>
      <w:numFmt w:val="decimal"/>
      <w:lvlText w:val="%4."/>
      <w:lvlJc w:val="left"/>
      <w:pPr>
        <w:ind w:left="2520" w:hanging="360"/>
      </w:pPr>
    </w:lvl>
    <w:lvl w:ilvl="4" w:tplc="AB16F6F2" w:tentative="1">
      <w:start w:val="1"/>
      <w:numFmt w:val="lowerLetter"/>
      <w:lvlText w:val="%5."/>
      <w:lvlJc w:val="left"/>
      <w:pPr>
        <w:ind w:left="3240" w:hanging="360"/>
      </w:pPr>
    </w:lvl>
    <w:lvl w:ilvl="5" w:tplc="39643AA6" w:tentative="1">
      <w:start w:val="1"/>
      <w:numFmt w:val="lowerRoman"/>
      <w:lvlText w:val="%6."/>
      <w:lvlJc w:val="right"/>
      <w:pPr>
        <w:ind w:left="3960" w:hanging="180"/>
      </w:pPr>
    </w:lvl>
    <w:lvl w:ilvl="6" w:tplc="5CFECF5A" w:tentative="1">
      <w:start w:val="1"/>
      <w:numFmt w:val="decimal"/>
      <w:lvlText w:val="%7."/>
      <w:lvlJc w:val="left"/>
      <w:pPr>
        <w:ind w:left="4680" w:hanging="360"/>
      </w:pPr>
    </w:lvl>
    <w:lvl w:ilvl="7" w:tplc="3EE67812" w:tentative="1">
      <w:start w:val="1"/>
      <w:numFmt w:val="lowerLetter"/>
      <w:lvlText w:val="%8."/>
      <w:lvlJc w:val="left"/>
      <w:pPr>
        <w:ind w:left="5400" w:hanging="360"/>
      </w:pPr>
    </w:lvl>
    <w:lvl w:ilvl="8" w:tplc="B80A069C"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CE"/>
    <w:rsid w:val="0001286F"/>
    <w:rsid w:val="000D5A54"/>
    <w:rsid w:val="006F46CE"/>
    <w:rsid w:val="009429B9"/>
    <w:rsid w:val="009D7029"/>
    <w:rsid w:val="00AC6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B1252AF-35F4-489F-A4EE-1120DBE8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paragraph" w:styleId="Tekstprzypisudolnego">
    <w:name w:val="footnote text"/>
    <w:basedOn w:val="Normalny"/>
    <w:link w:val="TekstprzypisudolnegoZnak"/>
    <w:uiPriority w:val="99"/>
    <w:rsid w:val="00D02626"/>
  </w:style>
  <w:style w:type="character" w:customStyle="1" w:styleId="TekstprzypisudolnegoZnak">
    <w:name w:val="Tekst przypisu dolnego Znak"/>
    <w:basedOn w:val="Domylnaczcionkaakapitu"/>
    <w:link w:val="Tekstprzypisudolnego"/>
    <w:uiPriority w:val="99"/>
    <w:rsid w:val="00D02626"/>
  </w:style>
  <w:style w:type="character" w:styleId="Odwoanieprzypisudolnego">
    <w:name w:val="footnote reference"/>
    <w:basedOn w:val="Domylnaczcionkaakapitu"/>
    <w:uiPriority w:val="99"/>
    <w:rsid w:val="00D02626"/>
    <w:rPr>
      <w:vertAlign w:val="superscript"/>
    </w:rPr>
  </w:style>
  <w:style w:type="character" w:customStyle="1" w:styleId="StopkaZnak">
    <w:name w:val="Stopka Znak"/>
    <w:basedOn w:val="Domylnaczcionkaakapitu"/>
    <w:link w:val="Stopka"/>
    <w:uiPriority w:val="99"/>
    <w:rsid w:val="00C1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1733</Words>
  <Characters>11086</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Anna Słodowicka</cp:lastModifiedBy>
  <cp:revision>2</cp:revision>
  <dcterms:created xsi:type="dcterms:W3CDTF">2022-05-12T08:48:00Z</dcterms:created>
  <dcterms:modified xsi:type="dcterms:W3CDTF">2022-05-12T08:48:00Z</dcterms:modified>
</cp:coreProperties>
</file>