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7C" w:rsidRPr="00BB35E5" w:rsidRDefault="00FD6E47" w:rsidP="008A08E1">
      <w:pPr>
        <w:pStyle w:val="Podtytu"/>
        <w:spacing w:before="100" w:beforeAutospacing="1" w:after="0" w:line="360" w:lineRule="auto"/>
        <w:jc w:val="right"/>
        <w:rPr>
          <w:spacing w:val="0"/>
          <w:sz w:val="22"/>
          <w:szCs w:val="22"/>
        </w:rPr>
      </w:pPr>
      <w:r>
        <w:rPr>
          <w:rFonts w:ascii="Arial" w:hAnsi="Arial" w:cs="Arial"/>
          <w:smallCaps w:val="0"/>
          <w:spacing w:val="0"/>
          <w:sz w:val="22"/>
          <w:szCs w:val="22"/>
          <w:lang w:val="pl-PL"/>
        </w:rPr>
        <w:t xml:space="preserve">Załącznik nr </w:t>
      </w:r>
      <w:r w:rsidR="0035124C">
        <w:rPr>
          <w:rFonts w:ascii="Arial" w:hAnsi="Arial" w:cs="Arial"/>
          <w:smallCaps w:val="0"/>
          <w:spacing w:val="0"/>
          <w:sz w:val="22"/>
          <w:szCs w:val="22"/>
          <w:lang w:val="pl-PL"/>
        </w:rPr>
        <w:t>1a d</w:t>
      </w:r>
      <w:r w:rsidR="0001627C" w:rsidRPr="00BB35E5">
        <w:rPr>
          <w:rFonts w:ascii="Arial" w:hAnsi="Arial" w:cs="Arial"/>
          <w:smallCaps w:val="0"/>
          <w:spacing w:val="0"/>
          <w:sz w:val="22"/>
          <w:szCs w:val="22"/>
          <w:lang w:val="pl-PL"/>
        </w:rPr>
        <w:t>o SIWZ</w:t>
      </w:r>
    </w:p>
    <w:p w:rsidR="0001627C" w:rsidRPr="008A08E1" w:rsidRDefault="0001627C" w:rsidP="008A08E1">
      <w:pPr>
        <w:spacing w:before="36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A08E1">
        <w:rPr>
          <w:rFonts w:ascii="Arial" w:hAnsi="Arial" w:cs="Arial"/>
          <w:b/>
          <w:sz w:val="22"/>
          <w:szCs w:val="22"/>
        </w:rPr>
        <w:t>Opis</w:t>
      </w:r>
      <w:r w:rsidR="00FD6E47">
        <w:rPr>
          <w:rFonts w:ascii="Arial" w:hAnsi="Arial" w:cs="Arial"/>
          <w:b/>
          <w:sz w:val="22"/>
          <w:szCs w:val="22"/>
        </w:rPr>
        <w:t xml:space="preserve"> przedmiotu zamówienia</w:t>
      </w:r>
    </w:p>
    <w:p w:rsidR="008A08E1" w:rsidRDefault="0001627C" w:rsidP="008A08E1">
      <w:pPr>
        <w:spacing w:before="240"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8A08E1">
        <w:rPr>
          <w:rFonts w:ascii="Arial" w:hAnsi="Arial" w:cs="Arial"/>
          <w:b/>
          <w:color w:val="000000"/>
          <w:sz w:val="22"/>
          <w:szCs w:val="22"/>
          <w:lang w:eastAsia="pl-PL"/>
        </w:rPr>
        <w:t>Zakup</w:t>
      </w:r>
      <w:r w:rsidR="0059279F" w:rsidRPr="008A08E1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</w:t>
      </w:r>
      <w:r w:rsidRPr="008A08E1">
        <w:rPr>
          <w:rFonts w:ascii="Arial" w:hAnsi="Arial" w:cs="Arial"/>
          <w:b/>
          <w:color w:val="000000"/>
          <w:sz w:val="22"/>
          <w:szCs w:val="22"/>
          <w:lang w:eastAsia="pl-PL"/>
        </w:rPr>
        <w:t>oprogramowania biurowego</w:t>
      </w:r>
      <w:r w:rsidR="00EB5561">
        <w:rPr>
          <w:rFonts w:ascii="Arial" w:hAnsi="Arial" w:cs="Arial"/>
          <w:b/>
          <w:color w:val="000000"/>
          <w:sz w:val="22"/>
          <w:szCs w:val="22"/>
          <w:lang w:eastAsia="pl-PL"/>
        </w:rPr>
        <w:t>.</w:t>
      </w:r>
    </w:p>
    <w:p w:rsidR="003D5B6A" w:rsidRDefault="003D5B6A" w:rsidP="008A08E1">
      <w:pPr>
        <w:spacing w:before="240"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p w:rsidR="003D5B6A" w:rsidRDefault="003D5B6A" w:rsidP="003D5B6A">
      <w:pPr>
        <w:spacing w:after="120" w:line="360" w:lineRule="auto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87685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Wspólny Słownik Zamówień (CPV): 48000000-8</w:t>
      </w:r>
    </w:p>
    <w:p w:rsidR="001A3B99" w:rsidRPr="008A08E1" w:rsidRDefault="00C52477" w:rsidP="008A08E1">
      <w:pPr>
        <w:pStyle w:val="Akapitzlist"/>
        <w:numPr>
          <w:ilvl w:val="0"/>
          <w:numId w:val="25"/>
        </w:numPr>
        <w:spacing w:before="600" w:after="24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Dostawa </w:t>
      </w:r>
      <w:r w:rsidR="008A08E1">
        <w:rPr>
          <w:rFonts w:ascii="Arial" w:hAnsi="Arial" w:cs="Arial"/>
          <w:b/>
          <w:sz w:val="22"/>
          <w:szCs w:val="22"/>
        </w:rPr>
        <w:t xml:space="preserve"> oprogramowania typu Office 2019 Standard lub równoważn</w:t>
      </w:r>
      <w:r w:rsidR="00FD26C0">
        <w:rPr>
          <w:rFonts w:ascii="Arial" w:hAnsi="Arial" w:cs="Arial"/>
          <w:b/>
          <w:sz w:val="22"/>
          <w:szCs w:val="22"/>
        </w:rPr>
        <w:t>ego</w:t>
      </w:r>
      <w:r w:rsidR="00FD6E47">
        <w:rPr>
          <w:rFonts w:ascii="Arial" w:hAnsi="Arial" w:cs="Arial"/>
          <w:b/>
          <w:sz w:val="22"/>
          <w:szCs w:val="22"/>
        </w:rPr>
        <w:t xml:space="preserve"> – 9</w:t>
      </w:r>
      <w:r w:rsidR="008A08E1">
        <w:rPr>
          <w:rFonts w:ascii="Arial" w:hAnsi="Arial" w:cs="Arial"/>
          <w:b/>
          <w:sz w:val="22"/>
          <w:szCs w:val="22"/>
        </w:rPr>
        <w:t xml:space="preserve"> sztuk.</w:t>
      </w:r>
    </w:p>
    <w:p w:rsidR="001A3B99" w:rsidRPr="00BC457F" w:rsidRDefault="00FD6E47" w:rsidP="00FD6E47">
      <w:pPr>
        <w:pStyle w:val="Default"/>
        <w:spacing w:before="100" w:beforeAutospacing="1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1A3B99" w:rsidRPr="00BC457F">
        <w:rPr>
          <w:rFonts w:ascii="Arial" w:hAnsi="Arial" w:cs="Arial"/>
          <w:b/>
          <w:bCs/>
          <w:sz w:val="22"/>
          <w:szCs w:val="22"/>
        </w:rPr>
        <w:t>program</w:t>
      </w:r>
      <w:r>
        <w:rPr>
          <w:rFonts w:ascii="Arial" w:hAnsi="Arial" w:cs="Arial"/>
          <w:b/>
          <w:bCs/>
          <w:sz w:val="22"/>
          <w:szCs w:val="22"/>
        </w:rPr>
        <w:t>owanie Microsoft Office Standard</w:t>
      </w:r>
      <w:r w:rsidR="001A3B99" w:rsidRPr="00BC457F">
        <w:rPr>
          <w:rFonts w:ascii="Arial" w:hAnsi="Arial" w:cs="Arial"/>
          <w:b/>
          <w:bCs/>
          <w:sz w:val="22"/>
          <w:szCs w:val="22"/>
        </w:rPr>
        <w:t xml:space="preserve"> lub równoważne</w:t>
      </w:r>
      <w:r w:rsidR="001A3B99" w:rsidRPr="00BC457F">
        <w:rPr>
          <w:rFonts w:ascii="Arial" w:hAnsi="Arial" w:cs="Arial"/>
          <w:sz w:val="22"/>
          <w:szCs w:val="22"/>
        </w:rPr>
        <w:t>, na nośniku CD lub DVD lub udostępnienie oprogramowania drogą elektroniczną poprzez dostęp do strony internetowej zawierającej dane oprogramowanie oraz dokument potwierdzający prawo do korzystania z programu na wymaganej liczbie stanowisk roboczych wraz z danymi zawierającymi info</w:t>
      </w:r>
      <w:r w:rsidR="00BB35E5">
        <w:rPr>
          <w:rFonts w:ascii="Arial" w:hAnsi="Arial" w:cs="Arial"/>
          <w:sz w:val="22"/>
          <w:szCs w:val="22"/>
        </w:rPr>
        <w:t>rmację umożliwiającą instalację.</w:t>
      </w:r>
      <w:r w:rsidR="0053675A">
        <w:rPr>
          <w:rFonts w:ascii="Arial" w:hAnsi="Arial" w:cs="Arial"/>
          <w:sz w:val="22"/>
          <w:szCs w:val="22"/>
        </w:rPr>
        <w:t xml:space="preserve"> Warunki równoważności opisano w pkt. 1.1.</w:t>
      </w:r>
    </w:p>
    <w:p w:rsidR="001A3B99" w:rsidRPr="008A08E1" w:rsidRDefault="001A3B99" w:rsidP="008A08E1">
      <w:pPr>
        <w:pStyle w:val="Akapitzlist"/>
        <w:numPr>
          <w:ilvl w:val="1"/>
          <w:numId w:val="25"/>
        </w:numPr>
        <w:spacing w:before="480" w:after="120" w:line="360" w:lineRule="auto"/>
        <w:rPr>
          <w:rFonts w:ascii="Arial" w:hAnsi="Arial" w:cs="Arial"/>
          <w:b/>
          <w:sz w:val="22"/>
          <w:szCs w:val="22"/>
        </w:rPr>
      </w:pPr>
      <w:r w:rsidRPr="008A08E1">
        <w:rPr>
          <w:rFonts w:ascii="Arial" w:hAnsi="Arial" w:cs="Arial"/>
          <w:b/>
          <w:sz w:val="22"/>
          <w:szCs w:val="22"/>
        </w:rPr>
        <w:t>Wymagania dotyczące oprogramowania równoważnego.</w:t>
      </w:r>
    </w:p>
    <w:p w:rsidR="001A3B99" w:rsidRDefault="001A3B99" w:rsidP="008A08E1">
      <w:pPr>
        <w:pStyle w:val="Default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Równoważne oprogramowanie musi spełniać następujące wymagania poprzez wbudowane mechanizmy, bez użycia dodatkowych aplikacji: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Dostępność pakietu w wersjach 32-bit oraz 64-bit umożliwiającej wykorzystanie ponad 2 GB przestrzeni adresowej, </w:t>
      </w:r>
    </w:p>
    <w:p w:rsidR="00BC457F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Wymagania o</w:t>
      </w:r>
      <w:r w:rsidR="00BC457F">
        <w:rPr>
          <w:rFonts w:ascii="Arial" w:hAnsi="Arial" w:cs="Arial"/>
          <w:sz w:val="22"/>
          <w:szCs w:val="22"/>
        </w:rPr>
        <w:t>dnośnie interfejsu użytkownika:</w:t>
      </w:r>
    </w:p>
    <w:p w:rsidR="001A3B99" w:rsidRDefault="001A3B99" w:rsidP="008A08E1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Pełna polska wersja językowa interfejsu użytkownika z możliwością przełączania wersji językowej interfejsu na inne języki, w tym język angielski. </w:t>
      </w:r>
    </w:p>
    <w:p w:rsidR="001A3B99" w:rsidRDefault="001A3B99" w:rsidP="008A08E1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Prostota i intuicyjność obsługi, pozwalająca na pracę osobom nieposiadającym umiejętności technicznych. </w:t>
      </w:r>
    </w:p>
    <w:p w:rsidR="001A3B99" w:rsidRDefault="001A3B99" w:rsidP="008A08E1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Możliwość aktywacji zainstalowanego pakietu poprzez mechanizmy wdrożonej usługi katalogowej Active Directory.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lastRenderedPageBreak/>
        <w:t xml:space="preserve">Narzędzie wspomagające procesy migracji z poprzednich wersji pakietu Microsoft Office i badania zgodności z dokumentami wytworzonymi w tym pakiecie. </w:t>
      </w:r>
    </w:p>
    <w:p w:rsidR="00BC457F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Oprogramowanie musi umożliwiać tworzenie i edycję dokumentów elektronicznych w ustalonym standardzie, który spełnia następujące warunki: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posiada kompletny i publicznie dostępny opis formatu, 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 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umożliwia kreowanie plików w formacie XML, 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wspiera w swojej specyfikacji podpis elektroniczny w formacie </w:t>
      </w:r>
      <w:proofErr w:type="spellStart"/>
      <w:r w:rsidRPr="00BC457F">
        <w:rPr>
          <w:rFonts w:ascii="Arial" w:hAnsi="Arial" w:cs="Arial"/>
          <w:sz w:val="22"/>
          <w:szCs w:val="22"/>
        </w:rPr>
        <w:t>XAdES</w:t>
      </w:r>
      <w:proofErr w:type="spellEnd"/>
      <w:r w:rsidRPr="00BC457F">
        <w:rPr>
          <w:rFonts w:ascii="Arial" w:hAnsi="Arial" w:cs="Arial"/>
          <w:sz w:val="22"/>
          <w:szCs w:val="22"/>
        </w:rPr>
        <w:t xml:space="preserve">,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Oprogramowanie musi umożliwiać dostosowanie dokumentów i szablonów do potrzeb instytucji oraz poprawnie współpracować z dodatkiem </w:t>
      </w:r>
      <w:proofErr w:type="spellStart"/>
      <w:r w:rsidRPr="005505B2">
        <w:rPr>
          <w:rFonts w:ascii="Arial" w:hAnsi="Arial" w:cs="Arial"/>
          <w:sz w:val="22"/>
          <w:szCs w:val="22"/>
        </w:rPr>
        <w:t>AddIn</w:t>
      </w:r>
      <w:proofErr w:type="spellEnd"/>
      <w:r w:rsidRPr="005505B2">
        <w:rPr>
          <w:rFonts w:ascii="Arial" w:hAnsi="Arial" w:cs="Arial"/>
          <w:sz w:val="22"/>
          <w:szCs w:val="22"/>
        </w:rPr>
        <w:t xml:space="preserve"> do Systemu EZD PUW (ezd.gov.pl).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Oprogramowanie musi umożliwiać opatrywanie dokumentów metadanymi.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 skład oprogramowania muszą wchodzić narzędzia programistyczne umożliwiające automatyzację pracy i wymianę danych pomiędzy dokumentami i aplikacjami (język makropoleceń, język skryptowy). </w:t>
      </w:r>
    </w:p>
    <w:p w:rsidR="005505B2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Do aplikacji musi być dostępna pełna dokumentacja w języku polskim.</w:t>
      </w:r>
    </w:p>
    <w:p w:rsidR="00FD6E47" w:rsidRDefault="00FD6E47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Licencje na oprogramowanie muszą umożliwiać przenoszenie oprogramowania między stacjami roboczymi (np. w wypadku wymiany stacji roboczej)</w:t>
      </w:r>
    </w:p>
    <w:p w:rsidR="00FD6E47" w:rsidRDefault="00FD6E47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Oprogramowanie musi być fabrycznie nowe, nigdy nie aktywowane na innym urządzeniu.</w:t>
      </w:r>
    </w:p>
    <w:p w:rsidR="00FD6E47" w:rsidRDefault="00FD6E47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Oprogramowanie winno być dostarczone wraz ze stosownymi </w:t>
      </w:r>
      <w:r w:rsidR="00C52477">
        <w:rPr>
          <w:rFonts w:ascii="Arial" w:hAnsi="Arial" w:cs="Arial"/>
          <w:sz w:val="22"/>
          <w:szCs w:val="22"/>
        </w:rPr>
        <w:t>oryginalnymi atrybutami legalności, np. poprzez rejestrację na stronie zarządzania licencjami producenta oprogramowania.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Pakiet zintegrowanych aplikacji biurowych musi zawierać: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Edytor tekstów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Arkusz kalkulacyjny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przygotowywania i prowadzenia prezentacji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tworzenia drukowanych materiałów informacyjnych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zarządzania informacją prywatą (pocztą elektroniczną, kalendarzem, kontaktami i zadaniami) </w:t>
      </w:r>
    </w:p>
    <w:p w:rsidR="00BC457F" w:rsidRDefault="00BC457F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tworzenia notatek przy pomocy klawiatury lub notatek odręcznych na ekranie urządzenia typu tablet PC z mechanizmem OCR. 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Edytor tekstów musi umożliwiać: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lastRenderedPageBreak/>
        <w:t xml:space="preserve">Edycję i formatowanie tekstu w języku polskim wraz z obsługą języka polskiego w zakresie sprawdzania pisowni i poprawności gramatycznej oraz funkcjonalnością słownika wyrazów bliskoznacznych i autokorekty.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Edycję i formatowanie tekstu w języku angielskim wraz z obsługą języka angielskiego w zakresie sprawdzania pisowni i poprawności gramatycznej oraz funkcjonalnością słownika wyrazów bliskoznacznych i autokorekty.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oraz formatowanie tabel.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oraz formatowanie obiektów graficznych.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wykresów i tabel z arkusza kalkulacyjnego (wliczając tabele przestawne).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Automatyczne numerowanie rozdziałów, punktów, akapitów, tabel i rysunków.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Automatyczne tworzenie spisów treści. </w:t>
      </w:r>
    </w:p>
    <w:p w:rsidR="005505B2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Formatowanie nagłówków i stopek stron.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Śledzenie i porównywanie zmian wprowadzonych przez użytkowników w dokumencie.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Zapamiętywanie i wskazywanie miejsca, w którym zakończona była edycja dokumentu przed jego uprzednim zamknięciem.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Nagrywanie, tworzenie i edycję makr automatyzujących wykonywanie czynności.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Określenie układu strony (pionowa/pozioma).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Wydruk dokumentów.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Wykonywanie korespondencji seryjnej bazując na danych adresowych pochodzących z arkusza kalkulacyjnego i z narzędzia do zarządzania informacją prywatną.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Pracę na dokumentach utworzonych przy pomocy Microsoft Word 2010, 2013 i 2016 z zapewnieniem bezproblemowej konwersji wszystkich elementów i atrybutów dokumentu.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Zapis i edycję plików w formacie PDF.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Zabezpieczenie dokumentów hasłem przed odczytem oraz przed wprowadzaniem modyfikacji.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Możliwość jednoczesnej pracy wielu użytkowników na jednym dokumencie z uwidacznianiem ich uprawnień i wyświetlaniem dokonywanych przez nie zmian na bieżąco,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Możliwość wyboru jednej z zapisanych wersji dokumentu, nad którym pracuje wiele osób. 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Arkusz kalkulacyjny musi umożliwiać: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Tworzenie raportów tabelarycznych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wykresów liniowych (wraz linią trendu), słupkowych, kołowych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raportów z zewnętrznych źródeł danych (inne arkusze kalkulacyjne, bazy danych zgodne z ODBC, pliki tekstowe, pliki XML, </w:t>
      </w:r>
      <w:proofErr w:type="spellStart"/>
      <w:r w:rsidRPr="005505B2">
        <w:rPr>
          <w:rFonts w:ascii="Arial" w:hAnsi="Arial" w:cs="Arial"/>
          <w:sz w:val="22"/>
          <w:szCs w:val="22"/>
        </w:rPr>
        <w:t>webservice</w:t>
      </w:r>
      <w:proofErr w:type="spellEnd"/>
      <w:r w:rsidRPr="005505B2">
        <w:rPr>
          <w:rFonts w:ascii="Arial" w:hAnsi="Arial" w:cs="Arial"/>
          <w:sz w:val="22"/>
          <w:szCs w:val="22"/>
        </w:rPr>
        <w:t xml:space="preserve">)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raportów tabeli przestawnych umożliwiających dynamiczną zmianę wymiarów oraz wykresów bazujących na danych z tabeli przestawnych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Wyszukiwanie i zamianę danych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Wykonywanie analiz danych przy użyciu formatowania warunkowego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Tworzenie wykresów prognoz i trendów na podstawie danych historycznych z użyciem algorytmu ETS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Nazywanie komórek arkusza i odwoływanie się w formułach po takiej nazwie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Nagrywanie, tworzenie i edycję makr automatyzujących wykonywanie czynności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Formatowanie czasu, daty i wartości finansowych z polskim formatem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Zapis wielu arkuszy kalkulacyjnych w jednym pliku.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Inteligentne uzupełnianie komórek w kolumnie według rozpoznanych wzorców, wraz z ich możliwością poprawiania poprzez modyfikację proponowanych formuł.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Możliwość przedstawienia różnych wykresów przed ich finalnym wyborem (tylko po najechaniu znacznikiem myszy na dany rodzaj wykresu).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Zachowanie pełnej zgodności z formatami plików utworzonych za pomocą oprogramowania Microsoft Excel 2010, 2013 i 2016, z uwzględnieniem poprawnej realizacji użytych w nich funkcji specjalnych i makropoleceń.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Zabezpieczenie dokumentów hasłem przed odczytem oraz </w:t>
      </w:r>
      <w:r w:rsidR="005505B2">
        <w:rPr>
          <w:rFonts w:ascii="Arial" w:hAnsi="Arial" w:cs="Arial"/>
          <w:sz w:val="22"/>
          <w:szCs w:val="22"/>
        </w:rPr>
        <w:t>przed wprowadzaniem modyfikacji.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przygotowywania i prowadzenia prezentacji musi umożliwiać: 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Przygotowywanie prezentacji multimedialnych, które będą: </w:t>
      </w:r>
      <w:r w:rsidR="005505B2">
        <w:rPr>
          <w:rFonts w:ascii="Arial" w:hAnsi="Arial" w:cs="Arial"/>
          <w:sz w:val="22"/>
          <w:szCs w:val="22"/>
        </w:rPr>
        <w:t>Prezentowan</w:t>
      </w:r>
      <w:r w:rsidRPr="00BC457F">
        <w:rPr>
          <w:rFonts w:ascii="Arial" w:hAnsi="Arial" w:cs="Arial"/>
          <w:sz w:val="22"/>
          <w:szCs w:val="22"/>
        </w:rPr>
        <w:t>e przy uż</w:t>
      </w:r>
      <w:r w:rsidR="005505B2">
        <w:rPr>
          <w:rFonts w:ascii="Arial" w:hAnsi="Arial" w:cs="Arial"/>
          <w:sz w:val="22"/>
          <w:szCs w:val="22"/>
        </w:rPr>
        <w:t xml:space="preserve">yciu projektora multimedialnego, </w:t>
      </w:r>
      <w:r w:rsidRPr="00BC457F">
        <w:rPr>
          <w:rFonts w:ascii="Arial" w:hAnsi="Arial" w:cs="Arial"/>
          <w:sz w:val="22"/>
          <w:szCs w:val="22"/>
        </w:rPr>
        <w:t xml:space="preserve">Drukowane w formacie umożliwiającym robienie notatek 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Zapisanie, jako prezentacja tylko do odczytu.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Nagrywanie narracji i dołączanie jej do prezentacji 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Opatrywanie slajdów notatkami dla prezentera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Umieszczanie i formatowanie tekstów, obiektów graficznych, tabel, nagrań dźwiękowych i wideo 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Umieszczanie tabel i wykresów pochodzących z arkusza kalkulacyjnego 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>Odświeżenie wykresu znajdującego się w prezentacji po zmianie danych w źródłowym arkuszu kalkulacyjnym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Możliwość tworzenia animacji obiektów i całych slajdów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</w:t>
      </w:r>
      <w:r w:rsidRPr="00BC457F">
        <w:rPr>
          <w:rFonts w:ascii="Arial" w:hAnsi="Arial" w:cs="Arial"/>
          <w:sz w:val="22"/>
          <w:szCs w:val="22"/>
        </w:rPr>
        <w:t xml:space="preserve">Prowadzenie prezentacji w trybie prezentera, gdzie slajdy są widoczne na jednym monitorze lub projektorze, a na drugim widoczne są slajdy i notatki prezentera, z możliwością podglądu następnego slajdu. 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Pełna zgodność z formatami plików utworzonych za pomocą oprogramowania MS PowerPoint 2010, 2013 i 2016. </w:t>
      </w:r>
    </w:p>
    <w:p w:rsidR="00F57CB9" w:rsidRPr="00F57CB9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Narzędzie do tworzenia drukowanych materiałów</w:t>
      </w:r>
      <w:r w:rsidR="00F57CB9">
        <w:rPr>
          <w:rFonts w:ascii="Arial" w:hAnsi="Arial" w:cs="Arial"/>
          <w:sz w:val="22"/>
          <w:szCs w:val="22"/>
        </w:rPr>
        <w:t xml:space="preserve"> informacyjnych musi umożliwia</w:t>
      </w:r>
    </w:p>
    <w:p w:rsidR="00BC457F" w:rsidRPr="00F57CB9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Tworzenie i edycję drukowanych materiałów informacyjnych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materiałów przy użyciu dostępnych z narzędziem szablonów: broszur, biuletynów, katalogów.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Edycję poszczególnych stron materiałów.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Podział treści na kolumny.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Umieszczanie elementów graficznych. </w:t>
      </w:r>
    </w:p>
    <w:p w:rsidR="00F57CB9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>wykorzystanie mechanizmu korespondencji seryjnej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 Płynne przesuwanie elementów po całej stronie publikacji.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Eksport publikacji do formatu PDF oraz TIFF.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Wydruk publikacji.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Możliwość przygotowywania materiałów do wydruku w standardzie CMYK. 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Narzędzie do zarządzania informacją prywatną (pocztą elektroniczną, kalendarzem, kontaktami i zadaniami) musi umożliwiać: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Uwierzytelnianie wieloskładnikowe poprzez wbudowane wsparcie integrujące z usługą Active Directory,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Pobieranie i wysyłanie poczty elektronicznej z serwera pocztowego,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Przechowywanie wiadomości na serwerze lub w lokalnym pliku tworzonym z zastosowaniem efektywnej kompresji danych,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Filtrowanie niechcianej poczty elektronicznej (SPAM) oraz określanie listy zablokowanych i bezpiecznych nadawców,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Tworzenie katalogów, pozwalających katalogować pocztę elektroniczną,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Automatyczne grupowanie poczty o tym samym tytule,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Tworzenie reguł przenoszących automatycznie nową pocztę elektroniczną do określonych katalogów bazując na słowach zawartych w tytule, adresie nadawcy i odbiorcy,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Oflagowanie poczty elektronicznej z określeniem terminu przypomnienia, oddzielnie dla nadawcy i adresatów,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lastRenderedPageBreak/>
        <w:t xml:space="preserve">Mechanizm ustalania liczby wiadomości, które mają być synchronizowane lokalnie,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Zarządzanie kalendarzem, </w:t>
      </w:r>
    </w:p>
    <w:p w:rsidR="00F57CB9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>Udostępnianie kalendarza innym użytkownikom z możliwością określania uprawnień użytkowników,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 </w:t>
      </w:r>
      <w:r w:rsidRPr="00BC457F">
        <w:rPr>
          <w:rFonts w:ascii="Arial" w:hAnsi="Arial" w:cs="Arial"/>
          <w:sz w:val="22"/>
          <w:szCs w:val="22"/>
        </w:rPr>
        <w:t xml:space="preserve">Przeglądanie kalendarza innych użytkowników,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Zapraszanie uczestników na spotkanie, co po ich akceptacji powoduje automatyczne wprowadzenie spotkania w ich kalendarzach,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Zarządzanie listą zadań,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Zlecanie zadań innym użytkownikom,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Zarządzanie listą kontaktów,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Udostępnianie listy kontaktów innym użytkownikom,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Przeglądanie listy kontaktów innych użytkowników,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Możliwość przesyłania kontaktów innym użytkowników, </w:t>
      </w:r>
    </w:p>
    <w:p w:rsidR="00785AEB" w:rsidRPr="004A20BC" w:rsidRDefault="00BC457F" w:rsidP="00785AEB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Możliwość wykorzystania do komunikacji z serwerem pocztowym mechanizmu MAPI poprzez http</w:t>
      </w:r>
      <w:r w:rsidR="00FD26C0">
        <w:rPr>
          <w:rFonts w:ascii="Arial" w:hAnsi="Arial" w:cs="Arial"/>
          <w:sz w:val="22"/>
          <w:szCs w:val="22"/>
        </w:rPr>
        <w:t>.</w:t>
      </w:r>
    </w:p>
    <w:p w:rsidR="00785AEB" w:rsidRPr="008A08E1" w:rsidRDefault="00785AEB" w:rsidP="00785AEB">
      <w:pPr>
        <w:pStyle w:val="Akapitzlist"/>
        <w:numPr>
          <w:ilvl w:val="0"/>
          <w:numId w:val="25"/>
        </w:numPr>
        <w:spacing w:before="600" w:after="24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Dostawa  oprogramowania typu Office 2019 Professional lub równoważnego – 3 sztuki.</w:t>
      </w:r>
    </w:p>
    <w:p w:rsidR="00785AEB" w:rsidRPr="00BC457F" w:rsidRDefault="00785AEB" w:rsidP="00785AEB">
      <w:pPr>
        <w:pStyle w:val="Default"/>
        <w:spacing w:before="100" w:beforeAutospacing="1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BC457F">
        <w:rPr>
          <w:rFonts w:ascii="Arial" w:hAnsi="Arial" w:cs="Arial"/>
          <w:b/>
          <w:bCs/>
          <w:sz w:val="22"/>
          <w:szCs w:val="22"/>
        </w:rPr>
        <w:t>program</w:t>
      </w:r>
      <w:r>
        <w:rPr>
          <w:rFonts w:ascii="Arial" w:hAnsi="Arial" w:cs="Arial"/>
          <w:b/>
          <w:bCs/>
          <w:sz w:val="22"/>
          <w:szCs w:val="22"/>
        </w:rPr>
        <w:t>owanie Microsoft Office</w:t>
      </w:r>
      <w:r w:rsidR="00D559BA">
        <w:rPr>
          <w:rFonts w:ascii="Arial" w:hAnsi="Arial" w:cs="Arial"/>
          <w:b/>
          <w:bCs/>
          <w:sz w:val="22"/>
          <w:szCs w:val="22"/>
        </w:rPr>
        <w:t xml:space="preserve"> Professional</w:t>
      </w:r>
      <w:r w:rsidRPr="00BC457F">
        <w:rPr>
          <w:rFonts w:ascii="Arial" w:hAnsi="Arial" w:cs="Arial"/>
          <w:b/>
          <w:bCs/>
          <w:sz w:val="22"/>
          <w:szCs w:val="22"/>
        </w:rPr>
        <w:t xml:space="preserve"> lub równoważne</w:t>
      </w:r>
      <w:r w:rsidRPr="00BC457F">
        <w:rPr>
          <w:rFonts w:ascii="Arial" w:hAnsi="Arial" w:cs="Arial"/>
          <w:sz w:val="22"/>
          <w:szCs w:val="22"/>
        </w:rPr>
        <w:t>, na nośniku CD lub DVD lub udostępnienie oprogramowania drogą elektroniczną poprzez dostęp do strony internetowej zawierającej dane oprogramowanie oraz dokument potwierdzający prawo do korzystania z programu na wymaganej liczbie stanowisk roboczych wraz z danymi zawierającymi info</w:t>
      </w:r>
      <w:r>
        <w:rPr>
          <w:rFonts w:ascii="Arial" w:hAnsi="Arial" w:cs="Arial"/>
          <w:sz w:val="22"/>
          <w:szCs w:val="22"/>
        </w:rPr>
        <w:t>rmację umożliwiającą instalację.</w:t>
      </w:r>
      <w:r w:rsidR="0053675A">
        <w:rPr>
          <w:rFonts w:ascii="Arial" w:hAnsi="Arial" w:cs="Arial"/>
          <w:sz w:val="22"/>
          <w:szCs w:val="22"/>
        </w:rPr>
        <w:t xml:space="preserve"> Warunki równoważności opisano w pkt 2.1.</w:t>
      </w:r>
    </w:p>
    <w:p w:rsidR="00785AEB" w:rsidRPr="008A08E1" w:rsidRDefault="00785AEB" w:rsidP="00785AEB">
      <w:pPr>
        <w:pStyle w:val="Akapitzlist"/>
        <w:numPr>
          <w:ilvl w:val="1"/>
          <w:numId w:val="25"/>
        </w:numPr>
        <w:spacing w:before="480" w:after="120" w:line="360" w:lineRule="auto"/>
        <w:rPr>
          <w:rFonts w:ascii="Arial" w:hAnsi="Arial" w:cs="Arial"/>
          <w:b/>
          <w:sz w:val="22"/>
          <w:szCs w:val="22"/>
        </w:rPr>
      </w:pPr>
      <w:r w:rsidRPr="008A08E1">
        <w:rPr>
          <w:rFonts w:ascii="Arial" w:hAnsi="Arial" w:cs="Arial"/>
          <w:b/>
          <w:sz w:val="22"/>
          <w:szCs w:val="22"/>
        </w:rPr>
        <w:t>Wymagania dotyczące oprogramowania równoważnego.</w:t>
      </w:r>
    </w:p>
    <w:p w:rsidR="00785AEB" w:rsidRDefault="00785AEB" w:rsidP="00785AEB">
      <w:pPr>
        <w:pStyle w:val="Default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Równoważne oprogramowanie musi spełniać następujące wymagania poprzez wbudowane mechanizmy, bez użycia dodatkowych aplikacji: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Dostępność pakietu w wersjach 32-bit oraz 64-bit umożliwiającej wykorzystanie ponad 2 GB przestrzeni adresowej,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Wymagania o</w:t>
      </w:r>
      <w:r>
        <w:rPr>
          <w:rFonts w:ascii="Arial" w:hAnsi="Arial" w:cs="Arial"/>
          <w:sz w:val="22"/>
          <w:szCs w:val="22"/>
        </w:rPr>
        <w:t>dnośnie interfejsu użytkownika:</w:t>
      </w:r>
    </w:p>
    <w:p w:rsidR="00785AEB" w:rsidRDefault="00785AEB" w:rsidP="00785AEB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Pełna polska wersja językowa interfejsu użytkownika z możliwością przełączania wersji językowej interfejsu na inne języki, w tym język angielski. </w:t>
      </w:r>
    </w:p>
    <w:p w:rsidR="00785AEB" w:rsidRDefault="00785AEB" w:rsidP="00785AEB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lastRenderedPageBreak/>
        <w:t xml:space="preserve">Prostota i intuicyjność obsługi, pozwalająca na pracę osobom nieposiadającym umiejętności technicznych. </w:t>
      </w:r>
    </w:p>
    <w:p w:rsidR="00785AEB" w:rsidRDefault="00785AEB" w:rsidP="00785AEB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Możliwość aktywacji zainstalowanego pakietu poprzez mechanizmy wdrożonej usługi katalogowej Active Directory.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Narzędzie wspomagające procesy migracji z poprzednich wersji pakietu Microsoft Office i badania zgodności z dokumentami wytworzonymi w tym pakiecie.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Oprogramowanie musi umożliwiać tworzenie i edycję dokumentów elektronicznych w ustalonym standardzie, który spełnia następujące warunki:</w:t>
      </w:r>
    </w:p>
    <w:p w:rsidR="00785AEB" w:rsidRDefault="00785AEB" w:rsidP="00785AEB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posiada kompletny i publicznie dostępny opis formatu, </w:t>
      </w:r>
    </w:p>
    <w:p w:rsidR="00785AEB" w:rsidRDefault="00785AEB" w:rsidP="00785AEB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 </w:t>
      </w:r>
    </w:p>
    <w:p w:rsidR="00785AEB" w:rsidRDefault="00785AEB" w:rsidP="00785AEB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umożliwia kreowanie plików w formacie XML, </w:t>
      </w:r>
    </w:p>
    <w:p w:rsidR="00785AEB" w:rsidRDefault="00785AEB" w:rsidP="00785AEB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wspiera w swojej specyfikacji podpis elektroniczny w formacie </w:t>
      </w:r>
      <w:proofErr w:type="spellStart"/>
      <w:r w:rsidRPr="00BC457F">
        <w:rPr>
          <w:rFonts w:ascii="Arial" w:hAnsi="Arial" w:cs="Arial"/>
          <w:sz w:val="22"/>
          <w:szCs w:val="22"/>
        </w:rPr>
        <w:t>XAdES</w:t>
      </w:r>
      <w:proofErr w:type="spellEnd"/>
      <w:r w:rsidRPr="00BC457F">
        <w:rPr>
          <w:rFonts w:ascii="Arial" w:hAnsi="Arial" w:cs="Arial"/>
          <w:sz w:val="22"/>
          <w:szCs w:val="22"/>
        </w:rPr>
        <w:t xml:space="preserve">,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Oprogramowanie musi umożliwiać dostosowanie dokumentów i szablonów do potrzeb instytucji oraz poprawnie współpracować z dodatkiem </w:t>
      </w:r>
      <w:proofErr w:type="spellStart"/>
      <w:r w:rsidRPr="005505B2">
        <w:rPr>
          <w:rFonts w:ascii="Arial" w:hAnsi="Arial" w:cs="Arial"/>
          <w:sz w:val="22"/>
          <w:szCs w:val="22"/>
        </w:rPr>
        <w:t>AddIn</w:t>
      </w:r>
      <w:proofErr w:type="spellEnd"/>
      <w:r w:rsidRPr="005505B2">
        <w:rPr>
          <w:rFonts w:ascii="Arial" w:hAnsi="Arial" w:cs="Arial"/>
          <w:sz w:val="22"/>
          <w:szCs w:val="22"/>
        </w:rPr>
        <w:t xml:space="preserve"> do Systemu EZD PUW (ezd.gov.pl).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Oprogramowanie musi umożliwiać opatrywanie dokumentów metadanymi.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 skład oprogramowania muszą wchodzić narzędzia programistyczne umożliwiające automatyzację pracy i wymianę danych pomiędzy dokumentami i aplikacjami (język makropoleceń, język skryptowy). 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Do aplikacji musi być dostępna pełna dokumentacja w języku polskim.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Licencje na oprogramowanie muszą umożliwiać przenoszenie oprogramowania między stacjami roboczymi (np. w wypadku wymiany stacji roboczej)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Oprogramowanie musi być fabrycznie nowe, nigdy nie aktywowane na innym urządzeniu.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Oprogramowanie winno być dostarczone wraz ze stosownymi oryginalnymi atrybutami legalności, np. poprzez rejestrację na stronie zarządzania licencjami producenta oprogramowania.</w:t>
      </w:r>
    </w:p>
    <w:p w:rsidR="00785AEB" w:rsidRDefault="00785AEB" w:rsidP="00785AE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Pakiet zintegrowanych aplikacji biurowych musi zawierać: </w:t>
      </w:r>
    </w:p>
    <w:p w:rsidR="00785AE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 xml:space="preserve">Edytor tekstów </w:t>
      </w:r>
    </w:p>
    <w:p w:rsidR="0078093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Arkusz kalkulacyjny</w:t>
      </w:r>
    </w:p>
    <w:p w:rsidR="00785AEB" w:rsidRDefault="0078093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78093B">
        <w:rPr>
          <w:rFonts w:ascii="Arial" w:hAnsi="Arial" w:cs="Arial"/>
          <w:sz w:val="22"/>
          <w:szCs w:val="22"/>
        </w:rPr>
        <w:t>Narzędzie do tworzenia i pracy z lokalną bazą danych</w:t>
      </w:r>
    </w:p>
    <w:p w:rsidR="00785AE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przygotowywania i prowadzenia prezentacji </w:t>
      </w:r>
    </w:p>
    <w:p w:rsidR="00785AE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tworzenia drukowanych materiałów informacyjnych </w:t>
      </w:r>
    </w:p>
    <w:p w:rsidR="00785AE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zarządzania informacją prywatą (pocztą elektroniczną, kalendarzem, kontaktami i zadaniami) </w:t>
      </w:r>
    </w:p>
    <w:p w:rsidR="00785AEB" w:rsidRDefault="00785AEB" w:rsidP="0078093B">
      <w:pPr>
        <w:pStyle w:val="Defaul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tworzenia notatek przy pomocy klawiatury lub notatek odręcznych na ekranie urządzenia typu tablet PC z mechanizmem OCR. </w:t>
      </w:r>
    </w:p>
    <w:p w:rsidR="00785AEB" w:rsidRDefault="00785AEB" w:rsidP="0078093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Edytor tekstów musi umożliwiać: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Edycję i formatowanie tekstu w języku polskim wraz z obsługą języka polskiego w zakresie sprawdzania pisowni i poprawności gramatycznej oraz funkcjonalnością słownika wyrazów bliskoznacznych i autokorekty.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Edycję i formatowanie tekstu w języku angielskim wraz z obsługą języka angielskiego w zakresie sprawdzania pisowni i poprawności gramatycznej oraz funkcjonalnością słownika wyrazów bliskoznacznych i autokorekty.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oraz formatowanie tabel.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oraz formatowanie obiektów graficznych.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wykresów i tabel z arkusza kalkulacyjnego (wliczając tabele przestawne).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Automatyczne numerowanie rozdziałów, punktów, akapitów, tabel i rysunków.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Automatyczne tworzenie spisów treści.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Formatowanie nagłówków i stopek stron.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Śledzenie i porównywanie zmian wprowadzonych przez użytkowników w dokumencie.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Zapamiętywanie i wskazywanie miejsca, w którym zakończona była edycja dokumentu przed jego uprzednim zamknięciem.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Nagrywanie, tworzenie i edycję makr automatyzujących wykonywanie czynności.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Określenie układu strony (pionowa/pozioma).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Wydruk dokumentów.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Wykonywanie korespondencji seryjnej bazując na danych adresowych pochodzących z arkusza kalkulacyjnego i z narzędzia do zarządzania informacją prywatną.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Pracę na dokumentach utworzonych przy pomocy Microsoft Word 2010, 2013 i 2016 z zapewnieniem bezproblemowej konwersji wszystkich elementów i atrybutów dokumentu.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Zapis i edycję plików w formacie PDF.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 xml:space="preserve">Zabezpieczenie dokumentów hasłem przed odczytem oraz przed wprowadzaniem modyfikacji.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Możliwość jednoczesnej pracy wielu użytkowników na jednym dokumencie z uwidacznianiem ich uprawnień i wyświetlaniem dokonywanych przez nie zmian na bieżąco, </w:t>
      </w:r>
    </w:p>
    <w:p w:rsidR="00785AEB" w:rsidRDefault="00785AEB" w:rsidP="0078093B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Możliwość wyboru jednej z zapisanych wersji dokumentu, nad którym pracuje wiele osób. </w:t>
      </w:r>
    </w:p>
    <w:p w:rsidR="00785AEB" w:rsidRDefault="00785AEB" w:rsidP="0078093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Arkusz kalkulacyjny musi umożliwiać: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Tworzenie raportów tabelarycznych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wykresów liniowych (wraz linią trendu), słupkowych, kołowych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raportów z zewnętrznych źródeł danych (inne arkusze kalkulacyjne, bazy danych zgodne z ODBC, pliki tekstowe, pliki XML, </w:t>
      </w:r>
      <w:proofErr w:type="spellStart"/>
      <w:r w:rsidRPr="005505B2">
        <w:rPr>
          <w:rFonts w:ascii="Arial" w:hAnsi="Arial" w:cs="Arial"/>
          <w:sz w:val="22"/>
          <w:szCs w:val="22"/>
        </w:rPr>
        <w:t>webservice</w:t>
      </w:r>
      <w:proofErr w:type="spellEnd"/>
      <w:r w:rsidRPr="005505B2">
        <w:rPr>
          <w:rFonts w:ascii="Arial" w:hAnsi="Arial" w:cs="Arial"/>
          <w:sz w:val="22"/>
          <w:szCs w:val="22"/>
        </w:rPr>
        <w:t xml:space="preserve">)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raportów tabeli przestawnych umożliwiających dynamiczną zmianę wymiarów oraz wykresów bazujących na danych z tabeli przestawnych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Wyszukiwanie i zamianę danych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Wykonywanie analiz danych przy użyciu formatowania warunkowego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Tworzenie wykresów prognoz i trendów na podstawie danych historycznych z użyciem algorytmu ETS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Nazywanie komórek arkusza i odwoływanie się w formułach po takiej nazwie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Nagrywanie, tworzenie i edycję makr automatyzujących wykonywanie czynności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Formatowanie czasu, daty i wartości finansowych z polskim formatem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Zapis wielu arkuszy kalkulacyjnych w jednym pliku.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Inteligentne uzupełnianie komórek w kolumnie według rozpoznanych wzorców, wraz z ich możliwością poprawiania poprzez modyfikację proponowanych formuł.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Możliwość przedstawienia różnych wykresów przed ich finalnym wyborem (tylko po najechaniu znacznikiem myszy na dany rodzaj wykresu).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Zachowanie pełnej zgodności z formatami plików utworzonych za pomocą oprogramowania Microsoft Excel 2010, 2013 i 2016, z uwzględnieniem poprawnej realizacji użytych w nich funkcji specjalnych i makropoleceń. </w:t>
      </w:r>
    </w:p>
    <w:p w:rsidR="00785AEB" w:rsidRDefault="00785AEB" w:rsidP="0078093B">
      <w:pPr>
        <w:pStyle w:val="Default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Zabezpieczenie dokumentów hasłem przed odczytem oraz </w:t>
      </w:r>
      <w:r>
        <w:rPr>
          <w:rFonts w:ascii="Arial" w:hAnsi="Arial" w:cs="Arial"/>
          <w:sz w:val="22"/>
          <w:szCs w:val="22"/>
        </w:rPr>
        <w:t>przed wprowadzaniem modyfikacji.</w:t>
      </w:r>
    </w:p>
    <w:p w:rsidR="00785AEB" w:rsidRDefault="00785AEB" w:rsidP="0078093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 xml:space="preserve">Narzędzie do przygotowywania i prowadzenia prezentacji musi umożliwiać: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Przygotowywanie prezentacji multimedialnych, które będą: </w:t>
      </w:r>
      <w:r>
        <w:rPr>
          <w:rFonts w:ascii="Arial" w:hAnsi="Arial" w:cs="Arial"/>
          <w:sz w:val="22"/>
          <w:szCs w:val="22"/>
        </w:rPr>
        <w:t>Prezentowan</w:t>
      </w:r>
      <w:r w:rsidRPr="00BC457F">
        <w:rPr>
          <w:rFonts w:ascii="Arial" w:hAnsi="Arial" w:cs="Arial"/>
          <w:sz w:val="22"/>
          <w:szCs w:val="22"/>
        </w:rPr>
        <w:t>e przy uż</w:t>
      </w:r>
      <w:r>
        <w:rPr>
          <w:rFonts w:ascii="Arial" w:hAnsi="Arial" w:cs="Arial"/>
          <w:sz w:val="22"/>
          <w:szCs w:val="22"/>
        </w:rPr>
        <w:t xml:space="preserve">yciu projektora multimedialnego, </w:t>
      </w:r>
      <w:r w:rsidRPr="00BC457F">
        <w:rPr>
          <w:rFonts w:ascii="Arial" w:hAnsi="Arial" w:cs="Arial"/>
          <w:sz w:val="22"/>
          <w:szCs w:val="22"/>
        </w:rPr>
        <w:t xml:space="preserve">Drukowane w formacie umożliwiającym robienie notatek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Zapisanie, jako prezentacja tylko do odczytu.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Nagrywanie narracji i dołączanie jej do prezentacji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Opatrywanie slajdów notatkami dla prezentera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Umieszczanie i formatowanie tekstów, obiektów graficznych, tabel, nagrań dźwiękowych i wideo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Umieszczanie tabel i wykresów pochodzących z arkusza kalkulacyjnego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Odświeżenie wykresu znajdującego się w prezentacji po zmianie danych w źródłowym arkuszu kalkulacyjnym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Możliwość tworzenia animacji obiektów i całych slajdów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</w:t>
      </w:r>
      <w:r w:rsidRPr="00BC457F">
        <w:rPr>
          <w:rFonts w:ascii="Arial" w:hAnsi="Arial" w:cs="Arial"/>
          <w:sz w:val="22"/>
          <w:szCs w:val="22"/>
        </w:rPr>
        <w:t xml:space="preserve">Prowadzenie prezentacji w trybie prezentera, gdzie slajdy są widoczne na jednym monitorze lub projektorze, a na drugim widoczne są slajdy i notatki prezentera, z możliwością podglądu następnego slajdu. </w:t>
      </w:r>
    </w:p>
    <w:p w:rsidR="00785AEB" w:rsidRDefault="00785AEB" w:rsidP="0078093B">
      <w:pPr>
        <w:pStyle w:val="Defaul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Pełna zgodność z formatami plików utworzonych za pomocą oprogramowania MS PowerPoint 2010, 2013 i 2016. </w:t>
      </w:r>
    </w:p>
    <w:p w:rsidR="00785AEB" w:rsidRPr="00F57CB9" w:rsidRDefault="00785AEB" w:rsidP="0078093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Narzędzie do tworzenia drukowanych materiałów</w:t>
      </w:r>
      <w:r>
        <w:rPr>
          <w:rFonts w:ascii="Arial" w:hAnsi="Arial" w:cs="Arial"/>
          <w:sz w:val="22"/>
          <w:szCs w:val="22"/>
        </w:rPr>
        <w:t xml:space="preserve"> informacyjnych musi umożliwia</w:t>
      </w:r>
    </w:p>
    <w:p w:rsidR="00785AEB" w:rsidRPr="00F57CB9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Tworzenie i edycję drukowanych materiałów informacyjnych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materiałów przy użyciu dostępnych z narzędziem szablonów: broszur, biuletynów, katalogów.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Edycję poszczególnych stron materiałów.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Podział treści na kolumny.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Umieszczanie elementów graficznych.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>wykorzystanie mechanizmu korespondencji seryjnej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 Płynne przesuwanie elementów po całej stronie publikacji.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Eksport publikacji do formatu PDF oraz TIFF. </w:t>
      </w:r>
    </w:p>
    <w:p w:rsidR="00785AEB" w:rsidRDefault="00785AEB" w:rsidP="0078093B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Wydruk publikacji. </w:t>
      </w:r>
    </w:p>
    <w:p w:rsidR="00D559BA" w:rsidRDefault="00785AEB" w:rsidP="00D559BA">
      <w:pPr>
        <w:pStyle w:val="Defaul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>Możliwość przygotowywania materiałów do wydruku w standardzie CMYK.</w:t>
      </w:r>
    </w:p>
    <w:p w:rsidR="00785AEB" w:rsidRDefault="00785AEB" w:rsidP="00D559BA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 </w:t>
      </w:r>
      <w:r w:rsidR="00D559BA" w:rsidRPr="00D559BA">
        <w:rPr>
          <w:rFonts w:ascii="Arial" w:hAnsi="Arial" w:cs="Arial"/>
          <w:sz w:val="22"/>
          <w:szCs w:val="22"/>
        </w:rPr>
        <w:t>Narzędzie do tworzenia i pracy z lokalną bazą danych musi umożliwiać:</w:t>
      </w:r>
    </w:p>
    <w:p w:rsidR="00D559BA" w:rsidRDefault="00D559BA" w:rsidP="00D559BA">
      <w:pPr>
        <w:pStyle w:val="Default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Tworzenie bazy danych przez zdefiniowanie:</w:t>
      </w:r>
    </w:p>
    <w:p w:rsidR="00D559BA" w:rsidRDefault="00D559BA" w:rsidP="00D559BA">
      <w:pPr>
        <w:pStyle w:val="Default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Tabel składających się z unikatowego klucza i pól różnych typów, w tym tekstowych i liczbowych.</w:t>
      </w:r>
    </w:p>
    <w:p w:rsidR="00D559BA" w:rsidRDefault="00D559BA" w:rsidP="00D559BA">
      <w:pPr>
        <w:pStyle w:val="Default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Relacji pomiędzy tabelami</w:t>
      </w:r>
    </w:p>
    <w:p w:rsidR="00D559BA" w:rsidRDefault="00D559BA" w:rsidP="00D559BA">
      <w:pPr>
        <w:pStyle w:val="Default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Formularzy do wprowadzania i edycji danych</w:t>
      </w:r>
    </w:p>
    <w:p w:rsidR="00D559BA" w:rsidRDefault="00D559BA" w:rsidP="00D559BA">
      <w:pPr>
        <w:pStyle w:val="Default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Raportów</w:t>
      </w:r>
    </w:p>
    <w:p w:rsidR="00D559BA" w:rsidRDefault="00D559BA" w:rsidP="00D559BA">
      <w:pPr>
        <w:pStyle w:val="Default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lastRenderedPageBreak/>
        <w:t>Edycję danych i zapisywanie ich w lokalnie przechowywanej bazie danych</w:t>
      </w:r>
    </w:p>
    <w:p w:rsidR="00D559BA" w:rsidRDefault="00D559BA" w:rsidP="00D559BA">
      <w:pPr>
        <w:pStyle w:val="Default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Tworzenie bazy danych przy użyciu zdefiniowanych szablonów</w:t>
      </w:r>
    </w:p>
    <w:p w:rsidR="00D559BA" w:rsidRPr="00D559BA" w:rsidRDefault="00D559BA" w:rsidP="00D559BA">
      <w:pPr>
        <w:pStyle w:val="Default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Połączenie z danymi zewnętrznymi, a w szczególności z innymi bazami danych zgodnymi z ODBC, plikami XML, arkuszem kalkulacyjnym.</w:t>
      </w:r>
    </w:p>
    <w:p w:rsidR="00785AEB" w:rsidRDefault="00785AEB" w:rsidP="0078093B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Narzędzie do zarządzania informacją prywatną (pocztą elektroniczną, kalendarzem, kontaktami i zadaniami) musi umożliwiać: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Uwierzytelnianie wieloskładnikowe poprzez wbudowane wsparcie integrujące z usługą Active Directory,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Pobieranie i wysyłanie poczty elektronicznej z serwera pocztowego,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Przechowywanie wiadomości na serwerze lub w lokalnym pliku tworzonym z zastosowaniem efektywnej kompresji danych,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Filtrowanie niechcianej poczty elektronicznej (SPAM) oraz określanie listy zablokowanych i bezpiecznych nadawców,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Tworzenie katalogów, pozwalających katalogować pocztę elektroniczną,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Automatyczne grupowanie poczty o tym samym tytule,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Tworzenie reguł przenoszących automatycznie nową pocztę elektroniczną do określonych katalogów bazując na słowach zawartych w tytule, adresie nadawcy i odbiorcy,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Oflagowanie poczty elektronicznej z określeniem terminu przypomnienia, oddzielnie dla nadawcy i adresatów,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Mechanizm ustalania liczby wiadomości, które mają być synchronizowane lokalnie,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Zarządzanie kalendarzem,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Udostępnianie kalendarza innym użytkownikom z możliwością określania uprawnień użytkowników,</w:t>
      </w:r>
    </w:p>
    <w:p w:rsidR="00D559BA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Przeglądanie kalendarza innych użytkowników,</w:t>
      </w:r>
    </w:p>
    <w:p w:rsidR="00D559BA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 Zapraszanie uczestników na spotkanie, co po ich akceptacji powoduje automatyczne wprowadzenie spotkania w ich kalendarzach,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 Zarządzanie listą zadań, </w:t>
      </w:r>
    </w:p>
    <w:p w:rsidR="00D559BA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Zlecanie zadań innym użytkownikom,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 Zarządzanie listą kontaktów,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Udostępnianie listy kontaktów innym użytkownikom,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Przeglądanie listy kontaktów innych użytkowników,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 xml:space="preserve">Możliwość przesyłania kontaktów innym użytkowników, </w:t>
      </w:r>
    </w:p>
    <w:p w:rsidR="00785AEB" w:rsidRDefault="00785AEB" w:rsidP="00D559BA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559BA">
        <w:rPr>
          <w:rFonts w:ascii="Arial" w:hAnsi="Arial" w:cs="Arial"/>
          <w:sz w:val="22"/>
          <w:szCs w:val="22"/>
        </w:rPr>
        <w:t>Możliwość wykorzystania do komunikacji z serwerem pocztowym mechanizmu MAPI poprzez http.</w:t>
      </w:r>
    </w:p>
    <w:p w:rsidR="00DB2908" w:rsidRDefault="00DB2908" w:rsidP="00DB290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7D0DAA" w:rsidRDefault="007D0DAA" w:rsidP="009B4049">
      <w:pPr>
        <w:spacing w:after="120" w:line="360" w:lineRule="auto"/>
        <w:jc w:val="right"/>
        <w:rPr>
          <w:rFonts w:ascii="Arial" w:hAnsi="Arial" w:cs="Arial"/>
          <w:i/>
        </w:rPr>
      </w:pPr>
    </w:p>
    <w:p w:rsidR="007D0DAA" w:rsidRDefault="007D0DAA" w:rsidP="009B4049">
      <w:pPr>
        <w:spacing w:after="120" w:line="360" w:lineRule="auto"/>
        <w:jc w:val="right"/>
        <w:rPr>
          <w:rFonts w:ascii="Arial" w:hAnsi="Arial" w:cs="Arial"/>
          <w:i/>
        </w:rPr>
      </w:pPr>
    </w:p>
    <w:p w:rsidR="0059279F" w:rsidRPr="00BC457F" w:rsidRDefault="0059279F" w:rsidP="00A501C9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9279F" w:rsidRPr="00BC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74F"/>
    <w:multiLevelType w:val="hybridMultilevel"/>
    <w:tmpl w:val="3E6640E8"/>
    <w:lvl w:ilvl="0" w:tplc="59186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0609F"/>
    <w:multiLevelType w:val="hybridMultilevel"/>
    <w:tmpl w:val="7166CA38"/>
    <w:lvl w:ilvl="0" w:tplc="6AD4A91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7214D"/>
    <w:multiLevelType w:val="hybridMultilevel"/>
    <w:tmpl w:val="96BE7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90D82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E5B644F"/>
    <w:multiLevelType w:val="hybridMultilevel"/>
    <w:tmpl w:val="5C98CA7E"/>
    <w:lvl w:ilvl="0" w:tplc="DA3E008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D41B6"/>
    <w:multiLevelType w:val="hybridMultilevel"/>
    <w:tmpl w:val="6DB4059E"/>
    <w:lvl w:ilvl="0" w:tplc="FF9E0BA6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6715DF"/>
    <w:multiLevelType w:val="multilevel"/>
    <w:tmpl w:val="ECCAB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715457B"/>
    <w:multiLevelType w:val="hybridMultilevel"/>
    <w:tmpl w:val="B72214C0"/>
    <w:lvl w:ilvl="0" w:tplc="7EA6072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617F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B682C89"/>
    <w:multiLevelType w:val="hybridMultilevel"/>
    <w:tmpl w:val="766219BE"/>
    <w:lvl w:ilvl="0" w:tplc="184A4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7E2B01"/>
    <w:multiLevelType w:val="hybridMultilevel"/>
    <w:tmpl w:val="E964568A"/>
    <w:lvl w:ilvl="0" w:tplc="6E24C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C00F5E"/>
    <w:multiLevelType w:val="hybridMultilevel"/>
    <w:tmpl w:val="55AC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90E8C"/>
    <w:multiLevelType w:val="hybridMultilevel"/>
    <w:tmpl w:val="F894039E"/>
    <w:lvl w:ilvl="0" w:tplc="AF026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531A57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1D6414F"/>
    <w:multiLevelType w:val="hybridMultilevel"/>
    <w:tmpl w:val="32149BC4"/>
    <w:lvl w:ilvl="0" w:tplc="052E2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89078C"/>
    <w:multiLevelType w:val="hybridMultilevel"/>
    <w:tmpl w:val="43709866"/>
    <w:lvl w:ilvl="0" w:tplc="89D2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8A28EC"/>
    <w:multiLevelType w:val="hybridMultilevel"/>
    <w:tmpl w:val="604CC5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74402BC"/>
    <w:multiLevelType w:val="hybridMultilevel"/>
    <w:tmpl w:val="B1129854"/>
    <w:lvl w:ilvl="0" w:tplc="432202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0065C6"/>
    <w:multiLevelType w:val="hybridMultilevel"/>
    <w:tmpl w:val="3670BCDE"/>
    <w:lvl w:ilvl="0" w:tplc="3A346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506CF"/>
    <w:multiLevelType w:val="multilevel"/>
    <w:tmpl w:val="4A782C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E8E2FF0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6686DEE"/>
    <w:multiLevelType w:val="multilevel"/>
    <w:tmpl w:val="8DEC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>
    <w:nsid w:val="43AE3433"/>
    <w:multiLevelType w:val="hybridMultilevel"/>
    <w:tmpl w:val="C49635C4"/>
    <w:lvl w:ilvl="0" w:tplc="058AC0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2E574D"/>
    <w:multiLevelType w:val="hybridMultilevel"/>
    <w:tmpl w:val="5FE8C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849B2"/>
    <w:multiLevelType w:val="hybridMultilevel"/>
    <w:tmpl w:val="3DC639BC"/>
    <w:lvl w:ilvl="0" w:tplc="F36E70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F20E3"/>
    <w:multiLevelType w:val="hybridMultilevel"/>
    <w:tmpl w:val="CDBE9892"/>
    <w:lvl w:ilvl="0" w:tplc="1EE80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CD470E"/>
    <w:multiLevelType w:val="hybridMultilevel"/>
    <w:tmpl w:val="5E1EFC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61767"/>
    <w:multiLevelType w:val="hybridMultilevel"/>
    <w:tmpl w:val="27BA6D58"/>
    <w:lvl w:ilvl="0" w:tplc="D0C0E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166D79"/>
    <w:multiLevelType w:val="hybridMultilevel"/>
    <w:tmpl w:val="FA34658E"/>
    <w:lvl w:ilvl="0" w:tplc="9A7E3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BB1B88"/>
    <w:multiLevelType w:val="hybridMultilevel"/>
    <w:tmpl w:val="3E6640E8"/>
    <w:lvl w:ilvl="0" w:tplc="59186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6D4308"/>
    <w:multiLevelType w:val="hybridMultilevel"/>
    <w:tmpl w:val="FB9C2A00"/>
    <w:lvl w:ilvl="0" w:tplc="98E4C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813F8B"/>
    <w:multiLevelType w:val="hybridMultilevel"/>
    <w:tmpl w:val="9122362A"/>
    <w:lvl w:ilvl="0" w:tplc="982E8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A37282"/>
    <w:multiLevelType w:val="hybridMultilevel"/>
    <w:tmpl w:val="792AB722"/>
    <w:lvl w:ilvl="0" w:tplc="A2B80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2A2637"/>
    <w:multiLevelType w:val="hybridMultilevel"/>
    <w:tmpl w:val="0C6A91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34E6D"/>
    <w:multiLevelType w:val="hybridMultilevel"/>
    <w:tmpl w:val="8D28B2C2"/>
    <w:lvl w:ilvl="0" w:tplc="F09C1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486429"/>
    <w:multiLevelType w:val="hybridMultilevel"/>
    <w:tmpl w:val="7B4C7508"/>
    <w:lvl w:ilvl="0" w:tplc="73282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D73EE8"/>
    <w:multiLevelType w:val="hybridMultilevel"/>
    <w:tmpl w:val="FD6EF6D4"/>
    <w:lvl w:ilvl="0" w:tplc="3FC6EAF2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1"/>
  </w:num>
  <w:num w:numId="2">
    <w:abstractNumId w:val="26"/>
  </w:num>
  <w:num w:numId="3">
    <w:abstractNumId w:val="7"/>
  </w:num>
  <w:num w:numId="4">
    <w:abstractNumId w:val="34"/>
  </w:num>
  <w:num w:numId="5">
    <w:abstractNumId w:val="1"/>
  </w:num>
  <w:num w:numId="6">
    <w:abstractNumId w:val="4"/>
  </w:num>
  <w:num w:numId="7">
    <w:abstractNumId w:val="20"/>
  </w:num>
  <w:num w:numId="8">
    <w:abstractNumId w:val="8"/>
  </w:num>
  <w:num w:numId="9">
    <w:abstractNumId w:val="3"/>
  </w:num>
  <w:num w:numId="10">
    <w:abstractNumId w:val="13"/>
  </w:num>
  <w:num w:numId="11">
    <w:abstractNumId w:val="19"/>
  </w:num>
  <w:num w:numId="12">
    <w:abstractNumId w:val="5"/>
  </w:num>
  <w:num w:numId="13">
    <w:abstractNumId w:val="23"/>
  </w:num>
  <w:num w:numId="14">
    <w:abstractNumId w:val="36"/>
  </w:num>
  <w:num w:numId="15">
    <w:abstractNumId w:val="35"/>
  </w:num>
  <w:num w:numId="16">
    <w:abstractNumId w:val="25"/>
  </w:num>
  <w:num w:numId="17">
    <w:abstractNumId w:val="14"/>
  </w:num>
  <w:num w:numId="18">
    <w:abstractNumId w:val="22"/>
  </w:num>
  <w:num w:numId="19">
    <w:abstractNumId w:val="29"/>
  </w:num>
  <w:num w:numId="20">
    <w:abstractNumId w:val="2"/>
  </w:num>
  <w:num w:numId="21">
    <w:abstractNumId w:val="37"/>
  </w:num>
  <w:num w:numId="22">
    <w:abstractNumId w:val="0"/>
  </w:num>
  <w:num w:numId="23">
    <w:abstractNumId w:val="31"/>
  </w:num>
  <w:num w:numId="24">
    <w:abstractNumId w:val="30"/>
  </w:num>
  <w:num w:numId="25">
    <w:abstractNumId w:val="6"/>
  </w:num>
  <w:num w:numId="26">
    <w:abstractNumId w:val="11"/>
  </w:num>
  <w:num w:numId="27">
    <w:abstractNumId w:val="28"/>
  </w:num>
  <w:num w:numId="28">
    <w:abstractNumId w:val="12"/>
  </w:num>
  <w:num w:numId="29">
    <w:abstractNumId w:val="18"/>
  </w:num>
  <w:num w:numId="30">
    <w:abstractNumId w:val="9"/>
  </w:num>
  <w:num w:numId="31">
    <w:abstractNumId w:val="15"/>
  </w:num>
  <w:num w:numId="32">
    <w:abstractNumId w:val="24"/>
  </w:num>
  <w:num w:numId="33">
    <w:abstractNumId w:val="27"/>
  </w:num>
  <w:num w:numId="34">
    <w:abstractNumId w:val="32"/>
  </w:num>
  <w:num w:numId="35">
    <w:abstractNumId w:val="16"/>
  </w:num>
  <w:num w:numId="36">
    <w:abstractNumId w:val="10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9F"/>
    <w:rsid w:val="0001627C"/>
    <w:rsid w:val="00167224"/>
    <w:rsid w:val="001A3B99"/>
    <w:rsid w:val="001A54B7"/>
    <w:rsid w:val="0035124C"/>
    <w:rsid w:val="003D5B6A"/>
    <w:rsid w:val="004A20BC"/>
    <w:rsid w:val="004A48D4"/>
    <w:rsid w:val="0053675A"/>
    <w:rsid w:val="005505B2"/>
    <w:rsid w:val="0059279F"/>
    <w:rsid w:val="005D4E37"/>
    <w:rsid w:val="0069764C"/>
    <w:rsid w:val="0078093B"/>
    <w:rsid w:val="00785AEB"/>
    <w:rsid w:val="007D0DAA"/>
    <w:rsid w:val="0087685D"/>
    <w:rsid w:val="008A08E1"/>
    <w:rsid w:val="008D19FA"/>
    <w:rsid w:val="008F3019"/>
    <w:rsid w:val="009B4049"/>
    <w:rsid w:val="00A01244"/>
    <w:rsid w:val="00A501C9"/>
    <w:rsid w:val="00AC47EC"/>
    <w:rsid w:val="00B74C41"/>
    <w:rsid w:val="00BB35E5"/>
    <w:rsid w:val="00BC457F"/>
    <w:rsid w:val="00C15C7F"/>
    <w:rsid w:val="00C52477"/>
    <w:rsid w:val="00C57BFE"/>
    <w:rsid w:val="00D559BA"/>
    <w:rsid w:val="00D80474"/>
    <w:rsid w:val="00DB2908"/>
    <w:rsid w:val="00EB5561"/>
    <w:rsid w:val="00F51124"/>
    <w:rsid w:val="00F57CB9"/>
    <w:rsid w:val="00FB3AE7"/>
    <w:rsid w:val="00FD26C0"/>
    <w:rsid w:val="00FD6E47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79F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59279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1627C"/>
    <w:pPr>
      <w:numPr>
        <w:ilvl w:val="1"/>
      </w:numPr>
      <w:suppressAutoHyphens w:val="0"/>
      <w:spacing w:before="1440" w:after="200" w:line="276" w:lineRule="auto"/>
      <w:jc w:val="center"/>
    </w:pPr>
    <w:rPr>
      <w:rFonts w:ascii="Calibri" w:hAnsi="Calibri"/>
      <w:b/>
      <w:iCs/>
      <w:smallCaps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01627C"/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79F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59279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1627C"/>
    <w:pPr>
      <w:numPr>
        <w:ilvl w:val="1"/>
      </w:numPr>
      <w:suppressAutoHyphens w:val="0"/>
      <w:spacing w:before="1440" w:after="200" w:line="276" w:lineRule="auto"/>
      <w:jc w:val="center"/>
    </w:pPr>
    <w:rPr>
      <w:rFonts w:ascii="Calibri" w:hAnsi="Calibri"/>
      <w:b/>
      <w:iCs/>
      <w:smallCaps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01627C"/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3132</Words>
  <Characters>18792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Pluta</dc:creator>
  <cp:lastModifiedBy>Alicja Onik</cp:lastModifiedBy>
  <cp:revision>24</cp:revision>
  <dcterms:created xsi:type="dcterms:W3CDTF">2020-11-07T11:48:00Z</dcterms:created>
  <dcterms:modified xsi:type="dcterms:W3CDTF">2020-11-10T07:31:00Z</dcterms:modified>
</cp:coreProperties>
</file>