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CE65F7" w:rsidP="00414CAE">
      <w:pPr>
        <w:spacing w:before="600" w:after="24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414CAE" w:rsidRPr="00EB66F0">
        <w:rPr>
          <w:rFonts w:ascii="Arial" w:hAnsi="Arial" w:cs="Arial"/>
          <w:b/>
        </w:rPr>
        <w:t>termocyklera do reakcji Real Time PCR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Zagnańska </w:t>
      </w:r>
      <w:r w:rsidR="00414CAE" w:rsidRPr="00701B5F">
        <w:rPr>
          <w:rFonts w:ascii="Arial" w:hAnsi="Arial" w:cs="Arial"/>
        </w:rPr>
        <w:t>9</w:t>
      </w:r>
      <w:r w:rsidR="00414CAE" w:rsidRPr="007D00C6">
        <w:rPr>
          <w:rFonts w:ascii="Arial" w:hAnsi="Arial" w:cs="Arial"/>
        </w:rPr>
        <w:t xml:space="preserve">1, 25-558 Kielce,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7D00C6">
        <w:rPr>
          <w:rFonts w:ascii="Arial" w:hAnsi="Arial" w:cs="Arial"/>
        </w:rPr>
        <w:t xml:space="preserve">nie wcześniej niż </w:t>
      </w:r>
      <w:r w:rsidR="00A950E1" w:rsidRPr="007D00C6">
        <w:rPr>
          <w:rFonts w:ascii="Arial" w:hAnsi="Arial" w:cs="Arial"/>
        </w:rPr>
        <w:t>2019</w:t>
      </w:r>
      <w:r w:rsidRPr="007D00C6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Parametry techniczne ofertowe</w:t>
            </w:r>
          </w:p>
        </w:tc>
      </w:tr>
      <w:tr w:rsidR="008F506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F" w:rsidRPr="008725D8" w:rsidRDefault="008F506F" w:rsidP="008725D8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Cechy termocyklera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F" w:rsidRPr="007D00C6" w:rsidRDefault="008F506F" w:rsidP="009C0A9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8725D8">
            <w:pPr>
              <w:pStyle w:val="Akapitzlist"/>
              <w:numPr>
                <w:ilvl w:val="0"/>
                <w:numId w:val="8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Praca w systemie otwartym - tzn. możliwość stosowania dostępnych na rynku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odczynników,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B54">
              <w:rPr>
                <w:rFonts w:ascii="Arial" w:hAnsi="Arial" w:cs="Arial"/>
                <w:sz w:val="20"/>
                <w:szCs w:val="20"/>
              </w:rPr>
              <w:t xml:space="preserve">gotowych </w:t>
            </w:r>
            <w:r w:rsidRPr="008D3CD7">
              <w:rPr>
                <w:rFonts w:ascii="Arial" w:hAnsi="Arial" w:cs="Arial"/>
                <w:sz w:val="20"/>
                <w:szCs w:val="20"/>
              </w:rPr>
              <w:t>testów Real Time PCR, single PCR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oraz testów składanych przez klienta.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121"/>
              </w:object>
            </w:r>
          </w:p>
          <w:p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3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123"/>
              </w:object>
            </w:r>
          </w:p>
        </w:tc>
      </w:tr>
      <w:tr w:rsidR="008D5B61" w:rsidRPr="007D00C6" w:rsidTr="008C3BA7">
        <w:trPr>
          <w:trHeight w:val="1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C932CD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zbudowany na elementach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Peltiera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 blokiem 96 dołkowym do pracy z płytkami i probówkami/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stripami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objętości 0,2 ml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5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125"/>
              </w:object>
            </w:r>
          </w:p>
          <w:p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7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127"/>
              </w:objec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C932CD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Blok 96-dołkowy </w:t>
            </w:r>
            <w:r w:rsidRPr="00701B5F">
              <w:rPr>
                <w:rFonts w:ascii="Arial" w:hAnsi="Arial" w:cs="Arial"/>
                <w:sz w:val="20"/>
                <w:szCs w:val="20"/>
              </w:rPr>
              <w:t>złożony z niezależnych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bloków grzejnych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 w:rsidR="004F5ED1">
              <w:rPr>
                <w:rFonts w:ascii="Arial" w:hAnsi="Arial" w:cs="Arial"/>
                <w:sz w:val="20"/>
                <w:szCs w:val="20"/>
              </w:rPr>
              <w:t>5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niezależnych bloków grzejnych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Default="00CE65F7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ość niezależnych bloków grzejnych w oferowanym sprzecie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Czułość detekcji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 kopia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CE65F7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czułość detekcji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8F506F" w:rsidRDefault="008F506F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F5ED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1" w:rsidRPr="008725D8" w:rsidRDefault="004F5ED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Rozdzielczość czułości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3CD7">
              <w:rPr>
                <w:rFonts w:ascii="Arial" w:hAnsi="Arial" w:cs="Arial"/>
                <w:sz w:val="20"/>
                <w:szCs w:val="20"/>
              </w:rPr>
              <w:t>odróżnia 1,5 krotną różnicę w stężeniu pomiędzy próbami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ED1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9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1" w:shapeid="_x0000_i1129"/>
              </w:object>
            </w:r>
          </w:p>
          <w:p w:rsidR="004F5ED1" w:rsidRPr="007D00C6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>
                <v:shape id="_x0000_i113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131"/>
              </w:objec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Źródło wzbudzania fluorescencji – dioda LED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D7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2" w:shapeid="_x0000_i1133"/>
              </w:object>
            </w:r>
          </w:p>
          <w:p w:rsidR="008D5B61" w:rsidRPr="007D00C6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5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2" w:shapeid="_x0000_i1135"/>
              </w:objec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4B00B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</w:t>
            </w:r>
            <w:r w:rsidR="008D5B61" w:rsidRPr="008D3CD7">
              <w:rPr>
                <w:rFonts w:ascii="Arial" w:hAnsi="Arial" w:cs="Arial"/>
                <w:sz w:val="20"/>
                <w:szCs w:val="20"/>
              </w:rPr>
              <w:t xml:space="preserve">wyposażony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w niezależn</w:t>
            </w:r>
            <w:r w:rsidR="00FA4F89">
              <w:rPr>
                <w:rFonts w:ascii="Arial" w:hAnsi="Arial" w:cs="Arial"/>
                <w:sz w:val="20"/>
                <w:szCs w:val="20"/>
              </w:rPr>
              <w:t>ie</w:t>
            </w:r>
            <w:r w:rsidR="00701B5F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F89">
              <w:rPr>
                <w:rFonts w:ascii="Arial" w:hAnsi="Arial" w:cs="Arial"/>
                <w:sz w:val="20"/>
                <w:szCs w:val="20"/>
              </w:rPr>
              <w:t>działające</w:t>
            </w:r>
            <w:r w:rsidR="008D3CD7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kanały emisji /wzbudzania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6 niezależnie działających kanałów emisyjnych/wzbudzających</w:t>
            </w:r>
            <w:r w:rsidR="008D3CD7"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(długości fali minimum 450-670nm/500-720nm)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ść niezależnie działających kanałów emisyjnych/wzbudzających (długości fali minimum 450-670nm/500-720nm)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7D00C6" w:rsidRDefault="008D5B61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234BEF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Obecność filtrów umożliwiających detekcję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D7" w:rsidRPr="007979D2" w:rsidRDefault="008D3CD7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79D2">
              <w:rPr>
                <w:rFonts w:ascii="Arial" w:hAnsi="Arial" w:cs="Arial"/>
                <w:sz w:val="20"/>
                <w:szCs w:val="20"/>
              </w:rPr>
              <w:t>minimum następujących barwników:</w:t>
            </w:r>
          </w:p>
          <w:p w:rsidR="008D5B61" w:rsidRPr="006A63FC" w:rsidRDefault="008D3CD7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6A63FC">
              <w:rPr>
                <w:rFonts w:ascii="Arial" w:hAnsi="Arial" w:cs="Arial"/>
                <w:sz w:val="20"/>
                <w:szCs w:val="20"/>
                <w:lang w:val="en-US"/>
              </w:rPr>
              <w:t>FAM/SYBR Green/VIC/JOE/HEX/TAMRA/Cy3/ROX/Cy5/JUN/Cy5.5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EF" w:rsidRDefault="00234BEF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7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" w:shapeid="_x0000_i1137"/>
              </w:object>
            </w:r>
          </w:p>
          <w:p w:rsidR="00234BEF" w:rsidRPr="007D00C6" w:rsidRDefault="00234BEF" w:rsidP="00234B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9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" w:shapeid="_x0000_i1139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Szybkość grzania bloku 96-dołkowego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F3465E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nie więcej niż </w:t>
            </w:r>
            <w:r w:rsidR="00F3465E" w:rsidRPr="00CE65F7">
              <w:rPr>
                <w:rFonts w:ascii="Arial" w:hAnsi="Arial" w:cs="Arial"/>
                <w:sz w:val="20"/>
                <w:szCs w:val="20"/>
              </w:rPr>
              <w:t>6</w:t>
            </w:r>
            <w:r w:rsidRPr="00CE65F7">
              <w:rPr>
                <w:rFonts w:ascii="Arial" w:hAnsi="Arial" w:cs="Arial"/>
                <w:sz w:val="20"/>
                <w:szCs w:val="20"/>
              </w:rPr>
              <w:t xml:space="preserve">.5 </w:t>
            </w:r>
            <w:r w:rsidRPr="00CE65F7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E65F7">
              <w:rPr>
                <w:rFonts w:ascii="Arial" w:hAnsi="Arial" w:cs="Arial"/>
                <w:sz w:val="20"/>
                <w:szCs w:val="20"/>
              </w:rPr>
              <w:t>C/sek.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zybkość grzania bloku 96-dołkowego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Zakres temperatury w bloku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4 - 99,9</w:t>
            </w:r>
            <w:r w:rsidRPr="008D3CD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O</w:t>
            </w:r>
            <w:r w:rsidRPr="008D3C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y w bloku 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Sterowanie </w:t>
            </w:r>
            <w:r w:rsidRPr="007979D2">
              <w:rPr>
                <w:rFonts w:ascii="Arial" w:hAnsi="Arial" w:cs="Arial"/>
                <w:sz w:val="20"/>
                <w:szCs w:val="20"/>
              </w:rPr>
              <w:t>sprzętem za pomocą panelu dotykowego celem szybkiego wybrania protokołu do uruchomienia sprzętu i rozpoczęcia reakcji bez konieczności sterowania z komputera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1" w:shapeid="_x0000_i1141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3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1" w:shapeid="_x0000_i1143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wyposażony w wewnętrzną pamięć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10GB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pamięci wewnętrznej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Możliwość przesyłania danych przez Wi-Fi oraz LAN</w:t>
            </w:r>
            <w:r w:rsidRPr="001C2C88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5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412" w:shapeid="_x0000_i1145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7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412" w:shapeid="_x0000_i1147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wyposażony w port umożliwiający import oraz export </w:t>
            </w:r>
            <w:r w:rsidRPr="00871A37">
              <w:rPr>
                <w:rFonts w:ascii="Arial" w:hAnsi="Arial" w:cs="Arial"/>
                <w:sz w:val="20"/>
                <w:szCs w:val="20"/>
              </w:rPr>
              <w:t>danych ze sprzętu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do komputera lub na nośniki danych Flash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9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4121" w:shapeid="_x0000_i1149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4121" w:shapeid="_x0000_i1151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System kompatybilny z sondami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TaqMan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3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4122" w:shapeid="_x0000_i1153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>
                <v:shape id="_x0000_i1155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4122" w:shapeid="_x0000_i1155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Objętość próbki: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10-30µl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bjętość próbki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Multipleksowanie – pomiar min. 5 barwników jednocześnie w jednej studzience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7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41221" w:shapeid="_x0000_i1157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9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41221" w:shapeid="_x0000_i1159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791810" w:rsidRDefault="00791810" w:rsidP="00C932CD">
            <w:pPr>
              <w:pStyle w:val="Akapitzlist"/>
              <w:numPr>
                <w:ilvl w:val="0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Funkcje termocyklera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791810">
            <w:pPr>
              <w:pStyle w:val="Akapitzlist"/>
              <w:numPr>
                <w:ilvl w:val="0"/>
                <w:numId w:val="2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Zbieranie i przechowywanie danych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1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412211" w:shapeid="_x0000_i1161"/>
              </w:object>
            </w:r>
          </w:p>
          <w:p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object w:dxaOrig="225" w:dyaOrig="225">
                <v:shape id="_x0000_i1163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412211" w:shapeid="_x0000_i1163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dysocjacyjnej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5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412212" w:shapeid="_x0000_i1165"/>
              </w:object>
            </w:r>
          </w:p>
          <w:p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7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412212" w:shapeid="_x0000_i1167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standardowej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9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4122121" w:shapeid="_x0000_i1169"/>
              </w:object>
            </w:r>
          </w:p>
          <w:p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1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4122121" w:shapeid="_x0000_i1171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Oznaczanie ilościowe kwasów nukleinowych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3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4122122" w:shapeid="_x0000_i1173"/>
              </w:object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5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4122122" w:shapeid="_x0000_i1175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Oznaczanie jakościowe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kwasów nukleinowych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7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4122123" w:shapeid="_x0000_i1177"/>
              </w:object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9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4122123" w:shapeid="_x0000_i1179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Analiza polimorfizmu pojedynczego nukleotydu (dyskryminacja alleli)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1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4122124" w:shapeid="_x0000_i1181"/>
              </w:object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83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4122124" w:shapeid="_x0000_i1183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0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Laptop do obsługi systemu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497EF8" w:rsidRDefault="00791810" w:rsidP="00791810">
            <w:pPr>
              <w:pStyle w:val="Akapitzlist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90675F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675F">
              <w:rPr>
                <w:rFonts w:ascii="Arial" w:hAnsi="Arial" w:cs="Arial"/>
                <w:sz w:val="20"/>
                <w:szCs w:val="20"/>
              </w:rPr>
              <w:t>Procesor o następujących cechach:</w:t>
            </w:r>
          </w:p>
          <w:p w:rsidR="00791810" w:rsidRPr="0090675F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675F">
              <w:rPr>
                <w:rFonts w:ascii="Arial" w:hAnsi="Arial" w:cs="Arial"/>
                <w:sz w:val="20"/>
                <w:szCs w:val="20"/>
              </w:rPr>
              <w:t xml:space="preserve">co najmniej klasy Intel i5 </w:t>
            </w:r>
            <w:r w:rsidRPr="0090675F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siódmej</w:t>
            </w:r>
            <w:r w:rsidR="0090675F" w:rsidRPr="0090675F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90675F" w:rsidRPr="0090675F">
              <w:rPr>
                <w:rFonts w:ascii="Arial" w:hAnsi="Arial" w:cs="Arial"/>
                <w:sz w:val="20"/>
                <w:szCs w:val="20"/>
                <w:highlight w:val="green"/>
              </w:rPr>
              <w:t>szóstej</w:t>
            </w:r>
            <w:r w:rsidRPr="0090675F">
              <w:rPr>
                <w:rFonts w:ascii="Arial" w:hAnsi="Arial" w:cs="Arial"/>
                <w:sz w:val="20"/>
                <w:szCs w:val="20"/>
              </w:rPr>
              <w:t xml:space="preserve"> generacji lub równoważny: musi zapewnić wydajność oferowanego zestawu komputerowego, przy nominalnych parametrach pracy procesora (określonych przez producenta procesora) mierzoną za pomocą testu </w:t>
            </w:r>
            <w:proofErr w:type="spellStart"/>
            <w:r w:rsidRPr="0090675F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90675F">
              <w:rPr>
                <w:rFonts w:ascii="Arial" w:hAnsi="Arial" w:cs="Arial"/>
                <w:sz w:val="20"/>
                <w:szCs w:val="20"/>
              </w:rPr>
              <w:t xml:space="preserve"> o wartości minimum punktów w teście </w:t>
            </w:r>
            <w:proofErr w:type="spellStart"/>
            <w:r w:rsidRPr="0090675F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90675F">
              <w:rPr>
                <w:rFonts w:ascii="Arial" w:hAnsi="Arial" w:cs="Arial"/>
                <w:sz w:val="20"/>
                <w:szCs w:val="20"/>
              </w:rPr>
              <w:t xml:space="preserve"> CPU Mark </w:t>
            </w:r>
            <w:r w:rsidRPr="0090675F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8000</w:t>
            </w:r>
            <w:r w:rsidRPr="00906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75F" w:rsidRPr="0090675F">
              <w:rPr>
                <w:rFonts w:ascii="Arial" w:hAnsi="Arial" w:cs="Arial"/>
                <w:sz w:val="20"/>
                <w:szCs w:val="20"/>
                <w:highlight w:val="green"/>
              </w:rPr>
              <w:t xml:space="preserve">5293 </w:t>
            </w:r>
            <w:r w:rsidRPr="0090675F">
              <w:rPr>
                <w:rFonts w:ascii="Arial" w:hAnsi="Arial" w:cs="Arial"/>
                <w:sz w:val="20"/>
                <w:szCs w:val="20"/>
                <w:highlight w:val="green"/>
              </w:rPr>
              <w:t>pkt</w:t>
            </w:r>
            <w:r w:rsidRPr="0090675F">
              <w:rPr>
                <w:rFonts w:ascii="Arial" w:hAnsi="Arial" w:cs="Arial"/>
                <w:sz w:val="20"/>
                <w:szCs w:val="20"/>
              </w:rPr>
              <w:t xml:space="preserve">, dla Single </w:t>
            </w:r>
            <w:proofErr w:type="spellStart"/>
            <w:r w:rsidRPr="0090675F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90675F">
              <w:rPr>
                <w:rFonts w:ascii="Arial" w:hAnsi="Arial" w:cs="Arial"/>
                <w:sz w:val="20"/>
                <w:szCs w:val="20"/>
              </w:rPr>
              <w:t xml:space="preserve"> Rating minimum </w:t>
            </w:r>
            <w:r w:rsidRPr="0090675F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2000</w:t>
            </w:r>
            <w:r w:rsidRPr="00906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75F" w:rsidRPr="0090675F">
              <w:rPr>
                <w:rFonts w:ascii="Arial" w:hAnsi="Arial" w:cs="Arial"/>
                <w:sz w:val="20"/>
                <w:szCs w:val="20"/>
                <w:highlight w:val="green"/>
              </w:rPr>
              <w:t xml:space="preserve">2059 </w:t>
            </w:r>
            <w:r w:rsidRPr="0090675F">
              <w:rPr>
                <w:rFonts w:ascii="Arial" w:hAnsi="Arial" w:cs="Arial"/>
                <w:sz w:val="20"/>
                <w:szCs w:val="20"/>
                <w:highlight w:val="green"/>
              </w:rPr>
              <w:t>pkt</w:t>
            </w:r>
            <w:r w:rsidRPr="0090675F">
              <w:rPr>
                <w:rFonts w:ascii="Arial" w:hAnsi="Arial" w:cs="Arial"/>
                <w:sz w:val="20"/>
                <w:szCs w:val="20"/>
              </w:rPr>
              <w:t xml:space="preserve"> (http://www.cpubenchmark.net/.) obsługujący 64-bitowe systemy operacyjne</w:t>
            </w:r>
          </w:p>
          <w:p w:rsidR="00791810" w:rsidRPr="0090675F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0675F">
              <w:rPr>
                <w:rFonts w:ascii="Arial" w:hAnsi="Arial" w:cs="Arial"/>
                <w:sz w:val="20"/>
                <w:szCs w:val="20"/>
              </w:rPr>
              <w:t>Spełniający minimalne wymagania sprzętu oraz zapewniający bezawaryjną prace sprzętu.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5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4122126" w:shapeid="_x0000_i1185"/>
              </w:object>
            </w:r>
          </w:p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7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4122126" w:shapeid="_x0000_i1187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5D1899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Pamięć RAM</w:t>
            </w:r>
          </w:p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częstotliwość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16GB </w:t>
            </w:r>
          </w:p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co najmniej 2400MHz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amięci RAM i częstotliwość laptopa 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5D1899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BC5A42" w:rsidRDefault="00F3465E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E65F7">
              <w:rPr>
                <w:rFonts w:ascii="Arial" w:hAnsi="Arial" w:cs="Arial"/>
                <w:sz w:val="20"/>
                <w:szCs w:val="20"/>
              </w:rPr>
              <w:t>D</w:t>
            </w:r>
            <w:r w:rsidR="00EF7122" w:rsidRPr="00CE65F7">
              <w:rPr>
                <w:rFonts w:ascii="Arial" w:hAnsi="Arial" w:cs="Arial"/>
                <w:sz w:val="20"/>
                <w:szCs w:val="20"/>
              </w:rPr>
              <w:t xml:space="preserve">ysk </w:t>
            </w:r>
            <w:r w:rsidRPr="00CE65F7">
              <w:rPr>
                <w:rFonts w:ascii="Arial" w:hAnsi="Arial" w:cs="Arial"/>
                <w:sz w:val="20"/>
                <w:szCs w:val="20"/>
              </w:rPr>
              <w:t>twardy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CE65F7" w:rsidRDefault="00791810" w:rsidP="00CE65F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E65F7">
              <w:rPr>
                <w:rFonts w:ascii="Arial" w:hAnsi="Arial" w:cs="Arial"/>
                <w:sz w:val="20"/>
                <w:szCs w:val="20"/>
              </w:rPr>
              <w:t xml:space="preserve">co najmniej  </w:t>
            </w:r>
            <w:r w:rsidR="00F3465E" w:rsidRPr="00CE65F7">
              <w:rPr>
                <w:rFonts w:ascii="Arial" w:hAnsi="Arial" w:cs="Arial"/>
                <w:sz w:val="20"/>
                <w:szCs w:val="20"/>
              </w:rPr>
              <w:t>256GB</w:t>
            </w:r>
            <w:r w:rsidR="00EF7122" w:rsidRPr="00CE65F7">
              <w:rPr>
                <w:rFonts w:ascii="Arial" w:hAnsi="Arial" w:cs="Arial"/>
                <w:sz w:val="20"/>
                <w:szCs w:val="20"/>
              </w:rPr>
              <w:t xml:space="preserve"> SSD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dysku twrdego (co najmniej 256 GB SSD)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1B2A15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5D1899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Porty: 3 x USB 3.0, 1 x RJ-45 LAN, HDMI, wyjście audio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9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41221211" w:shapeid="_x0000_i1189"/>
              </w:object>
            </w:r>
          </w:p>
          <w:p w:rsidR="00791810" w:rsidRPr="00497EF8" w:rsidRDefault="00791810" w:rsidP="00497EF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>
              <w:object w:dxaOrig="225" w:dyaOrig="225">
                <v:shape id="_x0000_i1191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41221211" w:shapeid="_x0000_i1191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CFD" w:rsidRPr="008D3CD7" w:rsidRDefault="00310CFD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mniej niż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15 cali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(rozdzielczość minimum 1920 x 1080 pikseli)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i rozdzielczość ekranu laptopa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Oprogramowanie posiadające następujące cechy: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a dysku SSD zainstalowany system operacyjny Microsoft Windows 10 Professional (64-bit) lub równoważny, nie wymagający aktywacji za pomocą telefonu lub Internetu. Przez równoważność rozumie się min: a)wbudowany mechanizm ochrony przed programami szpiegującymi i innym niepożądanym oprogramowaniem b)wbudowaną zaporę firewall c)możliwość obsługi wielu monitorów d)wbudowany system obsługi faksów e)system automatycznej aktualizacji systemu i zabezpieczeń f)obsługę architektury 64-bitowej g)wbudowany system przywracania systemu w przypadku awarii h)wbudowany system tworzenia i przywracania kopii zapasowej systemu i)możliwość podłączenia do domeny i stosowanie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Policy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j)ponowna instalacja systemu nie może wymagać wpisania klucza licencyjnego k)posiadanie podstawowego wsparcia producenta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Pakiet oprogramowania biurowego Microsoft Office Standard 2019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Goverment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OPEN lub równoważne* zawierający co najmniej następujące składniki: edytor tekstu, arkusz kalkulacyjny, oprogramowanie do przygotowywania i prowadzenia prezentacji, notes cyfrowy, oprogramowanie do tworzenia publikacji, klient poczty e-mail, wraz z nieograniczoną w czasie oraz przestrzeni licencją producenta. Rodzaj licencji na oprogramowanie biurowe dla danego jednego stanowiska komputerowego musi być zgodny z wielkością instytucji (ponad 200 pracowników i 200 stanowisk komputerowych) 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*Za równoważne Zamawiający uzna oprogramowania biurowe spełniające minimalne wymagania Zamawiającego i w pełni obsługujące wszystkie istniejące dokumenty Zamawiającego, wytworzone przy  użyciu oprogramowania Microsoft Office: 2007, 2010, 2013, 2016, bez utraty jakichkolwiek ich parametrów i cech użytkowych (odpowiednio dla pakietu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oprogramowań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>: pliki tekstowe, dokumenty, arkusze kalkulacyjne zawierające makra i formularze, prezentacje, itp.), w pełni kompatybilne i zgodne z obecnie zainstalowanym oraz pracującym u Zamawiającego oprogramowaniem  biurowym, antywirusowym, narzędziowym, systemowym (dla stacji roboczych i serwerów) pracujących na systemach operacyjnych Microsoft Windows w wersjach 32 i 64 bity, niewymagającym dodatkowych nakładów finansowych ze strony Zamawiającego w celu dostosowania zaoferowanego oprogramowania  do ww. systemów oraz spełniające wymagania minimalne: 1) interfejs użytkownika zaoferowanych pakietów oprogramowania musi być w pełnej polskiej wersji językowej; 2) aktualizacje zabezpieczeń, hot-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fixy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, services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pack’i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mają być dostępne z wykorzystaniem wbudowanych, automatycznych narzędzi do ich pobierania z dedykowanej strony internetowej producenta oprogramowania oraz dostępne do pobrania ręcznego z serwerów producenta oprogramowania; 3) zaoferowane oprogramowanie musi być dedykowane dla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administracji rządowej, przeznaczone do użytku komercyjnego; 4) w ramach udzielonej licencji Zamawiającemu  będzie przysługiwało prawo do przenoszenia licencji i pakietów oprogramowania z jednego komputera na drugi bez jakiejkolwiek utraty praw do zaoferowanego oprogramowania wchodzącego w skład danego pakietu; 5) Sprzedawca zobowiązuje się dostarczyć niepowtarzalny (unikatowy) klucz do aktywacji dostarczonych licencji; 6) Sprzedawca dostarczy do pakietu  oprogramowania co najmniej 1 nośnik instalacyjny z oprogramowaniem lub wskaże miejsce w sieci Internet, skąd można pobrać instalację pakietów; 7) zaoferowany edytor tekstu musi umożliwiać: a)określenie układu strony (pionowa/pozioma), b)wydruk dokumentów, c)wykonywanie korespondencji seryjnej bazując na danych adresowych pochodzących z arkusza kalkulacyjnego, d)pracę na dokumentach wytworzonych przy użyciu oprogramowania Microsoft Word 2003, e)pracę na dokumentach Zamawiającego, utworzonych przy pomocy oprogramowania Microsoft Word 2007, 2010 i 2013 z zapewnieniem bezproblemowej konwersji wszystkich elementów i atrybutów dokumentu, f)zabezpieczenie dokumentów hasłem przed odczytem oraz przed wprowadzaniem modyfikacji g)sprawdzanie pisowni w języku polskim i angielskim 8) zaoferowany arkusz kalkulacyjny musi umożliwiać: a)tworzenie raportów tabelarycznych, b)tworzenie wykresów liniowych (wraz z linią trendu), słupkowych, kołowych, c)tworzenie arkuszy kalkulacyjnych zawierających teksty, dane liczbowe oraz formuły przeprowadzające operacje matematyczne, logiczne, tekstowe, statystyczne oraz operacje na danych finansowych i na miarach czasu, d)tworzenie raportów z zewnętrznych źródeł danych (inne arkusze kalkulacyjne, bazy danych zgodne z ODBC, pliki tekstowe, pliki XML,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), e)obsługę kostek OLAP oraz tworzenie i edycję kwerend bazodanowych i webowych; f)narzędzia wspomagające analizę statystyczną i finansową, analizę wariantową i rozwiązywanie problemów optymalizacyjnych, g)tworzenie raportów tabeli przestawnych umożliwiających dynamiczną zmianę wymiarów oraz wykresów bazujących na danych z tabeli przestawnych, h)wyszukiwanie i zamianę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danych, i)wykonywanie analiz danych przy użyciu formatowania warunkowego, j)nazywanie komórek arkusza i odwoływanie się w formułach po takiej nazwie, k)nagrywanie, tworzenie i edycję makr automatyzujących wykonywanie czynności, l)formatowanie czasu, daty i wartości finansowych z polskim formatem, m)zapis wielu arkuszy kalkulacyjnych w jednym pliku, n)pracę na dokumentach wytworzonych przy użyciu oprogramowania Microsoft Excel 2003, o)zachowanie pełnej zgodności z formatami plików utworzonych za pomocą oprogramowania Microsoft Excel 2007, 2010 i 2013, z uwzględnieniem poprawnej realizacji użytych w nich funkcji specjalnych i makropoleceń, p)zabezpieczenie  dokumentów  hasłem  przed  odczytem oraz przed wprowadzaniem modyfikacji; 9) zaoferowane oprogramowanie do przygotowywania i prowadzenia prezentacji multimedialnych musi umożliwiać: a)drukowanie w formacie umożliwiającym robienie notatek, b)zapisanie jako prezentacja tylko do odczytu, c)nagrywanie narracji i dołączanie jej do prezentacji, d)opatrywanie slajdów notatkami dla prezentera, e)umieszczanie i formatowanie tekstów, obiektów graficznych, tabel, nagrań dźwiękowych i wideo, f)umieszczanie tabel i wykresów pochodzących z arkusza kalkulacyjnego, g)odświeżenie wykresu znajdującego się w prezentacji po zmianie danych w źródłowym arkuszu kalkulacyjnym, h)możliwość tworzenia animacji obiektów i całych slajdów, i)prowadzenie prezentacji w trybie prezentera, gdzie slajdy są widoczne na jednym monitorze lub projektorze, a na drugim widoczne są slajdy i notatki prezentera, j)zapewniających zgodność z formatami plików utworzonych za pomocą oprogramowania Microsoft PowerPoint 2007 i 2010; 10) zaoferowany klient poczty e-mail musi umożliwiać: a)współpracę z wtyczką oprogramowania antywirusowego firmy ESET b)obsługę protokołów: SMTP, POP3, IMAP c)możliwość szyfrowania poczty wychodzącej za pomocą certyfikatu d)możliwość odbioru i automatycznej deszyfracji zaszyfrowanych wiadomości e-mail e)widok konwersacji f)możliwość importu plików pst (zgodnych z Microsoft Outlook 2003, 2010 i 2013) g)podgląd załączników w wiadomościach e-mail h)dołączanie zdjęć do kontaktów i)zapisanie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wiadomości w pliku w formacie HTML j)wskazanie daty i godziny dostarczenia wysyłanej wiadomości (opóźnienie dostarczenia) k)znajdowanie wiadomości pokrewnych. 11) zaoferowany notatnik cyfrowy musi umożliwiać: a)osadzanie klipów wideo z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Vimeo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i YouTube na stronę w programie b)wysyłanie notatek do programu za pomocą poczty e-mail c)przechwycenie wycinka ekranu i dodanie go do notatek d)drukowanie zawartości komputera bezpośrednio do notatnika cyfrowego e)integrację z pakietem oprogramowania biurowego, w tym: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wstawianie szczegółów spotkań bezpośrednio z klienta poczty e-mail do notatek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wstawienie do notatek osadzonych arkuszy kalkulacyjnych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tworzenie zadań w notatniku cyfrowym i wyświetlanie ich w kliencie poczty e-mail f)konwertowanie pisma ręcznego na tekst g)dodawanie do notatek złożonych równań.</w:t>
            </w:r>
          </w:p>
          <w:p w:rsidR="00310CFD" w:rsidRPr="008D3CD7" w:rsidRDefault="00310CFD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 przypadku złożenia oferty z produktami równoważnymi należy do oferty załączyć dokumenty poświadczające ich równoważność z funkcjonalnością oprogramowania u Zamawiającego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93" type="#_x0000_t75" alt="Wykonawca zaznacza TAK jeżeli zaoferowany sprzęt spełnia wymaganie określone w kolumnie nr 2 i 3" style="width:47.25pt;height:18pt" o:ole="">
                  <v:imagedata r:id="rId80" o:title=""/>
                </v:shape>
                <w:control r:id="rId81" w:name="TAK4122121111" w:shapeid="_x0000_i1193"/>
              </w:object>
            </w:r>
          </w:p>
          <w:p w:rsidR="00310CFD" w:rsidRPr="007D00C6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95" type="#_x0000_t75" alt="Wykonawca zaznacza NIE jeżeli zaoferowany sprzęt nie spełnia wymagań określonych w kolumnie nr 2 i 3" style="width:108pt;height:18pt" o:ole="">
                  <v:imagedata r:id="rId82" o:title=""/>
                </v:shape>
                <w:control r:id="rId83" w:name="CheckBox14122121111" w:shapeid="_x0000_i1195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1"/>
                <w:numId w:val="27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FD" w:rsidRPr="00497EF8" w:rsidRDefault="00310CFD" w:rsidP="00497EF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7D00C6" w:rsidRDefault="00310CFD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0"/>
                <w:numId w:val="27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310C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65F7">
              <w:rPr>
                <w:rFonts w:ascii="Arial" w:hAnsi="Arial" w:cs="Arial"/>
                <w:sz w:val="20"/>
                <w:szCs w:val="20"/>
              </w:rPr>
              <w:t>Zasilacz awaryjny UPS wolnostojący pozwalający utrzymać pracę sprzętu (termocyklera oraz laptopa) w momencie zaniku napięcia sieciowego.</w:t>
            </w:r>
            <w:r w:rsidRPr="00791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497EF8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97" type="#_x0000_t75" alt="Wykonawca zaznacza TAK jeżeli zaoferowany sprzęt spełnia wymaganie określone w kolumnie nr 2 i 3" style="width:47.25pt;height:18pt" o:ole="">
                  <v:imagedata r:id="rId84" o:title=""/>
                </v:shape>
                <w:control r:id="rId85" w:name="TAK41221211111" w:shapeid="_x0000_i1197"/>
              </w:object>
            </w:r>
          </w:p>
          <w:p w:rsidR="00310CFD" w:rsidRPr="007D00C6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99" type="#_x0000_t75" alt="Wykonawca zaznacza NIE jeżeli zaoferowany sprzęt nie spełnia wymagań określonych w kolumnie nr 2 i 3" style="width:108pt;height:18pt" o:ole="">
                  <v:imagedata r:id="rId86" o:title=""/>
                </v:shape>
                <w:control r:id="rId87" w:name="CheckBox141221211111" w:shapeid="_x0000_i1199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1"/>
                <w:numId w:val="31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Moc pozorna zasilacza UPC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1500VA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pozorną zasilacza UPS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1"/>
                <w:numId w:val="31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LED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2CD">
              <w:rPr>
                <w:rFonts w:ascii="Arial" w:hAnsi="Arial" w:cs="Arial"/>
                <w:sz w:val="20"/>
                <w:szCs w:val="20"/>
              </w:rPr>
              <w:t>lub LCD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informujący o trybie pracy (sieć /bateria/awaria)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01" type="#_x0000_t75" alt="Wykonawca zaznacza TAK jeżeli zaoferowany sprzęt spełnia wymaganie określone w kolumnie nr 2 i 3" style="width:47.25pt;height:18pt" o:ole="">
                  <v:imagedata r:id="rId88" o:title=""/>
                </v:shape>
                <w:control r:id="rId89" w:name="TAK412212111111" w:shapeid="_x0000_i1201"/>
              </w:object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03" type="#_x0000_t75" alt="Wykonawca zaznacza NIE jeżeli zaoferowany sprzęt nie spełnia wymagań określonych w kolumnie nr 2 i 3" style="width:108pt;height:18pt" o:ole="">
                  <v:imagedata r:id="rId90" o:title=""/>
                </v:shape>
                <w:control r:id="rId91" w:name="CheckBox1412212111111" w:shapeid="_x0000_i1203"/>
              </w:object>
            </w:r>
          </w:p>
        </w:tc>
      </w:tr>
      <w:tr w:rsidR="00310CFD" w:rsidRPr="007D00C6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1"/>
                <w:numId w:val="31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naładowania baterii oraz sygnalizator dźwiękowy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05" type="#_x0000_t75" alt="Wykonawca zaznacza TAK jeżeli zaoferowany sprzęt spełnia wymaganie określone w kolumnie nr 2 i 3" style="width:47.25pt;height:18pt" o:ole="">
                  <v:imagedata r:id="rId92" o:title=""/>
                </v:shape>
                <w:control r:id="rId93" w:name="TAK412212111112" w:shapeid="_x0000_i1205"/>
              </w:object>
            </w:r>
          </w:p>
          <w:p w:rsidR="00310CFD" w:rsidRPr="007D00C6" w:rsidRDefault="00310CFD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07" type="#_x0000_t75" alt="Wykonawca zaznacza NIE jeżeli zaoferowany sprzęt nie spełnia wymagań określonych w kolumnie nr 2 i 3" style="width:108pt;height:18pt" o:ole="">
                  <v:imagedata r:id="rId94" o:title=""/>
                </v:shape>
                <w:control r:id="rId95" w:name="CheckBox1412212111112" w:shapeid="_x0000_i1207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1"/>
                <w:numId w:val="29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932CD" w:rsidRDefault="00310CFD" w:rsidP="00310C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2CD">
              <w:rPr>
                <w:rFonts w:ascii="Arial" w:hAnsi="Arial" w:cs="Arial"/>
                <w:iCs/>
                <w:sz w:val="20"/>
                <w:szCs w:val="20"/>
              </w:rPr>
              <w:t>Instrukcja obsługi w wersji drukowanej razem z dostawą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09" type="#_x0000_t75" alt="Wykonawca zaznacza TAK jeżeli zaoferowany sprzęt spełnia wymaganie określone w kolumnie nr 2 i 3" style="width:47.25pt;height:18pt" o:ole="">
                  <v:imagedata r:id="rId96" o:title=""/>
                </v:shape>
                <w:control r:id="rId97" w:name="TAK4122121111121" w:shapeid="_x0000_i1209"/>
              </w:object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11" type="#_x0000_t75" alt="Wykonawca zaznacza NIE jeżeli zaoferowany sprzęt nie spełnia wymagań określonych w kolumnie nr 2 i 3" style="width:108pt;height:18pt" o:ole="">
                  <v:imagedata r:id="rId98" o:title=""/>
                </v:shape>
                <w:control r:id="rId99" w:name="CheckBox14122121111121" w:shapeid="_x0000_i1211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Instalacja i uruchomienie sprzętu w miejscu użytkowania przez autoryzowany serwis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13" type="#_x0000_t75" alt="Wykonawca zaznacza TAK jeżeli zaoferowany sprzęt spełnia wymaganie określone w kolumnie nr 2 i 3" style="width:47.25pt;height:18pt" o:ole="">
                  <v:imagedata r:id="rId100" o:title=""/>
                </v:shape>
                <w:control r:id="rId101" w:name="TAK41221211111211" w:shapeid="_x0000_i1213"/>
              </w:object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15" type="#_x0000_t75" alt="Wykonawca zaznacza NIE jeżeli zaoferowany sprzęt nie spełnia wymagań określonych w kolumnie nr 2 i 3" style="width:108pt;height:18pt" o:ole="">
                  <v:imagedata r:id="rId102" o:title=""/>
                </v:shape>
                <w:control r:id="rId103" w:name="CheckBox141221211111211" w:shapeid="_x0000_i1215"/>
              </w:object>
            </w:r>
          </w:p>
        </w:tc>
      </w:tr>
      <w:tr w:rsidR="00310CFD" w:rsidRPr="007D00C6" w:rsidTr="0079181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Dostępność części zamiennych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932CD" w:rsidRDefault="00310CFD" w:rsidP="00310CFD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32CD">
              <w:rPr>
                <w:rFonts w:ascii="Arial" w:hAnsi="Arial" w:cs="Arial"/>
                <w:sz w:val="20"/>
                <w:szCs w:val="20"/>
              </w:rPr>
              <w:t>minimum 5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310CFD" w:rsidP="004F5ED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dostępności części zamiennych [min. 10 lat]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Szkolenie z zakresu obsługi sprzętu oraz oprogramowania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 dzień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310CFD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szkolenia z zakresu obsługi sprzętu oraz oprogramowania [min. 1 dzień].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co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10CFD" w:rsidRPr="007D00C6" w:rsidRDefault="00310CFD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5D1899" w:rsidRDefault="009909B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data podpisania formularza "/>
            <w:textInput/>
          </w:ffData>
        </w:fldChar>
      </w:r>
      <w:bookmarkStart w:id="4" w:name="Tekst3"/>
      <w:r>
        <w:rPr>
          <w:rFonts w:ascii="Arial" w:hAnsi="Arial" w:cs="Arial"/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  <w:lang w:eastAsia="pl-PL"/>
        </w:rPr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end"/>
      </w:r>
      <w:bookmarkEnd w:id="4"/>
    </w:p>
    <w:p w:rsid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data podpisania formularza </w:t>
      </w:r>
    </w:p>
    <w:p w:rsidR="00DD7919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5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5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A63FC" w:rsidRPr="006A63FC">
        <w:rPr>
          <w:rFonts w:ascii="Arial" w:hAnsi="Arial" w:cs="Arial"/>
          <w:sz w:val="14"/>
          <w:szCs w:val="16"/>
          <w:lang w:eastAsia="pl-PL"/>
        </w:rPr>
        <w:t>pieczęć imienna i podpis/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sectPr w:rsidR="000833B3" w:rsidSect="00F46A37">
      <w:headerReference w:type="default" r:id="rId104"/>
      <w:footerReference w:type="default" r:id="rId105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47" w:rsidRDefault="009B2B47">
      <w:pPr>
        <w:spacing w:line="240" w:lineRule="auto"/>
      </w:pPr>
      <w:r>
        <w:separator/>
      </w:r>
    </w:p>
  </w:endnote>
  <w:endnote w:type="continuationSeparator" w:id="0">
    <w:p w:rsidR="009B2B47" w:rsidRDefault="009B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B47" w:rsidRDefault="009B2B47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B47" w:rsidRDefault="009B2B4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833B3"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9B2B47" w:rsidRDefault="009B2B4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833B3"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47" w:rsidRDefault="009B2B47">
      <w:pPr>
        <w:spacing w:line="240" w:lineRule="auto"/>
      </w:pPr>
      <w:r>
        <w:separator/>
      </w:r>
    </w:p>
  </w:footnote>
  <w:footnote w:type="continuationSeparator" w:id="0">
    <w:p w:rsidR="009B2B47" w:rsidRDefault="009B2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nr sprawy GI-BAD-23</w:t>
    </w:r>
    <w:r>
      <w:rPr>
        <w:b/>
        <w:sz w:val="20"/>
        <w:szCs w:val="20"/>
        <w:lang w:eastAsia="pl-PL"/>
      </w:rPr>
      <w:t>1</w:t>
    </w:r>
    <w:r w:rsidRPr="00C20F0C">
      <w:rPr>
        <w:b/>
        <w:sz w:val="20"/>
        <w:szCs w:val="20"/>
        <w:lang w:eastAsia="pl-PL"/>
      </w:rPr>
      <w:t>-</w:t>
    </w:r>
    <w:r w:rsidR="00EB6D5A">
      <w:rPr>
        <w:b/>
        <w:sz w:val="20"/>
        <w:szCs w:val="20"/>
        <w:lang w:eastAsia="pl-PL"/>
      </w:rPr>
      <w:t>5</w:t>
    </w:r>
    <w:r w:rsidRPr="00C20F0C">
      <w:rPr>
        <w:b/>
        <w:sz w:val="20"/>
        <w:szCs w:val="20"/>
        <w:lang w:eastAsia="pl-PL"/>
      </w:rPr>
      <w:t>/20</w:t>
    </w:r>
  </w:p>
  <w:p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Załącznik nr 2 do SIWZ </w:t>
    </w:r>
  </w:p>
  <w:p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2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8"/>
  </w:num>
  <w:num w:numId="7">
    <w:abstractNumId w:val="23"/>
  </w:num>
  <w:num w:numId="8">
    <w:abstractNumId w:val="26"/>
  </w:num>
  <w:num w:numId="9">
    <w:abstractNumId w:val="19"/>
  </w:num>
  <w:num w:numId="10">
    <w:abstractNumId w:val="21"/>
  </w:num>
  <w:num w:numId="11">
    <w:abstractNumId w:val="3"/>
  </w:num>
  <w:num w:numId="12">
    <w:abstractNumId w:val="24"/>
  </w:num>
  <w:num w:numId="13">
    <w:abstractNumId w:val="13"/>
  </w:num>
  <w:num w:numId="14">
    <w:abstractNumId w:val="4"/>
  </w:num>
  <w:num w:numId="15">
    <w:abstractNumId w:val="31"/>
  </w:num>
  <w:num w:numId="16">
    <w:abstractNumId w:val="12"/>
  </w:num>
  <w:num w:numId="17">
    <w:abstractNumId w:val="9"/>
  </w:num>
  <w:num w:numId="18">
    <w:abstractNumId w:val="7"/>
  </w:num>
  <w:num w:numId="19">
    <w:abstractNumId w:val="22"/>
  </w:num>
  <w:num w:numId="20">
    <w:abstractNumId w:val="30"/>
  </w:num>
  <w:num w:numId="21">
    <w:abstractNumId w:val="6"/>
  </w:num>
  <w:num w:numId="22">
    <w:abstractNumId w:val="29"/>
  </w:num>
  <w:num w:numId="23">
    <w:abstractNumId w:val="15"/>
  </w:num>
  <w:num w:numId="24">
    <w:abstractNumId w:val="17"/>
  </w:num>
  <w:num w:numId="25">
    <w:abstractNumId w:val="28"/>
  </w:num>
  <w:num w:numId="26">
    <w:abstractNumId w:val="18"/>
  </w:num>
  <w:num w:numId="27">
    <w:abstractNumId w:val="25"/>
  </w:num>
  <w:num w:numId="28">
    <w:abstractNumId w:val="5"/>
  </w:num>
  <w:num w:numId="29">
    <w:abstractNumId w:val="16"/>
  </w:num>
  <w:num w:numId="30">
    <w:abstractNumId w:val="27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45A19"/>
    <w:rsid w:val="00055D35"/>
    <w:rsid w:val="000833B3"/>
    <w:rsid w:val="000A53F0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B00BF"/>
    <w:rsid w:val="004F5ED1"/>
    <w:rsid w:val="005012D7"/>
    <w:rsid w:val="00514D0F"/>
    <w:rsid w:val="0051684E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75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4762F"/>
    <w:rsid w:val="00D535F2"/>
    <w:rsid w:val="00D83430"/>
    <w:rsid w:val="00DB420A"/>
    <w:rsid w:val="00DB65AD"/>
    <w:rsid w:val="00DB78ED"/>
    <w:rsid w:val="00DD7919"/>
    <w:rsid w:val="00E01C9E"/>
    <w:rsid w:val="00E23C6F"/>
    <w:rsid w:val="00E54942"/>
    <w:rsid w:val="00E667C8"/>
    <w:rsid w:val="00E72DB8"/>
    <w:rsid w:val="00EB262E"/>
    <w:rsid w:val="00EB6D5A"/>
    <w:rsid w:val="00ED3577"/>
    <w:rsid w:val="00EE1144"/>
    <w:rsid w:val="00EF7122"/>
    <w:rsid w:val="00F2006F"/>
    <w:rsid w:val="00F21633"/>
    <w:rsid w:val="00F3465E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6" Type="http://schemas.openxmlformats.org/officeDocument/2006/relationships/image" Target="media/image5.wmf"/><Relationship Id="rId107" Type="http://schemas.openxmlformats.org/officeDocument/2006/relationships/theme" Target="theme/theme1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0FDB-0E68-4A2F-8BF2-F63F6964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warunków technicznych</vt:lpstr>
    </vt:vector>
  </TitlesOfParts>
  <Company>Hewlett-Packard Company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warunków technicznych</dc:title>
  <dc:creator>Katarzyna Niedźwiedzka-Rozkosz</dc:creator>
  <cp:lastModifiedBy>Anna Protasowicka</cp:lastModifiedBy>
  <cp:revision>2</cp:revision>
  <cp:lastPrinted>2020-05-29T07:18:00Z</cp:lastPrinted>
  <dcterms:created xsi:type="dcterms:W3CDTF">2020-05-29T08:31:00Z</dcterms:created>
  <dcterms:modified xsi:type="dcterms:W3CDTF">2020-05-29T08:31:00Z</dcterms:modified>
</cp:coreProperties>
</file>