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F7B" w:rsidRDefault="00AE5F7B" w:rsidP="00AE5F7B">
      <w:pPr>
        <w:spacing w:after="0" w:line="360" w:lineRule="auto"/>
        <w:ind w:right="3967"/>
        <w:rPr>
          <w:rFonts w:cstheme="minorHAnsi"/>
          <w:b/>
          <w:sz w:val="24"/>
        </w:rPr>
      </w:pPr>
    </w:p>
    <w:p w:rsidR="00AE5F7B" w:rsidRPr="00AE5F7B" w:rsidRDefault="00AE5F7B" w:rsidP="00AE5F7B">
      <w:pPr>
        <w:spacing w:after="0" w:line="360" w:lineRule="auto"/>
        <w:ind w:right="3967"/>
        <w:rPr>
          <w:rFonts w:cstheme="minorHAnsi"/>
          <w:b/>
          <w:sz w:val="24"/>
        </w:rPr>
      </w:pPr>
      <w:r w:rsidRPr="00AE5F7B">
        <w:rPr>
          <w:rFonts w:cstheme="minorHAnsi"/>
          <w:b/>
          <w:sz w:val="24"/>
        </w:rPr>
        <w:t>Załącznik Nr 1</w:t>
      </w:r>
      <w:bookmarkStart w:id="0" w:name="_GoBack"/>
      <w:bookmarkEnd w:id="0"/>
    </w:p>
    <w:p w:rsidR="00AE5F7B" w:rsidRPr="00AE5F7B" w:rsidRDefault="00AE5F7B" w:rsidP="00AE5F7B">
      <w:pPr>
        <w:spacing w:line="360" w:lineRule="auto"/>
        <w:ind w:right="3967"/>
        <w:jc w:val="both"/>
        <w:rPr>
          <w:rFonts w:cstheme="minorHAnsi"/>
          <w:sz w:val="24"/>
        </w:rPr>
      </w:pPr>
      <w:r w:rsidRPr="00AE5F7B">
        <w:rPr>
          <w:rFonts w:cstheme="minorHAnsi"/>
          <w:sz w:val="24"/>
        </w:rPr>
        <w:t xml:space="preserve">do decyzji o środowiskowych uwarunkowaniach znak: WOO-I.420.3.2024.PP.42 z dnia 21.09.2026 r. dla przedsięwzięcia polegającego </w:t>
      </w:r>
      <w:r w:rsidRPr="00AE5F7B">
        <w:rPr>
          <w:rFonts w:cstheme="minorHAnsi"/>
          <w:b/>
          <w:sz w:val="24"/>
        </w:rPr>
        <w:t>na zmianie lasu na użytek rolny na działce ewidencyjnej o nr 408, obręb Podpolichno, gmina Chęciny</w:t>
      </w:r>
      <w:r w:rsidRPr="00AE5F7B">
        <w:rPr>
          <w:rFonts w:cstheme="minorHAnsi"/>
          <w:sz w:val="24"/>
        </w:rPr>
        <w:t>.</w:t>
      </w:r>
    </w:p>
    <w:p w:rsidR="00AE5F7B" w:rsidRPr="00AE5F7B" w:rsidRDefault="00AE5F7B" w:rsidP="00AE5F7B">
      <w:pPr>
        <w:spacing w:after="0" w:line="360" w:lineRule="auto"/>
        <w:rPr>
          <w:rFonts w:cstheme="minorHAnsi"/>
          <w:b/>
          <w:sz w:val="24"/>
        </w:rPr>
      </w:pPr>
      <w:r w:rsidRPr="00AE5F7B">
        <w:rPr>
          <w:rFonts w:cstheme="minorHAnsi"/>
          <w:b/>
          <w:sz w:val="24"/>
        </w:rPr>
        <w:t>Charakterystyka przedsięwzięcia</w:t>
      </w:r>
    </w:p>
    <w:p w:rsidR="00AE5F7B" w:rsidRPr="00AE5F7B" w:rsidRDefault="00AE5F7B" w:rsidP="00AE5F7B">
      <w:pPr>
        <w:spacing w:after="0" w:line="360" w:lineRule="auto"/>
        <w:jc w:val="both"/>
        <w:rPr>
          <w:rFonts w:cstheme="minorHAnsi"/>
          <w:color w:val="000000"/>
          <w:sz w:val="24"/>
        </w:rPr>
      </w:pPr>
      <w:r w:rsidRPr="00AE5F7B">
        <w:rPr>
          <w:rFonts w:cstheme="minorHAnsi"/>
          <w:color w:val="000000"/>
          <w:sz w:val="24"/>
        </w:rPr>
        <w:t>Planowane zamierzenie polegało będzie na przekształceniu gruntów leśnych o powierzchni ok.</w:t>
      </w:r>
      <w:r>
        <w:rPr>
          <w:rFonts w:cstheme="minorHAnsi"/>
          <w:color w:val="000000"/>
          <w:sz w:val="24"/>
        </w:rPr>
        <w:t> </w:t>
      </w:r>
      <w:r w:rsidRPr="00AE5F7B">
        <w:rPr>
          <w:rFonts w:cstheme="minorHAnsi"/>
          <w:color w:val="000000"/>
          <w:sz w:val="24"/>
        </w:rPr>
        <w:t>0,45 ha zlokalizowanych w południowej części działki o nr ewid. 408 w obrębie Podpolichno, gmina Chęciny, powiat kielecki, województwo świętokrzyskie, na użytek rolny. Celem przedsięwzięcia jest przywrócenie przedmiotowego obszaru do użytkowania rolniczego jako trwały użytek rolny o przeznaczeniu kośno-pastwiskowym.</w:t>
      </w:r>
    </w:p>
    <w:p w:rsidR="00AE5F7B" w:rsidRPr="00AE5F7B" w:rsidRDefault="00AE5F7B" w:rsidP="00AE5F7B">
      <w:pPr>
        <w:spacing w:after="0" w:line="360" w:lineRule="auto"/>
        <w:jc w:val="both"/>
        <w:rPr>
          <w:rFonts w:cstheme="minorHAnsi"/>
          <w:color w:val="000000"/>
          <w:sz w:val="24"/>
        </w:rPr>
      </w:pPr>
      <w:r w:rsidRPr="00AE5F7B">
        <w:rPr>
          <w:rFonts w:cstheme="minorHAnsi"/>
          <w:color w:val="000000"/>
          <w:sz w:val="24"/>
        </w:rPr>
        <w:t>Powierzchnia działki o nr ewid. 408, obręb Podpolichno, gmina Chęciny wynosi 1,54 ha przy czym, zgodnie z ewidencją gruntów i budynków część działki o powierzchni ok. 0,55 ha stanowią grunty leśne (</w:t>
      </w:r>
      <w:proofErr w:type="spellStart"/>
      <w:r w:rsidRPr="00AE5F7B">
        <w:rPr>
          <w:rFonts w:cstheme="minorHAnsi"/>
          <w:color w:val="000000"/>
          <w:sz w:val="24"/>
        </w:rPr>
        <w:t>LsV</w:t>
      </w:r>
      <w:proofErr w:type="spellEnd"/>
      <w:r w:rsidRPr="00AE5F7B">
        <w:rPr>
          <w:rFonts w:cstheme="minorHAnsi"/>
          <w:color w:val="000000"/>
          <w:sz w:val="24"/>
        </w:rPr>
        <w:t>), natomiast pozostałą część tj. ok. 0,99 ha stanowią grunty rolne (</w:t>
      </w:r>
      <w:proofErr w:type="spellStart"/>
      <w:r w:rsidRPr="00AE5F7B">
        <w:rPr>
          <w:rFonts w:cstheme="minorHAnsi"/>
          <w:color w:val="000000"/>
          <w:sz w:val="24"/>
        </w:rPr>
        <w:t>RIVa</w:t>
      </w:r>
      <w:proofErr w:type="spellEnd"/>
      <w:r w:rsidRPr="00AE5F7B">
        <w:rPr>
          <w:rFonts w:cstheme="minorHAnsi"/>
          <w:color w:val="000000"/>
          <w:sz w:val="24"/>
        </w:rPr>
        <w:t>, RV, RVI). Realizacja przedsięwzięcia obejmie grunty leśne o łącznej powierzchni ok.</w:t>
      </w:r>
      <w:r>
        <w:rPr>
          <w:rFonts w:cstheme="minorHAnsi"/>
          <w:color w:val="000000"/>
          <w:sz w:val="24"/>
        </w:rPr>
        <w:t> </w:t>
      </w:r>
      <w:r w:rsidRPr="00AE5F7B">
        <w:rPr>
          <w:rFonts w:cstheme="minorHAnsi"/>
          <w:color w:val="000000"/>
          <w:sz w:val="24"/>
        </w:rPr>
        <w:t>0,45</w:t>
      </w:r>
      <w:r>
        <w:rPr>
          <w:rFonts w:cstheme="minorHAnsi"/>
          <w:color w:val="000000"/>
          <w:sz w:val="24"/>
        </w:rPr>
        <w:t> </w:t>
      </w:r>
      <w:r w:rsidRPr="00AE5F7B">
        <w:rPr>
          <w:rFonts w:cstheme="minorHAnsi"/>
          <w:color w:val="000000"/>
          <w:sz w:val="24"/>
        </w:rPr>
        <w:t>ha.</w:t>
      </w:r>
    </w:p>
    <w:p w:rsidR="00AE5F7B" w:rsidRPr="00AE5F7B" w:rsidRDefault="00AE5F7B" w:rsidP="00AE5F7B">
      <w:pPr>
        <w:spacing w:after="0" w:line="360" w:lineRule="auto"/>
        <w:jc w:val="both"/>
        <w:rPr>
          <w:rFonts w:cstheme="minorHAnsi"/>
          <w:sz w:val="24"/>
          <w:shd w:val="clear" w:color="auto" w:fill="FFFFFF"/>
        </w:rPr>
      </w:pPr>
      <w:r w:rsidRPr="00AE5F7B">
        <w:rPr>
          <w:rFonts w:cstheme="minorHAnsi"/>
          <w:sz w:val="24"/>
        </w:rPr>
        <w:t>Na terenie inwestycji występuje do 150 drzew głównie z gatunków tj.: sosna zwyczajna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Pinus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sylvestris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L</w:t>
      </w:r>
      <w:r w:rsidRPr="00AE5F7B">
        <w:rPr>
          <w:rFonts w:cstheme="minorHAnsi"/>
          <w:sz w:val="24"/>
          <w:shd w:val="clear" w:color="auto" w:fill="FFFFFF"/>
        </w:rPr>
        <w:t>.)</w:t>
      </w:r>
      <w:r w:rsidRPr="00AE5F7B">
        <w:rPr>
          <w:rFonts w:cstheme="minorHAnsi"/>
          <w:sz w:val="24"/>
        </w:rPr>
        <w:t>, brzoza brodawkowata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Betula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pendula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Roth</w:t>
      </w:r>
      <w:proofErr w:type="spellEnd"/>
      <w:r w:rsidRPr="00AE5F7B">
        <w:rPr>
          <w:rFonts w:cstheme="minorHAnsi"/>
          <w:sz w:val="24"/>
          <w:shd w:val="clear" w:color="auto" w:fill="FFFFFF"/>
        </w:rPr>
        <w:t>)</w:t>
      </w:r>
      <w:r w:rsidRPr="00AE5F7B">
        <w:rPr>
          <w:rFonts w:cstheme="minorHAnsi"/>
          <w:sz w:val="24"/>
        </w:rPr>
        <w:t>, dąb szypułkowy</w:t>
      </w:r>
      <w:r w:rsidRPr="00AE5F7B">
        <w:rPr>
          <w:rFonts w:cstheme="minorHAnsi"/>
          <w:sz w:val="24"/>
          <w:shd w:val="clear" w:color="auto" w:fill="FFFFFF"/>
        </w:rPr>
        <w:t xml:space="preserve">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Quercus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robur L</w:t>
      </w:r>
      <w:r w:rsidRPr="00AE5F7B">
        <w:rPr>
          <w:rFonts w:cstheme="minorHAnsi"/>
          <w:sz w:val="24"/>
          <w:shd w:val="clear" w:color="auto" w:fill="FFFFFF"/>
        </w:rPr>
        <w:t>.)</w:t>
      </w:r>
      <w:r w:rsidRPr="00AE5F7B">
        <w:rPr>
          <w:rFonts w:cstheme="minorHAnsi"/>
          <w:sz w:val="24"/>
        </w:rPr>
        <w:t>, dąb bezszypułkowy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Quercus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petraea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(Matt.)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Liebl</w:t>
      </w:r>
      <w:proofErr w:type="spellEnd"/>
      <w:r w:rsidRPr="00AE5F7B">
        <w:rPr>
          <w:rFonts w:cstheme="minorHAnsi"/>
          <w:sz w:val="24"/>
          <w:shd w:val="clear" w:color="auto" w:fill="FFFFFF"/>
        </w:rPr>
        <w:t>.)</w:t>
      </w:r>
      <w:r w:rsidRPr="00AE5F7B">
        <w:rPr>
          <w:rFonts w:cstheme="minorHAnsi"/>
          <w:sz w:val="24"/>
        </w:rPr>
        <w:t>, robinia akacjowa (</w:t>
      </w:r>
      <w:r w:rsidRPr="00AE5F7B">
        <w:rPr>
          <w:rFonts w:cstheme="minorHAnsi"/>
          <w:i/>
          <w:sz w:val="24"/>
          <w:shd w:val="clear" w:color="auto" w:fill="FFFFFF"/>
        </w:rPr>
        <w:t xml:space="preserve">Robinia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pseudoacacia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L</w:t>
      </w:r>
      <w:r w:rsidRPr="00AE5F7B">
        <w:rPr>
          <w:rFonts w:cstheme="minorHAnsi"/>
          <w:sz w:val="24"/>
          <w:shd w:val="clear" w:color="auto" w:fill="FFFFFF"/>
        </w:rPr>
        <w:t>.)</w:t>
      </w:r>
      <w:r w:rsidRPr="00AE5F7B">
        <w:rPr>
          <w:rFonts w:cstheme="minorHAnsi"/>
          <w:sz w:val="24"/>
        </w:rPr>
        <w:t>, jarząb pospolity (</w:t>
      </w:r>
      <w:proofErr w:type="spellStart"/>
      <w:r w:rsidRPr="00AE5F7B">
        <w:rPr>
          <w:rFonts w:cstheme="minorHAnsi"/>
          <w:i/>
          <w:iCs/>
          <w:sz w:val="24"/>
          <w:shd w:val="clear" w:color="auto" w:fill="FFFFFF"/>
        </w:rPr>
        <w:t>Sorbus</w:t>
      </w:r>
      <w:proofErr w:type="spellEnd"/>
      <w:r w:rsidRPr="00AE5F7B">
        <w:rPr>
          <w:rFonts w:cstheme="minorHAnsi"/>
          <w:i/>
          <w:iCs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iCs/>
          <w:sz w:val="24"/>
          <w:shd w:val="clear" w:color="auto" w:fill="FFFFFF"/>
        </w:rPr>
        <w:t>aucuparia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> L</w:t>
      </w:r>
      <w:r w:rsidRPr="00AE5F7B">
        <w:rPr>
          <w:rFonts w:cstheme="minorHAnsi"/>
          <w:sz w:val="24"/>
          <w:shd w:val="clear" w:color="auto" w:fill="FFFFFF"/>
        </w:rPr>
        <w:t>.</w:t>
      </w:r>
      <w:r w:rsidRPr="00AE5F7B">
        <w:rPr>
          <w:rFonts w:cstheme="minorHAnsi"/>
          <w:sz w:val="24"/>
        </w:rPr>
        <w:t>), klon zwyczajny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Acer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platanoides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L</w:t>
      </w:r>
      <w:r w:rsidRPr="00AE5F7B">
        <w:rPr>
          <w:rFonts w:cstheme="minorHAnsi"/>
          <w:sz w:val="24"/>
          <w:shd w:val="clear" w:color="auto" w:fill="FFFFFF"/>
        </w:rPr>
        <w:t>.)</w:t>
      </w:r>
      <w:r w:rsidRPr="00AE5F7B">
        <w:rPr>
          <w:rFonts w:cstheme="minorHAnsi"/>
          <w:sz w:val="24"/>
        </w:rPr>
        <w:t>, czeremcha amerykańska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Prunus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serotina</w:t>
      </w:r>
      <w:proofErr w:type="spellEnd"/>
      <w:r w:rsidRPr="00AE5F7B">
        <w:rPr>
          <w:rFonts w:cstheme="minorHAnsi"/>
          <w:sz w:val="24"/>
          <w:shd w:val="clear" w:color="auto" w:fill="FFFFFF"/>
        </w:rPr>
        <w:t>). W obrębie podszytu stwierdzono występowanie jałowca pospolitego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Juniperus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communis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L</w:t>
      </w:r>
      <w:r w:rsidRPr="00AE5F7B">
        <w:rPr>
          <w:rFonts w:cstheme="minorHAnsi"/>
          <w:sz w:val="24"/>
          <w:shd w:val="clear" w:color="auto" w:fill="FFFFFF"/>
        </w:rPr>
        <w:t>.), kruszyny pospolitej (</w:t>
      </w:r>
      <w:proofErr w:type="spellStart"/>
      <w:r w:rsidRPr="00AE5F7B">
        <w:rPr>
          <w:rFonts w:cstheme="minorHAnsi"/>
          <w:i/>
          <w:color w:val="474747"/>
          <w:sz w:val="24"/>
          <w:shd w:val="clear" w:color="auto" w:fill="FFFFFF"/>
        </w:rPr>
        <w:t>Frangula</w:t>
      </w:r>
      <w:proofErr w:type="spellEnd"/>
      <w:r w:rsidRPr="00AE5F7B">
        <w:rPr>
          <w:rFonts w:cstheme="minorHAnsi"/>
          <w:i/>
          <w:color w:val="474747"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color w:val="474747"/>
          <w:sz w:val="24"/>
          <w:shd w:val="clear" w:color="auto" w:fill="FFFFFF"/>
        </w:rPr>
        <w:t>alnus</w:t>
      </w:r>
      <w:proofErr w:type="spellEnd"/>
      <w:r w:rsidRPr="00AE5F7B">
        <w:rPr>
          <w:rFonts w:cstheme="minorHAnsi"/>
          <w:i/>
          <w:color w:val="474747"/>
          <w:sz w:val="24"/>
          <w:shd w:val="clear" w:color="auto" w:fill="FFFFFF"/>
        </w:rPr>
        <w:t xml:space="preserve"> Mill</w:t>
      </w:r>
      <w:r w:rsidRPr="00AE5F7B">
        <w:rPr>
          <w:rFonts w:cstheme="minorHAnsi"/>
          <w:color w:val="474747"/>
          <w:sz w:val="24"/>
          <w:shd w:val="clear" w:color="auto" w:fill="FFFFFF"/>
        </w:rPr>
        <w:t>.)</w:t>
      </w:r>
      <w:r w:rsidRPr="00AE5F7B">
        <w:rPr>
          <w:rFonts w:cstheme="minorHAnsi"/>
          <w:sz w:val="24"/>
          <w:shd w:val="clear" w:color="auto" w:fill="FFFFFF"/>
        </w:rPr>
        <w:t xml:space="preserve">, </w:t>
      </w:r>
      <w:proofErr w:type="spellStart"/>
      <w:r w:rsidRPr="00AE5F7B">
        <w:rPr>
          <w:rFonts w:cstheme="minorHAnsi"/>
          <w:sz w:val="24"/>
          <w:shd w:val="clear" w:color="auto" w:fill="FFFFFF"/>
        </w:rPr>
        <w:t>jarząba</w:t>
      </w:r>
      <w:proofErr w:type="spellEnd"/>
      <w:r w:rsidRPr="00AE5F7B">
        <w:rPr>
          <w:rFonts w:cstheme="minorHAnsi"/>
          <w:sz w:val="24"/>
          <w:shd w:val="clear" w:color="auto" w:fill="FFFFFF"/>
        </w:rPr>
        <w:t xml:space="preserve"> pospolitego (</w:t>
      </w:r>
      <w:proofErr w:type="spellStart"/>
      <w:r w:rsidRPr="00AE5F7B">
        <w:rPr>
          <w:rFonts w:cstheme="minorHAnsi"/>
          <w:i/>
          <w:iCs/>
          <w:sz w:val="24"/>
          <w:shd w:val="clear" w:color="auto" w:fill="FFFFFF"/>
        </w:rPr>
        <w:t>Sorbus</w:t>
      </w:r>
      <w:proofErr w:type="spellEnd"/>
      <w:r w:rsidRPr="00AE5F7B">
        <w:rPr>
          <w:rFonts w:cstheme="minorHAnsi"/>
          <w:i/>
          <w:iCs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iCs/>
          <w:sz w:val="24"/>
          <w:shd w:val="clear" w:color="auto" w:fill="FFFFFF"/>
        </w:rPr>
        <w:t>aucuparia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> L</w:t>
      </w:r>
      <w:r w:rsidRPr="00AE5F7B">
        <w:rPr>
          <w:rFonts w:cstheme="minorHAnsi"/>
          <w:sz w:val="24"/>
          <w:shd w:val="clear" w:color="auto" w:fill="FFFFFF"/>
        </w:rPr>
        <w:t>.), czeremchy amerykańskiej (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Prunus</w:t>
      </w:r>
      <w:proofErr w:type="spellEnd"/>
      <w:r w:rsidRPr="00AE5F7B">
        <w:rPr>
          <w:rFonts w:cstheme="minorHAnsi"/>
          <w:i/>
          <w:sz w:val="24"/>
          <w:shd w:val="clear" w:color="auto" w:fill="FFFFFF"/>
        </w:rPr>
        <w:t xml:space="preserve"> </w:t>
      </w:r>
      <w:proofErr w:type="spellStart"/>
      <w:r w:rsidRPr="00AE5F7B">
        <w:rPr>
          <w:rFonts w:cstheme="minorHAnsi"/>
          <w:i/>
          <w:sz w:val="24"/>
          <w:shd w:val="clear" w:color="auto" w:fill="FFFFFF"/>
        </w:rPr>
        <w:t>serotina</w:t>
      </w:r>
      <w:proofErr w:type="spellEnd"/>
      <w:r w:rsidRPr="00AE5F7B">
        <w:rPr>
          <w:rFonts w:cstheme="minorHAnsi"/>
          <w:sz w:val="24"/>
          <w:shd w:val="clear" w:color="auto" w:fill="FFFFFF"/>
        </w:rPr>
        <w:t>) oraz młodych form dębu, klonu, osiki, brzozy o szacunkowej łącznej powierzchni do 500 m</w:t>
      </w:r>
      <w:r w:rsidRPr="00AE5F7B">
        <w:rPr>
          <w:rFonts w:cstheme="minorHAnsi"/>
          <w:sz w:val="24"/>
          <w:shd w:val="clear" w:color="auto" w:fill="FFFFFF"/>
          <w:vertAlign w:val="superscript"/>
        </w:rPr>
        <w:t>2</w:t>
      </w:r>
      <w:r w:rsidRPr="00AE5F7B">
        <w:rPr>
          <w:rFonts w:cstheme="minorHAnsi"/>
          <w:sz w:val="24"/>
          <w:shd w:val="clear" w:color="auto" w:fill="FFFFFF"/>
        </w:rPr>
        <w:t xml:space="preserve">. Realizacja przedsięwzięcia wiązać się będzie z wycinką drzew i krzewów na powierzchni ok. 0,45 ha oraz przygotowaniem podłoża w kierunku użytkowania rolniczego tj. oczyszczeniem terenu po przeprowadzonej wycince (usunięcie pozostałości po wyrębie: pni, korzeni, gałęzi oraz likwidację samosiewów), karczowaniem i usuwaniem systemów korzeniowych (mechaniczne karczowanie pni i korzeni, a także punktowe wyrównywanie miejsc po karczowaniu, koleinach po ciężkim sprzęcie). Zakres prac przygotowawczych obejmował będzie spulchnianie (orka), </w:t>
      </w:r>
      <w:r w:rsidRPr="00AE5F7B">
        <w:rPr>
          <w:rFonts w:cstheme="minorHAnsi"/>
          <w:sz w:val="24"/>
          <w:shd w:val="clear" w:color="auto" w:fill="FFFFFF"/>
        </w:rPr>
        <w:lastRenderedPageBreak/>
        <w:t>a także odkwaszanie/wapniowanie gleby – powyższe czynności mają na celu przygotowanie gleby do użytkowania kośno-pastwiskowego, poprzez poprawę jej właściwości. Planowane przygotowanie tego terenu pod działalność rolniczą obejmować będzie obsiew mieszankami roślin, traw i roślin motylkowych. Następnie, prowadzone będą zabiegi pielęgnacyjne (wałowanie, bronowanie, dosiewy uzupełniające, pierwsze koszenie pielęgnacyjne). W ramach prowadzonych prac nie będą wykorzystywane środki ochrony roślin. Na etapie eksploatacji teren inwestycji będzie stanowił trwały użytek zielony wymagający koszenia, z którego uzyskiwana biomasa będzie stanowiła pokarm dla zwierząt gospodarskich.</w:t>
      </w:r>
    </w:p>
    <w:p w:rsidR="00AE5F7B" w:rsidRPr="00AE5F7B" w:rsidRDefault="00AE5F7B" w:rsidP="00AE5F7B">
      <w:pPr>
        <w:spacing w:after="0" w:line="360" w:lineRule="auto"/>
        <w:jc w:val="both"/>
        <w:rPr>
          <w:rFonts w:cstheme="minorHAnsi"/>
          <w:color w:val="000000"/>
          <w:sz w:val="24"/>
        </w:rPr>
      </w:pPr>
      <w:r w:rsidRPr="00AE5F7B">
        <w:rPr>
          <w:rFonts w:cstheme="minorHAnsi"/>
          <w:color w:val="000000"/>
          <w:sz w:val="24"/>
        </w:rPr>
        <w:t>Realizacja inwestycji planowana jest w granicach:</w:t>
      </w:r>
    </w:p>
    <w:p w:rsidR="00AE5F7B" w:rsidRPr="00AE5F7B" w:rsidRDefault="00AE5F7B" w:rsidP="00AE5F7B">
      <w:pPr>
        <w:spacing w:after="0" w:line="36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- </w:t>
      </w:r>
      <w:r w:rsidRPr="00AE5F7B">
        <w:rPr>
          <w:rFonts w:cstheme="minorHAnsi"/>
          <w:sz w:val="24"/>
        </w:rPr>
        <w:t>Chęcińsko-Kieleckiego Parku Krajobrazowego wyznaczonego Uchwałą Nr XXVI/371/16 Sejmiku Województwa Świętokrzyskiego z dnia 26 września 2016 r. w sprawie utworzenia Chęcińsko-Kieleckiego Parku Krajobrazowego (Dz. U. Woj. Święt. z 2016 r. poz. 2914 ze zm.),</w:t>
      </w:r>
    </w:p>
    <w:p w:rsidR="00AE5F7B" w:rsidRPr="00AE5F7B" w:rsidRDefault="00AE5F7B" w:rsidP="00AE5F7B">
      <w:pPr>
        <w:spacing w:after="0" w:line="36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- </w:t>
      </w:r>
      <w:r w:rsidRPr="00AE5F7B">
        <w:rPr>
          <w:rFonts w:cstheme="minorHAnsi"/>
          <w:sz w:val="24"/>
        </w:rPr>
        <w:t>specjalnego obszaru ochrony siedlisk Natura 2000 Wzgórza Chęcińsko-Kieleckie PLH 260041, wyznaczonego Rozporządzeniem Ministra Klimatu i Środowiska z dnia 20 stycznia 2022 r. w</w:t>
      </w:r>
      <w:r>
        <w:rPr>
          <w:rFonts w:cstheme="minorHAnsi"/>
          <w:sz w:val="24"/>
        </w:rPr>
        <w:t> </w:t>
      </w:r>
      <w:r w:rsidRPr="00AE5F7B">
        <w:rPr>
          <w:rFonts w:cstheme="minorHAnsi"/>
          <w:sz w:val="24"/>
        </w:rPr>
        <w:t>sprawie specjalnego obszaru ochrony siedlisk Wzgórza Chęcińsko-Kieleckie PLH260041;</w:t>
      </w:r>
    </w:p>
    <w:p w:rsidR="00AE5F7B" w:rsidRPr="00AE5F7B" w:rsidRDefault="00AE5F7B" w:rsidP="00AE5F7B">
      <w:pPr>
        <w:spacing w:line="360" w:lineRule="auto"/>
        <w:jc w:val="both"/>
        <w:rPr>
          <w:rFonts w:cstheme="minorHAnsi"/>
          <w:sz w:val="24"/>
        </w:rPr>
      </w:pPr>
      <w:r>
        <w:rPr>
          <w:rFonts w:cstheme="minorHAnsi"/>
          <w:sz w:val="24"/>
        </w:rPr>
        <w:t xml:space="preserve">- </w:t>
      </w:r>
      <w:r w:rsidRPr="00AE5F7B">
        <w:rPr>
          <w:rFonts w:cstheme="minorHAnsi"/>
          <w:sz w:val="24"/>
        </w:rPr>
        <w:t>korytarza ekologicznego Dolina Nidy (KPdC-8B).</w:t>
      </w:r>
    </w:p>
    <w:p w:rsidR="00AE5F7B" w:rsidRPr="00AE5F7B" w:rsidRDefault="00AE5F7B" w:rsidP="00AE5F7B">
      <w:pPr>
        <w:spacing w:after="0" w:line="360" w:lineRule="auto"/>
        <w:rPr>
          <w:rFonts w:cstheme="minorHAnsi"/>
          <w:sz w:val="24"/>
        </w:rPr>
      </w:pPr>
      <w:r w:rsidRPr="00AE5F7B">
        <w:rPr>
          <w:rFonts w:cstheme="minorHAnsi"/>
          <w:sz w:val="24"/>
        </w:rPr>
        <w:t>Z up. Regionalnego Dyrektora</w:t>
      </w:r>
    </w:p>
    <w:p w:rsidR="00AE5F7B" w:rsidRPr="00AE5F7B" w:rsidRDefault="00AE5F7B" w:rsidP="00AE5F7B">
      <w:pPr>
        <w:spacing w:after="0" w:line="360" w:lineRule="auto"/>
        <w:rPr>
          <w:rFonts w:cstheme="minorHAnsi"/>
          <w:sz w:val="24"/>
        </w:rPr>
      </w:pPr>
      <w:r w:rsidRPr="00AE5F7B">
        <w:rPr>
          <w:rFonts w:cstheme="minorHAnsi"/>
          <w:sz w:val="24"/>
        </w:rPr>
        <w:t>Ochrony Środowiska w Kielcach</w:t>
      </w:r>
    </w:p>
    <w:p w:rsidR="00AE5F7B" w:rsidRPr="00AE5F7B" w:rsidRDefault="00AE5F7B" w:rsidP="00AE5F7B">
      <w:pPr>
        <w:spacing w:after="0" w:line="360" w:lineRule="auto"/>
        <w:rPr>
          <w:rFonts w:cstheme="minorHAnsi"/>
          <w:sz w:val="24"/>
        </w:rPr>
      </w:pPr>
      <w:r w:rsidRPr="00AE5F7B">
        <w:rPr>
          <w:rFonts w:cstheme="minorHAnsi"/>
          <w:sz w:val="24"/>
        </w:rPr>
        <w:t>Wioletta Łyżwa</w:t>
      </w:r>
    </w:p>
    <w:p w:rsidR="00AE5F7B" w:rsidRPr="00AE5F7B" w:rsidRDefault="00AE5F7B" w:rsidP="00AE5F7B">
      <w:pPr>
        <w:spacing w:after="0" w:line="360" w:lineRule="auto"/>
        <w:rPr>
          <w:rFonts w:cstheme="minorHAnsi"/>
          <w:sz w:val="24"/>
        </w:rPr>
      </w:pPr>
      <w:r w:rsidRPr="00AE5F7B">
        <w:rPr>
          <w:rFonts w:cstheme="minorHAnsi"/>
          <w:sz w:val="24"/>
        </w:rPr>
        <w:t>p.o. Naczelnika Wydziału</w:t>
      </w:r>
    </w:p>
    <w:p w:rsidR="00AE5F7B" w:rsidRPr="00AE5F7B" w:rsidRDefault="00AE5F7B" w:rsidP="00AE5F7B">
      <w:pPr>
        <w:spacing w:after="0" w:line="360" w:lineRule="auto"/>
        <w:rPr>
          <w:rFonts w:cstheme="minorHAnsi"/>
          <w:sz w:val="24"/>
        </w:rPr>
      </w:pPr>
      <w:r w:rsidRPr="00AE5F7B">
        <w:rPr>
          <w:rFonts w:cstheme="minorHAnsi"/>
          <w:sz w:val="24"/>
        </w:rPr>
        <w:t>Ocen Oddziaływania na Środowisko</w:t>
      </w:r>
    </w:p>
    <w:p w:rsidR="00AE5F7B" w:rsidRPr="00AE5F7B" w:rsidRDefault="00AE5F7B" w:rsidP="00AE5F7B">
      <w:pPr>
        <w:spacing w:after="0" w:line="360" w:lineRule="auto"/>
        <w:rPr>
          <w:rFonts w:cstheme="minorHAnsi"/>
          <w:sz w:val="24"/>
        </w:rPr>
      </w:pPr>
      <w:r w:rsidRPr="00AE5F7B">
        <w:rPr>
          <w:rFonts w:cstheme="minorHAnsi"/>
          <w:sz w:val="24"/>
        </w:rPr>
        <w:t>/-podpisany cyfrowo/</w:t>
      </w:r>
    </w:p>
    <w:p w:rsidR="00FE17E8" w:rsidRPr="00AE5F7B" w:rsidRDefault="00FE17E8" w:rsidP="00AE5F7B">
      <w:pPr>
        <w:spacing w:line="360" w:lineRule="auto"/>
        <w:rPr>
          <w:rFonts w:cstheme="minorHAnsi"/>
          <w:sz w:val="24"/>
        </w:rPr>
      </w:pPr>
    </w:p>
    <w:sectPr w:rsidR="00FE17E8" w:rsidRPr="00AE5F7B" w:rsidSect="0044348E">
      <w:headerReference w:type="default" r:id="rId5"/>
      <w:footerReference w:type="default" r:id="rId6"/>
      <w:headerReference w:type="first" r:id="rId7"/>
      <w:pgSz w:w="11906" w:h="16838"/>
      <w:pgMar w:top="709" w:right="1418" w:bottom="851" w:left="1418" w:header="567" w:footer="779" w:gutter="0"/>
      <w:cols w:space="708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16"/>
        <w:szCs w:val="16"/>
      </w:rPr>
      <w:id w:val="2100138596"/>
      <w:docPartObj>
        <w:docPartGallery w:val="Page Numbers (Bottom of Page)"/>
        <w:docPartUnique/>
      </w:docPartObj>
    </w:sdtPr>
    <w:sdtEndPr/>
    <w:sdtContent>
      <w:p w:rsidR="004B3B09" w:rsidRPr="004B3B09" w:rsidRDefault="00AE5F7B" w:rsidP="004B3B09">
        <w:pPr>
          <w:pStyle w:val="Stopka"/>
          <w:jc w:val="center"/>
          <w:rPr>
            <w:rFonts w:asciiTheme="majorHAnsi" w:eastAsiaTheme="majorEastAsia" w:hAnsiTheme="majorHAnsi" w:cstheme="majorBidi"/>
            <w:sz w:val="16"/>
            <w:szCs w:val="16"/>
          </w:rPr>
        </w:pPr>
        <w:r w:rsidRPr="004B3B09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4B3B09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4B3B09">
          <w:rPr>
            <w:sz w:val="16"/>
            <w:szCs w:val="16"/>
          </w:rPr>
          <w:instrText xml:space="preserve">PAGE    \* </w:instrText>
        </w:r>
        <w:r w:rsidRPr="004B3B09">
          <w:rPr>
            <w:sz w:val="16"/>
            <w:szCs w:val="16"/>
          </w:rPr>
          <w:instrText>MERGEFORMAT</w:instrText>
        </w:r>
        <w:r w:rsidRPr="004B3B09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Pr="00AE5F7B">
          <w:rPr>
            <w:rFonts w:asciiTheme="majorHAnsi" w:eastAsiaTheme="majorEastAsia" w:hAnsiTheme="majorHAnsi" w:cstheme="majorBidi"/>
            <w:noProof/>
            <w:sz w:val="16"/>
            <w:szCs w:val="16"/>
          </w:rPr>
          <w:t>2</w:t>
        </w:r>
        <w:r w:rsidRPr="004B3B09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BFA" w:rsidRDefault="00AE5F7B">
    <w:pPr>
      <w:pStyle w:val="Nagwek"/>
      <w:ind w:hanging="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1BFA" w:rsidRDefault="00AE5F7B" w:rsidP="00E01A65">
    <w:pPr>
      <w:pStyle w:val="Nagwek"/>
      <w:tabs>
        <w:tab w:val="clear" w:pos="4536"/>
        <w:tab w:val="clear" w:pos="9072"/>
      </w:tabs>
    </w:pPr>
    <w:r>
      <w:rPr>
        <w:noProof/>
        <w:lang w:eastAsia="pl-PL"/>
      </w:rPr>
      <w:drawing>
        <wp:inline distT="0" distB="0" distL="0" distR="0" wp14:anchorId="1D35A96E" wp14:editId="2EB1B149">
          <wp:extent cx="1971675" cy="690245"/>
          <wp:effectExtent l="0" t="0" r="0" b="0"/>
          <wp:docPr id="362010792" name="Obraz 362010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65774"/>
                  <a:stretch/>
                </pic:blipFill>
                <pic:spPr bwMode="auto">
                  <a:xfrm>
                    <a:off x="0" y="0"/>
                    <a:ext cx="1971675" cy="690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209"/>
    <w:multiLevelType w:val="hybridMultilevel"/>
    <w:tmpl w:val="84507128"/>
    <w:lvl w:ilvl="0" w:tplc="ABE87E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31"/>
    <w:rsid w:val="001A4531"/>
    <w:rsid w:val="00AE5F7B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EA5D9-CC0B-4BF0-800D-F3739B3C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5F7B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AE5F7B"/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AE5F7B"/>
    <w:rPr>
      <w:rFonts w:ascii="Calibri" w:eastAsia="Calibri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E5F7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NagwekZnak1">
    <w:name w:val="Nagłówek Znak1"/>
    <w:basedOn w:val="Domylnaczcionkaakapitu"/>
    <w:uiPriority w:val="99"/>
    <w:semiHidden/>
    <w:rsid w:val="00AE5F7B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AE5F7B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</w:rPr>
  </w:style>
  <w:style w:type="character" w:customStyle="1" w:styleId="StopkaZnak1">
    <w:name w:val="Stopka Znak1"/>
    <w:basedOn w:val="Domylnaczcionkaakapitu"/>
    <w:uiPriority w:val="99"/>
    <w:semiHidden/>
    <w:rsid w:val="00AE5F7B"/>
    <w:rPr>
      <w:rFonts w:cs="Times New Roman"/>
    </w:rPr>
  </w:style>
  <w:style w:type="paragraph" w:styleId="Akapitzlist">
    <w:name w:val="List Paragraph"/>
    <w:basedOn w:val="Normalny"/>
    <w:uiPriority w:val="34"/>
    <w:qFormat/>
    <w:rsid w:val="00AE5F7B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E5F7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E5F7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2026-09-21T13:21:00Z</dcterms:created>
  <dcterms:modified xsi:type="dcterms:W3CDTF">2026-09-21T13:23:00Z</dcterms:modified>
</cp:coreProperties>
</file>