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81B" w:rsidRDefault="00C101EF" w:rsidP="00D4681B">
      <w:pPr>
        <w:framePr w:w="4500" w:h="1553" w:hRule="exact" w:hSpace="180" w:wrap="around" w:vAnchor="text" w:hAnchor="page" w:x="1381" w:y="-29"/>
        <w:tabs>
          <w:tab w:val="left" w:pos="6237"/>
        </w:tabs>
        <w:ind w:right="-567"/>
      </w:pPr>
      <w:r>
        <w:t xml:space="preserve">                      </w:t>
      </w:r>
      <w:r>
        <w:rPr>
          <w:noProof/>
        </w:rPr>
        <w:drawing>
          <wp:inline distT="0" distB="0" distL="0" distR="0">
            <wp:extent cx="457200" cy="5143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3" t="32320" r="50797" b="33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</w:t>
      </w:r>
    </w:p>
    <w:p w:rsidR="00D4681B" w:rsidRDefault="00C101EF" w:rsidP="00D4681B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rPr>
          <w:rStyle w:val="Pogrubienie"/>
        </w:rPr>
      </w:pPr>
      <w:r>
        <w:rPr>
          <w:rStyle w:val="Pogrubienie"/>
        </w:rPr>
        <w:t>WOJEWODA MAZOWIECKI</w:t>
      </w:r>
    </w:p>
    <w:p w:rsidR="00D4681B" w:rsidRDefault="00C101EF" w:rsidP="00D4681B">
      <w:pPr>
        <w:framePr w:w="4500" w:h="1553" w:hRule="exact" w:hSpace="180" w:wrap="around" w:vAnchor="text" w:hAnchor="page" w:x="1381" w:y="-29"/>
        <w:jc w:val="center"/>
        <w:rPr>
          <w:sz w:val="20"/>
          <w:szCs w:val="20"/>
          <w:u w:val="single"/>
        </w:rPr>
      </w:pPr>
    </w:p>
    <w:p w:rsidR="00D4681B" w:rsidRDefault="00C101EF" w:rsidP="00D4681B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D4681B" w:rsidRDefault="00C101EF" w:rsidP="00D4681B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D4681B" w:rsidRDefault="00C101EF" w:rsidP="00D4681B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D4681B" w:rsidRDefault="00C101EF" w:rsidP="00D4681B">
      <w:pPr>
        <w:tabs>
          <w:tab w:val="left" w:pos="6237"/>
        </w:tabs>
      </w:pPr>
      <w:r>
        <w:t xml:space="preserve">                          Warszawa, </w:t>
      </w:r>
      <w:bookmarkStart w:id="0" w:name="ezdDataPodpisu"/>
      <w:r>
        <w:t>21 czerwca 2021 r.</w:t>
      </w:r>
      <w:bookmarkEnd w:id="0"/>
    </w:p>
    <w:p w:rsidR="00D4681B" w:rsidRDefault="00C101EF" w:rsidP="00D4681B"/>
    <w:p w:rsidR="00D4681B" w:rsidRDefault="00C101EF" w:rsidP="00D4681B"/>
    <w:p w:rsidR="00D4681B" w:rsidRDefault="00C101EF" w:rsidP="00D4681B"/>
    <w:p w:rsidR="00D4681B" w:rsidRDefault="00C101EF" w:rsidP="00D4681B"/>
    <w:p w:rsidR="00D4681B" w:rsidRDefault="00C101EF" w:rsidP="00D4681B">
      <w:pPr>
        <w:spacing w:line="276" w:lineRule="auto"/>
      </w:pPr>
    </w:p>
    <w:p w:rsidR="00D4681B" w:rsidRDefault="00C101EF" w:rsidP="00D4681B">
      <w:pPr>
        <w:spacing w:line="276" w:lineRule="auto"/>
        <w:rPr>
          <w:sz w:val="20"/>
        </w:rPr>
      </w:pPr>
      <w:r>
        <w:rPr>
          <w:sz w:val="20"/>
        </w:rPr>
        <w:t xml:space="preserve">          </w:t>
      </w:r>
      <w:bookmarkStart w:id="1" w:name="_GoBack"/>
      <w:r>
        <w:rPr>
          <w:sz w:val="20"/>
        </w:rPr>
        <w:t>WNP-I.4131.</w:t>
      </w:r>
      <w:r>
        <w:rPr>
          <w:sz w:val="20"/>
        </w:rPr>
        <w:t>133</w:t>
      </w:r>
      <w:r>
        <w:rPr>
          <w:sz w:val="20"/>
        </w:rPr>
        <w:t>.2021.DK</w:t>
      </w:r>
      <w:bookmarkEnd w:id="1"/>
    </w:p>
    <w:p w:rsidR="00D4681B" w:rsidRDefault="00C101EF" w:rsidP="00D4681B">
      <w:pPr>
        <w:spacing w:line="276" w:lineRule="auto"/>
        <w:rPr>
          <w:sz w:val="20"/>
        </w:rPr>
      </w:pPr>
    </w:p>
    <w:p w:rsidR="00D4681B" w:rsidRDefault="00C101EF" w:rsidP="00D4681B">
      <w:pPr>
        <w:tabs>
          <w:tab w:val="left" w:pos="4095"/>
        </w:tabs>
        <w:spacing w:line="276" w:lineRule="auto"/>
        <w:rPr>
          <w:sz w:val="20"/>
        </w:rPr>
      </w:pPr>
    </w:p>
    <w:p w:rsidR="00D4681B" w:rsidRDefault="00C101EF" w:rsidP="00D4681B">
      <w:pPr>
        <w:suppressAutoHyphens/>
        <w:ind w:left="4678" w:right="-468"/>
        <w:jc w:val="both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Rada Miejska</w:t>
      </w:r>
    </w:p>
    <w:p w:rsidR="00D4681B" w:rsidRDefault="00C101EF" w:rsidP="00D4681B">
      <w:pPr>
        <w:suppressAutoHyphens/>
        <w:ind w:left="4678" w:right="-468"/>
        <w:jc w:val="both"/>
        <w:rPr>
          <w:b/>
          <w:sz w:val="28"/>
          <w:lang w:eastAsia="ar-SA"/>
        </w:rPr>
      </w:pPr>
      <w:r>
        <w:rPr>
          <w:b/>
          <w:sz w:val="28"/>
          <w:lang w:eastAsia="ar-SA"/>
        </w:rPr>
        <w:t xml:space="preserve"> w Grodzisku Mazowieckim </w:t>
      </w:r>
    </w:p>
    <w:p w:rsidR="00D4681B" w:rsidRDefault="00C101EF" w:rsidP="00D4681B">
      <w:pPr>
        <w:suppressAutoHyphens/>
        <w:ind w:left="4678" w:right="-468"/>
        <w:jc w:val="both"/>
        <w:rPr>
          <w:b/>
          <w:sz w:val="28"/>
          <w:lang w:eastAsia="ar-SA"/>
        </w:rPr>
      </w:pPr>
      <w:r>
        <w:rPr>
          <w:b/>
          <w:sz w:val="28"/>
          <w:lang w:eastAsia="ar-SA"/>
        </w:rPr>
        <w:t xml:space="preserve">ul. Warszawska 33 </w:t>
      </w:r>
    </w:p>
    <w:p w:rsidR="00D4681B" w:rsidRDefault="00C101EF" w:rsidP="00D4681B">
      <w:pPr>
        <w:spacing w:line="276" w:lineRule="auto"/>
        <w:ind w:left="4678"/>
        <w:jc w:val="both"/>
      </w:pPr>
      <w:r>
        <w:rPr>
          <w:b/>
          <w:sz w:val="28"/>
          <w:lang w:eastAsia="ar-SA"/>
        </w:rPr>
        <w:t xml:space="preserve">96-313 </w:t>
      </w:r>
      <w:r>
        <w:rPr>
          <w:b/>
          <w:sz w:val="28"/>
          <w:lang w:eastAsia="ar-SA"/>
        </w:rPr>
        <w:t xml:space="preserve">Grodzisk Mazowiecki </w:t>
      </w:r>
    </w:p>
    <w:p w:rsidR="00D4681B" w:rsidRDefault="00C101EF" w:rsidP="00D4681B">
      <w:pPr>
        <w:spacing w:line="276" w:lineRule="auto"/>
        <w:jc w:val="both"/>
        <w:rPr>
          <w:i/>
        </w:rPr>
      </w:pPr>
    </w:p>
    <w:p w:rsidR="00D4681B" w:rsidRDefault="00C101EF" w:rsidP="00D4681B">
      <w:pPr>
        <w:spacing w:line="276" w:lineRule="auto"/>
        <w:jc w:val="both"/>
        <w:rPr>
          <w:i/>
        </w:rPr>
      </w:pPr>
    </w:p>
    <w:p w:rsidR="00D4681B" w:rsidRDefault="00C101EF" w:rsidP="00D4681B">
      <w:pPr>
        <w:spacing w:line="276" w:lineRule="auto"/>
        <w:jc w:val="both"/>
      </w:pPr>
    </w:p>
    <w:p w:rsidR="00D4681B" w:rsidRDefault="00C101EF" w:rsidP="00D4681B">
      <w:pPr>
        <w:spacing w:line="360" w:lineRule="auto"/>
        <w:jc w:val="center"/>
        <w:rPr>
          <w:b/>
        </w:rPr>
      </w:pPr>
      <w:r>
        <w:rPr>
          <w:b/>
        </w:rPr>
        <w:t>Rozstrzygnięcie nadzorcze</w:t>
      </w:r>
    </w:p>
    <w:p w:rsidR="00D4681B" w:rsidRDefault="00C101EF" w:rsidP="00D4681B">
      <w:pPr>
        <w:spacing w:line="360" w:lineRule="auto"/>
        <w:jc w:val="both"/>
      </w:pPr>
      <w:r>
        <w:t xml:space="preserve">Działając na podstawie art. 91 ust. 1, w związku z art. 86 ustawy z dnia 8 marca 1990 r. </w:t>
      </w:r>
      <w:r>
        <w:br/>
        <w:t>o samorządzie gminnym (Dz. U. z 2020 r. poz. 713, z późn. zm.)</w:t>
      </w:r>
    </w:p>
    <w:p w:rsidR="00D4681B" w:rsidRDefault="00C101EF" w:rsidP="00D4681B">
      <w:pPr>
        <w:spacing w:line="360" w:lineRule="auto"/>
        <w:jc w:val="both"/>
      </w:pPr>
    </w:p>
    <w:p w:rsidR="00D4681B" w:rsidRDefault="00C101EF" w:rsidP="00D4681B">
      <w:pPr>
        <w:spacing w:line="360" w:lineRule="auto"/>
        <w:jc w:val="center"/>
        <w:rPr>
          <w:b/>
        </w:rPr>
      </w:pPr>
      <w:r>
        <w:rPr>
          <w:b/>
        </w:rPr>
        <w:t>stwierdzam nieważność</w:t>
      </w:r>
    </w:p>
    <w:p w:rsidR="00D4681B" w:rsidRPr="00712713" w:rsidRDefault="00C101EF" w:rsidP="00D4681B">
      <w:pPr>
        <w:spacing w:line="288" w:lineRule="auto"/>
        <w:jc w:val="both"/>
      </w:pPr>
      <w:r>
        <w:t>uchw</w:t>
      </w:r>
      <w:r>
        <w:t>ały Rady Miejskiej w Grodzisku Mazowieckim  Nr 514/2021 z dnia 26 maja 2021 r.</w:t>
      </w:r>
      <w:r>
        <w:br/>
      </w:r>
      <w:r>
        <w:rPr>
          <w:i/>
        </w:rPr>
        <w:t>w sprawie regulaminu dostarczania wody i odprowadzania  ścieków obowiązującego na terenie gminy Grodzisk Mazowiecki</w:t>
      </w:r>
      <w:r>
        <w:rPr>
          <w:i/>
        </w:rPr>
        <w:t xml:space="preserve"> w zakresie ustaleń:</w:t>
      </w:r>
      <w:r>
        <w:rPr>
          <w:i/>
        </w:rPr>
        <w:t xml:space="preserve"> </w:t>
      </w:r>
      <w:r w:rsidRPr="00712713">
        <w:t>§ 4 ust. 2 zd. drugie</w:t>
      </w:r>
      <w:r w:rsidRPr="00712713">
        <w:t>, § 18 ust. 2 zd</w:t>
      </w:r>
      <w:r>
        <w:t>.</w:t>
      </w:r>
      <w:r w:rsidRPr="00712713">
        <w:t xml:space="preserve"> pi</w:t>
      </w:r>
      <w:r w:rsidRPr="00712713">
        <w:t>erwsze</w:t>
      </w:r>
      <w:r>
        <w:t>.</w:t>
      </w:r>
      <w:r w:rsidRPr="00712713">
        <w:t xml:space="preserve"> </w:t>
      </w:r>
    </w:p>
    <w:p w:rsidR="00D4681B" w:rsidRDefault="00C101EF" w:rsidP="00D4681B">
      <w:pPr>
        <w:spacing w:line="288" w:lineRule="auto"/>
        <w:jc w:val="both"/>
        <w:rPr>
          <w:i/>
        </w:rPr>
      </w:pPr>
    </w:p>
    <w:p w:rsidR="00D4681B" w:rsidRDefault="00C101EF" w:rsidP="00D4681B">
      <w:pPr>
        <w:spacing w:line="360" w:lineRule="auto"/>
        <w:jc w:val="center"/>
        <w:rPr>
          <w:b/>
        </w:rPr>
      </w:pPr>
      <w:r>
        <w:rPr>
          <w:b/>
        </w:rPr>
        <w:t>Uzasadnienie</w:t>
      </w:r>
    </w:p>
    <w:p w:rsidR="00D4681B" w:rsidRDefault="00C101EF" w:rsidP="00D4681B">
      <w:pPr>
        <w:spacing w:line="360" w:lineRule="auto"/>
        <w:ind w:firstLine="709"/>
        <w:jc w:val="both"/>
        <w:rPr>
          <w:i/>
        </w:rPr>
      </w:pPr>
      <w:r>
        <w:t>Rada Miejska w Grodzisku Mazowieckim</w:t>
      </w:r>
      <w:r>
        <w:t xml:space="preserve"> w dniu 26 maja 2021 r.</w:t>
      </w:r>
      <w:r>
        <w:t xml:space="preserve"> podjęła uchwałę</w:t>
      </w:r>
      <w:r>
        <w:br/>
      </w:r>
      <w:r>
        <w:t xml:space="preserve">Nr 514/2021 </w:t>
      </w:r>
      <w:r>
        <w:rPr>
          <w:i/>
        </w:rPr>
        <w:t>w sprawie regulaminu dostarczania wody i odprowadzania  ścieków obowiązującego na terenie gminy Grodzisk Mazowiecki.</w:t>
      </w:r>
    </w:p>
    <w:p w:rsidR="00D4681B" w:rsidRDefault="00C101EF" w:rsidP="00D4681B">
      <w:pPr>
        <w:spacing w:line="360" w:lineRule="auto"/>
        <w:ind w:firstLine="709"/>
        <w:jc w:val="both"/>
      </w:pPr>
      <w:r>
        <w:t xml:space="preserve">W uchwale wskazano, że </w:t>
      </w:r>
      <w:r>
        <w:t>podstawę prawną do jej podjęcia stanowią przepisy</w:t>
      </w:r>
      <w:r>
        <w:br/>
      </w:r>
      <w:r>
        <w:t xml:space="preserve"> art.</w:t>
      </w:r>
      <w:r>
        <w:t xml:space="preserve"> </w:t>
      </w:r>
      <w:r>
        <w:t xml:space="preserve">18 ust. 2 pkt 15 ustawy o samorządzie gminnym oraz art. 19 ust. 3 i 5 ustawy z dnia </w:t>
      </w:r>
      <w:r>
        <w:br/>
        <w:t>7 czerwca 2001 r. o zbiorowym zaopatrzeniu w wodę i zbiorowym odprowadzaniu ścieków (Dz. U. z 2020 r. poz. 2028)</w:t>
      </w:r>
      <w:r>
        <w:t>.</w:t>
      </w:r>
    </w:p>
    <w:p w:rsidR="00D4681B" w:rsidRDefault="00C101EF" w:rsidP="00D4681B">
      <w:pPr>
        <w:spacing w:line="360" w:lineRule="auto"/>
        <w:ind w:firstLine="709"/>
        <w:jc w:val="both"/>
      </w:pPr>
      <w:r>
        <w:t xml:space="preserve">W </w:t>
      </w:r>
      <w:r w:rsidRPr="00D4681B">
        <w:t>§ 4 ust. 2 zd. drugie</w:t>
      </w:r>
      <w:r>
        <w:t xml:space="preserve"> przedmiotowej uchwały zawarto następującą regulację:</w:t>
      </w:r>
    </w:p>
    <w:p w:rsidR="00D4681B" w:rsidRDefault="00C101EF" w:rsidP="00D4681B">
      <w:pPr>
        <w:spacing w:line="360" w:lineRule="auto"/>
        <w:ind w:firstLine="709"/>
        <w:jc w:val="both"/>
      </w:pPr>
      <w:r>
        <w:t>„</w:t>
      </w:r>
      <w:r w:rsidRPr="00383D2C">
        <w:rPr>
          <w:i/>
        </w:rPr>
        <w:t xml:space="preserve">Przedsiębiorstwo wodociągowo  - kanalizacyjne uprawnione jest do wprowadzenia ograniczeń w sposobie korzystania z wody przez odbiorców </w:t>
      </w:r>
      <w:r w:rsidRPr="00383D2C">
        <w:rPr>
          <w:i/>
        </w:rPr>
        <w:t>usług w sytuacji niedoboru spowodowanego wy</w:t>
      </w:r>
      <w:r w:rsidRPr="00383D2C">
        <w:rPr>
          <w:i/>
        </w:rPr>
        <w:t xml:space="preserve">stąpieniem katastrofy naturalnej lub awarii technicznej w rozumieniu </w:t>
      </w:r>
      <w:r w:rsidRPr="00383D2C">
        <w:rPr>
          <w:i/>
        </w:rPr>
        <w:lastRenderedPageBreak/>
        <w:t>przepisów ustawy z dnia 18 kwietnia 2002 r. o stanie klęski żywiołowej (tj. Dz. U. z 2017 r. poz. 1897</w:t>
      </w:r>
      <w:r>
        <w:t xml:space="preserve">).”. </w:t>
      </w:r>
      <w:r>
        <w:t xml:space="preserve"> </w:t>
      </w:r>
      <w:r w:rsidRPr="00D4681B">
        <w:t xml:space="preserve"> </w:t>
      </w:r>
      <w:r>
        <w:t xml:space="preserve"> </w:t>
      </w:r>
    </w:p>
    <w:p w:rsidR="006472D0" w:rsidRDefault="00C101EF" w:rsidP="00D4681B">
      <w:pPr>
        <w:spacing w:line="360" w:lineRule="auto"/>
        <w:ind w:firstLine="708"/>
        <w:jc w:val="both"/>
      </w:pPr>
      <w:r>
        <w:t xml:space="preserve">W tym miejscu wskazuję, że art. 19 ust. 5 ustawy o zbiorowym zaopatrzeniu w </w:t>
      </w:r>
      <w:r>
        <w:t>wodę</w:t>
      </w:r>
      <w:r>
        <w:br/>
      </w:r>
      <w:r>
        <w:t xml:space="preserve">i zbiorowym odprowadzaniu ścieków </w:t>
      </w:r>
      <w:r>
        <w:t xml:space="preserve">stanowi, że </w:t>
      </w:r>
    </w:p>
    <w:p w:rsidR="00D614C6" w:rsidRDefault="00C101EF" w:rsidP="00D614C6">
      <w:pPr>
        <w:spacing w:line="360" w:lineRule="auto"/>
        <w:ind w:firstLine="708"/>
        <w:jc w:val="both"/>
      </w:pPr>
      <w:r>
        <w:t>Regulamin dostarczania wody i odprowadzania ścieków określa prawa i obowiązki przedsiębiorstwa wodociągowo-kanalizacyjnego oraz odbiorców usług, w tym:</w:t>
      </w:r>
    </w:p>
    <w:p w:rsidR="00D614C6" w:rsidRDefault="00C101EF" w:rsidP="006F0D2A">
      <w:pPr>
        <w:spacing w:line="360" w:lineRule="auto"/>
        <w:jc w:val="both"/>
      </w:pPr>
      <w:r>
        <w:t>1) minimalny poziom usług świadczonych przez przedsi</w:t>
      </w:r>
      <w:r>
        <w:t>ębiorstwo wodociągowo-kanalizacyjne w zakresie dostarczania wody i odprowadzania ścieków;</w:t>
      </w:r>
    </w:p>
    <w:p w:rsidR="00D614C6" w:rsidRDefault="00C101EF" w:rsidP="006F0D2A">
      <w:pPr>
        <w:spacing w:line="360" w:lineRule="auto"/>
        <w:jc w:val="both"/>
      </w:pPr>
      <w:r>
        <w:t>2) warunki i tryb zawierania umów z odbiorcami usług;</w:t>
      </w:r>
    </w:p>
    <w:p w:rsidR="00D614C6" w:rsidRDefault="00C101EF" w:rsidP="006F0D2A">
      <w:pPr>
        <w:spacing w:line="360" w:lineRule="auto"/>
        <w:jc w:val="both"/>
      </w:pPr>
      <w:r>
        <w:t>3) sposób rozliczeń w oparciu o ceny i stawki opłat ustalone w taryfach;</w:t>
      </w:r>
    </w:p>
    <w:p w:rsidR="00D614C6" w:rsidRDefault="00C101EF" w:rsidP="006F0D2A">
      <w:pPr>
        <w:spacing w:line="360" w:lineRule="auto"/>
        <w:jc w:val="both"/>
      </w:pPr>
      <w:r>
        <w:t>4) warunki przyłączania do sieci;</w:t>
      </w:r>
    </w:p>
    <w:p w:rsidR="00D614C6" w:rsidRDefault="00C101EF" w:rsidP="006F0D2A">
      <w:pPr>
        <w:spacing w:line="360" w:lineRule="auto"/>
        <w:jc w:val="both"/>
      </w:pPr>
      <w:r>
        <w:t>5) wa</w:t>
      </w:r>
      <w:r>
        <w:t>runki techniczne określające możliwości dostępu do usług wodociągowo-kanalizacyjnych;</w:t>
      </w:r>
    </w:p>
    <w:p w:rsidR="00D614C6" w:rsidRDefault="00C101EF" w:rsidP="006F0D2A">
      <w:pPr>
        <w:spacing w:line="360" w:lineRule="auto"/>
        <w:jc w:val="both"/>
      </w:pPr>
      <w:r>
        <w:t>6) sposób dokonywania przez przedsiębiorstwo wodociągowo-kanalizacyjne odbioru wykonanego przyłącza;</w:t>
      </w:r>
    </w:p>
    <w:p w:rsidR="00D614C6" w:rsidRDefault="00C101EF" w:rsidP="006F0D2A">
      <w:pPr>
        <w:spacing w:line="360" w:lineRule="auto"/>
        <w:jc w:val="both"/>
      </w:pPr>
      <w:r>
        <w:t>7) sposób postępowania w przypadku niedotrzymania ciągłości usług i o</w:t>
      </w:r>
      <w:r>
        <w:t>dpowiednich parametrów dostarczanej wody i wprowadzanych do sieci kanalizacyjnej ścieków;</w:t>
      </w:r>
    </w:p>
    <w:p w:rsidR="00D614C6" w:rsidRDefault="00C101EF" w:rsidP="006F0D2A">
      <w:pPr>
        <w:spacing w:line="360" w:lineRule="auto"/>
        <w:jc w:val="both"/>
      </w:pPr>
      <w:r>
        <w:t>8) standardy obsługi odbiorców usług, w tym sposoby załatwiania reklamacji oraz wymiany informacji dotyczących w szczególności zakłóceń w dostawie wody i odprowadzani</w:t>
      </w:r>
      <w:r>
        <w:t>u ścieków;</w:t>
      </w:r>
    </w:p>
    <w:p w:rsidR="006472D0" w:rsidRDefault="00C101EF" w:rsidP="006F0D2A">
      <w:pPr>
        <w:spacing w:line="360" w:lineRule="auto"/>
        <w:jc w:val="both"/>
      </w:pPr>
      <w:r>
        <w:t xml:space="preserve">9) warunki dostarczania wody na cele przeciwpożarowe.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7C72" w:rsidRPr="008C7C72" w:rsidRDefault="00C101EF" w:rsidP="008C7C72">
      <w:pPr>
        <w:spacing w:line="360" w:lineRule="auto"/>
        <w:ind w:firstLine="709"/>
        <w:jc w:val="both"/>
        <w:rPr>
          <w:rStyle w:val="Teksttreci6Bezkursywy"/>
          <w:rFonts w:ascii="Times New Roman" w:hAnsi="Times New Roman" w:cs="Times New Roman"/>
          <w:i w:val="0"/>
        </w:rPr>
      </w:pPr>
      <w:r w:rsidRPr="008C7C72">
        <w:rPr>
          <w:rStyle w:val="Teksttreci6Bezkursywy"/>
          <w:rFonts w:ascii="Times New Roman" w:hAnsi="Times New Roman" w:cs="Times New Roman"/>
          <w:i w:val="0"/>
        </w:rPr>
        <w:t>Zgodnie z utr</w:t>
      </w:r>
      <w:r w:rsidRPr="008C7C72">
        <w:rPr>
          <w:rStyle w:val="Teksttreci6Bezkursywy"/>
          <w:rFonts w:ascii="Times New Roman" w:hAnsi="Times New Roman" w:cs="Times New Roman"/>
          <w:i w:val="0"/>
        </w:rPr>
        <w:t>walonym w orzecznictwie sądowym poglądem</w:t>
      </w:r>
      <w:r w:rsidRPr="008C7C72">
        <w:rPr>
          <w:rStyle w:val="Teksttreci6Bezkursywy"/>
          <w:rFonts w:ascii="Times New Roman" w:hAnsi="Times New Roman" w:cs="Times New Roman"/>
        </w:rPr>
        <w:t xml:space="preserve"> „</w:t>
      </w:r>
      <w:r w:rsidRPr="008C7C72">
        <w:rPr>
          <w:i/>
        </w:rPr>
        <w:t>akty prawa miejscowego stanowione przez organu jednostek samorządu terytorialnego mogą być wydawane wyłącznie na podstawie upoważnienia ustawowego i w graniach tego upoważnienia. Wadliwe są zatem zarówno akty</w:t>
      </w:r>
      <w:r w:rsidRPr="006F0D2A">
        <w:rPr>
          <w:rStyle w:val="Teksttreci6PogrubienieBezkursywy"/>
          <w:rFonts w:ascii="Times New Roman" w:hAnsi="Times New Roman" w:cs="Times New Roman"/>
          <w:b w:val="0"/>
          <w:i w:val="0"/>
        </w:rPr>
        <w:t>,</w:t>
      </w:r>
      <w:r w:rsidRPr="008C7C72">
        <w:rPr>
          <w:rStyle w:val="Teksttreci6PogrubienieBezkursywy"/>
          <w:rFonts w:ascii="Times New Roman" w:hAnsi="Times New Roman" w:cs="Times New Roman"/>
          <w:i w:val="0"/>
        </w:rPr>
        <w:t xml:space="preserve"> </w:t>
      </w:r>
      <w:r w:rsidRPr="008C7C72">
        <w:rPr>
          <w:i/>
        </w:rPr>
        <w:t>które zostały wydane bez wyraźnego upoważnienia ustawowego, jak i takie</w:t>
      </w:r>
      <w:r w:rsidRPr="008C7C72">
        <w:rPr>
          <w:rStyle w:val="Teksttreci6PogrubienieBezkursywy"/>
          <w:rFonts w:ascii="Times New Roman" w:hAnsi="Times New Roman" w:cs="Times New Roman"/>
          <w:i w:val="0"/>
        </w:rPr>
        <w:t xml:space="preserve">, </w:t>
      </w:r>
      <w:r w:rsidRPr="008C7C72">
        <w:rPr>
          <w:i/>
        </w:rPr>
        <w:t>które opierały się na upoważnieniu</w:t>
      </w:r>
      <w:r w:rsidRPr="008C7C72">
        <w:rPr>
          <w:rStyle w:val="Teksttreci6PogrubienieBezkursywy"/>
          <w:rFonts w:ascii="Times New Roman" w:hAnsi="Times New Roman" w:cs="Times New Roman"/>
          <w:i w:val="0"/>
        </w:rPr>
        <w:t xml:space="preserve">, </w:t>
      </w:r>
      <w:r w:rsidRPr="008C7C72">
        <w:rPr>
          <w:i/>
        </w:rPr>
        <w:t>ale wykroczyły poza jego granice’'</w:t>
      </w:r>
      <w:r w:rsidRPr="008C7C72">
        <w:rPr>
          <w:rStyle w:val="Teksttreci6Bezkursywy"/>
          <w:rFonts w:ascii="Times New Roman" w:hAnsi="Times New Roman" w:cs="Times New Roman"/>
        </w:rPr>
        <w:t xml:space="preserve"> (</w:t>
      </w:r>
      <w:r w:rsidRPr="008C7C72">
        <w:rPr>
          <w:rStyle w:val="Teksttreci6Bezkursywy"/>
          <w:rFonts w:ascii="Times New Roman" w:hAnsi="Times New Roman" w:cs="Times New Roman"/>
          <w:i w:val="0"/>
        </w:rPr>
        <w:t>Wyrok WSA w Lublinie</w:t>
      </w:r>
      <w:r>
        <w:rPr>
          <w:rStyle w:val="Teksttreci6Bezkursywy"/>
          <w:rFonts w:ascii="Times New Roman" w:hAnsi="Times New Roman" w:cs="Times New Roman"/>
          <w:i w:val="0"/>
        </w:rPr>
        <w:br/>
      </w:r>
      <w:r w:rsidRPr="008C7C72">
        <w:rPr>
          <w:rStyle w:val="Teksttreci6Bezkursywy"/>
          <w:rFonts w:ascii="Times New Roman" w:hAnsi="Times New Roman" w:cs="Times New Roman"/>
          <w:i w:val="0"/>
        </w:rPr>
        <w:t>z dnia 28 kwietnia 2014 r. III SA/Lu 107/14).</w:t>
      </w:r>
    </w:p>
    <w:p w:rsidR="008C7C72" w:rsidRDefault="00C101EF" w:rsidP="008C7C72">
      <w:pPr>
        <w:spacing w:line="360" w:lineRule="auto"/>
        <w:ind w:firstLine="709"/>
        <w:jc w:val="both"/>
        <w:rPr>
          <w:rStyle w:val="Teksttreci6Bezkursywy"/>
          <w:rFonts w:ascii="Times New Roman" w:hAnsi="Times New Roman" w:cs="Times New Roman"/>
          <w:i w:val="0"/>
        </w:rPr>
      </w:pPr>
      <w:r w:rsidRPr="008C7C72">
        <w:rPr>
          <w:rStyle w:val="Teksttreci6Bezkursywy"/>
          <w:rFonts w:ascii="Times New Roman" w:hAnsi="Times New Roman" w:cs="Times New Roman"/>
          <w:i w:val="0"/>
        </w:rPr>
        <w:t>Norma kompetencyjna zawarta w przepisie upow</w:t>
      </w:r>
      <w:r w:rsidRPr="008C7C72">
        <w:rPr>
          <w:rStyle w:val="Teksttreci6Bezkursywy"/>
          <w:rFonts w:ascii="Times New Roman" w:hAnsi="Times New Roman" w:cs="Times New Roman"/>
          <w:i w:val="0"/>
        </w:rPr>
        <w:t>ażniającym powinna być wykładana ściśle, co w praktyce oznacza, że zawarte w niej upoważnienie do określonego działania obejmuje sprawy w niej wymienione, bez możliwości zastosowania domniemania kompetencji organu.</w:t>
      </w:r>
    </w:p>
    <w:p w:rsidR="004B1F2E" w:rsidRPr="008C7C72" w:rsidRDefault="00C101EF" w:rsidP="008C7C72">
      <w:pPr>
        <w:spacing w:line="360" w:lineRule="auto"/>
        <w:ind w:firstLine="709"/>
        <w:jc w:val="both"/>
        <w:rPr>
          <w:rStyle w:val="Teksttreci6Bezkursywy"/>
          <w:rFonts w:ascii="Times New Roman" w:hAnsi="Times New Roman" w:cs="Times New Roman"/>
          <w:i w:val="0"/>
        </w:rPr>
      </w:pPr>
      <w:r>
        <w:rPr>
          <w:rStyle w:val="Teksttreci6Bezkursywy"/>
          <w:rFonts w:ascii="Times New Roman" w:hAnsi="Times New Roman" w:cs="Times New Roman"/>
          <w:i w:val="0"/>
        </w:rPr>
        <w:t>Powyższe ma zastosowanie również do stano</w:t>
      </w:r>
      <w:r>
        <w:rPr>
          <w:rStyle w:val="Teksttreci6Bezkursywy"/>
          <w:rFonts w:ascii="Times New Roman" w:hAnsi="Times New Roman" w:cs="Times New Roman"/>
          <w:i w:val="0"/>
        </w:rPr>
        <w:t xml:space="preserve">wienia prawa lokalnie </w:t>
      </w:r>
      <w:r>
        <w:rPr>
          <w:rStyle w:val="Teksttreci6Bezkursywy"/>
          <w:rFonts w:ascii="Times New Roman" w:hAnsi="Times New Roman" w:cs="Times New Roman"/>
          <w:i w:val="0"/>
        </w:rPr>
        <w:t>obowiązującego</w:t>
      </w:r>
      <w:r>
        <w:rPr>
          <w:rStyle w:val="Teksttreci6Bezkursywy"/>
          <w:rFonts w:ascii="Times New Roman" w:hAnsi="Times New Roman" w:cs="Times New Roman"/>
          <w:i w:val="0"/>
        </w:rPr>
        <w:t>.</w:t>
      </w:r>
    </w:p>
    <w:p w:rsidR="008C7C72" w:rsidRPr="008C7C72" w:rsidRDefault="00C101EF" w:rsidP="008C7C72">
      <w:pPr>
        <w:spacing w:line="360" w:lineRule="auto"/>
        <w:ind w:firstLine="709"/>
        <w:jc w:val="both"/>
      </w:pPr>
      <w:r w:rsidRPr="008C7C72">
        <w:rPr>
          <w:i/>
        </w:rPr>
        <w:t xml:space="preserve"> „W konsekwencji organ uchwałodawczy gminy ma obowiązek ścisłej interpretacji normy upoważniającej - nie może domniemywać swej kompetencji i dokonywać wykładni rozszerzającej czy wyprowadzać kompetencji w drodze analog</w:t>
      </w:r>
      <w:r w:rsidRPr="008C7C72">
        <w:rPr>
          <w:i/>
        </w:rPr>
        <w:t xml:space="preserve">ii. Odstąpienie od wskazanych </w:t>
      </w:r>
      <w:r w:rsidRPr="008C7C72">
        <w:rPr>
          <w:i/>
        </w:rPr>
        <w:lastRenderedPageBreak/>
        <w:t xml:space="preserve">reguł narusza związek formalny i materialny między aktem wykonawczym, a ustawą, co z reguły stanowi istotne naruszenie prawa.” </w:t>
      </w:r>
      <w:r w:rsidRPr="008C7C72">
        <w:t>(</w:t>
      </w:r>
      <w:r>
        <w:t>w</w:t>
      </w:r>
      <w:r w:rsidRPr="008C7C72">
        <w:t>yrok WSA w Gdańsku z dnia 17 lutego 2021 r. II SA/Gd 438/20).</w:t>
      </w:r>
    </w:p>
    <w:p w:rsidR="008C7C72" w:rsidRPr="008C7C72" w:rsidRDefault="00C101EF" w:rsidP="008C7C72">
      <w:pPr>
        <w:spacing w:line="360" w:lineRule="auto"/>
        <w:ind w:firstLine="709"/>
        <w:jc w:val="both"/>
        <w:rPr>
          <w:rFonts w:eastAsia="Calibri"/>
          <w:iCs/>
          <w:color w:val="000000"/>
          <w:shd w:val="clear" w:color="auto" w:fill="FFFFFF"/>
          <w:lang w:bidi="pl-PL"/>
        </w:rPr>
      </w:pPr>
      <w:r w:rsidRPr="008C7C72">
        <w:rPr>
          <w:rFonts w:eastAsia="Calibri"/>
          <w:iCs/>
          <w:color w:val="000000"/>
          <w:shd w:val="clear" w:color="auto" w:fill="FFFFFF"/>
          <w:lang w:bidi="pl-PL"/>
        </w:rPr>
        <w:t>Warto także zauważyć, że jest to ak</w:t>
      </w:r>
      <w:r w:rsidRPr="008C7C72">
        <w:rPr>
          <w:rFonts w:eastAsia="Calibri"/>
          <w:iCs/>
          <w:color w:val="000000"/>
          <w:shd w:val="clear" w:color="auto" w:fill="FFFFFF"/>
          <w:lang w:bidi="pl-PL"/>
        </w:rPr>
        <w:t>t o charakterze generalnym, który nakłada określone obowiązki również na podmioty spoza struktur administracji. Zawarte w nim normy dotyczą adresata przez wskazanie jego cech, a nie indywidualizację konkretnego podmiotu. Poza tym, zachowania w tym akcie pr</w:t>
      </w:r>
      <w:r w:rsidRPr="008C7C72">
        <w:rPr>
          <w:rFonts w:eastAsia="Calibri"/>
          <w:iCs/>
          <w:color w:val="000000"/>
          <w:shd w:val="clear" w:color="auto" w:fill="FFFFFF"/>
          <w:lang w:bidi="pl-PL"/>
        </w:rPr>
        <w:t>zewidziane dotyczą pewnych powtarzalnych okoliczności, które mogą znaleźć zastosowanie w z góry nieokreślonej liczbie przypadków,  a nie jednej konkretnej sytuacji.</w:t>
      </w:r>
    </w:p>
    <w:p w:rsidR="008C7C72" w:rsidRPr="00D109D3" w:rsidRDefault="00C101EF" w:rsidP="00353D5E">
      <w:pPr>
        <w:spacing w:line="360" w:lineRule="auto"/>
        <w:ind w:firstLine="708"/>
        <w:jc w:val="both"/>
      </w:pPr>
      <w:r w:rsidRPr="00D109D3">
        <w:t>Zgodnie z art. 5 ust. 1 i ust. 2 ustawy</w:t>
      </w:r>
      <w:r>
        <w:t xml:space="preserve"> z dnia 18 kwietnia 2002 r. o stanie klęski żywiołow</w:t>
      </w:r>
      <w:r>
        <w:t xml:space="preserve">ej (Dz. U. z </w:t>
      </w:r>
      <w:r>
        <w:t>2017 r. poz. 1897),</w:t>
      </w:r>
      <w:r w:rsidRPr="00D109D3">
        <w:t xml:space="preserve"> Rada Ministrów, w drodze rozporządzenia, może wprowadzić stan klęski żywiołowej z własnej inicjatywy lub na wniosek właściwego wojewody.</w:t>
      </w:r>
    </w:p>
    <w:p w:rsidR="008C7C72" w:rsidRPr="00D109D3" w:rsidRDefault="00C101EF" w:rsidP="008C7C72">
      <w:pPr>
        <w:spacing w:line="360" w:lineRule="auto"/>
        <w:ind w:firstLine="708"/>
        <w:jc w:val="both"/>
      </w:pPr>
      <w:r w:rsidRPr="00D109D3">
        <w:t>W rozporządzeniu, o którym mowa powyżej, określa się przyczyny, datę wprowadzenia oraz</w:t>
      </w:r>
      <w:r w:rsidRPr="00D109D3">
        <w:t xml:space="preserve"> obszar i czas trwania stanu klęski żywiołowej, a także, w zakresie dopuszczonym niniejszą ustawą, rodzaje niezbędnych ograniczeń wolności i praw człowieka i obywatela.</w:t>
      </w:r>
    </w:p>
    <w:p w:rsidR="006472D0" w:rsidRDefault="00C101EF" w:rsidP="00D4681B">
      <w:pPr>
        <w:spacing w:line="360" w:lineRule="auto"/>
        <w:ind w:firstLine="708"/>
        <w:jc w:val="both"/>
      </w:pPr>
      <w:r>
        <w:t>Na mocy a</w:t>
      </w:r>
      <w:r w:rsidRPr="00D109D3">
        <w:t>rt. 22 ust. 1 pkt 11</w:t>
      </w:r>
      <w:r>
        <w:t xml:space="preserve"> tejże ustawy,</w:t>
      </w:r>
      <w:r w:rsidRPr="00D109D3">
        <w:t xml:space="preserve">  </w:t>
      </w:r>
      <w:r>
        <w:t>j</w:t>
      </w:r>
      <w:r w:rsidRPr="00D109D3">
        <w:t>eżeli siły i środki, którymi dysponuje wó</w:t>
      </w:r>
      <w:r w:rsidRPr="00D109D3">
        <w:t>jt (burmistrz, prezydent miasta), starosta lub wojewoda albo pełnomocnik, są niewystarczające, można wprowadzić obowiązek świadczeń osobistych i rzeczowych polegających</w:t>
      </w:r>
      <w:r>
        <w:br/>
      </w:r>
      <w:r w:rsidRPr="00D109D3">
        <w:t>na zabezpieczeniu własnych źródeł wody pitnej i środków spożywczych przed</w:t>
      </w:r>
      <w:r>
        <w:br/>
      </w:r>
      <w:r w:rsidRPr="00D109D3">
        <w:t>ich zanieczys</w:t>
      </w:r>
      <w:r w:rsidRPr="00D109D3">
        <w:t>zczeniem, skażeniem lub zakażeniem, a także udostępnianiu ich dla potrzeb osób ewakuowanych lub poszkodowanych, w sposób wskazany przez organ nakładający świadczenie</w:t>
      </w:r>
      <w:r>
        <w:t>.</w:t>
      </w:r>
    </w:p>
    <w:p w:rsidR="0015153E" w:rsidRDefault="00C101EF" w:rsidP="00D4681B">
      <w:pPr>
        <w:spacing w:line="360" w:lineRule="auto"/>
        <w:ind w:firstLine="708"/>
        <w:jc w:val="both"/>
      </w:pPr>
      <w:r>
        <w:t>Jak wynika z powyższych przepisów, wprowadzenie stanu klęski żywiołowej,</w:t>
      </w:r>
      <w:r>
        <w:br/>
      </w:r>
      <w:r>
        <w:t>jak również ewen</w:t>
      </w:r>
      <w:r>
        <w:t>tualnych ograniczeń i ich rodzaju, zależy po pierwsze od wydania stosownego aktu przez uprawniony organ jak również od kwestii wystąpienia sytuacji, w których można wprowadzić dodatkowe obostrzenia.</w:t>
      </w:r>
    </w:p>
    <w:p w:rsidR="006472D0" w:rsidRPr="006F0D2A" w:rsidRDefault="00C101EF" w:rsidP="006F0D2A">
      <w:pPr>
        <w:spacing w:line="360" w:lineRule="auto"/>
        <w:ind w:firstLine="708"/>
        <w:jc w:val="both"/>
      </w:pPr>
      <w:r>
        <w:t xml:space="preserve">Rada Miejska nie ma </w:t>
      </w:r>
      <w:r>
        <w:t>kompetencji</w:t>
      </w:r>
      <w:r>
        <w:t>, by z góry przyznać przed</w:t>
      </w:r>
      <w:r>
        <w:t>siębiorstwu wodno-kanalizacyjnemu uprawni</w:t>
      </w:r>
      <w:r>
        <w:t>enia</w:t>
      </w:r>
      <w:r>
        <w:t xml:space="preserve"> do wprowadzenia ograniczeń w zakresie korzystania z wody</w:t>
      </w:r>
      <w:r>
        <w:br/>
      </w:r>
      <w:r>
        <w:t>w sytuacji wystąpieni</w:t>
      </w:r>
      <w:r>
        <w:t>a</w:t>
      </w:r>
      <w:r>
        <w:t xml:space="preserve"> klęski żywiołowej.    </w:t>
      </w:r>
      <w:r>
        <w:t xml:space="preserve">  </w:t>
      </w:r>
    </w:p>
    <w:p w:rsidR="00DE7100" w:rsidRDefault="00C101EF" w:rsidP="00DE7100">
      <w:pPr>
        <w:spacing w:line="360" w:lineRule="auto"/>
        <w:ind w:firstLine="708"/>
        <w:jc w:val="both"/>
      </w:pPr>
      <w:r>
        <w:t>W § 18 ust. 2 zdanie pierwsze kwestionowanej uchwały, Rada Miejska zawarła następującą regulację:</w:t>
      </w:r>
    </w:p>
    <w:p w:rsidR="00BA514B" w:rsidRDefault="00C101EF" w:rsidP="00DE7100">
      <w:pPr>
        <w:spacing w:line="360" w:lineRule="auto"/>
        <w:ind w:firstLine="708"/>
        <w:jc w:val="both"/>
      </w:pPr>
      <w:r>
        <w:lastRenderedPageBreak/>
        <w:t>„</w:t>
      </w:r>
      <w:r w:rsidRPr="00BA514B">
        <w:rPr>
          <w:i/>
        </w:rPr>
        <w:t>Przeds</w:t>
      </w:r>
      <w:r w:rsidRPr="00BA514B">
        <w:rPr>
          <w:i/>
        </w:rPr>
        <w:t>iębiorstwo wodociągowo kanalizacyjne wydaje odmowę wydania Warunków przyłączenia do sieci wodociągowej lub kanalizacyjnej w przypadku niewystąpienia przynajmniej jednej z przesłanek określonych w ust. 1</w:t>
      </w:r>
      <w:r>
        <w:t xml:space="preserve">.”. </w:t>
      </w:r>
    </w:p>
    <w:p w:rsidR="00DE7100" w:rsidRPr="00DE7100" w:rsidRDefault="00C101EF" w:rsidP="00DE7100">
      <w:pPr>
        <w:spacing w:line="360" w:lineRule="auto"/>
        <w:ind w:firstLine="708"/>
        <w:jc w:val="both"/>
      </w:pPr>
      <w:r>
        <w:rPr>
          <w:rFonts w:cstheme="minorHAnsi"/>
        </w:rPr>
        <w:t>Wprowadzenie przepisów w takim brzmieniu wykracza</w:t>
      </w:r>
      <w:r>
        <w:rPr>
          <w:rFonts w:cstheme="minorHAnsi"/>
        </w:rPr>
        <w:t xml:space="preserve"> poza delegację ustawową. Zgodnie z art. 19 ust. 5 pkt 4 ustawy o zbiorowym zaopatrzeniu w wodę i zbiorowym odprowadzaniu ścieków, Regulamin dostarczania wody i odprowadzania ścieków ma określać m.in.  </w:t>
      </w:r>
      <w:r>
        <w:t>warunki przyłączania do sieci, a zatem pozytywne przes</w:t>
      </w:r>
      <w:r>
        <w:t>łanki, od których spełnienia zależy przyłączenie do sieci nieruchomości wnioskodawcy.</w:t>
      </w:r>
    </w:p>
    <w:p w:rsidR="00DE7100" w:rsidRDefault="00C101EF" w:rsidP="00117AEE">
      <w:pPr>
        <w:pStyle w:val="naglowekcenter"/>
        <w:spacing w:before="0" w:beforeAutospacing="0" w:after="0" w:afterAutospacing="0" w:line="360" w:lineRule="auto"/>
        <w:ind w:firstLine="708"/>
        <w:jc w:val="both"/>
      </w:pPr>
      <w:r w:rsidRPr="00DE7100">
        <w:t>„</w:t>
      </w:r>
      <w:r w:rsidRPr="00DE7100">
        <w:rPr>
          <w:i/>
        </w:rPr>
        <w:t>W art. 19 ust. 2 ustawy o zbiorowym zaopatrzeniu w wodę i zbiorowym odprowadzaniu ścieków brak jest również ustawowego upoważnienia do wskazywania przez gminę sytuacji,</w:t>
      </w:r>
      <w:r>
        <w:rPr>
          <w:i/>
        </w:rPr>
        <w:br/>
      </w:r>
      <w:r w:rsidRPr="00DE7100">
        <w:rPr>
          <w:i/>
        </w:rPr>
        <w:t>w których możliwa jest odmowa przyłączenia do sieci</w:t>
      </w:r>
      <w:r w:rsidRPr="00DE7100">
        <w:t>.” (wyrok Wojewódzkiego Sądu Administracyjnego w Gorzowie Wlkp. z dnia 21 lutego 2018 r. II SA/Go 1134/17).</w:t>
      </w:r>
    </w:p>
    <w:p w:rsidR="00BA514B" w:rsidRDefault="00C101EF" w:rsidP="00117AEE">
      <w:pPr>
        <w:pStyle w:val="naglowekcenter"/>
        <w:spacing w:before="0" w:beforeAutospacing="0" w:after="0" w:afterAutospacing="0" w:line="360" w:lineRule="auto"/>
        <w:ind w:firstLine="708"/>
        <w:jc w:val="both"/>
      </w:pPr>
      <w:r>
        <w:t>Co więcej w myśl art. 19 a ust. 1 ustawy o zbiorowym zaopatrzeniu w wodę i zbiorowym odprowadzani</w:t>
      </w:r>
      <w:r>
        <w:t xml:space="preserve">u ścieków, </w:t>
      </w:r>
      <w:r w:rsidRPr="00BA514B">
        <w:t>na pisemny wniosek podmiotu ubiegającego się o przyłączenie</w:t>
      </w:r>
      <w:r>
        <w:br/>
      </w:r>
      <w:r w:rsidRPr="00BA514B">
        <w:t>do sieci przedsiębiorstwo wodociągowo-kanalizacyjne jest obowiązane wydać warunki przyłączenia do sieci albo uzasadnić odmowę ich wydania</w:t>
      </w:r>
      <w:r>
        <w:t xml:space="preserve"> (…).</w:t>
      </w:r>
    </w:p>
    <w:p w:rsidR="00BA514B" w:rsidRPr="00BA514B" w:rsidRDefault="00C101EF" w:rsidP="00117AEE">
      <w:pPr>
        <w:pStyle w:val="naglowekcenter"/>
        <w:spacing w:before="0" w:beforeAutospacing="0" w:after="0" w:afterAutospacing="0" w:line="360" w:lineRule="auto"/>
        <w:ind w:firstLine="708"/>
        <w:jc w:val="both"/>
      </w:pPr>
      <w:r>
        <w:t>Przepis ustawy jest szerszy, niż kwestiono</w:t>
      </w:r>
      <w:r>
        <w:t>wana regulacja albowiem</w:t>
      </w:r>
      <w:r>
        <w:t xml:space="preserve"> nie przewiduje wystąpienia określonych przesłanek, od których zależeć będzie odmowa wydania warunków przyłączenia do sieci. Prawodawca lokalny</w:t>
      </w:r>
      <w:r>
        <w:t xml:space="preserve"> zmodyfikował i</w:t>
      </w:r>
      <w:r>
        <w:t xml:space="preserve"> zawęził regulację ustawową</w:t>
      </w:r>
      <w:r>
        <w:t>.</w:t>
      </w:r>
      <w:r>
        <w:t xml:space="preserve"> </w:t>
      </w:r>
      <w:r>
        <w:t xml:space="preserve"> </w:t>
      </w:r>
    </w:p>
    <w:p w:rsidR="00D4681B" w:rsidRDefault="00C101EF" w:rsidP="00D4681B">
      <w:pPr>
        <w:spacing w:line="360" w:lineRule="auto"/>
        <w:ind w:firstLine="708"/>
        <w:jc w:val="both"/>
      </w:pPr>
      <w:r>
        <w:t xml:space="preserve">Mając na uwadze powyższe, stwierdzenie nieważności przedmiotowej </w:t>
      </w:r>
      <w:r>
        <w:rPr>
          <w:bCs/>
        </w:rPr>
        <w:t xml:space="preserve">uchwały </w:t>
      </w:r>
      <w:r>
        <w:t xml:space="preserve">Rady </w:t>
      </w:r>
      <w:r>
        <w:t>Miejskiej w Grodzisku Mazowieckim</w:t>
      </w:r>
      <w:r>
        <w:t>, w</w:t>
      </w:r>
      <w:r>
        <w:t>e wskazanej w petitum części</w:t>
      </w:r>
      <w:r>
        <w:t>, jest w pełni uzasadnione.</w:t>
      </w:r>
    </w:p>
    <w:p w:rsidR="00D4681B" w:rsidRDefault="00C101EF" w:rsidP="00D4681B">
      <w:pPr>
        <w:spacing w:line="360" w:lineRule="auto"/>
        <w:ind w:firstLine="708"/>
        <w:jc w:val="both"/>
      </w:pPr>
      <w:r>
        <w:t>Na niniejsze rozstrzygnięcie nadzorcze Gminie przysługuje skarga do Wojewódzkiego Sądu</w:t>
      </w:r>
      <w:r>
        <w:t xml:space="preserve"> Administracyjnego w Warszawie w terminie 30 dni od daty jego doręczenia, wnoszona </w:t>
      </w:r>
      <w:r>
        <w:br/>
        <w:t>za pośrednictwem organu, który skarżone orzeczenie wydał.</w:t>
      </w:r>
    </w:p>
    <w:p w:rsidR="00D4681B" w:rsidRDefault="00C101EF" w:rsidP="00747BC0">
      <w:pPr>
        <w:pStyle w:val="Tekstpodstawowy"/>
        <w:ind w:right="-1" w:firstLine="708"/>
        <w:rPr>
          <w:sz w:val="24"/>
        </w:rPr>
      </w:pPr>
      <w:r>
        <w:rPr>
          <w:sz w:val="24"/>
        </w:rPr>
        <w:t>Informuję, że rozstrzygnięcie nadzorcze wstrzymuje wykonanie uchwały z mocy prawa,</w:t>
      </w:r>
      <w:r>
        <w:rPr>
          <w:sz w:val="24"/>
        </w:rPr>
        <w:t xml:space="preserve"> w części objętej orzeczeniem, </w:t>
      </w:r>
      <w:r>
        <w:rPr>
          <w:sz w:val="24"/>
        </w:rPr>
        <w:t>z</w:t>
      </w:r>
      <w:r>
        <w:rPr>
          <w:sz w:val="24"/>
        </w:rPr>
        <w:t xml:space="preserve"> dniem jego doręczenia.</w:t>
      </w:r>
    </w:p>
    <w:p w:rsidR="00AC50E3" w:rsidRPr="00747BC0" w:rsidRDefault="00C101EF" w:rsidP="00747BC0">
      <w:pPr>
        <w:pStyle w:val="Tekstpodstawowy"/>
        <w:ind w:right="-1" w:firstLine="708"/>
        <w:rPr>
          <w:sz w:val="24"/>
        </w:rPr>
      </w:pPr>
    </w:p>
    <w:p w:rsidR="00D4681B" w:rsidRDefault="00C101EF" w:rsidP="00D4681B">
      <w:pPr>
        <w:spacing w:line="276" w:lineRule="auto"/>
        <w:ind w:left="2825" w:firstLine="720"/>
        <w:jc w:val="center"/>
        <w:rPr>
          <w:i/>
        </w:rPr>
      </w:pPr>
    </w:p>
    <w:p w:rsidR="00D4681B" w:rsidRDefault="00C101EF" w:rsidP="00D4681B">
      <w:pPr>
        <w:spacing w:line="276" w:lineRule="auto"/>
        <w:ind w:left="2825" w:firstLine="720"/>
        <w:jc w:val="center"/>
        <w:rPr>
          <w:i/>
        </w:rPr>
      </w:pPr>
      <w:bookmarkStart w:id="2" w:name="ezdPracownikNazwa"/>
      <w:r>
        <w:rPr>
          <w:i/>
        </w:rPr>
        <w:t>Konstanty Radziwiłł</w:t>
      </w:r>
      <w:bookmarkEnd w:id="2"/>
    </w:p>
    <w:p w:rsidR="00D4681B" w:rsidRDefault="00C101EF" w:rsidP="00D4681B">
      <w:pPr>
        <w:spacing w:line="276" w:lineRule="auto"/>
        <w:ind w:left="2825" w:firstLine="720"/>
        <w:jc w:val="center"/>
        <w:rPr>
          <w:i/>
        </w:rPr>
      </w:pPr>
      <w:bookmarkStart w:id="3" w:name="ezdPracownikStanowisko"/>
      <w:r>
        <w:rPr>
          <w:i/>
        </w:rPr>
        <w:t>Wojewoda Mazowiecki</w:t>
      </w:r>
      <w:bookmarkEnd w:id="3"/>
    </w:p>
    <w:p w:rsidR="00D4681B" w:rsidRDefault="00C101EF" w:rsidP="00D4681B">
      <w:pPr>
        <w:spacing w:line="276" w:lineRule="auto"/>
        <w:rPr>
          <w:i/>
        </w:rPr>
      </w:pPr>
    </w:p>
    <w:p w:rsidR="00D4681B" w:rsidRDefault="00C101EF" w:rsidP="00D4681B">
      <w:pPr>
        <w:spacing w:line="276" w:lineRule="auto"/>
        <w:ind w:left="4963" w:hanging="1561"/>
        <w:jc w:val="center"/>
        <w:rPr>
          <w:sz w:val="20"/>
          <w:szCs w:val="20"/>
        </w:rPr>
      </w:pPr>
      <w:r>
        <w:rPr>
          <w:sz w:val="20"/>
          <w:szCs w:val="20"/>
        </w:rPr>
        <w:t>/podpisano bezpiecznym podpisem elektronicznym</w:t>
      </w:r>
    </w:p>
    <w:p w:rsidR="00091686" w:rsidRPr="00747BC0" w:rsidRDefault="00C101EF" w:rsidP="00747BC0">
      <w:pPr>
        <w:spacing w:line="276" w:lineRule="auto"/>
        <w:ind w:left="4963" w:hanging="1561"/>
        <w:jc w:val="center"/>
        <w:rPr>
          <w:sz w:val="20"/>
          <w:szCs w:val="20"/>
        </w:rPr>
      </w:pPr>
      <w:r>
        <w:rPr>
          <w:sz w:val="20"/>
          <w:szCs w:val="20"/>
        </w:rPr>
        <w:t>weryfikowanym ważnym kwalifikowanym certyfikatem/</w:t>
      </w:r>
    </w:p>
    <w:sectPr w:rsidR="00091686" w:rsidRPr="00747BC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1EF" w:rsidRDefault="00C101EF">
      <w:r>
        <w:separator/>
      </w:r>
    </w:p>
  </w:endnote>
  <w:endnote w:type="continuationSeparator" w:id="0">
    <w:p w:rsidR="00C101EF" w:rsidRDefault="00C1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4533304"/>
      <w:docPartObj>
        <w:docPartGallery w:val="Page Numbers (Bottom of Page)"/>
        <w:docPartUnique/>
      </w:docPartObj>
    </w:sdtPr>
    <w:sdtEndPr/>
    <w:sdtContent>
      <w:p w:rsidR="00143472" w:rsidRDefault="00C101E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43472" w:rsidRDefault="00C101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1EF" w:rsidRDefault="00C101EF">
      <w:r>
        <w:separator/>
      </w:r>
    </w:p>
  </w:footnote>
  <w:footnote w:type="continuationSeparator" w:id="0">
    <w:p w:rsidR="00C101EF" w:rsidRDefault="00C10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56"/>
    <w:rsid w:val="00C101EF"/>
    <w:rsid w:val="00D8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365F11-FB95-42A2-BA50-F78B96BE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4681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D4681B"/>
    <w:pPr>
      <w:suppressAutoHyphens/>
      <w:spacing w:line="360" w:lineRule="auto"/>
      <w:jc w:val="both"/>
    </w:pPr>
    <w:rPr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68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info-list-value-uzasadnienie">
    <w:name w:val="info-list-value-uzasadnienie"/>
    <w:rsid w:val="00D4681B"/>
  </w:style>
  <w:style w:type="character" w:customStyle="1" w:styleId="highlight">
    <w:name w:val="highlight"/>
    <w:rsid w:val="00D4681B"/>
  </w:style>
  <w:style w:type="character" w:customStyle="1" w:styleId="warheader">
    <w:name w:val="warheader"/>
    <w:rsid w:val="00D4681B"/>
  </w:style>
  <w:style w:type="character" w:styleId="Pogrubienie">
    <w:name w:val="Strong"/>
    <w:basedOn w:val="Domylnaczcionkaakapitu"/>
    <w:qFormat/>
    <w:rsid w:val="00D4681B"/>
    <w:rPr>
      <w:b/>
      <w:bCs/>
    </w:rPr>
  </w:style>
  <w:style w:type="character" w:customStyle="1" w:styleId="Teksttreci6Bezkursywy">
    <w:name w:val="Tekst treści (6) + Bez kursywy"/>
    <w:rsid w:val="008C7C72"/>
    <w:rPr>
      <w:rFonts w:ascii="Calibri" w:eastAsia="Calibri" w:hAnsi="Calibri" w:cs="Calibri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rsid w:val="008C7C72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naglowekcenter">
    <w:name w:val="naglowek_center"/>
    <w:basedOn w:val="Normalny"/>
    <w:rsid w:val="00DE7100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1434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34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34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347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1258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Koleński</dc:creator>
  <cp:lastModifiedBy>Beata Darnowska</cp:lastModifiedBy>
  <cp:revision>2</cp:revision>
  <dcterms:created xsi:type="dcterms:W3CDTF">2021-06-22T10:40:00Z</dcterms:created>
  <dcterms:modified xsi:type="dcterms:W3CDTF">2021-06-22T10:40:00Z</dcterms:modified>
</cp:coreProperties>
</file>