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2E06" w14:textId="77777777" w:rsidR="00E46110" w:rsidRPr="00E46110" w:rsidRDefault="00E46110" w:rsidP="00E4611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color w:val="000000" w:themeColor="text1"/>
          <w:kern w:val="0"/>
          <w:lang w:eastAsia="pl-PL"/>
          <w14:ligatures w14:val="none"/>
        </w:rPr>
      </w:pPr>
      <w:r w:rsidRPr="00E46110">
        <w:rPr>
          <w:rFonts w:eastAsia="Times New Roman" w:cs="Times New Roman"/>
          <w:bCs/>
          <w:color w:val="000000" w:themeColor="text1"/>
          <w:kern w:val="0"/>
          <w14:ligatures w14:val="none"/>
        </w:rPr>
        <w:t xml:space="preserve">Uzasadnienie podmiotu uprawnionego do wykonywania praw udziałowych </w:t>
      </w:r>
    </w:p>
    <w:p w14:paraId="56B36D8D" w14:textId="77777777" w:rsidR="00E46110" w:rsidRPr="00E46110" w:rsidRDefault="00E46110" w:rsidP="00E4611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color w:val="000000" w:themeColor="text1"/>
          <w:kern w:val="0"/>
          <w14:ligatures w14:val="none"/>
        </w:rPr>
      </w:pPr>
      <w:r w:rsidRPr="00E46110">
        <w:rPr>
          <w:rFonts w:eastAsia="Times New Roman" w:cs="Times New Roman"/>
          <w:bCs/>
          <w:color w:val="000000" w:themeColor="text1"/>
          <w:kern w:val="0"/>
          <w14:ligatures w14:val="none"/>
        </w:rPr>
        <w:t>w sprawie ustalenia wysokości części stałej wynagrodzenia Członków Zarządu</w:t>
      </w:r>
    </w:p>
    <w:p w14:paraId="3C7E9E1A" w14:textId="77777777" w:rsidR="00E46110" w:rsidRPr="00E46110" w:rsidRDefault="00E46110" w:rsidP="00E46110">
      <w:pPr>
        <w:widowControl w:val="0"/>
        <w:tabs>
          <w:tab w:val="num" w:pos="993"/>
          <w:tab w:val="left" w:pos="1134"/>
        </w:tabs>
        <w:autoSpaceDE w:val="0"/>
        <w:autoSpaceDN w:val="0"/>
        <w:spacing w:after="0" w:line="276" w:lineRule="auto"/>
        <w:jc w:val="center"/>
        <w:rPr>
          <w:rFonts w:eastAsia="Times New Roman" w:cs="Calibri"/>
          <w:bCs/>
          <w:color w:val="000000" w:themeColor="text1"/>
          <w:kern w:val="0"/>
          <w:u w:val="single"/>
          <w14:ligatures w14:val="none"/>
        </w:rPr>
      </w:pPr>
    </w:p>
    <w:p w14:paraId="60842A27" w14:textId="77777777" w:rsidR="00E46110" w:rsidRPr="00E46110" w:rsidRDefault="00E46110" w:rsidP="00E4611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color w:val="000000" w:themeColor="text1"/>
          <w:kern w:val="0"/>
          <w14:ligatures w14:val="none"/>
        </w:rPr>
      </w:pPr>
      <w:bookmarkStart w:id="0" w:name="_Hlk135834520"/>
    </w:p>
    <w:p w14:paraId="49520AC9" w14:textId="77777777" w:rsidR="00E46110" w:rsidRPr="00E46110" w:rsidRDefault="00E46110" w:rsidP="00E4611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kern w:val="0"/>
          <w14:ligatures w14:val="none"/>
        </w:rPr>
      </w:pPr>
      <w:r w:rsidRPr="00E46110">
        <w:rPr>
          <w:rFonts w:eastAsia="Times New Roman" w:cstheme="minorHAnsi"/>
          <w:color w:val="000000" w:themeColor="text1"/>
          <w:kern w:val="0"/>
          <w14:ligatures w14:val="none"/>
        </w:rPr>
        <w:t>Szczególny charakter oraz unikatowa specyfika KUKE S.A., spółki prawa handlowego, polega na tym, że:</w:t>
      </w:r>
    </w:p>
    <w:p w14:paraId="6B749B15" w14:textId="77777777" w:rsidR="00E46110" w:rsidRPr="00E46110" w:rsidRDefault="00E46110" w:rsidP="00E46110">
      <w:pPr>
        <w:spacing w:after="0" w:line="276" w:lineRule="auto"/>
        <w:ind w:left="720"/>
        <w:contextualSpacing/>
        <w:rPr>
          <w:rFonts w:ascii="Times New Roman" w:eastAsia="Times New Roman" w:hAnsi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36E5B34" w14:textId="49968B65" w:rsidR="00E46110" w:rsidRPr="00E46110" w:rsidRDefault="00E46110" w:rsidP="00E461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KUKE S.A. jest spółką kapitałową o strategicznym znaczeniu dla gospodarki państwa i jednocześnie kluczową instytucją rozwoju działającą w systemie, o którym mowa w ustawie z dnia 4 lipca 2019 r.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>o systemie instytucji rozwoju (Dz.U.2022.2183 t.j.). System instytucji rozwoju tworzony jest również przez podmioty takie jak: Polski Fundusz Rozwoju, Bank Gospodarstwa Krajowego, Polska Agencja Rozwoju Przedsiębiorczości, Polska Agencja Inwestycji i Handlu Spółka Akcyjna oraz Agencja Rozwoju Przemysłu Spółka Akcyjna, które mogą posługiwać się nazwą ,,Grupa Polskiego Funduszu Rozwoju”, skrótem ,,Grupa PFR”. Instytucje rozwoju w ramach swoich zadań określonych właściwymi przepisami prawa lub postanowieniami statutów realizują w sposób skoordynowany kluczowe zadania w obszarze wsparcia, usług świadczonych przedsiębiorcom oraz działań służących wzmocnieniu gospodarki Polski.</w:t>
      </w:r>
    </w:p>
    <w:p w14:paraId="6BADCD5A" w14:textId="1AD3DCC6" w:rsidR="00E46110" w:rsidRPr="00E46110" w:rsidRDefault="00E46110" w:rsidP="00E461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KUKE S.A. jest instytucją finansową – zakładem ubezpieczeń prowadzącym działalność ubezpieczeniową w zakresie ubezpieczeń finansowych w grupach 14-16, zgodnie z ustawą z dnia 11 września 2015 r.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o działalności ubezpieczeniowej i reasekuracyjnej (Dz. U. 2022 poz. 2283 z późn. zm.). Główna działalność Spółki obejmuje ubezpieczenia z grupy 14 (ubezpieczenia należności), które mają niszowy charakter dla rynku ubezpieczeń, jednak niezmiernie istotny dla zachowania płynności podmiotów gospodarczych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>i bezpieczeństwa ich handlu. Ponadto, Spółka prowadzi działalność w grupie 15 (gwarancje ubezpieczeniowe), w której to udziela gwarancji ubezpieczeniowych na różnego rodzaju projekty infrastrukturalne, militarne czy środowiskowe. W obu przypadkach, Spółka zajmuje czołowe pozycje na rynku i stanowi podporę dla polskich przedsiębiorstw zarówno w czasach prosperity, jak i obserwowanych co raz częściej zawirowań gospodarczych.</w:t>
      </w:r>
    </w:p>
    <w:p w14:paraId="05ABF274" w14:textId="3CD37E96" w:rsidR="00E46110" w:rsidRPr="00E46110" w:rsidRDefault="00E46110" w:rsidP="00E461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Obok wspomnianej działalności, podlegającej nadzorowi Komisji Nadzoru Finansowego, KUKE S.A. realizuje kluczową misję publiczną poprzez oferowanie ubezpieczeń gwarantowanych przez Skarb Państwa zgodnie z ustawą z dnia 7 lipca 1994 r. o gwarantowanych przez Skarb Państwa ubezpieczeniach eksportowych (Dz.U. 2020 poz. 1135) KUKE pełni rolę oficjalnej agencji ubezpieczeń kredytów eksportowych (export credit agency, ECA) i jako jedyna w Polsce oferuje ubezpieczenia gwarantowane przez Skarb Państwa wspierające ekspansję krajowych eksporterów na świecie. KUKE S.A. zabezpiecza transakcje na całym świecie, których nie można w żaden sposób ubezpieczyć na rynku komercyjnym stwarzając tym możliwości rozwoju dla polskich przedsiębiorstw. Spółka aktywnie przyczynia się do kluczowego dla rozwoju polskiej gospodarki eksportu, stanowiącego obecnie 52% polskiego PKB. Wspiera inwestycje polskich przedsiębiorstw w Polsce, jak i zagranicą oraz pomaga przyciągać zagranicznych inwestorów do Polski poprzez finansowanie ich inwestycji i rozwoju. Jednocześnie Spółka w ramach wyżej wymienionych działań wyszukuje oraz zachęca polskie przedsiębiorstwa do udziału w projektach na całym świecie, które finansuje wraz z międzynarodowymi instytucjami finansowymi, kreując tym polski eksport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i zwiększając jego poziom z roku na rok. </w:t>
      </w:r>
    </w:p>
    <w:p w14:paraId="30811040" w14:textId="18AC1DB5" w:rsidR="00E46110" w:rsidRPr="00E46110" w:rsidRDefault="00E46110" w:rsidP="00E461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Spółka jest i będzie fundamentem szeroko pojętego programu odbudowy Ukrainy, kluczowego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>z perspektywy interesów gospodarczych polskich przedsiębiorstw, jak i Polski. Już obecnie jako jedyna instytucja wsparcia eksportu w Unii Europejskiej ubezpiecza handel z kontrahentami z Ukrainy. Z ramienia organów administracji rządowej, Spółka tworzy i będzie zarządzać specjalnym programem dedykowanym temu celowi.</w:t>
      </w:r>
    </w:p>
    <w:p w14:paraId="6259455C" w14:textId="448D19CE" w:rsidR="00E46110" w:rsidRPr="00E46110" w:rsidRDefault="00E46110" w:rsidP="00E461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Decyzje dotyczące obu gałęzi działalności KUKE S.A., zarówno ubezpieczeń oferowanych na podstawie ustawy z dnia 11 września 2015 r. o działalności ubezpieczeniowej i reasekuracyjnej jak i gwarantowanych przez Skarb Państwa ubezpieczeń eksportowych, charakteryzują się dużym poziomem ryzyka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i odpowiedzialności, które spoczywa na Spółce i osobach nią zarządzających. Pojedyncze transakcje niejednokrotnie przekraczają poziom kilkudziesięciu milionów EUR, a skumulowana wartość wszystkich transakcji w trakcie roku jest wielokrotnością tych liczb. Z tego względu działalność Spółki jest istotną </w:t>
      </w:r>
      <w:r w:rsidRPr="00E46110">
        <w:rPr>
          <w:rFonts w:eastAsia="Times New Roman" w:cstheme="minorHAnsi"/>
          <w:kern w:val="0"/>
          <w:lang w:eastAsia="pl-PL"/>
          <w14:ligatures w14:val="none"/>
        </w:rPr>
        <w:lastRenderedPageBreak/>
        <w:t>wartością dodaną dla gospodarki Polski. Roczny ubezpieczony obrót za rok  2022 r.  wyniósł blisko 142 mld zł (w 2021 r.:100 mld zł), co stanowi blisko 5% PKB kraju. Roczny obrót netto ze sprzedaży towarów, wyrobów i usług oraz operacji finansowych Grupy Kapitałowej KUKE S.A. za rok 2022 r. to ponad 316 mln PLN (tj. ponad 67 mln EUR) w sytuacji gdy za rok 2021 wyniósł ponad 202 mln PLN (tj. ponad 44 mln EUR). Przychód Spółki to blisko 540 mln zł (ponad 115 mln EUR) (w 2021 r.: 260 mln zł), przy czym 180 mln zł pochodzi z ubezpieczeń należności, dając Spółce drugie miejsce na rynku, a 80 mln zł z gwarancji ubezpieczeniowych, co czyni Spółkę trzecim graczem na rynku. Suma aktywów bilansu Grupy Kapitałowej KUKE S.A.  na koniec 2022 r. wyniosła ponad 1,6 mld zł (tj. ponad 355  mln EUR) w sytuacji gdy na koniec 2021 r.: wyniosła ponad 1,2 mld PLN (tj. ponad 262 mln EUR).</w:t>
      </w:r>
    </w:p>
    <w:p w14:paraId="15C6B9A9" w14:textId="77777777" w:rsidR="00E46110" w:rsidRPr="00E46110" w:rsidRDefault="00E46110" w:rsidP="00E46110">
      <w:pPr>
        <w:widowControl w:val="0"/>
        <w:numPr>
          <w:ilvl w:val="0"/>
          <w:numId w:val="1"/>
        </w:numPr>
        <w:tabs>
          <w:tab w:val="left" w:pos="537"/>
        </w:tabs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>Obecna polityka Spółki zakłada dalsze zwiększenie jej efektywności funkcjonowania poprzez nieustanną optymalizację procesów biznesowych oraz ich automatyzację, jak i podstawianie nowych rozwiązań, co pozwoli kontynuować efektywny i zrównoważony wzrost portfela ubezpieczanych ryzyk i wzmocnić skalę oddziaływania Spółki na gospodarkę. Sama skala funkcjonowania Spółki oraz przełożenie jakie już teraz Spółka ma na rynek wskazuje jaką ogromną rolę odgrywa w zrównoważonym rozwoju polskich przedsiębiorstw, zarówno w kraju jak i poza granicami, w szczególności poprzez aktywny udział w zapewnieniu ich stabilności mimo dynamicznie zmieniającej się sytuacji na świecie i otoczenia, w którym funkcjonują oraz poprzez dostarczanie płynności i wzmacnianie polskiego eksportu i PKB kraju. KUKE S.A. stanowi jeden z podstawowych filarów grupy rozwoju PFR S.A.</w:t>
      </w:r>
    </w:p>
    <w:p w14:paraId="03CD36B4" w14:textId="0A954063" w:rsidR="00E46110" w:rsidRPr="00E46110" w:rsidRDefault="00E46110" w:rsidP="00E46110">
      <w:pPr>
        <w:widowControl w:val="0"/>
        <w:numPr>
          <w:ilvl w:val="0"/>
          <w:numId w:val="1"/>
        </w:numPr>
        <w:tabs>
          <w:tab w:val="left" w:pos="537"/>
        </w:tabs>
        <w:autoSpaceDE w:val="0"/>
        <w:autoSpaceDN w:val="0"/>
        <w:spacing w:after="0" w:line="240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W 2023 r. i latach następnych planowana jest kontynuacja różnego rodzaju istotnych i nierzadko unikatowych projektów, a także podejmowanie nowych, znaczących gospodarczo przedsięwzięć związanych z propagowaniem nowego systemu wsparcia eksportu, programem odbudowy Ukrainy, w tym reasekuracją ubezpieczeń transportu oraz budową rozwiązań dotyczących transformacji energetycznej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E46110">
        <w:rPr>
          <w:rFonts w:eastAsia="Times New Roman" w:cstheme="minorHAnsi"/>
          <w:kern w:val="0"/>
          <w:lang w:eastAsia="pl-PL"/>
          <w14:ligatures w14:val="none"/>
        </w:rPr>
        <w:t xml:space="preserve">i wieloma innymi. </w:t>
      </w:r>
      <w:bookmarkEnd w:id="0"/>
    </w:p>
    <w:p w14:paraId="2B738849" w14:textId="77777777" w:rsidR="00AD39B8" w:rsidRDefault="00AD39B8" w:rsidP="00E46110"/>
    <w:sectPr w:rsidR="00AD39B8" w:rsidSect="007B264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851" w:bottom="1418" w:left="851" w:header="709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2533" w14:textId="77777777" w:rsidR="005225B0" w:rsidRDefault="005225B0" w:rsidP="00E46110">
      <w:pPr>
        <w:spacing w:after="0" w:line="240" w:lineRule="auto"/>
      </w:pPr>
      <w:r>
        <w:separator/>
      </w:r>
    </w:p>
  </w:endnote>
  <w:endnote w:type="continuationSeparator" w:id="0">
    <w:p w14:paraId="191BC932" w14:textId="77777777" w:rsidR="005225B0" w:rsidRDefault="005225B0" w:rsidP="00E4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DC4B" w14:textId="36F2E62D" w:rsidR="00AA3E80" w:rsidRPr="00941627" w:rsidRDefault="00000000" w:rsidP="00735E57">
    <w:pPr>
      <w:pStyle w:val="Stopka"/>
      <w:tabs>
        <w:tab w:val="clear" w:pos="9072"/>
        <w:tab w:val="right" w:pos="10454"/>
      </w:tabs>
      <w:ind w:right="-1077"/>
      <w:jc w:val="both"/>
      <w:rPr>
        <w:sz w:val="16"/>
        <w:szCs w:val="16"/>
      </w:rPr>
    </w:pPr>
    <w:r w:rsidRPr="00941627">
      <w:rPr>
        <w:sz w:val="16"/>
        <w:szCs w:val="16"/>
      </w:rPr>
      <w:tab/>
    </w:r>
    <w:r w:rsidRPr="00941627">
      <w:rPr>
        <w:sz w:val="16"/>
        <w:szCs w:val="16"/>
      </w:rPr>
      <w:tab/>
    </w:r>
    <w:r w:rsidRPr="00941627">
      <w:rPr>
        <w:sz w:val="16"/>
        <w:szCs w:val="16"/>
      </w:rPr>
      <w:fldChar w:fldCharType="begin"/>
    </w:r>
    <w:r w:rsidRPr="00941627">
      <w:rPr>
        <w:sz w:val="16"/>
        <w:szCs w:val="16"/>
      </w:rPr>
      <w:instrText>PAGE   \* MERGEFORMAT</w:instrText>
    </w:r>
    <w:r w:rsidRPr="00941627">
      <w:rPr>
        <w:sz w:val="16"/>
        <w:szCs w:val="16"/>
      </w:rPr>
      <w:fldChar w:fldCharType="separate"/>
    </w:r>
    <w:r w:rsidRPr="00941627">
      <w:rPr>
        <w:noProof/>
        <w:sz w:val="16"/>
        <w:szCs w:val="16"/>
      </w:rPr>
      <w:t>1</w:t>
    </w:r>
    <w:r w:rsidRPr="00941627"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A3B2" w14:textId="77777777" w:rsidR="0017029E" w:rsidRDefault="00000000">
    <w:pPr>
      <w:pStyle w:val="Stopka"/>
    </w:pPr>
    <w:r w:rsidRPr="00356050">
      <w:rPr>
        <w:noProof/>
        <w:color w:val="63656A"/>
        <w:sz w:val="16"/>
        <w:szCs w:val="16"/>
        <w:lang w:eastAsia="pl-PL"/>
      </w:rPr>
      <w:drawing>
        <wp:anchor distT="0" distB="0" distL="114300" distR="114300" simplePos="0" relativeHeight="251662336" behindDoc="1" locked="1" layoutInCell="1" allowOverlap="1" wp14:anchorId="2D0178B1" wp14:editId="2C7FFA04">
          <wp:simplePos x="0" y="0"/>
          <wp:positionH relativeFrom="page">
            <wp:posOffset>57150</wp:posOffset>
          </wp:positionH>
          <wp:positionV relativeFrom="page">
            <wp:posOffset>9829800</wp:posOffset>
          </wp:positionV>
          <wp:extent cx="7559675" cy="949325"/>
          <wp:effectExtent l="0" t="0" r="0" b="0"/>
          <wp:wrapNone/>
          <wp:docPr id="4" name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 KUKE papier firmowy RGB-02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B1B3" w14:textId="77777777" w:rsidR="005225B0" w:rsidRDefault="005225B0" w:rsidP="00E46110">
      <w:pPr>
        <w:spacing w:after="0" w:line="240" w:lineRule="auto"/>
      </w:pPr>
      <w:r>
        <w:separator/>
      </w:r>
    </w:p>
  </w:footnote>
  <w:footnote w:type="continuationSeparator" w:id="0">
    <w:p w14:paraId="7CD0CD88" w14:textId="77777777" w:rsidR="005225B0" w:rsidRDefault="005225B0" w:rsidP="00E46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549B" w14:textId="77777777" w:rsidR="0017029E" w:rsidRDefault="00000000" w:rsidP="0017029E">
    <w:pPr>
      <w:pStyle w:val="Nagwek"/>
      <w:jc w:val="right"/>
      <w:rPr>
        <w:rFonts w:cs="Arial"/>
        <w:sz w:val="18"/>
      </w:rPr>
    </w:pPr>
  </w:p>
  <w:p w14:paraId="2492A783" w14:textId="7C23AAD4" w:rsidR="00AA3E80" w:rsidRPr="0017029E" w:rsidRDefault="00000000" w:rsidP="0017029E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465D" w14:textId="77777777" w:rsidR="0017029E" w:rsidRDefault="00000000">
    <w:pPr>
      <w:pStyle w:val="Nagwek"/>
    </w:pPr>
    <w:r w:rsidRPr="00941627">
      <w:rPr>
        <w:noProof/>
        <w:lang w:eastAsia="pl-PL"/>
      </w:rPr>
      <w:drawing>
        <wp:anchor distT="0" distB="0" distL="114300" distR="114300" simplePos="0" relativeHeight="251661312" behindDoc="1" locked="1" layoutInCell="1" allowOverlap="1" wp14:anchorId="2DD998EC" wp14:editId="0FCC55B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500" cy="1079500"/>
          <wp:effectExtent l="0" t="0" r="0" b="0"/>
          <wp:wrapNone/>
          <wp:docPr id="3" name="logo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glowek KUKE papier firmowy RGB-01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24EFE"/>
    <w:multiLevelType w:val="hybridMultilevel"/>
    <w:tmpl w:val="CD76B17A"/>
    <w:lvl w:ilvl="0" w:tplc="0C94E4E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5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10"/>
    <w:rsid w:val="00070F0A"/>
    <w:rsid w:val="000B4768"/>
    <w:rsid w:val="005225B0"/>
    <w:rsid w:val="007072DD"/>
    <w:rsid w:val="00AD39B8"/>
    <w:rsid w:val="00D20D0C"/>
    <w:rsid w:val="00E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586B"/>
  <w15:chartTrackingRefBased/>
  <w15:docId w15:val="{2B5E481C-D4BC-479F-9441-C634746B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611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eastAsia="Times New Roman" w:cs="Times New Roman"/>
      <w:color w:val="000000" w:themeColor="text1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46110"/>
    <w:rPr>
      <w:rFonts w:eastAsia="Times New Roman" w:cs="Times New Roman"/>
      <w:color w:val="000000" w:themeColor="text1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4611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eastAsia="Times New Roman" w:cs="Times New Roman"/>
      <w:color w:val="000000" w:themeColor="text1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46110"/>
    <w:rPr>
      <w:rFonts w:eastAsia="Times New Roman" w:cs="Times New Roman"/>
      <w:color w:val="000000" w:themeColor="text1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5571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Rozmus Szymon</dc:creator>
  <cp:keywords/>
  <dc:description/>
  <cp:lastModifiedBy>Rozmus Szymon</cp:lastModifiedBy>
  <cp:revision>2</cp:revision>
  <dcterms:created xsi:type="dcterms:W3CDTF">2023-06-13T12:00:00Z</dcterms:created>
  <dcterms:modified xsi:type="dcterms:W3CDTF">2023-06-13T12:05:00Z</dcterms:modified>
</cp:coreProperties>
</file>