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092F" w14:textId="77777777" w:rsidR="00B167B4" w:rsidRDefault="002814E2">
      <w:pPr>
        <w:pStyle w:val="Tekstpodstawowy"/>
        <w:spacing w:before="3700" w:after="680" w:line="295" w:lineRule="auto"/>
        <w:ind w:right="820"/>
        <w:jc w:val="right"/>
        <w:rPr>
          <w:sz w:val="22"/>
          <w:szCs w:val="22"/>
        </w:rPr>
      </w:pPr>
      <w:r>
        <w:rPr>
          <w:rStyle w:val="TekstpodstawowyZnak"/>
          <w:sz w:val="22"/>
          <w:szCs w:val="22"/>
        </w:rPr>
        <w:t>11 lutego 2026 roku</w:t>
      </w:r>
    </w:p>
    <w:p w14:paraId="5D432FFB" w14:textId="77777777" w:rsidR="00B167B4" w:rsidRDefault="002814E2">
      <w:pPr>
        <w:pStyle w:val="Tekstpodstawowy"/>
        <w:spacing w:after="440" w:line="295" w:lineRule="auto"/>
        <w:rPr>
          <w:sz w:val="22"/>
          <w:szCs w:val="22"/>
        </w:rPr>
      </w:pPr>
      <w:r>
        <w:rPr>
          <w:rStyle w:val="TekstpodstawowyZnak"/>
          <w:sz w:val="22"/>
          <w:szCs w:val="22"/>
        </w:rPr>
        <w:t>L.dz. 1/02/2025/MKiŚ</w:t>
      </w:r>
    </w:p>
    <w:p w14:paraId="75949D34" w14:textId="77777777" w:rsidR="00B167B4" w:rsidRDefault="002814E2">
      <w:pPr>
        <w:pStyle w:val="Tekstpodstawowy"/>
        <w:spacing w:after="0" w:line="240" w:lineRule="auto"/>
        <w:ind w:left="5120"/>
      </w:pPr>
      <w:r>
        <w:rPr>
          <w:rStyle w:val="TekstpodstawowyZnak"/>
        </w:rPr>
        <w:t>Szanowna Pani Minister</w:t>
      </w:r>
    </w:p>
    <w:p w14:paraId="615FB8BE" w14:textId="77777777" w:rsidR="00B167B4" w:rsidRDefault="002814E2">
      <w:pPr>
        <w:pStyle w:val="Tekstpodstawowy"/>
        <w:spacing w:after="0" w:line="240" w:lineRule="auto"/>
        <w:ind w:left="5120"/>
      </w:pPr>
      <w:r>
        <w:rPr>
          <w:rStyle w:val="TekstpodstawowyZnak"/>
          <w:b/>
          <w:bCs/>
        </w:rPr>
        <w:t>Anita Sowińska</w:t>
      </w:r>
    </w:p>
    <w:p w14:paraId="303F3DBF" w14:textId="77777777" w:rsidR="00B167B4" w:rsidRDefault="002814E2">
      <w:pPr>
        <w:pStyle w:val="Tekstpodstawowy"/>
        <w:spacing w:after="680" w:line="240" w:lineRule="auto"/>
        <w:ind w:left="5120"/>
      </w:pPr>
      <w:r>
        <w:rPr>
          <w:rStyle w:val="TekstpodstawowyZnak"/>
        </w:rPr>
        <w:t xml:space="preserve">Ministerstwo Klimatu i Środowiska ul. Wawelska 52/54 00-922 Warszawa </w:t>
      </w:r>
      <w:hyperlink r:id="rId7" w:history="1">
        <w:r>
          <w:rPr>
            <w:rStyle w:val="TekstpodstawowyZnak"/>
            <w:color w:val="0000FF"/>
            <w:u w:val="single"/>
          </w:rPr>
          <w:t>info@klimat.gov.pl</w:t>
        </w:r>
      </w:hyperlink>
    </w:p>
    <w:p w14:paraId="0530915F" w14:textId="77777777" w:rsidR="00B167B4" w:rsidRDefault="002814E2">
      <w:pPr>
        <w:pStyle w:val="Tekstpodstawowy"/>
        <w:spacing w:after="560"/>
      </w:pPr>
      <w:r>
        <w:rPr>
          <w:rStyle w:val="TekstpodstawowyZnak"/>
        </w:rPr>
        <w:t>Szanowna Pani Minister,</w:t>
      </w:r>
    </w:p>
    <w:p w14:paraId="102BAD04" w14:textId="5C1BA148" w:rsidR="00B167B4" w:rsidRDefault="002814E2" w:rsidP="00D17755">
      <w:pPr>
        <w:pStyle w:val="Tekstpodstawowy"/>
        <w:spacing w:after="320"/>
      </w:pPr>
      <w:r>
        <w:rPr>
          <w:rStyle w:val="TekstpodstawowyZnak"/>
        </w:rPr>
        <w:t>Członkowie Związku Pracodawców</w:t>
      </w:r>
      <w:r w:rsidR="00D17755">
        <w:t xml:space="preserve"> </w:t>
      </w:r>
      <w:r>
        <w:rPr>
          <w:rStyle w:val="TekstpodstawowyZnak"/>
        </w:rPr>
        <w:t>pragną zwrócić uwagę Ministerstwa Klimatu i Środowiska na potrzebę podjęcia szerszej dyskusji dotyczącej potrzeby ustanowienia spójnych ram prawnych dotyczących zarządzania substancjami perfluoroalkilowych i polifluoroalkilowych – znanych jako PFAS w produktach, emisjach oraz odpadach.</w:t>
      </w:r>
    </w:p>
    <w:p w14:paraId="7699391C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Obecne europejskie ramy regulacyjne dotyczące substancji perfluoroalkilowych i polifluoroalkilowych (PFAS) nie mają charakteru całościowego, tj. nie uwzględniają wszystkich etapów cyklu życia tych substancji – od projektowania produktów, przez ich użytkowanie, aż po końcowy etap gospodarowania odpadami oraz emisji do środowiska.</w:t>
      </w:r>
    </w:p>
    <w:p w14:paraId="6F30CC06" w14:textId="77777777" w:rsidR="00B167B4" w:rsidRDefault="002814E2">
      <w:pPr>
        <w:pStyle w:val="Tekstpodstawowy"/>
        <w:spacing w:after="500"/>
        <w:jc w:val="both"/>
      </w:pPr>
      <w:r>
        <w:rPr>
          <w:rStyle w:val="TekstpodstawowyZnak"/>
        </w:rPr>
        <w:t>Na poziomie europejskim niektóre PFAS są uznawane za trwałe zanieczyszczenia organiczne (POP) na mocy Rozporządzenia Parlamentu Europejskiego i Rady (UE) 2019/1021 z dnia 20 czerwca 2019 r. dotyczące trwałych zanieczyszczeń organicznych (Dz. U. UE. L. z 2019 r. Nr</w:t>
      </w:r>
    </w:p>
    <w:p w14:paraId="3E0FEEE7" w14:textId="77777777" w:rsidR="00B167B4" w:rsidRDefault="002814E2">
      <w:pPr>
        <w:pStyle w:val="Tekstpodstawowy"/>
        <w:numPr>
          <w:ilvl w:val="0"/>
          <w:numId w:val="1"/>
        </w:numPr>
        <w:tabs>
          <w:tab w:val="left" w:pos="562"/>
        </w:tabs>
        <w:jc w:val="both"/>
      </w:pPr>
      <w:r>
        <w:rPr>
          <w:rStyle w:val="TekstpodstawowyZnak"/>
        </w:rPr>
        <w:t xml:space="preserve">str. 45 z późn. zm.). Inne regulacje mają na celu ograniczenie obecności PFAS w produktach, takich jak opakowania czy środki pianotwórcze. Sektor wodny już uwzględnia niektóre PFAS, w szczególności w odniesieniu do wody pitnej (Dyrektywa (UE) 2020/2184 w </w:t>
      </w:r>
      <w:r>
        <w:rPr>
          <w:rStyle w:val="TekstpodstawowyZnak"/>
        </w:rPr>
        <w:lastRenderedPageBreak/>
        <w:t>sprawie jakości wody przeznaczonej do spożycia przez ludzi, która wprowadza parametry dla sumy PFAS oraz PFAS ogółem) oraz norm jakości środowiskowej dla wód powierzchniowych.</w:t>
      </w:r>
    </w:p>
    <w:p w14:paraId="044CDCFA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Obecnie trwają prace nad uniwersalnym ograniczeniem stosowania PFAS w ramach procedury ograniczeniowej REACH, analizowanej przez Europejską Agencję Chemikaliów (ECHA).</w:t>
      </w:r>
    </w:p>
    <w:p w14:paraId="13C61A1F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Pomimo tych istniejących lub planowanych regulacji, obecnie brak jest przepisów dotyczących zarządzania odpadami zawierającymi PFAS oraz emisji PFAS z instalacji przemysłowych, w tym z instalacji do przetwarzania odpadów.</w:t>
      </w:r>
    </w:p>
    <w:p w14:paraId="31E4CCB0" w14:textId="77777777" w:rsidR="00B167B4" w:rsidRDefault="002814E2">
      <w:pPr>
        <w:pStyle w:val="Tekstpodstawowy"/>
        <w:spacing w:after="340"/>
        <w:jc w:val="both"/>
      </w:pPr>
      <w:r>
        <w:rPr>
          <w:rStyle w:val="TekstpodstawowyZnak"/>
        </w:rPr>
        <w:t>Niektóre państwa członkowskie m.in. Belgia – Flandria, Dania, Francja podjęły już jednostronne inicjatywy mające na celu ograniczenie stosowania PFAS w określonych produktach i sektorach oraz zmniejszenie ich emisji do środowiska. Wobec braku regulacji na poziomie europejskim takie podejście może stanowić pierwszy krok do opracowania zharmonizowanych ram europejskich, uwzględniających następujące elementy.</w:t>
      </w:r>
    </w:p>
    <w:p w14:paraId="318D42F9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jc w:val="both"/>
      </w:pPr>
      <w:bookmarkStart w:id="0" w:name="bookmark0"/>
      <w:r>
        <w:rPr>
          <w:rStyle w:val="Heading1"/>
          <w:b/>
          <w:bCs/>
        </w:rPr>
        <w:t>Utworzenie łańcucha identyfikowalności w celu zapewnienia przejrzystości i właściwego przetwarzania odpadów zawierających PFAS</w:t>
      </w:r>
      <w:bookmarkEnd w:id="0"/>
    </w:p>
    <w:p w14:paraId="134F056E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Jak w przypadku każdej substancji budzącej obawy, jednym z głównych problemów jest śledzenie jej stosowania i obecności w całym cyklu życia produktu – od etapu projektowania, poprzez produkcję i użytkowanie, aż po końcowy etap gospodarowania odpadami. O ile istotne jest ograniczanie stosowania PFAS na wcześniejszych etapach, o tyle równie ważne jest zapewnienie, aby podmioty zajmujące się gospodarką odpadami miały dostęp do informacji o obecności PFAS w strumieniach odpadów, które przyjmują. Niestety, wytwó</w:t>
      </w:r>
      <w:r>
        <w:rPr>
          <w:rStyle w:val="TekstpodstawowyZnak"/>
        </w:rPr>
        <w:t>rcy odpadów nie zawsze wiedzą, czy wytwarzane przez nich odpady, które kierują do dalszego zagospodarowania zawierają PFAS.</w:t>
      </w:r>
    </w:p>
    <w:p w14:paraId="598FFE90" w14:textId="77777777" w:rsidR="00B167B4" w:rsidRDefault="002814E2">
      <w:pPr>
        <w:pStyle w:val="Tekstpodstawowy"/>
        <w:spacing w:after="340" w:line="276" w:lineRule="auto"/>
        <w:jc w:val="both"/>
      </w:pPr>
      <w:r>
        <w:rPr>
          <w:rStyle w:val="TekstpodstawowyZnak"/>
        </w:rPr>
        <w:t>W związku z tym należy wdrożyć system identyfikowalności obejmujący cały cykl życia produktu, tak aby operatorzy instalacji do przetwarzania odpadów mogli w możliwie najlepszy sposób wyodrębniać i przetwarzać strumienie odpadów zawierających PFAS.</w:t>
      </w:r>
    </w:p>
    <w:p w14:paraId="0425BD99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jc w:val="both"/>
      </w:pPr>
      <w:bookmarkStart w:id="1" w:name="bookmark2"/>
      <w:r>
        <w:rPr>
          <w:rStyle w:val="Heading1"/>
          <w:b/>
          <w:bCs/>
        </w:rPr>
        <w:t>Ustandaryzowanie metod analizy i pomiarów</w:t>
      </w:r>
      <w:bookmarkEnd w:id="1"/>
    </w:p>
    <w:p w14:paraId="36E73D8C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Obecnie tylko nieliczne laboratoria wykonują analizy PFAS, co prowadzi do długich terminów realizacji oraz wysokich kosztów. Standaryzacja metod analitycznych jest warunkiem wstępnym harmonizacji praktyk oraz obniżenia kosztów i skrócenia czasu pomiarów w wodzie, powietrzu i glebie. Konieczne jest zatem określenie kompleksowej strategii monitorowania wraz z odpowiednimi metodami analizy.</w:t>
      </w:r>
    </w:p>
    <w:p w14:paraId="6030E8B8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spacing w:after="220" w:line="240" w:lineRule="auto"/>
        <w:jc w:val="both"/>
      </w:pPr>
      <w:bookmarkStart w:id="2" w:name="bookmark4"/>
      <w:r>
        <w:rPr>
          <w:rStyle w:val="Heading1"/>
          <w:b/>
          <w:bCs/>
        </w:rPr>
        <w:t>Zdefiniowanie pojęcia „odpady zawierające PFAS” w przepisach</w:t>
      </w:r>
      <w:bookmarkEnd w:id="2"/>
    </w:p>
    <w:p w14:paraId="4F5CB1E9" w14:textId="77777777" w:rsidR="00B167B4" w:rsidRDefault="002814E2">
      <w:pPr>
        <w:pStyle w:val="Tekstpodstawowy"/>
        <w:spacing w:line="276" w:lineRule="auto"/>
        <w:jc w:val="both"/>
      </w:pPr>
      <w:r>
        <w:rPr>
          <w:rStyle w:val="TekstpodstawowyZnak"/>
        </w:rPr>
        <w:t>Uniwersalne ograniczenie stosowania PFAS w produktach i sektorach jest obecnie analizowane przez ECHA, a projekt rozporządzenia ograniczającego ma zostać przedłożony Komisji w 2026 r. Ograniczenie to będzie odnosić się do produktów, natomiast do chwili obecnej nie określono definicji odpadów zawierających PFAS.</w:t>
      </w:r>
    </w:p>
    <w:p w14:paraId="32221408" w14:textId="77777777" w:rsidR="00B167B4" w:rsidRDefault="002814E2">
      <w:pPr>
        <w:pStyle w:val="Tekstpodstawowy"/>
        <w:spacing w:line="276" w:lineRule="auto"/>
        <w:jc w:val="both"/>
      </w:pPr>
      <w:r>
        <w:rPr>
          <w:rStyle w:val="TekstpodstawowyZnak"/>
        </w:rPr>
        <w:lastRenderedPageBreak/>
        <w:t>Ponieważ produkty zawierające PFAS są obecnie szeroko stosowane, oznacza to potencjalnie bardzo dużą liczbę (zarówno pod względem ilościowym, jak i jakościowym) strumieni odpadów zawierających PFAS, które będą wymagały unieszkodliwienia. Dotyczy to również gleb zanieczyszczonych PFAS, które występują w bardzo dużych ilościach.</w:t>
      </w:r>
    </w:p>
    <w:p w14:paraId="60674F52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W zależności od rodzaju i stężenia PFAS część tych odpadów będzie musiała być przetwarzana w instalacjach do unieszkodliwiania odpadów niebezpiecznych. W związku z tym kluczowe znaczenie ma jednoznaczne zdefiniowanie pojęcia „odpadów zawierających PFAS” i ich klasyfikacja pod względem zagrożeń, a także określenie progowej wartości PFAS, po przekroczeniu której odpady te będą podlegały obowiązkowi właściwego unieszkodliwiania.</w:t>
      </w:r>
    </w:p>
    <w:p w14:paraId="765AE383" w14:textId="77777777" w:rsidR="00B167B4" w:rsidRDefault="002814E2">
      <w:pPr>
        <w:pStyle w:val="Tekstpodstawowy"/>
        <w:spacing w:after="340"/>
        <w:jc w:val="both"/>
      </w:pPr>
      <w:r>
        <w:rPr>
          <w:rStyle w:val="TekstpodstawowyZnak"/>
        </w:rPr>
        <w:t>Obowiązujące ramy regulacyjne dotyczące trwałych zanieczyszczeń (POP), na mocy Rozporządzenia Parlamentu Europejskiego i Rady (UE) 2019/1021 z dnia 20 czerwca 2019 r. dotyczące trwałych zanieczyszczeń organicznych, mogą stanowić inspirację, ponieważ ustanawiają zróżnicowane progi dla produktów i odpadów oraz określone obowiązki.</w:t>
      </w:r>
    </w:p>
    <w:p w14:paraId="17D719EB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spacing w:line="276" w:lineRule="auto"/>
        <w:jc w:val="both"/>
      </w:pPr>
      <w:bookmarkStart w:id="3" w:name="bookmark6"/>
      <w:r>
        <w:rPr>
          <w:rStyle w:val="Heading1"/>
          <w:b/>
          <w:bCs/>
        </w:rPr>
        <w:t>Ustanowienie wiarygodnych, naukowo uzasadnionych granicznych wartości emisji (ELV) do powietrza, wody i gleby</w:t>
      </w:r>
      <w:bookmarkEnd w:id="3"/>
    </w:p>
    <w:p w14:paraId="320A13A1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Po wprowadzeniu ograniczeń w stosowaniu PFAS oraz zidentyfikowaniu odpadów zawierających PFAS konieczne jest zapewnienie, aby ilość PFAS uwalnianych do środowiska w trakcie ich przetwarzania była minimalna. Określone graniczne wartości emisji (ELV) do wody, powietrza i gleby gwarantują skuteczność procesów przetwarzania oraz ochronę zdrowia ludzi i środowiska.</w:t>
      </w:r>
    </w:p>
    <w:p w14:paraId="479FD75D" w14:textId="77777777" w:rsidR="00B167B4" w:rsidRDefault="002814E2">
      <w:pPr>
        <w:pStyle w:val="Tekstpodstawowy"/>
        <w:spacing w:line="276" w:lineRule="auto"/>
        <w:jc w:val="both"/>
      </w:pPr>
      <w:r>
        <w:rPr>
          <w:rStyle w:val="TekstpodstawowyZnak"/>
        </w:rPr>
        <w:t>Nieuregulowanie kwestii wartości granicznych emisji (ELV) utrudnia operatorom gospodarującym odpadami dobór właściwych technologii i procedur koniecznych do bezpiecznego zagospodarowania odpadów PFAS.</w:t>
      </w:r>
    </w:p>
    <w:p w14:paraId="5A15D663" w14:textId="77777777" w:rsidR="00B167B4" w:rsidRDefault="002814E2">
      <w:pPr>
        <w:pStyle w:val="Tekstpodstawowy"/>
        <w:spacing w:line="276" w:lineRule="auto"/>
        <w:jc w:val="both"/>
      </w:pPr>
      <w:r>
        <w:rPr>
          <w:rStyle w:val="TekstpodstawowyZnak"/>
        </w:rPr>
        <w:t>Nasze doświadczenie w ustalaniu (ELV) pokazuje, że limity te nie powinny być określane arbitralnie, lecz w oparciu o wiedzę naukową i dostępne dane, z uwzględnieniem aktualnych ograniczeń technologicznych. Wymaga to podejścia stopniowego, polegającego na ustalaniu ambitnych, możliwych do rewizji, ale realistycznych progów – zarówno pod względem poziomu, jak i horyzontu czasowego. UE dysponuje już wiarygodnym i uznanym procesem definiowania najlepszych dostępnych technik oraz wartości granicznych (ELV), któr</w:t>
      </w:r>
      <w:r>
        <w:rPr>
          <w:rStyle w:val="TekstpodstawowyZnak"/>
        </w:rPr>
        <w:t>y mógłby zostać zastosowany również w odniesieniu do PFAS – podobnie jak</w:t>
      </w:r>
    </w:p>
    <w:p w14:paraId="12CE785F" w14:textId="77777777" w:rsidR="00B167B4" w:rsidRDefault="002814E2">
      <w:pPr>
        <w:pStyle w:val="Tekstpodstawowy"/>
        <w:spacing w:after="340"/>
        <w:jc w:val="both"/>
      </w:pPr>
      <w:r>
        <w:rPr>
          <w:rStyle w:val="TekstpodstawowyZnak"/>
        </w:rPr>
        <w:t>w przypadku opracowywania BAT w ramach dyrektywy w sprawie emisji przemysłowych (IED), opartym na wymianie informacji pomiędzy podmiotami z danej branży.</w:t>
      </w:r>
    </w:p>
    <w:p w14:paraId="15EC9747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jc w:val="both"/>
      </w:pPr>
      <w:bookmarkStart w:id="4" w:name="bookmark8"/>
      <w:r>
        <w:rPr>
          <w:rStyle w:val="Heading1"/>
          <w:b/>
          <w:bCs/>
        </w:rPr>
        <w:t>Ustabilizowanie ram regulacyjnych w celu zapewnienia przewidywalności dla przemysłu i operatorów instalacji przetwarzania odpadów</w:t>
      </w:r>
      <w:bookmarkEnd w:id="4"/>
    </w:p>
    <w:p w14:paraId="30742C33" w14:textId="77777777" w:rsidR="00B167B4" w:rsidRDefault="002814E2">
      <w:pPr>
        <w:pStyle w:val="Tekstpodstawowy"/>
        <w:jc w:val="both"/>
      </w:pPr>
      <w:r>
        <w:rPr>
          <w:rStyle w:val="TekstpodstawowyZnak"/>
        </w:rPr>
        <w:t xml:space="preserve">Aby umożliwić skuteczne inwestycje i innowacje w zakresie rozwiązań dotyczących zarządzania PFAS, niezbędne jest ustanowienie stabilnych ram regulacyjnych zapewniających </w:t>
      </w:r>
      <w:r>
        <w:rPr>
          <w:rStyle w:val="TekstpodstawowyZnak"/>
        </w:rPr>
        <w:lastRenderedPageBreak/>
        <w:t>długoterminową przewidywalność dla uczestników w całym cyklu życia produktu (producentów wyrobów, wytwórców odpadów oraz operatorów gospodarujących odpadami).</w:t>
      </w:r>
    </w:p>
    <w:p w14:paraId="73D07D36" w14:textId="77777777" w:rsidR="00B167B4" w:rsidRDefault="002814E2">
      <w:pPr>
        <w:pStyle w:val="Tekstpodstawowy"/>
        <w:spacing w:after="340"/>
        <w:jc w:val="both"/>
      </w:pPr>
      <w:r>
        <w:rPr>
          <w:rStyle w:val="TekstpodstawowyZnak"/>
        </w:rPr>
        <w:t>Dotychczasowe doświadczenia z substancjami takimi jak dioksyny/furany czy PCB (polichlorowane bifenyle) pokazują, że wyznaczenie jasnej ścieżki regulacyjnej obejmującej określone cele, progi i terminy, umożliwia planowanie niezbędnych dostosowań oraz inwestowanie w najlepsze dostępne technologie i internalizację kosztów. Zastosowanie tego podejścia do PFAS wymagałoby zdefiniowania zamkniętej listy substancji, która mogłaby być aktualizowana, ale pozostawałaby stabilna w czasie. Lista ta powinna być uzupełni</w:t>
      </w:r>
      <w:r>
        <w:rPr>
          <w:rStyle w:val="TekstpodstawowyZnak"/>
        </w:rPr>
        <w:t>ona o referencyjne współczynniki równoważności toksycznej dla każdej z ujętych PFAS, aby uwzględnić ich zróżnicowaną toksyczność. Bez takiej stabilności inwestycje niezbędne do innowacji i spełnienia wymogów prawnych będą prawdopodobnie opóźniane.</w:t>
      </w:r>
    </w:p>
    <w:p w14:paraId="206074E8" w14:textId="77777777" w:rsidR="00B167B4" w:rsidRDefault="002814E2">
      <w:pPr>
        <w:pStyle w:val="Heading10"/>
        <w:keepNext/>
        <w:keepLines/>
        <w:numPr>
          <w:ilvl w:val="0"/>
          <w:numId w:val="2"/>
        </w:numPr>
        <w:tabs>
          <w:tab w:val="left" w:pos="542"/>
        </w:tabs>
        <w:jc w:val="both"/>
      </w:pPr>
      <w:bookmarkStart w:id="5" w:name="bookmark10"/>
      <w:r>
        <w:rPr>
          <w:rStyle w:val="Heading1"/>
          <w:b/>
          <w:bCs/>
        </w:rPr>
        <w:t>Zapewnienie ponoszenia kosztów przetwarzania odpadów i historycznych zanieczyszczeń przez producentów i użytkowników PFAS.</w:t>
      </w:r>
      <w:bookmarkEnd w:id="5"/>
    </w:p>
    <w:p w14:paraId="2F71BE86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Ustanowienie funduszu dedykowanego usuwaniu zanieczyszczeń historycznych będzie w nadchodzących latach coraz pilniejszą potrzebą, zwłaszcza w przypadku gleb i wód podziemnych, gdzie często niemożliwe jest zidentyfikowanie odpowiedzialnego podmiotu. Aby fundusz mógł skutecznie działać, konieczne jest wprowadzenie opłaty od produkcji i stosowania PFAS, zaprojektowanej w taki sposób, aby realnie zachęcała do zmiany. Zbyt niski podatek nie ogranicza zanieczyszczania ani nie zapewnia środków niezbędnych do usuwa</w:t>
      </w:r>
      <w:r>
        <w:rPr>
          <w:rStyle w:val="TekstpodstawowyZnak"/>
        </w:rPr>
        <w:t>nia zanieczyszczeń.</w:t>
      </w:r>
    </w:p>
    <w:p w14:paraId="39A6F724" w14:textId="77777777" w:rsidR="00B167B4" w:rsidRDefault="002814E2">
      <w:pPr>
        <w:pStyle w:val="Tekstpodstawowy"/>
        <w:jc w:val="both"/>
      </w:pPr>
      <w:r>
        <w:rPr>
          <w:rStyle w:val="TekstpodstawowyZnak"/>
        </w:rPr>
        <w:t>Należy również uwzględnić, że wielkość funduszu będzie z czasem naturalnie maleć w związku z ograniczeniami regulacyjnymi dotyczącymi stosowania PFAS. Aby zapewnić bezstronne i przejrzyste zarządzanie, fundusz powinien być administrowany przez instytucję publiczną.</w:t>
      </w:r>
    </w:p>
    <w:p w14:paraId="5563FF76" w14:textId="77777777" w:rsidR="00B167B4" w:rsidRDefault="002814E2">
      <w:pPr>
        <w:pStyle w:val="Tekstpodstawowy"/>
        <w:spacing w:after="560"/>
        <w:jc w:val="both"/>
      </w:pPr>
      <w:r>
        <w:rPr>
          <w:rStyle w:val="TekstpodstawowyZnak"/>
        </w:rPr>
        <w:t>Mając na względzie ww. potrzebę przeprowadzenia dyskusji merytorycznej na temat PFAS oraz cele statutowe Związku, zarówno Związek jak i jego poszczególni członkowie deklarują gotowość i chęć zaangażowania się w ewentualne prace nad opracowaniem potrzebnych regulacji dotyczących ww. materii.</w:t>
      </w:r>
    </w:p>
    <w:p w14:paraId="784C3478" w14:textId="77777777" w:rsidR="00B167B4" w:rsidRDefault="002814E2">
      <w:pPr>
        <w:pStyle w:val="Tekstpodstawowy"/>
        <w:spacing w:after="0"/>
        <w:jc w:val="both"/>
      </w:pPr>
      <w:r>
        <w:rPr>
          <w:rStyle w:val="TekstpodstawowyZnak"/>
        </w:rPr>
        <w:t>Z poważaniem,</w:t>
      </w:r>
    </w:p>
    <w:sectPr w:rsidR="00B167B4">
      <w:footerReference w:type="default" r:id="rId8"/>
      <w:pgSz w:w="11900" w:h="16840"/>
      <w:pgMar w:top="1398" w:right="1386" w:bottom="1308" w:left="1380" w:header="9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8F68" w14:textId="77777777" w:rsidR="002814E2" w:rsidRDefault="002814E2">
      <w:r>
        <w:separator/>
      </w:r>
    </w:p>
  </w:endnote>
  <w:endnote w:type="continuationSeparator" w:id="0">
    <w:p w14:paraId="3F51726E" w14:textId="77777777" w:rsidR="002814E2" w:rsidRDefault="0028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EACB" w14:textId="77777777" w:rsidR="00B167B4" w:rsidRDefault="002814E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D091936" wp14:editId="11192C4C">
              <wp:simplePos x="0" y="0"/>
              <wp:positionH relativeFrom="page">
                <wp:posOffset>6594475</wp:posOffset>
              </wp:positionH>
              <wp:positionV relativeFrom="page">
                <wp:posOffset>10162540</wp:posOffset>
              </wp:positionV>
              <wp:extent cx="42545" cy="641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526DF" w14:textId="77777777" w:rsidR="00B167B4" w:rsidRDefault="002814E2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9193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9.25pt;margin-top:800.2pt;width:3.35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" filled="f" stroked="f">
              <v:textbox style="mso-fit-shape-to-text:t" inset="0,0,0,0">
                <w:txbxContent>
                  <w:p w14:paraId="0DC526DF" w14:textId="77777777" w:rsidR="00B167B4" w:rsidRDefault="002814E2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36FE" w14:textId="77777777" w:rsidR="002814E2" w:rsidRDefault="002814E2"/>
  </w:footnote>
  <w:footnote w:type="continuationSeparator" w:id="0">
    <w:p w14:paraId="61889023" w14:textId="77777777" w:rsidR="002814E2" w:rsidRDefault="002814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0554"/>
    <w:multiLevelType w:val="multilevel"/>
    <w:tmpl w:val="52062070"/>
    <w:lvl w:ilvl="0">
      <w:start w:val="169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04C7E"/>
    <w:multiLevelType w:val="multilevel"/>
    <w:tmpl w:val="86D62EB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7556260">
    <w:abstractNumId w:val="0"/>
  </w:num>
  <w:num w:numId="2" w16cid:durableId="9189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B4"/>
    <w:rsid w:val="002814E2"/>
    <w:rsid w:val="00344420"/>
    <w:rsid w:val="00B167B4"/>
    <w:rsid w:val="00D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D712"/>
  <w15:docId w15:val="{5F0D0452-BE27-4841-8ADB-8B209C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styleId="Tekstpodstawowy">
    <w:name w:val="Body Text"/>
    <w:basedOn w:val="Normalny"/>
    <w:link w:val="TekstpodstawowyZnak"/>
    <w:qFormat/>
    <w:pPr>
      <w:spacing w:after="180" w:line="271" w:lineRule="auto"/>
    </w:pPr>
    <w:rPr>
      <w:rFonts w:ascii="Calibri" w:eastAsia="Calibri" w:hAnsi="Calibri" w:cs="Calibri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pacing w:after="180" w:line="271" w:lineRule="auto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Zygadlewicz Małgorzata</cp:lastModifiedBy>
  <cp:revision>2</cp:revision>
  <dcterms:created xsi:type="dcterms:W3CDTF">2026-02-27T11:45:00Z</dcterms:created>
  <dcterms:modified xsi:type="dcterms:W3CDTF">2026-02-27T11:46:00Z</dcterms:modified>
</cp:coreProperties>
</file>