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charts/chart9.xml" ContentType="application/vnd.openxmlformats-officedocument.drawingml.chart+xml"/>
  <Override PartName="/word/theme/themeOverride6.xml" ContentType="application/vnd.openxmlformats-officedocument.themeOverride+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theme/themeOverride7.xml" ContentType="application/vnd.openxmlformats-officedocument.themeOverride+xml"/>
  <Override PartName="/word/charts/chart14.xml" ContentType="application/vnd.openxmlformats-officedocument.drawingml.chart+xml"/>
  <Override PartName="/word/charts/chart15.xml" ContentType="application/vnd.openxmlformats-officedocument.drawingml.chart+xml"/>
  <Override PartName="/word/theme/themeOverride8.xml" ContentType="application/vnd.openxmlformats-officedocument.themeOverride+xml"/>
  <Override PartName="/word/charts/chart16.xml" ContentType="application/vnd.openxmlformats-officedocument.drawingml.chart+xml"/>
  <Override PartName="/word/theme/themeOverride9.xml" ContentType="application/vnd.openxmlformats-officedocument.themeOverride+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theme/themeOverride10.xml" ContentType="application/vnd.openxmlformats-officedocument.themeOverride+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theme/themeOverride11.xml" ContentType="application/vnd.openxmlformats-officedocument.themeOverride+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theme/themeOverride12.xml" ContentType="application/vnd.openxmlformats-officedocument.themeOverride+xml"/>
  <Override PartName="/word/charts/chart30.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drawings/drawing1.xml" ContentType="application/vnd.openxmlformats-officedocument.drawingml.chartshapes+xml"/>
  <Override PartName="/word/charts/chart38.xml" ContentType="application/vnd.openxmlformats-officedocument.drawingml.chart+xml"/>
  <Override PartName="/word/charts/chart39.xml" ContentType="application/vnd.openxmlformats-officedocument.drawingml.chart+xml"/>
  <Override PartName="/word/theme/themeOverride13.xml" ContentType="application/vnd.openxmlformats-officedocument.themeOverride+xml"/>
  <Override PartName="/word/charts/chart40.xml" ContentType="application/vnd.openxmlformats-officedocument.drawingml.chart+xml"/>
  <Override PartName="/word/theme/themeOverride14.xml" ContentType="application/vnd.openxmlformats-officedocument.themeOverride+xml"/>
  <Override PartName="/word/charts/chart4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363FE" w14:textId="1B7CE64B" w:rsidR="00677695" w:rsidRPr="00CB7686" w:rsidRDefault="00CB7686" w:rsidP="00CB7686">
      <w:pPr>
        <w:spacing w:before="0" w:line="276" w:lineRule="auto"/>
        <w:jc w:val="center"/>
        <w:rPr>
          <w:rFonts w:eastAsia="Times New Roman" w:cs="Calibri"/>
          <w:b/>
          <w:color w:val="1F497D"/>
          <w:sz w:val="36"/>
          <w:szCs w:val="36"/>
        </w:rPr>
      </w:pPr>
      <w:r w:rsidRPr="00CB7686">
        <w:rPr>
          <w:rFonts w:eastAsia="Times New Roman" w:cs="Calibri"/>
          <w:b/>
          <w:color w:val="1F497D"/>
          <w:sz w:val="36"/>
          <w:szCs w:val="36"/>
        </w:rPr>
        <w:t xml:space="preserve">Diagnoza do </w:t>
      </w:r>
      <w:r w:rsidR="008233B3">
        <w:rPr>
          <w:rFonts w:eastAsia="Times New Roman" w:cs="Calibri"/>
          <w:b/>
          <w:color w:val="1F497D"/>
          <w:sz w:val="36"/>
          <w:szCs w:val="36"/>
        </w:rPr>
        <w:t>„</w:t>
      </w:r>
      <w:r>
        <w:rPr>
          <w:rFonts w:eastAsia="Times New Roman" w:cs="Calibri"/>
          <w:b/>
          <w:color w:val="1F497D"/>
          <w:sz w:val="36"/>
          <w:szCs w:val="36"/>
        </w:rPr>
        <w:t>S</w:t>
      </w:r>
      <w:r w:rsidRPr="00CB7686">
        <w:rPr>
          <w:rFonts w:eastAsia="Times New Roman" w:cs="Calibri"/>
          <w:b/>
          <w:color w:val="1F497D"/>
          <w:sz w:val="36"/>
          <w:szCs w:val="36"/>
        </w:rPr>
        <w:t>trategii produktywności</w:t>
      </w:r>
      <w:r>
        <w:rPr>
          <w:rFonts w:eastAsia="Times New Roman" w:cs="Calibri"/>
          <w:b/>
          <w:color w:val="1F497D"/>
          <w:sz w:val="36"/>
          <w:szCs w:val="36"/>
        </w:rPr>
        <w:t xml:space="preserve"> 2030</w:t>
      </w:r>
      <w:r w:rsidR="008233B3">
        <w:rPr>
          <w:rFonts w:eastAsia="Times New Roman" w:cs="Calibri"/>
          <w:b/>
          <w:color w:val="1F497D"/>
          <w:sz w:val="36"/>
          <w:szCs w:val="36"/>
        </w:rPr>
        <w:t>”</w:t>
      </w:r>
    </w:p>
    <w:p w14:paraId="170FDFB1" w14:textId="77777777" w:rsidR="001B3C40" w:rsidRPr="00CB07D4" w:rsidRDefault="001B3C40" w:rsidP="00CB7686">
      <w:pPr>
        <w:pStyle w:val="Nagwek1"/>
      </w:pPr>
      <w:bookmarkStart w:id="0" w:name="_Toc106968766"/>
      <w:r w:rsidRPr="00CB07D4">
        <w:t>Spis treści</w:t>
      </w:r>
      <w:bookmarkEnd w:id="0"/>
    </w:p>
    <w:p w14:paraId="59A8528B" w14:textId="77777777" w:rsidR="00D43255" w:rsidRDefault="001B3C40">
      <w:pPr>
        <w:pStyle w:val="Spistreci1"/>
        <w:rPr>
          <w:rFonts w:asciiTheme="minorHAnsi" w:eastAsiaTheme="minorEastAsia" w:hAnsiTheme="minorHAnsi" w:cstheme="minorBidi"/>
          <w:b w:val="0"/>
          <w:bCs w:val="0"/>
          <w:caps w:val="0"/>
          <w:noProof/>
          <w:color w:val="auto"/>
          <w:sz w:val="22"/>
          <w:szCs w:val="22"/>
          <w:lang w:eastAsia="pl-PL"/>
        </w:rPr>
      </w:pPr>
      <w:r w:rsidRPr="00254AB9">
        <w:rPr>
          <w:sz w:val="21"/>
          <w:szCs w:val="21"/>
        </w:rPr>
        <w:fldChar w:fldCharType="begin"/>
      </w:r>
      <w:r>
        <w:rPr>
          <w:sz w:val="21"/>
          <w:szCs w:val="21"/>
        </w:rPr>
        <w:instrText xml:space="preserve"> TOC \o "1-3" \h \z \u </w:instrText>
      </w:r>
      <w:r w:rsidRPr="00254AB9">
        <w:rPr>
          <w:sz w:val="21"/>
          <w:szCs w:val="21"/>
        </w:rPr>
        <w:fldChar w:fldCharType="separate"/>
      </w:r>
      <w:hyperlink w:anchor="_Toc106968766" w:history="1">
        <w:r w:rsidR="00D43255" w:rsidRPr="008A68E7">
          <w:rPr>
            <w:rStyle w:val="Hipercze"/>
            <w:noProof/>
          </w:rPr>
          <w:t>Spis treści</w:t>
        </w:r>
        <w:r w:rsidR="00D43255">
          <w:rPr>
            <w:noProof/>
            <w:webHidden/>
          </w:rPr>
          <w:tab/>
        </w:r>
        <w:r w:rsidR="00D43255">
          <w:rPr>
            <w:noProof/>
            <w:webHidden/>
          </w:rPr>
          <w:fldChar w:fldCharType="begin"/>
        </w:r>
        <w:r w:rsidR="00D43255">
          <w:rPr>
            <w:noProof/>
            <w:webHidden/>
          </w:rPr>
          <w:instrText xml:space="preserve"> PAGEREF _Toc106968766 \h </w:instrText>
        </w:r>
        <w:r w:rsidR="00D43255">
          <w:rPr>
            <w:noProof/>
            <w:webHidden/>
          </w:rPr>
        </w:r>
        <w:r w:rsidR="00D43255">
          <w:rPr>
            <w:noProof/>
            <w:webHidden/>
          </w:rPr>
          <w:fldChar w:fldCharType="separate"/>
        </w:r>
        <w:r w:rsidR="00D43255">
          <w:rPr>
            <w:noProof/>
            <w:webHidden/>
          </w:rPr>
          <w:t>1</w:t>
        </w:r>
        <w:r w:rsidR="00D43255">
          <w:rPr>
            <w:noProof/>
            <w:webHidden/>
          </w:rPr>
          <w:fldChar w:fldCharType="end"/>
        </w:r>
      </w:hyperlink>
    </w:p>
    <w:p w14:paraId="297372DE" w14:textId="77777777" w:rsidR="00D43255" w:rsidRDefault="00000000">
      <w:pPr>
        <w:pStyle w:val="Spistreci1"/>
        <w:rPr>
          <w:rFonts w:asciiTheme="minorHAnsi" w:eastAsiaTheme="minorEastAsia" w:hAnsiTheme="minorHAnsi" w:cstheme="minorBidi"/>
          <w:b w:val="0"/>
          <w:bCs w:val="0"/>
          <w:caps w:val="0"/>
          <w:noProof/>
          <w:color w:val="auto"/>
          <w:sz w:val="22"/>
          <w:szCs w:val="22"/>
          <w:lang w:eastAsia="pl-PL"/>
        </w:rPr>
      </w:pPr>
      <w:hyperlink w:anchor="_Toc106968767" w:history="1">
        <w:r w:rsidR="00D43255" w:rsidRPr="008A68E7">
          <w:rPr>
            <w:rStyle w:val="Hipercze"/>
            <w:rFonts w:ascii="Calibri" w:hAnsi="Calibri"/>
            <w:noProof/>
          </w:rPr>
          <w:t>1.</w:t>
        </w:r>
        <w:r w:rsidR="00D43255">
          <w:rPr>
            <w:rFonts w:asciiTheme="minorHAnsi" w:eastAsiaTheme="minorEastAsia" w:hAnsiTheme="minorHAnsi" w:cstheme="minorBidi"/>
            <w:b w:val="0"/>
            <w:bCs w:val="0"/>
            <w:caps w:val="0"/>
            <w:noProof/>
            <w:color w:val="auto"/>
            <w:sz w:val="22"/>
            <w:szCs w:val="22"/>
            <w:lang w:eastAsia="pl-PL"/>
          </w:rPr>
          <w:tab/>
        </w:r>
        <w:r w:rsidR="00D43255" w:rsidRPr="008A68E7">
          <w:rPr>
            <w:rStyle w:val="Hipercze"/>
            <w:rFonts w:ascii="Calibri" w:hAnsi="Calibri"/>
            <w:noProof/>
          </w:rPr>
          <w:t>Produktywność w gospodarce</w:t>
        </w:r>
        <w:r w:rsidR="00D43255">
          <w:rPr>
            <w:noProof/>
            <w:webHidden/>
          </w:rPr>
          <w:tab/>
        </w:r>
        <w:r w:rsidR="00D43255">
          <w:rPr>
            <w:noProof/>
            <w:webHidden/>
          </w:rPr>
          <w:fldChar w:fldCharType="begin"/>
        </w:r>
        <w:r w:rsidR="00D43255">
          <w:rPr>
            <w:noProof/>
            <w:webHidden/>
          </w:rPr>
          <w:instrText xml:space="preserve"> PAGEREF _Toc106968767 \h </w:instrText>
        </w:r>
        <w:r w:rsidR="00D43255">
          <w:rPr>
            <w:noProof/>
            <w:webHidden/>
          </w:rPr>
        </w:r>
        <w:r w:rsidR="00D43255">
          <w:rPr>
            <w:noProof/>
            <w:webHidden/>
          </w:rPr>
          <w:fldChar w:fldCharType="separate"/>
        </w:r>
        <w:r w:rsidR="00D43255">
          <w:rPr>
            <w:noProof/>
            <w:webHidden/>
          </w:rPr>
          <w:t>3</w:t>
        </w:r>
        <w:r w:rsidR="00D43255">
          <w:rPr>
            <w:noProof/>
            <w:webHidden/>
          </w:rPr>
          <w:fldChar w:fldCharType="end"/>
        </w:r>
      </w:hyperlink>
    </w:p>
    <w:p w14:paraId="4D0A765B"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768" w:history="1">
        <w:r w:rsidR="00D43255" w:rsidRPr="008A68E7">
          <w:rPr>
            <w:rStyle w:val="Hipercze"/>
            <w:noProof/>
          </w:rPr>
          <w:t>Produktywność – definicja i pomiar</w:t>
        </w:r>
        <w:r w:rsidR="00D43255">
          <w:rPr>
            <w:noProof/>
            <w:webHidden/>
          </w:rPr>
          <w:tab/>
        </w:r>
        <w:r w:rsidR="00D43255">
          <w:rPr>
            <w:noProof/>
            <w:webHidden/>
          </w:rPr>
          <w:fldChar w:fldCharType="begin"/>
        </w:r>
        <w:r w:rsidR="00D43255">
          <w:rPr>
            <w:noProof/>
            <w:webHidden/>
          </w:rPr>
          <w:instrText xml:space="preserve"> PAGEREF _Toc106968768 \h </w:instrText>
        </w:r>
        <w:r w:rsidR="00D43255">
          <w:rPr>
            <w:noProof/>
            <w:webHidden/>
          </w:rPr>
        </w:r>
        <w:r w:rsidR="00D43255">
          <w:rPr>
            <w:noProof/>
            <w:webHidden/>
          </w:rPr>
          <w:fldChar w:fldCharType="separate"/>
        </w:r>
        <w:r w:rsidR="00D43255">
          <w:rPr>
            <w:noProof/>
            <w:webHidden/>
          </w:rPr>
          <w:t>3</w:t>
        </w:r>
        <w:r w:rsidR="00D43255">
          <w:rPr>
            <w:noProof/>
            <w:webHidden/>
          </w:rPr>
          <w:fldChar w:fldCharType="end"/>
        </w:r>
      </w:hyperlink>
    </w:p>
    <w:p w14:paraId="256B5461"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769" w:history="1">
        <w:r w:rsidR="00D43255" w:rsidRPr="008A68E7">
          <w:rPr>
            <w:rStyle w:val="Hipercze"/>
            <w:noProof/>
          </w:rPr>
          <w:t>Kontekst międzynarodowy: „paradoks produktywności”</w:t>
        </w:r>
        <w:r w:rsidR="00D43255">
          <w:rPr>
            <w:noProof/>
            <w:webHidden/>
          </w:rPr>
          <w:tab/>
        </w:r>
        <w:r w:rsidR="00D43255">
          <w:rPr>
            <w:noProof/>
            <w:webHidden/>
          </w:rPr>
          <w:fldChar w:fldCharType="begin"/>
        </w:r>
        <w:r w:rsidR="00D43255">
          <w:rPr>
            <w:noProof/>
            <w:webHidden/>
          </w:rPr>
          <w:instrText xml:space="preserve"> PAGEREF _Toc106968769 \h </w:instrText>
        </w:r>
        <w:r w:rsidR="00D43255">
          <w:rPr>
            <w:noProof/>
            <w:webHidden/>
          </w:rPr>
        </w:r>
        <w:r w:rsidR="00D43255">
          <w:rPr>
            <w:noProof/>
            <w:webHidden/>
          </w:rPr>
          <w:fldChar w:fldCharType="separate"/>
        </w:r>
        <w:r w:rsidR="00D43255">
          <w:rPr>
            <w:noProof/>
            <w:webHidden/>
          </w:rPr>
          <w:t>5</w:t>
        </w:r>
        <w:r w:rsidR="00D43255">
          <w:rPr>
            <w:noProof/>
            <w:webHidden/>
          </w:rPr>
          <w:fldChar w:fldCharType="end"/>
        </w:r>
      </w:hyperlink>
    </w:p>
    <w:p w14:paraId="2190E67B"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770" w:history="1">
        <w:r w:rsidR="00D43255" w:rsidRPr="008A68E7">
          <w:rPr>
            <w:rStyle w:val="Hipercze"/>
            <w:noProof/>
          </w:rPr>
          <w:t>Narastające zróżnicowanie produktywności pomiędzy przedsiębiorstwami</w:t>
        </w:r>
        <w:r w:rsidR="00D43255">
          <w:rPr>
            <w:noProof/>
            <w:webHidden/>
          </w:rPr>
          <w:tab/>
        </w:r>
        <w:r w:rsidR="00D43255">
          <w:rPr>
            <w:noProof/>
            <w:webHidden/>
          </w:rPr>
          <w:fldChar w:fldCharType="begin"/>
        </w:r>
        <w:r w:rsidR="00D43255">
          <w:rPr>
            <w:noProof/>
            <w:webHidden/>
          </w:rPr>
          <w:instrText xml:space="preserve"> PAGEREF _Toc106968770 \h </w:instrText>
        </w:r>
        <w:r w:rsidR="00D43255">
          <w:rPr>
            <w:noProof/>
            <w:webHidden/>
          </w:rPr>
        </w:r>
        <w:r w:rsidR="00D43255">
          <w:rPr>
            <w:noProof/>
            <w:webHidden/>
          </w:rPr>
          <w:fldChar w:fldCharType="separate"/>
        </w:r>
        <w:r w:rsidR="00D43255">
          <w:rPr>
            <w:noProof/>
            <w:webHidden/>
          </w:rPr>
          <w:t>7</w:t>
        </w:r>
        <w:r w:rsidR="00D43255">
          <w:rPr>
            <w:noProof/>
            <w:webHidden/>
          </w:rPr>
          <w:fldChar w:fldCharType="end"/>
        </w:r>
      </w:hyperlink>
    </w:p>
    <w:p w14:paraId="4EE6BCF9"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771" w:history="1">
        <w:r w:rsidR="00D43255" w:rsidRPr="008A68E7">
          <w:rPr>
            <w:rStyle w:val="Hipercze"/>
            <w:noProof/>
          </w:rPr>
          <w:t>Technologie cyfrowe a produktywność</w:t>
        </w:r>
        <w:r w:rsidR="00D43255">
          <w:rPr>
            <w:noProof/>
            <w:webHidden/>
          </w:rPr>
          <w:tab/>
        </w:r>
        <w:r w:rsidR="00D43255">
          <w:rPr>
            <w:noProof/>
            <w:webHidden/>
          </w:rPr>
          <w:fldChar w:fldCharType="begin"/>
        </w:r>
        <w:r w:rsidR="00D43255">
          <w:rPr>
            <w:noProof/>
            <w:webHidden/>
          </w:rPr>
          <w:instrText xml:space="preserve"> PAGEREF _Toc106968771 \h </w:instrText>
        </w:r>
        <w:r w:rsidR="00D43255">
          <w:rPr>
            <w:noProof/>
            <w:webHidden/>
          </w:rPr>
        </w:r>
        <w:r w:rsidR="00D43255">
          <w:rPr>
            <w:noProof/>
            <w:webHidden/>
          </w:rPr>
          <w:fldChar w:fldCharType="separate"/>
        </w:r>
        <w:r w:rsidR="00D43255">
          <w:rPr>
            <w:noProof/>
            <w:webHidden/>
          </w:rPr>
          <w:t>8</w:t>
        </w:r>
        <w:r w:rsidR="00D43255">
          <w:rPr>
            <w:noProof/>
            <w:webHidden/>
          </w:rPr>
          <w:fldChar w:fldCharType="end"/>
        </w:r>
      </w:hyperlink>
    </w:p>
    <w:p w14:paraId="04EC7075"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772" w:history="1">
        <w:r w:rsidR="00D43255" w:rsidRPr="008A68E7">
          <w:rPr>
            <w:rStyle w:val="Hipercze"/>
            <w:noProof/>
          </w:rPr>
          <w:t>Produktywność a zmiana strukturalna</w:t>
        </w:r>
        <w:r w:rsidR="00D43255">
          <w:rPr>
            <w:noProof/>
            <w:webHidden/>
          </w:rPr>
          <w:tab/>
        </w:r>
        <w:r w:rsidR="00D43255">
          <w:rPr>
            <w:noProof/>
            <w:webHidden/>
          </w:rPr>
          <w:fldChar w:fldCharType="begin"/>
        </w:r>
        <w:r w:rsidR="00D43255">
          <w:rPr>
            <w:noProof/>
            <w:webHidden/>
          </w:rPr>
          <w:instrText xml:space="preserve"> PAGEREF _Toc106968772 \h </w:instrText>
        </w:r>
        <w:r w:rsidR="00D43255">
          <w:rPr>
            <w:noProof/>
            <w:webHidden/>
          </w:rPr>
        </w:r>
        <w:r w:rsidR="00D43255">
          <w:rPr>
            <w:noProof/>
            <w:webHidden/>
          </w:rPr>
          <w:fldChar w:fldCharType="separate"/>
        </w:r>
        <w:r w:rsidR="00D43255">
          <w:rPr>
            <w:noProof/>
            <w:webHidden/>
          </w:rPr>
          <w:t>9</w:t>
        </w:r>
        <w:r w:rsidR="00D43255">
          <w:rPr>
            <w:noProof/>
            <w:webHidden/>
          </w:rPr>
          <w:fldChar w:fldCharType="end"/>
        </w:r>
      </w:hyperlink>
    </w:p>
    <w:p w14:paraId="7DA2DD5D"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773" w:history="1">
        <w:r w:rsidR="00D43255" w:rsidRPr="008A68E7">
          <w:rPr>
            <w:rStyle w:val="Hipercze"/>
            <w:noProof/>
          </w:rPr>
          <w:t>Produktywność w przetwórstwie przemysłowym</w:t>
        </w:r>
        <w:r w:rsidR="00D43255">
          <w:rPr>
            <w:noProof/>
            <w:webHidden/>
          </w:rPr>
          <w:tab/>
        </w:r>
        <w:r w:rsidR="00D43255">
          <w:rPr>
            <w:noProof/>
            <w:webHidden/>
          </w:rPr>
          <w:fldChar w:fldCharType="begin"/>
        </w:r>
        <w:r w:rsidR="00D43255">
          <w:rPr>
            <w:noProof/>
            <w:webHidden/>
          </w:rPr>
          <w:instrText xml:space="preserve"> PAGEREF _Toc106968773 \h </w:instrText>
        </w:r>
        <w:r w:rsidR="00D43255">
          <w:rPr>
            <w:noProof/>
            <w:webHidden/>
          </w:rPr>
        </w:r>
        <w:r w:rsidR="00D43255">
          <w:rPr>
            <w:noProof/>
            <w:webHidden/>
          </w:rPr>
          <w:fldChar w:fldCharType="separate"/>
        </w:r>
        <w:r w:rsidR="00D43255">
          <w:rPr>
            <w:noProof/>
            <w:webHidden/>
          </w:rPr>
          <w:t>11</w:t>
        </w:r>
        <w:r w:rsidR="00D43255">
          <w:rPr>
            <w:noProof/>
            <w:webHidden/>
          </w:rPr>
          <w:fldChar w:fldCharType="end"/>
        </w:r>
      </w:hyperlink>
    </w:p>
    <w:p w14:paraId="6C134712"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774" w:history="1">
        <w:r w:rsidR="00D43255" w:rsidRPr="008A68E7">
          <w:rPr>
            <w:rStyle w:val="Hipercze"/>
            <w:noProof/>
          </w:rPr>
          <w:t>Dekompozycja wzrostu produktywności</w:t>
        </w:r>
        <w:r w:rsidR="00D43255">
          <w:rPr>
            <w:noProof/>
            <w:webHidden/>
          </w:rPr>
          <w:tab/>
        </w:r>
        <w:r w:rsidR="00D43255">
          <w:rPr>
            <w:noProof/>
            <w:webHidden/>
          </w:rPr>
          <w:fldChar w:fldCharType="begin"/>
        </w:r>
        <w:r w:rsidR="00D43255">
          <w:rPr>
            <w:noProof/>
            <w:webHidden/>
          </w:rPr>
          <w:instrText xml:space="preserve"> PAGEREF _Toc106968774 \h </w:instrText>
        </w:r>
        <w:r w:rsidR="00D43255">
          <w:rPr>
            <w:noProof/>
            <w:webHidden/>
          </w:rPr>
        </w:r>
        <w:r w:rsidR="00D43255">
          <w:rPr>
            <w:noProof/>
            <w:webHidden/>
          </w:rPr>
          <w:fldChar w:fldCharType="separate"/>
        </w:r>
        <w:r w:rsidR="00D43255">
          <w:rPr>
            <w:noProof/>
            <w:webHidden/>
          </w:rPr>
          <w:t>14</w:t>
        </w:r>
        <w:r w:rsidR="00D43255">
          <w:rPr>
            <w:noProof/>
            <w:webHidden/>
          </w:rPr>
          <w:fldChar w:fldCharType="end"/>
        </w:r>
      </w:hyperlink>
    </w:p>
    <w:p w14:paraId="3A9A7B58"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775" w:history="1">
        <w:r w:rsidR="00D43255" w:rsidRPr="008A68E7">
          <w:rPr>
            <w:rStyle w:val="Hipercze"/>
            <w:noProof/>
          </w:rPr>
          <w:t>Produktywność – wymiar terytorialny</w:t>
        </w:r>
        <w:r w:rsidR="00D43255">
          <w:rPr>
            <w:noProof/>
            <w:webHidden/>
          </w:rPr>
          <w:tab/>
        </w:r>
        <w:r w:rsidR="00D43255">
          <w:rPr>
            <w:noProof/>
            <w:webHidden/>
          </w:rPr>
          <w:fldChar w:fldCharType="begin"/>
        </w:r>
        <w:r w:rsidR="00D43255">
          <w:rPr>
            <w:noProof/>
            <w:webHidden/>
          </w:rPr>
          <w:instrText xml:space="preserve"> PAGEREF _Toc106968775 \h </w:instrText>
        </w:r>
        <w:r w:rsidR="00D43255">
          <w:rPr>
            <w:noProof/>
            <w:webHidden/>
          </w:rPr>
        </w:r>
        <w:r w:rsidR="00D43255">
          <w:rPr>
            <w:noProof/>
            <w:webHidden/>
          </w:rPr>
          <w:fldChar w:fldCharType="separate"/>
        </w:r>
        <w:r w:rsidR="00D43255">
          <w:rPr>
            <w:noProof/>
            <w:webHidden/>
          </w:rPr>
          <w:t>16</w:t>
        </w:r>
        <w:r w:rsidR="00D43255">
          <w:rPr>
            <w:noProof/>
            <w:webHidden/>
          </w:rPr>
          <w:fldChar w:fldCharType="end"/>
        </w:r>
      </w:hyperlink>
    </w:p>
    <w:p w14:paraId="537AB7E8"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776" w:history="1">
        <w:r w:rsidR="00D43255" w:rsidRPr="008A68E7">
          <w:rPr>
            <w:rStyle w:val="Hipercze"/>
            <w:noProof/>
          </w:rPr>
          <w:t>Produktywność a inwestycje</w:t>
        </w:r>
        <w:r w:rsidR="00D43255">
          <w:rPr>
            <w:noProof/>
            <w:webHidden/>
          </w:rPr>
          <w:tab/>
        </w:r>
        <w:r w:rsidR="00D43255">
          <w:rPr>
            <w:noProof/>
            <w:webHidden/>
          </w:rPr>
          <w:fldChar w:fldCharType="begin"/>
        </w:r>
        <w:r w:rsidR="00D43255">
          <w:rPr>
            <w:noProof/>
            <w:webHidden/>
          </w:rPr>
          <w:instrText xml:space="preserve"> PAGEREF _Toc106968776 \h </w:instrText>
        </w:r>
        <w:r w:rsidR="00D43255">
          <w:rPr>
            <w:noProof/>
            <w:webHidden/>
          </w:rPr>
        </w:r>
        <w:r w:rsidR="00D43255">
          <w:rPr>
            <w:noProof/>
            <w:webHidden/>
          </w:rPr>
          <w:fldChar w:fldCharType="separate"/>
        </w:r>
        <w:r w:rsidR="00D43255">
          <w:rPr>
            <w:noProof/>
            <w:webHidden/>
          </w:rPr>
          <w:t>23</w:t>
        </w:r>
        <w:r w:rsidR="00D43255">
          <w:rPr>
            <w:noProof/>
            <w:webHidden/>
          </w:rPr>
          <w:fldChar w:fldCharType="end"/>
        </w:r>
      </w:hyperlink>
    </w:p>
    <w:p w14:paraId="25EE306D"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777" w:history="1">
        <w:r w:rsidR="00D43255" w:rsidRPr="008A68E7">
          <w:rPr>
            <w:rStyle w:val="Hipercze"/>
            <w:noProof/>
            <w:lang w:val="en-US"/>
          </w:rPr>
          <w:t>Literatura</w:t>
        </w:r>
        <w:r w:rsidR="00D43255">
          <w:rPr>
            <w:noProof/>
            <w:webHidden/>
          </w:rPr>
          <w:tab/>
        </w:r>
        <w:r w:rsidR="00D43255">
          <w:rPr>
            <w:noProof/>
            <w:webHidden/>
          </w:rPr>
          <w:fldChar w:fldCharType="begin"/>
        </w:r>
        <w:r w:rsidR="00D43255">
          <w:rPr>
            <w:noProof/>
            <w:webHidden/>
          </w:rPr>
          <w:instrText xml:space="preserve"> PAGEREF _Toc106968777 \h </w:instrText>
        </w:r>
        <w:r w:rsidR="00D43255">
          <w:rPr>
            <w:noProof/>
            <w:webHidden/>
          </w:rPr>
        </w:r>
        <w:r w:rsidR="00D43255">
          <w:rPr>
            <w:noProof/>
            <w:webHidden/>
          </w:rPr>
          <w:fldChar w:fldCharType="separate"/>
        </w:r>
        <w:r w:rsidR="00D43255">
          <w:rPr>
            <w:noProof/>
            <w:webHidden/>
          </w:rPr>
          <w:t>27</w:t>
        </w:r>
        <w:r w:rsidR="00D43255">
          <w:rPr>
            <w:noProof/>
            <w:webHidden/>
          </w:rPr>
          <w:fldChar w:fldCharType="end"/>
        </w:r>
      </w:hyperlink>
    </w:p>
    <w:p w14:paraId="3DC483B7" w14:textId="77777777" w:rsidR="00D43255" w:rsidRDefault="00000000">
      <w:pPr>
        <w:pStyle w:val="Spistreci1"/>
        <w:rPr>
          <w:rFonts w:asciiTheme="minorHAnsi" w:eastAsiaTheme="minorEastAsia" w:hAnsiTheme="minorHAnsi" w:cstheme="minorBidi"/>
          <w:b w:val="0"/>
          <w:bCs w:val="0"/>
          <w:caps w:val="0"/>
          <w:noProof/>
          <w:color w:val="auto"/>
          <w:sz w:val="22"/>
          <w:szCs w:val="22"/>
          <w:lang w:eastAsia="pl-PL"/>
        </w:rPr>
      </w:pPr>
      <w:hyperlink w:anchor="_Toc106968778" w:history="1">
        <w:r w:rsidR="00D43255" w:rsidRPr="008A68E7">
          <w:rPr>
            <w:rStyle w:val="Hipercze"/>
            <w:rFonts w:ascii="Calibri" w:hAnsi="Calibri"/>
            <w:noProof/>
          </w:rPr>
          <w:t>2.</w:t>
        </w:r>
        <w:r w:rsidR="00D43255">
          <w:rPr>
            <w:rFonts w:asciiTheme="minorHAnsi" w:eastAsiaTheme="minorEastAsia" w:hAnsiTheme="minorHAnsi" w:cstheme="minorBidi"/>
            <w:b w:val="0"/>
            <w:bCs w:val="0"/>
            <w:caps w:val="0"/>
            <w:noProof/>
            <w:color w:val="auto"/>
            <w:sz w:val="22"/>
            <w:szCs w:val="22"/>
            <w:lang w:eastAsia="pl-PL"/>
          </w:rPr>
          <w:tab/>
        </w:r>
        <w:r w:rsidR="00D43255" w:rsidRPr="008A68E7">
          <w:rPr>
            <w:rStyle w:val="Hipercze"/>
            <w:rFonts w:ascii="Calibri" w:hAnsi="Calibri"/>
            <w:noProof/>
          </w:rPr>
          <w:t>Materiało- i energochłonność</w:t>
        </w:r>
        <w:r w:rsidR="00D43255">
          <w:rPr>
            <w:noProof/>
            <w:webHidden/>
          </w:rPr>
          <w:tab/>
        </w:r>
        <w:r w:rsidR="00D43255">
          <w:rPr>
            <w:noProof/>
            <w:webHidden/>
          </w:rPr>
          <w:fldChar w:fldCharType="begin"/>
        </w:r>
        <w:r w:rsidR="00D43255">
          <w:rPr>
            <w:noProof/>
            <w:webHidden/>
          </w:rPr>
          <w:instrText xml:space="preserve"> PAGEREF _Toc106968778 \h </w:instrText>
        </w:r>
        <w:r w:rsidR="00D43255">
          <w:rPr>
            <w:noProof/>
            <w:webHidden/>
          </w:rPr>
        </w:r>
        <w:r w:rsidR="00D43255">
          <w:rPr>
            <w:noProof/>
            <w:webHidden/>
          </w:rPr>
          <w:fldChar w:fldCharType="separate"/>
        </w:r>
        <w:r w:rsidR="00D43255">
          <w:rPr>
            <w:noProof/>
            <w:webHidden/>
          </w:rPr>
          <w:t>28</w:t>
        </w:r>
        <w:r w:rsidR="00D43255">
          <w:rPr>
            <w:noProof/>
            <w:webHidden/>
          </w:rPr>
          <w:fldChar w:fldCharType="end"/>
        </w:r>
      </w:hyperlink>
    </w:p>
    <w:p w14:paraId="36FDCD36"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779" w:history="1">
        <w:r w:rsidR="00D43255" w:rsidRPr="008A68E7">
          <w:rPr>
            <w:rStyle w:val="Hipercze"/>
            <w:noProof/>
          </w:rPr>
          <w:t>Wykorzystanie zasobów</w:t>
        </w:r>
        <w:r w:rsidR="00D43255">
          <w:rPr>
            <w:noProof/>
            <w:webHidden/>
          </w:rPr>
          <w:tab/>
        </w:r>
        <w:r w:rsidR="00D43255">
          <w:rPr>
            <w:noProof/>
            <w:webHidden/>
          </w:rPr>
          <w:fldChar w:fldCharType="begin"/>
        </w:r>
        <w:r w:rsidR="00D43255">
          <w:rPr>
            <w:noProof/>
            <w:webHidden/>
          </w:rPr>
          <w:instrText xml:space="preserve"> PAGEREF _Toc106968779 \h </w:instrText>
        </w:r>
        <w:r w:rsidR="00D43255">
          <w:rPr>
            <w:noProof/>
            <w:webHidden/>
          </w:rPr>
        </w:r>
        <w:r w:rsidR="00D43255">
          <w:rPr>
            <w:noProof/>
            <w:webHidden/>
          </w:rPr>
          <w:fldChar w:fldCharType="separate"/>
        </w:r>
        <w:r w:rsidR="00D43255">
          <w:rPr>
            <w:noProof/>
            <w:webHidden/>
          </w:rPr>
          <w:t>28</w:t>
        </w:r>
        <w:r w:rsidR="00D43255">
          <w:rPr>
            <w:noProof/>
            <w:webHidden/>
          </w:rPr>
          <w:fldChar w:fldCharType="end"/>
        </w:r>
      </w:hyperlink>
    </w:p>
    <w:p w14:paraId="41B66044"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780" w:history="1">
        <w:r w:rsidR="00D43255" w:rsidRPr="008A68E7">
          <w:rPr>
            <w:rStyle w:val="Hipercze"/>
            <w:noProof/>
          </w:rPr>
          <w:t>Gospodarka odpadami, odzysk i recykling</w:t>
        </w:r>
        <w:r w:rsidR="00D43255">
          <w:rPr>
            <w:noProof/>
            <w:webHidden/>
          </w:rPr>
          <w:tab/>
        </w:r>
        <w:r w:rsidR="00D43255">
          <w:rPr>
            <w:noProof/>
            <w:webHidden/>
          </w:rPr>
          <w:fldChar w:fldCharType="begin"/>
        </w:r>
        <w:r w:rsidR="00D43255">
          <w:rPr>
            <w:noProof/>
            <w:webHidden/>
          </w:rPr>
          <w:instrText xml:space="preserve"> PAGEREF _Toc106968780 \h </w:instrText>
        </w:r>
        <w:r w:rsidR="00D43255">
          <w:rPr>
            <w:noProof/>
            <w:webHidden/>
          </w:rPr>
        </w:r>
        <w:r w:rsidR="00D43255">
          <w:rPr>
            <w:noProof/>
            <w:webHidden/>
          </w:rPr>
          <w:fldChar w:fldCharType="separate"/>
        </w:r>
        <w:r w:rsidR="00D43255">
          <w:rPr>
            <w:noProof/>
            <w:webHidden/>
          </w:rPr>
          <w:t>32</w:t>
        </w:r>
        <w:r w:rsidR="00D43255">
          <w:rPr>
            <w:noProof/>
            <w:webHidden/>
          </w:rPr>
          <w:fldChar w:fldCharType="end"/>
        </w:r>
      </w:hyperlink>
    </w:p>
    <w:p w14:paraId="0C97EDC4"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781" w:history="1">
        <w:r w:rsidR="00D43255" w:rsidRPr="008A68E7">
          <w:rPr>
            <w:rStyle w:val="Hipercze"/>
            <w:noProof/>
          </w:rPr>
          <w:t>Zużycie energii, efektywność energetyczna</w:t>
        </w:r>
        <w:r w:rsidR="00D43255">
          <w:rPr>
            <w:noProof/>
            <w:webHidden/>
          </w:rPr>
          <w:tab/>
        </w:r>
        <w:r w:rsidR="00D43255">
          <w:rPr>
            <w:noProof/>
            <w:webHidden/>
          </w:rPr>
          <w:fldChar w:fldCharType="begin"/>
        </w:r>
        <w:r w:rsidR="00D43255">
          <w:rPr>
            <w:noProof/>
            <w:webHidden/>
          </w:rPr>
          <w:instrText xml:space="preserve"> PAGEREF _Toc106968781 \h </w:instrText>
        </w:r>
        <w:r w:rsidR="00D43255">
          <w:rPr>
            <w:noProof/>
            <w:webHidden/>
          </w:rPr>
        </w:r>
        <w:r w:rsidR="00D43255">
          <w:rPr>
            <w:noProof/>
            <w:webHidden/>
          </w:rPr>
          <w:fldChar w:fldCharType="separate"/>
        </w:r>
        <w:r w:rsidR="00D43255">
          <w:rPr>
            <w:noProof/>
            <w:webHidden/>
          </w:rPr>
          <w:t>35</w:t>
        </w:r>
        <w:r w:rsidR="00D43255">
          <w:rPr>
            <w:noProof/>
            <w:webHidden/>
          </w:rPr>
          <w:fldChar w:fldCharType="end"/>
        </w:r>
      </w:hyperlink>
    </w:p>
    <w:p w14:paraId="3B89429C"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782" w:history="1">
        <w:r w:rsidR="00D43255" w:rsidRPr="008A68E7">
          <w:rPr>
            <w:rStyle w:val="Hipercze"/>
            <w:noProof/>
          </w:rPr>
          <w:t>Ekoinnowacje</w:t>
        </w:r>
        <w:r w:rsidR="00D43255">
          <w:rPr>
            <w:noProof/>
            <w:webHidden/>
          </w:rPr>
          <w:tab/>
        </w:r>
        <w:r w:rsidR="00D43255">
          <w:rPr>
            <w:noProof/>
            <w:webHidden/>
          </w:rPr>
          <w:fldChar w:fldCharType="begin"/>
        </w:r>
        <w:r w:rsidR="00D43255">
          <w:rPr>
            <w:noProof/>
            <w:webHidden/>
          </w:rPr>
          <w:instrText xml:space="preserve"> PAGEREF _Toc106968782 \h </w:instrText>
        </w:r>
        <w:r w:rsidR="00D43255">
          <w:rPr>
            <w:noProof/>
            <w:webHidden/>
          </w:rPr>
        </w:r>
        <w:r w:rsidR="00D43255">
          <w:rPr>
            <w:noProof/>
            <w:webHidden/>
          </w:rPr>
          <w:fldChar w:fldCharType="separate"/>
        </w:r>
        <w:r w:rsidR="00D43255">
          <w:rPr>
            <w:noProof/>
            <w:webHidden/>
          </w:rPr>
          <w:t>41</w:t>
        </w:r>
        <w:r w:rsidR="00D43255">
          <w:rPr>
            <w:noProof/>
            <w:webHidden/>
          </w:rPr>
          <w:fldChar w:fldCharType="end"/>
        </w:r>
      </w:hyperlink>
    </w:p>
    <w:p w14:paraId="1BCD1C50"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783" w:history="1">
        <w:r w:rsidR="00D43255" w:rsidRPr="008A68E7">
          <w:rPr>
            <w:rStyle w:val="Hipercze"/>
            <w:noProof/>
          </w:rPr>
          <w:t>Ekoprojektowanie (</w:t>
        </w:r>
        <w:r w:rsidR="00D43255" w:rsidRPr="008A68E7">
          <w:rPr>
            <w:rStyle w:val="Hipercze"/>
            <w:i/>
            <w:noProof/>
          </w:rPr>
          <w:t>ekodesign</w:t>
        </w:r>
        <w:r w:rsidR="00D43255" w:rsidRPr="008A68E7">
          <w:rPr>
            <w:rStyle w:val="Hipercze"/>
            <w:noProof/>
          </w:rPr>
          <w:t>)</w:t>
        </w:r>
        <w:r w:rsidR="00D43255">
          <w:rPr>
            <w:noProof/>
            <w:webHidden/>
          </w:rPr>
          <w:tab/>
        </w:r>
        <w:r w:rsidR="00D43255">
          <w:rPr>
            <w:noProof/>
            <w:webHidden/>
          </w:rPr>
          <w:fldChar w:fldCharType="begin"/>
        </w:r>
        <w:r w:rsidR="00D43255">
          <w:rPr>
            <w:noProof/>
            <w:webHidden/>
          </w:rPr>
          <w:instrText xml:space="preserve"> PAGEREF _Toc106968783 \h </w:instrText>
        </w:r>
        <w:r w:rsidR="00D43255">
          <w:rPr>
            <w:noProof/>
            <w:webHidden/>
          </w:rPr>
        </w:r>
        <w:r w:rsidR="00D43255">
          <w:rPr>
            <w:noProof/>
            <w:webHidden/>
          </w:rPr>
          <w:fldChar w:fldCharType="separate"/>
        </w:r>
        <w:r w:rsidR="00D43255">
          <w:rPr>
            <w:noProof/>
            <w:webHidden/>
          </w:rPr>
          <w:t>42</w:t>
        </w:r>
        <w:r w:rsidR="00D43255">
          <w:rPr>
            <w:noProof/>
            <w:webHidden/>
          </w:rPr>
          <w:fldChar w:fldCharType="end"/>
        </w:r>
      </w:hyperlink>
    </w:p>
    <w:p w14:paraId="26C3E109"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784" w:history="1">
        <w:r w:rsidR="00D43255" w:rsidRPr="008A68E7">
          <w:rPr>
            <w:rStyle w:val="Hipercze"/>
            <w:noProof/>
          </w:rPr>
          <w:t>Dostęp do surowców dla gospodarki</w:t>
        </w:r>
        <w:r w:rsidR="00D43255">
          <w:rPr>
            <w:noProof/>
            <w:webHidden/>
          </w:rPr>
          <w:tab/>
        </w:r>
        <w:r w:rsidR="00D43255">
          <w:rPr>
            <w:noProof/>
            <w:webHidden/>
          </w:rPr>
          <w:fldChar w:fldCharType="begin"/>
        </w:r>
        <w:r w:rsidR="00D43255">
          <w:rPr>
            <w:noProof/>
            <w:webHidden/>
          </w:rPr>
          <w:instrText xml:space="preserve"> PAGEREF _Toc106968784 \h </w:instrText>
        </w:r>
        <w:r w:rsidR="00D43255">
          <w:rPr>
            <w:noProof/>
            <w:webHidden/>
          </w:rPr>
        </w:r>
        <w:r w:rsidR="00D43255">
          <w:rPr>
            <w:noProof/>
            <w:webHidden/>
          </w:rPr>
          <w:fldChar w:fldCharType="separate"/>
        </w:r>
        <w:r w:rsidR="00D43255">
          <w:rPr>
            <w:noProof/>
            <w:webHidden/>
          </w:rPr>
          <w:t>44</w:t>
        </w:r>
        <w:r w:rsidR="00D43255">
          <w:rPr>
            <w:noProof/>
            <w:webHidden/>
          </w:rPr>
          <w:fldChar w:fldCharType="end"/>
        </w:r>
      </w:hyperlink>
    </w:p>
    <w:p w14:paraId="439CE40C"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785" w:history="1">
        <w:r w:rsidR="00D43255" w:rsidRPr="008A68E7">
          <w:rPr>
            <w:rStyle w:val="Hipercze"/>
            <w:noProof/>
            <w:lang w:val="en-GB"/>
          </w:rPr>
          <w:t>Literatura</w:t>
        </w:r>
        <w:r w:rsidR="00D43255">
          <w:rPr>
            <w:noProof/>
            <w:webHidden/>
          </w:rPr>
          <w:tab/>
        </w:r>
        <w:r w:rsidR="00D43255">
          <w:rPr>
            <w:noProof/>
            <w:webHidden/>
          </w:rPr>
          <w:fldChar w:fldCharType="begin"/>
        </w:r>
        <w:r w:rsidR="00D43255">
          <w:rPr>
            <w:noProof/>
            <w:webHidden/>
          </w:rPr>
          <w:instrText xml:space="preserve"> PAGEREF _Toc106968785 \h </w:instrText>
        </w:r>
        <w:r w:rsidR="00D43255">
          <w:rPr>
            <w:noProof/>
            <w:webHidden/>
          </w:rPr>
        </w:r>
        <w:r w:rsidR="00D43255">
          <w:rPr>
            <w:noProof/>
            <w:webHidden/>
          </w:rPr>
          <w:fldChar w:fldCharType="separate"/>
        </w:r>
        <w:r w:rsidR="00D43255">
          <w:rPr>
            <w:noProof/>
            <w:webHidden/>
          </w:rPr>
          <w:t>45</w:t>
        </w:r>
        <w:r w:rsidR="00D43255">
          <w:rPr>
            <w:noProof/>
            <w:webHidden/>
          </w:rPr>
          <w:fldChar w:fldCharType="end"/>
        </w:r>
      </w:hyperlink>
    </w:p>
    <w:p w14:paraId="74E568AA" w14:textId="77777777" w:rsidR="00D43255" w:rsidRDefault="00000000">
      <w:pPr>
        <w:pStyle w:val="Spistreci1"/>
        <w:rPr>
          <w:rFonts w:asciiTheme="minorHAnsi" w:eastAsiaTheme="minorEastAsia" w:hAnsiTheme="minorHAnsi" w:cstheme="minorBidi"/>
          <w:b w:val="0"/>
          <w:bCs w:val="0"/>
          <w:caps w:val="0"/>
          <w:noProof/>
          <w:color w:val="auto"/>
          <w:sz w:val="22"/>
          <w:szCs w:val="22"/>
          <w:lang w:eastAsia="pl-PL"/>
        </w:rPr>
      </w:pPr>
      <w:hyperlink w:anchor="_Toc106968786" w:history="1">
        <w:r w:rsidR="00D43255" w:rsidRPr="008A68E7">
          <w:rPr>
            <w:rStyle w:val="Hipercze"/>
            <w:rFonts w:ascii="Calibri" w:hAnsi="Calibri"/>
            <w:noProof/>
          </w:rPr>
          <w:t>3.</w:t>
        </w:r>
        <w:r w:rsidR="00D43255">
          <w:rPr>
            <w:rFonts w:asciiTheme="minorHAnsi" w:eastAsiaTheme="minorEastAsia" w:hAnsiTheme="minorHAnsi" w:cstheme="minorBidi"/>
            <w:b w:val="0"/>
            <w:bCs w:val="0"/>
            <w:caps w:val="0"/>
            <w:noProof/>
            <w:color w:val="auto"/>
            <w:sz w:val="22"/>
            <w:szCs w:val="22"/>
            <w:lang w:eastAsia="pl-PL"/>
          </w:rPr>
          <w:tab/>
        </w:r>
        <w:r w:rsidR="00D43255" w:rsidRPr="008A68E7">
          <w:rPr>
            <w:rStyle w:val="Hipercze"/>
            <w:rFonts w:ascii="Calibri" w:hAnsi="Calibri"/>
            <w:noProof/>
          </w:rPr>
          <w:t>Kompetencje – umiejętności</w:t>
        </w:r>
        <w:r w:rsidR="00D43255">
          <w:rPr>
            <w:noProof/>
            <w:webHidden/>
          </w:rPr>
          <w:tab/>
        </w:r>
        <w:r w:rsidR="00D43255">
          <w:rPr>
            <w:noProof/>
            <w:webHidden/>
          </w:rPr>
          <w:fldChar w:fldCharType="begin"/>
        </w:r>
        <w:r w:rsidR="00D43255">
          <w:rPr>
            <w:noProof/>
            <w:webHidden/>
          </w:rPr>
          <w:instrText xml:space="preserve"> PAGEREF _Toc106968786 \h </w:instrText>
        </w:r>
        <w:r w:rsidR="00D43255">
          <w:rPr>
            <w:noProof/>
            <w:webHidden/>
          </w:rPr>
        </w:r>
        <w:r w:rsidR="00D43255">
          <w:rPr>
            <w:noProof/>
            <w:webHidden/>
          </w:rPr>
          <w:fldChar w:fldCharType="separate"/>
        </w:r>
        <w:r w:rsidR="00D43255">
          <w:rPr>
            <w:noProof/>
            <w:webHidden/>
          </w:rPr>
          <w:t>46</w:t>
        </w:r>
        <w:r w:rsidR="00D43255">
          <w:rPr>
            <w:noProof/>
            <w:webHidden/>
          </w:rPr>
          <w:fldChar w:fldCharType="end"/>
        </w:r>
      </w:hyperlink>
    </w:p>
    <w:p w14:paraId="1FED2677"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787" w:history="1">
        <w:r w:rsidR="00D43255" w:rsidRPr="008A68E7">
          <w:rPr>
            <w:rStyle w:val="Hipercze"/>
            <w:noProof/>
          </w:rPr>
          <w:t>Literatura</w:t>
        </w:r>
        <w:r w:rsidR="00D43255">
          <w:rPr>
            <w:noProof/>
            <w:webHidden/>
          </w:rPr>
          <w:tab/>
        </w:r>
        <w:r w:rsidR="00D43255">
          <w:rPr>
            <w:noProof/>
            <w:webHidden/>
          </w:rPr>
          <w:fldChar w:fldCharType="begin"/>
        </w:r>
        <w:r w:rsidR="00D43255">
          <w:rPr>
            <w:noProof/>
            <w:webHidden/>
          </w:rPr>
          <w:instrText xml:space="preserve"> PAGEREF _Toc106968787 \h </w:instrText>
        </w:r>
        <w:r w:rsidR="00D43255">
          <w:rPr>
            <w:noProof/>
            <w:webHidden/>
          </w:rPr>
        </w:r>
        <w:r w:rsidR="00D43255">
          <w:rPr>
            <w:noProof/>
            <w:webHidden/>
          </w:rPr>
          <w:fldChar w:fldCharType="separate"/>
        </w:r>
        <w:r w:rsidR="00D43255">
          <w:rPr>
            <w:noProof/>
            <w:webHidden/>
          </w:rPr>
          <w:t>52</w:t>
        </w:r>
        <w:r w:rsidR="00D43255">
          <w:rPr>
            <w:noProof/>
            <w:webHidden/>
          </w:rPr>
          <w:fldChar w:fldCharType="end"/>
        </w:r>
      </w:hyperlink>
    </w:p>
    <w:p w14:paraId="67E95B80" w14:textId="77777777" w:rsidR="00D43255" w:rsidRDefault="00000000">
      <w:pPr>
        <w:pStyle w:val="Spistreci1"/>
        <w:rPr>
          <w:rFonts w:asciiTheme="minorHAnsi" w:eastAsiaTheme="minorEastAsia" w:hAnsiTheme="minorHAnsi" w:cstheme="minorBidi"/>
          <w:b w:val="0"/>
          <w:bCs w:val="0"/>
          <w:caps w:val="0"/>
          <w:noProof/>
          <w:color w:val="auto"/>
          <w:sz w:val="22"/>
          <w:szCs w:val="22"/>
          <w:lang w:eastAsia="pl-PL"/>
        </w:rPr>
      </w:pPr>
      <w:hyperlink w:anchor="_Toc106968788" w:history="1">
        <w:r w:rsidR="00D43255" w:rsidRPr="008A68E7">
          <w:rPr>
            <w:rStyle w:val="Hipercze"/>
            <w:rFonts w:ascii="Calibri" w:hAnsi="Calibri"/>
            <w:noProof/>
          </w:rPr>
          <w:t>4.</w:t>
        </w:r>
        <w:r w:rsidR="00D43255">
          <w:rPr>
            <w:rFonts w:asciiTheme="minorHAnsi" w:eastAsiaTheme="minorEastAsia" w:hAnsiTheme="minorHAnsi" w:cstheme="minorBidi"/>
            <w:b w:val="0"/>
            <w:bCs w:val="0"/>
            <w:caps w:val="0"/>
            <w:noProof/>
            <w:color w:val="auto"/>
            <w:sz w:val="22"/>
            <w:szCs w:val="22"/>
            <w:lang w:eastAsia="pl-PL"/>
          </w:rPr>
          <w:tab/>
        </w:r>
        <w:r w:rsidR="00D43255" w:rsidRPr="008A68E7">
          <w:rPr>
            <w:rStyle w:val="Hipercze"/>
            <w:rFonts w:ascii="Calibri" w:hAnsi="Calibri"/>
            <w:noProof/>
          </w:rPr>
          <w:t>Działalność przedsiębiorstw</w:t>
        </w:r>
        <w:r w:rsidR="00D43255">
          <w:rPr>
            <w:noProof/>
            <w:webHidden/>
          </w:rPr>
          <w:tab/>
        </w:r>
        <w:r w:rsidR="00D43255">
          <w:rPr>
            <w:noProof/>
            <w:webHidden/>
          </w:rPr>
          <w:fldChar w:fldCharType="begin"/>
        </w:r>
        <w:r w:rsidR="00D43255">
          <w:rPr>
            <w:noProof/>
            <w:webHidden/>
          </w:rPr>
          <w:instrText xml:space="preserve"> PAGEREF _Toc106968788 \h </w:instrText>
        </w:r>
        <w:r w:rsidR="00D43255">
          <w:rPr>
            <w:noProof/>
            <w:webHidden/>
          </w:rPr>
        </w:r>
        <w:r w:rsidR="00D43255">
          <w:rPr>
            <w:noProof/>
            <w:webHidden/>
          </w:rPr>
          <w:fldChar w:fldCharType="separate"/>
        </w:r>
        <w:r w:rsidR="00D43255">
          <w:rPr>
            <w:noProof/>
            <w:webHidden/>
          </w:rPr>
          <w:t>53</w:t>
        </w:r>
        <w:r w:rsidR="00D43255">
          <w:rPr>
            <w:noProof/>
            <w:webHidden/>
          </w:rPr>
          <w:fldChar w:fldCharType="end"/>
        </w:r>
      </w:hyperlink>
    </w:p>
    <w:p w14:paraId="7E682725"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789" w:history="1">
        <w:r w:rsidR="00D43255" w:rsidRPr="008A68E7">
          <w:rPr>
            <w:rStyle w:val="Hipercze"/>
            <w:noProof/>
          </w:rPr>
          <w:t>Podstawowe informacje statystyczne</w:t>
        </w:r>
        <w:r w:rsidR="00D43255">
          <w:rPr>
            <w:noProof/>
            <w:webHidden/>
          </w:rPr>
          <w:tab/>
        </w:r>
        <w:r w:rsidR="00D43255">
          <w:rPr>
            <w:noProof/>
            <w:webHidden/>
          </w:rPr>
          <w:fldChar w:fldCharType="begin"/>
        </w:r>
        <w:r w:rsidR="00D43255">
          <w:rPr>
            <w:noProof/>
            <w:webHidden/>
          </w:rPr>
          <w:instrText xml:space="preserve"> PAGEREF _Toc106968789 \h </w:instrText>
        </w:r>
        <w:r w:rsidR="00D43255">
          <w:rPr>
            <w:noProof/>
            <w:webHidden/>
          </w:rPr>
        </w:r>
        <w:r w:rsidR="00D43255">
          <w:rPr>
            <w:noProof/>
            <w:webHidden/>
          </w:rPr>
          <w:fldChar w:fldCharType="separate"/>
        </w:r>
        <w:r w:rsidR="00D43255">
          <w:rPr>
            <w:noProof/>
            <w:webHidden/>
          </w:rPr>
          <w:t>53</w:t>
        </w:r>
        <w:r w:rsidR="00D43255">
          <w:rPr>
            <w:noProof/>
            <w:webHidden/>
          </w:rPr>
          <w:fldChar w:fldCharType="end"/>
        </w:r>
      </w:hyperlink>
    </w:p>
    <w:p w14:paraId="7CB2BAFC"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790" w:history="1">
        <w:r w:rsidR="00D43255" w:rsidRPr="008A68E7">
          <w:rPr>
            <w:rStyle w:val="Hipercze"/>
            <w:noProof/>
          </w:rPr>
          <w:t>Bariery w działalności gospodarczej</w:t>
        </w:r>
        <w:r w:rsidR="00D43255">
          <w:rPr>
            <w:noProof/>
            <w:webHidden/>
          </w:rPr>
          <w:tab/>
        </w:r>
        <w:r w:rsidR="00D43255">
          <w:rPr>
            <w:noProof/>
            <w:webHidden/>
          </w:rPr>
          <w:fldChar w:fldCharType="begin"/>
        </w:r>
        <w:r w:rsidR="00D43255">
          <w:rPr>
            <w:noProof/>
            <w:webHidden/>
          </w:rPr>
          <w:instrText xml:space="preserve"> PAGEREF _Toc106968790 \h </w:instrText>
        </w:r>
        <w:r w:rsidR="00D43255">
          <w:rPr>
            <w:noProof/>
            <w:webHidden/>
          </w:rPr>
        </w:r>
        <w:r w:rsidR="00D43255">
          <w:rPr>
            <w:noProof/>
            <w:webHidden/>
          </w:rPr>
          <w:fldChar w:fldCharType="separate"/>
        </w:r>
        <w:r w:rsidR="00D43255">
          <w:rPr>
            <w:noProof/>
            <w:webHidden/>
          </w:rPr>
          <w:t>54</w:t>
        </w:r>
        <w:r w:rsidR="00D43255">
          <w:rPr>
            <w:noProof/>
            <w:webHidden/>
          </w:rPr>
          <w:fldChar w:fldCharType="end"/>
        </w:r>
      </w:hyperlink>
    </w:p>
    <w:p w14:paraId="6FBC622F"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791" w:history="1">
        <w:r w:rsidR="00D43255" w:rsidRPr="008A68E7">
          <w:rPr>
            <w:rStyle w:val="Hipercze"/>
            <w:noProof/>
          </w:rPr>
          <w:t>Współpraca w systemie gospodarczym</w:t>
        </w:r>
        <w:r w:rsidR="00D43255">
          <w:rPr>
            <w:noProof/>
            <w:webHidden/>
          </w:rPr>
          <w:tab/>
        </w:r>
        <w:r w:rsidR="00D43255">
          <w:rPr>
            <w:noProof/>
            <w:webHidden/>
          </w:rPr>
          <w:fldChar w:fldCharType="begin"/>
        </w:r>
        <w:r w:rsidR="00D43255">
          <w:rPr>
            <w:noProof/>
            <w:webHidden/>
          </w:rPr>
          <w:instrText xml:space="preserve"> PAGEREF _Toc106968791 \h </w:instrText>
        </w:r>
        <w:r w:rsidR="00D43255">
          <w:rPr>
            <w:noProof/>
            <w:webHidden/>
          </w:rPr>
        </w:r>
        <w:r w:rsidR="00D43255">
          <w:rPr>
            <w:noProof/>
            <w:webHidden/>
          </w:rPr>
          <w:fldChar w:fldCharType="separate"/>
        </w:r>
        <w:r w:rsidR="00D43255">
          <w:rPr>
            <w:noProof/>
            <w:webHidden/>
          </w:rPr>
          <w:t>57</w:t>
        </w:r>
        <w:r w:rsidR="00D43255">
          <w:rPr>
            <w:noProof/>
            <w:webHidden/>
          </w:rPr>
          <w:fldChar w:fldCharType="end"/>
        </w:r>
      </w:hyperlink>
    </w:p>
    <w:p w14:paraId="290FA308"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792" w:history="1">
        <w:r w:rsidR="00D43255" w:rsidRPr="008A68E7">
          <w:rPr>
            <w:rStyle w:val="Hipercze"/>
            <w:noProof/>
          </w:rPr>
          <w:t>Instytucje wspierające rozwój sektora przedsiębiorstw</w:t>
        </w:r>
        <w:r w:rsidR="00D43255">
          <w:rPr>
            <w:noProof/>
            <w:webHidden/>
          </w:rPr>
          <w:tab/>
        </w:r>
        <w:r w:rsidR="00D43255">
          <w:rPr>
            <w:noProof/>
            <w:webHidden/>
          </w:rPr>
          <w:fldChar w:fldCharType="begin"/>
        </w:r>
        <w:r w:rsidR="00D43255">
          <w:rPr>
            <w:noProof/>
            <w:webHidden/>
          </w:rPr>
          <w:instrText xml:space="preserve"> PAGEREF _Toc106968792 \h </w:instrText>
        </w:r>
        <w:r w:rsidR="00D43255">
          <w:rPr>
            <w:noProof/>
            <w:webHidden/>
          </w:rPr>
        </w:r>
        <w:r w:rsidR="00D43255">
          <w:rPr>
            <w:noProof/>
            <w:webHidden/>
          </w:rPr>
          <w:fldChar w:fldCharType="separate"/>
        </w:r>
        <w:r w:rsidR="00D43255">
          <w:rPr>
            <w:noProof/>
            <w:webHidden/>
          </w:rPr>
          <w:t>60</w:t>
        </w:r>
        <w:r w:rsidR="00D43255">
          <w:rPr>
            <w:noProof/>
            <w:webHidden/>
          </w:rPr>
          <w:fldChar w:fldCharType="end"/>
        </w:r>
      </w:hyperlink>
    </w:p>
    <w:p w14:paraId="57EE2A6B"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793" w:history="1">
        <w:r w:rsidR="00D43255" w:rsidRPr="008A68E7">
          <w:rPr>
            <w:rStyle w:val="Hipercze"/>
            <w:noProof/>
          </w:rPr>
          <w:t>Mechanizmy finansowania potrzeb bieżących oraz inwestycyjnych sektora przedsiębiorstw</w:t>
        </w:r>
        <w:r w:rsidR="00D43255">
          <w:rPr>
            <w:noProof/>
            <w:webHidden/>
          </w:rPr>
          <w:tab/>
        </w:r>
        <w:r w:rsidR="00D43255">
          <w:rPr>
            <w:noProof/>
            <w:webHidden/>
          </w:rPr>
          <w:fldChar w:fldCharType="begin"/>
        </w:r>
        <w:r w:rsidR="00D43255">
          <w:rPr>
            <w:noProof/>
            <w:webHidden/>
          </w:rPr>
          <w:instrText xml:space="preserve"> PAGEREF _Toc106968793 \h </w:instrText>
        </w:r>
        <w:r w:rsidR="00D43255">
          <w:rPr>
            <w:noProof/>
            <w:webHidden/>
          </w:rPr>
        </w:r>
        <w:r w:rsidR="00D43255">
          <w:rPr>
            <w:noProof/>
            <w:webHidden/>
          </w:rPr>
          <w:fldChar w:fldCharType="separate"/>
        </w:r>
        <w:r w:rsidR="00D43255">
          <w:rPr>
            <w:noProof/>
            <w:webHidden/>
          </w:rPr>
          <w:t>63</w:t>
        </w:r>
        <w:r w:rsidR="00D43255">
          <w:rPr>
            <w:noProof/>
            <w:webHidden/>
          </w:rPr>
          <w:fldChar w:fldCharType="end"/>
        </w:r>
      </w:hyperlink>
    </w:p>
    <w:p w14:paraId="66DE33C5"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794" w:history="1">
        <w:r w:rsidR="00D43255" w:rsidRPr="008A68E7">
          <w:rPr>
            <w:rStyle w:val="Hipercze"/>
            <w:noProof/>
          </w:rPr>
          <w:t>Zaawansowane usługi w polskiej gospodarce</w:t>
        </w:r>
        <w:r w:rsidR="00D43255">
          <w:rPr>
            <w:noProof/>
            <w:webHidden/>
          </w:rPr>
          <w:tab/>
        </w:r>
        <w:r w:rsidR="00D43255">
          <w:rPr>
            <w:noProof/>
            <w:webHidden/>
          </w:rPr>
          <w:fldChar w:fldCharType="begin"/>
        </w:r>
        <w:r w:rsidR="00D43255">
          <w:rPr>
            <w:noProof/>
            <w:webHidden/>
          </w:rPr>
          <w:instrText xml:space="preserve"> PAGEREF _Toc106968794 \h </w:instrText>
        </w:r>
        <w:r w:rsidR="00D43255">
          <w:rPr>
            <w:noProof/>
            <w:webHidden/>
          </w:rPr>
        </w:r>
        <w:r w:rsidR="00D43255">
          <w:rPr>
            <w:noProof/>
            <w:webHidden/>
          </w:rPr>
          <w:fldChar w:fldCharType="separate"/>
        </w:r>
        <w:r w:rsidR="00D43255">
          <w:rPr>
            <w:noProof/>
            <w:webHidden/>
          </w:rPr>
          <w:t>71</w:t>
        </w:r>
        <w:r w:rsidR="00D43255">
          <w:rPr>
            <w:noProof/>
            <w:webHidden/>
          </w:rPr>
          <w:fldChar w:fldCharType="end"/>
        </w:r>
      </w:hyperlink>
    </w:p>
    <w:p w14:paraId="7574F1CB"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795" w:history="1">
        <w:r w:rsidR="00D43255" w:rsidRPr="008A68E7">
          <w:rPr>
            <w:rStyle w:val="Hipercze"/>
            <w:noProof/>
          </w:rPr>
          <w:t>Diagnoza i ocena polityki inwestycyjnej kraju</w:t>
        </w:r>
        <w:r w:rsidR="00D43255">
          <w:rPr>
            <w:noProof/>
            <w:webHidden/>
          </w:rPr>
          <w:tab/>
        </w:r>
        <w:r w:rsidR="00D43255">
          <w:rPr>
            <w:noProof/>
            <w:webHidden/>
          </w:rPr>
          <w:fldChar w:fldCharType="begin"/>
        </w:r>
        <w:r w:rsidR="00D43255">
          <w:rPr>
            <w:noProof/>
            <w:webHidden/>
          </w:rPr>
          <w:instrText xml:space="preserve"> PAGEREF _Toc106968795 \h </w:instrText>
        </w:r>
        <w:r w:rsidR="00D43255">
          <w:rPr>
            <w:noProof/>
            <w:webHidden/>
          </w:rPr>
        </w:r>
        <w:r w:rsidR="00D43255">
          <w:rPr>
            <w:noProof/>
            <w:webHidden/>
          </w:rPr>
          <w:fldChar w:fldCharType="separate"/>
        </w:r>
        <w:r w:rsidR="00D43255">
          <w:rPr>
            <w:noProof/>
            <w:webHidden/>
          </w:rPr>
          <w:t>73</w:t>
        </w:r>
        <w:r w:rsidR="00D43255">
          <w:rPr>
            <w:noProof/>
            <w:webHidden/>
          </w:rPr>
          <w:fldChar w:fldCharType="end"/>
        </w:r>
      </w:hyperlink>
    </w:p>
    <w:p w14:paraId="226CE1CC"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796" w:history="1">
        <w:r w:rsidR="00D43255" w:rsidRPr="008A68E7">
          <w:rPr>
            <w:rStyle w:val="Hipercze"/>
            <w:noProof/>
          </w:rPr>
          <w:t>Literatura</w:t>
        </w:r>
        <w:r w:rsidR="00D43255">
          <w:rPr>
            <w:noProof/>
            <w:webHidden/>
          </w:rPr>
          <w:tab/>
        </w:r>
        <w:r w:rsidR="00D43255">
          <w:rPr>
            <w:noProof/>
            <w:webHidden/>
          </w:rPr>
          <w:fldChar w:fldCharType="begin"/>
        </w:r>
        <w:r w:rsidR="00D43255">
          <w:rPr>
            <w:noProof/>
            <w:webHidden/>
          </w:rPr>
          <w:instrText xml:space="preserve"> PAGEREF _Toc106968796 \h </w:instrText>
        </w:r>
        <w:r w:rsidR="00D43255">
          <w:rPr>
            <w:noProof/>
            <w:webHidden/>
          </w:rPr>
        </w:r>
        <w:r w:rsidR="00D43255">
          <w:rPr>
            <w:noProof/>
            <w:webHidden/>
          </w:rPr>
          <w:fldChar w:fldCharType="separate"/>
        </w:r>
        <w:r w:rsidR="00D43255">
          <w:rPr>
            <w:noProof/>
            <w:webHidden/>
          </w:rPr>
          <w:t>74</w:t>
        </w:r>
        <w:r w:rsidR="00D43255">
          <w:rPr>
            <w:noProof/>
            <w:webHidden/>
          </w:rPr>
          <w:fldChar w:fldCharType="end"/>
        </w:r>
      </w:hyperlink>
    </w:p>
    <w:p w14:paraId="461F1BE9" w14:textId="77777777" w:rsidR="00D43255" w:rsidRDefault="00000000">
      <w:pPr>
        <w:pStyle w:val="Spistreci1"/>
        <w:rPr>
          <w:rFonts w:asciiTheme="minorHAnsi" w:eastAsiaTheme="minorEastAsia" w:hAnsiTheme="minorHAnsi" w:cstheme="minorBidi"/>
          <w:b w:val="0"/>
          <w:bCs w:val="0"/>
          <w:caps w:val="0"/>
          <w:noProof/>
          <w:color w:val="auto"/>
          <w:sz w:val="22"/>
          <w:szCs w:val="22"/>
          <w:lang w:eastAsia="pl-PL"/>
        </w:rPr>
      </w:pPr>
      <w:hyperlink w:anchor="_Toc106968797" w:history="1">
        <w:r w:rsidR="00D43255" w:rsidRPr="008A68E7">
          <w:rPr>
            <w:rStyle w:val="Hipercze"/>
            <w:rFonts w:ascii="Calibri" w:hAnsi="Calibri"/>
            <w:noProof/>
          </w:rPr>
          <w:t>5.</w:t>
        </w:r>
        <w:r w:rsidR="00D43255">
          <w:rPr>
            <w:rFonts w:asciiTheme="minorHAnsi" w:eastAsiaTheme="minorEastAsia" w:hAnsiTheme="minorHAnsi" w:cstheme="minorBidi"/>
            <w:b w:val="0"/>
            <w:bCs w:val="0"/>
            <w:caps w:val="0"/>
            <w:noProof/>
            <w:color w:val="auto"/>
            <w:sz w:val="22"/>
            <w:szCs w:val="22"/>
            <w:lang w:eastAsia="pl-PL"/>
          </w:rPr>
          <w:tab/>
        </w:r>
        <w:r w:rsidR="00D43255" w:rsidRPr="008A68E7">
          <w:rPr>
            <w:rStyle w:val="Hipercze"/>
            <w:rFonts w:ascii="Calibri" w:hAnsi="Calibri"/>
            <w:noProof/>
          </w:rPr>
          <w:t>Cyfryzacja gospodarki i przemysłu</w:t>
        </w:r>
        <w:r w:rsidR="00D43255">
          <w:rPr>
            <w:noProof/>
            <w:webHidden/>
          </w:rPr>
          <w:tab/>
        </w:r>
        <w:r w:rsidR="00D43255">
          <w:rPr>
            <w:noProof/>
            <w:webHidden/>
          </w:rPr>
          <w:fldChar w:fldCharType="begin"/>
        </w:r>
        <w:r w:rsidR="00D43255">
          <w:rPr>
            <w:noProof/>
            <w:webHidden/>
          </w:rPr>
          <w:instrText xml:space="preserve"> PAGEREF _Toc106968797 \h </w:instrText>
        </w:r>
        <w:r w:rsidR="00D43255">
          <w:rPr>
            <w:noProof/>
            <w:webHidden/>
          </w:rPr>
        </w:r>
        <w:r w:rsidR="00D43255">
          <w:rPr>
            <w:noProof/>
            <w:webHidden/>
          </w:rPr>
          <w:fldChar w:fldCharType="separate"/>
        </w:r>
        <w:r w:rsidR="00D43255">
          <w:rPr>
            <w:noProof/>
            <w:webHidden/>
          </w:rPr>
          <w:t>77</w:t>
        </w:r>
        <w:r w:rsidR="00D43255">
          <w:rPr>
            <w:noProof/>
            <w:webHidden/>
          </w:rPr>
          <w:fldChar w:fldCharType="end"/>
        </w:r>
      </w:hyperlink>
    </w:p>
    <w:p w14:paraId="327E9A74"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798" w:history="1">
        <w:r w:rsidR="00D43255" w:rsidRPr="008A68E7">
          <w:rPr>
            <w:rStyle w:val="Hipercze"/>
            <w:noProof/>
          </w:rPr>
          <w:t>Wprowadzenie</w:t>
        </w:r>
        <w:r w:rsidR="00D43255">
          <w:rPr>
            <w:noProof/>
            <w:webHidden/>
          </w:rPr>
          <w:tab/>
        </w:r>
        <w:r w:rsidR="00D43255">
          <w:rPr>
            <w:noProof/>
            <w:webHidden/>
          </w:rPr>
          <w:fldChar w:fldCharType="begin"/>
        </w:r>
        <w:r w:rsidR="00D43255">
          <w:rPr>
            <w:noProof/>
            <w:webHidden/>
          </w:rPr>
          <w:instrText xml:space="preserve"> PAGEREF _Toc106968798 \h </w:instrText>
        </w:r>
        <w:r w:rsidR="00D43255">
          <w:rPr>
            <w:noProof/>
            <w:webHidden/>
          </w:rPr>
        </w:r>
        <w:r w:rsidR="00D43255">
          <w:rPr>
            <w:noProof/>
            <w:webHidden/>
          </w:rPr>
          <w:fldChar w:fldCharType="separate"/>
        </w:r>
        <w:r w:rsidR="00D43255">
          <w:rPr>
            <w:noProof/>
            <w:webHidden/>
          </w:rPr>
          <w:t>77</w:t>
        </w:r>
        <w:r w:rsidR="00D43255">
          <w:rPr>
            <w:noProof/>
            <w:webHidden/>
          </w:rPr>
          <w:fldChar w:fldCharType="end"/>
        </w:r>
      </w:hyperlink>
    </w:p>
    <w:p w14:paraId="3DF821B1"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799" w:history="1">
        <w:r w:rsidR="00D43255" w:rsidRPr="008A68E7">
          <w:rPr>
            <w:rStyle w:val="Hipercze"/>
            <w:noProof/>
          </w:rPr>
          <w:t>Dostęp i korzystanie z Internetu</w:t>
        </w:r>
        <w:r w:rsidR="00D43255">
          <w:rPr>
            <w:noProof/>
            <w:webHidden/>
          </w:rPr>
          <w:tab/>
        </w:r>
        <w:r w:rsidR="00D43255">
          <w:rPr>
            <w:noProof/>
            <w:webHidden/>
          </w:rPr>
          <w:fldChar w:fldCharType="begin"/>
        </w:r>
        <w:r w:rsidR="00D43255">
          <w:rPr>
            <w:noProof/>
            <w:webHidden/>
          </w:rPr>
          <w:instrText xml:space="preserve"> PAGEREF _Toc106968799 \h </w:instrText>
        </w:r>
        <w:r w:rsidR="00D43255">
          <w:rPr>
            <w:noProof/>
            <w:webHidden/>
          </w:rPr>
        </w:r>
        <w:r w:rsidR="00D43255">
          <w:rPr>
            <w:noProof/>
            <w:webHidden/>
          </w:rPr>
          <w:fldChar w:fldCharType="separate"/>
        </w:r>
        <w:r w:rsidR="00D43255">
          <w:rPr>
            <w:noProof/>
            <w:webHidden/>
          </w:rPr>
          <w:t>79</w:t>
        </w:r>
        <w:r w:rsidR="00D43255">
          <w:rPr>
            <w:noProof/>
            <w:webHidden/>
          </w:rPr>
          <w:fldChar w:fldCharType="end"/>
        </w:r>
      </w:hyperlink>
    </w:p>
    <w:p w14:paraId="73315D10"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800" w:history="1">
        <w:r w:rsidR="00D43255" w:rsidRPr="008A68E7">
          <w:rPr>
            <w:rStyle w:val="Hipercze"/>
            <w:noProof/>
          </w:rPr>
          <w:t>Umiejętności cyfrowe</w:t>
        </w:r>
        <w:r w:rsidR="00D43255">
          <w:rPr>
            <w:noProof/>
            <w:webHidden/>
          </w:rPr>
          <w:tab/>
        </w:r>
        <w:r w:rsidR="00D43255">
          <w:rPr>
            <w:noProof/>
            <w:webHidden/>
          </w:rPr>
          <w:fldChar w:fldCharType="begin"/>
        </w:r>
        <w:r w:rsidR="00D43255">
          <w:rPr>
            <w:noProof/>
            <w:webHidden/>
          </w:rPr>
          <w:instrText xml:space="preserve"> PAGEREF _Toc106968800 \h </w:instrText>
        </w:r>
        <w:r w:rsidR="00D43255">
          <w:rPr>
            <w:noProof/>
            <w:webHidden/>
          </w:rPr>
        </w:r>
        <w:r w:rsidR="00D43255">
          <w:rPr>
            <w:noProof/>
            <w:webHidden/>
          </w:rPr>
          <w:fldChar w:fldCharType="separate"/>
        </w:r>
        <w:r w:rsidR="00D43255">
          <w:rPr>
            <w:noProof/>
            <w:webHidden/>
          </w:rPr>
          <w:t>80</w:t>
        </w:r>
        <w:r w:rsidR="00D43255">
          <w:rPr>
            <w:noProof/>
            <w:webHidden/>
          </w:rPr>
          <w:fldChar w:fldCharType="end"/>
        </w:r>
      </w:hyperlink>
    </w:p>
    <w:p w14:paraId="47CC1FE1"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801" w:history="1">
        <w:r w:rsidR="00D43255" w:rsidRPr="008A68E7">
          <w:rPr>
            <w:rStyle w:val="Hipercze"/>
            <w:noProof/>
          </w:rPr>
          <w:t>Przedsiębiorstwa – popyt na IT</w:t>
        </w:r>
        <w:r w:rsidR="00D43255">
          <w:rPr>
            <w:noProof/>
            <w:webHidden/>
          </w:rPr>
          <w:tab/>
        </w:r>
        <w:r w:rsidR="00D43255">
          <w:rPr>
            <w:noProof/>
            <w:webHidden/>
          </w:rPr>
          <w:fldChar w:fldCharType="begin"/>
        </w:r>
        <w:r w:rsidR="00D43255">
          <w:rPr>
            <w:noProof/>
            <w:webHidden/>
          </w:rPr>
          <w:instrText xml:space="preserve"> PAGEREF _Toc106968801 \h </w:instrText>
        </w:r>
        <w:r w:rsidR="00D43255">
          <w:rPr>
            <w:noProof/>
            <w:webHidden/>
          </w:rPr>
        </w:r>
        <w:r w:rsidR="00D43255">
          <w:rPr>
            <w:noProof/>
            <w:webHidden/>
          </w:rPr>
          <w:fldChar w:fldCharType="separate"/>
        </w:r>
        <w:r w:rsidR="00D43255">
          <w:rPr>
            <w:noProof/>
            <w:webHidden/>
          </w:rPr>
          <w:t>80</w:t>
        </w:r>
        <w:r w:rsidR="00D43255">
          <w:rPr>
            <w:noProof/>
            <w:webHidden/>
          </w:rPr>
          <w:fldChar w:fldCharType="end"/>
        </w:r>
      </w:hyperlink>
    </w:p>
    <w:p w14:paraId="7CEFD852"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802" w:history="1">
        <w:r w:rsidR="00D43255" w:rsidRPr="008A68E7">
          <w:rPr>
            <w:rStyle w:val="Hipercze"/>
            <w:noProof/>
          </w:rPr>
          <w:t>Przedsiębiorstwa – podaż IT</w:t>
        </w:r>
        <w:r w:rsidR="00D43255">
          <w:rPr>
            <w:noProof/>
            <w:webHidden/>
          </w:rPr>
          <w:tab/>
        </w:r>
        <w:r w:rsidR="00D43255">
          <w:rPr>
            <w:noProof/>
            <w:webHidden/>
          </w:rPr>
          <w:fldChar w:fldCharType="begin"/>
        </w:r>
        <w:r w:rsidR="00D43255">
          <w:rPr>
            <w:noProof/>
            <w:webHidden/>
          </w:rPr>
          <w:instrText xml:space="preserve"> PAGEREF _Toc106968802 \h </w:instrText>
        </w:r>
        <w:r w:rsidR="00D43255">
          <w:rPr>
            <w:noProof/>
            <w:webHidden/>
          </w:rPr>
        </w:r>
        <w:r w:rsidR="00D43255">
          <w:rPr>
            <w:noProof/>
            <w:webHidden/>
          </w:rPr>
          <w:fldChar w:fldCharType="separate"/>
        </w:r>
        <w:r w:rsidR="00D43255">
          <w:rPr>
            <w:noProof/>
            <w:webHidden/>
          </w:rPr>
          <w:t>84</w:t>
        </w:r>
        <w:r w:rsidR="00D43255">
          <w:rPr>
            <w:noProof/>
            <w:webHidden/>
          </w:rPr>
          <w:fldChar w:fldCharType="end"/>
        </w:r>
      </w:hyperlink>
    </w:p>
    <w:p w14:paraId="184ABCF9"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803" w:history="1">
        <w:r w:rsidR="00D43255" w:rsidRPr="008A68E7">
          <w:rPr>
            <w:rStyle w:val="Hipercze"/>
            <w:noProof/>
          </w:rPr>
          <w:t>Szanse rozwoju sektora sztucznej inteligencji w Polsce</w:t>
        </w:r>
        <w:r w:rsidR="00D43255">
          <w:rPr>
            <w:noProof/>
            <w:webHidden/>
          </w:rPr>
          <w:tab/>
        </w:r>
        <w:r w:rsidR="00D43255">
          <w:rPr>
            <w:noProof/>
            <w:webHidden/>
          </w:rPr>
          <w:fldChar w:fldCharType="begin"/>
        </w:r>
        <w:r w:rsidR="00D43255">
          <w:rPr>
            <w:noProof/>
            <w:webHidden/>
          </w:rPr>
          <w:instrText xml:space="preserve"> PAGEREF _Toc106968803 \h </w:instrText>
        </w:r>
        <w:r w:rsidR="00D43255">
          <w:rPr>
            <w:noProof/>
            <w:webHidden/>
          </w:rPr>
        </w:r>
        <w:r w:rsidR="00D43255">
          <w:rPr>
            <w:noProof/>
            <w:webHidden/>
          </w:rPr>
          <w:fldChar w:fldCharType="separate"/>
        </w:r>
        <w:r w:rsidR="00D43255">
          <w:rPr>
            <w:noProof/>
            <w:webHidden/>
          </w:rPr>
          <w:t>89</w:t>
        </w:r>
        <w:r w:rsidR="00D43255">
          <w:rPr>
            <w:noProof/>
            <w:webHidden/>
          </w:rPr>
          <w:fldChar w:fldCharType="end"/>
        </w:r>
      </w:hyperlink>
    </w:p>
    <w:p w14:paraId="0640679D"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804" w:history="1">
        <w:r w:rsidR="00D43255" w:rsidRPr="008A68E7">
          <w:rPr>
            <w:rStyle w:val="Hipercze"/>
            <w:noProof/>
          </w:rPr>
          <w:t>Polski sektor ICT w obliczu rewolucji SI</w:t>
        </w:r>
        <w:r w:rsidR="00D43255">
          <w:rPr>
            <w:noProof/>
            <w:webHidden/>
          </w:rPr>
          <w:tab/>
        </w:r>
        <w:r w:rsidR="00D43255">
          <w:rPr>
            <w:noProof/>
            <w:webHidden/>
          </w:rPr>
          <w:fldChar w:fldCharType="begin"/>
        </w:r>
        <w:r w:rsidR="00D43255">
          <w:rPr>
            <w:noProof/>
            <w:webHidden/>
          </w:rPr>
          <w:instrText xml:space="preserve"> PAGEREF _Toc106968804 \h </w:instrText>
        </w:r>
        <w:r w:rsidR="00D43255">
          <w:rPr>
            <w:noProof/>
            <w:webHidden/>
          </w:rPr>
        </w:r>
        <w:r w:rsidR="00D43255">
          <w:rPr>
            <w:noProof/>
            <w:webHidden/>
          </w:rPr>
          <w:fldChar w:fldCharType="separate"/>
        </w:r>
        <w:r w:rsidR="00D43255">
          <w:rPr>
            <w:noProof/>
            <w:webHidden/>
          </w:rPr>
          <w:t>90</w:t>
        </w:r>
        <w:r w:rsidR="00D43255">
          <w:rPr>
            <w:noProof/>
            <w:webHidden/>
          </w:rPr>
          <w:fldChar w:fldCharType="end"/>
        </w:r>
      </w:hyperlink>
    </w:p>
    <w:p w14:paraId="6FD3ACA0"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805" w:history="1">
        <w:r w:rsidR="00D43255" w:rsidRPr="008A68E7">
          <w:rPr>
            <w:rStyle w:val="Hipercze"/>
            <w:noProof/>
          </w:rPr>
          <w:t>Polski sektor SI</w:t>
        </w:r>
        <w:r w:rsidR="00D43255">
          <w:rPr>
            <w:noProof/>
            <w:webHidden/>
          </w:rPr>
          <w:tab/>
        </w:r>
        <w:r w:rsidR="00D43255">
          <w:rPr>
            <w:noProof/>
            <w:webHidden/>
          </w:rPr>
          <w:fldChar w:fldCharType="begin"/>
        </w:r>
        <w:r w:rsidR="00D43255">
          <w:rPr>
            <w:noProof/>
            <w:webHidden/>
          </w:rPr>
          <w:instrText xml:space="preserve"> PAGEREF _Toc106968805 \h </w:instrText>
        </w:r>
        <w:r w:rsidR="00D43255">
          <w:rPr>
            <w:noProof/>
            <w:webHidden/>
          </w:rPr>
        </w:r>
        <w:r w:rsidR="00D43255">
          <w:rPr>
            <w:noProof/>
            <w:webHidden/>
          </w:rPr>
          <w:fldChar w:fldCharType="separate"/>
        </w:r>
        <w:r w:rsidR="00D43255">
          <w:rPr>
            <w:noProof/>
            <w:webHidden/>
          </w:rPr>
          <w:t>92</w:t>
        </w:r>
        <w:r w:rsidR="00D43255">
          <w:rPr>
            <w:noProof/>
            <w:webHidden/>
          </w:rPr>
          <w:fldChar w:fldCharType="end"/>
        </w:r>
      </w:hyperlink>
    </w:p>
    <w:p w14:paraId="269277FA"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806" w:history="1">
        <w:r w:rsidR="00D43255" w:rsidRPr="008A68E7">
          <w:rPr>
            <w:rStyle w:val="Hipercze"/>
            <w:noProof/>
          </w:rPr>
          <w:t>Szanse inwestycji w SI</w:t>
        </w:r>
        <w:r w:rsidR="00D43255">
          <w:rPr>
            <w:noProof/>
            <w:webHidden/>
          </w:rPr>
          <w:tab/>
        </w:r>
        <w:r w:rsidR="00D43255">
          <w:rPr>
            <w:noProof/>
            <w:webHidden/>
          </w:rPr>
          <w:fldChar w:fldCharType="begin"/>
        </w:r>
        <w:r w:rsidR="00D43255">
          <w:rPr>
            <w:noProof/>
            <w:webHidden/>
          </w:rPr>
          <w:instrText xml:space="preserve"> PAGEREF _Toc106968806 \h </w:instrText>
        </w:r>
        <w:r w:rsidR="00D43255">
          <w:rPr>
            <w:noProof/>
            <w:webHidden/>
          </w:rPr>
        </w:r>
        <w:r w:rsidR="00D43255">
          <w:rPr>
            <w:noProof/>
            <w:webHidden/>
          </w:rPr>
          <w:fldChar w:fldCharType="separate"/>
        </w:r>
        <w:r w:rsidR="00D43255">
          <w:rPr>
            <w:noProof/>
            <w:webHidden/>
          </w:rPr>
          <w:t>97</w:t>
        </w:r>
        <w:r w:rsidR="00D43255">
          <w:rPr>
            <w:noProof/>
            <w:webHidden/>
          </w:rPr>
          <w:fldChar w:fldCharType="end"/>
        </w:r>
      </w:hyperlink>
    </w:p>
    <w:p w14:paraId="5C11836A"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807" w:history="1">
        <w:r w:rsidR="00D43255" w:rsidRPr="008A68E7">
          <w:rPr>
            <w:rStyle w:val="Hipercze"/>
            <w:noProof/>
            <w:lang w:val="fr-FR"/>
          </w:rPr>
          <w:t>Literatura</w:t>
        </w:r>
        <w:r w:rsidR="00D43255">
          <w:rPr>
            <w:noProof/>
            <w:webHidden/>
          </w:rPr>
          <w:tab/>
        </w:r>
        <w:r w:rsidR="00D43255">
          <w:rPr>
            <w:noProof/>
            <w:webHidden/>
          </w:rPr>
          <w:fldChar w:fldCharType="begin"/>
        </w:r>
        <w:r w:rsidR="00D43255">
          <w:rPr>
            <w:noProof/>
            <w:webHidden/>
          </w:rPr>
          <w:instrText xml:space="preserve"> PAGEREF _Toc106968807 \h </w:instrText>
        </w:r>
        <w:r w:rsidR="00D43255">
          <w:rPr>
            <w:noProof/>
            <w:webHidden/>
          </w:rPr>
        </w:r>
        <w:r w:rsidR="00D43255">
          <w:rPr>
            <w:noProof/>
            <w:webHidden/>
          </w:rPr>
          <w:fldChar w:fldCharType="separate"/>
        </w:r>
        <w:r w:rsidR="00D43255">
          <w:rPr>
            <w:noProof/>
            <w:webHidden/>
          </w:rPr>
          <w:t>101</w:t>
        </w:r>
        <w:r w:rsidR="00D43255">
          <w:rPr>
            <w:noProof/>
            <w:webHidden/>
          </w:rPr>
          <w:fldChar w:fldCharType="end"/>
        </w:r>
      </w:hyperlink>
    </w:p>
    <w:p w14:paraId="26EB724B" w14:textId="77777777" w:rsidR="00D43255" w:rsidRDefault="00000000">
      <w:pPr>
        <w:pStyle w:val="Spistreci1"/>
        <w:rPr>
          <w:rFonts w:asciiTheme="minorHAnsi" w:eastAsiaTheme="minorEastAsia" w:hAnsiTheme="minorHAnsi" w:cstheme="minorBidi"/>
          <w:b w:val="0"/>
          <w:bCs w:val="0"/>
          <w:caps w:val="0"/>
          <w:noProof/>
          <w:color w:val="auto"/>
          <w:sz w:val="22"/>
          <w:szCs w:val="22"/>
          <w:lang w:eastAsia="pl-PL"/>
        </w:rPr>
      </w:pPr>
      <w:hyperlink w:anchor="_Toc106968808" w:history="1">
        <w:r w:rsidR="00D43255" w:rsidRPr="008A68E7">
          <w:rPr>
            <w:rStyle w:val="Hipercze"/>
            <w:noProof/>
          </w:rPr>
          <w:t>6.</w:t>
        </w:r>
        <w:r w:rsidR="00D43255">
          <w:rPr>
            <w:rFonts w:asciiTheme="minorHAnsi" w:eastAsiaTheme="minorEastAsia" w:hAnsiTheme="minorHAnsi" w:cstheme="minorBidi"/>
            <w:b w:val="0"/>
            <w:bCs w:val="0"/>
            <w:caps w:val="0"/>
            <w:noProof/>
            <w:color w:val="auto"/>
            <w:sz w:val="22"/>
            <w:szCs w:val="22"/>
            <w:lang w:eastAsia="pl-PL"/>
          </w:rPr>
          <w:tab/>
        </w:r>
        <w:r w:rsidR="00D43255" w:rsidRPr="008A68E7">
          <w:rPr>
            <w:rStyle w:val="Hipercze"/>
            <w:rFonts w:ascii="Calibri" w:hAnsi="Calibri"/>
            <w:noProof/>
          </w:rPr>
          <w:t>Działalność badawcza i rozwojowa, innowacje, postęp techno-logiczny</w:t>
        </w:r>
        <w:r w:rsidR="00D43255">
          <w:rPr>
            <w:noProof/>
            <w:webHidden/>
          </w:rPr>
          <w:tab/>
        </w:r>
        <w:r w:rsidR="00D43255">
          <w:rPr>
            <w:noProof/>
            <w:webHidden/>
          </w:rPr>
          <w:fldChar w:fldCharType="begin"/>
        </w:r>
        <w:r w:rsidR="00D43255">
          <w:rPr>
            <w:noProof/>
            <w:webHidden/>
          </w:rPr>
          <w:instrText xml:space="preserve"> PAGEREF _Toc106968808 \h </w:instrText>
        </w:r>
        <w:r w:rsidR="00D43255">
          <w:rPr>
            <w:noProof/>
            <w:webHidden/>
          </w:rPr>
        </w:r>
        <w:r w:rsidR="00D43255">
          <w:rPr>
            <w:noProof/>
            <w:webHidden/>
          </w:rPr>
          <w:fldChar w:fldCharType="separate"/>
        </w:r>
        <w:r w:rsidR="00D43255">
          <w:rPr>
            <w:noProof/>
            <w:webHidden/>
          </w:rPr>
          <w:t>103</w:t>
        </w:r>
        <w:r w:rsidR="00D43255">
          <w:rPr>
            <w:noProof/>
            <w:webHidden/>
          </w:rPr>
          <w:fldChar w:fldCharType="end"/>
        </w:r>
      </w:hyperlink>
    </w:p>
    <w:p w14:paraId="318C7998"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809" w:history="1">
        <w:r w:rsidR="00D43255" w:rsidRPr="008A68E7">
          <w:rPr>
            <w:rStyle w:val="Hipercze"/>
            <w:noProof/>
          </w:rPr>
          <w:t>Poziom innowacyjności polskiej gospodarki</w:t>
        </w:r>
        <w:r w:rsidR="00D43255">
          <w:rPr>
            <w:noProof/>
            <w:webHidden/>
          </w:rPr>
          <w:tab/>
        </w:r>
        <w:r w:rsidR="00D43255">
          <w:rPr>
            <w:noProof/>
            <w:webHidden/>
          </w:rPr>
          <w:fldChar w:fldCharType="begin"/>
        </w:r>
        <w:r w:rsidR="00D43255">
          <w:rPr>
            <w:noProof/>
            <w:webHidden/>
          </w:rPr>
          <w:instrText xml:space="preserve"> PAGEREF _Toc106968809 \h </w:instrText>
        </w:r>
        <w:r w:rsidR="00D43255">
          <w:rPr>
            <w:noProof/>
            <w:webHidden/>
          </w:rPr>
        </w:r>
        <w:r w:rsidR="00D43255">
          <w:rPr>
            <w:noProof/>
            <w:webHidden/>
          </w:rPr>
          <w:fldChar w:fldCharType="separate"/>
        </w:r>
        <w:r w:rsidR="00D43255">
          <w:rPr>
            <w:noProof/>
            <w:webHidden/>
          </w:rPr>
          <w:t>103</w:t>
        </w:r>
        <w:r w:rsidR="00D43255">
          <w:rPr>
            <w:noProof/>
            <w:webHidden/>
          </w:rPr>
          <w:fldChar w:fldCharType="end"/>
        </w:r>
      </w:hyperlink>
    </w:p>
    <w:p w14:paraId="75218798"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810" w:history="1">
        <w:r w:rsidR="00D43255" w:rsidRPr="008A68E7">
          <w:rPr>
            <w:rStyle w:val="Hipercze"/>
            <w:noProof/>
          </w:rPr>
          <w:t>Aktywność innowacyjna firm</w:t>
        </w:r>
        <w:r w:rsidR="00D43255">
          <w:rPr>
            <w:noProof/>
            <w:webHidden/>
          </w:rPr>
          <w:tab/>
        </w:r>
        <w:r w:rsidR="00D43255">
          <w:rPr>
            <w:noProof/>
            <w:webHidden/>
          </w:rPr>
          <w:fldChar w:fldCharType="begin"/>
        </w:r>
        <w:r w:rsidR="00D43255">
          <w:rPr>
            <w:noProof/>
            <w:webHidden/>
          </w:rPr>
          <w:instrText xml:space="preserve"> PAGEREF _Toc106968810 \h </w:instrText>
        </w:r>
        <w:r w:rsidR="00D43255">
          <w:rPr>
            <w:noProof/>
            <w:webHidden/>
          </w:rPr>
        </w:r>
        <w:r w:rsidR="00D43255">
          <w:rPr>
            <w:noProof/>
            <w:webHidden/>
          </w:rPr>
          <w:fldChar w:fldCharType="separate"/>
        </w:r>
        <w:r w:rsidR="00D43255">
          <w:rPr>
            <w:noProof/>
            <w:webHidden/>
          </w:rPr>
          <w:t>108</w:t>
        </w:r>
        <w:r w:rsidR="00D43255">
          <w:rPr>
            <w:noProof/>
            <w:webHidden/>
          </w:rPr>
          <w:fldChar w:fldCharType="end"/>
        </w:r>
      </w:hyperlink>
    </w:p>
    <w:p w14:paraId="225BC815"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811" w:history="1">
        <w:r w:rsidR="00D43255" w:rsidRPr="008A68E7">
          <w:rPr>
            <w:rStyle w:val="Hipercze"/>
            <w:noProof/>
          </w:rPr>
          <w:t>Poziom zaawansowania technologicznego</w:t>
        </w:r>
        <w:r w:rsidR="00D43255">
          <w:rPr>
            <w:noProof/>
            <w:webHidden/>
          </w:rPr>
          <w:tab/>
        </w:r>
        <w:r w:rsidR="00D43255">
          <w:rPr>
            <w:noProof/>
            <w:webHidden/>
          </w:rPr>
          <w:fldChar w:fldCharType="begin"/>
        </w:r>
        <w:r w:rsidR="00D43255">
          <w:rPr>
            <w:noProof/>
            <w:webHidden/>
          </w:rPr>
          <w:instrText xml:space="preserve"> PAGEREF _Toc106968811 \h </w:instrText>
        </w:r>
        <w:r w:rsidR="00D43255">
          <w:rPr>
            <w:noProof/>
            <w:webHidden/>
          </w:rPr>
        </w:r>
        <w:r w:rsidR="00D43255">
          <w:rPr>
            <w:noProof/>
            <w:webHidden/>
          </w:rPr>
          <w:fldChar w:fldCharType="separate"/>
        </w:r>
        <w:r w:rsidR="00D43255">
          <w:rPr>
            <w:noProof/>
            <w:webHidden/>
          </w:rPr>
          <w:t>112</w:t>
        </w:r>
        <w:r w:rsidR="00D43255">
          <w:rPr>
            <w:noProof/>
            <w:webHidden/>
          </w:rPr>
          <w:fldChar w:fldCharType="end"/>
        </w:r>
      </w:hyperlink>
    </w:p>
    <w:p w14:paraId="36179CD4"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812" w:history="1">
        <w:r w:rsidR="00D43255" w:rsidRPr="008A68E7">
          <w:rPr>
            <w:rStyle w:val="Hipercze"/>
            <w:noProof/>
          </w:rPr>
          <w:t>Sektor kosmiczny</w:t>
        </w:r>
        <w:r w:rsidR="00D43255">
          <w:rPr>
            <w:noProof/>
            <w:webHidden/>
          </w:rPr>
          <w:tab/>
        </w:r>
        <w:r w:rsidR="00D43255">
          <w:rPr>
            <w:noProof/>
            <w:webHidden/>
          </w:rPr>
          <w:fldChar w:fldCharType="begin"/>
        </w:r>
        <w:r w:rsidR="00D43255">
          <w:rPr>
            <w:noProof/>
            <w:webHidden/>
          </w:rPr>
          <w:instrText xml:space="preserve"> PAGEREF _Toc106968812 \h </w:instrText>
        </w:r>
        <w:r w:rsidR="00D43255">
          <w:rPr>
            <w:noProof/>
            <w:webHidden/>
          </w:rPr>
        </w:r>
        <w:r w:rsidR="00D43255">
          <w:rPr>
            <w:noProof/>
            <w:webHidden/>
          </w:rPr>
          <w:fldChar w:fldCharType="separate"/>
        </w:r>
        <w:r w:rsidR="00D43255">
          <w:rPr>
            <w:noProof/>
            <w:webHidden/>
          </w:rPr>
          <w:t>116</w:t>
        </w:r>
        <w:r w:rsidR="00D43255">
          <w:rPr>
            <w:noProof/>
            <w:webHidden/>
          </w:rPr>
          <w:fldChar w:fldCharType="end"/>
        </w:r>
      </w:hyperlink>
    </w:p>
    <w:p w14:paraId="42E84AA1"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813" w:history="1">
        <w:r w:rsidR="00D43255" w:rsidRPr="008A68E7">
          <w:rPr>
            <w:rStyle w:val="Hipercze"/>
            <w:noProof/>
          </w:rPr>
          <w:t>Współpraca biznesu i nauki</w:t>
        </w:r>
        <w:r w:rsidR="00D43255">
          <w:rPr>
            <w:noProof/>
            <w:webHidden/>
          </w:rPr>
          <w:tab/>
        </w:r>
        <w:r w:rsidR="00D43255">
          <w:rPr>
            <w:noProof/>
            <w:webHidden/>
          </w:rPr>
          <w:fldChar w:fldCharType="begin"/>
        </w:r>
        <w:r w:rsidR="00D43255">
          <w:rPr>
            <w:noProof/>
            <w:webHidden/>
          </w:rPr>
          <w:instrText xml:space="preserve"> PAGEREF _Toc106968813 \h </w:instrText>
        </w:r>
        <w:r w:rsidR="00D43255">
          <w:rPr>
            <w:noProof/>
            <w:webHidden/>
          </w:rPr>
        </w:r>
        <w:r w:rsidR="00D43255">
          <w:rPr>
            <w:noProof/>
            <w:webHidden/>
          </w:rPr>
          <w:fldChar w:fldCharType="separate"/>
        </w:r>
        <w:r w:rsidR="00D43255">
          <w:rPr>
            <w:noProof/>
            <w:webHidden/>
          </w:rPr>
          <w:t>117</w:t>
        </w:r>
        <w:r w:rsidR="00D43255">
          <w:rPr>
            <w:noProof/>
            <w:webHidden/>
          </w:rPr>
          <w:fldChar w:fldCharType="end"/>
        </w:r>
      </w:hyperlink>
    </w:p>
    <w:p w14:paraId="6483E59E"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814" w:history="1">
        <w:r w:rsidR="00D43255" w:rsidRPr="008A68E7">
          <w:rPr>
            <w:rStyle w:val="Hipercze"/>
            <w:noProof/>
          </w:rPr>
          <w:t>Komercjalizacja badań</w:t>
        </w:r>
        <w:r w:rsidR="00D43255">
          <w:rPr>
            <w:noProof/>
            <w:webHidden/>
          </w:rPr>
          <w:tab/>
        </w:r>
        <w:r w:rsidR="00D43255">
          <w:rPr>
            <w:noProof/>
            <w:webHidden/>
          </w:rPr>
          <w:fldChar w:fldCharType="begin"/>
        </w:r>
        <w:r w:rsidR="00D43255">
          <w:rPr>
            <w:noProof/>
            <w:webHidden/>
          </w:rPr>
          <w:instrText xml:space="preserve"> PAGEREF _Toc106968814 \h </w:instrText>
        </w:r>
        <w:r w:rsidR="00D43255">
          <w:rPr>
            <w:noProof/>
            <w:webHidden/>
          </w:rPr>
        </w:r>
        <w:r w:rsidR="00D43255">
          <w:rPr>
            <w:noProof/>
            <w:webHidden/>
          </w:rPr>
          <w:fldChar w:fldCharType="separate"/>
        </w:r>
        <w:r w:rsidR="00D43255">
          <w:rPr>
            <w:noProof/>
            <w:webHidden/>
          </w:rPr>
          <w:t>120</w:t>
        </w:r>
        <w:r w:rsidR="00D43255">
          <w:rPr>
            <w:noProof/>
            <w:webHidden/>
          </w:rPr>
          <w:fldChar w:fldCharType="end"/>
        </w:r>
      </w:hyperlink>
    </w:p>
    <w:p w14:paraId="330CC427"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815" w:history="1">
        <w:r w:rsidR="00D43255" w:rsidRPr="008A68E7">
          <w:rPr>
            <w:rStyle w:val="Hipercze"/>
            <w:noProof/>
          </w:rPr>
          <w:t>Literatura</w:t>
        </w:r>
        <w:r w:rsidR="00D43255">
          <w:rPr>
            <w:noProof/>
            <w:webHidden/>
          </w:rPr>
          <w:tab/>
        </w:r>
        <w:r w:rsidR="00D43255">
          <w:rPr>
            <w:noProof/>
            <w:webHidden/>
          </w:rPr>
          <w:fldChar w:fldCharType="begin"/>
        </w:r>
        <w:r w:rsidR="00D43255">
          <w:rPr>
            <w:noProof/>
            <w:webHidden/>
          </w:rPr>
          <w:instrText xml:space="preserve"> PAGEREF _Toc106968815 \h </w:instrText>
        </w:r>
        <w:r w:rsidR="00D43255">
          <w:rPr>
            <w:noProof/>
            <w:webHidden/>
          </w:rPr>
        </w:r>
        <w:r w:rsidR="00D43255">
          <w:rPr>
            <w:noProof/>
            <w:webHidden/>
          </w:rPr>
          <w:fldChar w:fldCharType="separate"/>
        </w:r>
        <w:r w:rsidR="00D43255">
          <w:rPr>
            <w:noProof/>
            <w:webHidden/>
          </w:rPr>
          <w:t>122</w:t>
        </w:r>
        <w:r w:rsidR="00D43255">
          <w:rPr>
            <w:noProof/>
            <w:webHidden/>
          </w:rPr>
          <w:fldChar w:fldCharType="end"/>
        </w:r>
      </w:hyperlink>
    </w:p>
    <w:p w14:paraId="0BCDD946" w14:textId="77777777" w:rsidR="00D43255" w:rsidRDefault="00000000">
      <w:pPr>
        <w:pStyle w:val="Spistreci1"/>
        <w:rPr>
          <w:rFonts w:asciiTheme="minorHAnsi" w:eastAsiaTheme="minorEastAsia" w:hAnsiTheme="minorHAnsi" w:cstheme="minorBidi"/>
          <w:b w:val="0"/>
          <w:bCs w:val="0"/>
          <w:caps w:val="0"/>
          <w:noProof/>
          <w:color w:val="auto"/>
          <w:sz w:val="22"/>
          <w:szCs w:val="22"/>
          <w:lang w:eastAsia="pl-PL"/>
        </w:rPr>
      </w:pPr>
      <w:hyperlink w:anchor="_Toc106968816" w:history="1">
        <w:r w:rsidR="00D43255" w:rsidRPr="008A68E7">
          <w:rPr>
            <w:rStyle w:val="Hipercze"/>
            <w:rFonts w:ascii="Calibri" w:hAnsi="Calibri"/>
            <w:noProof/>
          </w:rPr>
          <w:t>7.</w:t>
        </w:r>
        <w:r w:rsidR="00D43255">
          <w:rPr>
            <w:rFonts w:asciiTheme="minorHAnsi" w:eastAsiaTheme="minorEastAsia" w:hAnsiTheme="minorHAnsi" w:cstheme="minorBidi"/>
            <w:b w:val="0"/>
            <w:bCs w:val="0"/>
            <w:caps w:val="0"/>
            <w:noProof/>
            <w:color w:val="auto"/>
            <w:sz w:val="22"/>
            <w:szCs w:val="22"/>
            <w:lang w:eastAsia="pl-PL"/>
          </w:rPr>
          <w:tab/>
        </w:r>
        <w:r w:rsidR="00D43255" w:rsidRPr="008A68E7">
          <w:rPr>
            <w:rStyle w:val="Hipercze"/>
            <w:rFonts w:ascii="Calibri" w:hAnsi="Calibri"/>
            <w:noProof/>
          </w:rPr>
          <w:t>Umiędzynarodowienie gospodarki</w:t>
        </w:r>
        <w:r w:rsidR="00D43255">
          <w:rPr>
            <w:noProof/>
            <w:webHidden/>
          </w:rPr>
          <w:tab/>
        </w:r>
        <w:r w:rsidR="00D43255">
          <w:rPr>
            <w:noProof/>
            <w:webHidden/>
          </w:rPr>
          <w:fldChar w:fldCharType="begin"/>
        </w:r>
        <w:r w:rsidR="00D43255">
          <w:rPr>
            <w:noProof/>
            <w:webHidden/>
          </w:rPr>
          <w:instrText xml:space="preserve"> PAGEREF _Toc106968816 \h </w:instrText>
        </w:r>
        <w:r w:rsidR="00D43255">
          <w:rPr>
            <w:noProof/>
            <w:webHidden/>
          </w:rPr>
        </w:r>
        <w:r w:rsidR="00D43255">
          <w:rPr>
            <w:noProof/>
            <w:webHidden/>
          </w:rPr>
          <w:fldChar w:fldCharType="separate"/>
        </w:r>
        <w:r w:rsidR="00D43255">
          <w:rPr>
            <w:noProof/>
            <w:webHidden/>
          </w:rPr>
          <w:t>124</w:t>
        </w:r>
        <w:r w:rsidR="00D43255">
          <w:rPr>
            <w:noProof/>
            <w:webHidden/>
          </w:rPr>
          <w:fldChar w:fldCharType="end"/>
        </w:r>
      </w:hyperlink>
    </w:p>
    <w:p w14:paraId="73150262"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817" w:history="1">
        <w:r w:rsidR="00D43255" w:rsidRPr="008A68E7">
          <w:rPr>
            <w:rStyle w:val="Hipercze"/>
            <w:noProof/>
          </w:rPr>
          <w:t>Rola kapitału zagranicznego</w:t>
        </w:r>
        <w:r w:rsidR="00D43255">
          <w:rPr>
            <w:noProof/>
            <w:webHidden/>
          </w:rPr>
          <w:tab/>
        </w:r>
        <w:r w:rsidR="00D43255">
          <w:rPr>
            <w:noProof/>
            <w:webHidden/>
          </w:rPr>
          <w:fldChar w:fldCharType="begin"/>
        </w:r>
        <w:r w:rsidR="00D43255">
          <w:rPr>
            <w:noProof/>
            <w:webHidden/>
          </w:rPr>
          <w:instrText xml:space="preserve"> PAGEREF _Toc106968817 \h </w:instrText>
        </w:r>
        <w:r w:rsidR="00D43255">
          <w:rPr>
            <w:noProof/>
            <w:webHidden/>
          </w:rPr>
        </w:r>
        <w:r w:rsidR="00D43255">
          <w:rPr>
            <w:noProof/>
            <w:webHidden/>
          </w:rPr>
          <w:fldChar w:fldCharType="separate"/>
        </w:r>
        <w:r w:rsidR="00D43255">
          <w:rPr>
            <w:noProof/>
            <w:webHidden/>
          </w:rPr>
          <w:t>124</w:t>
        </w:r>
        <w:r w:rsidR="00D43255">
          <w:rPr>
            <w:noProof/>
            <w:webHidden/>
          </w:rPr>
          <w:fldChar w:fldCharType="end"/>
        </w:r>
      </w:hyperlink>
    </w:p>
    <w:p w14:paraId="08094D09"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818" w:history="1">
        <w:r w:rsidR="00D43255" w:rsidRPr="008A68E7">
          <w:rPr>
            <w:rStyle w:val="Hipercze"/>
            <w:noProof/>
          </w:rPr>
          <w:t>Rola eksportu</w:t>
        </w:r>
        <w:r w:rsidR="00D43255">
          <w:rPr>
            <w:noProof/>
            <w:webHidden/>
          </w:rPr>
          <w:tab/>
        </w:r>
        <w:r w:rsidR="00D43255">
          <w:rPr>
            <w:noProof/>
            <w:webHidden/>
          </w:rPr>
          <w:fldChar w:fldCharType="begin"/>
        </w:r>
        <w:r w:rsidR="00D43255">
          <w:rPr>
            <w:noProof/>
            <w:webHidden/>
          </w:rPr>
          <w:instrText xml:space="preserve"> PAGEREF _Toc106968818 \h </w:instrText>
        </w:r>
        <w:r w:rsidR="00D43255">
          <w:rPr>
            <w:noProof/>
            <w:webHidden/>
          </w:rPr>
        </w:r>
        <w:r w:rsidR="00D43255">
          <w:rPr>
            <w:noProof/>
            <w:webHidden/>
          </w:rPr>
          <w:fldChar w:fldCharType="separate"/>
        </w:r>
        <w:r w:rsidR="00D43255">
          <w:rPr>
            <w:noProof/>
            <w:webHidden/>
          </w:rPr>
          <w:t>126</w:t>
        </w:r>
        <w:r w:rsidR="00D43255">
          <w:rPr>
            <w:noProof/>
            <w:webHidden/>
          </w:rPr>
          <w:fldChar w:fldCharType="end"/>
        </w:r>
      </w:hyperlink>
    </w:p>
    <w:p w14:paraId="67DD073E" w14:textId="77777777" w:rsidR="00D43255" w:rsidRDefault="00000000">
      <w:pPr>
        <w:pStyle w:val="Spistreci2"/>
        <w:tabs>
          <w:tab w:val="right" w:leader="dot" w:pos="9062"/>
        </w:tabs>
        <w:rPr>
          <w:rFonts w:asciiTheme="minorHAnsi" w:eastAsiaTheme="minorEastAsia" w:hAnsiTheme="minorHAnsi" w:cstheme="minorBidi"/>
          <w:smallCaps w:val="0"/>
          <w:noProof/>
          <w:color w:val="auto"/>
          <w:sz w:val="22"/>
          <w:szCs w:val="22"/>
          <w:lang w:eastAsia="pl-PL"/>
        </w:rPr>
      </w:pPr>
      <w:hyperlink w:anchor="_Toc106968819" w:history="1">
        <w:r w:rsidR="00D43255" w:rsidRPr="008A68E7">
          <w:rPr>
            <w:rStyle w:val="Hipercze"/>
            <w:noProof/>
            <w:lang w:val="en-US"/>
          </w:rPr>
          <w:t>Literatura</w:t>
        </w:r>
        <w:r w:rsidR="00D43255">
          <w:rPr>
            <w:noProof/>
            <w:webHidden/>
          </w:rPr>
          <w:tab/>
        </w:r>
        <w:r w:rsidR="00D43255">
          <w:rPr>
            <w:noProof/>
            <w:webHidden/>
          </w:rPr>
          <w:fldChar w:fldCharType="begin"/>
        </w:r>
        <w:r w:rsidR="00D43255">
          <w:rPr>
            <w:noProof/>
            <w:webHidden/>
          </w:rPr>
          <w:instrText xml:space="preserve"> PAGEREF _Toc106968819 \h </w:instrText>
        </w:r>
        <w:r w:rsidR="00D43255">
          <w:rPr>
            <w:noProof/>
            <w:webHidden/>
          </w:rPr>
        </w:r>
        <w:r w:rsidR="00D43255">
          <w:rPr>
            <w:noProof/>
            <w:webHidden/>
          </w:rPr>
          <w:fldChar w:fldCharType="separate"/>
        </w:r>
        <w:r w:rsidR="00D43255">
          <w:rPr>
            <w:noProof/>
            <w:webHidden/>
          </w:rPr>
          <w:t>139</w:t>
        </w:r>
        <w:r w:rsidR="00D43255">
          <w:rPr>
            <w:noProof/>
            <w:webHidden/>
          </w:rPr>
          <w:fldChar w:fldCharType="end"/>
        </w:r>
      </w:hyperlink>
    </w:p>
    <w:p w14:paraId="2BCECEF1" w14:textId="04F5261D" w:rsidR="00D52A43" w:rsidRDefault="001B3C40" w:rsidP="00730223">
      <w:pPr>
        <w:spacing w:after="0" w:line="240" w:lineRule="auto"/>
        <w:rPr>
          <w:rFonts w:cs="Calibri"/>
          <w:sz w:val="21"/>
          <w:szCs w:val="21"/>
        </w:rPr>
      </w:pPr>
      <w:r w:rsidRPr="00254AB9">
        <w:rPr>
          <w:rFonts w:cs="Calibri"/>
          <w:sz w:val="21"/>
          <w:szCs w:val="21"/>
        </w:rPr>
        <w:fldChar w:fldCharType="end"/>
      </w:r>
    </w:p>
    <w:p w14:paraId="14B512F2" w14:textId="77777777" w:rsidR="00D52A43" w:rsidRDefault="00D52A43">
      <w:pPr>
        <w:spacing w:before="0" w:after="0" w:line="240" w:lineRule="auto"/>
        <w:jc w:val="left"/>
        <w:rPr>
          <w:rFonts w:cs="Calibri"/>
          <w:sz w:val="21"/>
          <w:szCs w:val="21"/>
        </w:rPr>
      </w:pPr>
      <w:r>
        <w:rPr>
          <w:rFonts w:cs="Calibri"/>
          <w:sz w:val="21"/>
          <w:szCs w:val="21"/>
        </w:rPr>
        <w:br w:type="page"/>
      </w:r>
    </w:p>
    <w:p w14:paraId="37E5B544" w14:textId="72287986" w:rsidR="00906A08" w:rsidRPr="00254AB9" w:rsidRDefault="00837691" w:rsidP="00EA60A4">
      <w:pPr>
        <w:pStyle w:val="Nagwek1"/>
        <w:numPr>
          <w:ilvl w:val="0"/>
          <w:numId w:val="1"/>
        </w:numPr>
        <w:spacing w:before="0" w:line="240" w:lineRule="auto"/>
        <w:rPr>
          <w:rFonts w:ascii="Calibri" w:hAnsi="Calibri" w:cs="Calibri"/>
          <w:sz w:val="32"/>
          <w:szCs w:val="32"/>
        </w:rPr>
      </w:pPr>
      <w:bookmarkStart w:id="1" w:name="_Toc511921168"/>
      <w:bookmarkStart w:id="2" w:name="_Toc31808484"/>
      <w:bookmarkStart w:id="3" w:name="_Toc106968767"/>
      <w:r w:rsidRPr="00254AB9">
        <w:rPr>
          <w:rFonts w:ascii="Calibri" w:hAnsi="Calibri" w:cs="Calibri"/>
          <w:sz w:val="32"/>
          <w:szCs w:val="32"/>
        </w:rPr>
        <w:lastRenderedPageBreak/>
        <w:t>Produktywność</w:t>
      </w:r>
      <w:r w:rsidR="006343E1">
        <w:rPr>
          <w:rFonts w:ascii="Calibri" w:hAnsi="Calibri" w:cs="Calibri"/>
          <w:sz w:val="32"/>
          <w:szCs w:val="32"/>
        </w:rPr>
        <w:t xml:space="preserve"> </w:t>
      </w:r>
      <w:r w:rsidR="006343E1" w:rsidRPr="00254AB9">
        <w:rPr>
          <w:rFonts w:ascii="Calibri" w:hAnsi="Calibri" w:cs="Calibri"/>
          <w:sz w:val="32"/>
          <w:szCs w:val="32"/>
        </w:rPr>
        <w:t>w</w:t>
      </w:r>
      <w:r w:rsidR="006343E1">
        <w:rPr>
          <w:rFonts w:ascii="Calibri" w:hAnsi="Calibri" w:cs="Calibri"/>
          <w:sz w:val="32"/>
          <w:szCs w:val="32"/>
        </w:rPr>
        <w:t> </w:t>
      </w:r>
      <w:r w:rsidR="001018C4" w:rsidRPr="00254AB9">
        <w:rPr>
          <w:rFonts w:ascii="Calibri" w:hAnsi="Calibri" w:cs="Calibri"/>
          <w:sz w:val="32"/>
          <w:szCs w:val="32"/>
        </w:rPr>
        <w:t>gospodarce</w:t>
      </w:r>
      <w:bookmarkEnd w:id="1"/>
      <w:bookmarkEnd w:id="2"/>
      <w:bookmarkEnd w:id="3"/>
    </w:p>
    <w:p w14:paraId="0267B0A6" w14:textId="1FD1D73F" w:rsidR="005144CE" w:rsidRPr="003D6D53" w:rsidRDefault="005144CE" w:rsidP="003D6D53">
      <w:pPr>
        <w:pStyle w:val="Nagwek2"/>
      </w:pPr>
      <w:bookmarkStart w:id="4" w:name="_Toc511921169"/>
      <w:bookmarkStart w:id="5" w:name="_Toc31808485"/>
      <w:bookmarkStart w:id="6" w:name="_Toc106968768"/>
      <w:r w:rsidRPr="003D6D53">
        <w:t>Produktywność – definicja</w:t>
      </w:r>
      <w:r w:rsidR="006343E1">
        <w:t xml:space="preserve"> </w:t>
      </w:r>
      <w:r w:rsidR="006343E1" w:rsidRPr="003D6D53">
        <w:t>i</w:t>
      </w:r>
      <w:r w:rsidR="006343E1">
        <w:t> </w:t>
      </w:r>
      <w:r w:rsidRPr="003D6D53">
        <w:t>pomiar</w:t>
      </w:r>
      <w:bookmarkEnd w:id="4"/>
      <w:bookmarkEnd w:id="5"/>
      <w:bookmarkEnd w:id="6"/>
    </w:p>
    <w:p w14:paraId="414CE660" w14:textId="12B27652" w:rsidR="008E15C9" w:rsidRPr="00254AB9" w:rsidRDefault="008E15C9" w:rsidP="008E15C9">
      <w:r w:rsidRPr="00254AB9">
        <w:t xml:space="preserve">Nazwanie strategii gospodarczej rządu </w:t>
      </w:r>
      <w:r w:rsidR="00DD69BB">
        <w:t>„</w:t>
      </w:r>
      <w:r w:rsidRPr="00254AB9">
        <w:t xml:space="preserve">Strategią </w:t>
      </w:r>
      <w:r w:rsidR="00DD69BB">
        <w:t>p</w:t>
      </w:r>
      <w:r w:rsidRPr="00DD69BB">
        <w:t>roduktywności</w:t>
      </w:r>
      <w:r w:rsidR="00DD69BB">
        <w:t xml:space="preserve"> 2030”</w:t>
      </w:r>
      <w:r w:rsidRPr="00254AB9">
        <w:t xml:space="preserve"> jest przesądzeniem strategicznym. Produktywność określonej aktywności to nic innego jak relacja jej efektów do nakładów poniesionych na jej wykonanie. W tym sensie produktywność jest ogólną miarą sprawności zarządzania i gospodarowania. Wskaźnik PKB </w:t>
      </w:r>
      <w:r w:rsidRPr="007B7CEC">
        <w:rPr>
          <w:i/>
        </w:rPr>
        <w:t>per capita</w:t>
      </w:r>
      <w:r w:rsidRPr="00254AB9">
        <w:t>, najczęściej używany w dyskusjach ekonomicznych, jest pochodną tego, jak efektywnie gospodarka przekształca posiadane zasoby – ludzką pracę, kapitał rzeczowy, dane, zasoby środowiskowe –</w:t>
      </w:r>
      <w:r w:rsidR="006343E1">
        <w:t xml:space="preserve"> </w:t>
      </w:r>
      <w:r w:rsidR="006343E1" w:rsidRPr="00254AB9">
        <w:t>w</w:t>
      </w:r>
      <w:r w:rsidR="006343E1">
        <w:t> </w:t>
      </w:r>
      <w:r w:rsidRPr="00254AB9">
        <w:t>towary</w:t>
      </w:r>
      <w:r w:rsidR="006343E1">
        <w:t xml:space="preserve"> </w:t>
      </w:r>
      <w:r w:rsidR="006343E1" w:rsidRPr="00254AB9">
        <w:t>i</w:t>
      </w:r>
      <w:r w:rsidR="006343E1">
        <w:t> </w:t>
      </w:r>
      <w:r w:rsidRPr="00254AB9">
        <w:t>usługi atrakcyjne dla krajowych i zagranicznych konsumentów</w:t>
      </w:r>
      <w:r w:rsidR="00A62A1E">
        <w:t xml:space="preserve">, a także niezbędne do sprawnego funkcjonowania państwa, gwarantujące </w:t>
      </w:r>
      <w:r w:rsidR="00A62A1E" w:rsidRPr="00DD69BB">
        <w:t>szeroko</w:t>
      </w:r>
      <w:r w:rsidR="00474ABB" w:rsidRPr="00CB57EA">
        <w:t xml:space="preserve"> </w:t>
      </w:r>
      <w:r w:rsidR="00A62A1E" w:rsidRPr="00CB57EA">
        <w:t>rozumiane</w:t>
      </w:r>
      <w:r w:rsidR="00A62A1E">
        <w:t xml:space="preserve"> bezpieczeństwa obywateli R</w:t>
      </w:r>
      <w:r w:rsidR="00474ABB">
        <w:t xml:space="preserve">zeczypospolitej </w:t>
      </w:r>
      <w:r w:rsidR="00A62A1E">
        <w:t>P</w:t>
      </w:r>
      <w:r w:rsidR="00474ABB">
        <w:t>olskiej</w:t>
      </w:r>
      <w:r w:rsidRPr="00254AB9">
        <w:t>. Na obecnym etapie rozwoju Polski trwały i zrównoważony</w:t>
      </w:r>
      <w:r w:rsidRPr="00254AB9">
        <w:rPr>
          <w:rStyle w:val="Odwoanieprzypisudolnego"/>
          <w:rFonts w:cs="Calibri"/>
          <w:sz w:val="21"/>
          <w:szCs w:val="21"/>
        </w:rPr>
        <w:footnoteReference w:id="2"/>
      </w:r>
      <w:r w:rsidRPr="00254AB9">
        <w:t xml:space="preserve"> wzrost produktywności można uznać za nadrzędny cel polityki gospodarczej. Kluczowymi warunkami osiągania tego celu (nie osiągnięcia – gdyż jest to proces,</w:t>
      </w:r>
      <w:r w:rsidR="006343E1">
        <w:t xml:space="preserve"> </w:t>
      </w:r>
      <w:r w:rsidR="006343E1" w:rsidRPr="00254AB9">
        <w:t>a</w:t>
      </w:r>
      <w:r w:rsidR="006343E1">
        <w:t> </w:t>
      </w:r>
      <w:r w:rsidRPr="00254AB9">
        <w:t>nie jednorazowe wydarzenie) są postęp technologiczny oraz innowacyjność, czyli zdolność do tworzenia i wdrażania nowych rozwiązań produktowych, procesowych, organizacyjnych oraz marketingowych</w:t>
      </w:r>
      <w:r w:rsidR="00A62A1E">
        <w:t>, a także optymalne wykorzystanie własnych zasobów i potencjału</w:t>
      </w:r>
      <w:r w:rsidR="005144CE" w:rsidRPr="00254AB9">
        <w:t>.</w:t>
      </w:r>
      <w:r w:rsidRPr="00254AB9">
        <w:t xml:space="preserve"> Są to czynniki decydujące</w:t>
      </w:r>
      <w:r w:rsidR="006343E1">
        <w:t xml:space="preserve"> </w:t>
      </w:r>
      <w:r w:rsidR="006343E1" w:rsidRPr="00254AB9">
        <w:t>o</w:t>
      </w:r>
      <w:r w:rsidR="006343E1">
        <w:t> </w:t>
      </w:r>
      <w:r w:rsidRPr="00254AB9">
        <w:t>jakości wzrostu</w:t>
      </w:r>
      <w:r w:rsidR="006343E1">
        <w:t xml:space="preserve"> </w:t>
      </w:r>
      <w:r w:rsidR="006343E1" w:rsidRPr="00254AB9">
        <w:t>i</w:t>
      </w:r>
      <w:r w:rsidR="006343E1">
        <w:t> </w:t>
      </w:r>
      <w:r w:rsidRPr="00254AB9">
        <w:t>determinujące jego trwały</w:t>
      </w:r>
      <w:r w:rsidR="006343E1">
        <w:t xml:space="preserve"> </w:t>
      </w:r>
      <w:r w:rsidR="006343E1" w:rsidRPr="00254AB9">
        <w:t>i</w:t>
      </w:r>
      <w:r w:rsidR="006343E1">
        <w:t> </w:t>
      </w:r>
      <w:r w:rsidRPr="00254AB9">
        <w:t>zrównoważony charakter.</w:t>
      </w:r>
    </w:p>
    <w:p w14:paraId="3E2EC94A" w14:textId="2A94F960" w:rsidR="008E15C9" w:rsidRPr="00254AB9" w:rsidRDefault="008E15C9" w:rsidP="008E15C9">
      <w:r w:rsidRPr="00254AB9">
        <w:t xml:space="preserve">Produktywność gospodarki jest mierzona zwykle na dwa uzupełniające się sposoby. Po pierwsze, jako wydajność pracy, czyli wartość dodana przypadająca na jednostkę pracy (np. </w:t>
      </w:r>
      <w:r w:rsidR="00474ABB">
        <w:t>na</w:t>
      </w:r>
      <w:r w:rsidRPr="00254AB9">
        <w:t xml:space="preserve"> jednego zatrudnionego lub </w:t>
      </w:r>
      <w:r w:rsidR="00474ABB">
        <w:t xml:space="preserve">na </w:t>
      </w:r>
      <w:r w:rsidRPr="00254AB9">
        <w:t>przepracowaną godzinę)</w:t>
      </w:r>
      <w:r w:rsidRPr="00254AB9">
        <w:rPr>
          <w:rStyle w:val="Odwoanieprzypisudolnego"/>
          <w:rFonts w:cs="Calibri"/>
          <w:sz w:val="21"/>
          <w:szCs w:val="21"/>
        </w:rPr>
        <w:footnoteReference w:id="3"/>
      </w:r>
      <w:r w:rsidRPr="00254AB9">
        <w:t>. Po drugie</w:t>
      </w:r>
      <w:r w:rsidR="00474ABB">
        <w:t>,</w:t>
      </w:r>
      <w:r w:rsidRPr="00254AB9">
        <w:t xml:space="preserve"> jako łączna produktywność czynników produkcji (ang. </w:t>
      </w:r>
      <w:r w:rsidRPr="007B7CEC">
        <w:rPr>
          <w:i/>
        </w:rPr>
        <w:t>total factor productivity</w:t>
      </w:r>
      <w:r w:rsidRPr="00254AB9">
        <w:t xml:space="preserve"> – TFP</w:t>
      </w:r>
      <w:r w:rsidRPr="00254AB9">
        <w:rPr>
          <w:rStyle w:val="Odwoanieprzypisudolnego"/>
          <w:rFonts w:cs="Calibri"/>
          <w:sz w:val="21"/>
          <w:szCs w:val="21"/>
        </w:rPr>
        <w:footnoteReference w:id="4"/>
      </w:r>
      <w:r w:rsidRPr="00254AB9">
        <w:t>), która odzwierciedla wydajność,</w:t>
      </w:r>
      <w:r w:rsidR="006343E1">
        <w:t xml:space="preserve"> </w:t>
      </w:r>
      <w:r w:rsidR="006343E1" w:rsidRPr="00254AB9">
        <w:t>z</w:t>
      </w:r>
      <w:r w:rsidR="006343E1">
        <w:t> </w:t>
      </w:r>
      <w:r w:rsidRPr="00254AB9">
        <w:t>jaką zasoby kapitału</w:t>
      </w:r>
      <w:r w:rsidR="006343E1">
        <w:t xml:space="preserve"> </w:t>
      </w:r>
      <w:r w:rsidR="006343E1" w:rsidRPr="00254AB9">
        <w:t>i</w:t>
      </w:r>
      <w:r w:rsidR="006343E1">
        <w:t> </w:t>
      </w:r>
      <w:r w:rsidRPr="00254AB9">
        <w:t xml:space="preserve">pracy </w:t>
      </w:r>
      <w:r w:rsidR="00474ABB" w:rsidRPr="00254AB9">
        <w:t>są</w:t>
      </w:r>
      <w:r w:rsidR="00474ABB">
        <w:t xml:space="preserve"> </w:t>
      </w:r>
      <w:r w:rsidRPr="00254AB9">
        <w:t xml:space="preserve">przekształcane </w:t>
      </w:r>
      <w:r w:rsidR="006343E1" w:rsidRPr="00254AB9">
        <w:t>w</w:t>
      </w:r>
      <w:r w:rsidR="006343E1">
        <w:t> </w:t>
      </w:r>
      <w:r w:rsidRPr="00254AB9">
        <w:t>wartość dodaną. TFP jest parametrem skalującym</w:t>
      </w:r>
      <w:r w:rsidR="006343E1">
        <w:t xml:space="preserve"> </w:t>
      </w:r>
      <w:r w:rsidR="006343E1" w:rsidRPr="00254AB9">
        <w:t>w</w:t>
      </w:r>
      <w:r w:rsidR="006343E1">
        <w:t> </w:t>
      </w:r>
      <w:r w:rsidRPr="00254AB9">
        <w:t>równaniu ekonometrycznym</w:t>
      </w:r>
      <w:r w:rsidR="006343E1">
        <w:t xml:space="preserve"> </w:t>
      </w:r>
      <w:r w:rsidR="006343E1" w:rsidRPr="00254AB9">
        <w:t>i</w:t>
      </w:r>
      <w:r w:rsidR="006343E1">
        <w:t> </w:t>
      </w:r>
      <w:r w:rsidRPr="00254AB9">
        <w:t>ma sens jedynie matematyczny. W kategoriach ekonomicznych pożądana jest wyższa wartość TFP, choć jej interpretacja nie jest jednoznaczna. Zmiana TFP bywa utożsamiana</w:t>
      </w:r>
      <w:r w:rsidR="006343E1">
        <w:t xml:space="preserve"> </w:t>
      </w:r>
      <w:r w:rsidR="006343E1" w:rsidRPr="00254AB9">
        <w:t>z</w:t>
      </w:r>
      <w:r w:rsidR="006343E1">
        <w:t> </w:t>
      </w:r>
      <w:r w:rsidRPr="00254AB9">
        <w:t>efektem wprowadzania innowacji technologicznych, jednak takie podejście jest nadmiernie uproszczone.</w:t>
      </w:r>
      <w:r w:rsidR="006343E1">
        <w:t xml:space="preserve"> </w:t>
      </w:r>
      <w:r w:rsidR="006343E1" w:rsidRPr="00254AB9">
        <w:t>W</w:t>
      </w:r>
      <w:r w:rsidR="006343E1">
        <w:t> </w:t>
      </w:r>
      <w:r w:rsidRPr="00254AB9">
        <w:t>rzeczywistości zmiany</w:t>
      </w:r>
      <w:r w:rsidR="006343E1">
        <w:t xml:space="preserve"> </w:t>
      </w:r>
      <w:r w:rsidR="006343E1" w:rsidRPr="00254AB9">
        <w:t>w</w:t>
      </w:r>
      <w:r w:rsidR="006343E1">
        <w:t> </w:t>
      </w:r>
      <w:r w:rsidRPr="00254AB9">
        <w:t>TFP uwzględniają również nowe tendencje w zarządzaniu</w:t>
      </w:r>
      <w:r w:rsidR="006343E1">
        <w:t xml:space="preserve"> </w:t>
      </w:r>
      <w:r w:rsidR="006343E1" w:rsidRPr="00254AB9">
        <w:t>i</w:t>
      </w:r>
      <w:r w:rsidR="006343E1">
        <w:t> </w:t>
      </w:r>
      <w:r w:rsidRPr="00254AB9">
        <w:t>organizacji, podniesienie poziomu wiedzy ogólnej, efekty sieci, efekty marki, efekty wynikające</w:t>
      </w:r>
      <w:r w:rsidR="006343E1">
        <w:t xml:space="preserve"> </w:t>
      </w:r>
      <w:r w:rsidR="006343E1" w:rsidRPr="00254AB9">
        <w:t>z</w:t>
      </w:r>
      <w:r w:rsidR="006343E1">
        <w:t> </w:t>
      </w:r>
      <w:r w:rsidRPr="00254AB9">
        <w:t>odchyleń rzeczywistej struktury gospodarki od modelu konkurencji doskonałej czy przesunięcia zasobów (pracy, kapitału) między różnymi branżami. W porównaniu ze zmianą w wydajności pracy wskaźnik ten być może zawiera zatem bardziej kompleksową informację</w:t>
      </w:r>
      <w:r w:rsidRPr="00254AB9">
        <w:rPr>
          <w:rStyle w:val="Odwoanieprzypisudolnego"/>
          <w:rFonts w:cs="Calibri"/>
          <w:sz w:val="21"/>
          <w:szCs w:val="21"/>
        </w:rPr>
        <w:footnoteReference w:id="5"/>
      </w:r>
      <w:r w:rsidRPr="00254AB9">
        <w:t>, ale jest bardzo wrażliwy na założenia dotyczące zmiennych i parametrów modelu ekonometrycznego,</w:t>
      </w:r>
      <w:r w:rsidR="006343E1">
        <w:t xml:space="preserve"> </w:t>
      </w:r>
      <w:r w:rsidR="006343E1" w:rsidRPr="00254AB9">
        <w:t>w</w:t>
      </w:r>
      <w:r w:rsidR="006343E1">
        <w:t> </w:t>
      </w:r>
      <w:r w:rsidRPr="00254AB9">
        <w:t>ramach którego dokonuje się jego szacowania (</w:t>
      </w:r>
      <w:proofErr w:type="spellStart"/>
      <w:r w:rsidRPr="00246A98">
        <w:t>Gh</w:t>
      </w:r>
      <w:r>
        <w:t>osh</w:t>
      </w:r>
      <w:proofErr w:type="spellEnd"/>
      <w:r>
        <w:t xml:space="preserve">, </w:t>
      </w:r>
      <w:proofErr w:type="spellStart"/>
      <w:r>
        <w:t>Swati</w:t>
      </w:r>
      <w:proofErr w:type="spellEnd"/>
      <w:r>
        <w:t xml:space="preserve">, </w:t>
      </w:r>
      <w:proofErr w:type="spellStart"/>
      <w:r>
        <w:t>Kraay</w:t>
      </w:r>
      <w:proofErr w:type="spellEnd"/>
      <w:r>
        <w:t xml:space="preserve">, </w:t>
      </w:r>
      <w:proofErr w:type="spellStart"/>
      <w:r>
        <w:t>Aart</w:t>
      </w:r>
      <w:proofErr w:type="spellEnd"/>
      <w:r>
        <w:t>, 2000)</w:t>
      </w:r>
      <w:r w:rsidRPr="00254AB9">
        <w:t>. Stąd w dalszej części niniejszej diagnozy słowo „produktywność” będzie używane zamiennie z pojęciem „wydajność pracy”</w:t>
      </w:r>
      <w:r w:rsidR="006343E1">
        <w:t xml:space="preserve"> </w:t>
      </w:r>
      <w:r w:rsidR="006343E1" w:rsidRPr="00254AB9">
        <w:t>w</w:t>
      </w:r>
      <w:r w:rsidR="006343E1">
        <w:t> </w:t>
      </w:r>
      <w:r w:rsidRPr="00254AB9">
        <w:t>sensie wartości dodanej</w:t>
      </w:r>
      <w:r w:rsidR="006343E1">
        <w:t xml:space="preserve"> </w:t>
      </w:r>
      <w:r w:rsidR="006343E1" w:rsidRPr="00254AB9">
        <w:t>w</w:t>
      </w:r>
      <w:r w:rsidR="006343E1">
        <w:t> </w:t>
      </w:r>
      <w:r w:rsidRPr="00254AB9">
        <w:t>przeliczeniu na jednostkę pracy. Ilekroć będzie mowa</w:t>
      </w:r>
      <w:r w:rsidR="006343E1">
        <w:t xml:space="preserve"> </w:t>
      </w:r>
      <w:r w:rsidR="006343E1" w:rsidRPr="00254AB9">
        <w:t>o</w:t>
      </w:r>
      <w:r w:rsidR="006343E1">
        <w:t> </w:t>
      </w:r>
      <w:r w:rsidRPr="00254AB9">
        <w:t xml:space="preserve">TFP lub innym ujęciu produktywności lub wydajności pracy, zostanie to </w:t>
      </w:r>
      <w:r w:rsidRPr="007B7CEC">
        <w:rPr>
          <w:i/>
        </w:rPr>
        <w:t>explicite</w:t>
      </w:r>
      <w:r w:rsidRPr="00254AB9">
        <w:t xml:space="preserve"> zaznaczone, tak jak</w:t>
      </w:r>
      <w:r w:rsidR="006343E1">
        <w:t xml:space="preserve"> </w:t>
      </w:r>
      <w:r w:rsidR="006343E1" w:rsidRPr="00254AB9">
        <w:t>w</w:t>
      </w:r>
      <w:r w:rsidR="006343E1">
        <w:t> </w:t>
      </w:r>
      <w:r w:rsidRPr="00254AB9">
        <w:t>przypadku poniższego wykresu, który obrazuje produktywność mierzoną jako PKB na przepracowaną godzinę.</w:t>
      </w:r>
    </w:p>
    <w:tbl>
      <w:tblPr>
        <w:tblW w:w="0" w:type="auto"/>
        <w:tblInd w:w="70" w:type="dxa"/>
        <w:tblCellMar>
          <w:left w:w="70" w:type="dxa"/>
          <w:right w:w="70" w:type="dxa"/>
        </w:tblCellMar>
        <w:tblLook w:val="04A0" w:firstRow="1" w:lastRow="0" w:firstColumn="1" w:lastColumn="0" w:noHBand="0" w:noVBand="1"/>
      </w:tblPr>
      <w:tblGrid>
        <w:gridCol w:w="8423"/>
        <w:gridCol w:w="579"/>
      </w:tblGrid>
      <w:tr w:rsidR="008E15C9" w:rsidRPr="00254AB9" w14:paraId="14877318" w14:textId="77777777" w:rsidTr="008E15C9">
        <w:trPr>
          <w:gridAfter w:val="1"/>
          <w:wAfter w:w="675" w:type="dxa"/>
          <w:trHeight w:val="244"/>
        </w:trPr>
        <w:tc>
          <w:tcPr>
            <w:tcW w:w="8429" w:type="dxa"/>
            <w:shd w:val="clear" w:color="auto" w:fill="auto"/>
          </w:tcPr>
          <w:p w14:paraId="23ED029D" w14:textId="39496493" w:rsidR="008E15C9" w:rsidRDefault="008E15C9" w:rsidP="003A5EA7">
            <w:pPr>
              <w:pStyle w:val="Nagwek4"/>
            </w:pPr>
            <w:r w:rsidRPr="00254AB9">
              <w:lastRenderedPageBreak/>
              <w:t xml:space="preserve">Wykres </w:t>
            </w:r>
            <w:r w:rsidR="00C8306C">
              <w:rPr>
                <w:noProof/>
              </w:rPr>
              <w:fldChar w:fldCharType="begin"/>
            </w:r>
            <w:r w:rsidR="00C8306C">
              <w:rPr>
                <w:noProof/>
              </w:rPr>
              <w:instrText xml:space="preserve"> SEQ Rysunek \* ARABIC </w:instrText>
            </w:r>
            <w:r w:rsidR="00C8306C">
              <w:rPr>
                <w:noProof/>
              </w:rPr>
              <w:fldChar w:fldCharType="separate"/>
            </w:r>
            <w:r w:rsidRPr="00254AB9">
              <w:rPr>
                <w:noProof/>
              </w:rPr>
              <w:t>1</w:t>
            </w:r>
            <w:r w:rsidR="00C8306C">
              <w:rPr>
                <w:noProof/>
              </w:rPr>
              <w:fldChar w:fldCharType="end"/>
            </w:r>
            <w:r w:rsidRPr="00254AB9">
              <w:t>. Produktywność</w:t>
            </w:r>
            <w:r w:rsidR="006343E1">
              <w:t xml:space="preserve"> </w:t>
            </w:r>
            <w:r w:rsidR="006343E1" w:rsidRPr="00254AB9">
              <w:t>w</w:t>
            </w:r>
            <w:r w:rsidR="006343E1">
              <w:t> </w:t>
            </w:r>
            <w:r w:rsidRPr="003A5EA7">
              <w:t>państwach</w:t>
            </w:r>
            <w:r w:rsidRPr="00254AB9">
              <w:t xml:space="preserve"> OECD</w:t>
            </w:r>
            <w:r w:rsidR="006343E1">
              <w:t xml:space="preserve"> </w:t>
            </w:r>
            <w:r w:rsidR="006343E1" w:rsidRPr="00254AB9">
              <w:t>w</w:t>
            </w:r>
            <w:r w:rsidR="006343E1">
              <w:t> </w:t>
            </w:r>
            <w:r w:rsidRPr="00254AB9">
              <w:t>201</w:t>
            </w:r>
            <w:r>
              <w:t>7</w:t>
            </w:r>
            <w:r w:rsidRPr="00254AB9">
              <w:t xml:space="preserve"> r. (PKB na przepracowaną godzinę)*</w:t>
            </w:r>
          </w:p>
          <w:p w14:paraId="5689F5A2" w14:textId="77777777" w:rsidR="008E15C9" w:rsidRDefault="008E15C9" w:rsidP="008E15C9">
            <w:pPr>
              <w:spacing w:after="0" w:line="240" w:lineRule="auto"/>
              <w:rPr>
                <w:rFonts w:cs="Calibri"/>
                <w:b/>
                <w:sz w:val="21"/>
                <w:szCs w:val="21"/>
              </w:rPr>
            </w:pPr>
            <w:r>
              <w:rPr>
                <w:noProof/>
                <w:lang w:eastAsia="pl-PL"/>
              </w:rPr>
              <w:drawing>
                <wp:inline distT="0" distB="0" distL="0" distR="0" wp14:anchorId="57E0DB92" wp14:editId="6D688120">
                  <wp:extent cx="5215737" cy="2962656"/>
                  <wp:effectExtent l="0" t="0" r="23495" b="9525"/>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BC3267E" w14:textId="771269EB" w:rsidR="00D52A43" w:rsidRPr="00254AB9" w:rsidRDefault="00D52A43" w:rsidP="00D52A43">
            <w:pPr>
              <w:pStyle w:val="Bezodstpw"/>
            </w:pPr>
            <w:r w:rsidRPr="00254AB9">
              <w:t>* USD</w:t>
            </w:r>
            <w:r w:rsidR="006343E1">
              <w:t xml:space="preserve"> </w:t>
            </w:r>
            <w:r w:rsidR="006343E1" w:rsidRPr="00254AB9">
              <w:t>w</w:t>
            </w:r>
            <w:r w:rsidR="006343E1">
              <w:t> </w:t>
            </w:r>
            <w:r w:rsidRPr="00254AB9">
              <w:t>cenach stałych</w:t>
            </w:r>
            <w:r w:rsidR="006343E1">
              <w:t xml:space="preserve"> </w:t>
            </w:r>
            <w:r w:rsidR="006343E1" w:rsidRPr="00254AB9">
              <w:t>z</w:t>
            </w:r>
            <w:r w:rsidR="006343E1">
              <w:t> </w:t>
            </w:r>
            <w:r w:rsidRPr="00254AB9">
              <w:t>2010 r</w:t>
            </w:r>
            <w:r w:rsidR="00464A13">
              <w:t>.</w:t>
            </w:r>
            <w:r w:rsidRPr="00254AB9">
              <w:t xml:space="preserve"> według parytetu siły nabywczej.</w:t>
            </w:r>
          </w:p>
          <w:p w14:paraId="05A13553" w14:textId="04DDC16D" w:rsidR="008E15C9" w:rsidRPr="00254AB9" w:rsidRDefault="00D52A43" w:rsidP="00D52A43">
            <w:pPr>
              <w:pStyle w:val="Bezodstpw"/>
              <w:rPr>
                <w:rFonts w:cs="Calibri"/>
                <w:b/>
                <w:sz w:val="21"/>
                <w:szCs w:val="21"/>
              </w:rPr>
            </w:pPr>
            <w:r w:rsidRPr="00254AB9">
              <w:t xml:space="preserve">Źródło: Opracowanie </w:t>
            </w:r>
            <w:r w:rsidR="003A56DA">
              <w:t>MRiT</w:t>
            </w:r>
            <w:r w:rsidR="003A5EA7">
              <w:t xml:space="preserve"> </w:t>
            </w:r>
            <w:r w:rsidRPr="00254AB9">
              <w:t>na podstawie danych OECD (stats.oecd.org)</w:t>
            </w:r>
          </w:p>
        </w:tc>
      </w:tr>
      <w:tr w:rsidR="008E15C9" w:rsidRPr="00254AB9" w14:paraId="016A7BC7" w14:textId="77777777" w:rsidTr="008E15C9">
        <w:tc>
          <w:tcPr>
            <w:tcW w:w="9104" w:type="dxa"/>
            <w:gridSpan w:val="2"/>
            <w:shd w:val="clear" w:color="auto" w:fill="auto"/>
          </w:tcPr>
          <w:p w14:paraId="3A288D8D" w14:textId="4BADA087" w:rsidR="00D52A43" w:rsidRDefault="008E15C9" w:rsidP="008E15C9">
            <w:pPr>
              <w:keepNext/>
              <w:spacing w:after="0" w:line="240" w:lineRule="auto"/>
            </w:pPr>
            <w:r w:rsidRPr="00254AB9">
              <w:t>Jak widać (mimo ponadprzeciętnego</w:t>
            </w:r>
            <w:r w:rsidR="006343E1">
              <w:t xml:space="preserve"> </w:t>
            </w:r>
            <w:r w:rsidR="006343E1" w:rsidRPr="00254AB9">
              <w:t>w</w:t>
            </w:r>
            <w:r w:rsidR="006343E1">
              <w:t> </w:t>
            </w:r>
            <w:r w:rsidRPr="00254AB9">
              <w:t>ostatnich latach wzrostu produktywności,</w:t>
            </w:r>
            <w:r w:rsidR="006343E1">
              <w:t xml:space="preserve"> </w:t>
            </w:r>
            <w:r w:rsidR="006343E1" w:rsidRPr="00254AB9">
              <w:t>o</w:t>
            </w:r>
            <w:r w:rsidR="006343E1">
              <w:t> </w:t>
            </w:r>
            <w:r w:rsidRPr="00254AB9">
              <w:t xml:space="preserve">którym </w:t>
            </w:r>
            <w:r w:rsidR="00EC2EEE">
              <w:t>po</w:t>
            </w:r>
            <w:r w:rsidRPr="00254AB9">
              <w:t>niżej) Polska w ekskluzywnym klubie najbogatszych państw świata należy do członków</w:t>
            </w:r>
            <w:r w:rsidR="006343E1">
              <w:t xml:space="preserve"> </w:t>
            </w:r>
            <w:r w:rsidR="006343E1" w:rsidRPr="00254AB9">
              <w:t>o</w:t>
            </w:r>
            <w:r w:rsidR="006343E1">
              <w:t> </w:t>
            </w:r>
            <w:r>
              <w:t>względnie niskiej</w:t>
            </w:r>
            <w:r w:rsidRPr="00254AB9">
              <w:t xml:space="preserve"> wydajności pracy.</w:t>
            </w:r>
            <w:r w:rsidR="006343E1">
              <w:t xml:space="preserve"> </w:t>
            </w:r>
            <w:r w:rsidR="006343E1" w:rsidRPr="00254AB9">
              <w:t>W</w:t>
            </w:r>
            <w:r w:rsidR="006343E1">
              <w:t> </w:t>
            </w:r>
            <w:r w:rsidRPr="00254AB9">
              <w:t>201</w:t>
            </w:r>
            <w:r>
              <w:t>7</w:t>
            </w:r>
            <w:r w:rsidRPr="00254AB9">
              <w:t xml:space="preserve"> r. produktywność Czechów była </w:t>
            </w:r>
            <w:r>
              <w:t>niemalże identyczna</w:t>
            </w:r>
            <w:r w:rsidRPr="00254AB9">
              <w:t>,</w:t>
            </w:r>
            <w:r>
              <w:t xml:space="preserve"> Słowaków wyższa</w:t>
            </w:r>
            <w:r w:rsidR="006343E1">
              <w:t xml:space="preserve"> o </w:t>
            </w:r>
            <w:r>
              <w:t>14%</w:t>
            </w:r>
            <w:r w:rsidR="004A5384">
              <w:t>,</w:t>
            </w:r>
            <w:r w:rsidR="006343E1">
              <w:t xml:space="preserve"> a </w:t>
            </w:r>
            <w:r w:rsidRPr="00254AB9">
              <w:t>Niemców</w:t>
            </w:r>
            <w:r w:rsidR="006343E1">
              <w:t xml:space="preserve"> </w:t>
            </w:r>
            <w:r w:rsidR="006343E1" w:rsidRPr="00254AB9">
              <w:t>o</w:t>
            </w:r>
            <w:r w:rsidR="006343E1">
              <w:t> </w:t>
            </w:r>
            <w:r>
              <w:t>68</w:t>
            </w:r>
            <w:r w:rsidRPr="00254AB9">
              <w:t>%</w:t>
            </w:r>
            <w:r>
              <w:t>.</w:t>
            </w:r>
            <w:r w:rsidR="006343E1">
              <w:t xml:space="preserve"> W </w:t>
            </w:r>
            <w:r>
              <w:t>porównaniu</w:t>
            </w:r>
            <w:r w:rsidR="006343E1">
              <w:t xml:space="preserve"> z </w:t>
            </w:r>
            <w:r>
              <w:t>rokiem poprzednim</w:t>
            </w:r>
            <w:r w:rsidR="006343E1">
              <w:t xml:space="preserve"> w </w:t>
            </w:r>
            <w:r>
              <w:t>2017 r. wyprzedziliśmy</w:t>
            </w:r>
            <w:r w:rsidR="006343E1">
              <w:t xml:space="preserve"> w </w:t>
            </w:r>
            <w:r>
              <w:t>zestawieniu Czechy, Estonię, Grecję, Portugalię</w:t>
            </w:r>
            <w:r w:rsidR="006343E1">
              <w:t xml:space="preserve"> i </w:t>
            </w:r>
            <w:r>
              <w:t>Węgry. Dalsze p</w:t>
            </w:r>
            <w:r w:rsidRPr="00254AB9">
              <w:t>odn</w:t>
            </w:r>
            <w:r>
              <w:t>osze</w:t>
            </w:r>
            <w:r w:rsidRPr="00254AB9">
              <w:t xml:space="preserve">nie produktywności polskiej gospodarki jest koniecznym warunkiem osiągnięcia głównego celu Strategii Odpowiedzialnego Rozwoju, jakim jest wzrost poziomu życia Polaków mierzony wzrostem dochodów gospodarstw domowych. </w:t>
            </w:r>
            <w:r w:rsidR="005018D4">
              <w:t>P</w:t>
            </w:r>
            <w:r w:rsidRPr="00254AB9">
              <w:t xml:space="preserve">roduktywność </w:t>
            </w:r>
            <w:r w:rsidR="005018D4">
              <w:t>(wydajność) pracy</w:t>
            </w:r>
            <w:r w:rsidR="00A91D61">
              <w:t xml:space="preserve"> </w:t>
            </w:r>
            <w:r w:rsidR="005018D4">
              <w:t>generuje wzrost PKB</w:t>
            </w:r>
            <w:r w:rsidR="006343E1">
              <w:t xml:space="preserve"> i </w:t>
            </w:r>
            <w:r w:rsidR="005018D4">
              <w:t>dochodów gospodarstw domowych</w:t>
            </w:r>
            <w:r w:rsidRPr="00254AB9">
              <w:t>.</w:t>
            </w:r>
          </w:p>
          <w:p w14:paraId="2820CB00" w14:textId="0CE93444" w:rsidR="008E15C9" w:rsidRDefault="008E15C9" w:rsidP="003A5EA7">
            <w:pPr>
              <w:pStyle w:val="Nagwek4"/>
            </w:pPr>
            <w:r w:rsidRPr="00254AB9">
              <w:t xml:space="preserve">Wykres </w:t>
            </w:r>
            <w:r w:rsidR="00C8306C">
              <w:rPr>
                <w:noProof/>
              </w:rPr>
              <w:fldChar w:fldCharType="begin"/>
            </w:r>
            <w:r w:rsidR="00C8306C">
              <w:rPr>
                <w:noProof/>
              </w:rPr>
              <w:instrText xml:space="preserve"> SEQ Rysunek \* ARABIC </w:instrText>
            </w:r>
            <w:r w:rsidR="00C8306C">
              <w:rPr>
                <w:noProof/>
              </w:rPr>
              <w:fldChar w:fldCharType="separate"/>
            </w:r>
            <w:r w:rsidRPr="00254AB9">
              <w:rPr>
                <w:noProof/>
              </w:rPr>
              <w:t>2</w:t>
            </w:r>
            <w:r w:rsidR="00C8306C">
              <w:rPr>
                <w:noProof/>
              </w:rPr>
              <w:fldChar w:fldCharType="end"/>
            </w:r>
            <w:r w:rsidRPr="00254AB9">
              <w:t>. Główne wskaźniki gospodarcze</w:t>
            </w:r>
            <w:r w:rsidR="006343E1">
              <w:t xml:space="preserve"> </w:t>
            </w:r>
            <w:r w:rsidR="006343E1" w:rsidRPr="00254AB9">
              <w:t>w</w:t>
            </w:r>
            <w:r w:rsidR="006343E1">
              <w:t> </w:t>
            </w:r>
            <w:r w:rsidRPr="00254AB9">
              <w:t>Polsce (zmiana r/r</w:t>
            </w:r>
            <w:r w:rsidR="006343E1">
              <w:t xml:space="preserve"> w </w:t>
            </w:r>
            <w:r>
              <w:t>%</w:t>
            </w:r>
            <w:r w:rsidRPr="00254AB9">
              <w:t>)</w:t>
            </w:r>
          </w:p>
          <w:p w14:paraId="0D1889C8" w14:textId="77777777" w:rsidR="008E15C9" w:rsidRPr="00254AB9" w:rsidRDefault="008E15C9" w:rsidP="008E15C9">
            <w:pPr>
              <w:spacing w:after="0" w:line="240" w:lineRule="auto"/>
              <w:rPr>
                <w:rFonts w:cs="Calibri"/>
                <w:b/>
                <w:sz w:val="21"/>
                <w:szCs w:val="21"/>
              </w:rPr>
            </w:pPr>
            <w:r>
              <w:rPr>
                <w:noProof/>
                <w:lang w:eastAsia="pl-PL"/>
              </w:rPr>
              <w:drawing>
                <wp:inline distT="0" distB="0" distL="0" distR="0" wp14:anchorId="05C84139" wp14:editId="4EB256FD">
                  <wp:extent cx="4371975" cy="2998191"/>
                  <wp:effectExtent l="0" t="0" r="9525" b="12065"/>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8E15C9" w:rsidRPr="00254AB9" w14:paraId="455A370B" w14:textId="77777777" w:rsidTr="008E15C9">
        <w:tc>
          <w:tcPr>
            <w:tcW w:w="9104" w:type="dxa"/>
            <w:gridSpan w:val="2"/>
            <w:shd w:val="clear" w:color="auto" w:fill="auto"/>
          </w:tcPr>
          <w:p w14:paraId="6D1B24A8" w14:textId="4ED5DE31" w:rsidR="008E15C9" w:rsidRPr="00254AB9" w:rsidRDefault="00D52A43" w:rsidP="003A5EA7">
            <w:pPr>
              <w:pStyle w:val="Bezodstpw"/>
              <w:rPr>
                <w:rFonts w:cs="Calibri"/>
                <w:sz w:val="21"/>
                <w:szCs w:val="21"/>
              </w:rPr>
            </w:pPr>
            <w:r w:rsidRPr="00254AB9">
              <w:t xml:space="preserve">Źródło: Opracowanie </w:t>
            </w:r>
            <w:r w:rsidR="003A56DA">
              <w:t>MRiT</w:t>
            </w:r>
            <w:r w:rsidR="003A5EA7">
              <w:t xml:space="preserve"> </w:t>
            </w:r>
            <w:r w:rsidRPr="003A5EA7">
              <w:t>na</w:t>
            </w:r>
            <w:r w:rsidRPr="00254AB9">
              <w:t xml:space="preserve"> podstawie danych Eurostat</w:t>
            </w:r>
          </w:p>
        </w:tc>
      </w:tr>
    </w:tbl>
    <w:p w14:paraId="4C72E340" w14:textId="53B20E8C" w:rsidR="008E15C9" w:rsidRPr="00254AB9" w:rsidRDefault="008E15C9" w:rsidP="008E15C9">
      <w:r w:rsidRPr="00254AB9">
        <w:lastRenderedPageBreak/>
        <w:t>Nadrzędny cel podniesienia produktywności będzie</w:t>
      </w:r>
      <w:r w:rsidR="006343E1">
        <w:t xml:space="preserve"> </w:t>
      </w:r>
      <w:r w:rsidR="004A5384" w:rsidRPr="00254AB9">
        <w:t xml:space="preserve">realizowany </w:t>
      </w:r>
      <w:r w:rsidR="006343E1" w:rsidRPr="00254AB9">
        <w:t>w</w:t>
      </w:r>
      <w:r w:rsidR="006343E1">
        <w:t> </w:t>
      </w:r>
      <w:r w:rsidR="00ED0DD5">
        <w:t xml:space="preserve">ramach </w:t>
      </w:r>
      <w:r w:rsidR="00ED0DD5" w:rsidRPr="00714B17">
        <w:rPr>
          <w:b/>
          <w:i/>
        </w:rPr>
        <w:t>Strategii p</w:t>
      </w:r>
      <w:r w:rsidRPr="00714B17">
        <w:rPr>
          <w:b/>
          <w:i/>
        </w:rPr>
        <w:t>roduktywności</w:t>
      </w:r>
      <w:r w:rsidR="00ED0DD5" w:rsidRPr="00714B17">
        <w:rPr>
          <w:b/>
          <w:i/>
        </w:rPr>
        <w:t xml:space="preserve"> 2030</w:t>
      </w:r>
      <w:r w:rsidRPr="00254AB9">
        <w:t xml:space="preserve"> przez szereg działań</w:t>
      </w:r>
      <w:r w:rsidR="006343E1">
        <w:t xml:space="preserve"> </w:t>
      </w:r>
      <w:r w:rsidR="006343E1" w:rsidRPr="00254AB9">
        <w:t>w</w:t>
      </w:r>
      <w:r w:rsidR="006343E1">
        <w:t> </w:t>
      </w:r>
      <w:r w:rsidRPr="00254AB9">
        <w:t>wielu obszarach szeroko rozumianej polityki gospodarczej. Kluczowe będzie zarówno zapewnienie ogólnych warunków rozwoju przedsiębiorczości</w:t>
      </w:r>
      <w:r w:rsidR="006343E1">
        <w:t xml:space="preserve"> </w:t>
      </w:r>
      <w:r w:rsidR="006343E1" w:rsidRPr="00254AB9">
        <w:t>i</w:t>
      </w:r>
      <w:r w:rsidR="006343E1">
        <w:t> </w:t>
      </w:r>
      <w:r w:rsidRPr="00254AB9">
        <w:t>innowacyjności, jak</w:t>
      </w:r>
      <w:r w:rsidR="006343E1">
        <w:t xml:space="preserve"> </w:t>
      </w:r>
      <w:r w:rsidR="006343E1" w:rsidRPr="00254AB9">
        <w:t>i</w:t>
      </w:r>
      <w:r w:rsidR="006343E1">
        <w:t> </w:t>
      </w:r>
      <w:r w:rsidRPr="00254AB9">
        <w:t>indywidualne podejście do poszczególnych branż, oparte na specyfice każdej</w:t>
      </w:r>
      <w:r w:rsidR="006343E1">
        <w:t xml:space="preserve"> </w:t>
      </w:r>
      <w:r w:rsidR="006343E1" w:rsidRPr="00254AB9">
        <w:t>z</w:t>
      </w:r>
      <w:r w:rsidR="006343E1">
        <w:t> </w:t>
      </w:r>
      <w:r w:rsidRPr="00254AB9">
        <w:t>nich. Gospodarka nie jest monolitem mierzonym tylko</w:t>
      </w:r>
      <w:r w:rsidR="006343E1">
        <w:t xml:space="preserve"> </w:t>
      </w:r>
      <w:r w:rsidR="006343E1" w:rsidRPr="00254AB9">
        <w:t>i</w:t>
      </w:r>
      <w:r w:rsidR="006343E1">
        <w:t> </w:t>
      </w:r>
      <w:r w:rsidRPr="00254AB9">
        <w:t xml:space="preserve">wyłącznie przez zagregowany poziom PKB, ale skomplikowaną siecią wzajemnych powiązań pomiędzy poszczególnymi branżami. </w:t>
      </w:r>
      <w:r w:rsidR="004A5384">
        <w:t>To,</w:t>
      </w:r>
      <w:r w:rsidR="006343E1">
        <w:t xml:space="preserve"> </w:t>
      </w:r>
      <w:r w:rsidR="006343E1" w:rsidRPr="00254AB9">
        <w:t>w</w:t>
      </w:r>
      <w:r w:rsidR="006343E1">
        <w:t> </w:t>
      </w:r>
      <w:r w:rsidRPr="00254AB9">
        <w:t xml:space="preserve">jaki </w:t>
      </w:r>
      <w:r w:rsidR="004A5384">
        <w:t>s</w:t>
      </w:r>
      <w:r w:rsidR="004A5384" w:rsidRPr="00254AB9">
        <w:t xml:space="preserve">posób jest </w:t>
      </w:r>
      <w:r w:rsidRPr="00254AB9">
        <w:t>ułożona gospodarka</w:t>
      </w:r>
      <w:r w:rsidR="006343E1">
        <w:t xml:space="preserve"> </w:t>
      </w:r>
      <w:r w:rsidR="006343E1" w:rsidRPr="00254AB9">
        <w:t>i</w:t>
      </w:r>
      <w:r w:rsidR="006343E1">
        <w:t> </w:t>
      </w:r>
      <w:r w:rsidRPr="00254AB9">
        <w:t>z jakich elementów się składa</w:t>
      </w:r>
      <w:r w:rsidR="004A5384">
        <w:t>,</w:t>
      </w:r>
      <w:r w:rsidRPr="00254AB9">
        <w:t xml:space="preserve"> nie jest obojętny dla tempa rozwoju gospodarczego. Proces konwergencji, czyli doganiania gospodarek bogatszych przez gospodarki biedniejsze, nie jest procesem bezwarunkowym. </w:t>
      </w:r>
      <w:r w:rsidRPr="00254AB9">
        <w:rPr>
          <w:b/>
        </w:rPr>
        <w:t>Wewnętrzna struktura gospodarcza – udział różnych branż</w:t>
      </w:r>
      <w:r w:rsidR="006343E1">
        <w:rPr>
          <w:b/>
        </w:rPr>
        <w:t xml:space="preserve"> </w:t>
      </w:r>
      <w:r w:rsidR="006343E1" w:rsidRPr="00254AB9">
        <w:rPr>
          <w:b/>
        </w:rPr>
        <w:t>w</w:t>
      </w:r>
      <w:r w:rsidR="006343E1">
        <w:rPr>
          <w:b/>
        </w:rPr>
        <w:t> </w:t>
      </w:r>
      <w:r w:rsidRPr="00254AB9">
        <w:rPr>
          <w:b/>
        </w:rPr>
        <w:t>wytwarzaniu dobrobytu – jest</w:t>
      </w:r>
      <w:r w:rsidR="006343E1">
        <w:rPr>
          <w:b/>
        </w:rPr>
        <w:t xml:space="preserve"> </w:t>
      </w:r>
      <w:r w:rsidR="006343E1" w:rsidRPr="00254AB9">
        <w:rPr>
          <w:b/>
        </w:rPr>
        <w:t>z</w:t>
      </w:r>
      <w:r w:rsidR="006343E1">
        <w:rPr>
          <w:b/>
        </w:rPr>
        <w:t> </w:t>
      </w:r>
      <w:r w:rsidRPr="00254AB9">
        <w:rPr>
          <w:b/>
        </w:rPr>
        <w:t>jednej strony przejawem aktualnego poziomu rozwoju,</w:t>
      </w:r>
      <w:r w:rsidR="006343E1">
        <w:rPr>
          <w:b/>
        </w:rPr>
        <w:t xml:space="preserve"> </w:t>
      </w:r>
      <w:r w:rsidR="006343E1" w:rsidRPr="00254AB9">
        <w:rPr>
          <w:b/>
        </w:rPr>
        <w:t>a</w:t>
      </w:r>
      <w:r w:rsidR="006343E1">
        <w:rPr>
          <w:b/>
        </w:rPr>
        <w:t> </w:t>
      </w:r>
      <w:r w:rsidRPr="00254AB9">
        <w:rPr>
          <w:b/>
        </w:rPr>
        <w:t>z drugiej determinantą dalszego postępu. Dlatego skuteczna polityka gospodarcza powinna wspierać zarówno wzrost produktywności</w:t>
      </w:r>
      <w:r w:rsidR="006343E1">
        <w:rPr>
          <w:b/>
        </w:rPr>
        <w:t xml:space="preserve"> </w:t>
      </w:r>
      <w:r w:rsidR="006343E1" w:rsidRPr="00254AB9">
        <w:rPr>
          <w:b/>
        </w:rPr>
        <w:t>i</w:t>
      </w:r>
      <w:r w:rsidR="006343E1">
        <w:rPr>
          <w:b/>
        </w:rPr>
        <w:t> </w:t>
      </w:r>
      <w:r w:rsidRPr="00254AB9">
        <w:rPr>
          <w:b/>
        </w:rPr>
        <w:t>innowacyjności</w:t>
      </w:r>
      <w:r w:rsidR="006343E1">
        <w:rPr>
          <w:b/>
        </w:rPr>
        <w:t xml:space="preserve"> </w:t>
      </w:r>
      <w:r w:rsidR="006343E1" w:rsidRPr="00254AB9">
        <w:rPr>
          <w:b/>
        </w:rPr>
        <w:t>w</w:t>
      </w:r>
      <w:r w:rsidR="006343E1">
        <w:rPr>
          <w:b/>
        </w:rPr>
        <w:t> </w:t>
      </w:r>
      <w:r w:rsidRPr="00254AB9">
        <w:rPr>
          <w:b/>
        </w:rPr>
        <w:t>przekroju całej gospodarki, jak</w:t>
      </w:r>
      <w:r w:rsidR="006343E1">
        <w:rPr>
          <w:b/>
        </w:rPr>
        <w:t xml:space="preserve"> </w:t>
      </w:r>
      <w:r w:rsidR="006343E1" w:rsidRPr="00254AB9">
        <w:rPr>
          <w:b/>
        </w:rPr>
        <w:t>i</w:t>
      </w:r>
      <w:r w:rsidR="006343E1">
        <w:rPr>
          <w:b/>
        </w:rPr>
        <w:t> </w:t>
      </w:r>
      <w:r w:rsidRPr="00254AB9">
        <w:rPr>
          <w:b/>
        </w:rPr>
        <w:t>stymulować przesuwanie się zasobów pracy</w:t>
      </w:r>
      <w:r w:rsidR="006343E1">
        <w:rPr>
          <w:b/>
        </w:rPr>
        <w:t xml:space="preserve"> </w:t>
      </w:r>
      <w:r w:rsidR="006343E1" w:rsidRPr="00254AB9">
        <w:rPr>
          <w:b/>
        </w:rPr>
        <w:t>i</w:t>
      </w:r>
      <w:r w:rsidR="006343E1">
        <w:rPr>
          <w:b/>
        </w:rPr>
        <w:t> </w:t>
      </w:r>
      <w:r w:rsidRPr="00254AB9">
        <w:rPr>
          <w:b/>
        </w:rPr>
        <w:t>kapitału do sektorów wyróżniających się korzystniejszymi perspektywami w zakresie wzrostu produktywności, innowacyjności</w:t>
      </w:r>
      <w:r w:rsidR="006343E1">
        <w:rPr>
          <w:b/>
        </w:rPr>
        <w:t xml:space="preserve"> </w:t>
      </w:r>
      <w:r w:rsidR="006343E1" w:rsidRPr="00254AB9">
        <w:rPr>
          <w:b/>
        </w:rPr>
        <w:t>i</w:t>
      </w:r>
      <w:r w:rsidR="006343E1">
        <w:rPr>
          <w:b/>
        </w:rPr>
        <w:t> </w:t>
      </w:r>
      <w:r w:rsidRPr="00254AB9">
        <w:rPr>
          <w:b/>
        </w:rPr>
        <w:t>umiędzynarodowienia.</w:t>
      </w:r>
      <w:r w:rsidRPr="00254AB9">
        <w:t xml:space="preserve"> Państwo ma do dyspozycji szereg instrumentów m.in. regulacyjnych, podatkowych, inwestycyjnych</w:t>
      </w:r>
      <w:r w:rsidR="006343E1">
        <w:t xml:space="preserve"> </w:t>
      </w:r>
      <w:r w:rsidR="006343E1" w:rsidRPr="00254AB9">
        <w:t>i</w:t>
      </w:r>
      <w:r w:rsidR="006343E1">
        <w:t> </w:t>
      </w:r>
      <w:r w:rsidRPr="00254AB9">
        <w:t>właścicielskich. Wyzwanie polega na sprawnym i skoordynowanym zarządzaniu nimi</w:t>
      </w:r>
      <w:r w:rsidR="006343E1">
        <w:t xml:space="preserve"> </w:t>
      </w:r>
      <w:r w:rsidR="006343E1" w:rsidRPr="00254AB9">
        <w:t>w</w:t>
      </w:r>
      <w:r w:rsidR="006343E1">
        <w:t> </w:t>
      </w:r>
      <w:r w:rsidRPr="00254AB9">
        <w:t>poszczególnych obszarach polityki gospodarczej i przemysłowej tak, aby maksymalizować bodźce skłaniające podmioty życia gospodarczego do generowania</w:t>
      </w:r>
      <w:r w:rsidR="006343E1">
        <w:t xml:space="preserve"> </w:t>
      </w:r>
      <w:r w:rsidR="006343E1" w:rsidRPr="00254AB9">
        <w:t>i</w:t>
      </w:r>
      <w:r w:rsidR="006343E1">
        <w:t> </w:t>
      </w:r>
      <w:r w:rsidRPr="00254AB9">
        <w:t>komercjalizacji nowych idei oraz podejmowania ryzyka rozszerzania zakresu działalności.</w:t>
      </w:r>
    </w:p>
    <w:p w14:paraId="6E84D9ED" w14:textId="77777777" w:rsidR="008E15C9" w:rsidRPr="003D6D53" w:rsidRDefault="008E15C9" w:rsidP="008E15C9">
      <w:pPr>
        <w:pStyle w:val="Nagwek2"/>
      </w:pPr>
      <w:bookmarkStart w:id="7" w:name="_Toc511921170"/>
      <w:bookmarkStart w:id="8" w:name="_Toc31808486"/>
      <w:bookmarkStart w:id="9" w:name="_Toc106968769"/>
      <w:r w:rsidRPr="003D6D53">
        <w:t xml:space="preserve">Kontekst </w:t>
      </w:r>
      <w:r w:rsidRPr="002647FB">
        <w:t>międzynarodowy</w:t>
      </w:r>
      <w:r w:rsidRPr="003D6D53">
        <w:t>: „paradoks produktywności”</w:t>
      </w:r>
      <w:bookmarkEnd w:id="7"/>
      <w:bookmarkEnd w:id="8"/>
      <w:bookmarkEnd w:id="9"/>
    </w:p>
    <w:p w14:paraId="79A94477" w14:textId="26E74068" w:rsidR="008E15C9" w:rsidRDefault="008E15C9" w:rsidP="008E15C9">
      <w:r>
        <w:t>G</w:t>
      </w:r>
      <w:r w:rsidRPr="00254AB9">
        <w:t>łówne wyzwania rozwojowe stające przed Polską</w:t>
      </w:r>
      <w:r w:rsidR="006343E1">
        <w:t xml:space="preserve"> </w:t>
      </w:r>
      <w:r w:rsidR="006343E1" w:rsidRPr="00254AB9">
        <w:t>i</w:t>
      </w:r>
      <w:r w:rsidR="006343E1">
        <w:t> </w:t>
      </w:r>
      <w:r w:rsidRPr="00254AB9">
        <w:t>globalne megatrendy zostały opisane</w:t>
      </w:r>
      <w:r w:rsidR="006343E1">
        <w:t xml:space="preserve"> </w:t>
      </w:r>
      <w:r w:rsidR="006343E1" w:rsidRPr="00254AB9">
        <w:t>w</w:t>
      </w:r>
      <w:r w:rsidR="006343E1">
        <w:t> </w:t>
      </w:r>
      <w:r w:rsidRPr="00714B17">
        <w:rPr>
          <w:i/>
        </w:rPr>
        <w:t>Strategii na rzecz Odpowiedzialnego Rozwoju</w:t>
      </w:r>
      <w:r w:rsidRPr="00254AB9">
        <w:t xml:space="preserve"> (SOR), zatem nie ma potrzeby powtarzać ich</w:t>
      </w:r>
      <w:r w:rsidR="006343E1">
        <w:t xml:space="preserve"> </w:t>
      </w:r>
      <w:r w:rsidR="006343E1" w:rsidRPr="00254AB9">
        <w:t>w</w:t>
      </w:r>
      <w:r w:rsidR="006343E1">
        <w:t> </w:t>
      </w:r>
      <w:r w:rsidRPr="00254AB9">
        <w:t>niniejszej diagnozie. Warto natomiast zwrócić uwagę na zjawisko globalnego spowolnienia tempa wzrostu produktywności, które</w:t>
      </w:r>
      <w:r w:rsidR="006343E1">
        <w:t xml:space="preserve"> </w:t>
      </w:r>
      <w:r w:rsidR="006343E1" w:rsidRPr="00254AB9">
        <w:t>z</w:t>
      </w:r>
      <w:r w:rsidR="006343E1">
        <w:t> </w:t>
      </w:r>
      <w:r w:rsidRPr="00254AB9">
        <w:t>racji trudności jego wytłumaczenia</w:t>
      </w:r>
      <w:r w:rsidR="006343E1">
        <w:t xml:space="preserve"> </w:t>
      </w:r>
      <w:r w:rsidR="006343E1" w:rsidRPr="00254AB9">
        <w:t>w</w:t>
      </w:r>
      <w:r w:rsidR="006343E1">
        <w:t> </w:t>
      </w:r>
      <w:r w:rsidRPr="00254AB9">
        <w:t xml:space="preserve">kontekście tempa zachodzących zmian technologicznych dość powszechnie jest </w:t>
      </w:r>
      <w:r w:rsidR="004A5384" w:rsidRPr="00254AB9">
        <w:t xml:space="preserve">nazywane </w:t>
      </w:r>
      <w:r w:rsidRPr="00254AB9">
        <w:t xml:space="preserve">zagadką lub paradoksem produktywności (ang. </w:t>
      </w:r>
      <w:r w:rsidRPr="00714B17">
        <w:rPr>
          <w:i/>
        </w:rPr>
        <w:t>productivity puzzle / productivity paradox</w:t>
      </w:r>
      <w:r w:rsidRPr="00254AB9">
        <w:t>)</w:t>
      </w:r>
      <w:r w:rsidR="00477C54">
        <w:t>. Od </w:t>
      </w:r>
      <w:r w:rsidRPr="00254AB9">
        <w:t>końca lat 60</w:t>
      </w:r>
      <w:r w:rsidR="0066441F">
        <w:t>.</w:t>
      </w:r>
      <w:r w:rsidR="006343E1">
        <w:t xml:space="preserve"> </w:t>
      </w:r>
      <w:r w:rsidR="006343E1" w:rsidRPr="00254AB9">
        <w:t>w</w:t>
      </w:r>
      <w:r w:rsidR="006343E1">
        <w:t> </w:t>
      </w:r>
      <w:r w:rsidRPr="00254AB9">
        <w:t>USA</w:t>
      </w:r>
      <w:r w:rsidR="006343E1">
        <w:t xml:space="preserve"> </w:t>
      </w:r>
      <w:r w:rsidR="006343E1" w:rsidRPr="00254AB9">
        <w:t>i</w:t>
      </w:r>
      <w:r w:rsidR="006343E1">
        <w:t> </w:t>
      </w:r>
      <w:r w:rsidRPr="00254AB9">
        <w:t>Europie Zachodniej spada tempo wzrostu produktywności pomimo ewidentnego postępu technologicznego zwłaszcza</w:t>
      </w:r>
      <w:r w:rsidR="006343E1">
        <w:t xml:space="preserve"> </w:t>
      </w:r>
      <w:r w:rsidR="006343E1" w:rsidRPr="00254AB9">
        <w:t>w</w:t>
      </w:r>
      <w:r w:rsidR="006343E1">
        <w:t> </w:t>
      </w:r>
      <w:r w:rsidRPr="00254AB9">
        <w:t>sferze cyfryzacji, która, jak podpowiada zdrowy rozsądek, jest zjawiskiem pozwalającym tę produktywność radykalnie podnieść. Co więcej, spowolnienie tempa wzrostu produktywności pogłębiło się od początku XXI wieku. Średnioroczny wzrost wydajności pracy wciąż jest</w:t>
      </w:r>
      <w:r w:rsidR="006343E1">
        <w:t xml:space="preserve"> </w:t>
      </w:r>
      <w:r w:rsidR="006343E1" w:rsidRPr="00254AB9">
        <w:t>w</w:t>
      </w:r>
      <w:r w:rsidR="006343E1">
        <w:t> </w:t>
      </w:r>
      <w:r w:rsidRPr="00254AB9">
        <w:t>większości krajów dodatni, natomiast średnioroczna zmiana TFP dla dość licznej grupy państw</w:t>
      </w:r>
      <w:r w:rsidR="006343E1">
        <w:t xml:space="preserve"> </w:t>
      </w:r>
      <w:r w:rsidR="006343E1" w:rsidRPr="00254AB9">
        <w:t>w</w:t>
      </w:r>
      <w:r w:rsidR="006343E1">
        <w:t> </w:t>
      </w:r>
      <w:r w:rsidRPr="00254AB9">
        <w:t>okresie 2007</w:t>
      </w:r>
      <w:r w:rsidR="004A5384">
        <w:rPr>
          <w:rFonts w:ascii="Times New Roman" w:hAnsi="Times New Roman" w:cs="Times New Roman"/>
        </w:rPr>
        <w:t>–</w:t>
      </w:r>
      <w:r w:rsidRPr="00254AB9">
        <w:t xml:space="preserve">2016 okazała się już ujemna (wykresy </w:t>
      </w:r>
      <w:r>
        <w:t>3</w:t>
      </w:r>
      <w:r w:rsidR="006343E1">
        <w:t xml:space="preserve"> </w:t>
      </w:r>
      <w:r w:rsidR="006343E1" w:rsidRPr="00254AB9">
        <w:t>i</w:t>
      </w:r>
      <w:r w:rsidR="006343E1">
        <w:t> </w:t>
      </w:r>
      <w:r>
        <w:t>4</w:t>
      </w:r>
      <w:r w:rsidRPr="00254AB9">
        <w:t>). Polskę na tle innych państw cechują relatywnie wysokie wartości średniorocznego wzrostu produktywności, również</w:t>
      </w:r>
      <w:r w:rsidR="006343E1">
        <w:t xml:space="preserve"> </w:t>
      </w:r>
      <w:r w:rsidR="006343E1" w:rsidRPr="00254AB9">
        <w:t>w</w:t>
      </w:r>
      <w:r w:rsidR="006343E1">
        <w:t> </w:t>
      </w:r>
      <w:r w:rsidRPr="00254AB9">
        <w:t>porównaniu do innych państw Europy Środkowej</w:t>
      </w:r>
      <w:r w:rsidR="006343E1">
        <w:t xml:space="preserve"> </w:t>
      </w:r>
      <w:r w:rsidR="006343E1" w:rsidRPr="00254AB9">
        <w:t>i</w:t>
      </w:r>
      <w:r w:rsidR="006343E1">
        <w:t> </w:t>
      </w:r>
      <w:r w:rsidRPr="00254AB9">
        <w:t>Wschodniej mających status krajów nadrabiających zaległości</w:t>
      </w:r>
      <w:r w:rsidR="006343E1">
        <w:t xml:space="preserve"> </w:t>
      </w:r>
      <w:r w:rsidR="006343E1" w:rsidRPr="000C5EEF">
        <w:t>w</w:t>
      </w:r>
      <w:r w:rsidR="006343E1">
        <w:t> </w:t>
      </w:r>
      <w:r w:rsidRPr="000C5EEF">
        <w:t>stosunku do krajów Europy Zachodniej</w:t>
      </w:r>
      <w:r>
        <w:t>.</w:t>
      </w:r>
      <w:r w:rsidRPr="00254AB9">
        <w:t xml:space="preserve"> Ma to pokrycie</w:t>
      </w:r>
      <w:r w:rsidR="006343E1">
        <w:t xml:space="preserve"> </w:t>
      </w:r>
      <w:r w:rsidR="006343E1" w:rsidRPr="00254AB9">
        <w:t>w</w:t>
      </w:r>
      <w:r w:rsidR="006343E1">
        <w:t> </w:t>
      </w:r>
      <w:r w:rsidRPr="00254AB9">
        <w:t>danych statystycznych</w:t>
      </w:r>
      <w:r w:rsidR="006343E1">
        <w:t xml:space="preserve"> </w:t>
      </w:r>
      <w:r w:rsidR="006343E1" w:rsidRPr="00254AB9">
        <w:t>o</w:t>
      </w:r>
      <w:r w:rsidR="006343E1">
        <w:t> </w:t>
      </w:r>
      <w:r w:rsidRPr="00254AB9">
        <w:t>strukturze zatrudnienia oraz wartości dodanej, wskazujących</w:t>
      </w:r>
      <w:r w:rsidR="00477C54">
        <w:t>, że </w:t>
      </w:r>
      <w:r w:rsidR="006343E1" w:rsidRPr="00254AB9">
        <w:t>w</w:t>
      </w:r>
      <w:r w:rsidR="006343E1">
        <w:t> </w:t>
      </w:r>
      <w:r w:rsidRPr="00254AB9">
        <w:t>polskiej gospodarce realnie zachodzi zmiana strukturalna. Z drugiej strony należy pamiętać</w:t>
      </w:r>
      <w:r w:rsidR="00477C54">
        <w:t>, że </w:t>
      </w:r>
      <w:r w:rsidRPr="00254AB9">
        <w:t>wysoka stopa wzrostu do pewnego stopnia jest pochodną niskiej wartości początkowej</w:t>
      </w:r>
      <w:r w:rsidR="006343E1">
        <w:t xml:space="preserve"> </w:t>
      </w:r>
      <w:r w:rsidR="006343E1" w:rsidRPr="00254AB9">
        <w:t>i</w:t>
      </w:r>
      <w:r w:rsidR="006343E1">
        <w:t> </w:t>
      </w:r>
      <w:r w:rsidRPr="00254AB9">
        <w:t>jeśli chcemy to zadawalające tempo utrzymać, musimy wykorzystać nowe źródła zwiększania produktywności. Kwestia ta została w SOR opisana</w:t>
      </w:r>
      <w:r w:rsidR="006343E1">
        <w:t xml:space="preserve"> </w:t>
      </w:r>
      <w:r w:rsidR="006343E1" w:rsidRPr="00254AB9">
        <w:t>w</w:t>
      </w:r>
      <w:r w:rsidR="006343E1">
        <w:t> </w:t>
      </w:r>
      <w:r w:rsidRPr="00254AB9">
        <w:t>ramach modelu pięciu pułapek rozwojowych</w:t>
      </w:r>
      <w:r w:rsidR="009239C5">
        <w:t>,</w:t>
      </w:r>
      <w:r w:rsidR="006343E1">
        <w:t xml:space="preserve"> </w:t>
      </w:r>
      <w:r w:rsidR="006343E1" w:rsidRPr="00254AB9">
        <w:t>a</w:t>
      </w:r>
      <w:r w:rsidR="006343E1">
        <w:t> </w:t>
      </w:r>
      <w:r w:rsidRPr="00254AB9">
        <w:t xml:space="preserve"> poprawność postawionej tam diagnozy potwierdzają również ustalenia</w:t>
      </w:r>
      <w:r w:rsidR="006343E1">
        <w:t xml:space="preserve"> </w:t>
      </w:r>
      <w:r w:rsidR="006343E1" w:rsidRPr="00254AB9">
        <w:t>z</w:t>
      </w:r>
      <w:r w:rsidR="006343E1">
        <w:t> </w:t>
      </w:r>
      <w:r w:rsidRPr="00254AB9">
        <w:t>innych procesów badawczych. Przykładowo,</w:t>
      </w:r>
      <w:r w:rsidR="006343E1">
        <w:t xml:space="preserve"> </w:t>
      </w:r>
      <w:r w:rsidR="006343E1" w:rsidRPr="00254AB9">
        <w:t>w</w:t>
      </w:r>
      <w:r w:rsidR="006343E1">
        <w:t> </w:t>
      </w:r>
      <w:r w:rsidRPr="00254AB9">
        <w:t>raporcie Komisji Europejskiej nt. innowacyjności</w:t>
      </w:r>
      <w:r w:rsidR="006343E1">
        <w:t xml:space="preserve"> </w:t>
      </w:r>
      <w:r w:rsidR="006343E1" w:rsidRPr="00254AB9">
        <w:t>w</w:t>
      </w:r>
      <w:r w:rsidR="006343E1">
        <w:t> </w:t>
      </w:r>
      <w:r w:rsidRPr="00254AB9">
        <w:t>Europie wskazano – dla grupy państw</w:t>
      </w:r>
      <w:r w:rsidR="006343E1">
        <w:t xml:space="preserve"> </w:t>
      </w:r>
      <w:r w:rsidR="006343E1" w:rsidRPr="00254AB9">
        <w:t>o</w:t>
      </w:r>
      <w:r w:rsidR="006343E1">
        <w:t> </w:t>
      </w:r>
      <w:r w:rsidRPr="00254AB9">
        <w:t xml:space="preserve">wysokim PKB – na wyraźną korelację pomiędzy intensywnością </w:t>
      </w:r>
      <w:r>
        <w:t>nakładów</w:t>
      </w:r>
      <w:r w:rsidRPr="00254AB9">
        <w:t xml:space="preserve"> na </w:t>
      </w:r>
      <w:r>
        <w:t xml:space="preserve">działalność </w:t>
      </w:r>
      <w:r w:rsidRPr="00254AB9">
        <w:t>B+R</w:t>
      </w:r>
      <w:r w:rsidR="006343E1">
        <w:t xml:space="preserve"> </w:t>
      </w:r>
      <w:r w:rsidR="006343E1" w:rsidRPr="00254AB9">
        <w:t>a</w:t>
      </w:r>
      <w:r w:rsidR="006343E1">
        <w:t> </w:t>
      </w:r>
      <w:r w:rsidRPr="00254AB9">
        <w:t>wzrostem TFP</w:t>
      </w:r>
      <w:r w:rsidR="006343E1">
        <w:t xml:space="preserve"> </w:t>
      </w:r>
      <w:r w:rsidR="006343E1" w:rsidRPr="00254AB9">
        <w:t>w</w:t>
      </w:r>
      <w:r w:rsidR="006343E1">
        <w:t> </w:t>
      </w:r>
      <w:r w:rsidR="009239C5" w:rsidRPr="00254AB9">
        <w:t xml:space="preserve">kolejnych </w:t>
      </w:r>
      <w:r w:rsidRPr="00254AB9">
        <w:t>latach.</w:t>
      </w:r>
      <w:r w:rsidR="006343E1">
        <w:t xml:space="preserve"> </w:t>
      </w:r>
      <w:r w:rsidR="006343E1" w:rsidRPr="00254AB9">
        <w:t>W</w:t>
      </w:r>
      <w:r w:rsidR="006343E1">
        <w:t> </w:t>
      </w:r>
      <w:r w:rsidRPr="00254AB9">
        <w:t>grupie państw Europy Środkowej</w:t>
      </w:r>
      <w:r w:rsidR="006343E1">
        <w:t xml:space="preserve"> </w:t>
      </w:r>
      <w:r w:rsidR="006343E1" w:rsidRPr="00254AB9">
        <w:t>i</w:t>
      </w:r>
      <w:r w:rsidR="006343E1">
        <w:t> </w:t>
      </w:r>
      <w:r w:rsidRPr="00254AB9">
        <w:t>Wschodniej taka korelacja nie występowała, co sugeruje</w:t>
      </w:r>
      <w:r w:rsidR="00477C54">
        <w:t>, że </w:t>
      </w:r>
      <w:r w:rsidRPr="00254AB9">
        <w:t>wzrost TFP był oparty na czynnikach mniej ściśle powiązanych</w:t>
      </w:r>
      <w:r w:rsidR="006343E1">
        <w:t xml:space="preserve"> </w:t>
      </w:r>
      <w:r w:rsidR="006343E1" w:rsidRPr="00254AB9">
        <w:t>z</w:t>
      </w:r>
      <w:r w:rsidR="006343E1">
        <w:t> </w:t>
      </w:r>
      <w:r w:rsidRPr="00254AB9">
        <w:t>innowacyjnością, takich jak inwestycje zagraniczne, import technologii czy poprawa dostępu do wewnętrznych</w:t>
      </w:r>
      <w:r w:rsidR="006343E1">
        <w:t xml:space="preserve"> </w:t>
      </w:r>
      <w:r w:rsidR="006343E1" w:rsidRPr="00254AB9">
        <w:t>i</w:t>
      </w:r>
      <w:r w:rsidR="006343E1">
        <w:t> </w:t>
      </w:r>
      <w:r w:rsidRPr="00254AB9">
        <w:t>zewnętrznych rynków. Zdaniem autorów raportu bez zwiększenia zdolności innowacyjnej tych gospodarek dalszy wzrost TFP może być trudny do utrzymania (EC 2018, s. 51).</w:t>
      </w:r>
    </w:p>
    <w:tbl>
      <w:tblPr>
        <w:tblW w:w="8931" w:type="dxa"/>
        <w:tblInd w:w="108" w:type="dxa"/>
        <w:tblLayout w:type="fixed"/>
        <w:tblLook w:val="04A0" w:firstRow="1" w:lastRow="0" w:firstColumn="1" w:lastColumn="0" w:noHBand="0" w:noVBand="1"/>
      </w:tblPr>
      <w:tblGrid>
        <w:gridCol w:w="8931"/>
      </w:tblGrid>
      <w:tr w:rsidR="008E15C9" w:rsidRPr="00254AB9" w14:paraId="43B865AC" w14:textId="77777777" w:rsidTr="008E15C9">
        <w:tc>
          <w:tcPr>
            <w:tcW w:w="8931" w:type="dxa"/>
            <w:shd w:val="clear" w:color="auto" w:fill="auto"/>
          </w:tcPr>
          <w:p w14:paraId="6DB494AB" w14:textId="55DC9275" w:rsidR="008E15C9" w:rsidRPr="00254AB9" w:rsidRDefault="008E15C9" w:rsidP="00714B17">
            <w:pPr>
              <w:pStyle w:val="Nagwek4"/>
              <w:ind w:left="918" w:hanging="850"/>
              <w:rPr>
                <w:rStyle w:val="Pogrubienie"/>
                <w:rFonts w:cs="Calibri"/>
                <w:szCs w:val="21"/>
              </w:rPr>
            </w:pPr>
            <w:r w:rsidRPr="00254AB9">
              <w:lastRenderedPageBreak/>
              <w:t xml:space="preserve">Wykres </w:t>
            </w:r>
            <w:r w:rsidR="00C8306C">
              <w:rPr>
                <w:noProof/>
              </w:rPr>
              <w:fldChar w:fldCharType="begin"/>
            </w:r>
            <w:r w:rsidR="00C8306C">
              <w:rPr>
                <w:noProof/>
              </w:rPr>
              <w:instrText xml:space="preserve"> SEQ Rysunek \* ARABIC </w:instrText>
            </w:r>
            <w:r w:rsidR="00C8306C">
              <w:rPr>
                <w:noProof/>
              </w:rPr>
              <w:fldChar w:fldCharType="separate"/>
            </w:r>
            <w:r w:rsidRPr="00254AB9">
              <w:rPr>
                <w:noProof/>
              </w:rPr>
              <w:t>3</w:t>
            </w:r>
            <w:r w:rsidR="00C8306C">
              <w:rPr>
                <w:noProof/>
              </w:rPr>
              <w:fldChar w:fldCharType="end"/>
            </w:r>
            <w:r w:rsidRPr="00254AB9">
              <w:t xml:space="preserve">. Wydajność pracy jako PKB na przepracowaną godzinę </w:t>
            </w:r>
            <w:r w:rsidR="009239C5">
              <w:rPr>
                <w:rFonts w:ascii="Times New Roman" w:hAnsi="Times New Roman" w:cs="Times New Roman"/>
              </w:rPr>
              <w:t>–</w:t>
            </w:r>
            <w:r w:rsidRPr="00254AB9">
              <w:t xml:space="preserve"> skumulowany roczny wskaźnik wzrostu</w:t>
            </w:r>
            <w:r w:rsidR="006343E1">
              <w:t xml:space="preserve"> </w:t>
            </w:r>
            <w:r w:rsidR="006343E1" w:rsidRPr="000C5EEF">
              <w:t>w</w:t>
            </w:r>
            <w:r w:rsidR="006343E1">
              <w:t> </w:t>
            </w:r>
            <w:r w:rsidRPr="000C5EEF">
              <w:t>latach</w:t>
            </w:r>
            <w:r w:rsidRPr="00254AB9">
              <w:t xml:space="preserve"> 2007</w:t>
            </w:r>
            <w:r w:rsidR="009239C5">
              <w:rPr>
                <w:rFonts w:ascii="Times New Roman" w:hAnsi="Times New Roman" w:cs="Times New Roman"/>
              </w:rPr>
              <w:t>–</w:t>
            </w:r>
            <w:r w:rsidRPr="00254AB9">
              <w:t>2016 (PPS</w:t>
            </w:r>
            <w:r w:rsidR="006343E1">
              <w:t xml:space="preserve"> </w:t>
            </w:r>
            <w:r w:rsidR="006343E1" w:rsidRPr="00254AB9">
              <w:t>w</w:t>
            </w:r>
            <w:r w:rsidR="006343E1">
              <w:t> </w:t>
            </w:r>
            <w:r w:rsidRPr="00254AB9">
              <w:t>EUR, ceny</w:t>
            </w:r>
            <w:r w:rsidR="006343E1">
              <w:t xml:space="preserve"> </w:t>
            </w:r>
            <w:r w:rsidR="006343E1" w:rsidRPr="00254AB9">
              <w:t>i</w:t>
            </w:r>
            <w:r w:rsidR="006343E1">
              <w:t> </w:t>
            </w:r>
            <w:r w:rsidRPr="00254AB9">
              <w:t>kursy</w:t>
            </w:r>
            <w:r w:rsidR="006343E1">
              <w:t xml:space="preserve"> </w:t>
            </w:r>
            <w:r w:rsidR="006343E1" w:rsidRPr="00254AB9">
              <w:t>z</w:t>
            </w:r>
            <w:r w:rsidR="006343E1">
              <w:t> </w:t>
            </w:r>
            <w:r w:rsidRPr="00254AB9">
              <w:t>2010 r.)</w:t>
            </w:r>
          </w:p>
        </w:tc>
      </w:tr>
      <w:tr w:rsidR="008E15C9" w:rsidRPr="00254AB9" w14:paraId="5D8FEAF1" w14:textId="77777777" w:rsidTr="008E15C9">
        <w:tc>
          <w:tcPr>
            <w:tcW w:w="8931" w:type="dxa"/>
            <w:shd w:val="clear" w:color="auto" w:fill="auto"/>
          </w:tcPr>
          <w:p w14:paraId="14215393" w14:textId="77777777" w:rsidR="008E15C9" w:rsidRPr="00254AB9" w:rsidRDefault="008E15C9" w:rsidP="008E15C9">
            <w:pPr>
              <w:spacing w:after="0" w:line="240" w:lineRule="auto"/>
              <w:rPr>
                <w:rFonts w:cs="Calibri"/>
                <w:sz w:val="21"/>
                <w:szCs w:val="21"/>
              </w:rPr>
            </w:pPr>
            <w:r>
              <w:rPr>
                <w:rFonts w:cs="Calibri"/>
                <w:noProof/>
                <w:sz w:val="21"/>
                <w:szCs w:val="21"/>
                <w:lang w:eastAsia="pl-PL"/>
              </w:rPr>
              <w:drawing>
                <wp:inline distT="0" distB="0" distL="0" distR="0" wp14:anchorId="7A6569AC" wp14:editId="1F93F62E">
                  <wp:extent cx="5330825" cy="2812415"/>
                  <wp:effectExtent l="0" t="0" r="3175" b="6985"/>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665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30825" cy="2812415"/>
                          </a:xfrm>
                          <a:prstGeom prst="rect">
                            <a:avLst/>
                          </a:prstGeom>
                          <a:noFill/>
                          <a:ln>
                            <a:noFill/>
                          </a:ln>
                        </pic:spPr>
                      </pic:pic>
                    </a:graphicData>
                  </a:graphic>
                </wp:inline>
              </w:drawing>
            </w:r>
          </w:p>
        </w:tc>
      </w:tr>
      <w:tr w:rsidR="008E15C9" w:rsidRPr="00254AB9" w14:paraId="10B7104F" w14:textId="77777777" w:rsidTr="008E15C9">
        <w:tc>
          <w:tcPr>
            <w:tcW w:w="8931" w:type="dxa"/>
            <w:shd w:val="clear" w:color="auto" w:fill="auto"/>
          </w:tcPr>
          <w:p w14:paraId="753516C2" w14:textId="334FD474" w:rsidR="008E15C9" w:rsidRPr="00254AB9" w:rsidRDefault="008E15C9" w:rsidP="003A5EA7">
            <w:pPr>
              <w:pStyle w:val="Nagwek4"/>
              <w:rPr>
                <w:noProof/>
                <w:lang w:eastAsia="pl-PL"/>
              </w:rPr>
            </w:pPr>
            <w:r w:rsidRPr="00254AB9">
              <w:t xml:space="preserve">Wykres </w:t>
            </w:r>
            <w:r w:rsidR="00C8306C">
              <w:rPr>
                <w:noProof/>
              </w:rPr>
              <w:fldChar w:fldCharType="begin"/>
            </w:r>
            <w:r w:rsidR="00C8306C">
              <w:rPr>
                <w:noProof/>
              </w:rPr>
              <w:instrText xml:space="preserve"> SEQ Rysunek \* ARABIC </w:instrText>
            </w:r>
            <w:r w:rsidR="00C8306C">
              <w:rPr>
                <w:noProof/>
              </w:rPr>
              <w:fldChar w:fldCharType="separate"/>
            </w:r>
            <w:r w:rsidRPr="00254AB9">
              <w:rPr>
                <w:noProof/>
              </w:rPr>
              <w:t>4</w:t>
            </w:r>
            <w:r w:rsidR="00C8306C">
              <w:rPr>
                <w:noProof/>
              </w:rPr>
              <w:fldChar w:fldCharType="end"/>
            </w:r>
            <w:r w:rsidRPr="00254AB9">
              <w:t xml:space="preserve">. TFP </w:t>
            </w:r>
            <w:r w:rsidR="009239C5">
              <w:rPr>
                <w:rFonts w:ascii="Times New Roman" w:hAnsi="Times New Roman" w:cs="Times New Roman"/>
              </w:rPr>
              <w:t>–</w:t>
            </w:r>
            <w:r w:rsidRPr="00254AB9">
              <w:t xml:space="preserve"> skumulowany roczny wskaźnik wzrostu</w:t>
            </w:r>
            <w:r w:rsidR="006343E1">
              <w:t xml:space="preserve"> </w:t>
            </w:r>
            <w:r w:rsidR="006343E1" w:rsidRPr="000C5EEF">
              <w:t>w</w:t>
            </w:r>
            <w:r w:rsidR="006343E1">
              <w:t> </w:t>
            </w:r>
            <w:r w:rsidRPr="000C5EEF">
              <w:t>latach</w:t>
            </w:r>
            <w:r w:rsidRPr="00254AB9">
              <w:t xml:space="preserve"> 2007</w:t>
            </w:r>
            <w:r w:rsidR="009239C5">
              <w:rPr>
                <w:rFonts w:ascii="Times New Roman" w:hAnsi="Times New Roman" w:cs="Times New Roman"/>
              </w:rPr>
              <w:t>–</w:t>
            </w:r>
            <w:r w:rsidRPr="00254AB9">
              <w:t>2016</w:t>
            </w:r>
          </w:p>
        </w:tc>
      </w:tr>
      <w:tr w:rsidR="008E15C9" w:rsidRPr="00254AB9" w14:paraId="4D58C9C7" w14:textId="77777777" w:rsidTr="008E15C9">
        <w:tc>
          <w:tcPr>
            <w:tcW w:w="8931" w:type="dxa"/>
            <w:shd w:val="clear" w:color="auto" w:fill="auto"/>
          </w:tcPr>
          <w:p w14:paraId="59F955AE" w14:textId="77777777" w:rsidR="008E15C9" w:rsidRPr="00254AB9" w:rsidRDefault="008E15C9" w:rsidP="008E15C9">
            <w:pPr>
              <w:spacing w:after="0" w:line="240" w:lineRule="auto"/>
              <w:rPr>
                <w:rFonts w:cs="Calibri"/>
                <w:sz w:val="21"/>
                <w:szCs w:val="21"/>
              </w:rPr>
            </w:pPr>
            <w:r>
              <w:rPr>
                <w:rFonts w:cs="Calibri"/>
                <w:noProof/>
                <w:sz w:val="21"/>
                <w:szCs w:val="21"/>
                <w:lang w:eastAsia="pl-PL"/>
              </w:rPr>
              <w:drawing>
                <wp:inline distT="0" distB="0" distL="0" distR="0" wp14:anchorId="0A57FE95" wp14:editId="6CCE529F">
                  <wp:extent cx="5330825" cy="2682875"/>
                  <wp:effectExtent l="0" t="0" r="3175" b="3175"/>
                  <wp:docPr id="58"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664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30825" cy="2682875"/>
                          </a:xfrm>
                          <a:prstGeom prst="rect">
                            <a:avLst/>
                          </a:prstGeom>
                          <a:noFill/>
                          <a:ln>
                            <a:noFill/>
                          </a:ln>
                        </pic:spPr>
                      </pic:pic>
                    </a:graphicData>
                  </a:graphic>
                </wp:inline>
              </w:drawing>
            </w:r>
          </w:p>
        </w:tc>
      </w:tr>
      <w:tr w:rsidR="008E15C9" w:rsidRPr="00254AB9" w14:paraId="0FB35A51" w14:textId="77777777" w:rsidTr="008E15C9">
        <w:tc>
          <w:tcPr>
            <w:tcW w:w="8931" w:type="dxa"/>
            <w:shd w:val="clear" w:color="auto" w:fill="auto"/>
          </w:tcPr>
          <w:p w14:paraId="6241C1C4" w14:textId="77777777" w:rsidR="008E15C9" w:rsidRPr="00254AB9" w:rsidRDefault="008E15C9" w:rsidP="008E15C9">
            <w:pPr>
              <w:pStyle w:val="Bezodstpw"/>
              <w:rPr>
                <w:noProof/>
                <w:lang w:eastAsia="pl-PL"/>
              </w:rPr>
            </w:pPr>
            <w:r w:rsidRPr="00254AB9">
              <w:rPr>
                <w:noProof/>
                <w:lang w:eastAsia="pl-PL"/>
              </w:rPr>
              <w:t>Źródło: EC (2018)</w:t>
            </w:r>
          </w:p>
        </w:tc>
      </w:tr>
    </w:tbl>
    <w:p w14:paraId="6E9C8E4B" w14:textId="42BC78E6" w:rsidR="008E15C9" w:rsidRPr="00254AB9" w:rsidRDefault="008E15C9" w:rsidP="008E15C9">
      <w:r w:rsidRPr="00254AB9">
        <w:t>Globalne spowolnienie tempa wzrostu produktywności</w:t>
      </w:r>
      <w:r w:rsidR="006343E1">
        <w:t xml:space="preserve"> </w:t>
      </w:r>
      <w:r w:rsidR="006343E1" w:rsidRPr="00254AB9">
        <w:t>w</w:t>
      </w:r>
      <w:r w:rsidR="006343E1">
        <w:t> </w:t>
      </w:r>
      <w:r w:rsidRPr="00254AB9">
        <w:t>państwach rozwiniętych wywołuje ożywioną dyskusję</w:t>
      </w:r>
      <w:r w:rsidR="006343E1">
        <w:t xml:space="preserve"> </w:t>
      </w:r>
      <w:r w:rsidR="006343E1" w:rsidRPr="00254AB9">
        <w:t>w</w:t>
      </w:r>
      <w:r w:rsidR="006343E1">
        <w:t> </w:t>
      </w:r>
      <w:r w:rsidRPr="00254AB9">
        <w:t>kwestii jego przyczyn. Proponowane wyjaśnienia</w:t>
      </w:r>
      <w:r w:rsidR="006343E1">
        <w:t xml:space="preserve"> </w:t>
      </w:r>
      <w:r w:rsidR="006343E1" w:rsidRPr="00254AB9">
        <w:t>o</w:t>
      </w:r>
      <w:r w:rsidR="006343E1">
        <w:t> </w:t>
      </w:r>
      <w:r w:rsidRPr="00254AB9">
        <w:t>charakterze pesymistycznym obejmują wyczerpanie się najlepszych źródeł innowacji oraz nieusuwalne</w:t>
      </w:r>
      <w:r w:rsidR="009239C5">
        <w:t>,</w:t>
      </w:r>
      <w:r w:rsidRPr="00254AB9">
        <w:t xml:space="preserve"> być może, błędy w pomiarze produktywności. Najczęstszym wyjaśnieniem typu optymistycznego jest stwierdzenie</w:t>
      </w:r>
      <w:r w:rsidR="00477C54">
        <w:t>, że </w:t>
      </w:r>
      <w:r w:rsidRPr="00254AB9">
        <w:t>efekt nowych technologii pojawia się zarówno</w:t>
      </w:r>
      <w:r w:rsidR="006343E1">
        <w:t xml:space="preserve"> </w:t>
      </w:r>
      <w:r w:rsidR="006343E1" w:rsidRPr="00254AB9">
        <w:t>w</w:t>
      </w:r>
      <w:r w:rsidR="006343E1">
        <w:t> </w:t>
      </w:r>
      <w:r w:rsidRPr="00254AB9">
        <w:t>gospodarce</w:t>
      </w:r>
      <w:r w:rsidR="008E4E54">
        <w:t>,</w:t>
      </w:r>
      <w:r w:rsidRPr="00254AB9">
        <w:t xml:space="preserve"> jak</w:t>
      </w:r>
      <w:r w:rsidR="006343E1">
        <w:t xml:space="preserve"> </w:t>
      </w:r>
      <w:r w:rsidR="006343E1" w:rsidRPr="00254AB9">
        <w:t>i</w:t>
      </w:r>
      <w:r w:rsidR="006343E1">
        <w:t> </w:t>
      </w:r>
      <w:r w:rsidRPr="00254AB9">
        <w:t>w statystykach</w:t>
      </w:r>
      <w:r w:rsidR="006343E1">
        <w:t xml:space="preserve"> </w:t>
      </w:r>
      <w:r w:rsidR="006343E1" w:rsidRPr="00254AB9">
        <w:t>z</w:t>
      </w:r>
      <w:r w:rsidR="006343E1">
        <w:t> </w:t>
      </w:r>
      <w:r w:rsidRPr="00254AB9">
        <w:t>dużym opóźnieniem. Niedawne studium McKinsey (2018, s. 11</w:t>
      </w:r>
      <w:r w:rsidR="006343E1">
        <w:t xml:space="preserve"> </w:t>
      </w:r>
      <w:r w:rsidR="006343E1" w:rsidRPr="00254AB9">
        <w:t>i</w:t>
      </w:r>
      <w:r w:rsidR="006343E1">
        <w:t> </w:t>
      </w:r>
      <w:r w:rsidRPr="00254AB9">
        <w:t>następne) rozszerza tę argumentację</w:t>
      </w:r>
      <w:r w:rsidR="009239C5">
        <w:t>,</w:t>
      </w:r>
      <w:r w:rsidRPr="00254AB9">
        <w:t xml:space="preserve"> wskazując</w:t>
      </w:r>
      <w:r w:rsidR="00477C54">
        <w:t>, że </w:t>
      </w:r>
      <w:r w:rsidRPr="00254AB9">
        <w:t>opóźnienie efektu wdrożenia technologii względem jej pojawienia się na świecie jest jedną</w:t>
      </w:r>
      <w:r w:rsidR="006343E1">
        <w:t xml:space="preserve"> </w:t>
      </w:r>
      <w:r w:rsidR="006343E1" w:rsidRPr="00254AB9">
        <w:t>z</w:t>
      </w:r>
      <w:r w:rsidR="006343E1">
        <w:t> </w:t>
      </w:r>
      <w:r w:rsidRPr="00254AB9">
        <w:t>trzech głównych przyczyn paradoksu produktywności</w:t>
      </w:r>
      <w:r w:rsidR="006343E1">
        <w:t xml:space="preserve"> </w:t>
      </w:r>
      <w:r w:rsidR="006343E1" w:rsidRPr="00254AB9">
        <w:t>o</w:t>
      </w:r>
      <w:r w:rsidR="006343E1">
        <w:t> </w:t>
      </w:r>
      <w:r w:rsidRPr="00254AB9">
        <w:t>charakterze strukturalnym. Pozostałe dwie to trudności przeciętnych firm</w:t>
      </w:r>
      <w:r w:rsidR="006343E1">
        <w:t xml:space="preserve"> </w:t>
      </w:r>
      <w:r w:rsidR="006343E1" w:rsidRPr="00254AB9">
        <w:t>z</w:t>
      </w:r>
      <w:r w:rsidR="006343E1">
        <w:t> </w:t>
      </w:r>
      <w:r w:rsidRPr="00254AB9">
        <w:t xml:space="preserve">uzyskaniem dostępu do najnowszych technologii oraz koszty przestawienia się na cyfrowy model działania (np. koszt </w:t>
      </w:r>
      <w:r>
        <w:t>zwrócenia</w:t>
      </w:r>
      <w:r w:rsidRPr="00254AB9">
        <w:t xml:space="preserve"> uwagi zarządu</w:t>
      </w:r>
      <w:r>
        <w:t xml:space="preserve"> na potrzebę modernizacji</w:t>
      </w:r>
      <w:r w:rsidRPr="00254AB9">
        <w:t>, konieczność równoległego utrzymywania modelu tradycyjnego</w:t>
      </w:r>
      <w:r w:rsidR="006343E1">
        <w:t xml:space="preserve"> </w:t>
      </w:r>
      <w:r w:rsidR="006343E1" w:rsidRPr="00254AB9">
        <w:t>i</w:t>
      </w:r>
      <w:r w:rsidR="006343E1">
        <w:t> </w:t>
      </w:r>
      <w:r w:rsidRPr="00254AB9">
        <w:t>cyfrowego</w:t>
      </w:r>
      <w:r w:rsidR="006343E1">
        <w:t xml:space="preserve"> </w:t>
      </w:r>
      <w:r w:rsidR="006343E1" w:rsidRPr="00254AB9">
        <w:t>w</w:t>
      </w:r>
      <w:r w:rsidR="006343E1">
        <w:t> </w:t>
      </w:r>
      <w:r w:rsidRPr="00254AB9">
        <w:t>okresie przejściowym). Oprócz tego znaczenie mają czynniki koniunkturalne, takie jak recesje wywołane pęk</w:t>
      </w:r>
      <w:r>
        <w:t>an</w:t>
      </w:r>
      <w:r w:rsidRPr="00254AB9">
        <w:t xml:space="preserve">iem baniek na rynku technologicznym </w:t>
      </w:r>
      <w:r w:rsidRPr="00254AB9">
        <w:lastRenderedPageBreak/>
        <w:t>(</w:t>
      </w:r>
      <w:r>
        <w:t>jak to miało miejsce</w:t>
      </w:r>
      <w:r w:rsidR="006343E1">
        <w:t xml:space="preserve"> w </w:t>
      </w:r>
      <w:r w:rsidRPr="00254AB9">
        <w:t>rok</w:t>
      </w:r>
      <w:r>
        <w:t>u</w:t>
      </w:r>
      <w:r w:rsidRPr="00254AB9">
        <w:t xml:space="preserve"> 2001) oraz rynku nieruchomości</w:t>
      </w:r>
      <w:r w:rsidR="006343E1">
        <w:t xml:space="preserve"> </w:t>
      </w:r>
      <w:r w:rsidR="006343E1" w:rsidRPr="00254AB9">
        <w:t>i</w:t>
      </w:r>
      <w:r w:rsidR="006343E1">
        <w:t> </w:t>
      </w:r>
      <w:r w:rsidRPr="00254AB9">
        <w:t>opartych na nich instrumentów finansowych (lata 2007</w:t>
      </w:r>
      <w:r w:rsidR="009239C5">
        <w:rPr>
          <w:rFonts w:ascii="Times New Roman" w:hAnsi="Times New Roman" w:cs="Times New Roman"/>
        </w:rPr>
        <w:t>–</w:t>
      </w:r>
      <w:r w:rsidRPr="00254AB9">
        <w:t>2010). Autorzy raportu wskazują</w:t>
      </w:r>
      <w:r w:rsidR="00477C54">
        <w:t>, że </w:t>
      </w:r>
      <w:r w:rsidRPr="00254AB9">
        <w:t>proces odbudowy gospodarczej po kryzysie finansowym obejmował tworzenie dużej liczby miejsc pracy</w:t>
      </w:r>
      <w:r w:rsidR="006343E1">
        <w:t xml:space="preserve"> </w:t>
      </w:r>
      <w:r w:rsidR="006343E1" w:rsidRPr="00254AB9">
        <w:t>o</w:t>
      </w:r>
      <w:r w:rsidR="006343E1">
        <w:t> </w:t>
      </w:r>
      <w:r w:rsidRPr="00254AB9">
        <w:t>stosunkowo niskiej wartości dodanej. Ponadto zmniejszyła się liczba branż</w:t>
      </w:r>
      <w:r w:rsidR="006343E1">
        <w:t xml:space="preserve"> </w:t>
      </w:r>
      <w:r w:rsidR="006343E1" w:rsidRPr="00254AB9">
        <w:t>o</w:t>
      </w:r>
      <w:r w:rsidR="006343E1">
        <w:t> </w:t>
      </w:r>
      <w:r w:rsidRPr="00254AB9">
        <w:t>wysokim wzroście produktywności</w:t>
      </w:r>
      <w:r>
        <w:t>,</w:t>
      </w:r>
      <w:r w:rsidRPr="00254AB9">
        <w:t xml:space="preserve"> a także spadła relacja kapitału do pracy po stronie czynników produkcji. Ten relatywnie mniejszy wzrost technicznego uzbrojenia stanowisk pracy (potwierdzony </w:t>
      </w:r>
      <w:r w:rsidR="00952D6C" w:rsidRPr="007677C9">
        <w:t xml:space="preserve">w </w:t>
      </w:r>
      <w:r w:rsidRPr="007677C9">
        <w:t>statystyk</w:t>
      </w:r>
      <w:r w:rsidR="00952D6C" w:rsidRPr="007677C9">
        <w:t>ach</w:t>
      </w:r>
      <w:r w:rsidRPr="00254AB9">
        <w:t xml:space="preserve"> dotyczący</w:t>
      </w:r>
      <w:r w:rsidR="00952D6C">
        <w:t>ch</w:t>
      </w:r>
      <w:r w:rsidRPr="00254AB9">
        <w:t xml:space="preserve"> zmniejszenia się stopy inwestycji) zmniejszył tempo wzrostu wydajności pracy. </w:t>
      </w:r>
    </w:p>
    <w:p w14:paraId="070BCE48" w14:textId="77777777" w:rsidR="008E15C9" w:rsidRPr="00254AB9" w:rsidRDefault="008E15C9" w:rsidP="008E15C9">
      <w:pPr>
        <w:pStyle w:val="Nagwek2"/>
      </w:pPr>
      <w:bookmarkStart w:id="10" w:name="_Toc31808487"/>
      <w:bookmarkStart w:id="11" w:name="_Toc106968770"/>
      <w:r w:rsidRPr="002647FB">
        <w:t>Narastające</w:t>
      </w:r>
      <w:r w:rsidRPr="00254AB9">
        <w:t xml:space="preserve"> zróżnicowanie produktywności pomiędzy przedsiębiorstwami</w:t>
      </w:r>
      <w:bookmarkEnd w:id="10"/>
      <w:bookmarkEnd w:id="11"/>
    </w:p>
    <w:p w14:paraId="6AF55D85" w14:textId="7E9F2AFE" w:rsidR="008E15C9" w:rsidRPr="00254AB9" w:rsidRDefault="008E15C9" w:rsidP="008E15C9">
      <w:r w:rsidRPr="00254AB9">
        <w:t>Pojęcie „paradoksu produktywności” pojawia się także</w:t>
      </w:r>
      <w:r w:rsidR="006343E1">
        <w:t xml:space="preserve"> </w:t>
      </w:r>
      <w:r w:rsidR="006343E1" w:rsidRPr="00254AB9">
        <w:t>w</w:t>
      </w:r>
      <w:r w:rsidR="006343E1">
        <w:t> </w:t>
      </w:r>
      <w:r w:rsidRPr="00254AB9">
        <w:t>cytowanym już raporcie Komisji Europejskiej. Również</w:t>
      </w:r>
      <w:r w:rsidR="006343E1">
        <w:t xml:space="preserve"> </w:t>
      </w:r>
      <w:r w:rsidR="006343E1" w:rsidRPr="00254AB9">
        <w:t>w</w:t>
      </w:r>
      <w:r w:rsidR="006343E1">
        <w:t> </w:t>
      </w:r>
      <w:r w:rsidRPr="00254AB9">
        <w:t>tym dokumencie wskazuje się</w:t>
      </w:r>
      <w:r w:rsidR="00477C54">
        <w:t>, że </w:t>
      </w:r>
      <w:r w:rsidRPr="00254AB9">
        <w:t>omawiane zjawisko nie posiada jak dotąd definitywnego wyjaśnienia, przy czym szczególną wagę autorzy wydają się przywiązywać do faktu coraz głębszych dysproporcji między najbardziej produktywnymi firmami</w:t>
      </w:r>
      <w:r w:rsidR="006343E1">
        <w:t xml:space="preserve"> </w:t>
      </w:r>
      <w:r w:rsidR="006343E1" w:rsidRPr="00254AB9">
        <w:t>i</w:t>
      </w:r>
      <w:r w:rsidR="006343E1">
        <w:t> </w:t>
      </w:r>
      <w:r w:rsidRPr="00254AB9">
        <w:t>sektorami oraz resztą gospodarki. Wzrost firm bardzo produktywnych jest szybki, trwały</w:t>
      </w:r>
      <w:r w:rsidR="006343E1">
        <w:t xml:space="preserve"> </w:t>
      </w:r>
      <w:r w:rsidR="006343E1" w:rsidRPr="00254AB9">
        <w:t>i</w:t>
      </w:r>
      <w:r w:rsidR="006343E1">
        <w:t> </w:t>
      </w:r>
      <w:r w:rsidRPr="00254AB9">
        <w:t xml:space="preserve">napędzany wykorzystaniem zaawansowanych technologii cyfrowych, które </w:t>
      </w:r>
      <w:r w:rsidR="00A30C03">
        <w:t>„</w:t>
      </w:r>
      <w:r w:rsidRPr="00254AB9">
        <w:t>głęboko przeobraziły naturę innowacji oraz jej dyfuzję</w:t>
      </w:r>
      <w:r w:rsidR="006343E1">
        <w:t xml:space="preserve"> </w:t>
      </w:r>
      <w:r w:rsidR="006343E1" w:rsidRPr="00254AB9">
        <w:t>i</w:t>
      </w:r>
      <w:r w:rsidR="006343E1">
        <w:t> </w:t>
      </w:r>
      <w:r w:rsidRPr="00254AB9">
        <w:t>podział korzyści</w:t>
      </w:r>
      <w:r w:rsidR="00A30C03">
        <w:t>”</w:t>
      </w:r>
      <w:r w:rsidR="00FB26AA" w:rsidRPr="00FB26AA">
        <w:t xml:space="preserve"> </w:t>
      </w:r>
      <w:r w:rsidR="00FB26AA" w:rsidRPr="00254AB9">
        <w:t xml:space="preserve">(EC, 2018, s. </w:t>
      </w:r>
      <w:r w:rsidR="00FB26AA">
        <w:t>52</w:t>
      </w:r>
      <w:r w:rsidR="00FB26AA" w:rsidRPr="00254AB9">
        <w:t>)</w:t>
      </w:r>
      <w:r w:rsidRPr="00254AB9">
        <w:t>. Masie firm przeciętnych coraz trudniej dogonić globalnych cyfrowych czempionów, osiągających korzyści zarówno skali, jak</w:t>
      </w:r>
      <w:r w:rsidR="006343E1">
        <w:t xml:space="preserve"> </w:t>
      </w:r>
      <w:r w:rsidR="006343E1" w:rsidRPr="00254AB9">
        <w:t>i</w:t>
      </w:r>
      <w:r w:rsidR="006343E1">
        <w:t> </w:t>
      </w:r>
      <w:r w:rsidRPr="00254AB9">
        <w:t>sieci, zdolnych do działania szybkiego, kompleksowego</w:t>
      </w:r>
      <w:r w:rsidR="00952D6C">
        <w:t>,</w:t>
      </w:r>
      <w:r w:rsidRPr="00254AB9">
        <w:t xml:space="preserve"> a przy tym zorientowanego na potrzeby konsumenta</w:t>
      </w:r>
      <w:r w:rsidR="006343E1">
        <w:t xml:space="preserve"> </w:t>
      </w:r>
      <w:r w:rsidR="006343E1" w:rsidRPr="00254AB9">
        <w:t>w</w:t>
      </w:r>
      <w:r w:rsidR="006343E1">
        <w:t> </w:t>
      </w:r>
      <w:r w:rsidRPr="00254AB9">
        <w:t>stopniu dotychczas niespotykanym (</w:t>
      </w:r>
      <w:r w:rsidR="00A30C03">
        <w:t>tamże</w:t>
      </w:r>
      <w:r w:rsidRPr="00254AB9">
        <w:t>, s. 53</w:t>
      </w:r>
      <w:r w:rsidR="00952D6C">
        <w:rPr>
          <w:rFonts w:ascii="Times New Roman" w:hAnsi="Times New Roman" w:cs="Times New Roman"/>
        </w:rPr>
        <w:t>–</w:t>
      </w:r>
      <w:r w:rsidRPr="00254AB9">
        <w:t xml:space="preserve">54). W konsekwencji również na rynku pracy następuje polaryzacja wynagrodzeń, którą, przynajmniej częściowo, </w:t>
      </w:r>
      <w:r w:rsidR="00952D6C">
        <w:t xml:space="preserve">mogłyby </w:t>
      </w:r>
      <w:r>
        <w:t xml:space="preserve">powstrzymać </w:t>
      </w:r>
      <w:r w:rsidRPr="00254AB9">
        <w:t>sprawniejsza dyfuzja innowacji oraz publiczne wsparcie dla rozwoju infrastruktury, technologii i umiejętności cyfrowych.</w:t>
      </w:r>
    </w:p>
    <w:p w14:paraId="6211AE73" w14:textId="76DA364F" w:rsidR="008E15C9" w:rsidRDefault="008E15C9" w:rsidP="008E15C9">
      <w:r w:rsidRPr="00254AB9">
        <w:t>Jako jedno</w:t>
      </w:r>
      <w:r w:rsidR="006343E1">
        <w:t xml:space="preserve"> </w:t>
      </w:r>
      <w:r w:rsidR="006343E1" w:rsidRPr="00254AB9">
        <w:t>z</w:t>
      </w:r>
      <w:r w:rsidR="006343E1">
        <w:t> </w:t>
      </w:r>
      <w:r w:rsidRPr="00254AB9">
        <w:t>kluczowych źródeł dysproporcji wyników między firmami można wskazać nierównomierny rozkład korzyści nie tylko</w:t>
      </w:r>
      <w:r w:rsidR="006343E1">
        <w:t xml:space="preserve"> </w:t>
      </w:r>
      <w:r w:rsidR="006343E1" w:rsidRPr="00254AB9">
        <w:t>z</w:t>
      </w:r>
      <w:r w:rsidR="006343E1">
        <w:t> </w:t>
      </w:r>
      <w:r w:rsidRPr="00254AB9">
        <w:t>cyfryzacji, ale szerzej –</w:t>
      </w:r>
      <w:r w:rsidR="006343E1">
        <w:t xml:space="preserve"> </w:t>
      </w:r>
      <w:r w:rsidR="006343E1" w:rsidRPr="00254AB9">
        <w:t>z</w:t>
      </w:r>
      <w:r w:rsidR="006343E1">
        <w:t> </w:t>
      </w:r>
      <w:r w:rsidRPr="00254AB9">
        <w:t>kumulacji wartości niematerialnych</w:t>
      </w:r>
      <w:r w:rsidR="006343E1">
        <w:t xml:space="preserve"> </w:t>
      </w:r>
      <w:r w:rsidR="006343E1" w:rsidRPr="00254AB9">
        <w:t>i</w:t>
      </w:r>
      <w:r w:rsidR="006343E1">
        <w:t> </w:t>
      </w:r>
      <w:r w:rsidRPr="00254AB9">
        <w:t xml:space="preserve">prawnych, których aktywa cyfrowe są podzbiorem. </w:t>
      </w:r>
      <w:r>
        <w:t>Inwestycje</w:t>
      </w:r>
      <w:r w:rsidR="006343E1">
        <w:t xml:space="preserve"> w </w:t>
      </w:r>
      <w:r>
        <w:t>szeroko pojęte aktywa niematerialne, jakkolwiek wyhamowały po okresie „wielkiej recesji”</w:t>
      </w:r>
      <w:r w:rsidR="006343E1">
        <w:t xml:space="preserve"> z </w:t>
      </w:r>
      <w:r>
        <w:t>lat 2007</w:t>
      </w:r>
      <w:r w:rsidR="00952D6C">
        <w:rPr>
          <w:rFonts w:ascii="Times New Roman" w:hAnsi="Times New Roman" w:cs="Times New Roman"/>
        </w:rPr>
        <w:t>–</w:t>
      </w:r>
      <w:r>
        <w:t>2009, to jednak przed tym okresem rosły</w:t>
      </w:r>
      <w:r w:rsidR="00952D6C">
        <w:t>,</w:t>
      </w:r>
      <w:r>
        <w:t xml:space="preserve">  stanowiąc coraz większy odsetek ogółu inwestycji,</w:t>
      </w:r>
      <w:r w:rsidR="006343E1">
        <w:t xml:space="preserve"> w </w:t>
      </w:r>
      <w:r>
        <w:t>wyniku czego</w:t>
      </w:r>
      <w:r w:rsidR="006343E1">
        <w:t xml:space="preserve"> w </w:t>
      </w:r>
      <w:r>
        <w:t>takich krajach</w:t>
      </w:r>
      <w:r w:rsidR="008E4E54">
        <w:t>,</w:t>
      </w:r>
      <w:r>
        <w:t xml:space="preserve"> jak Finlandia, USA, Wielka Brytania czy Szwecja przewyższyły udział nakładów na aktywa fizyczne (por. </w:t>
      </w:r>
      <w:proofErr w:type="spellStart"/>
      <w:r>
        <w:t>Haskell</w:t>
      </w:r>
      <w:proofErr w:type="spellEnd"/>
      <w:r>
        <w:t xml:space="preserve"> &amp; </w:t>
      </w:r>
      <w:proofErr w:type="spellStart"/>
      <w:r>
        <w:t>Westlake</w:t>
      </w:r>
      <w:proofErr w:type="spellEnd"/>
      <w:r>
        <w:t xml:space="preserve"> 2018). </w:t>
      </w:r>
    </w:p>
    <w:p w14:paraId="5B5E6AC9" w14:textId="294E29CA" w:rsidR="008E15C9" w:rsidRDefault="008E15C9" w:rsidP="008E15C9">
      <w:r>
        <w:t>Inwestycje</w:t>
      </w:r>
      <w:r w:rsidR="006343E1">
        <w:t xml:space="preserve"> w </w:t>
      </w:r>
      <w:r>
        <w:t xml:space="preserve">aktywa niematerialne </w:t>
      </w:r>
      <w:r w:rsidR="00952D6C">
        <w:t>mają</w:t>
      </w:r>
      <w:r>
        <w:t xml:space="preserve"> kilka cech odróżniających je od klasycznych wydatków na „twardy” kapitał rzeczowy:</w:t>
      </w:r>
    </w:p>
    <w:p w14:paraId="50338845" w14:textId="28385E3C" w:rsidR="008E15C9" w:rsidRDefault="008E15C9" w:rsidP="00A9445F">
      <w:pPr>
        <w:pStyle w:val="Akapitzlist"/>
        <w:numPr>
          <w:ilvl w:val="0"/>
          <w:numId w:val="22"/>
        </w:numPr>
      </w:pPr>
      <w:r>
        <w:t>większa skalowalność sprawia</w:t>
      </w:r>
      <w:r w:rsidR="00477C54">
        <w:t>, że </w:t>
      </w:r>
      <w:r>
        <w:t>potencjał zwrotu jest znacznie wyższy,</w:t>
      </w:r>
    </w:p>
    <w:p w14:paraId="63FFA471" w14:textId="10F7C135" w:rsidR="008E15C9" w:rsidRDefault="006343E1" w:rsidP="00A9445F">
      <w:pPr>
        <w:pStyle w:val="Akapitzlist"/>
        <w:numPr>
          <w:ilvl w:val="0"/>
          <w:numId w:val="22"/>
        </w:numPr>
      </w:pPr>
      <w:r>
        <w:t>w </w:t>
      </w:r>
      <w:r w:rsidR="008E15C9">
        <w:t>znacznie większym stopniu stanowią one „koszt utopiony” –</w:t>
      </w:r>
      <w:r>
        <w:t xml:space="preserve"> w </w:t>
      </w:r>
      <w:r w:rsidR="008E15C9">
        <w:t>przeciwieństwie do maszyn często bardzo trudno je odsprzedać</w:t>
      </w:r>
      <w:r>
        <w:t xml:space="preserve"> w </w:t>
      </w:r>
      <w:r w:rsidR="008E15C9">
        <w:t>przypadku niepowodzenia inwestycji, co zwiększa ich ryzyko (także</w:t>
      </w:r>
      <w:r>
        <w:t xml:space="preserve"> z </w:t>
      </w:r>
      <w:r w:rsidR="008E15C9">
        <w:t>punktu widzenia podmiotów finansujących),</w:t>
      </w:r>
    </w:p>
    <w:p w14:paraId="61547A09" w14:textId="46772F44" w:rsidR="008E15C9" w:rsidRDefault="008E15C9" w:rsidP="00A9445F">
      <w:pPr>
        <w:pStyle w:val="Akapitzlist"/>
        <w:numPr>
          <w:ilvl w:val="0"/>
          <w:numId w:val="22"/>
        </w:numPr>
      </w:pPr>
      <w:r>
        <w:t>generują pozytywne efekty zewnętrzne; nawet jeśli są objęte ochroną (np. patentową)</w:t>
      </w:r>
      <w:r w:rsidR="00952D6C">
        <w:t>,</w:t>
      </w:r>
      <w:r>
        <w:t xml:space="preserve"> to</w:t>
      </w:r>
      <w:r w:rsidR="006343E1">
        <w:t xml:space="preserve"> i </w:t>
      </w:r>
      <w:r>
        <w:t>tak inne podmioty mają wgląd</w:t>
      </w:r>
      <w:r w:rsidR="006343E1">
        <w:t xml:space="preserve"> w </w:t>
      </w:r>
      <w:r>
        <w:t>wiele cech danego rozwiązania</w:t>
      </w:r>
      <w:r w:rsidR="006343E1">
        <w:t xml:space="preserve"> i </w:t>
      </w:r>
      <w:r>
        <w:t>mogą to wykorzystać</w:t>
      </w:r>
      <w:r w:rsidR="006343E1">
        <w:t xml:space="preserve"> w </w:t>
      </w:r>
      <w:r>
        <w:t>zakresie nieobjętym ochroną,</w:t>
      </w:r>
    </w:p>
    <w:p w14:paraId="00DA9632" w14:textId="2F40EE83" w:rsidR="008E15C9" w:rsidRDefault="008E15C9" w:rsidP="00A9445F">
      <w:pPr>
        <w:pStyle w:val="Akapitzlist"/>
        <w:numPr>
          <w:ilvl w:val="0"/>
          <w:numId w:val="22"/>
        </w:numPr>
      </w:pPr>
      <w:r>
        <w:t xml:space="preserve">generują efekty synergii: </w:t>
      </w:r>
      <w:r w:rsidR="007677C9">
        <w:t xml:space="preserve">na </w:t>
      </w:r>
      <w:r>
        <w:t>przykład gospodarcza potęga Coca-Coli opiera się nie na kapitale rzeczowym, ale na synergii różnych rodzajów wartości niematerialnych</w:t>
      </w:r>
      <w:r w:rsidR="006343E1">
        <w:t xml:space="preserve"> i </w:t>
      </w:r>
      <w:r>
        <w:t>prawnych – zwłaszcza marki, receptury napoju oraz umów licencyjnych.</w:t>
      </w:r>
    </w:p>
    <w:p w14:paraId="5CC0B75B" w14:textId="3BD63381" w:rsidR="008E15C9" w:rsidRDefault="008E15C9" w:rsidP="008E15C9">
      <w:r w:rsidRPr="007922A2">
        <w:t>Makroekonomiczny efekt tych cech pogłębia polaryzację między firmami: najbardziej opłacają się ryzykowne</w:t>
      </w:r>
      <w:r>
        <w:t xml:space="preserve"> inwestycje</w:t>
      </w:r>
      <w:r w:rsidR="006343E1">
        <w:t xml:space="preserve"> w </w:t>
      </w:r>
      <w:r>
        <w:t>aktywa niematerialne, na które stać przede wszystkim najbardziej produktywne firmy, które już</w:t>
      </w:r>
      <w:r w:rsidR="006343E1">
        <w:t xml:space="preserve"> i </w:t>
      </w:r>
      <w:r>
        <w:t>tak</w:t>
      </w:r>
      <w:r w:rsidR="006343E1">
        <w:t xml:space="preserve"> w </w:t>
      </w:r>
      <w:r>
        <w:t>wysokim stopniu korzystają</w:t>
      </w:r>
      <w:r w:rsidR="006343E1">
        <w:t xml:space="preserve"> z </w:t>
      </w:r>
      <w:r>
        <w:t>przewagi osiągniętej dzięki dotychczasowej kumulacji wartości niematerialnych</w:t>
      </w:r>
      <w:r w:rsidR="006343E1">
        <w:t xml:space="preserve"> i </w:t>
      </w:r>
      <w:r>
        <w:t>prawnych. Firmy takie są</w:t>
      </w:r>
      <w:r w:rsidR="006343E1">
        <w:t xml:space="preserve"> w </w:t>
      </w:r>
      <w:r>
        <w:t>stanie ograniczać konkurentom dostęp do generowanych przez siebie efektów zewnętrznych,</w:t>
      </w:r>
      <w:r w:rsidR="006343E1">
        <w:t xml:space="preserve"> a </w:t>
      </w:r>
      <w:r>
        <w:t>jednocześnie – same czerpać takie korzyści</w:t>
      </w:r>
      <w:r w:rsidR="006343E1">
        <w:t xml:space="preserve"> z </w:t>
      </w:r>
      <w:r>
        <w:t xml:space="preserve">działań podejmowanych przez inne podmioty (tzw. efekt „spillover”). </w:t>
      </w:r>
    </w:p>
    <w:p w14:paraId="68470AEE" w14:textId="26D8CAC5" w:rsidR="008E15C9" w:rsidRDefault="008E15C9" w:rsidP="008E15C9">
      <w:r>
        <w:t>Od dawna wiadomo</w:t>
      </w:r>
      <w:r w:rsidR="00477C54">
        <w:t>, że </w:t>
      </w:r>
      <w:r>
        <w:t>przewaga konkurencyjna firmy opiera się na unikalności jakiegoś jej zasobu, przy czym coraz częściej jest to obecnie zasób niematerialny.</w:t>
      </w:r>
      <w:r w:rsidR="006343E1">
        <w:t xml:space="preserve"> W </w:t>
      </w:r>
      <w:r>
        <w:t>warunkach coraz bardziej skomplikowanego otoczenia gospodarczego, społecznego, technologicznego</w:t>
      </w:r>
      <w:r w:rsidR="006343E1">
        <w:t xml:space="preserve"> i </w:t>
      </w:r>
      <w:r>
        <w:t xml:space="preserve">regulacyjnego jeszcze bardziej niż dotąd liczy się umiejętność </w:t>
      </w:r>
      <w:r>
        <w:lastRenderedPageBreak/>
        <w:t>zarządzania złożonością. Jak zauważają cytowani autorzy, „być może najbardziej unikalnym zasobem firmy jest jej umiejętność łączenia innych zasobów” (</w:t>
      </w:r>
      <w:proofErr w:type="spellStart"/>
      <w:r>
        <w:t>Haskell</w:t>
      </w:r>
      <w:proofErr w:type="spellEnd"/>
      <w:r>
        <w:t xml:space="preserve"> &amp; </w:t>
      </w:r>
      <w:proofErr w:type="spellStart"/>
      <w:r>
        <w:t>Westlake</w:t>
      </w:r>
      <w:proofErr w:type="spellEnd"/>
      <w:r>
        <w:t xml:space="preserve"> 2018, s. 187) – czyli menadżerski know-how oraz wewnętrzna kultura, które przesądzają</w:t>
      </w:r>
      <w:r w:rsidR="006343E1">
        <w:t xml:space="preserve"> o </w:t>
      </w:r>
      <w:r>
        <w:t>wyjątkowości danej organizacji jako całości.</w:t>
      </w:r>
    </w:p>
    <w:p w14:paraId="087B2ED8" w14:textId="7973671D" w:rsidR="008E15C9" w:rsidRDefault="008E15C9" w:rsidP="008E15C9">
      <w:pPr>
        <w:pStyle w:val="Nagwek2"/>
      </w:pPr>
      <w:bookmarkStart w:id="12" w:name="_Toc511921171"/>
      <w:bookmarkStart w:id="13" w:name="_Toc31808488"/>
      <w:bookmarkStart w:id="14" w:name="_Toc106968771"/>
      <w:r w:rsidRPr="003D6D53">
        <w:t>Technologie cyfrowe</w:t>
      </w:r>
      <w:r w:rsidR="006343E1">
        <w:t xml:space="preserve"> </w:t>
      </w:r>
      <w:r w:rsidR="006343E1" w:rsidRPr="003D6D53">
        <w:t>a</w:t>
      </w:r>
      <w:r w:rsidR="006343E1">
        <w:t> </w:t>
      </w:r>
      <w:r w:rsidRPr="003D6D53">
        <w:t>produktywność</w:t>
      </w:r>
      <w:bookmarkEnd w:id="12"/>
      <w:bookmarkEnd w:id="13"/>
      <w:bookmarkEnd w:id="14"/>
    </w:p>
    <w:p w14:paraId="46D5BAF5" w14:textId="77777777" w:rsidR="00A30C03" w:rsidRDefault="00A30C03" w:rsidP="00A30C03">
      <w:r w:rsidRPr="00254AB9">
        <w:t>Światowa dyskusja wokół „paradoksu produktywności” nie podważa ogromnego wpływu technologii cyfrowych na produktywność,</w:t>
      </w:r>
      <w:r>
        <w:t xml:space="preserve"> </w:t>
      </w:r>
      <w:r w:rsidRPr="00254AB9">
        <w:t>a</w:t>
      </w:r>
      <w:r>
        <w:t> </w:t>
      </w:r>
      <w:r w:rsidRPr="00254AB9">
        <w:t>raczej poszukuje przyczyn, dla których korzyści</w:t>
      </w:r>
      <w:r>
        <w:t xml:space="preserve"> </w:t>
      </w:r>
      <w:r w:rsidRPr="00254AB9">
        <w:t>z</w:t>
      </w:r>
      <w:r>
        <w:t> </w:t>
      </w:r>
      <w:r w:rsidRPr="00254AB9">
        <w:t>ich rozwoju nie są na pierwszy rzut oka widoczne</w:t>
      </w:r>
      <w:r>
        <w:t xml:space="preserve"> </w:t>
      </w:r>
      <w:r w:rsidRPr="00254AB9">
        <w:t>w</w:t>
      </w:r>
      <w:r>
        <w:t> licznych</w:t>
      </w:r>
      <w:r w:rsidRPr="00254AB9">
        <w:t xml:space="preserve"> statystykach. Korelacja nie oznacza przyczynowości – współwystępowanie zawrotnego tempa rozwoju technologii cyfrowych z malejącym tempem wzrostu produktywności absolutnie nie oznacza</w:t>
      </w:r>
      <w:r>
        <w:t>, że </w:t>
      </w:r>
      <w:r w:rsidRPr="00254AB9">
        <w:t>technologie te nie mają wpływu na produktywność. Jak już wskazano, obraz sytuacji zaciemniają czynniki takie jak wady pomiaru, opóźnienia pozytywnych efektów względem ponoszonych kosztów, specyfika procesów dyfuzji innowacji</w:t>
      </w:r>
      <w:r>
        <w:t xml:space="preserve"> </w:t>
      </w:r>
      <w:r w:rsidRPr="00254AB9">
        <w:t>i</w:t>
      </w:r>
      <w:r>
        <w:t> </w:t>
      </w:r>
      <w:r w:rsidRPr="00254AB9">
        <w:t>korzyści</w:t>
      </w:r>
      <w:r>
        <w:t xml:space="preserve"> </w:t>
      </w:r>
      <w:r w:rsidRPr="00254AB9">
        <w:t>z</w:t>
      </w:r>
      <w:r>
        <w:t> </w:t>
      </w:r>
      <w:r w:rsidRPr="00254AB9">
        <w:t>nich płynących, koniunktura gospodarcza,</w:t>
      </w:r>
      <w:r>
        <w:t xml:space="preserve"> </w:t>
      </w:r>
      <w:r w:rsidRPr="00254AB9">
        <w:t>a</w:t>
      </w:r>
      <w:r>
        <w:t> </w:t>
      </w:r>
      <w:r w:rsidRPr="00254AB9">
        <w:t>w przypadku pomiaru poprzez TFP – również fakt</w:t>
      </w:r>
      <w:r>
        <w:t>, że </w:t>
      </w:r>
      <w:r w:rsidRPr="00254AB9">
        <w:t>technologie cyfrowe często wchodzą</w:t>
      </w:r>
      <w:r>
        <w:t xml:space="preserve"> </w:t>
      </w:r>
      <w:r w:rsidRPr="00254AB9">
        <w:t>w</w:t>
      </w:r>
      <w:r>
        <w:t> </w:t>
      </w:r>
      <w:r w:rsidRPr="00254AB9">
        <w:t>obieg gospodarczy</w:t>
      </w:r>
      <w:r>
        <w:t xml:space="preserve"> </w:t>
      </w:r>
      <w:r w:rsidRPr="00254AB9">
        <w:t>w</w:t>
      </w:r>
      <w:r>
        <w:t> </w:t>
      </w:r>
      <w:r w:rsidRPr="00254AB9">
        <w:t>postaci inwestycji kapitałowych. W rzeczywistości wpływ technologii cyfrowych na rozwój gospodarczy można szacować na podstawie danych empirycznych. Jedną</w:t>
      </w:r>
      <w:r>
        <w:t xml:space="preserve"> </w:t>
      </w:r>
      <w:r w:rsidRPr="00254AB9">
        <w:t>z</w:t>
      </w:r>
      <w:r>
        <w:t> </w:t>
      </w:r>
      <w:r w:rsidRPr="00254AB9">
        <w:t>prób tego rodzaju jest analiza (Koloch et al., 2017),</w:t>
      </w:r>
      <w:r>
        <w:t xml:space="preserve"> </w:t>
      </w:r>
      <w:r w:rsidRPr="00254AB9">
        <w:t>w</w:t>
      </w:r>
      <w:r>
        <w:t> </w:t>
      </w:r>
      <w:r w:rsidRPr="00254AB9">
        <w:t>ramach której na podstawie ok. 50 wskaźników dotyczących upowszechnienia rozwiązań IT w przedsiębiorstwach skonstruowano syntetyczny wskaźnik intensywności wykorzystania danych, obliczono go dla gospodarek europejskich</w:t>
      </w:r>
      <w:r>
        <w:t xml:space="preserve"> </w:t>
      </w:r>
      <w:r w:rsidRPr="00254AB9">
        <w:t>i</w:t>
      </w:r>
      <w:r>
        <w:t> </w:t>
      </w:r>
      <w:r w:rsidRPr="00254AB9">
        <w:t>ich sektorów,</w:t>
      </w:r>
      <w:r>
        <w:t xml:space="preserve"> </w:t>
      </w:r>
      <w:r w:rsidRPr="00254AB9">
        <w:t>a</w:t>
      </w:r>
      <w:r>
        <w:t> </w:t>
      </w:r>
      <w:r w:rsidRPr="00254AB9">
        <w:t>następnie włączono do modelu ekonometrycznego w sposób pozwalający wyodrębnić tę część TFP, która wynika</w:t>
      </w:r>
      <w:r>
        <w:t xml:space="preserve"> </w:t>
      </w:r>
      <w:r w:rsidRPr="00254AB9">
        <w:t>z</w:t>
      </w:r>
      <w:r>
        <w:t> </w:t>
      </w:r>
      <w:r w:rsidRPr="00254AB9">
        <w:t>wykorzystania danych</w:t>
      </w:r>
      <w:r w:rsidRPr="00254AB9">
        <w:rPr>
          <w:rStyle w:val="Odwoanieprzypisudolnego"/>
          <w:rFonts w:cs="Calibri"/>
          <w:sz w:val="21"/>
          <w:szCs w:val="21"/>
        </w:rPr>
        <w:footnoteReference w:id="6"/>
      </w:r>
      <w:r w:rsidRPr="00254AB9">
        <w:t>.</w:t>
      </w:r>
    </w:p>
    <w:p w14:paraId="10722CA9" w14:textId="77777777" w:rsidR="00A30C03" w:rsidRDefault="00A30C03" w:rsidP="00A30C03">
      <w:r w:rsidRPr="00254AB9">
        <w:t>Syntetyczny wskaźnik intensywności oparcia gospodarki</w:t>
      </w:r>
      <w:r>
        <w:t xml:space="preserve"> </w:t>
      </w:r>
      <w:r w:rsidRPr="00254AB9">
        <w:t>w</w:t>
      </w:r>
      <w:r>
        <w:t> </w:t>
      </w:r>
      <w:r w:rsidRPr="00254AB9">
        <w:t>przedmiotowym badaniu odzwierciedla pozycję danej gospodarki narodowej na skali między cyfrowym „liderem” (hipotetyczną gospodarką</w:t>
      </w:r>
      <w:r>
        <w:t xml:space="preserve">, </w:t>
      </w:r>
      <w:r w:rsidRPr="00254AB9">
        <w:t>w</w:t>
      </w:r>
      <w:r>
        <w:t> </w:t>
      </w:r>
      <w:r w:rsidRPr="00254AB9">
        <w:t>której przedsiębiorstwa</w:t>
      </w:r>
      <w:r>
        <w:t xml:space="preserve"> </w:t>
      </w:r>
      <w:r w:rsidRPr="00254AB9">
        <w:t>w</w:t>
      </w:r>
      <w:r>
        <w:t> </w:t>
      </w:r>
      <w:r w:rsidRPr="00254AB9">
        <w:t>poszczególnych sektorach opierają swoją działalność na danych</w:t>
      </w:r>
      <w:r>
        <w:t xml:space="preserve"> </w:t>
      </w:r>
      <w:r w:rsidRPr="00254AB9">
        <w:t>i</w:t>
      </w:r>
      <w:r>
        <w:t> </w:t>
      </w:r>
      <w:r w:rsidRPr="00254AB9">
        <w:t>ich transferze</w:t>
      </w:r>
      <w:r>
        <w:t xml:space="preserve"> </w:t>
      </w:r>
      <w:r w:rsidRPr="00254AB9">
        <w:t>w</w:t>
      </w:r>
      <w:r>
        <w:t> </w:t>
      </w:r>
      <w:r w:rsidRPr="00254AB9">
        <w:t>maksymalnym możliwym, obserwowanym</w:t>
      </w:r>
      <w:r>
        <w:t xml:space="preserve"> </w:t>
      </w:r>
      <w:r w:rsidRPr="00254AB9">
        <w:t>w</w:t>
      </w:r>
      <w:r>
        <w:t> </w:t>
      </w:r>
      <w:r w:rsidRPr="00254AB9">
        <w:t>próbie empirycznej zakresie) oraz równie teoretycznym cyfrowym „maruderem”, stanowiącym przeciwieństwo lidera.</w:t>
      </w:r>
    </w:p>
    <w:p w14:paraId="5E4637C0" w14:textId="3E892F06" w:rsidR="00A30C03" w:rsidRDefault="00A30C03" w:rsidP="00A30C03">
      <w:pPr>
        <w:pStyle w:val="Nagwek4"/>
      </w:pPr>
      <w:r w:rsidRPr="00254AB9">
        <w:t xml:space="preserve">Wykres </w:t>
      </w:r>
      <w:r>
        <w:rPr>
          <w:noProof/>
        </w:rPr>
        <w:fldChar w:fldCharType="begin"/>
      </w:r>
      <w:r>
        <w:rPr>
          <w:noProof/>
        </w:rPr>
        <w:instrText xml:space="preserve"> SEQ Rysunek \* ARABIC </w:instrText>
      </w:r>
      <w:r>
        <w:rPr>
          <w:noProof/>
        </w:rPr>
        <w:fldChar w:fldCharType="separate"/>
      </w:r>
      <w:r w:rsidRPr="00254AB9">
        <w:rPr>
          <w:noProof/>
        </w:rPr>
        <w:t>5</w:t>
      </w:r>
      <w:r>
        <w:rPr>
          <w:noProof/>
        </w:rPr>
        <w:fldChar w:fldCharType="end"/>
      </w:r>
      <w:r w:rsidRPr="00254AB9">
        <w:t>. Intensywność oparcia gospodarki</w:t>
      </w:r>
      <w:r>
        <w:t xml:space="preserve"> na </w:t>
      </w:r>
      <w:r w:rsidRPr="00254AB9">
        <w:t>dan</w:t>
      </w:r>
      <w:r>
        <w:t>ych</w:t>
      </w:r>
    </w:p>
    <w:p w14:paraId="48179CAB" w14:textId="4CE21746" w:rsidR="00A30C03" w:rsidRDefault="00A30C03" w:rsidP="00A30C03">
      <w:r>
        <w:rPr>
          <w:rFonts w:cs="Calibri"/>
          <w:noProof/>
          <w:sz w:val="21"/>
          <w:szCs w:val="21"/>
          <w:lang w:eastAsia="pl-PL"/>
        </w:rPr>
        <w:drawing>
          <wp:inline distT="0" distB="0" distL="0" distR="0" wp14:anchorId="18A3B964" wp14:editId="5C0BE673">
            <wp:extent cx="5591175" cy="2552700"/>
            <wp:effectExtent l="0" t="0" r="9525" b="19050"/>
            <wp:docPr id="57" name="Wykres 5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1AB7EFE" w14:textId="5B33CFBB" w:rsidR="00A30C03" w:rsidRPr="00A30C03" w:rsidRDefault="00A30C03" w:rsidP="00A30C03">
      <w:r w:rsidRPr="00254AB9">
        <w:rPr>
          <w:rFonts w:cs="Calibri"/>
          <w:i/>
          <w:sz w:val="21"/>
          <w:szCs w:val="21"/>
        </w:rPr>
        <w:t xml:space="preserve">Źródło: Opracowanie </w:t>
      </w:r>
      <w:r>
        <w:rPr>
          <w:rFonts w:cs="Calibri"/>
          <w:i/>
          <w:sz w:val="21"/>
          <w:szCs w:val="21"/>
        </w:rPr>
        <w:t xml:space="preserve">MRiT </w:t>
      </w:r>
      <w:r w:rsidRPr="00254AB9">
        <w:rPr>
          <w:rFonts w:cs="Calibri"/>
          <w:i/>
          <w:sz w:val="21"/>
          <w:szCs w:val="21"/>
        </w:rPr>
        <w:t>na podstawie Koloch et. al. (2017, s. 11)</w:t>
      </w:r>
    </w:p>
    <w:p w14:paraId="68028EC6" w14:textId="0AC8222D" w:rsidR="008E15C9" w:rsidRPr="00254AB9" w:rsidRDefault="008E15C9" w:rsidP="008E15C9">
      <w:r w:rsidRPr="00254AB9">
        <w:lastRenderedPageBreak/>
        <w:t>Jak widać na wykresie 5</w:t>
      </w:r>
      <w:r w:rsidR="00DD372F">
        <w:t>,</w:t>
      </w:r>
      <w:r w:rsidRPr="00254AB9">
        <w:t xml:space="preserve"> najwyższe wartości wskaźnika odnotowano dla państw skandynawskich, natomiast Polska sytuuje się poniżej średniej unijnej, na 7. miejscu od końca. Poziom ucyfrowienia polskiej gospodarki został szerzej przedstawiony</w:t>
      </w:r>
      <w:r w:rsidR="006343E1">
        <w:t xml:space="preserve"> </w:t>
      </w:r>
      <w:r w:rsidR="006343E1" w:rsidRPr="00254AB9">
        <w:t>w</w:t>
      </w:r>
      <w:r w:rsidR="006343E1">
        <w:t> </w:t>
      </w:r>
      <w:r w:rsidRPr="00254AB9">
        <w:t>osobnym rozdziale tej diagnozy, natomiast</w:t>
      </w:r>
      <w:r w:rsidR="006343E1">
        <w:t xml:space="preserve"> </w:t>
      </w:r>
      <w:r w:rsidR="006343E1" w:rsidRPr="00254AB9">
        <w:t>w</w:t>
      </w:r>
      <w:r w:rsidR="006343E1">
        <w:t> </w:t>
      </w:r>
      <w:r w:rsidRPr="00254AB9">
        <w:t>tym miejscu warto zwrócić uwagę</w:t>
      </w:r>
      <w:r w:rsidR="00477C54">
        <w:t>, że </w:t>
      </w:r>
      <w:r w:rsidRPr="00254AB9">
        <w:t>tak zmierzona intensywność wykorzystania danych</w:t>
      </w:r>
      <w:r w:rsidR="006343E1">
        <w:t xml:space="preserve"> </w:t>
      </w:r>
      <w:r w:rsidR="006343E1" w:rsidRPr="00254AB9">
        <w:t>w</w:t>
      </w:r>
      <w:r w:rsidR="006343E1">
        <w:t> </w:t>
      </w:r>
      <w:r w:rsidRPr="00254AB9">
        <w:t>gospodarce</w:t>
      </w:r>
      <w:r w:rsidR="006343E1">
        <w:t xml:space="preserve"> </w:t>
      </w:r>
      <w:r w:rsidR="006343E1" w:rsidRPr="00254AB9">
        <w:t>w</w:t>
      </w:r>
      <w:r w:rsidR="006343E1">
        <w:t> </w:t>
      </w:r>
      <w:r w:rsidRPr="00254AB9">
        <w:t>różnych państwach przekłada się na różną relację – używając terminologii autorów badania – produktywności indukowanej przez dane do produktywności generycznej, przy czym suma obu tych aspektów produktywności daje łączną TFP. Przeciętnie</w:t>
      </w:r>
      <w:r w:rsidR="006343E1">
        <w:t xml:space="preserve"> </w:t>
      </w:r>
      <w:r w:rsidR="006343E1" w:rsidRPr="00254AB9">
        <w:t>w</w:t>
      </w:r>
      <w:r w:rsidR="006343E1">
        <w:t> </w:t>
      </w:r>
      <w:r w:rsidRPr="00254AB9">
        <w:t>U</w:t>
      </w:r>
      <w:r w:rsidR="007677C9">
        <w:t xml:space="preserve">nii </w:t>
      </w:r>
      <w:r w:rsidRPr="00254AB9">
        <w:t>E</w:t>
      </w:r>
      <w:r w:rsidR="007677C9">
        <w:t>uropejskiej</w:t>
      </w:r>
      <w:r w:rsidRPr="00254AB9">
        <w:t xml:space="preserve"> produktywność indukowana przez dane odpowiada za ok. 40% TFP, przy czym</w:t>
      </w:r>
      <w:r w:rsidR="006343E1">
        <w:t xml:space="preserve"> </w:t>
      </w:r>
      <w:r w:rsidR="006343E1" w:rsidRPr="00254AB9">
        <w:t>w</w:t>
      </w:r>
      <w:r w:rsidR="006343E1">
        <w:t> </w:t>
      </w:r>
      <w:r w:rsidRPr="00254AB9">
        <w:t>Polsce jest to ok. 48%. Oznacza to</w:t>
      </w:r>
      <w:r w:rsidR="00477C54">
        <w:t>, że </w:t>
      </w:r>
      <w:r w:rsidRPr="00254AB9">
        <w:t>choć Polska charakteryzuje się intensywnością wykorzystania danych poniżej średniej UE, to danym należy przypisać ponadprzeciętnie wysoki udział</w:t>
      </w:r>
      <w:r w:rsidR="006343E1">
        <w:t xml:space="preserve"> </w:t>
      </w:r>
      <w:r w:rsidR="006343E1" w:rsidRPr="00254AB9">
        <w:t>w</w:t>
      </w:r>
      <w:r w:rsidR="006343E1">
        <w:t> </w:t>
      </w:r>
      <w:r w:rsidRPr="00254AB9">
        <w:t>łącznej produktywności gospodarki, nawet na tle państw o wiodącej</w:t>
      </w:r>
      <w:r w:rsidR="006343E1">
        <w:t xml:space="preserve"> </w:t>
      </w:r>
      <w:r w:rsidR="006343E1" w:rsidRPr="00254AB9">
        <w:t>w</w:t>
      </w:r>
      <w:r w:rsidR="006343E1">
        <w:t> </w:t>
      </w:r>
      <w:r w:rsidRPr="00254AB9">
        <w:t>UE intensywności wykorzystania danych. Procesy biznesowe są więc w wysokim stopniu uzależnione od danych</w:t>
      </w:r>
      <w:r w:rsidR="006343E1">
        <w:t xml:space="preserve"> </w:t>
      </w:r>
      <w:r w:rsidR="006343E1" w:rsidRPr="00254AB9">
        <w:t>i</w:t>
      </w:r>
      <w:r w:rsidR="006343E1">
        <w:t> </w:t>
      </w:r>
      <w:r w:rsidRPr="00254AB9">
        <w:t>ich transferu</w:t>
      </w:r>
      <w:r w:rsidR="00F91BE6">
        <w:t>,</w:t>
      </w:r>
      <w:r w:rsidR="006343E1">
        <w:t xml:space="preserve"> </w:t>
      </w:r>
      <w:r w:rsidR="006343E1" w:rsidRPr="00254AB9">
        <w:t>a</w:t>
      </w:r>
      <w:r w:rsidR="006343E1">
        <w:t> </w:t>
      </w:r>
      <w:r w:rsidRPr="00254AB9">
        <w:t>hipotetyczne odebranie podmiotom gospodarczym możliwości wykorzystywania danych</w:t>
      </w:r>
      <w:r w:rsidR="006343E1">
        <w:t xml:space="preserve"> </w:t>
      </w:r>
      <w:r w:rsidR="006343E1" w:rsidRPr="00254AB9">
        <w:t>i</w:t>
      </w:r>
      <w:r w:rsidR="006343E1">
        <w:t> </w:t>
      </w:r>
      <w:r w:rsidRPr="00254AB9">
        <w:t>ich transferu na szeroką skalę spowodowałoby drastyczne konsekwencje –</w:t>
      </w:r>
      <w:r w:rsidR="006343E1">
        <w:t xml:space="preserve"> </w:t>
      </w:r>
      <w:r w:rsidR="006343E1" w:rsidRPr="00254AB9">
        <w:t>w</w:t>
      </w:r>
      <w:r w:rsidR="006343E1">
        <w:t> </w:t>
      </w:r>
      <w:r w:rsidRPr="00254AB9">
        <w:t>przeciętnej europejskiej gospodarce PKB spadłby</w:t>
      </w:r>
      <w:r w:rsidR="006343E1">
        <w:t xml:space="preserve"> </w:t>
      </w:r>
      <w:r w:rsidR="006343E1" w:rsidRPr="00254AB9">
        <w:t>o</w:t>
      </w:r>
      <w:r w:rsidR="006343E1">
        <w:t> </w:t>
      </w:r>
      <w:r w:rsidRPr="00254AB9">
        <w:t>ok. 46 %. Jeśliby ekstrapolować te ustalenia</w:t>
      </w:r>
      <w:r w:rsidR="006343E1">
        <w:t xml:space="preserve"> </w:t>
      </w:r>
      <w:r w:rsidR="006343E1" w:rsidRPr="00254AB9">
        <w:t>w</w:t>
      </w:r>
      <w:r w:rsidR="006343E1">
        <w:t> </w:t>
      </w:r>
      <w:r w:rsidRPr="00254AB9">
        <w:t>przyszłość, należy zgodzić się</w:t>
      </w:r>
      <w:r w:rsidR="006343E1">
        <w:t xml:space="preserve"> </w:t>
      </w:r>
      <w:r w:rsidR="006343E1" w:rsidRPr="00254AB9">
        <w:t>z</w:t>
      </w:r>
      <w:r w:rsidR="006343E1">
        <w:t> </w:t>
      </w:r>
      <w:r w:rsidRPr="00254AB9">
        <w:t>konkluzją autorów</w:t>
      </w:r>
      <w:r w:rsidR="00477C54">
        <w:t>, że </w:t>
      </w:r>
      <w:r w:rsidRPr="00254AB9">
        <w:t>„opóźnianie lub wręcz zaniechanie działań mających na celu rozwój warunków społeczno-gospodarczych sprzyjających rozwojowi gospodarki</w:t>
      </w:r>
      <w:r w:rsidR="006343E1">
        <w:t xml:space="preserve"> </w:t>
      </w:r>
      <w:r w:rsidR="006343E1" w:rsidRPr="00254AB9">
        <w:t>w</w:t>
      </w:r>
      <w:r w:rsidR="006343E1">
        <w:t> </w:t>
      </w:r>
      <w:r w:rsidRPr="00254AB9">
        <w:t>wysokim stopniu opartej na danych powodować będzie, już</w:t>
      </w:r>
      <w:r w:rsidR="006343E1">
        <w:t xml:space="preserve"> </w:t>
      </w:r>
      <w:r w:rsidR="006343E1" w:rsidRPr="00254AB9">
        <w:t>w</w:t>
      </w:r>
      <w:r w:rsidR="006343E1">
        <w:t> </w:t>
      </w:r>
      <w:r w:rsidRPr="00254AB9">
        <w:t xml:space="preserve">średnim okresie, istotne obniżanie możliwych do osiągnięcia korzyści ekonomicznych” (Koloch et al., 2017, s. 13). </w:t>
      </w:r>
    </w:p>
    <w:p w14:paraId="452C26DC" w14:textId="73199C55" w:rsidR="008E15C9" w:rsidRPr="00254AB9" w:rsidRDefault="008E15C9" w:rsidP="008E15C9">
      <w:r w:rsidRPr="00254AB9">
        <w:t>W kontekście wpływu innowacji cyfrowych na produktywność warto zwrócić również uwagę</w:t>
      </w:r>
      <w:r w:rsidR="00477C54">
        <w:t>, że </w:t>
      </w:r>
      <w:r w:rsidRPr="00254AB9">
        <w:t>do generowania innowacji cyfrowych</w:t>
      </w:r>
      <w:r w:rsidR="006343E1">
        <w:t xml:space="preserve"> </w:t>
      </w:r>
      <w:r w:rsidR="006343E1" w:rsidRPr="00254AB9">
        <w:t>w</w:t>
      </w:r>
      <w:r w:rsidR="006343E1">
        <w:t> </w:t>
      </w:r>
      <w:r w:rsidRPr="00254AB9">
        <w:t>przyszłości konieczna jest wysoka zdolność do absorpcji innowacji bieżących. Prawdopodobnie nie sposób, na przykład, opracować</w:t>
      </w:r>
      <w:r w:rsidR="006343E1">
        <w:t xml:space="preserve"> </w:t>
      </w:r>
      <w:r w:rsidR="006343E1" w:rsidRPr="00254AB9">
        <w:t>i</w:t>
      </w:r>
      <w:r w:rsidR="006343E1">
        <w:t> </w:t>
      </w:r>
      <w:r w:rsidRPr="00254AB9">
        <w:t>skomercjalizować innowacyjnej usługi cyfrowej opartej na uczeniu maszynowym, jeśli nie zna się najnowszych trendów</w:t>
      </w:r>
      <w:r w:rsidR="006343E1">
        <w:t xml:space="preserve"> </w:t>
      </w:r>
      <w:r w:rsidR="006343E1" w:rsidRPr="00254AB9">
        <w:t>w</w:t>
      </w:r>
      <w:r w:rsidR="006343E1">
        <w:t> </w:t>
      </w:r>
      <w:r w:rsidRPr="00254AB9">
        <w:t>rozwoju algorytmów</w:t>
      </w:r>
      <w:r w:rsidR="006343E1">
        <w:t xml:space="preserve"> </w:t>
      </w:r>
      <w:r w:rsidR="006343E1" w:rsidRPr="00254AB9">
        <w:t>z</w:t>
      </w:r>
      <w:r w:rsidR="006343E1">
        <w:t> </w:t>
      </w:r>
      <w:r w:rsidRPr="00254AB9">
        <w:t xml:space="preserve">obszaru </w:t>
      </w:r>
      <w:r w:rsidRPr="00714B17">
        <w:rPr>
          <w:i/>
        </w:rPr>
        <w:t>data science</w:t>
      </w:r>
      <w:r w:rsidRPr="00254AB9">
        <w:t xml:space="preserve">, nie ma się dostępu do światowej klasy narzędzi (środowisk programistycznych, bibliotek itp.) oraz nie umie </w:t>
      </w:r>
      <w:r w:rsidR="00BA2FCB">
        <w:t>się</w:t>
      </w:r>
      <w:r w:rsidRPr="00254AB9">
        <w:t xml:space="preserve"> zastosować</w:t>
      </w:r>
      <w:r w:rsidR="006343E1">
        <w:t xml:space="preserve"> </w:t>
      </w:r>
      <w:r w:rsidR="006343E1" w:rsidRPr="00254AB9">
        <w:t>w</w:t>
      </w:r>
      <w:r w:rsidR="006343E1">
        <w:t> </w:t>
      </w:r>
      <w:r w:rsidRPr="00254AB9">
        <w:t>praktyce zwinnej metodyki zarządzania projektem. Kluczowym warunkiem jest też dostęp do danych, których ilość zależy od czynników zarówno miękkich (poziom otwartości danych publicznych</w:t>
      </w:r>
      <w:r w:rsidR="006343E1">
        <w:t xml:space="preserve"> </w:t>
      </w:r>
      <w:r w:rsidR="006343E1" w:rsidRPr="00254AB9">
        <w:t>i</w:t>
      </w:r>
      <w:r w:rsidR="006343E1">
        <w:t> </w:t>
      </w:r>
      <w:r w:rsidRPr="00254AB9">
        <w:t>prywatnych)</w:t>
      </w:r>
      <w:r w:rsidR="0066441F">
        <w:t>,</w:t>
      </w:r>
      <w:r w:rsidRPr="00254AB9">
        <w:t xml:space="preserve"> jak</w:t>
      </w:r>
      <w:r w:rsidR="006343E1">
        <w:t xml:space="preserve"> </w:t>
      </w:r>
      <w:r w:rsidR="006343E1" w:rsidRPr="00254AB9">
        <w:t>i</w:t>
      </w:r>
      <w:r w:rsidR="006343E1">
        <w:t> </w:t>
      </w:r>
      <w:r w:rsidRPr="00254AB9">
        <w:t>twardych (upowszechnienie</w:t>
      </w:r>
      <w:r w:rsidR="006343E1">
        <w:t xml:space="preserve"> </w:t>
      </w:r>
      <w:r w:rsidR="006343E1" w:rsidRPr="00254AB9">
        <w:t>i</w:t>
      </w:r>
      <w:r w:rsidR="006343E1">
        <w:t> </w:t>
      </w:r>
      <w:r w:rsidRPr="00254AB9">
        <w:t>usieciowienie sensorów umożliwiających cyfrowy zapis</w:t>
      </w:r>
      <w:r w:rsidR="006343E1">
        <w:t xml:space="preserve"> </w:t>
      </w:r>
      <w:r w:rsidR="006343E1" w:rsidRPr="00254AB9">
        <w:t>i</w:t>
      </w:r>
      <w:r w:rsidR="006343E1">
        <w:t> </w:t>
      </w:r>
      <w:r w:rsidRPr="00254AB9">
        <w:t>przesył pomiaru wszelkiego rodzaju zjawisk). Polityka wsparcia produktywności poprzez rozwój innowacyjności powinna zatem wspierać nie tylko generowanie, lecz także absorpcję innowacji, nie tyko</w:t>
      </w:r>
      <w:r w:rsidR="006343E1">
        <w:t xml:space="preserve"> </w:t>
      </w:r>
      <w:r w:rsidR="006343E1" w:rsidRPr="00254AB9">
        <w:t>w</w:t>
      </w:r>
      <w:r w:rsidR="006343E1">
        <w:t> </w:t>
      </w:r>
      <w:r w:rsidRPr="00254AB9">
        <w:t>obszarze technologii cyfrowych, gdzie potrzeba ta jest chyba najbardziej widoczna, ale także</w:t>
      </w:r>
      <w:r w:rsidR="006343E1">
        <w:t xml:space="preserve"> </w:t>
      </w:r>
      <w:r w:rsidR="006343E1" w:rsidRPr="00254AB9">
        <w:t>w</w:t>
      </w:r>
      <w:r w:rsidR="006343E1">
        <w:t> </w:t>
      </w:r>
      <w:r w:rsidRPr="00254AB9">
        <w:t>innych obszarach działalności naukowej</w:t>
      </w:r>
      <w:r w:rsidR="006343E1">
        <w:t xml:space="preserve"> </w:t>
      </w:r>
      <w:r w:rsidR="006343E1" w:rsidRPr="00254AB9">
        <w:t>i</w:t>
      </w:r>
      <w:r w:rsidR="006343E1">
        <w:t> </w:t>
      </w:r>
      <w:r w:rsidRPr="00254AB9">
        <w:t>gospodarczej.</w:t>
      </w:r>
    </w:p>
    <w:p w14:paraId="49DB9319" w14:textId="29FC53CB" w:rsidR="008E15C9" w:rsidRPr="00254AB9" w:rsidRDefault="008E15C9" w:rsidP="008E15C9">
      <w:pPr>
        <w:pStyle w:val="Nagwek2"/>
      </w:pPr>
      <w:bookmarkStart w:id="15" w:name="_Toc511921172"/>
      <w:bookmarkStart w:id="16" w:name="_Toc31808489"/>
      <w:bookmarkStart w:id="17" w:name="_Toc106968772"/>
      <w:r w:rsidRPr="00254AB9">
        <w:t>Produktywność</w:t>
      </w:r>
      <w:r w:rsidR="006343E1">
        <w:t xml:space="preserve"> </w:t>
      </w:r>
      <w:r w:rsidR="006343E1" w:rsidRPr="00254AB9">
        <w:t>a</w:t>
      </w:r>
      <w:r w:rsidR="006343E1">
        <w:t> </w:t>
      </w:r>
      <w:r w:rsidRPr="00254AB9">
        <w:t>zmiana strukturalna</w:t>
      </w:r>
      <w:bookmarkEnd w:id="15"/>
      <w:bookmarkEnd w:id="16"/>
      <w:bookmarkEnd w:id="17"/>
    </w:p>
    <w:p w14:paraId="07A7035F" w14:textId="32F98AEC" w:rsidR="008E15C9" w:rsidRPr="00254AB9" w:rsidRDefault="008E15C9" w:rsidP="008E15C9">
      <w:r w:rsidRPr="00254AB9">
        <w:t>Jak już wskazano powyżej, zmiany produktywności są pochodną nie tylko procesów wspólnych dla całej gospodarki</w:t>
      </w:r>
      <w:r w:rsidR="0066441F">
        <w:t>,</w:t>
      </w:r>
      <w:r w:rsidRPr="00254AB9">
        <w:t xml:space="preserve"> ale także procesów specyficznych dla poszczególnych branż.</w:t>
      </w:r>
      <w:r w:rsidR="006343E1">
        <w:t xml:space="preserve"> </w:t>
      </w:r>
      <w:r w:rsidR="006343E1" w:rsidRPr="00254AB9">
        <w:t>Z</w:t>
      </w:r>
      <w:r w:rsidR="006343E1">
        <w:t> </w:t>
      </w:r>
      <w:r w:rsidRPr="00254AB9">
        <w:t>punktu widzenia polityki gospodarczej istotne jest zatem zidentyfikowanie sektorów najbardziej perspektywicznych</w:t>
      </w:r>
      <w:r w:rsidR="006343E1">
        <w:t xml:space="preserve"> </w:t>
      </w:r>
      <w:r w:rsidR="006343E1" w:rsidRPr="00254AB9">
        <w:t>i</w:t>
      </w:r>
      <w:r w:rsidR="006343E1">
        <w:t> </w:t>
      </w:r>
      <w:r w:rsidRPr="00254AB9">
        <w:t>stymulowanie przepływu do nich zasobów pracy</w:t>
      </w:r>
      <w:r w:rsidR="006343E1">
        <w:t xml:space="preserve"> </w:t>
      </w:r>
      <w:r w:rsidR="006343E1" w:rsidRPr="00254AB9">
        <w:t>i</w:t>
      </w:r>
      <w:r w:rsidR="006343E1">
        <w:t> </w:t>
      </w:r>
      <w:r w:rsidRPr="00254AB9">
        <w:t>kapitału</w:t>
      </w:r>
      <w:r w:rsidR="00477C54">
        <w:t>. Do </w:t>
      </w:r>
      <w:r w:rsidRPr="00254AB9">
        <w:t>pewnego stopnia taki przepływ jest wynikiem działania sił wolnorynkowych,</w:t>
      </w:r>
      <w:r w:rsidR="006343E1">
        <w:t xml:space="preserve"> </w:t>
      </w:r>
      <w:r w:rsidR="006343E1" w:rsidRPr="00254AB9">
        <w:t>w</w:t>
      </w:r>
      <w:r w:rsidR="006343E1">
        <w:t> </w:t>
      </w:r>
      <w:r w:rsidRPr="00254AB9">
        <w:t>wyniku któr</w:t>
      </w:r>
      <w:r w:rsidR="0066441F">
        <w:t>ego</w:t>
      </w:r>
      <w:r w:rsidRPr="00254AB9">
        <w:t xml:space="preserve"> gospodarka samoczynnie modernizuje swoją strukturę, są jednak sytuacje oraz powody (jak np. opóźniony czas reakcji systemu edukacyjnego) wymagające celowego czy nawet wyprzedzającego działania ze strony państwa. Jednak interwencja publiczna musi być oparta na dowodach dotyczących aktualnych</w:t>
      </w:r>
      <w:r w:rsidR="006343E1">
        <w:t xml:space="preserve"> </w:t>
      </w:r>
      <w:r w:rsidR="006343E1" w:rsidRPr="00254AB9">
        <w:t>i</w:t>
      </w:r>
      <w:r w:rsidR="006343E1">
        <w:t> </w:t>
      </w:r>
      <w:r w:rsidRPr="00254AB9">
        <w:t>potencjalnych przewag kraju</w:t>
      </w:r>
      <w:r w:rsidR="006343E1">
        <w:t xml:space="preserve"> </w:t>
      </w:r>
      <w:r w:rsidR="006343E1" w:rsidRPr="00254AB9">
        <w:t>w</w:t>
      </w:r>
      <w:r w:rsidR="006343E1">
        <w:t> </w:t>
      </w:r>
      <w:r w:rsidRPr="00254AB9">
        <w:t>kontekście sytuacji międzynarodowej,</w:t>
      </w:r>
      <w:r w:rsidR="006343E1">
        <w:t xml:space="preserve"> </w:t>
      </w:r>
      <w:r w:rsidR="006343E1" w:rsidRPr="00254AB9">
        <w:t>a</w:t>
      </w:r>
      <w:r w:rsidR="006343E1">
        <w:t> </w:t>
      </w:r>
      <w:r w:rsidRPr="00254AB9">
        <w:t>nie na arbitralnych decyzjach decydentów.</w:t>
      </w:r>
      <w:r w:rsidR="005144CE" w:rsidRPr="00254AB9">
        <w:t xml:space="preserve"> </w:t>
      </w:r>
      <w:r w:rsidR="003C663C">
        <w:t xml:space="preserve">Rolą polityki gospodarczej państwa jest bowiem tworzenie optymalnych warunków rozwoju branż i sektorów decydujących o konkurencyjności państwa zgodnie ze specyficznym potencjałem kraju. </w:t>
      </w:r>
    </w:p>
    <w:tbl>
      <w:tblPr>
        <w:tblW w:w="0" w:type="auto"/>
        <w:tblInd w:w="-38" w:type="dxa"/>
        <w:tblCellMar>
          <w:left w:w="70" w:type="dxa"/>
          <w:right w:w="70" w:type="dxa"/>
        </w:tblCellMar>
        <w:tblLook w:val="04A0" w:firstRow="1" w:lastRow="0" w:firstColumn="1" w:lastColumn="0" w:noHBand="0" w:noVBand="1"/>
      </w:tblPr>
      <w:tblGrid>
        <w:gridCol w:w="9110"/>
      </w:tblGrid>
      <w:tr w:rsidR="008E15C9" w:rsidRPr="00254AB9" w14:paraId="0B9B048A" w14:textId="77777777" w:rsidTr="008E15C9">
        <w:tc>
          <w:tcPr>
            <w:tcW w:w="9212" w:type="dxa"/>
            <w:shd w:val="clear" w:color="auto" w:fill="auto"/>
          </w:tcPr>
          <w:p w14:paraId="2D390C75" w14:textId="17C3DFFF" w:rsidR="008E15C9" w:rsidRPr="00254AB9" w:rsidRDefault="008E15C9" w:rsidP="008E15C9">
            <w:pPr>
              <w:keepNext/>
              <w:spacing w:after="0" w:line="240" w:lineRule="auto"/>
              <w:rPr>
                <w:rFonts w:cs="Calibri"/>
                <w:b/>
                <w:sz w:val="21"/>
                <w:szCs w:val="21"/>
              </w:rPr>
            </w:pPr>
            <w:r w:rsidRPr="00254AB9">
              <w:rPr>
                <w:rFonts w:cs="Calibri"/>
                <w:b/>
                <w:sz w:val="21"/>
                <w:szCs w:val="21"/>
              </w:rPr>
              <w:lastRenderedPageBreak/>
              <w:t xml:space="preserve">Wykres </w:t>
            </w:r>
            <w:r w:rsidRPr="00254AB9">
              <w:rPr>
                <w:rFonts w:cs="Calibri"/>
                <w:b/>
                <w:sz w:val="21"/>
                <w:szCs w:val="21"/>
              </w:rPr>
              <w:fldChar w:fldCharType="begin"/>
            </w:r>
            <w:r w:rsidRPr="00254AB9">
              <w:rPr>
                <w:rFonts w:cs="Calibri"/>
                <w:b/>
                <w:sz w:val="21"/>
                <w:szCs w:val="21"/>
              </w:rPr>
              <w:instrText xml:space="preserve"> SEQ Rysunek \* ARABIC </w:instrText>
            </w:r>
            <w:r w:rsidRPr="00254AB9">
              <w:rPr>
                <w:rFonts w:cs="Calibri"/>
                <w:b/>
                <w:sz w:val="21"/>
                <w:szCs w:val="21"/>
              </w:rPr>
              <w:fldChar w:fldCharType="separate"/>
            </w:r>
            <w:r w:rsidRPr="00254AB9">
              <w:rPr>
                <w:rFonts w:cs="Calibri"/>
                <w:b/>
                <w:noProof/>
                <w:sz w:val="21"/>
                <w:szCs w:val="21"/>
              </w:rPr>
              <w:t>6</w:t>
            </w:r>
            <w:r w:rsidRPr="00254AB9">
              <w:rPr>
                <w:rFonts w:cs="Calibri"/>
                <w:b/>
                <w:sz w:val="21"/>
                <w:szCs w:val="21"/>
              </w:rPr>
              <w:fldChar w:fldCharType="end"/>
            </w:r>
            <w:r w:rsidRPr="00254AB9">
              <w:rPr>
                <w:rFonts w:cs="Calibri"/>
                <w:b/>
                <w:sz w:val="21"/>
                <w:szCs w:val="21"/>
              </w:rPr>
              <w:t>. Realny PKB Polski jako % PKB USA (</w:t>
            </w:r>
            <w:r w:rsidRPr="00714B17">
              <w:rPr>
                <w:b/>
                <w:i/>
                <w:sz w:val="21"/>
              </w:rPr>
              <w:t>per capita</w:t>
            </w:r>
            <w:r w:rsidRPr="00254AB9">
              <w:rPr>
                <w:rFonts w:cs="Calibri"/>
                <w:b/>
                <w:sz w:val="21"/>
                <w:szCs w:val="21"/>
              </w:rPr>
              <w:t>,</w:t>
            </w:r>
            <w:r w:rsidR="006343E1">
              <w:rPr>
                <w:rFonts w:cs="Calibri"/>
                <w:b/>
                <w:sz w:val="21"/>
                <w:szCs w:val="21"/>
              </w:rPr>
              <w:t xml:space="preserve"> </w:t>
            </w:r>
            <w:r w:rsidR="006343E1" w:rsidRPr="00254AB9">
              <w:rPr>
                <w:rFonts w:cs="Calibri"/>
                <w:b/>
                <w:sz w:val="21"/>
                <w:szCs w:val="21"/>
              </w:rPr>
              <w:t>w</w:t>
            </w:r>
            <w:r w:rsidR="006343E1">
              <w:rPr>
                <w:rFonts w:cs="Calibri"/>
                <w:b/>
                <w:sz w:val="21"/>
                <w:szCs w:val="21"/>
              </w:rPr>
              <w:t> </w:t>
            </w:r>
            <w:r w:rsidRPr="00254AB9">
              <w:rPr>
                <w:rFonts w:cs="Calibri"/>
                <w:b/>
                <w:sz w:val="21"/>
                <w:szCs w:val="21"/>
              </w:rPr>
              <w:t>USD</w:t>
            </w:r>
            <w:r w:rsidR="0066441F">
              <w:rPr>
                <w:rFonts w:cs="Calibri"/>
                <w:b/>
                <w:sz w:val="21"/>
                <w:szCs w:val="21"/>
              </w:rPr>
              <w:t>,</w:t>
            </w:r>
            <w:r w:rsidR="006343E1">
              <w:rPr>
                <w:rFonts w:cs="Calibri"/>
                <w:b/>
                <w:sz w:val="21"/>
                <w:szCs w:val="21"/>
              </w:rPr>
              <w:t xml:space="preserve"> </w:t>
            </w:r>
            <w:r w:rsidR="006343E1" w:rsidRPr="00254AB9">
              <w:rPr>
                <w:rFonts w:cs="Calibri"/>
                <w:b/>
                <w:sz w:val="21"/>
                <w:szCs w:val="21"/>
              </w:rPr>
              <w:t>z</w:t>
            </w:r>
            <w:r w:rsidR="006343E1">
              <w:rPr>
                <w:rFonts w:cs="Calibri"/>
                <w:b/>
                <w:sz w:val="21"/>
                <w:szCs w:val="21"/>
              </w:rPr>
              <w:t> </w:t>
            </w:r>
            <w:r w:rsidRPr="00254AB9">
              <w:rPr>
                <w:rFonts w:cs="Calibri"/>
                <w:b/>
                <w:sz w:val="21"/>
                <w:szCs w:val="21"/>
              </w:rPr>
              <w:t>2011 r.)</w:t>
            </w:r>
          </w:p>
          <w:p w14:paraId="009FC025" w14:textId="77777777" w:rsidR="008E15C9" w:rsidRPr="00254AB9" w:rsidRDefault="008E15C9" w:rsidP="008E15C9">
            <w:pPr>
              <w:spacing w:after="0" w:line="240" w:lineRule="auto"/>
              <w:rPr>
                <w:rFonts w:cs="Calibri"/>
                <w:b/>
                <w:sz w:val="21"/>
                <w:szCs w:val="21"/>
              </w:rPr>
            </w:pPr>
            <w:r>
              <w:rPr>
                <w:noProof/>
                <w:lang w:eastAsia="pl-PL"/>
              </w:rPr>
              <w:drawing>
                <wp:inline distT="0" distB="0" distL="0" distR="0" wp14:anchorId="3A92B516" wp14:editId="2939CEDB">
                  <wp:extent cx="5027295" cy="3006725"/>
                  <wp:effectExtent l="0" t="0" r="1905" b="3175"/>
                  <wp:docPr id="56" name="Wykres 5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8E15C9" w:rsidRPr="00254AB9" w14:paraId="77B043AF" w14:textId="77777777" w:rsidTr="008E15C9">
        <w:tblPrEx>
          <w:tblCellMar>
            <w:left w:w="108" w:type="dxa"/>
            <w:right w:w="108" w:type="dxa"/>
          </w:tblCellMar>
        </w:tblPrEx>
        <w:tc>
          <w:tcPr>
            <w:tcW w:w="9212" w:type="dxa"/>
            <w:shd w:val="clear" w:color="auto" w:fill="auto"/>
          </w:tcPr>
          <w:p w14:paraId="3F075B70" w14:textId="1343AD04" w:rsidR="00D52A43" w:rsidRPr="00254AB9" w:rsidRDefault="00D52A43" w:rsidP="00D52A43">
            <w:pPr>
              <w:pStyle w:val="Bezodstpw"/>
            </w:pPr>
            <w:r w:rsidRPr="00254AB9">
              <w:t xml:space="preserve">Źródło: Obliczenie własne </w:t>
            </w:r>
            <w:r w:rsidR="003A56DA">
              <w:t>MRiT</w:t>
            </w:r>
            <w:r w:rsidR="003A5EA7">
              <w:t xml:space="preserve"> </w:t>
            </w:r>
            <w:r w:rsidRPr="00254AB9">
              <w:t xml:space="preserve">na podstawie danych </w:t>
            </w:r>
            <w:proofErr w:type="spellStart"/>
            <w:r w:rsidRPr="00254AB9">
              <w:t>Maddison</w:t>
            </w:r>
            <w:proofErr w:type="spellEnd"/>
            <w:r w:rsidRPr="00254AB9">
              <w:t xml:space="preserve"> Project Database</w:t>
            </w:r>
          </w:p>
          <w:p w14:paraId="5509E558" w14:textId="184BAE3C" w:rsidR="008E15C9" w:rsidRPr="00254AB9" w:rsidRDefault="00D52A43" w:rsidP="00714B17">
            <w:pPr>
              <w:pStyle w:val="Bezodstpw"/>
              <w:ind w:left="497"/>
              <w:rPr>
                <w:rFonts w:cs="Calibri"/>
                <w:sz w:val="21"/>
                <w:szCs w:val="21"/>
              </w:rPr>
            </w:pPr>
            <w:r w:rsidRPr="00254AB9">
              <w:t>(https://www.rug.nl/ggdc/historicaldevelopment/maddison/releases/maddison-project-database-2018)</w:t>
            </w:r>
          </w:p>
        </w:tc>
      </w:tr>
    </w:tbl>
    <w:p w14:paraId="1497F79A" w14:textId="044D6B2F" w:rsidR="008E15C9" w:rsidRPr="00254AB9" w:rsidRDefault="00BA2FCB" w:rsidP="003A5EA7">
      <w:r>
        <w:t>Na p</w:t>
      </w:r>
      <w:r w:rsidR="008E15C9" w:rsidRPr="00254AB9">
        <w:t>rzykład politykę prowadzoną</w:t>
      </w:r>
      <w:r w:rsidR="006343E1">
        <w:t xml:space="preserve"> </w:t>
      </w:r>
      <w:r w:rsidR="006343E1" w:rsidRPr="00254AB9">
        <w:t>w</w:t>
      </w:r>
      <w:r w:rsidR="006343E1">
        <w:t> </w:t>
      </w:r>
      <w:r w:rsidR="008E15C9" w:rsidRPr="00254AB9">
        <w:t>latach 70. można interpretować jako promowanie struktury przemysłu niezgodnej</w:t>
      </w:r>
      <w:r w:rsidR="006343E1">
        <w:t xml:space="preserve"> </w:t>
      </w:r>
      <w:r w:rsidR="006343E1" w:rsidRPr="00254AB9">
        <w:t>z</w:t>
      </w:r>
      <w:r w:rsidR="006343E1">
        <w:t> </w:t>
      </w:r>
      <w:r w:rsidR="008E15C9" w:rsidRPr="00254AB9">
        <w:t>aktualnymi przewagami konkurencyjnymi Polski, które</w:t>
      </w:r>
      <w:r w:rsidR="006343E1">
        <w:t xml:space="preserve"> </w:t>
      </w:r>
      <w:r w:rsidR="006343E1" w:rsidRPr="00254AB9">
        <w:t>w</w:t>
      </w:r>
      <w:r w:rsidR="006343E1">
        <w:t> </w:t>
      </w:r>
      <w:r w:rsidR="008E15C9" w:rsidRPr="00254AB9">
        <w:t>tamtym okresie polegały głównie na dużych zasobach taniej siły roboczej. Budowa gospodarki kapitałochłonnej</w:t>
      </w:r>
      <w:r w:rsidR="006343E1">
        <w:t xml:space="preserve"> </w:t>
      </w:r>
      <w:r w:rsidR="006343E1" w:rsidRPr="00254AB9">
        <w:t>w</w:t>
      </w:r>
      <w:r w:rsidR="006343E1">
        <w:t> </w:t>
      </w:r>
      <w:r w:rsidR="008E15C9" w:rsidRPr="00254AB9">
        <w:t>oparciu</w:t>
      </w:r>
      <w:r w:rsidR="006343E1">
        <w:t xml:space="preserve"> </w:t>
      </w:r>
      <w:r w:rsidR="006343E1" w:rsidRPr="00254AB9">
        <w:t>o</w:t>
      </w:r>
      <w:r w:rsidR="006343E1">
        <w:t> </w:t>
      </w:r>
      <w:r w:rsidR="008E15C9" w:rsidRPr="00254AB9">
        <w:t>kredyt zagraniczny w warunkach, gdy kapitał</w:t>
      </w:r>
      <w:r w:rsidR="006343E1">
        <w:t xml:space="preserve"> </w:t>
      </w:r>
      <w:r w:rsidR="006343E1" w:rsidRPr="00254AB9">
        <w:t>w</w:t>
      </w:r>
      <w:r w:rsidR="006343E1">
        <w:t> </w:t>
      </w:r>
      <w:r w:rsidR="008E15C9" w:rsidRPr="00254AB9">
        <w:t>Polsce był zasobem relatywnie dużo rzadszym niż obecnie, spowodowała</w:t>
      </w:r>
      <w:r w:rsidR="00477C54">
        <w:t>, że </w:t>
      </w:r>
      <w:r w:rsidR="008E15C9" w:rsidRPr="00254AB9">
        <w:t>wyznaczony odgórnie model produkcji był niemożliwy do utrzymania</w:t>
      </w:r>
      <w:r w:rsidR="006343E1">
        <w:t xml:space="preserve"> </w:t>
      </w:r>
      <w:r w:rsidR="006343E1" w:rsidRPr="00254AB9">
        <w:t>w</w:t>
      </w:r>
      <w:r w:rsidR="006343E1">
        <w:t> </w:t>
      </w:r>
      <w:r w:rsidR="008E15C9" w:rsidRPr="00254AB9">
        <w:t>oparciu</w:t>
      </w:r>
      <w:r w:rsidR="006343E1">
        <w:t xml:space="preserve"> </w:t>
      </w:r>
      <w:r w:rsidR="006343E1" w:rsidRPr="00254AB9">
        <w:t>o</w:t>
      </w:r>
      <w:r w:rsidR="006343E1">
        <w:t> </w:t>
      </w:r>
      <w:r w:rsidR="008E15C9" w:rsidRPr="00254AB9">
        <w:t>zasoby wewnętrzne. Negatywne skutki uzależnienia od kredytu zagranicznego uwidoczniły się</w:t>
      </w:r>
      <w:r w:rsidR="006343E1">
        <w:t xml:space="preserve"> </w:t>
      </w:r>
      <w:r w:rsidR="006343E1" w:rsidRPr="00254AB9">
        <w:t>w</w:t>
      </w:r>
      <w:r w:rsidR="006343E1">
        <w:t> </w:t>
      </w:r>
      <w:r w:rsidR="008E15C9" w:rsidRPr="00254AB9">
        <w:t>momencie wzrostu stóp procentowych</w:t>
      </w:r>
      <w:r w:rsidR="006343E1">
        <w:t xml:space="preserve"> </w:t>
      </w:r>
      <w:r w:rsidR="006343E1" w:rsidRPr="00254AB9">
        <w:t>w</w:t>
      </w:r>
      <w:r w:rsidR="006343E1">
        <w:t> </w:t>
      </w:r>
      <w:r w:rsidR="008E15C9" w:rsidRPr="00254AB9">
        <w:t>USA, wymuszonego stagflacją wywołaną nałożeniem się wzrostu cen ropy naftowej na ekspansywną politykę monetarną Rezerwy Federalnej</w:t>
      </w:r>
      <w:r w:rsidR="006343E1">
        <w:t xml:space="preserve"> </w:t>
      </w:r>
      <w:r w:rsidR="006343E1" w:rsidRPr="00254AB9">
        <w:t>w</w:t>
      </w:r>
      <w:r w:rsidR="006343E1">
        <w:t> </w:t>
      </w:r>
      <w:r w:rsidR="008E15C9" w:rsidRPr="00254AB9">
        <w:t xml:space="preserve">latach poprzednich. Kapitał zewnętrzny </w:t>
      </w:r>
      <w:r w:rsidR="008E15C9" w:rsidRPr="000C5EEF">
        <w:t>szybko</w:t>
      </w:r>
      <w:r w:rsidR="008E15C9" w:rsidRPr="00254AB9">
        <w:t xml:space="preserve"> okazał się dla Polski zbyt drogi. Musiało nastąpić odejście od tej polityki i długotrwała, społecznie bolesna adaptacja struktury gospodarczej do ograniczeń wynikających z posiadanych zasobów pracy, kapitału, technologii</w:t>
      </w:r>
      <w:r w:rsidR="006343E1">
        <w:t xml:space="preserve"> </w:t>
      </w:r>
      <w:r w:rsidR="006343E1" w:rsidRPr="00254AB9">
        <w:t>i</w:t>
      </w:r>
      <w:r w:rsidR="006343E1">
        <w:t> </w:t>
      </w:r>
      <w:r w:rsidR="008E15C9" w:rsidRPr="00254AB9">
        <w:t>kultury organizacyjnej. Polski PKB do relacji</w:t>
      </w:r>
      <w:r w:rsidR="006343E1">
        <w:t xml:space="preserve"> </w:t>
      </w:r>
      <w:r w:rsidR="006343E1" w:rsidRPr="00254AB9">
        <w:t>z</w:t>
      </w:r>
      <w:r w:rsidR="006343E1">
        <w:t> </w:t>
      </w:r>
      <w:r w:rsidR="008E15C9" w:rsidRPr="00254AB9">
        <w:t>1975 roku względem amerykańskiego powrócił dopiero 25 lat później</w:t>
      </w:r>
      <w:r w:rsidR="006343E1">
        <w:t xml:space="preserve"> </w:t>
      </w:r>
      <w:r w:rsidR="006343E1" w:rsidRPr="00254AB9">
        <w:t>w</w:t>
      </w:r>
      <w:r w:rsidR="006343E1">
        <w:t> </w:t>
      </w:r>
      <w:r w:rsidR="008E15C9" w:rsidRPr="00254AB9">
        <w:t xml:space="preserve">warunkach gospodarki wolnorynkowej, po czym po przystąpieniu do Unii Europejskiej nastąpił jego bardzo szybki wzrost.  </w:t>
      </w:r>
    </w:p>
    <w:p w14:paraId="250297C7" w14:textId="44B8FECA" w:rsidR="008E15C9" w:rsidRPr="00254AB9" w:rsidRDefault="008E15C9" w:rsidP="003A5EA7">
      <w:r w:rsidRPr="00254AB9">
        <w:t>Wykres 7. pokazuje</w:t>
      </w:r>
      <w:r w:rsidR="00477C54">
        <w:t>, że </w:t>
      </w:r>
      <w:r w:rsidRPr="00254AB9">
        <w:t>obecnie</w:t>
      </w:r>
      <w:r w:rsidR="006343E1">
        <w:t xml:space="preserve"> </w:t>
      </w:r>
      <w:r w:rsidR="006343E1" w:rsidRPr="00254AB9">
        <w:t>w</w:t>
      </w:r>
      <w:r w:rsidR="006343E1">
        <w:t> </w:t>
      </w:r>
      <w:r w:rsidR="00704807">
        <w:t>p</w:t>
      </w:r>
      <w:r w:rsidRPr="00254AB9">
        <w:t xml:space="preserve">olskiej gospodarce zmiana strukturalna faktycznie zachodzi, nawet pomimo braku sformułowanej </w:t>
      </w:r>
      <w:r w:rsidRPr="00714B17">
        <w:rPr>
          <w:i/>
        </w:rPr>
        <w:t>explicite</w:t>
      </w:r>
      <w:r w:rsidRPr="00254AB9">
        <w:t xml:space="preserve"> polityki przemysłowej</w:t>
      </w:r>
      <w:r w:rsidRPr="00254AB9">
        <w:rPr>
          <w:rStyle w:val="Odwoanieprzypisudolnego"/>
          <w:rFonts w:cs="Calibri"/>
          <w:sz w:val="21"/>
          <w:szCs w:val="21"/>
        </w:rPr>
        <w:footnoteReference w:id="7"/>
      </w:r>
      <w:r w:rsidRPr="00254AB9">
        <w:t>.</w:t>
      </w:r>
      <w:r w:rsidR="006343E1">
        <w:t xml:space="preserve"> </w:t>
      </w:r>
      <w:r w:rsidR="006343E1" w:rsidRPr="00254AB9">
        <w:t>W</w:t>
      </w:r>
      <w:r w:rsidR="006343E1">
        <w:t> </w:t>
      </w:r>
      <w:r w:rsidRPr="00254AB9">
        <w:t>całości wartości dodanej między rokiem 2010</w:t>
      </w:r>
      <w:r w:rsidR="006343E1">
        <w:t xml:space="preserve"> </w:t>
      </w:r>
      <w:r w:rsidR="006343E1" w:rsidRPr="00254AB9">
        <w:t>a</w:t>
      </w:r>
      <w:r w:rsidR="006343E1">
        <w:t> </w:t>
      </w:r>
      <w:r w:rsidRPr="00254AB9">
        <w:t>2016 udział przemysłu przetwórczego wzrósł</w:t>
      </w:r>
      <w:r w:rsidR="006343E1">
        <w:t xml:space="preserve"> </w:t>
      </w:r>
      <w:r w:rsidR="006343E1" w:rsidRPr="00254AB9">
        <w:t>z</w:t>
      </w:r>
      <w:r w:rsidR="006343E1">
        <w:t> </w:t>
      </w:r>
      <w:r w:rsidRPr="00254AB9">
        <w:t>17,7</w:t>
      </w:r>
      <w:r w:rsidR="00704807">
        <w:t>%</w:t>
      </w:r>
      <w:r w:rsidRPr="00254AB9">
        <w:t xml:space="preserve"> do 20,4%, przy spadku handlu</w:t>
      </w:r>
      <w:r w:rsidR="006343E1">
        <w:t xml:space="preserve"> </w:t>
      </w:r>
      <w:r w:rsidR="006343E1" w:rsidRPr="00254AB9">
        <w:t>z</w:t>
      </w:r>
      <w:r w:rsidR="006343E1">
        <w:t> </w:t>
      </w:r>
      <w:r w:rsidRPr="00254AB9">
        <w:t>19,3</w:t>
      </w:r>
      <w:r w:rsidR="00704807">
        <w:t>%</w:t>
      </w:r>
      <w:r w:rsidRPr="00254AB9">
        <w:t xml:space="preserve"> do 17,4%.</w:t>
      </w:r>
      <w:r w:rsidR="006343E1">
        <w:t xml:space="preserve"> </w:t>
      </w:r>
      <w:r w:rsidR="006343E1" w:rsidRPr="00254AB9">
        <w:t>Z</w:t>
      </w:r>
      <w:r w:rsidR="006343E1">
        <w:t> </w:t>
      </w:r>
      <w:r w:rsidRPr="00254AB9">
        <w:t>racji większego proinnowacyjnego</w:t>
      </w:r>
      <w:r w:rsidR="006343E1">
        <w:t xml:space="preserve"> </w:t>
      </w:r>
      <w:r w:rsidR="006343E1" w:rsidRPr="00254AB9">
        <w:t>i</w:t>
      </w:r>
      <w:r w:rsidR="006343E1">
        <w:t> </w:t>
      </w:r>
      <w:r w:rsidRPr="00254AB9">
        <w:t>proeksportowego potencjału przemysłu należy tę zmianę traktować jako zjawisko pozytywne. Równolegle wzrósł udział usług administracyjnych (odzwierciedlając specjalizację Polski</w:t>
      </w:r>
      <w:r w:rsidR="006343E1">
        <w:t xml:space="preserve"> </w:t>
      </w:r>
      <w:r w:rsidR="006343E1" w:rsidRPr="00254AB9">
        <w:t>w</w:t>
      </w:r>
      <w:r w:rsidR="006343E1">
        <w:t> </w:t>
      </w:r>
      <w:r w:rsidRPr="00254AB9">
        <w:t>obszarze outsourcingu procesów biznesowych (BPO), informacji</w:t>
      </w:r>
      <w:r w:rsidR="006343E1">
        <w:t xml:space="preserve"> </w:t>
      </w:r>
      <w:r w:rsidR="006343E1" w:rsidRPr="00254AB9">
        <w:t>i</w:t>
      </w:r>
      <w:r w:rsidR="006343E1">
        <w:t> </w:t>
      </w:r>
      <w:r w:rsidRPr="00254AB9">
        <w:t>komunikacji oraz działalności profesjonalnej naukowej</w:t>
      </w:r>
      <w:r w:rsidR="006343E1">
        <w:t xml:space="preserve"> </w:t>
      </w:r>
      <w:r w:rsidR="006343E1" w:rsidRPr="00254AB9">
        <w:t>i</w:t>
      </w:r>
      <w:r w:rsidR="006343E1">
        <w:t> </w:t>
      </w:r>
      <w:r w:rsidRPr="00254AB9">
        <w:t>technicznej</w:t>
      </w:r>
      <w:r w:rsidR="00704807">
        <w:t>)</w:t>
      </w:r>
      <w:r w:rsidRPr="00254AB9">
        <w:t>. Spadł natomiast udział branż tradycyjnych jak górnictwo, budownictwo</w:t>
      </w:r>
      <w:r w:rsidR="006343E1">
        <w:t xml:space="preserve"> </w:t>
      </w:r>
      <w:r w:rsidR="006343E1" w:rsidRPr="00254AB9">
        <w:t>i</w:t>
      </w:r>
      <w:r w:rsidR="006343E1">
        <w:t> </w:t>
      </w:r>
      <w:r w:rsidRPr="00254AB9">
        <w:t>rolnictwo. Analizując temat</w:t>
      </w:r>
      <w:r w:rsidR="006343E1">
        <w:t xml:space="preserve"> </w:t>
      </w:r>
      <w:r w:rsidR="006343E1" w:rsidRPr="00254AB9">
        <w:t>w</w:t>
      </w:r>
      <w:r w:rsidR="006343E1">
        <w:t> </w:t>
      </w:r>
      <w:r w:rsidRPr="00254AB9">
        <w:t>kategoriach zmian</w:t>
      </w:r>
      <w:r w:rsidR="006343E1">
        <w:t xml:space="preserve"> </w:t>
      </w:r>
      <w:r w:rsidR="006343E1" w:rsidRPr="00254AB9">
        <w:t>w</w:t>
      </w:r>
      <w:r w:rsidR="006343E1">
        <w:t> </w:t>
      </w:r>
      <w:r w:rsidRPr="00254AB9">
        <w:t>zatrudnieniu</w:t>
      </w:r>
      <w:r w:rsidR="00704807">
        <w:t>,</w:t>
      </w:r>
      <w:r w:rsidRPr="00254AB9">
        <w:t xml:space="preserve"> należy zauważyć</w:t>
      </w:r>
      <w:r w:rsidR="00477C54">
        <w:t>, że </w:t>
      </w:r>
      <w:r w:rsidRPr="00254AB9">
        <w:t xml:space="preserve">dwiema kategoriami pod względem intensywności </w:t>
      </w:r>
      <w:r>
        <w:t xml:space="preserve">prac </w:t>
      </w:r>
      <w:r w:rsidRPr="00254AB9">
        <w:lastRenderedPageBreak/>
        <w:t>B+R,</w:t>
      </w:r>
      <w:r w:rsidR="006343E1">
        <w:t xml:space="preserve"> </w:t>
      </w:r>
      <w:r w:rsidR="006343E1" w:rsidRPr="00254AB9">
        <w:t>w</w:t>
      </w:r>
      <w:r w:rsidR="006343E1">
        <w:t> </w:t>
      </w:r>
      <w:r w:rsidRPr="00254AB9">
        <w:t>których nastąpiła największa zmiana między 2010</w:t>
      </w:r>
      <w:r w:rsidR="006343E1">
        <w:t xml:space="preserve"> </w:t>
      </w:r>
      <w:r w:rsidR="006343E1" w:rsidRPr="00254AB9">
        <w:t>a</w:t>
      </w:r>
      <w:r w:rsidR="006343E1">
        <w:t> </w:t>
      </w:r>
      <w:r w:rsidRPr="00254AB9">
        <w:t>2016 r</w:t>
      </w:r>
      <w:r w:rsidR="00704807">
        <w:t>okiem,</w:t>
      </w:r>
      <w:r w:rsidRPr="00254AB9">
        <w:t xml:space="preserve"> były usługi wysokiej technologii (ponad 45%) oraz rynkowe usługi oparte na wiedzy (30%)</w:t>
      </w:r>
      <w:r w:rsidRPr="00254AB9">
        <w:rPr>
          <w:rStyle w:val="Odwoanieprzypisudolnego"/>
          <w:rFonts w:cs="Calibri"/>
          <w:sz w:val="21"/>
          <w:szCs w:val="21"/>
        </w:rPr>
        <w:footnoteReference w:id="8"/>
      </w:r>
      <w:r w:rsidRPr="00254AB9">
        <w:t>.</w:t>
      </w:r>
    </w:p>
    <w:tbl>
      <w:tblPr>
        <w:tblW w:w="0" w:type="auto"/>
        <w:tblInd w:w="108" w:type="dxa"/>
        <w:tblLook w:val="04A0" w:firstRow="1" w:lastRow="0" w:firstColumn="1" w:lastColumn="0" w:noHBand="0" w:noVBand="1"/>
      </w:tblPr>
      <w:tblGrid>
        <w:gridCol w:w="7511"/>
      </w:tblGrid>
      <w:tr w:rsidR="008E15C9" w:rsidRPr="00254AB9" w14:paraId="401771A6" w14:textId="77777777" w:rsidTr="008E15C9">
        <w:tc>
          <w:tcPr>
            <w:tcW w:w="7511" w:type="dxa"/>
            <w:shd w:val="clear" w:color="auto" w:fill="auto"/>
          </w:tcPr>
          <w:p w14:paraId="6F85760C" w14:textId="045A68EC" w:rsidR="008E15C9" w:rsidRPr="00254AB9" w:rsidRDefault="008E15C9" w:rsidP="003A5EA7">
            <w:pPr>
              <w:pStyle w:val="Nagwek4"/>
            </w:pPr>
            <w:r w:rsidRPr="00254AB9">
              <w:t xml:space="preserve">Wykres </w:t>
            </w:r>
            <w:r w:rsidR="00C8306C">
              <w:rPr>
                <w:noProof/>
              </w:rPr>
              <w:fldChar w:fldCharType="begin"/>
            </w:r>
            <w:r w:rsidR="00C8306C">
              <w:rPr>
                <w:noProof/>
              </w:rPr>
              <w:instrText xml:space="preserve"> SEQ Rysunek \* ARABIC </w:instrText>
            </w:r>
            <w:r w:rsidR="00C8306C">
              <w:rPr>
                <w:noProof/>
              </w:rPr>
              <w:fldChar w:fldCharType="separate"/>
            </w:r>
            <w:r w:rsidRPr="00254AB9">
              <w:rPr>
                <w:noProof/>
              </w:rPr>
              <w:t>7</w:t>
            </w:r>
            <w:r w:rsidR="00C8306C">
              <w:rPr>
                <w:noProof/>
              </w:rPr>
              <w:fldChar w:fldCharType="end"/>
            </w:r>
            <w:r w:rsidRPr="00254AB9">
              <w:t>. Udziały branż polskiej gospodarki</w:t>
            </w:r>
            <w:r w:rsidR="006343E1">
              <w:t xml:space="preserve"> </w:t>
            </w:r>
            <w:r w:rsidR="006343E1" w:rsidRPr="00254AB9">
              <w:t>w</w:t>
            </w:r>
            <w:r w:rsidR="006343E1">
              <w:t> </w:t>
            </w:r>
            <w:r w:rsidRPr="00254AB9">
              <w:t>wytworzonej wartości dodanej</w:t>
            </w:r>
          </w:p>
          <w:p w14:paraId="6E0E9282" w14:textId="65891401" w:rsidR="008E15C9" w:rsidRPr="00714B17" w:rsidRDefault="008E15C9" w:rsidP="00714B17">
            <w:pPr>
              <w:pStyle w:val="Bezodstpw"/>
              <w:ind w:left="918"/>
              <w:rPr>
                <w:i w:val="0"/>
              </w:rPr>
            </w:pPr>
            <w:r w:rsidRPr="00714B17">
              <w:rPr>
                <w:i w:val="0"/>
              </w:rPr>
              <w:t>(% całkowitej wartości dodanej</w:t>
            </w:r>
            <w:r w:rsidR="006343E1" w:rsidRPr="00714B17">
              <w:rPr>
                <w:i w:val="0"/>
              </w:rPr>
              <w:t xml:space="preserve"> w </w:t>
            </w:r>
            <w:r w:rsidRPr="00714B17">
              <w:rPr>
                <w:i w:val="0"/>
              </w:rPr>
              <w:t>gospodarce)</w:t>
            </w:r>
          </w:p>
        </w:tc>
      </w:tr>
      <w:tr w:rsidR="008E15C9" w:rsidRPr="00254AB9" w14:paraId="004632FB" w14:textId="77777777" w:rsidTr="008E15C9">
        <w:tc>
          <w:tcPr>
            <w:tcW w:w="7511" w:type="dxa"/>
            <w:shd w:val="clear" w:color="auto" w:fill="auto"/>
          </w:tcPr>
          <w:p w14:paraId="5E6FC0D9" w14:textId="77777777" w:rsidR="008E15C9" w:rsidRPr="00254AB9" w:rsidRDefault="008E15C9" w:rsidP="008E15C9">
            <w:pPr>
              <w:spacing w:after="0" w:line="240" w:lineRule="auto"/>
              <w:rPr>
                <w:rFonts w:cs="Calibri"/>
                <w:sz w:val="21"/>
                <w:szCs w:val="21"/>
              </w:rPr>
            </w:pPr>
            <w:r>
              <w:rPr>
                <w:rFonts w:cs="Calibri"/>
                <w:noProof/>
                <w:sz w:val="21"/>
                <w:szCs w:val="21"/>
                <w:lang w:eastAsia="pl-PL"/>
              </w:rPr>
              <w:drawing>
                <wp:inline distT="0" distB="0" distL="0" distR="0" wp14:anchorId="29C17470" wp14:editId="51713613">
                  <wp:extent cx="4632325" cy="2890494"/>
                  <wp:effectExtent l="0" t="0" r="0" b="5715"/>
                  <wp:docPr id="55" name="Obraz 55" descr="Udziały branż polskiej gospodarki w łącznej wartości wytworzonych dóbr i usł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Udziały branż polskiej gospodarki w łącznej wartości wytworzonych dóbr i usług"/>
                          <pic:cNvPicPr>
                            <a:picLocks noChangeAspect="1" noChangeArrowheads="1"/>
                          </pic:cNvPicPr>
                        </pic:nvPicPr>
                        <pic:blipFill rotWithShape="1">
                          <a:blip r:embed="rId19">
                            <a:extLst>
                              <a:ext uri="{28A0092B-C50C-407E-A947-70E740481C1C}">
                                <a14:useLocalDpi xmlns:a14="http://schemas.microsoft.com/office/drawing/2010/main" val="0"/>
                              </a:ext>
                            </a:extLst>
                          </a:blip>
                          <a:srcRect t="6396"/>
                          <a:stretch/>
                        </pic:blipFill>
                        <pic:spPr bwMode="auto">
                          <a:xfrm>
                            <a:off x="0" y="0"/>
                            <a:ext cx="4632325" cy="289049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E15C9" w:rsidRPr="00254AB9" w14:paraId="4C65B64B" w14:textId="77777777" w:rsidTr="008E15C9">
        <w:tc>
          <w:tcPr>
            <w:tcW w:w="7511" w:type="dxa"/>
            <w:shd w:val="clear" w:color="auto" w:fill="auto"/>
          </w:tcPr>
          <w:p w14:paraId="201E7B1C" w14:textId="14A9F04C" w:rsidR="008E15C9" w:rsidRPr="00254AB9" w:rsidRDefault="008E15C9" w:rsidP="008E15C9">
            <w:pPr>
              <w:pStyle w:val="Bezodstpw"/>
            </w:pPr>
            <w:r w:rsidRPr="00254AB9">
              <w:t xml:space="preserve">Źródło: Opracowanie </w:t>
            </w:r>
            <w:r w:rsidR="003A56DA">
              <w:t>MRiT</w:t>
            </w:r>
            <w:r w:rsidR="003A5EA7">
              <w:t xml:space="preserve"> </w:t>
            </w:r>
            <w:r w:rsidRPr="00254AB9">
              <w:t>na podstawie danych GUS</w:t>
            </w:r>
          </w:p>
        </w:tc>
      </w:tr>
    </w:tbl>
    <w:p w14:paraId="750F2A4B" w14:textId="5AA26CF1" w:rsidR="008E15C9" w:rsidRPr="00254AB9" w:rsidRDefault="008E15C9" w:rsidP="008E15C9">
      <w:r w:rsidRPr="00254AB9">
        <w:t>Stymulowanie przepływu zasobów siły roboczej do branż</w:t>
      </w:r>
      <w:r w:rsidR="006343E1">
        <w:t xml:space="preserve"> </w:t>
      </w:r>
      <w:r w:rsidR="006343E1" w:rsidRPr="00254AB9">
        <w:t>o</w:t>
      </w:r>
      <w:r w:rsidR="006343E1">
        <w:t> </w:t>
      </w:r>
      <w:r w:rsidRPr="00254AB9">
        <w:t>wyższej produktywności nie jest procesem łatwym</w:t>
      </w:r>
      <w:r w:rsidR="006343E1">
        <w:t xml:space="preserve"> </w:t>
      </w:r>
      <w:r w:rsidR="006343E1" w:rsidRPr="00254AB9">
        <w:t>z</w:t>
      </w:r>
      <w:r w:rsidR="006343E1">
        <w:t> </w:t>
      </w:r>
      <w:r w:rsidRPr="00254AB9">
        <w:t>wielu względów. Obok poprawnego zdiagnozowania mocnych stron</w:t>
      </w:r>
      <w:r w:rsidR="006343E1">
        <w:t xml:space="preserve"> </w:t>
      </w:r>
      <w:r w:rsidR="006343E1" w:rsidRPr="00254AB9">
        <w:t>i</w:t>
      </w:r>
      <w:r w:rsidR="006343E1">
        <w:t> </w:t>
      </w:r>
      <w:r w:rsidRPr="00254AB9">
        <w:t>ograniczeń gospodarki narodowej duże znaczenie ma opóźnienie,</w:t>
      </w:r>
      <w:r w:rsidR="006343E1">
        <w:t xml:space="preserve"> </w:t>
      </w:r>
      <w:r w:rsidR="006343E1" w:rsidRPr="00254AB9">
        <w:t>z</w:t>
      </w:r>
      <w:r w:rsidR="006343E1">
        <w:t> </w:t>
      </w:r>
      <w:r w:rsidRPr="00254AB9">
        <w:t>jakim system edukacyjny jest</w:t>
      </w:r>
      <w:r w:rsidR="006343E1">
        <w:t xml:space="preserve"> </w:t>
      </w:r>
      <w:r w:rsidR="006343E1" w:rsidRPr="00254AB9">
        <w:t>w</w:t>
      </w:r>
      <w:r w:rsidR="006343E1">
        <w:t> </w:t>
      </w:r>
      <w:r w:rsidRPr="00254AB9">
        <w:t>stanie dostosować podaż kompetencji do potrzeb wysoko produktywnych przedsiębiorców. Ponadto branże</w:t>
      </w:r>
      <w:r w:rsidR="006343E1">
        <w:t xml:space="preserve"> </w:t>
      </w:r>
      <w:r w:rsidR="006343E1" w:rsidRPr="00254AB9">
        <w:t>o</w:t>
      </w:r>
      <w:r w:rsidR="006343E1">
        <w:t> </w:t>
      </w:r>
      <w:r w:rsidRPr="00254AB9">
        <w:t>bardzo wysokiej produktywności często nie generują dużego popytu na pracę, a w przypadku wystąpienia</w:t>
      </w:r>
      <w:r w:rsidR="006343E1">
        <w:t xml:space="preserve"> </w:t>
      </w:r>
      <w:r w:rsidR="006343E1" w:rsidRPr="00254AB9">
        <w:t>w</w:t>
      </w:r>
      <w:r w:rsidR="006343E1">
        <w:t> </w:t>
      </w:r>
      <w:r w:rsidRPr="00254AB9">
        <w:t>miarę stałego popytu na ich produkty mogą wykazywać tendencję do jeszcze silniejszej automatyzacji, co oznacza zastępowanie pracy kapitałem. Czynnikiem szczególnie usprawniającym racjonalizację struktury zatrudnienia może być standaryzacja umiejętności.</w:t>
      </w:r>
    </w:p>
    <w:p w14:paraId="61D67149" w14:textId="3E0F31E6" w:rsidR="008E15C9" w:rsidRPr="00254AB9" w:rsidRDefault="008E15C9" w:rsidP="008E15C9">
      <w:r w:rsidRPr="00254AB9">
        <w:t>Szczególne znaczenie</w:t>
      </w:r>
      <w:r w:rsidR="006343E1">
        <w:t xml:space="preserve"> </w:t>
      </w:r>
      <w:r w:rsidR="006343E1" w:rsidRPr="00254AB9">
        <w:t>w</w:t>
      </w:r>
      <w:r w:rsidR="006343E1">
        <w:t> </w:t>
      </w:r>
      <w:r w:rsidRPr="00254AB9">
        <w:t>gospodarce ma przetwórstwo przemysłowe. Jak wskazano powyżej, wytwarza ono</w:t>
      </w:r>
      <w:r w:rsidR="006343E1">
        <w:t xml:space="preserve"> </w:t>
      </w:r>
      <w:r w:rsidR="006343E1" w:rsidRPr="00254AB9">
        <w:t>w</w:t>
      </w:r>
      <w:r w:rsidR="006343E1">
        <w:t> </w:t>
      </w:r>
      <w:r w:rsidRPr="00254AB9">
        <w:t>Polsce ponad 20% całości wartości dodanej, zatrudniając około 23% siły roboczej</w:t>
      </w:r>
      <w:r w:rsidRPr="00254AB9">
        <w:rPr>
          <w:rStyle w:val="Odwoanieprzypisudolnego"/>
          <w:rFonts w:cs="Calibri"/>
          <w:sz w:val="21"/>
          <w:szCs w:val="21"/>
        </w:rPr>
        <w:footnoteReference w:id="9"/>
      </w:r>
      <w:r w:rsidR="00477C54">
        <w:t>. Od </w:t>
      </w:r>
      <w:r w:rsidRPr="00254AB9">
        <w:t>poziomu jego konkurencyjności zależy bezpośrednio</w:t>
      </w:r>
      <w:r w:rsidR="006343E1">
        <w:t xml:space="preserve"> </w:t>
      </w:r>
      <w:r w:rsidR="006343E1" w:rsidRPr="00254AB9">
        <w:t>i</w:t>
      </w:r>
      <w:r w:rsidR="006343E1">
        <w:t> </w:t>
      </w:r>
      <w:r w:rsidRPr="00254AB9">
        <w:t>pośrednio dobrobyt milionów ludzi.</w:t>
      </w:r>
      <w:r w:rsidR="006343E1">
        <w:t xml:space="preserve"> </w:t>
      </w:r>
      <w:r w:rsidR="006343E1" w:rsidRPr="00254AB9">
        <w:t>W</w:t>
      </w:r>
      <w:r w:rsidR="006343E1">
        <w:t> </w:t>
      </w:r>
      <w:r w:rsidRPr="00254AB9">
        <w:t>porównaniu z wieloma branżami usługowymi cechuje się większym polem do wdrażania innowacji, większym potencjałem eksportowym oraz – pod warunkiem szerokiego wykorzystania technologii cyfrowych –   większymi możliwościami osiągnięcia efektów skali</w:t>
      </w:r>
      <w:r w:rsidR="006343E1">
        <w:t xml:space="preserve"> </w:t>
      </w:r>
      <w:r w:rsidR="006343E1" w:rsidRPr="00254AB9">
        <w:t>i</w:t>
      </w:r>
      <w:r w:rsidR="006343E1">
        <w:t> </w:t>
      </w:r>
      <w:r w:rsidRPr="00254AB9">
        <w:t xml:space="preserve">efektów sieci, czyli tempa wzrostu przychodów przewyższającego tempo </w:t>
      </w:r>
      <w:r w:rsidRPr="000C5EEF">
        <w:t>zwyżki</w:t>
      </w:r>
      <w:r w:rsidRPr="00254AB9">
        <w:t xml:space="preserve"> kosztów wraz</w:t>
      </w:r>
      <w:r w:rsidR="006343E1">
        <w:t xml:space="preserve"> </w:t>
      </w:r>
      <w:r w:rsidR="006343E1" w:rsidRPr="000C5EEF">
        <w:t>z</w:t>
      </w:r>
      <w:r w:rsidR="006343E1">
        <w:t> </w:t>
      </w:r>
      <w:r w:rsidRPr="000C5EEF">
        <w:t>przyrostem</w:t>
      </w:r>
      <w:r w:rsidRPr="00254AB9">
        <w:t xml:space="preserve"> wolumenu produkcji.</w:t>
      </w:r>
    </w:p>
    <w:p w14:paraId="7AC4E90A" w14:textId="38B07B41" w:rsidR="008E15C9" w:rsidRPr="003D6D53" w:rsidRDefault="008E15C9" w:rsidP="008E15C9">
      <w:pPr>
        <w:pStyle w:val="Nagwek2"/>
      </w:pPr>
      <w:bookmarkStart w:id="18" w:name="_Toc511921173"/>
      <w:bookmarkStart w:id="19" w:name="_Toc31808490"/>
      <w:bookmarkStart w:id="20" w:name="_Toc106968773"/>
      <w:r w:rsidRPr="002647FB">
        <w:t>Produktywność</w:t>
      </w:r>
      <w:r w:rsidR="006343E1">
        <w:t xml:space="preserve"> </w:t>
      </w:r>
      <w:r w:rsidR="006343E1" w:rsidRPr="003D6D53">
        <w:t>w</w:t>
      </w:r>
      <w:r w:rsidR="006343E1">
        <w:t> </w:t>
      </w:r>
      <w:r w:rsidRPr="003D6D53">
        <w:t>przetwórstwie przemysłowym</w:t>
      </w:r>
      <w:bookmarkEnd w:id="18"/>
      <w:bookmarkEnd w:id="19"/>
      <w:bookmarkEnd w:id="20"/>
    </w:p>
    <w:p w14:paraId="6F2D1792" w14:textId="2D96C7BE" w:rsidR="008E15C9" w:rsidRPr="00254AB9" w:rsidRDefault="008E15C9" w:rsidP="008E15C9">
      <w:pPr>
        <w:rPr>
          <w:noProof/>
          <w:lang w:eastAsia="pl-PL"/>
        </w:rPr>
      </w:pPr>
      <w:r w:rsidRPr="00254AB9">
        <w:rPr>
          <w:noProof/>
          <w:lang w:eastAsia="pl-PL"/>
        </w:rPr>
        <w:t>W ciągu 10 lat od wejścia do Unii Europejskiej, między rokiem 2005</w:t>
      </w:r>
      <w:r w:rsidR="006343E1">
        <w:rPr>
          <w:noProof/>
          <w:lang w:eastAsia="pl-PL"/>
        </w:rPr>
        <w:t xml:space="preserve"> </w:t>
      </w:r>
      <w:r w:rsidR="006343E1" w:rsidRPr="00254AB9">
        <w:rPr>
          <w:noProof/>
          <w:lang w:eastAsia="pl-PL"/>
        </w:rPr>
        <w:t>a</w:t>
      </w:r>
      <w:r w:rsidR="006343E1">
        <w:rPr>
          <w:noProof/>
          <w:lang w:eastAsia="pl-PL"/>
        </w:rPr>
        <w:t> </w:t>
      </w:r>
      <w:r w:rsidRPr="00254AB9">
        <w:rPr>
          <w:noProof/>
          <w:lang w:eastAsia="pl-PL"/>
        </w:rPr>
        <w:t>2015, produktywność polskiego przetwórstwa przemysłowego mierzona wartością dodaną na pracującego wzrosła</w:t>
      </w:r>
      <w:r w:rsidR="006343E1">
        <w:rPr>
          <w:noProof/>
          <w:lang w:eastAsia="pl-PL"/>
        </w:rPr>
        <w:t xml:space="preserve"> </w:t>
      </w:r>
      <w:r w:rsidR="006343E1" w:rsidRPr="00254AB9">
        <w:rPr>
          <w:noProof/>
          <w:lang w:eastAsia="pl-PL"/>
        </w:rPr>
        <w:t>o</w:t>
      </w:r>
      <w:r w:rsidR="006343E1">
        <w:rPr>
          <w:noProof/>
          <w:lang w:eastAsia="pl-PL"/>
        </w:rPr>
        <w:t> </w:t>
      </w:r>
      <w:r w:rsidRPr="00254AB9">
        <w:rPr>
          <w:noProof/>
          <w:lang w:eastAsia="pl-PL"/>
        </w:rPr>
        <w:t xml:space="preserve">70,5%. Wzrost ten był </w:t>
      </w:r>
      <w:r w:rsidRPr="00254AB9">
        <w:rPr>
          <w:noProof/>
          <w:lang w:eastAsia="pl-PL"/>
        </w:rPr>
        <w:lastRenderedPageBreak/>
        <w:t>jednak różny</w:t>
      </w:r>
      <w:r w:rsidR="006343E1">
        <w:rPr>
          <w:noProof/>
          <w:lang w:eastAsia="pl-PL"/>
        </w:rPr>
        <w:t xml:space="preserve"> </w:t>
      </w:r>
      <w:r w:rsidR="006343E1" w:rsidRPr="00254AB9">
        <w:rPr>
          <w:noProof/>
          <w:lang w:eastAsia="pl-PL"/>
        </w:rPr>
        <w:t>w</w:t>
      </w:r>
      <w:r w:rsidR="006343E1">
        <w:rPr>
          <w:noProof/>
          <w:lang w:eastAsia="pl-PL"/>
        </w:rPr>
        <w:t> </w:t>
      </w:r>
      <w:r w:rsidRPr="00254AB9">
        <w:rPr>
          <w:noProof/>
          <w:lang w:eastAsia="pl-PL"/>
        </w:rPr>
        <w:t>poszczególnych branżach</w:t>
      </w:r>
      <w:r w:rsidR="006343E1">
        <w:rPr>
          <w:noProof/>
          <w:lang w:eastAsia="pl-PL"/>
        </w:rPr>
        <w:t xml:space="preserve"> </w:t>
      </w:r>
      <w:r w:rsidR="006343E1" w:rsidRPr="00254AB9">
        <w:rPr>
          <w:noProof/>
          <w:lang w:eastAsia="pl-PL"/>
        </w:rPr>
        <w:t>i</w:t>
      </w:r>
      <w:r w:rsidR="006343E1">
        <w:rPr>
          <w:noProof/>
          <w:lang w:eastAsia="pl-PL"/>
        </w:rPr>
        <w:t> </w:t>
      </w:r>
      <w:r w:rsidRPr="00254AB9">
        <w:rPr>
          <w:noProof/>
          <w:lang w:eastAsia="pl-PL"/>
        </w:rPr>
        <w:t>wahał się od 32% dla poligrafii</w:t>
      </w:r>
      <w:r w:rsidR="006343E1">
        <w:rPr>
          <w:noProof/>
          <w:lang w:eastAsia="pl-PL"/>
        </w:rPr>
        <w:t xml:space="preserve"> </w:t>
      </w:r>
      <w:r w:rsidR="006343E1" w:rsidRPr="00254AB9">
        <w:rPr>
          <w:noProof/>
          <w:lang w:eastAsia="pl-PL"/>
        </w:rPr>
        <w:t>i</w:t>
      </w:r>
      <w:r w:rsidR="006343E1">
        <w:rPr>
          <w:noProof/>
          <w:lang w:eastAsia="pl-PL"/>
        </w:rPr>
        <w:t> </w:t>
      </w:r>
      <w:r w:rsidRPr="00254AB9">
        <w:rPr>
          <w:noProof/>
          <w:lang w:eastAsia="pl-PL"/>
        </w:rPr>
        <w:t xml:space="preserve">reprodukcji nośników danych do 212% dla produkcji wyrobów tytoniowych. Wartością wyraźnie odstającą od pozostałych jest produktywność </w:t>
      </w:r>
      <w:r w:rsidR="00386727">
        <w:rPr>
          <w:noProof/>
          <w:lang w:eastAsia="pl-PL"/>
        </w:rPr>
        <w:t>trzech</w:t>
      </w:r>
      <w:r w:rsidR="00386727" w:rsidRPr="00254AB9">
        <w:rPr>
          <w:noProof/>
          <w:lang w:eastAsia="pl-PL"/>
        </w:rPr>
        <w:t xml:space="preserve"> </w:t>
      </w:r>
      <w:r w:rsidRPr="00254AB9">
        <w:rPr>
          <w:noProof/>
          <w:lang w:eastAsia="pl-PL"/>
        </w:rPr>
        <w:t>branż: tytoniowej</w:t>
      </w:r>
      <w:r w:rsidR="00386727">
        <w:rPr>
          <w:noProof/>
          <w:lang w:eastAsia="pl-PL"/>
        </w:rPr>
        <w:t>, koksowniczej</w:t>
      </w:r>
      <w:r w:rsidR="006343E1">
        <w:rPr>
          <w:noProof/>
          <w:lang w:eastAsia="pl-PL"/>
        </w:rPr>
        <w:t xml:space="preserve"> </w:t>
      </w:r>
      <w:r w:rsidR="006343E1" w:rsidRPr="00254AB9">
        <w:rPr>
          <w:noProof/>
          <w:lang w:eastAsia="pl-PL"/>
        </w:rPr>
        <w:t>i</w:t>
      </w:r>
      <w:r w:rsidR="006343E1">
        <w:rPr>
          <w:noProof/>
          <w:lang w:eastAsia="pl-PL"/>
        </w:rPr>
        <w:t> </w:t>
      </w:r>
      <w:r w:rsidRPr="00254AB9">
        <w:rPr>
          <w:noProof/>
          <w:lang w:eastAsia="pl-PL"/>
        </w:rPr>
        <w:t>naftowej. Wiąże się to prawdopodobnie z ich specyfiką – wysoką automatyzacją</w:t>
      </w:r>
      <w:r w:rsidR="006343E1">
        <w:rPr>
          <w:noProof/>
          <w:lang w:eastAsia="pl-PL"/>
        </w:rPr>
        <w:t xml:space="preserve"> </w:t>
      </w:r>
      <w:r w:rsidR="006343E1" w:rsidRPr="00254AB9">
        <w:rPr>
          <w:noProof/>
          <w:lang w:eastAsia="pl-PL"/>
        </w:rPr>
        <w:t>i</w:t>
      </w:r>
      <w:r w:rsidR="006343E1">
        <w:rPr>
          <w:noProof/>
          <w:lang w:eastAsia="pl-PL"/>
        </w:rPr>
        <w:t> </w:t>
      </w:r>
      <w:r w:rsidRPr="00254AB9">
        <w:rPr>
          <w:noProof/>
          <w:lang w:eastAsia="pl-PL"/>
        </w:rPr>
        <w:t>kapitałochłonnością, niską cenową elastycznością popytu na produkty oraz dużymi barierami wejścia na rynek (zarówno kapitałowymi, jak</w:t>
      </w:r>
      <w:r w:rsidR="006343E1">
        <w:rPr>
          <w:noProof/>
          <w:lang w:eastAsia="pl-PL"/>
        </w:rPr>
        <w:t xml:space="preserve"> </w:t>
      </w:r>
      <w:r w:rsidR="006343E1" w:rsidRPr="00254AB9">
        <w:rPr>
          <w:noProof/>
          <w:lang w:eastAsia="pl-PL"/>
        </w:rPr>
        <w:t>i</w:t>
      </w:r>
      <w:r w:rsidR="006343E1">
        <w:rPr>
          <w:noProof/>
          <w:lang w:eastAsia="pl-PL"/>
        </w:rPr>
        <w:t> </w:t>
      </w:r>
      <w:r w:rsidRPr="00254AB9">
        <w:rPr>
          <w:noProof/>
          <w:lang w:eastAsia="pl-PL"/>
        </w:rPr>
        <w:t xml:space="preserve">prawnymi). </w:t>
      </w:r>
    </w:p>
    <w:tbl>
      <w:tblPr>
        <w:tblW w:w="0" w:type="auto"/>
        <w:tblInd w:w="108" w:type="dxa"/>
        <w:tblLook w:val="04A0" w:firstRow="1" w:lastRow="0" w:firstColumn="1" w:lastColumn="0" w:noHBand="0" w:noVBand="1"/>
      </w:tblPr>
      <w:tblGrid>
        <w:gridCol w:w="8964"/>
      </w:tblGrid>
      <w:tr w:rsidR="008E15C9" w:rsidRPr="00254AB9" w14:paraId="4004638B" w14:textId="77777777" w:rsidTr="008E15C9">
        <w:tc>
          <w:tcPr>
            <w:tcW w:w="9180" w:type="dxa"/>
            <w:shd w:val="clear" w:color="auto" w:fill="auto"/>
          </w:tcPr>
          <w:p w14:paraId="2FEE2E75" w14:textId="40E28F67" w:rsidR="008E15C9" w:rsidRDefault="008E15C9" w:rsidP="00714B17">
            <w:pPr>
              <w:keepNext/>
              <w:spacing w:after="0" w:line="240" w:lineRule="auto"/>
              <w:ind w:left="1060" w:hanging="1134"/>
              <w:rPr>
                <w:rFonts w:cs="Calibri"/>
                <w:b/>
                <w:noProof/>
                <w:sz w:val="21"/>
                <w:szCs w:val="21"/>
                <w:lang w:eastAsia="pl-PL"/>
              </w:rPr>
            </w:pPr>
            <w:r w:rsidRPr="00254AB9">
              <w:rPr>
                <w:rFonts w:cs="Calibri"/>
                <w:b/>
                <w:sz w:val="21"/>
                <w:szCs w:val="21"/>
              </w:rPr>
              <w:t xml:space="preserve">Wykres </w:t>
            </w:r>
            <w:r w:rsidRPr="00254AB9">
              <w:rPr>
                <w:rFonts w:cs="Calibri"/>
                <w:b/>
                <w:sz w:val="21"/>
                <w:szCs w:val="21"/>
              </w:rPr>
              <w:fldChar w:fldCharType="begin"/>
            </w:r>
            <w:r w:rsidRPr="00254AB9">
              <w:rPr>
                <w:rFonts w:cs="Calibri"/>
                <w:b/>
                <w:sz w:val="21"/>
                <w:szCs w:val="21"/>
              </w:rPr>
              <w:instrText xml:space="preserve"> SEQ Rysunek \* ARABIC </w:instrText>
            </w:r>
            <w:r w:rsidRPr="00254AB9">
              <w:rPr>
                <w:rFonts w:cs="Calibri"/>
                <w:b/>
                <w:sz w:val="21"/>
                <w:szCs w:val="21"/>
              </w:rPr>
              <w:fldChar w:fldCharType="separate"/>
            </w:r>
            <w:r w:rsidRPr="00254AB9">
              <w:rPr>
                <w:rFonts w:cs="Calibri"/>
                <w:b/>
                <w:noProof/>
                <w:sz w:val="21"/>
                <w:szCs w:val="21"/>
              </w:rPr>
              <w:t>8</w:t>
            </w:r>
            <w:r w:rsidRPr="00254AB9">
              <w:rPr>
                <w:rFonts w:cs="Calibri"/>
                <w:b/>
                <w:sz w:val="21"/>
                <w:szCs w:val="21"/>
              </w:rPr>
              <w:fldChar w:fldCharType="end"/>
            </w:r>
            <w:r w:rsidRPr="00254AB9">
              <w:rPr>
                <w:rFonts w:cs="Calibri"/>
                <w:b/>
                <w:noProof/>
                <w:sz w:val="21"/>
                <w:szCs w:val="21"/>
                <w:lang w:eastAsia="pl-PL"/>
              </w:rPr>
              <w:t>. Produktywność</w:t>
            </w:r>
            <w:r w:rsidR="006343E1">
              <w:rPr>
                <w:rFonts w:cs="Calibri"/>
                <w:b/>
                <w:noProof/>
                <w:sz w:val="21"/>
                <w:szCs w:val="21"/>
                <w:lang w:eastAsia="pl-PL"/>
              </w:rPr>
              <w:t xml:space="preserve"> </w:t>
            </w:r>
            <w:r w:rsidR="006343E1" w:rsidRPr="00254AB9">
              <w:rPr>
                <w:rFonts w:cs="Calibri"/>
                <w:b/>
                <w:noProof/>
                <w:sz w:val="21"/>
                <w:szCs w:val="21"/>
                <w:lang w:eastAsia="pl-PL"/>
              </w:rPr>
              <w:t>w</w:t>
            </w:r>
            <w:r w:rsidR="006343E1">
              <w:rPr>
                <w:rFonts w:cs="Calibri"/>
                <w:b/>
                <w:noProof/>
                <w:sz w:val="21"/>
                <w:szCs w:val="21"/>
                <w:lang w:eastAsia="pl-PL"/>
              </w:rPr>
              <w:t> </w:t>
            </w:r>
            <w:r w:rsidRPr="00254AB9">
              <w:rPr>
                <w:rFonts w:cs="Calibri"/>
                <w:b/>
                <w:noProof/>
                <w:sz w:val="21"/>
                <w:szCs w:val="21"/>
                <w:lang w:eastAsia="pl-PL"/>
              </w:rPr>
              <w:t>tys. zł wartości dodanej (lewa oś)</w:t>
            </w:r>
            <w:r w:rsidR="006343E1">
              <w:rPr>
                <w:rFonts w:cs="Calibri"/>
                <w:b/>
                <w:noProof/>
                <w:sz w:val="21"/>
                <w:szCs w:val="21"/>
                <w:lang w:eastAsia="pl-PL"/>
              </w:rPr>
              <w:t xml:space="preserve"> </w:t>
            </w:r>
            <w:r w:rsidR="006343E1" w:rsidRPr="00254AB9">
              <w:rPr>
                <w:rFonts w:cs="Calibri"/>
                <w:b/>
                <w:noProof/>
                <w:sz w:val="21"/>
                <w:szCs w:val="21"/>
                <w:lang w:eastAsia="pl-PL"/>
              </w:rPr>
              <w:t>i</w:t>
            </w:r>
            <w:r w:rsidR="006343E1">
              <w:rPr>
                <w:rFonts w:cs="Calibri"/>
                <w:b/>
                <w:noProof/>
                <w:sz w:val="21"/>
                <w:szCs w:val="21"/>
                <w:lang w:eastAsia="pl-PL"/>
              </w:rPr>
              <w:t> </w:t>
            </w:r>
            <w:r w:rsidRPr="00254AB9">
              <w:rPr>
                <w:rFonts w:cs="Calibri"/>
                <w:b/>
                <w:noProof/>
                <w:sz w:val="21"/>
                <w:szCs w:val="21"/>
                <w:lang w:eastAsia="pl-PL"/>
              </w:rPr>
              <w:t xml:space="preserve">zmiany produktywności </w:t>
            </w:r>
            <w:r w:rsidRPr="00254AB9">
              <w:rPr>
                <w:rFonts w:cs="Calibri"/>
                <w:b/>
                <w:noProof/>
                <w:sz w:val="21"/>
                <w:szCs w:val="21"/>
                <w:lang w:eastAsia="pl-PL"/>
              </w:rPr>
              <w:br/>
              <w:t>w latach 2005</w:t>
            </w:r>
            <w:r w:rsidR="00704807">
              <w:rPr>
                <w:rFonts w:ascii="Times New Roman" w:hAnsi="Times New Roman" w:cs="Times New Roman"/>
                <w:b/>
                <w:noProof/>
                <w:sz w:val="21"/>
                <w:szCs w:val="21"/>
                <w:lang w:eastAsia="pl-PL"/>
              </w:rPr>
              <w:t>–</w:t>
            </w:r>
            <w:r w:rsidRPr="00254AB9">
              <w:rPr>
                <w:rFonts w:cs="Calibri"/>
                <w:b/>
                <w:noProof/>
                <w:sz w:val="21"/>
                <w:szCs w:val="21"/>
                <w:lang w:eastAsia="pl-PL"/>
              </w:rPr>
              <w:t>2015 (prawa oś)</w:t>
            </w:r>
          </w:p>
          <w:p w14:paraId="5F790011" w14:textId="77777777" w:rsidR="008E15C9" w:rsidRPr="00254AB9" w:rsidRDefault="008E15C9" w:rsidP="008E15C9">
            <w:pPr>
              <w:spacing w:after="0" w:line="240" w:lineRule="auto"/>
              <w:jc w:val="center"/>
              <w:rPr>
                <w:rFonts w:cs="Calibri"/>
                <w:noProof/>
                <w:sz w:val="21"/>
                <w:szCs w:val="21"/>
                <w:lang w:eastAsia="pl-PL"/>
              </w:rPr>
            </w:pPr>
            <w:r>
              <w:rPr>
                <w:noProof/>
                <w:lang w:eastAsia="pl-PL"/>
              </w:rPr>
              <w:drawing>
                <wp:inline distT="0" distB="0" distL="0" distR="0" wp14:anchorId="7ECFE4DF" wp14:editId="088C3F84">
                  <wp:extent cx="5580000" cy="3070911"/>
                  <wp:effectExtent l="0" t="0" r="1905" b="0"/>
                  <wp:docPr id="76" name="Obraz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580000" cy="3070911"/>
                          </a:xfrm>
                          <a:prstGeom prst="rect">
                            <a:avLst/>
                          </a:prstGeom>
                        </pic:spPr>
                      </pic:pic>
                    </a:graphicData>
                  </a:graphic>
                </wp:inline>
              </w:drawing>
            </w:r>
          </w:p>
        </w:tc>
      </w:tr>
      <w:tr w:rsidR="00D52A43" w:rsidRPr="00254AB9" w14:paraId="6C94F3AF" w14:textId="77777777" w:rsidTr="006343E1">
        <w:tc>
          <w:tcPr>
            <w:tcW w:w="9180" w:type="dxa"/>
            <w:shd w:val="clear" w:color="auto" w:fill="auto"/>
          </w:tcPr>
          <w:p w14:paraId="369267D9" w14:textId="77777777" w:rsidR="007C783D" w:rsidRDefault="007C783D" w:rsidP="00D52A43">
            <w:pPr>
              <w:pStyle w:val="Bezodstpw"/>
            </w:pPr>
          </w:p>
          <w:p w14:paraId="65F113E4" w14:textId="4608C677" w:rsidR="00D52A43" w:rsidRPr="00D52A43" w:rsidRDefault="00D52A43" w:rsidP="00D52A43">
            <w:pPr>
              <w:pStyle w:val="Bezodstpw"/>
            </w:pPr>
            <w:r w:rsidRPr="00D52A43">
              <w:t xml:space="preserve">Źródło: Obliczenia własne </w:t>
            </w:r>
            <w:r w:rsidR="003A56DA">
              <w:t>MRiT</w:t>
            </w:r>
            <w:r w:rsidR="003A5EA7">
              <w:t xml:space="preserve"> </w:t>
            </w:r>
            <w:r w:rsidRPr="00D52A43">
              <w:t>na podstawie danych GUS, skrócone nazwy PKD</w:t>
            </w:r>
          </w:p>
        </w:tc>
      </w:tr>
    </w:tbl>
    <w:p w14:paraId="61E2B6CB" w14:textId="35662144" w:rsidR="008E15C9" w:rsidRPr="00254AB9" w:rsidRDefault="008E15C9" w:rsidP="008E15C9">
      <w:pPr>
        <w:rPr>
          <w:noProof/>
          <w:lang w:eastAsia="pl-PL"/>
        </w:rPr>
      </w:pPr>
      <w:r w:rsidRPr="00254AB9">
        <w:rPr>
          <w:noProof/>
          <w:lang w:eastAsia="pl-PL"/>
        </w:rPr>
        <w:t xml:space="preserve">Branże polskiego przetwórstwa można podzielić na cztery kategorie: </w:t>
      </w:r>
      <w:r w:rsidR="001168CA">
        <w:rPr>
          <w:noProof/>
          <w:lang w:eastAsia="pl-PL"/>
        </w:rPr>
        <w:t xml:space="preserve">branże </w:t>
      </w:r>
      <w:r w:rsidRPr="00254AB9">
        <w:rPr>
          <w:noProof/>
          <w:lang w:eastAsia="pl-PL"/>
        </w:rPr>
        <w:t xml:space="preserve">dynamicznych championów (1), branże doganiające (2), </w:t>
      </w:r>
      <w:r w:rsidR="001168CA">
        <w:rPr>
          <w:noProof/>
          <w:lang w:eastAsia="pl-PL"/>
        </w:rPr>
        <w:t xml:space="preserve">branże </w:t>
      </w:r>
      <w:r w:rsidRPr="00254AB9">
        <w:rPr>
          <w:noProof/>
          <w:lang w:eastAsia="pl-PL"/>
        </w:rPr>
        <w:t>spowalniające (3)</w:t>
      </w:r>
      <w:r w:rsidR="006343E1">
        <w:rPr>
          <w:noProof/>
          <w:lang w:eastAsia="pl-PL"/>
        </w:rPr>
        <w:t xml:space="preserve"> </w:t>
      </w:r>
      <w:r w:rsidR="006343E1" w:rsidRPr="00254AB9">
        <w:rPr>
          <w:noProof/>
          <w:lang w:eastAsia="pl-PL"/>
        </w:rPr>
        <w:t>i</w:t>
      </w:r>
      <w:r w:rsidR="006343E1">
        <w:rPr>
          <w:noProof/>
          <w:lang w:eastAsia="pl-PL"/>
        </w:rPr>
        <w:t> </w:t>
      </w:r>
      <w:r w:rsidR="001168CA">
        <w:rPr>
          <w:noProof/>
          <w:lang w:eastAsia="pl-PL"/>
        </w:rPr>
        <w:t xml:space="preserve">branże </w:t>
      </w:r>
      <w:r w:rsidRPr="00254AB9">
        <w:rPr>
          <w:noProof/>
          <w:lang w:eastAsia="pl-PL"/>
        </w:rPr>
        <w:t>zagrożone (4).</w:t>
      </w:r>
    </w:p>
    <w:p w14:paraId="518B799D" w14:textId="06A765E8" w:rsidR="008E15C9" w:rsidRPr="00254AB9" w:rsidRDefault="008E15C9" w:rsidP="003F5BB7">
      <w:pPr>
        <w:ind w:left="284" w:hanging="284"/>
        <w:rPr>
          <w:noProof/>
          <w:lang w:eastAsia="pl-PL"/>
        </w:rPr>
      </w:pPr>
      <w:r w:rsidRPr="00254AB9">
        <w:rPr>
          <w:noProof/>
          <w:lang w:eastAsia="pl-PL"/>
        </w:rPr>
        <w:t>1) Kategoria „championów” została zaznaczona na wykresie</w:t>
      </w:r>
      <w:r>
        <w:rPr>
          <w:noProof/>
          <w:lang w:eastAsia="pl-PL"/>
        </w:rPr>
        <w:t xml:space="preserve"> 8</w:t>
      </w:r>
      <w:r w:rsidRPr="00254AB9">
        <w:rPr>
          <w:noProof/>
          <w:lang w:eastAsia="pl-PL"/>
        </w:rPr>
        <w:t xml:space="preserve"> kolorem zielonym</w:t>
      </w:r>
      <w:r w:rsidR="006343E1">
        <w:rPr>
          <w:noProof/>
          <w:lang w:eastAsia="pl-PL"/>
        </w:rPr>
        <w:t xml:space="preserve"> </w:t>
      </w:r>
      <w:r w:rsidR="006343E1" w:rsidRPr="00254AB9">
        <w:rPr>
          <w:noProof/>
          <w:lang w:eastAsia="pl-PL"/>
        </w:rPr>
        <w:t>i</w:t>
      </w:r>
      <w:r w:rsidR="006343E1">
        <w:rPr>
          <w:noProof/>
          <w:lang w:eastAsia="pl-PL"/>
        </w:rPr>
        <w:t> </w:t>
      </w:r>
      <w:r w:rsidRPr="00254AB9">
        <w:rPr>
          <w:noProof/>
          <w:lang w:eastAsia="pl-PL"/>
        </w:rPr>
        <w:t>odnosi się do branż,</w:t>
      </w:r>
      <w:r w:rsidR="006343E1">
        <w:rPr>
          <w:noProof/>
          <w:lang w:eastAsia="pl-PL"/>
        </w:rPr>
        <w:t xml:space="preserve"> </w:t>
      </w:r>
      <w:r w:rsidR="006343E1" w:rsidRPr="00254AB9">
        <w:rPr>
          <w:noProof/>
          <w:lang w:eastAsia="pl-PL"/>
        </w:rPr>
        <w:t>w</w:t>
      </w:r>
      <w:r w:rsidR="006343E1">
        <w:rPr>
          <w:noProof/>
          <w:lang w:eastAsia="pl-PL"/>
        </w:rPr>
        <w:t> </w:t>
      </w:r>
      <w:r w:rsidRPr="00254AB9">
        <w:rPr>
          <w:noProof/>
          <w:lang w:eastAsia="pl-PL"/>
        </w:rPr>
        <w:t>których produktywność</w:t>
      </w:r>
      <w:r w:rsidR="006343E1">
        <w:rPr>
          <w:noProof/>
          <w:lang w:eastAsia="pl-PL"/>
        </w:rPr>
        <w:t xml:space="preserve"> </w:t>
      </w:r>
      <w:r w:rsidR="006343E1" w:rsidRPr="00254AB9">
        <w:rPr>
          <w:noProof/>
          <w:lang w:eastAsia="pl-PL"/>
        </w:rPr>
        <w:t>w</w:t>
      </w:r>
      <w:r w:rsidR="006343E1">
        <w:rPr>
          <w:noProof/>
          <w:lang w:eastAsia="pl-PL"/>
        </w:rPr>
        <w:t> </w:t>
      </w:r>
      <w:r w:rsidRPr="00254AB9">
        <w:rPr>
          <w:noProof/>
          <w:lang w:eastAsia="pl-PL"/>
        </w:rPr>
        <w:t>2015 roku była wyższa od średniej dla przetwórstwa przemysłowego</w:t>
      </w:r>
      <w:r w:rsidR="006343E1">
        <w:rPr>
          <w:noProof/>
          <w:lang w:eastAsia="pl-PL"/>
        </w:rPr>
        <w:t xml:space="preserve"> </w:t>
      </w:r>
      <w:r w:rsidR="006343E1" w:rsidRPr="00254AB9">
        <w:rPr>
          <w:noProof/>
          <w:lang w:eastAsia="pl-PL"/>
        </w:rPr>
        <w:t>w</w:t>
      </w:r>
      <w:r w:rsidR="006343E1">
        <w:rPr>
          <w:noProof/>
          <w:lang w:eastAsia="pl-PL"/>
        </w:rPr>
        <w:t> </w:t>
      </w:r>
      <w:r w:rsidRPr="00254AB9">
        <w:rPr>
          <w:noProof/>
          <w:lang w:eastAsia="pl-PL"/>
        </w:rPr>
        <w:t>Polsce</w:t>
      </w:r>
      <w:r w:rsidRPr="00254AB9" w:rsidDel="003D7AFA">
        <w:rPr>
          <w:noProof/>
          <w:lang w:eastAsia="pl-PL"/>
        </w:rPr>
        <w:t xml:space="preserve"> </w:t>
      </w:r>
      <w:r w:rsidRPr="00254AB9">
        <w:rPr>
          <w:noProof/>
          <w:lang w:eastAsia="pl-PL"/>
        </w:rPr>
        <w:t>(112,7 tys. zł wartości dodanej na pracującego),</w:t>
      </w:r>
      <w:r w:rsidR="006343E1">
        <w:rPr>
          <w:noProof/>
          <w:lang w:eastAsia="pl-PL"/>
        </w:rPr>
        <w:t xml:space="preserve"> </w:t>
      </w:r>
      <w:r w:rsidR="006343E1" w:rsidRPr="00254AB9">
        <w:rPr>
          <w:noProof/>
          <w:lang w:eastAsia="pl-PL"/>
        </w:rPr>
        <w:t>a</w:t>
      </w:r>
      <w:r w:rsidR="006343E1">
        <w:rPr>
          <w:noProof/>
          <w:lang w:eastAsia="pl-PL"/>
        </w:rPr>
        <w:t> </w:t>
      </w:r>
      <w:r w:rsidRPr="00254AB9">
        <w:rPr>
          <w:noProof/>
          <w:lang w:eastAsia="pl-PL"/>
        </w:rPr>
        <w:t>także tempo wzrostu tej produktywności było ponadprzeciętne (powyżej 70,5%</w:t>
      </w:r>
      <w:r w:rsidR="006343E1">
        <w:rPr>
          <w:noProof/>
          <w:lang w:eastAsia="pl-PL"/>
        </w:rPr>
        <w:t xml:space="preserve"> </w:t>
      </w:r>
      <w:r w:rsidR="006343E1" w:rsidRPr="00254AB9">
        <w:rPr>
          <w:noProof/>
          <w:lang w:eastAsia="pl-PL"/>
        </w:rPr>
        <w:t>w</w:t>
      </w:r>
      <w:r w:rsidR="006343E1">
        <w:rPr>
          <w:noProof/>
          <w:lang w:eastAsia="pl-PL"/>
        </w:rPr>
        <w:t> </w:t>
      </w:r>
      <w:r w:rsidRPr="00254AB9">
        <w:rPr>
          <w:noProof/>
          <w:lang w:eastAsia="pl-PL"/>
        </w:rPr>
        <w:t>badanym okresie). Są to: produkcja wyrobów tytoniowych</w:t>
      </w:r>
      <w:r w:rsidR="001168CA">
        <w:rPr>
          <w:noProof/>
          <w:lang w:eastAsia="pl-PL"/>
        </w:rPr>
        <w:t>,</w:t>
      </w:r>
      <w:r w:rsidRPr="00254AB9">
        <w:rPr>
          <w:noProof/>
          <w:lang w:eastAsia="pl-PL"/>
        </w:rPr>
        <w:t xml:space="preserve"> produkcja napojów</w:t>
      </w:r>
      <w:r w:rsidR="001168CA">
        <w:rPr>
          <w:noProof/>
          <w:lang w:eastAsia="pl-PL"/>
        </w:rPr>
        <w:t>,</w:t>
      </w:r>
      <w:r w:rsidRPr="00254AB9">
        <w:rPr>
          <w:noProof/>
          <w:lang w:eastAsia="pl-PL"/>
        </w:rPr>
        <w:t xml:space="preserve"> przemysł farmaceutyczny</w:t>
      </w:r>
      <w:r w:rsidR="001168CA">
        <w:rPr>
          <w:noProof/>
          <w:lang w:eastAsia="pl-PL"/>
        </w:rPr>
        <w:t>,</w:t>
      </w:r>
      <w:r w:rsidRPr="00254AB9">
        <w:rPr>
          <w:noProof/>
          <w:lang w:eastAsia="pl-PL"/>
        </w:rPr>
        <w:t xml:space="preserve"> naprawa</w:t>
      </w:r>
      <w:r w:rsidR="006343E1">
        <w:rPr>
          <w:noProof/>
          <w:lang w:eastAsia="pl-PL"/>
        </w:rPr>
        <w:t xml:space="preserve"> </w:t>
      </w:r>
      <w:r w:rsidR="006343E1" w:rsidRPr="00254AB9">
        <w:rPr>
          <w:noProof/>
          <w:lang w:eastAsia="pl-PL"/>
        </w:rPr>
        <w:t>i</w:t>
      </w:r>
      <w:r w:rsidR="006343E1">
        <w:rPr>
          <w:noProof/>
          <w:lang w:eastAsia="pl-PL"/>
        </w:rPr>
        <w:t> </w:t>
      </w:r>
      <w:r w:rsidRPr="00254AB9">
        <w:rPr>
          <w:noProof/>
          <w:lang w:eastAsia="pl-PL"/>
        </w:rPr>
        <w:t>konserwacja maszyn oraz produkcja pozostałego sprzętu transportowego (m.in. przemysł lotniczy, stoczniowy</w:t>
      </w:r>
      <w:r w:rsidR="006343E1">
        <w:rPr>
          <w:noProof/>
          <w:lang w:eastAsia="pl-PL"/>
        </w:rPr>
        <w:t xml:space="preserve"> </w:t>
      </w:r>
      <w:r w:rsidR="006343E1" w:rsidRPr="00254AB9">
        <w:rPr>
          <w:noProof/>
          <w:lang w:eastAsia="pl-PL"/>
        </w:rPr>
        <w:t>i</w:t>
      </w:r>
      <w:r w:rsidR="006343E1">
        <w:rPr>
          <w:noProof/>
          <w:lang w:eastAsia="pl-PL"/>
        </w:rPr>
        <w:t> </w:t>
      </w:r>
      <w:r w:rsidRPr="00254AB9">
        <w:rPr>
          <w:noProof/>
          <w:lang w:eastAsia="pl-PL"/>
        </w:rPr>
        <w:t>kolejowy).</w:t>
      </w:r>
    </w:p>
    <w:p w14:paraId="6EC55D24" w14:textId="53A30164" w:rsidR="008E15C9" w:rsidRPr="00254AB9" w:rsidRDefault="008E15C9" w:rsidP="003F5BB7">
      <w:pPr>
        <w:ind w:left="284" w:hanging="284"/>
        <w:rPr>
          <w:noProof/>
          <w:lang w:eastAsia="pl-PL"/>
        </w:rPr>
      </w:pPr>
      <w:r w:rsidRPr="00254AB9">
        <w:rPr>
          <w:noProof/>
          <w:lang w:eastAsia="pl-PL"/>
        </w:rPr>
        <w:t>2) Branże doganiające zostały zaznaczone kolorem ciemnobiebieskim</w:t>
      </w:r>
      <w:r w:rsidR="006343E1">
        <w:rPr>
          <w:noProof/>
          <w:lang w:eastAsia="pl-PL"/>
        </w:rPr>
        <w:t xml:space="preserve"> </w:t>
      </w:r>
      <w:r w:rsidR="006343E1" w:rsidRPr="00254AB9">
        <w:rPr>
          <w:noProof/>
          <w:lang w:eastAsia="pl-PL"/>
        </w:rPr>
        <w:t>i</w:t>
      </w:r>
      <w:r w:rsidR="006343E1">
        <w:rPr>
          <w:noProof/>
          <w:lang w:eastAsia="pl-PL"/>
        </w:rPr>
        <w:t> </w:t>
      </w:r>
      <w:r w:rsidRPr="00254AB9">
        <w:rPr>
          <w:noProof/>
          <w:lang w:eastAsia="pl-PL"/>
        </w:rPr>
        <w:t>są to te, których produktywność jest poniżej przeciętnej, ale tempo wzrostu jest większe od średniego. Są to branże</w:t>
      </w:r>
      <w:r w:rsidR="001168CA">
        <w:rPr>
          <w:noProof/>
          <w:lang w:eastAsia="pl-PL"/>
        </w:rPr>
        <w:t>, w których następuje</w:t>
      </w:r>
      <w:r w:rsidRPr="00254AB9">
        <w:rPr>
          <w:noProof/>
          <w:lang w:eastAsia="pl-PL"/>
        </w:rPr>
        <w:t xml:space="preserve"> szybk</w:t>
      </w:r>
      <w:r w:rsidR="001168CA">
        <w:rPr>
          <w:noProof/>
          <w:lang w:eastAsia="pl-PL"/>
        </w:rPr>
        <w:t>a</w:t>
      </w:r>
      <w:r w:rsidRPr="00254AB9">
        <w:rPr>
          <w:noProof/>
          <w:lang w:eastAsia="pl-PL"/>
        </w:rPr>
        <w:t xml:space="preserve"> wewnętrzn</w:t>
      </w:r>
      <w:r w:rsidR="001168CA">
        <w:rPr>
          <w:noProof/>
          <w:lang w:eastAsia="pl-PL"/>
        </w:rPr>
        <w:t>a</w:t>
      </w:r>
      <w:r w:rsidRPr="00254AB9">
        <w:rPr>
          <w:noProof/>
          <w:lang w:eastAsia="pl-PL"/>
        </w:rPr>
        <w:t xml:space="preserve"> transformacj</w:t>
      </w:r>
      <w:r w:rsidR="001168CA">
        <w:rPr>
          <w:noProof/>
          <w:lang w:eastAsia="pl-PL"/>
        </w:rPr>
        <w:t>a</w:t>
      </w:r>
      <w:r w:rsidRPr="00254AB9">
        <w:rPr>
          <w:noProof/>
          <w:lang w:eastAsia="pl-PL"/>
        </w:rPr>
        <w:t xml:space="preserve"> oraz zm</w:t>
      </w:r>
      <w:r w:rsidR="001168CA">
        <w:rPr>
          <w:noProof/>
          <w:lang w:eastAsia="pl-PL"/>
        </w:rPr>
        <w:t>ieniają się</w:t>
      </w:r>
      <w:r w:rsidRPr="00254AB9">
        <w:rPr>
          <w:noProof/>
          <w:lang w:eastAsia="pl-PL"/>
        </w:rPr>
        <w:t xml:space="preserve"> metod</w:t>
      </w:r>
      <w:r w:rsidR="001168CA">
        <w:rPr>
          <w:noProof/>
          <w:lang w:eastAsia="pl-PL"/>
        </w:rPr>
        <w:t>y</w:t>
      </w:r>
      <w:r w:rsidRPr="00254AB9">
        <w:rPr>
          <w:noProof/>
          <w:lang w:eastAsia="pl-PL"/>
        </w:rPr>
        <w:t xml:space="preserve"> i technik</w:t>
      </w:r>
      <w:r w:rsidR="001168CA">
        <w:rPr>
          <w:noProof/>
          <w:lang w:eastAsia="pl-PL"/>
        </w:rPr>
        <w:t>i</w:t>
      </w:r>
      <w:r w:rsidRPr="00254AB9">
        <w:rPr>
          <w:noProof/>
          <w:lang w:eastAsia="pl-PL"/>
        </w:rPr>
        <w:t xml:space="preserve"> produkcji. Zaliczamy tutaj: produkcję maszyn</w:t>
      </w:r>
      <w:r w:rsidR="006343E1">
        <w:rPr>
          <w:noProof/>
          <w:lang w:eastAsia="pl-PL"/>
        </w:rPr>
        <w:t xml:space="preserve"> </w:t>
      </w:r>
      <w:r w:rsidR="006343E1" w:rsidRPr="00254AB9">
        <w:rPr>
          <w:noProof/>
          <w:lang w:eastAsia="pl-PL"/>
        </w:rPr>
        <w:t>i</w:t>
      </w:r>
      <w:r w:rsidR="006343E1">
        <w:rPr>
          <w:noProof/>
          <w:lang w:eastAsia="pl-PL"/>
        </w:rPr>
        <w:t> </w:t>
      </w:r>
      <w:r w:rsidRPr="00254AB9">
        <w:rPr>
          <w:noProof/>
          <w:lang w:eastAsia="pl-PL"/>
        </w:rPr>
        <w:t>urz</w:t>
      </w:r>
      <w:r w:rsidR="001168CA">
        <w:rPr>
          <w:noProof/>
          <w:lang w:eastAsia="pl-PL"/>
        </w:rPr>
        <w:t>ą</w:t>
      </w:r>
      <w:r w:rsidRPr="00254AB9">
        <w:rPr>
          <w:noProof/>
          <w:lang w:eastAsia="pl-PL"/>
        </w:rPr>
        <w:t>dzeń</w:t>
      </w:r>
      <w:r w:rsidR="001168CA">
        <w:rPr>
          <w:noProof/>
          <w:lang w:eastAsia="pl-PL"/>
        </w:rPr>
        <w:t>,</w:t>
      </w:r>
      <w:r w:rsidRPr="00254AB9">
        <w:rPr>
          <w:noProof/>
          <w:lang w:eastAsia="pl-PL"/>
        </w:rPr>
        <w:t xml:space="preserve"> </w:t>
      </w:r>
      <w:r w:rsidR="001168CA">
        <w:rPr>
          <w:noProof/>
          <w:lang w:eastAsia="pl-PL"/>
        </w:rPr>
        <w:t>produkcję</w:t>
      </w:r>
      <w:r w:rsidRPr="00254AB9">
        <w:rPr>
          <w:noProof/>
          <w:lang w:eastAsia="pl-PL"/>
        </w:rPr>
        <w:t xml:space="preserve"> wyrobów</w:t>
      </w:r>
      <w:r w:rsidR="006343E1">
        <w:rPr>
          <w:noProof/>
          <w:lang w:eastAsia="pl-PL"/>
        </w:rPr>
        <w:t xml:space="preserve"> </w:t>
      </w:r>
      <w:r w:rsidR="006343E1" w:rsidRPr="00254AB9">
        <w:rPr>
          <w:noProof/>
          <w:lang w:eastAsia="pl-PL"/>
        </w:rPr>
        <w:t>z</w:t>
      </w:r>
      <w:r w:rsidR="006343E1">
        <w:rPr>
          <w:noProof/>
          <w:lang w:eastAsia="pl-PL"/>
        </w:rPr>
        <w:t> </w:t>
      </w:r>
      <w:r w:rsidRPr="00254AB9">
        <w:rPr>
          <w:noProof/>
          <w:lang w:eastAsia="pl-PL"/>
        </w:rPr>
        <w:t>drewna, korka</w:t>
      </w:r>
      <w:r w:rsidR="006343E1">
        <w:rPr>
          <w:noProof/>
          <w:lang w:eastAsia="pl-PL"/>
        </w:rPr>
        <w:t xml:space="preserve"> </w:t>
      </w:r>
      <w:r w:rsidR="006343E1" w:rsidRPr="00254AB9">
        <w:rPr>
          <w:noProof/>
          <w:lang w:eastAsia="pl-PL"/>
        </w:rPr>
        <w:t>i</w:t>
      </w:r>
      <w:r w:rsidR="006343E1">
        <w:rPr>
          <w:noProof/>
          <w:lang w:eastAsia="pl-PL"/>
        </w:rPr>
        <w:t> </w:t>
      </w:r>
      <w:r w:rsidRPr="00254AB9">
        <w:rPr>
          <w:noProof/>
          <w:lang w:eastAsia="pl-PL"/>
        </w:rPr>
        <w:t>słomy</w:t>
      </w:r>
      <w:r w:rsidR="001168CA">
        <w:rPr>
          <w:noProof/>
          <w:lang w:eastAsia="pl-PL"/>
        </w:rPr>
        <w:t>,</w:t>
      </w:r>
      <w:r w:rsidRPr="00254AB9">
        <w:rPr>
          <w:noProof/>
          <w:lang w:eastAsia="pl-PL"/>
        </w:rPr>
        <w:t xml:space="preserve"> produkcję mebli</w:t>
      </w:r>
      <w:r w:rsidR="001168CA">
        <w:rPr>
          <w:noProof/>
          <w:lang w:eastAsia="pl-PL"/>
        </w:rPr>
        <w:t>,</w:t>
      </w:r>
      <w:r w:rsidRPr="00254AB9">
        <w:rPr>
          <w:noProof/>
          <w:lang w:eastAsia="pl-PL"/>
        </w:rPr>
        <w:t xml:space="preserve"> produkcję odzieży</w:t>
      </w:r>
      <w:r w:rsidR="001168CA">
        <w:rPr>
          <w:noProof/>
          <w:lang w:eastAsia="pl-PL"/>
        </w:rPr>
        <w:t>,</w:t>
      </w:r>
      <w:r w:rsidRPr="00254AB9">
        <w:rPr>
          <w:noProof/>
          <w:lang w:eastAsia="pl-PL"/>
        </w:rPr>
        <w:t xml:space="preserve"> produkcję skór</w:t>
      </w:r>
      <w:r w:rsidR="006343E1">
        <w:rPr>
          <w:noProof/>
          <w:lang w:eastAsia="pl-PL"/>
        </w:rPr>
        <w:t xml:space="preserve"> </w:t>
      </w:r>
      <w:r w:rsidR="006343E1" w:rsidRPr="00254AB9">
        <w:rPr>
          <w:noProof/>
          <w:lang w:eastAsia="pl-PL"/>
        </w:rPr>
        <w:t>i</w:t>
      </w:r>
      <w:r w:rsidR="006343E1">
        <w:rPr>
          <w:noProof/>
          <w:lang w:eastAsia="pl-PL"/>
        </w:rPr>
        <w:t> </w:t>
      </w:r>
      <w:r w:rsidRPr="00254AB9">
        <w:rPr>
          <w:noProof/>
          <w:lang w:eastAsia="pl-PL"/>
        </w:rPr>
        <w:t>wyrobów ze skóry oraz produkcję pozostałych wyrobów, gdzie indziej niesklasyfikowanych.</w:t>
      </w:r>
    </w:p>
    <w:p w14:paraId="24931781" w14:textId="645E2047" w:rsidR="008E15C9" w:rsidRPr="00254AB9" w:rsidRDefault="008E15C9" w:rsidP="003F5BB7">
      <w:pPr>
        <w:ind w:left="284" w:hanging="284"/>
        <w:rPr>
          <w:noProof/>
          <w:lang w:eastAsia="pl-PL"/>
        </w:rPr>
      </w:pPr>
      <w:r w:rsidRPr="00254AB9">
        <w:rPr>
          <w:noProof/>
          <w:lang w:eastAsia="pl-PL"/>
        </w:rPr>
        <w:t>3) Branże spowalniające zostały zaznaczone kolorem jasnoniebieskim</w:t>
      </w:r>
      <w:r w:rsidR="00477C54">
        <w:rPr>
          <w:noProof/>
          <w:lang w:eastAsia="pl-PL"/>
        </w:rPr>
        <w:t>. Do </w:t>
      </w:r>
      <w:r w:rsidRPr="00254AB9">
        <w:rPr>
          <w:noProof/>
          <w:lang w:eastAsia="pl-PL"/>
        </w:rPr>
        <w:t>tej kategorii można zaliczyć te branże</w:t>
      </w:r>
      <w:r w:rsidR="00ED0DD5">
        <w:rPr>
          <w:noProof/>
          <w:lang w:eastAsia="pl-PL"/>
        </w:rPr>
        <w:t>,</w:t>
      </w:r>
      <w:r w:rsidRPr="00254AB9">
        <w:rPr>
          <w:noProof/>
          <w:lang w:eastAsia="pl-PL"/>
        </w:rPr>
        <w:t xml:space="preserve"> które osiągnęły ponadprzeciętną produktywność, ale tempo jej dalszego wzrostu jest wolne. Generują one wysokiej jakości miejsca pracy, lecz wymagają dodatkowego impulsu do dalszego wzrostu wydajności. Zaliczamy tutaj: produkcję koksu</w:t>
      </w:r>
      <w:r w:rsidR="006343E1">
        <w:rPr>
          <w:noProof/>
          <w:lang w:eastAsia="pl-PL"/>
        </w:rPr>
        <w:t xml:space="preserve"> </w:t>
      </w:r>
      <w:r w:rsidR="006343E1" w:rsidRPr="00254AB9">
        <w:rPr>
          <w:noProof/>
          <w:lang w:eastAsia="pl-PL"/>
        </w:rPr>
        <w:t>i</w:t>
      </w:r>
      <w:r w:rsidR="006343E1">
        <w:rPr>
          <w:noProof/>
          <w:lang w:eastAsia="pl-PL"/>
        </w:rPr>
        <w:t> </w:t>
      </w:r>
      <w:r w:rsidRPr="00254AB9">
        <w:rPr>
          <w:noProof/>
          <w:lang w:eastAsia="pl-PL"/>
        </w:rPr>
        <w:t>produktów rafinacji ropy naftowej</w:t>
      </w:r>
      <w:r w:rsidR="001168CA">
        <w:rPr>
          <w:noProof/>
          <w:lang w:eastAsia="pl-PL"/>
        </w:rPr>
        <w:t>,</w:t>
      </w:r>
      <w:r w:rsidRPr="00254AB9">
        <w:rPr>
          <w:noProof/>
          <w:lang w:eastAsia="pl-PL"/>
        </w:rPr>
        <w:t xml:space="preserve"> przemysł chemiczny</w:t>
      </w:r>
      <w:r w:rsidR="001168CA">
        <w:rPr>
          <w:noProof/>
          <w:lang w:eastAsia="pl-PL"/>
        </w:rPr>
        <w:t>,</w:t>
      </w:r>
      <w:r w:rsidRPr="00254AB9">
        <w:rPr>
          <w:noProof/>
          <w:lang w:eastAsia="pl-PL"/>
        </w:rPr>
        <w:t xml:space="preserve"> przemysł papierniczy</w:t>
      </w:r>
      <w:r w:rsidR="001168CA">
        <w:rPr>
          <w:noProof/>
          <w:lang w:eastAsia="pl-PL"/>
        </w:rPr>
        <w:t>, przemysł</w:t>
      </w:r>
      <w:r w:rsidRPr="00254AB9">
        <w:rPr>
          <w:noProof/>
          <w:lang w:eastAsia="pl-PL"/>
        </w:rPr>
        <w:t xml:space="preserve"> samochodowy</w:t>
      </w:r>
      <w:r w:rsidR="001168CA">
        <w:rPr>
          <w:noProof/>
          <w:lang w:eastAsia="pl-PL"/>
        </w:rPr>
        <w:t>,</w:t>
      </w:r>
      <w:r w:rsidRPr="00254AB9">
        <w:rPr>
          <w:noProof/>
          <w:lang w:eastAsia="pl-PL"/>
        </w:rPr>
        <w:t xml:space="preserve"> produkcję metali</w:t>
      </w:r>
      <w:r w:rsidR="001168CA">
        <w:rPr>
          <w:noProof/>
          <w:lang w:eastAsia="pl-PL"/>
        </w:rPr>
        <w:t>, produkcję</w:t>
      </w:r>
      <w:r w:rsidRPr="00254AB9">
        <w:rPr>
          <w:noProof/>
          <w:lang w:eastAsia="pl-PL"/>
        </w:rPr>
        <w:t xml:space="preserve"> wyrobów z surowców mineralnych (m.in. przemysł cementowy)</w:t>
      </w:r>
      <w:r w:rsidR="001168CA">
        <w:rPr>
          <w:noProof/>
          <w:lang w:eastAsia="pl-PL"/>
        </w:rPr>
        <w:t>,</w:t>
      </w:r>
      <w:r w:rsidRPr="00254AB9">
        <w:rPr>
          <w:noProof/>
          <w:lang w:eastAsia="pl-PL"/>
        </w:rPr>
        <w:t xml:space="preserve"> produkcję urządzeń elektrycznych</w:t>
      </w:r>
      <w:r w:rsidR="001168CA">
        <w:rPr>
          <w:noProof/>
          <w:lang w:eastAsia="pl-PL"/>
        </w:rPr>
        <w:t>,</w:t>
      </w:r>
      <w:r w:rsidRPr="00254AB9">
        <w:rPr>
          <w:noProof/>
          <w:lang w:eastAsia="pl-PL"/>
        </w:rPr>
        <w:t xml:space="preserve"> przemysł gumowy</w:t>
      </w:r>
      <w:r w:rsidR="006343E1">
        <w:rPr>
          <w:noProof/>
          <w:lang w:eastAsia="pl-PL"/>
        </w:rPr>
        <w:t xml:space="preserve"> </w:t>
      </w:r>
      <w:r w:rsidR="006343E1" w:rsidRPr="00254AB9">
        <w:rPr>
          <w:noProof/>
          <w:lang w:eastAsia="pl-PL"/>
        </w:rPr>
        <w:t>i</w:t>
      </w:r>
      <w:r w:rsidR="006343E1">
        <w:rPr>
          <w:noProof/>
          <w:lang w:eastAsia="pl-PL"/>
        </w:rPr>
        <w:t> </w:t>
      </w:r>
      <w:r w:rsidRPr="00254AB9">
        <w:rPr>
          <w:noProof/>
          <w:lang w:eastAsia="pl-PL"/>
        </w:rPr>
        <w:t xml:space="preserve">tworzyw sztucznych oraz </w:t>
      </w:r>
      <w:r w:rsidRPr="00254AB9">
        <w:rPr>
          <w:noProof/>
          <w:lang w:eastAsia="pl-PL"/>
        </w:rPr>
        <w:lastRenderedPageBreak/>
        <w:t xml:space="preserve">produkcję komputerów, </w:t>
      </w:r>
      <w:r w:rsidR="005144CE" w:rsidRPr="00254AB9">
        <w:rPr>
          <w:noProof/>
          <w:lang w:eastAsia="pl-PL"/>
        </w:rPr>
        <w:t>elektroniki</w:t>
      </w:r>
      <w:r w:rsidR="006343E1">
        <w:rPr>
          <w:noProof/>
          <w:lang w:eastAsia="pl-PL"/>
        </w:rPr>
        <w:t xml:space="preserve"> </w:t>
      </w:r>
      <w:r w:rsidR="006343E1" w:rsidRPr="00254AB9">
        <w:rPr>
          <w:noProof/>
          <w:lang w:eastAsia="pl-PL"/>
        </w:rPr>
        <w:t>i</w:t>
      </w:r>
      <w:r w:rsidR="005144CE" w:rsidRPr="00254AB9">
        <w:rPr>
          <w:noProof/>
          <w:lang w:eastAsia="pl-PL"/>
        </w:rPr>
        <w:t xml:space="preserve"> optyki.</w:t>
      </w:r>
      <w:r w:rsidR="00386727">
        <w:rPr>
          <w:noProof/>
          <w:lang w:eastAsia="pl-PL"/>
        </w:rPr>
        <w:t xml:space="preserve"> Branże te mają jednocze</w:t>
      </w:r>
      <w:r w:rsidR="001168CA">
        <w:rPr>
          <w:noProof/>
          <w:lang w:eastAsia="pl-PL"/>
        </w:rPr>
        <w:t>ś</w:t>
      </w:r>
      <w:r w:rsidR="00386727">
        <w:rPr>
          <w:noProof/>
          <w:lang w:eastAsia="pl-PL"/>
        </w:rPr>
        <w:t xml:space="preserve">nie strategiczne znaczenie dla funkcjonowania gospodarczego kraju oraz jego transformacji technologicznej, infrastrukturalnej, energetycznej i przemysłowej. </w:t>
      </w:r>
    </w:p>
    <w:p w14:paraId="39F97938" w14:textId="0B2D94CF" w:rsidR="008E15C9" w:rsidRPr="00254AB9" w:rsidRDefault="008E15C9" w:rsidP="003F5BB7">
      <w:pPr>
        <w:ind w:left="284" w:hanging="284"/>
      </w:pPr>
      <w:r w:rsidRPr="00254AB9">
        <w:t>4) Kolorem pomarańczowym zaznaczono branże zagrożone, czyli takie,</w:t>
      </w:r>
      <w:r w:rsidR="006343E1">
        <w:t xml:space="preserve"> </w:t>
      </w:r>
      <w:r w:rsidR="006343E1" w:rsidRPr="00254AB9">
        <w:t>w</w:t>
      </w:r>
      <w:r w:rsidR="006343E1">
        <w:t> </w:t>
      </w:r>
      <w:r w:rsidRPr="00254AB9">
        <w:t>których produktywność na pracującego oraz tempo jej wzrostu pozostają poniżej średniej. Aktualnie mogą one generować dużą część produktu krajowego oraz miejsc pracy, ale perspektywy ich rozwoju są ograniczone</w:t>
      </w:r>
      <w:r w:rsidR="00477C54">
        <w:t>. Do </w:t>
      </w:r>
      <w:r w:rsidRPr="00254AB9">
        <w:t>tej kategorii zaliczamy: poligrafię</w:t>
      </w:r>
      <w:r w:rsidR="006343E1">
        <w:t xml:space="preserve"> </w:t>
      </w:r>
      <w:r w:rsidR="006343E1" w:rsidRPr="00254AB9">
        <w:t>i</w:t>
      </w:r>
      <w:r w:rsidR="006343E1">
        <w:t> </w:t>
      </w:r>
      <w:r w:rsidRPr="00254AB9">
        <w:t>reprodukcję nośników danych</w:t>
      </w:r>
      <w:r w:rsidR="001168CA">
        <w:t>,</w:t>
      </w:r>
      <w:r w:rsidRPr="00254AB9">
        <w:t xml:space="preserve"> produkcję wyrobów</w:t>
      </w:r>
      <w:r w:rsidR="006343E1">
        <w:t xml:space="preserve"> </w:t>
      </w:r>
      <w:r w:rsidR="006343E1" w:rsidRPr="00254AB9">
        <w:t>z</w:t>
      </w:r>
      <w:r w:rsidR="006343E1">
        <w:t> </w:t>
      </w:r>
      <w:r w:rsidRPr="00254AB9">
        <w:t>metali</w:t>
      </w:r>
      <w:r w:rsidR="001168CA">
        <w:t>,</w:t>
      </w:r>
      <w:r w:rsidRPr="00254AB9">
        <w:t xml:space="preserve"> przemysł spożywczy oraz produkcję tekstyliów. </w:t>
      </w:r>
    </w:p>
    <w:tbl>
      <w:tblPr>
        <w:tblW w:w="0" w:type="auto"/>
        <w:tblLook w:val="04A0" w:firstRow="1" w:lastRow="0" w:firstColumn="1" w:lastColumn="0" w:noHBand="0" w:noVBand="1"/>
      </w:tblPr>
      <w:tblGrid>
        <w:gridCol w:w="9072"/>
      </w:tblGrid>
      <w:tr w:rsidR="008E15C9" w:rsidRPr="00254AB9" w14:paraId="12348F42" w14:textId="77777777" w:rsidTr="008E15C9">
        <w:tc>
          <w:tcPr>
            <w:tcW w:w="9072" w:type="dxa"/>
            <w:shd w:val="clear" w:color="auto" w:fill="auto"/>
          </w:tcPr>
          <w:p w14:paraId="32AC2C84" w14:textId="3FC9392A" w:rsidR="008E15C9" w:rsidRPr="00254AB9" w:rsidRDefault="008E15C9" w:rsidP="003A5EA7">
            <w:pPr>
              <w:pStyle w:val="Nagwek4"/>
              <w:rPr>
                <w:highlight w:val="yellow"/>
              </w:rPr>
            </w:pPr>
            <w:r w:rsidRPr="00254AB9">
              <w:t xml:space="preserve">Wykres </w:t>
            </w:r>
            <w:r w:rsidR="00C8306C">
              <w:rPr>
                <w:noProof/>
              </w:rPr>
              <w:fldChar w:fldCharType="begin"/>
            </w:r>
            <w:r w:rsidR="00C8306C">
              <w:rPr>
                <w:noProof/>
              </w:rPr>
              <w:instrText xml:space="preserve"> SEQ Rysunek \* ARABIC </w:instrText>
            </w:r>
            <w:r w:rsidR="00C8306C">
              <w:rPr>
                <w:noProof/>
              </w:rPr>
              <w:fldChar w:fldCharType="separate"/>
            </w:r>
            <w:r w:rsidRPr="00254AB9">
              <w:rPr>
                <w:noProof/>
              </w:rPr>
              <w:t>9</w:t>
            </w:r>
            <w:r w:rsidR="00C8306C">
              <w:rPr>
                <w:noProof/>
              </w:rPr>
              <w:fldChar w:fldCharType="end"/>
            </w:r>
            <w:r w:rsidRPr="00254AB9">
              <w:t>. Udział % zatrudnienia</w:t>
            </w:r>
            <w:r w:rsidR="006343E1">
              <w:t xml:space="preserve"> </w:t>
            </w:r>
            <w:r w:rsidR="006343E1" w:rsidRPr="00254AB9">
              <w:t>w</w:t>
            </w:r>
            <w:r w:rsidR="006343E1">
              <w:t> </w:t>
            </w:r>
            <w:r w:rsidRPr="00254AB9">
              <w:t>rolnictwie</w:t>
            </w:r>
            <w:r w:rsidR="006343E1">
              <w:t xml:space="preserve"> </w:t>
            </w:r>
            <w:r w:rsidR="006343E1" w:rsidRPr="00254AB9">
              <w:t>a</w:t>
            </w:r>
            <w:r w:rsidR="006343E1">
              <w:t> </w:t>
            </w:r>
            <w:r w:rsidRPr="00254AB9">
              <w:t>PKB</w:t>
            </w:r>
          </w:p>
        </w:tc>
      </w:tr>
      <w:tr w:rsidR="008E15C9" w:rsidRPr="00254AB9" w14:paraId="19BC1179" w14:textId="77777777" w:rsidTr="008E15C9">
        <w:tc>
          <w:tcPr>
            <w:tcW w:w="9072" w:type="dxa"/>
            <w:shd w:val="clear" w:color="auto" w:fill="auto"/>
          </w:tcPr>
          <w:p w14:paraId="05689F83" w14:textId="77777777" w:rsidR="008E15C9" w:rsidRPr="00254AB9" w:rsidRDefault="008E15C9" w:rsidP="008E15C9">
            <w:pPr>
              <w:spacing w:after="0" w:line="240" w:lineRule="auto"/>
              <w:jc w:val="center"/>
              <w:rPr>
                <w:rFonts w:cs="Calibri"/>
                <w:sz w:val="21"/>
                <w:szCs w:val="21"/>
              </w:rPr>
            </w:pPr>
            <w:r>
              <w:rPr>
                <w:rFonts w:cs="Calibri"/>
                <w:noProof/>
                <w:sz w:val="21"/>
                <w:szCs w:val="21"/>
                <w:lang w:eastAsia="pl-PL"/>
              </w:rPr>
              <w:drawing>
                <wp:inline distT="0" distB="0" distL="0" distR="0" wp14:anchorId="076D7237" wp14:editId="404CAAFE">
                  <wp:extent cx="4552950" cy="2840367"/>
                  <wp:effectExtent l="0" t="0" r="0" b="0"/>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56812" cy="2842776"/>
                          </a:xfrm>
                          <a:prstGeom prst="rect">
                            <a:avLst/>
                          </a:prstGeom>
                          <a:noFill/>
                          <a:ln>
                            <a:noFill/>
                          </a:ln>
                        </pic:spPr>
                      </pic:pic>
                    </a:graphicData>
                  </a:graphic>
                </wp:inline>
              </w:drawing>
            </w:r>
          </w:p>
        </w:tc>
      </w:tr>
      <w:tr w:rsidR="008E15C9" w:rsidRPr="00254AB9" w14:paraId="49C298D8" w14:textId="77777777" w:rsidTr="008E15C9">
        <w:tc>
          <w:tcPr>
            <w:tcW w:w="9072" w:type="dxa"/>
            <w:shd w:val="clear" w:color="auto" w:fill="auto"/>
          </w:tcPr>
          <w:p w14:paraId="5E7E83C8" w14:textId="77777777" w:rsidR="007C783D" w:rsidRDefault="007C783D" w:rsidP="001168CA">
            <w:pPr>
              <w:pStyle w:val="Bezodstpw"/>
            </w:pPr>
          </w:p>
          <w:p w14:paraId="5EF7213A" w14:textId="34965941" w:rsidR="008E15C9" w:rsidRPr="00254AB9" w:rsidRDefault="008E15C9" w:rsidP="008E15C9">
            <w:pPr>
              <w:pStyle w:val="Bezodstpw"/>
            </w:pPr>
            <w:r w:rsidRPr="00254AB9">
              <w:t>Źródło: Obliczenia na podstawie danych Eurostat dla państw Unii Europejskiej</w:t>
            </w:r>
            <w:r w:rsidR="006343E1">
              <w:t xml:space="preserve"> </w:t>
            </w:r>
            <w:r w:rsidR="006343E1" w:rsidRPr="00254AB9">
              <w:t>w</w:t>
            </w:r>
            <w:r w:rsidR="006343E1">
              <w:t> </w:t>
            </w:r>
            <w:r w:rsidRPr="00254AB9">
              <w:t>latach 1995</w:t>
            </w:r>
            <w:r w:rsidR="001168CA">
              <w:rPr>
                <w:rFonts w:ascii="Times New Roman" w:hAnsi="Times New Roman" w:cs="Times New Roman"/>
              </w:rPr>
              <w:t>–</w:t>
            </w:r>
            <w:r w:rsidRPr="00254AB9">
              <w:t>2015</w:t>
            </w:r>
          </w:p>
        </w:tc>
      </w:tr>
      <w:tr w:rsidR="008E15C9" w:rsidRPr="00254AB9" w14:paraId="40722450" w14:textId="77777777" w:rsidTr="008E15C9">
        <w:tc>
          <w:tcPr>
            <w:tcW w:w="9072" w:type="dxa"/>
            <w:shd w:val="clear" w:color="auto" w:fill="auto"/>
          </w:tcPr>
          <w:p w14:paraId="1B91B8FB" w14:textId="3FAD9244" w:rsidR="008E15C9" w:rsidRPr="00254AB9" w:rsidRDefault="008E15C9" w:rsidP="003A5EA7">
            <w:pPr>
              <w:pStyle w:val="Nagwek4"/>
              <w:rPr>
                <w:highlight w:val="yellow"/>
              </w:rPr>
            </w:pPr>
            <w:r w:rsidRPr="00254AB9">
              <w:t xml:space="preserve">Wykres </w:t>
            </w:r>
            <w:r w:rsidR="00C8306C">
              <w:rPr>
                <w:noProof/>
              </w:rPr>
              <w:fldChar w:fldCharType="begin"/>
            </w:r>
            <w:r w:rsidR="00C8306C">
              <w:rPr>
                <w:noProof/>
              </w:rPr>
              <w:instrText xml:space="preserve"> SEQ Rysunek \* ARABIC </w:instrText>
            </w:r>
            <w:r w:rsidR="00C8306C">
              <w:rPr>
                <w:noProof/>
              </w:rPr>
              <w:fldChar w:fldCharType="separate"/>
            </w:r>
            <w:r w:rsidRPr="00254AB9">
              <w:rPr>
                <w:noProof/>
              </w:rPr>
              <w:t>10</w:t>
            </w:r>
            <w:r w:rsidR="00C8306C">
              <w:rPr>
                <w:noProof/>
              </w:rPr>
              <w:fldChar w:fldCharType="end"/>
            </w:r>
            <w:r w:rsidRPr="00254AB9">
              <w:t>. Udział % zatrudnienia</w:t>
            </w:r>
            <w:r w:rsidR="006343E1">
              <w:t xml:space="preserve"> </w:t>
            </w:r>
            <w:r w:rsidR="006343E1" w:rsidRPr="00254AB9">
              <w:t>w</w:t>
            </w:r>
            <w:r w:rsidR="006343E1">
              <w:t> </w:t>
            </w:r>
            <w:r w:rsidRPr="00254AB9">
              <w:t>przemyśle</w:t>
            </w:r>
            <w:r w:rsidR="006343E1">
              <w:t xml:space="preserve"> </w:t>
            </w:r>
            <w:r w:rsidR="006343E1" w:rsidRPr="00254AB9">
              <w:t>a</w:t>
            </w:r>
            <w:r w:rsidR="006343E1">
              <w:t> </w:t>
            </w:r>
            <w:r w:rsidRPr="00254AB9">
              <w:t>PKB</w:t>
            </w:r>
          </w:p>
        </w:tc>
      </w:tr>
      <w:tr w:rsidR="008E15C9" w:rsidRPr="00254AB9" w14:paraId="5E9E40E8" w14:textId="77777777" w:rsidTr="008E15C9">
        <w:tc>
          <w:tcPr>
            <w:tcW w:w="9072" w:type="dxa"/>
            <w:shd w:val="clear" w:color="auto" w:fill="auto"/>
          </w:tcPr>
          <w:p w14:paraId="75E7F490" w14:textId="77777777" w:rsidR="008E15C9" w:rsidRPr="00254AB9" w:rsidRDefault="008E15C9" w:rsidP="008E15C9">
            <w:pPr>
              <w:spacing w:after="0" w:line="240" w:lineRule="auto"/>
              <w:jc w:val="center"/>
              <w:rPr>
                <w:rFonts w:cs="Calibri"/>
                <w:sz w:val="21"/>
                <w:szCs w:val="21"/>
              </w:rPr>
            </w:pPr>
            <w:r>
              <w:rPr>
                <w:rFonts w:cs="Calibri"/>
                <w:noProof/>
                <w:sz w:val="21"/>
                <w:szCs w:val="21"/>
                <w:lang w:eastAsia="pl-PL"/>
              </w:rPr>
              <w:drawing>
                <wp:inline distT="0" distB="0" distL="0" distR="0" wp14:anchorId="3C1A1A60" wp14:editId="7824FC44">
                  <wp:extent cx="4581525" cy="2805489"/>
                  <wp:effectExtent l="0" t="0" r="0" b="0"/>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87714" cy="2809279"/>
                          </a:xfrm>
                          <a:prstGeom prst="rect">
                            <a:avLst/>
                          </a:prstGeom>
                          <a:noFill/>
                          <a:ln>
                            <a:noFill/>
                          </a:ln>
                        </pic:spPr>
                      </pic:pic>
                    </a:graphicData>
                  </a:graphic>
                </wp:inline>
              </w:drawing>
            </w:r>
          </w:p>
        </w:tc>
      </w:tr>
      <w:tr w:rsidR="008E15C9" w:rsidRPr="00254AB9" w14:paraId="6FE0F6ED" w14:textId="77777777" w:rsidTr="008E15C9">
        <w:tc>
          <w:tcPr>
            <w:tcW w:w="9072" w:type="dxa"/>
            <w:shd w:val="clear" w:color="auto" w:fill="auto"/>
          </w:tcPr>
          <w:p w14:paraId="7B64A0EC" w14:textId="77777777" w:rsidR="007C783D" w:rsidRDefault="007C783D" w:rsidP="001168CA">
            <w:pPr>
              <w:pStyle w:val="Bezodstpw"/>
            </w:pPr>
          </w:p>
          <w:p w14:paraId="6D159423" w14:textId="4A5C2B36" w:rsidR="008E15C9" w:rsidRPr="005F1BC8" w:rsidRDefault="008E15C9" w:rsidP="00A862D0">
            <w:pPr>
              <w:pStyle w:val="Bezodstpw"/>
            </w:pPr>
            <w:r w:rsidRPr="00254AB9">
              <w:t>Źródło: Obliczenia na podstawie danych Eurostat dla państw Unii Europejskiej</w:t>
            </w:r>
            <w:r w:rsidR="006343E1">
              <w:t xml:space="preserve"> </w:t>
            </w:r>
            <w:r w:rsidR="006343E1" w:rsidRPr="00254AB9">
              <w:t>w</w:t>
            </w:r>
            <w:r w:rsidR="006343E1">
              <w:t> </w:t>
            </w:r>
            <w:r w:rsidRPr="00254AB9">
              <w:t>latach 1995</w:t>
            </w:r>
            <w:r w:rsidR="001168CA">
              <w:rPr>
                <w:rFonts w:ascii="Times New Roman" w:hAnsi="Times New Roman" w:cs="Times New Roman"/>
              </w:rPr>
              <w:t>–</w:t>
            </w:r>
            <w:r w:rsidRPr="00254AB9">
              <w:t>2015</w:t>
            </w:r>
          </w:p>
        </w:tc>
      </w:tr>
      <w:tr w:rsidR="00A862D0" w:rsidRPr="00254AB9" w14:paraId="126B8462" w14:textId="77777777" w:rsidTr="00A862D0">
        <w:tc>
          <w:tcPr>
            <w:tcW w:w="9072" w:type="dxa"/>
            <w:shd w:val="clear" w:color="auto" w:fill="auto"/>
          </w:tcPr>
          <w:p w14:paraId="54386445" w14:textId="5518D5BB" w:rsidR="00A862D0" w:rsidRPr="00A862D0" w:rsidRDefault="00A862D0" w:rsidP="003A5EA7">
            <w:pPr>
              <w:pStyle w:val="Nagwek4"/>
              <w:rPr>
                <w:noProof/>
              </w:rPr>
            </w:pPr>
            <w:r w:rsidRPr="00A862D0">
              <w:rPr>
                <w:noProof/>
              </w:rPr>
              <w:lastRenderedPageBreak/>
              <w:t xml:space="preserve">Wykres </w:t>
            </w:r>
            <w:r w:rsidRPr="00A862D0">
              <w:rPr>
                <w:noProof/>
              </w:rPr>
              <w:fldChar w:fldCharType="begin"/>
            </w:r>
            <w:r w:rsidRPr="00A862D0">
              <w:rPr>
                <w:noProof/>
              </w:rPr>
              <w:instrText xml:space="preserve"> SEQ Rysunek \* ARABIC </w:instrText>
            </w:r>
            <w:r w:rsidRPr="00A862D0">
              <w:rPr>
                <w:noProof/>
              </w:rPr>
              <w:fldChar w:fldCharType="separate"/>
            </w:r>
            <w:r w:rsidRPr="00A862D0">
              <w:rPr>
                <w:noProof/>
              </w:rPr>
              <w:t>11</w:t>
            </w:r>
            <w:r w:rsidRPr="00A862D0">
              <w:rPr>
                <w:noProof/>
              </w:rPr>
              <w:fldChar w:fldCharType="end"/>
            </w:r>
            <w:r w:rsidRPr="00A862D0">
              <w:rPr>
                <w:noProof/>
              </w:rPr>
              <w:t>. Udział % zatrudnienia</w:t>
            </w:r>
            <w:r w:rsidR="006343E1">
              <w:rPr>
                <w:noProof/>
              </w:rPr>
              <w:t xml:space="preserve"> </w:t>
            </w:r>
            <w:r w:rsidR="006343E1" w:rsidRPr="00A862D0">
              <w:rPr>
                <w:noProof/>
              </w:rPr>
              <w:t>w</w:t>
            </w:r>
            <w:r w:rsidR="006343E1">
              <w:rPr>
                <w:noProof/>
              </w:rPr>
              <w:t> </w:t>
            </w:r>
            <w:r w:rsidRPr="00A862D0">
              <w:rPr>
                <w:noProof/>
              </w:rPr>
              <w:t>działalności profesjonalnej, naukowej</w:t>
            </w:r>
            <w:r w:rsidR="006343E1">
              <w:rPr>
                <w:noProof/>
              </w:rPr>
              <w:t xml:space="preserve"> </w:t>
            </w:r>
            <w:r w:rsidR="006343E1" w:rsidRPr="00A862D0">
              <w:rPr>
                <w:noProof/>
              </w:rPr>
              <w:t>i</w:t>
            </w:r>
            <w:r w:rsidR="006343E1">
              <w:rPr>
                <w:noProof/>
              </w:rPr>
              <w:t> </w:t>
            </w:r>
            <w:r w:rsidRPr="00A862D0">
              <w:rPr>
                <w:noProof/>
              </w:rPr>
              <w:t>administracyjnej</w:t>
            </w:r>
            <w:r w:rsidR="006343E1">
              <w:rPr>
                <w:noProof/>
              </w:rPr>
              <w:t xml:space="preserve"> </w:t>
            </w:r>
            <w:r w:rsidR="006343E1" w:rsidRPr="00A862D0">
              <w:rPr>
                <w:noProof/>
              </w:rPr>
              <w:t>a</w:t>
            </w:r>
            <w:r w:rsidR="006343E1">
              <w:rPr>
                <w:noProof/>
              </w:rPr>
              <w:t> </w:t>
            </w:r>
            <w:r w:rsidRPr="00A862D0">
              <w:rPr>
                <w:noProof/>
              </w:rPr>
              <w:t>PKB</w:t>
            </w:r>
          </w:p>
        </w:tc>
      </w:tr>
      <w:tr w:rsidR="00A862D0" w:rsidRPr="00254AB9" w14:paraId="5A8A49CB" w14:textId="77777777" w:rsidTr="00A862D0">
        <w:tc>
          <w:tcPr>
            <w:tcW w:w="9072" w:type="dxa"/>
            <w:shd w:val="clear" w:color="auto" w:fill="auto"/>
          </w:tcPr>
          <w:p w14:paraId="41C26ADC" w14:textId="77777777" w:rsidR="00A862D0" w:rsidRPr="00A862D0" w:rsidRDefault="00A862D0" w:rsidP="00A862D0">
            <w:pPr>
              <w:pStyle w:val="Bezodstpw"/>
            </w:pPr>
            <w:r w:rsidRPr="00A862D0">
              <w:rPr>
                <w:noProof/>
                <w:lang w:eastAsia="pl-PL"/>
              </w:rPr>
              <w:drawing>
                <wp:inline distT="0" distB="0" distL="0" distR="0" wp14:anchorId="23648B71" wp14:editId="634641D2">
                  <wp:extent cx="4752975" cy="2907030"/>
                  <wp:effectExtent l="0" t="0" r="9525" b="7620"/>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52975" cy="2907030"/>
                          </a:xfrm>
                          <a:prstGeom prst="rect">
                            <a:avLst/>
                          </a:prstGeom>
                          <a:noFill/>
                          <a:ln>
                            <a:noFill/>
                          </a:ln>
                        </pic:spPr>
                      </pic:pic>
                    </a:graphicData>
                  </a:graphic>
                </wp:inline>
              </w:drawing>
            </w:r>
          </w:p>
        </w:tc>
      </w:tr>
      <w:tr w:rsidR="00A862D0" w:rsidRPr="00254AB9" w14:paraId="0F2F4486" w14:textId="77777777" w:rsidTr="00A862D0">
        <w:tc>
          <w:tcPr>
            <w:tcW w:w="9072" w:type="dxa"/>
            <w:shd w:val="clear" w:color="auto" w:fill="auto"/>
          </w:tcPr>
          <w:p w14:paraId="063DE2B7" w14:textId="6742B3EF" w:rsidR="00A862D0" w:rsidRPr="00254AB9" w:rsidRDefault="00A862D0" w:rsidP="00A862D0">
            <w:pPr>
              <w:pStyle w:val="Bezodstpw"/>
            </w:pPr>
            <w:r w:rsidRPr="00254AB9">
              <w:t>Źródło: Obliczenia na podstawie danych Eurostat dla państw Unii Europejskiej</w:t>
            </w:r>
            <w:r w:rsidR="006343E1">
              <w:t xml:space="preserve"> </w:t>
            </w:r>
            <w:r w:rsidR="006343E1" w:rsidRPr="00254AB9">
              <w:t>w</w:t>
            </w:r>
            <w:r w:rsidR="006343E1">
              <w:t> </w:t>
            </w:r>
            <w:r w:rsidRPr="00254AB9">
              <w:t>latach 1995</w:t>
            </w:r>
            <w:r w:rsidR="001168CA">
              <w:rPr>
                <w:rFonts w:ascii="Times New Roman" w:hAnsi="Times New Roman" w:cs="Times New Roman"/>
              </w:rPr>
              <w:t>–</w:t>
            </w:r>
            <w:r w:rsidRPr="00254AB9">
              <w:t>2015</w:t>
            </w:r>
          </w:p>
        </w:tc>
      </w:tr>
    </w:tbl>
    <w:p w14:paraId="697ADF0C" w14:textId="5A712F3A" w:rsidR="008E15C9" w:rsidRPr="00254AB9" w:rsidRDefault="008E15C9" w:rsidP="008E15C9">
      <w:r w:rsidRPr="00254AB9">
        <w:t>Jak widać na wykresach 9, 10</w:t>
      </w:r>
      <w:r w:rsidR="006343E1">
        <w:t xml:space="preserve"> </w:t>
      </w:r>
      <w:r w:rsidR="006343E1" w:rsidRPr="00254AB9">
        <w:t>i</w:t>
      </w:r>
      <w:r w:rsidR="006343E1">
        <w:t> </w:t>
      </w:r>
      <w:r w:rsidRPr="00254AB9">
        <w:t>11, przedstawiających zmiany udziałów zatrudnienia</w:t>
      </w:r>
      <w:r w:rsidR="006343E1">
        <w:t xml:space="preserve"> </w:t>
      </w:r>
      <w:r w:rsidR="006343E1" w:rsidRPr="00254AB9">
        <w:t>w</w:t>
      </w:r>
      <w:r w:rsidR="006343E1">
        <w:t> </w:t>
      </w:r>
      <w:r w:rsidRPr="00254AB9">
        <w:t>danych sektorach gospodarczych wraz ze wzrostem PKB</w:t>
      </w:r>
      <w:r w:rsidRPr="00254AB9">
        <w:rPr>
          <w:rStyle w:val="Odwoanieprzypisudolnego"/>
          <w:rFonts w:cs="Calibri"/>
          <w:sz w:val="21"/>
          <w:szCs w:val="21"/>
        </w:rPr>
        <w:footnoteReference w:id="10"/>
      </w:r>
      <w:r w:rsidR="001168CA">
        <w:t>,</w:t>
      </w:r>
      <w:r w:rsidR="006343E1">
        <w:t xml:space="preserve"> </w:t>
      </w:r>
      <w:r w:rsidR="006343E1" w:rsidRPr="00254AB9">
        <w:t>w</w:t>
      </w:r>
      <w:r w:rsidR="006343E1">
        <w:t> </w:t>
      </w:r>
      <w:r w:rsidRPr="00254AB9">
        <w:t>rozwoju gospodarczym występują pewne zauważalne trendy, które są dobrą ilustracją opisanej wcześniej transformacji struktury gospodarczej. Obserwujemy spadek znaczenia rolnictwa</w:t>
      </w:r>
      <w:r w:rsidR="006343E1">
        <w:t xml:space="preserve"> </w:t>
      </w:r>
      <w:r w:rsidR="006343E1" w:rsidRPr="00254AB9">
        <w:t>w</w:t>
      </w:r>
      <w:r w:rsidR="006343E1">
        <w:t> </w:t>
      </w:r>
      <w:r w:rsidRPr="00254AB9">
        <w:t>zatrudnieniu,</w:t>
      </w:r>
      <w:r w:rsidR="006343E1">
        <w:t xml:space="preserve"> </w:t>
      </w:r>
      <w:r w:rsidR="006343E1" w:rsidRPr="00254AB9">
        <w:t>a</w:t>
      </w:r>
      <w:r w:rsidR="006343E1">
        <w:t> </w:t>
      </w:r>
      <w:r w:rsidRPr="00254AB9">
        <w:t>wzrost znaczenia działalności profesjonalnej i naukowej (m.in. sektora badawczo-rozwojowego), charakteryzującej się produktywnością wyższą od przeciętnej oraz generującej pozytywne efekty zewnętrzne („rozlewanie się” technologii po innych sektorach). Wydaje się</w:t>
      </w:r>
      <w:r w:rsidR="00477C54">
        <w:t>, że </w:t>
      </w:r>
      <w:r w:rsidRPr="00254AB9">
        <w:t>Polska nie jest w tym względzie wyjątkiem</w:t>
      </w:r>
      <w:r w:rsidR="006343E1">
        <w:t xml:space="preserve"> </w:t>
      </w:r>
      <w:r w:rsidR="006343E1" w:rsidRPr="00254AB9">
        <w:t>i</w:t>
      </w:r>
      <w:r w:rsidR="006343E1">
        <w:t> </w:t>
      </w:r>
      <w:r w:rsidRPr="00254AB9">
        <w:t>podąża</w:t>
      </w:r>
      <w:r w:rsidR="006343E1">
        <w:t xml:space="preserve"> </w:t>
      </w:r>
      <w:r w:rsidR="006343E1" w:rsidRPr="00254AB9">
        <w:t>w</w:t>
      </w:r>
      <w:r w:rsidR="006343E1">
        <w:t> </w:t>
      </w:r>
      <w:r w:rsidRPr="00254AB9">
        <w:t>tym samym kierunku co pozostałe kraje Unii Europejskiej.</w:t>
      </w:r>
    </w:p>
    <w:p w14:paraId="29CBAFA5" w14:textId="13554191" w:rsidR="008E15C9" w:rsidRPr="00254AB9" w:rsidRDefault="008E15C9" w:rsidP="008E15C9">
      <w:r w:rsidRPr="00254AB9">
        <w:t>Rolą polityki gospodarczej może być ułatwianie transformacji strukturalnej</w:t>
      </w:r>
      <w:r w:rsidR="006343E1">
        <w:t xml:space="preserve"> </w:t>
      </w:r>
      <w:r w:rsidR="006343E1" w:rsidRPr="00254AB9">
        <w:t>w</w:t>
      </w:r>
      <w:r w:rsidR="006343E1">
        <w:t> </w:t>
      </w:r>
      <w:r w:rsidRPr="00254AB9">
        <w:t>danych kierunkach lub jej wstrzymywanie. Wybór konkretnego podejścia zależy od jego przewidywanych konsekwencji</w:t>
      </w:r>
      <w:r w:rsidR="006343E1">
        <w:t xml:space="preserve"> </w:t>
      </w:r>
      <w:r w:rsidR="006343E1" w:rsidRPr="00254AB9">
        <w:t>w</w:t>
      </w:r>
      <w:r w:rsidR="006343E1">
        <w:t> </w:t>
      </w:r>
      <w:r w:rsidRPr="00254AB9">
        <w:t>świetle celów rządu oraz analizy</w:t>
      </w:r>
      <w:r w:rsidR="006343E1">
        <w:t xml:space="preserve"> </w:t>
      </w:r>
      <w:r w:rsidR="006343E1" w:rsidRPr="00254AB9">
        <w:t>i</w:t>
      </w:r>
      <w:r w:rsidR="006343E1">
        <w:t> </w:t>
      </w:r>
      <w:r w:rsidRPr="00254AB9">
        <w:t>skwantyfikowania zarówno zamierzonych, jak</w:t>
      </w:r>
      <w:r w:rsidR="006343E1">
        <w:t xml:space="preserve"> </w:t>
      </w:r>
      <w:r w:rsidR="006343E1" w:rsidRPr="00254AB9">
        <w:t>i</w:t>
      </w:r>
      <w:r w:rsidR="006343E1">
        <w:t> </w:t>
      </w:r>
      <w:r w:rsidRPr="00254AB9">
        <w:t>niezamierzonych efektów interwencji. Należy zauważyć</w:t>
      </w:r>
      <w:r w:rsidR="00477C54">
        <w:t>, że </w:t>
      </w:r>
      <w:r w:rsidR="006343E1" w:rsidRPr="00254AB9">
        <w:t>w</w:t>
      </w:r>
      <w:r w:rsidR="006343E1">
        <w:t> </w:t>
      </w:r>
      <w:r w:rsidRPr="00254AB9">
        <w:t>przypadku przemysłu widoczny jest punkt szczytowego zatrudnienia w przemyśle, który państwa Unii Europejskiej już przekroczyły. Polska znajduje się wyraźnie ponad trendem, co oznacza</w:t>
      </w:r>
      <w:r w:rsidR="00477C54">
        <w:t>, że </w:t>
      </w:r>
      <w:r w:rsidRPr="00254AB9">
        <w:t>udział zatrudnionych</w:t>
      </w:r>
      <w:r w:rsidR="006343E1">
        <w:t xml:space="preserve"> </w:t>
      </w:r>
      <w:r w:rsidR="006343E1" w:rsidRPr="00254AB9">
        <w:t>w</w:t>
      </w:r>
      <w:r w:rsidR="006343E1">
        <w:t> </w:t>
      </w:r>
      <w:r w:rsidRPr="00254AB9">
        <w:t>przemyśle</w:t>
      </w:r>
      <w:r w:rsidR="006343E1">
        <w:t xml:space="preserve"> </w:t>
      </w:r>
      <w:r w:rsidR="006343E1" w:rsidRPr="00254AB9">
        <w:t>w</w:t>
      </w:r>
      <w:r w:rsidR="006343E1">
        <w:t> </w:t>
      </w:r>
      <w:r w:rsidRPr="00254AB9">
        <w:t>całości zatrudnienia jest wyższy</w:t>
      </w:r>
      <w:r w:rsidR="001168CA">
        <w:t>,</w:t>
      </w:r>
      <w:r w:rsidRPr="00254AB9">
        <w:t xml:space="preserve"> niż wynikałoby to</w:t>
      </w:r>
      <w:r w:rsidR="006343E1">
        <w:t xml:space="preserve"> </w:t>
      </w:r>
      <w:r w:rsidR="006343E1" w:rsidRPr="00254AB9">
        <w:t>z</w:t>
      </w:r>
      <w:r w:rsidR="006343E1">
        <w:t> </w:t>
      </w:r>
      <w:r w:rsidRPr="00254AB9">
        <w:t>prostego modelu wiążącego ten udział</w:t>
      </w:r>
      <w:r w:rsidR="006343E1">
        <w:t xml:space="preserve"> </w:t>
      </w:r>
      <w:r w:rsidR="006343E1" w:rsidRPr="00254AB9">
        <w:t>z</w:t>
      </w:r>
      <w:r w:rsidR="006343E1">
        <w:t> </w:t>
      </w:r>
      <w:r w:rsidRPr="00254AB9">
        <w:t>poziomem PKB. Uwzględniając fakt</w:t>
      </w:r>
      <w:r w:rsidR="00477C54">
        <w:t>, że </w:t>
      </w:r>
      <w:r w:rsidRPr="00254AB9">
        <w:t>produktywność przemysłu</w:t>
      </w:r>
      <w:r w:rsidR="006343E1">
        <w:t xml:space="preserve"> </w:t>
      </w:r>
      <w:r w:rsidR="006343E1" w:rsidRPr="00254AB9">
        <w:t>w</w:t>
      </w:r>
      <w:r w:rsidR="006343E1">
        <w:t> </w:t>
      </w:r>
      <w:r w:rsidRPr="00254AB9">
        <w:t>Polsce jest wyższa niż przeciętna</w:t>
      </w:r>
      <w:r w:rsidR="006343E1">
        <w:t xml:space="preserve"> </w:t>
      </w:r>
      <w:r w:rsidR="006343E1" w:rsidRPr="00254AB9">
        <w:t>w</w:t>
      </w:r>
      <w:r w:rsidR="006343E1">
        <w:t> </w:t>
      </w:r>
      <w:r w:rsidRPr="00254AB9">
        <w:t>gospodarce</w:t>
      </w:r>
      <w:r w:rsidR="006343E1">
        <w:t xml:space="preserve"> </w:t>
      </w:r>
      <w:r w:rsidR="006343E1" w:rsidRPr="00254AB9">
        <w:t>i</w:t>
      </w:r>
      <w:r w:rsidR="006343E1">
        <w:t> </w:t>
      </w:r>
      <w:r w:rsidRPr="00254AB9">
        <w:t>wyższa niż</w:t>
      </w:r>
      <w:r w:rsidR="006343E1">
        <w:t xml:space="preserve"> </w:t>
      </w:r>
      <w:r w:rsidR="006343E1" w:rsidRPr="00254AB9">
        <w:t>w</w:t>
      </w:r>
      <w:r w:rsidR="006343E1">
        <w:t> </w:t>
      </w:r>
      <w:r w:rsidRPr="00254AB9">
        <w:t>prostych usługach takich jak handel, gastronomia czy naprawy – zjawisko to nie jest jednoznacznie negatywne, ale wymaga obserwacji</w:t>
      </w:r>
      <w:r w:rsidRPr="00B024EC">
        <w:t xml:space="preserve"> </w:t>
      </w:r>
      <w:r w:rsidRPr="00254AB9">
        <w:t>pod kątem wydajności pracy</w:t>
      </w:r>
      <w:r w:rsidR="006343E1">
        <w:t xml:space="preserve"> </w:t>
      </w:r>
      <w:r w:rsidR="006343E1" w:rsidRPr="00254AB9">
        <w:t>w</w:t>
      </w:r>
      <w:r w:rsidR="006343E1">
        <w:t> </w:t>
      </w:r>
      <w:r w:rsidRPr="00254AB9">
        <w:t>przemyśle na tle europejskim, zwłaszcza</w:t>
      </w:r>
      <w:r w:rsidR="006343E1">
        <w:t xml:space="preserve"> </w:t>
      </w:r>
      <w:r w:rsidR="006343E1" w:rsidRPr="00254AB9">
        <w:t>w</w:t>
      </w:r>
      <w:r w:rsidR="006343E1">
        <w:t> </w:t>
      </w:r>
      <w:r w:rsidRPr="00254AB9">
        <w:t>kontekście relatywnie niskiego poziomu automatyzacji polskiego przemysłu.</w:t>
      </w:r>
    </w:p>
    <w:p w14:paraId="061E1015" w14:textId="77777777" w:rsidR="008E15C9" w:rsidRPr="003D6D53" w:rsidRDefault="008E15C9" w:rsidP="008E15C9">
      <w:pPr>
        <w:pStyle w:val="Nagwek2"/>
      </w:pPr>
      <w:bookmarkStart w:id="21" w:name="_Toc31808491"/>
      <w:bookmarkStart w:id="22" w:name="_Toc106968774"/>
      <w:r w:rsidRPr="003D6D53">
        <w:t xml:space="preserve">Dekompozycja wzrostu </w:t>
      </w:r>
      <w:r w:rsidRPr="002647FB">
        <w:t>produktywności</w:t>
      </w:r>
      <w:bookmarkEnd w:id="21"/>
      <w:bookmarkEnd w:id="22"/>
    </w:p>
    <w:p w14:paraId="4A5B9F83" w14:textId="67193EA3" w:rsidR="008E15C9" w:rsidRPr="00254AB9" w:rsidRDefault="008E15C9" w:rsidP="008E15C9">
      <w:r w:rsidRPr="00254AB9">
        <w:t>Zmianę produktywności można podzielić na dwie części: zmianę wynikającą z przemieszczania się pracowników pomiędzy sektorami (np.</w:t>
      </w:r>
      <w:r w:rsidR="006343E1">
        <w:t xml:space="preserve"> </w:t>
      </w:r>
      <w:r w:rsidR="006343E1" w:rsidRPr="00254AB9">
        <w:t>z</w:t>
      </w:r>
      <w:r w:rsidR="006343E1">
        <w:t> </w:t>
      </w:r>
      <w:r w:rsidRPr="00254AB9">
        <w:t>rolnictwa do usług) oraz z wewnętrznego wzrostu produktywności związanego</w:t>
      </w:r>
      <w:r w:rsidR="006343E1">
        <w:t xml:space="preserve"> </w:t>
      </w:r>
      <w:r w:rsidR="006343E1" w:rsidRPr="00254AB9">
        <w:t>z</w:t>
      </w:r>
      <w:r w:rsidR="006343E1">
        <w:t> </w:t>
      </w:r>
      <w:r w:rsidRPr="00254AB9">
        <w:t>polepszaniem metod produkcji</w:t>
      </w:r>
      <w:r w:rsidR="006343E1">
        <w:t xml:space="preserve"> </w:t>
      </w:r>
      <w:r w:rsidR="006343E1" w:rsidRPr="00254AB9">
        <w:t>i</w:t>
      </w:r>
      <w:r w:rsidR="006343E1">
        <w:t> </w:t>
      </w:r>
      <w:r w:rsidRPr="00254AB9">
        <w:t xml:space="preserve">jakości świadczenia usług. Jak widać na wykresie 12, zmiana wewnętrznej </w:t>
      </w:r>
      <w:r w:rsidRPr="00254AB9">
        <w:lastRenderedPageBreak/>
        <w:t>produktywności</w:t>
      </w:r>
      <w:r w:rsidR="006343E1">
        <w:t xml:space="preserve"> </w:t>
      </w:r>
      <w:r w:rsidR="006343E1" w:rsidRPr="00254AB9">
        <w:t>w</w:t>
      </w:r>
      <w:r w:rsidR="006343E1">
        <w:t> </w:t>
      </w:r>
      <w:r w:rsidRPr="00254AB9">
        <w:t>przeciągu 10 lat od wejścia do Unii Europejskiej odgrywała istotnie większa rolę niż zmiana strukturalna (która mimo wszystko odpowiadała za ponad jedną czwartą ogólnego wzrostu).</w:t>
      </w:r>
      <w:r w:rsidR="006343E1">
        <w:t xml:space="preserve"> </w:t>
      </w:r>
      <w:r w:rsidR="006343E1" w:rsidRPr="00254AB9">
        <w:t>W</w:t>
      </w:r>
      <w:r w:rsidR="006343E1">
        <w:t> </w:t>
      </w:r>
      <w:r w:rsidRPr="00254AB9">
        <w:t>najbliższych latach rola zmiany strukturalnej prawdopodobnie będzie relatywnie malała, chociaż jak zostało wspomniane</w:t>
      </w:r>
      <w:r w:rsidR="001168CA" w:rsidRPr="001168CA">
        <w:t xml:space="preserve"> </w:t>
      </w:r>
      <w:r w:rsidR="001168CA">
        <w:t>po</w:t>
      </w:r>
      <w:r w:rsidR="001168CA" w:rsidRPr="00254AB9">
        <w:t>wyżej</w:t>
      </w:r>
      <w:r w:rsidRPr="00254AB9">
        <w:t>, nadal pozostaje duży potencjał do przesunięć.</w:t>
      </w:r>
    </w:p>
    <w:tbl>
      <w:tblPr>
        <w:tblW w:w="0" w:type="auto"/>
        <w:tblLook w:val="04A0" w:firstRow="1" w:lastRow="0" w:firstColumn="1" w:lastColumn="0" w:noHBand="0" w:noVBand="1"/>
      </w:tblPr>
      <w:tblGrid>
        <w:gridCol w:w="9072"/>
      </w:tblGrid>
      <w:tr w:rsidR="008E15C9" w:rsidRPr="00254AB9" w14:paraId="72955011" w14:textId="77777777" w:rsidTr="008E15C9">
        <w:tc>
          <w:tcPr>
            <w:tcW w:w="9212" w:type="dxa"/>
            <w:shd w:val="clear" w:color="auto" w:fill="auto"/>
          </w:tcPr>
          <w:p w14:paraId="38035309" w14:textId="34385BA4" w:rsidR="008E15C9" w:rsidRPr="00254AB9" w:rsidRDefault="008E15C9" w:rsidP="003A5EA7">
            <w:pPr>
              <w:pStyle w:val="Nagwek4"/>
              <w:rPr>
                <w:highlight w:val="yellow"/>
              </w:rPr>
            </w:pPr>
            <w:r w:rsidRPr="00254AB9">
              <w:t xml:space="preserve">Wykres </w:t>
            </w:r>
            <w:r w:rsidR="00C8306C">
              <w:rPr>
                <w:noProof/>
              </w:rPr>
              <w:fldChar w:fldCharType="begin"/>
            </w:r>
            <w:r w:rsidR="00C8306C">
              <w:rPr>
                <w:noProof/>
              </w:rPr>
              <w:instrText xml:space="preserve"> SEQ Rysunek \* ARABIC </w:instrText>
            </w:r>
            <w:r w:rsidR="00C8306C">
              <w:rPr>
                <w:noProof/>
              </w:rPr>
              <w:fldChar w:fldCharType="separate"/>
            </w:r>
            <w:r w:rsidRPr="00254AB9">
              <w:rPr>
                <w:noProof/>
              </w:rPr>
              <w:t>12</w:t>
            </w:r>
            <w:r w:rsidR="00C8306C">
              <w:rPr>
                <w:noProof/>
              </w:rPr>
              <w:fldChar w:fldCharType="end"/>
            </w:r>
            <w:r w:rsidRPr="00254AB9">
              <w:t xml:space="preserve">. Dekompozycja </w:t>
            </w:r>
            <w:r w:rsidRPr="003A5EA7">
              <w:t>wzrostu</w:t>
            </w:r>
            <w:r w:rsidRPr="00254AB9">
              <w:t xml:space="preserve"> produktywności dla Polski</w:t>
            </w:r>
            <w:r w:rsidR="006343E1">
              <w:t xml:space="preserve"> </w:t>
            </w:r>
            <w:r w:rsidR="006343E1" w:rsidRPr="00254AB9">
              <w:t>w</w:t>
            </w:r>
            <w:r w:rsidR="006343E1">
              <w:t> </w:t>
            </w:r>
            <w:r w:rsidRPr="00254AB9">
              <w:t>latach 2005</w:t>
            </w:r>
            <w:r w:rsidR="00814E5E">
              <w:rPr>
                <w:rFonts w:ascii="Times New Roman" w:hAnsi="Times New Roman" w:cs="Times New Roman"/>
              </w:rPr>
              <w:t>–</w:t>
            </w:r>
            <w:r w:rsidRPr="00254AB9">
              <w:t>2015</w:t>
            </w:r>
          </w:p>
        </w:tc>
      </w:tr>
      <w:tr w:rsidR="008E15C9" w:rsidRPr="00254AB9" w14:paraId="1EA78B83" w14:textId="77777777" w:rsidTr="008E15C9">
        <w:tc>
          <w:tcPr>
            <w:tcW w:w="9212" w:type="dxa"/>
            <w:shd w:val="clear" w:color="auto" w:fill="auto"/>
          </w:tcPr>
          <w:p w14:paraId="652D872C" w14:textId="77777777" w:rsidR="008E15C9" w:rsidRPr="00254AB9" w:rsidRDefault="008E15C9" w:rsidP="008E15C9">
            <w:pPr>
              <w:spacing w:after="0" w:line="240" w:lineRule="auto"/>
              <w:jc w:val="center"/>
              <w:rPr>
                <w:rFonts w:cs="Calibri"/>
                <w:sz w:val="21"/>
                <w:szCs w:val="21"/>
              </w:rPr>
            </w:pPr>
            <w:r>
              <w:rPr>
                <w:rFonts w:cs="Calibri"/>
                <w:noProof/>
                <w:sz w:val="21"/>
                <w:szCs w:val="21"/>
                <w:lang w:eastAsia="pl-PL"/>
              </w:rPr>
              <w:drawing>
                <wp:inline distT="0" distB="0" distL="0" distR="0" wp14:anchorId="66C6C9C3" wp14:editId="73373220">
                  <wp:extent cx="4572000" cy="2752090"/>
                  <wp:effectExtent l="0" t="0" r="0" b="0"/>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000" cy="2752090"/>
                          </a:xfrm>
                          <a:prstGeom prst="rect">
                            <a:avLst/>
                          </a:prstGeom>
                          <a:noFill/>
                          <a:ln>
                            <a:noFill/>
                          </a:ln>
                        </pic:spPr>
                      </pic:pic>
                    </a:graphicData>
                  </a:graphic>
                </wp:inline>
              </w:drawing>
            </w:r>
          </w:p>
        </w:tc>
      </w:tr>
      <w:tr w:rsidR="008E15C9" w:rsidRPr="00254AB9" w14:paraId="3CD3681D" w14:textId="77777777" w:rsidTr="008E15C9">
        <w:tc>
          <w:tcPr>
            <w:tcW w:w="9212" w:type="dxa"/>
            <w:shd w:val="clear" w:color="auto" w:fill="auto"/>
          </w:tcPr>
          <w:p w14:paraId="48EFBDA7" w14:textId="77777777" w:rsidR="007C783D" w:rsidRDefault="007C783D" w:rsidP="008E15C9">
            <w:pPr>
              <w:pStyle w:val="Bezodstpw"/>
            </w:pPr>
          </w:p>
          <w:p w14:paraId="1C9FE2FB" w14:textId="18B05595" w:rsidR="008E15C9" w:rsidRPr="00254AB9" w:rsidRDefault="008E15C9" w:rsidP="008E15C9">
            <w:pPr>
              <w:pStyle w:val="Bezodstpw"/>
            </w:pPr>
            <w:r w:rsidRPr="00254AB9">
              <w:t xml:space="preserve">Źródło: Obliczenie własne </w:t>
            </w:r>
            <w:r w:rsidR="003A56DA">
              <w:t>MRiT</w:t>
            </w:r>
            <w:r w:rsidR="003A5EA7">
              <w:t xml:space="preserve"> </w:t>
            </w:r>
            <w:r w:rsidRPr="00254AB9">
              <w:t>na podstawie danych Eurostat (ceny stałe) według metodyki opisanej w </w:t>
            </w:r>
            <w:proofErr w:type="spellStart"/>
            <w:r w:rsidRPr="00254AB9">
              <w:t>McMillan</w:t>
            </w:r>
            <w:proofErr w:type="spellEnd"/>
            <w:r w:rsidRPr="00254AB9">
              <w:t xml:space="preserve">, </w:t>
            </w:r>
            <w:proofErr w:type="spellStart"/>
            <w:r w:rsidRPr="00254AB9">
              <w:t>Rodrik</w:t>
            </w:r>
            <w:proofErr w:type="spellEnd"/>
            <w:r w:rsidRPr="00254AB9">
              <w:t xml:space="preserve"> (2011)</w:t>
            </w:r>
          </w:p>
        </w:tc>
      </w:tr>
    </w:tbl>
    <w:p w14:paraId="154DEB77" w14:textId="76D0BE05" w:rsidR="008E15C9" w:rsidRPr="00254AB9" w:rsidRDefault="008E15C9" w:rsidP="008E15C9">
      <w:r w:rsidRPr="00254AB9">
        <w:t>Cechą specyficzną przemysłu (w szczególności przetwórstwa przemysłowego) jest daleko idąca mechanizacja</w:t>
      </w:r>
      <w:r w:rsidR="006343E1">
        <w:t xml:space="preserve"> </w:t>
      </w:r>
      <w:r w:rsidR="006343E1" w:rsidRPr="00254AB9">
        <w:t>i</w:t>
      </w:r>
      <w:r w:rsidR="006343E1">
        <w:t> </w:t>
      </w:r>
      <w:r w:rsidRPr="00254AB9">
        <w:t xml:space="preserve">automatyzacja procesów wytwórczych. Postęp techniczny istotnie wpływa na te zjawiska, zatem granice wzrostu wydajności </w:t>
      </w:r>
      <w:r w:rsidR="00814E5E">
        <w:t>za</w:t>
      </w:r>
      <w:r w:rsidRPr="00254AB9">
        <w:t xml:space="preserve"> pomoc</w:t>
      </w:r>
      <w:r w:rsidR="00814E5E">
        <w:t>ą</w:t>
      </w:r>
      <w:r w:rsidRPr="00254AB9">
        <w:t xml:space="preserve"> środków automatyzacji są bardzo odległe. Dzięki temu przeciętne tempo wzrostu produktywności</w:t>
      </w:r>
      <w:r w:rsidR="006343E1">
        <w:t xml:space="preserve"> </w:t>
      </w:r>
      <w:r w:rsidR="006343E1" w:rsidRPr="00254AB9">
        <w:t>w</w:t>
      </w:r>
      <w:r w:rsidR="006343E1">
        <w:t> </w:t>
      </w:r>
      <w:r w:rsidRPr="00254AB9">
        <w:t>przemyśle jest dużo wyższe niż</w:t>
      </w:r>
      <w:r w:rsidR="006343E1">
        <w:t xml:space="preserve"> </w:t>
      </w:r>
      <w:r w:rsidR="006343E1" w:rsidRPr="00254AB9">
        <w:t>w</w:t>
      </w:r>
      <w:r w:rsidR="006343E1">
        <w:t> </w:t>
      </w:r>
      <w:r w:rsidRPr="00254AB9">
        <w:t>sektorze usług, gdzie jednak wciąż istnieje niewykorzystany potencjał wzrostu przez cyfryzację.</w:t>
      </w:r>
    </w:p>
    <w:p w14:paraId="694F0048" w14:textId="41B91C6F" w:rsidR="008E15C9" w:rsidRPr="00254AB9" w:rsidRDefault="008E15C9" w:rsidP="008E15C9">
      <w:r w:rsidRPr="00254AB9">
        <w:t>W latach 2005</w:t>
      </w:r>
      <w:r w:rsidR="00814E5E">
        <w:rPr>
          <w:rFonts w:ascii="Times New Roman" w:hAnsi="Times New Roman" w:cs="Times New Roman"/>
        </w:rPr>
        <w:t>–</w:t>
      </w:r>
      <w:r w:rsidRPr="00254AB9">
        <w:t>2015 wzrost wydajności przemysłu to ok. 65% wartości zmiany wewnątrzsektorowej. Zatem gdyby teoretycznie założyć</w:t>
      </w:r>
      <w:r w:rsidR="00477C54">
        <w:t>, że </w:t>
      </w:r>
      <w:r w:rsidR="006343E1" w:rsidRPr="00254AB9">
        <w:t>w</w:t>
      </w:r>
      <w:r w:rsidR="006343E1">
        <w:t> </w:t>
      </w:r>
      <w:r w:rsidRPr="00254AB9">
        <w:t>przeciągu tych 10 lat rozwój przemysłu byłby zatrzymany, to przeciętny dobrobyt Polaków rósłby niemal</w:t>
      </w:r>
      <w:r w:rsidR="006343E1">
        <w:t xml:space="preserve"> </w:t>
      </w:r>
      <w:r w:rsidR="006343E1" w:rsidRPr="00254AB9">
        <w:t>o</w:t>
      </w:r>
      <w:r w:rsidR="006343E1">
        <w:t> </w:t>
      </w:r>
      <w:r w:rsidRPr="00254AB9">
        <w:t>połowę wolniej</w:t>
      </w:r>
      <w:r w:rsidR="00814E5E">
        <w:t>,</w:t>
      </w:r>
      <w:r w:rsidRPr="00254AB9">
        <w:t xml:space="preserve"> niż miało to miejsce (wzrost dochodów jest istotnie skorelowany ze wzrostem produktywności). Mimo</w:t>
      </w:r>
      <w:r w:rsidR="00477C54">
        <w:t xml:space="preserve"> że </w:t>
      </w:r>
      <w:r w:rsidRPr="00254AB9">
        <w:t>produktywność przemysłu jest wyraźnie niższa niż</w:t>
      </w:r>
      <w:r w:rsidR="006343E1">
        <w:t xml:space="preserve"> </w:t>
      </w:r>
      <w:r w:rsidR="006343E1" w:rsidRPr="00254AB9">
        <w:t>w</w:t>
      </w:r>
      <w:r w:rsidR="006343E1">
        <w:t> </w:t>
      </w:r>
      <w:r w:rsidRPr="00254AB9">
        <w:t>sektorze usług wysokospecjalistycznych, to tempo jej wzrostu jest kilkukrotnie wyższe. Zatem nawet gdyby skokowy przepływ zasobów siły roboczej</w:t>
      </w:r>
      <w:r w:rsidR="006343E1">
        <w:t xml:space="preserve"> </w:t>
      </w:r>
      <w:r w:rsidR="006343E1" w:rsidRPr="00254AB9">
        <w:t>z</w:t>
      </w:r>
      <w:r w:rsidR="006343E1">
        <w:t> </w:t>
      </w:r>
      <w:r w:rsidRPr="00254AB9">
        <w:t>przemysłu do tych usług był wykonalny, wywołałby on co najwyżej jednorazowy wzrost produktywności (wynikający ze zmiany strukturalnej – większa liczba pracowników wytwarza usługi cenniejsze niż „utracone”</w:t>
      </w:r>
      <w:r w:rsidR="006343E1">
        <w:t xml:space="preserve"> </w:t>
      </w:r>
      <w:r w:rsidR="006343E1" w:rsidRPr="00254AB9">
        <w:t>w</w:t>
      </w:r>
      <w:r w:rsidR="006343E1">
        <w:t> </w:t>
      </w:r>
      <w:r w:rsidRPr="00254AB9">
        <w:t>wyniku zmiany artykuły przemysłowe), ale spowolniłby długookresowe tempo wzrostu produktywności</w:t>
      </w:r>
      <w:r w:rsidR="006343E1">
        <w:t xml:space="preserve"> </w:t>
      </w:r>
      <w:r w:rsidR="006343E1" w:rsidRPr="00254AB9">
        <w:t>w</w:t>
      </w:r>
      <w:r w:rsidR="006343E1">
        <w:t> </w:t>
      </w:r>
      <w:r w:rsidRPr="00254AB9">
        <w:t>gospodarce jako całości, wynikające ze zmiany wewnątrzsektorowej,</w:t>
      </w:r>
      <w:r w:rsidR="006343E1">
        <w:t xml:space="preserve"> </w:t>
      </w:r>
      <w:r w:rsidR="006343E1" w:rsidRPr="00254AB9">
        <w:t>w</w:t>
      </w:r>
      <w:r w:rsidR="006343E1">
        <w:t> </w:t>
      </w:r>
      <w:r w:rsidRPr="00254AB9">
        <w:t>której jak już wskazano, główny udział ma przemysł. Potencjał przemysłu do zapewnienia trwałego wzrostu produktywności</w:t>
      </w:r>
      <w:r w:rsidR="006343E1">
        <w:t xml:space="preserve"> </w:t>
      </w:r>
      <w:r w:rsidR="006343E1" w:rsidRPr="00254AB9">
        <w:t>w</w:t>
      </w:r>
      <w:r w:rsidR="006343E1">
        <w:t> </w:t>
      </w:r>
      <w:r w:rsidRPr="00254AB9">
        <w:t xml:space="preserve">długim okresie jest zatem jedną z głównych przyczyn, dla których </w:t>
      </w:r>
      <w:r w:rsidR="005D7434" w:rsidRPr="00DC2007">
        <w:t>n</w:t>
      </w:r>
      <w:r w:rsidRPr="00DC2007">
        <w:t xml:space="preserve">owa </w:t>
      </w:r>
      <w:r w:rsidR="00D75E32" w:rsidRPr="00DC2007">
        <w:t>p</w:t>
      </w:r>
      <w:r w:rsidRPr="00DC2007">
        <w:t xml:space="preserve">olityka </w:t>
      </w:r>
      <w:r w:rsidR="00D75E32" w:rsidRPr="00DC2007">
        <w:t>p</w:t>
      </w:r>
      <w:r w:rsidRPr="00DC2007">
        <w:t>rzemysłowa</w:t>
      </w:r>
      <w:r w:rsidR="00D75E32">
        <w:rPr>
          <w:i/>
        </w:rPr>
        <w:t xml:space="preserve"> </w:t>
      </w:r>
      <w:r w:rsidRPr="00254AB9">
        <w:t xml:space="preserve">powinna być kluczowym elementem </w:t>
      </w:r>
      <w:r w:rsidR="005D7434">
        <w:t>„</w:t>
      </w:r>
      <w:r w:rsidRPr="00254AB9">
        <w:t xml:space="preserve">Strategii </w:t>
      </w:r>
      <w:r w:rsidR="005D7434">
        <w:t>p</w:t>
      </w:r>
      <w:r w:rsidRPr="005D7434">
        <w:t>roduktywności</w:t>
      </w:r>
      <w:r w:rsidR="005D7434">
        <w:t xml:space="preserve"> 2030”</w:t>
      </w:r>
      <w:r w:rsidRPr="00254AB9">
        <w:t xml:space="preserve">. </w:t>
      </w:r>
    </w:p>
    <w:p w14:paraId="16CAB202" w14:textId="5068A7E2" w:rsidR="008E15C9" w:rsidRPr="00254AB9" w:rsidRDefault="008E15C9" w:rsidP="008E15C9">
      <w:r w:rsidRPr="00254AB9">
        <w:t>Jak widać na wykresie 13 prezentującym dekompozycję wzrostu produktywności dla krajów Unii Europejskiej, produktywność</w:t>
      </w:r>
      <w:r w:rsidR="006343E1">
        <w:t xml:space="preserve"> </w:t>
      </w:r>
      <w:r w:rsidR="006343E1" w:rsidRPr="00254AB9">
        <w:t>w</w:t>
      </w:r>
      <w:r w:rsidR="006343E1">
        <w:t> </w:t>
      </w:r>
      <w:r w:rsidRPr="00254AB9">
        <w:t>Polsce rosła</w:t>
      </w:r>
      <w:r w:rsidR="006343E1">
        <w:t xml:space="preserve"> </w:t>
      </w:r>
      <w:r w:rsidR="006343E1" w:rsidRPr="00254AB9">
        <w:t>w</w:t>
      </w:r>
      <w:r w:rsidR="006343E1">
        <w:t> </w:t>
      </w:r>
      <w:r w:rsidRPr="00254AB9">
        <w:t>tempie jednym</w:t>
      </w:r>
      <w:r w:rsidR="006343E1">
        <w:t xml:space="preserve"> </w:t>
      </w:r>
      <w:r w:rsidR="006343E1" w:rsidRPr="00254AB9">
        <w:t>z</w:t>
      </w:r>
      <w:r w:rsidR="006343E1">
        <w:t> </w:t>
      </w:r>
      <w:r w:rsidRPr="00254AB9">
        <w:t>najwyższych spośród notowanych. Z jednej strony wynikało to oczywiście</w:t>
      </w:r>
      <w:r w:rsidR="006343E1">
        <w:t xml:space="preserve"> </w:t>
      </w:r>
      <w:r w:rsidR="006343E1" w:rsidRPr="00254AB9">
        <w:t>z</w:t>
      </w:r>
      <w:r w:rsidR="006343E1">
        <w:t> </w:t>
      </w:r>
      <w:r w:rsidRPr="00254AB9">
        <w:t>niższej bazy początkowej, jednak wytłumaczenie to jest niewystarczające. Bułgaria,</w:t>
      </w:r>
      <w:r w:rsidR="006343E1">
        <w:t xml:space="preserve"> </w:t>
      </w:r>
      <w:r w:rsidR="006343E1" w:rsidRPr="00254AB9">
        <w:t>w</w:t>
      </w:r>
      <w:r w:rsidR="006343E1">
        <w:t> </w:t>
      </w:r>
      <w:r w:rsidRPr="00254AB9">
        <w:t>której produktywność jest wyraźnie niższa niż</w:t>
      </w:r>
      <w:r w:rsidR="006343E1">
        <w:t xml:space="preserve"> </w:t>
      </w:r>
      <w:r w:rsidR="006343E1" w:rsidRPr="00254AB9">
        <w:t>w</w:t>
      </w:r>
      <w:r w:rsidR="006343E1">
        <w:t> </w:t>
      </w:r>
      <w:r w:rsidRPr="00254AB9">
        <w:t>Polsce, wzrastała w bardzo podobnym tempie. W Irlandii produktywność rosła głównie za sprawą przemysłowych firm</w:t>
      </w:r>
      <w:r w:rsidR="006343E1">
        <w:t xml:space="preserve"> </w:t>
      </w:r>
      <w:r w:rsidR="006343E1" w:rsidRPr="00254AB9">
        <w:t>z</w:t>
      </w:r>
      <w:r w:rsidR="006343E1">
        <w:t> </w:t>
      </w:r>
      <w:r w:rsidRPr="00254AB9">
        <w:t xml:space="preserve">udziałem kapitału zagranicznego, do czego zapewne walnie przyczynił się status tego kraju jako raju podatkowego, którego niska stawka CIT (12,5%) </w:t>
      </w:r>
      <w:r w:rsidRPr="00254AB9">
        <w:lastRenderedPageBreak/>
        <w:t>pozwala, dzięki działaniom</w:t>
      </w:r>
      <w:r w:rsidR="006343E1">
        <w:t xml:space="preserve"> </w:t>
      </w:r>
      <w:r w:rsidR="006343E1" w:rsidRPr="00254AB9">
        <w:t>w</w:t>
      </w:r>
      <w:r w:rsidR="006343E1">
        <w:t> </w:t>
      </w:r>
      <w:r w:rsidRPr="00254AB9">
        <w:t>realnej gospodarce</w:t>
      </w:r>
      <w:r w:rsidR="00814E5E">
        <w:t>,</w:t>
      </w:r>
      <w:r w:rsidRPr="00254AB9">
        <w:t xml:space="preserve"> ale także za pośrednictwem cen</w:t>
      </w:r>
      <w:r w:rsidR="006343E1">
        <w:t xml:space="preserve"> </w:t>
      </w:r>
      <w:r w:rsidR="006343E1" w:rsidRPr="00254AB9">
        <w:t>w</w:t>
      </w:r>
      <w:r w:rsidR="006343E1">
        <w:t> </w:t>
      </w:r>
      <w:r w:rsidRPr="00254AB9">
        <w:t>rozliczeniach wewnątrz firmy, minimalizować</w:t>
      </w:r>
      <w:r w:rsidR="006343E1">
        <w:t xml:space="preserve"> </w:t>
      </w:r>
      <w:r w:rsidR="006343E1" w:rsidRPr="00254AB9">
        <w:t>w</w:t>
      </w:r>
      <w:r w:rsidR="006343E1">
        <w:t> </w:t>
      </w:r>
      <w:r w:rsidRPr="00254AB9">
        <w:t xml:space="preserve">skali globalnej koszty podatkowe. </w:t>
      </w:r>
    </w:p>
    <w:tbl>
      <w:tblPr>
        <w:tblW w:w="9212" w:type="dxa"/>
        <w:tblInd w:w="108" w:type="dxa"/>
        <w:tblLook w:val="04A0" w:firstRow="1" w:lastRow="0" w:firstColumn="1" w:lastColumn="0" w:noHBand="0" w:noVBand="1"/>
      </w:tblPr>
      <w:tblGrid>
        <w:gridCol w:w="9212"/>
      </w:tblGrid>
      <w:tr w:rsidR="008E15C9" w:rsidRPr="00254AB9" w14:paraId="39B2ECA5" w14:textId="77777777" w:rsidTr="008E15C9">
        <w:tc>
          <w:tcPr>
            <w:tcW w:w="9212" w:type="dxa"/>
            <w:shd w:val="clear" w:color="auto" w:fill="auto"/>
          </w:tcPr>
          <w:p w14:paraId="791BC71F" w14:textId="442F65AC" w:rsidR="008E15C9" w:rsidRPr="00254AB9" w:rsidRDefault="008E15C9" w:rsidP="003A5EA7">
            <w:pPr>
              <w:pStyle w:val="Nagwek4"/>
              <w:rPr>
                <w:highlight w:val="yellow"/>
              </w:rPr>
            </w:pPr>
            <w:r w:rsidRPr="00254AB9">
              <w:t xml:space="preserve">Wykres </w:t>
            </w:r>
            <w:r w:rsidR="00C8306C">
              <w:rPr>
                <w:noProof/>
              </w:rPr>
              <w:fldChar w:fldCharType="begin"/>
            </w:r>
            <w:r w:rsidR="00C8306C">
              <w:rPr>
                <w:noProof/>
              </w:rPr>
              <w:instrText xml:space="preserve"> SEQ Rysunek \* ARABIC </w:instrText>
            </w:r>
            <w:r w:rsidR="00C8306C">
              <w:rPr>
                <w:noProof/>
              </w:rPr>
              <w:fldChar w:fldCharType="separate"/>
            </w:r>
            <w:r w:rsidRPr="00254AB9">
              <w:rPr>
                <w:noProof/>
              </w:rPr>
              <w:t>13</w:t>
            </w:r>
            <w:r w:rsidR="00C8306C">
              <w:rPr>
                <w:noProof/>
              </w:rPr>
              <w:fldChar w:fldCharType="end"/>
            </w:r>
            <w:r w:rsidRPr="00254AB9">
              <w:t>. Dekompozycja wzrostu produktywności dla krajów UE</w:t>
            </w:r>
            <w:r w:rsidR="006343E1">
              <w:t xml:space="preserve"> </w:t>
            </w:r>
            <w:r w:rsidR="006343E1" w:rsidRPr="00254AB9">
              <w:t>w</w:t>
            </w:r>
            <w:r w:rsidR="006343E1">
              <w:t> </w:t>
            </w:r>
            <w:r w:rsidRPr="00254AB9">
              <w:t>latach 2005</w:t>
            </w:r>
            <w:r w:rsidR="00814E5E">
              <w:rPr>
                <w:rFonts w:ascii="Times New Roman" w:hAnsi="Times New Roman" w:cs="Times New Roman"/>
              </w:rPr>
              <w:t>–</w:t>
            </w:r>
            <w:r w:rsidRPr="00254AB9">
              <w:t>2015</w:t>
            </w:r>
          </w:p>
        </w:tc>
      </w:tr>
      <w:tr w:rsidR="008E15C9" w:rsidRPr="00254AB9" w14:paraId="029D1CE3" w14:textId="77777777" w:rsidTr="008E15C9">
        <w:tc>
          <w:tcPr>
            <w:tcW w:w="9212" w:type="dxa"/>
            <w:shd w:val="clear" w:color="auto" w:fill="auto"/>
          </w:tcPr>
          <w:p w14:paraId="202D3D80" w14:textId="77777777" w:rsidR="008E15C9" w:rsidRPr="00254AB9" w:rsidRDefault="008E15C9" w:rsidP="008E15C9">
            <w:pPr>
              <w:spacing w:after="0" w:line="240" w:lineRule="auto"/>
              <w:rPr>
                <w:rFonts w:cs="Calibri"/>
                <w:sz w:val="21"/>
                <w:szCs w:val="21"/>
              </w:rPr>
            </w:pPr>
            <w:r>
              <w:rPr>
                <w:rFonts w:cs="Calibri"/>
                <w:noProof/>
                <w:sz w:val="21"/>
                <w:szCs w:val="21"/>
                <w:lang w:eastAsia="pl-PL"/>
              </w:rPr>
              <w:drawing>
                <wp:inline distT="0" distB="0" distL="0" distR="0" wp14:anchorId="278AF23C" wp14:editId="187B9DF9">
                  <wp:extent cx="5245100" cy="2803525"/>
                  <wp:effectExtent l="0" t="0" r="0" b="0"/>
                  <wp:docPr id="49"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45100" cy="2803525"/>
                          </a:xfrm>
                          <a:prstGeom prst="rect">
                            <a:avLst/>
                          </a:prstGeom>
                          <a:noFill/>
                          <a:ln>
                            <a:noFill/>
                          </a:ln>
                        </pic:spPr>
                      </pic:pic>
                    </a:graphicData>
                  </a:graphic>
                </wp:inline>
              </w:drawing>
            </w:r>
          </w:p>
        </w:tc>
      </w:tr>
      <w:tr w:rsidR="008E15C9" w:rsidRPr="00254AB9" w14:paraId="5A7F9908" w14:textId="77777777" w:rsidTr="008E15C9">
        <w:tc>
          <w:tcPr>
            <w:tcW w:w="9212" w:type="dxa"/>
            <w:shd w:val="clear" w:color="auto" w:fill="auto"/>
          </w:tcPr>
          <w:p w14:paraId="74C358D8" w14:textId="77777777" w:rsidR="007C783D" w:rsidRDefault="007C783D" w:rsidP="008E15C9">
            <w:pPr>
              <w:pStyle w:val="Bezodstpw"/>
            </w:pPr>
          </w:p>
          <w:p w14:paraId="30F21629" w14:textId="1B73F0DA" w:rsidR="00814E5E" w:rsidRDefault="008E15C9" w:rsidP="008E15C9">
            <w:pPr>
              <w:pStyle w:val="Bezodstpw"/>
            </w:pPr>
            <w:r w:rsidRPr="00254AB9">
              <w:t>Źródło: Obliczenie własne na podstawie danych Eurostat (ceny bieżące) według metodyki opisanej w </w:t>
            </w:r>
            <w:proofErr w:type="spellStart"/>
            <w:r w:rsidRPr="00254AB9">
              <w:t>McMillan</w:t>
            </w:r>
            <w:proofErr w:type="spellEnd"/>
            <w:r w:rsidRPr="00254AB9">
              <w:t xml:space="preserve">, </w:t>
            </w:r>
            <w:proofErr w:type="spellStart"/>
            <w:r w:rsidRPr="00254AB9">
              <w:t>Rodrik</w:t>
            </w:r>
            <w:proofErr w:type="spellEnd"/>
            <w:r w:rsidRPr="00254AB9">
              <w:t xml:space="preserve"> (2011). </w:t>
            </w:r>
          </w:p>
          <w:p w14:paraId="6069EB95" w14:textId="0D36CA03" w:rsidR="008E15C9" w:rsidRPr="00254AB9" w:rsidRDefault="008E15C9" w:rsidP="00D75E32">
            <w:pPr>
              <w:pStyle w:val="Bezodstpw"/>
              <w:ind w:left="493"/>
            </w:pPr>
            <w:r w:rsidRPr="00254AB9">
              <w:t>Dla Chorwacji dane za lata 2007</w:t>
            </w:r>
            <w:r w:rsidR="00814E5E">
              <w:rPr>
                <w:rFonts w:ascii="Times New Roman" w:hAnsi="Times New Roman" w:cs="Times New Roman"/>
              </w:rPr>
              <w:t>–</w:t>
            </w:r>
            <w:r w:rsidRPr="00254AB9">
              <w:t>2015</w:t>
            </w:r>
          </w:p>
        </w:tc>
      </w:tr>
    </w:tbl>
    <w:p w14:paraId="6C1EB9F2" w14:textId="462FBBCB" w:rsidR="008E15C9" w:rsidRPr="00254AB9" w:rsidRDefault="008E15C9" w:rsidP="008E15C9">
      <w:r w:rsidRPr="00254AB9">
        <w:t>W krajach po lewej stronie wykresu produktywność</w:t>
      </w:r>
      <w:r w:rsidR="006343E1">
        <w:t xml:space="preserve"> </w:t>
      </w:r>
      <w:r w:rsidR="006343E1" w:rsidRPr="00254AB9">
        <w:t>w</w:t>
      </w:r>
      <w:r w:rsidR="006343E1">
        <w:t> </w:t>
      </w:r>
      <w:r w:rsidRPr="00254AB9">
        <w:t>przemyśle rosła</w:t>
      </w:r>
      <w:r w:rsidR="006343E1">
        <w:t xml:space="preserve"> </w:t>
      </w:r>
      <w:r w:rsidR="006343E1" w:rsidRPr="00254AB9">
        <w:t>w</w:t>
      </w:r>
      <w:r w:rsidR="006343E1">
        <w:t> </w:t>
      </w:r>
      <w:r w:rsidRPr="00254AB9">
        <w:t>bardzo szybkim tempie – w Rumunii</w:t>
      </w:r>
      <w:r w:rsidR="006343E1">
        <w:t xml:space="preserve"> </w:t>
      </w:r>
      <w:r w:rsidR="006343E1" w:rsidRPr="00254AB9">
        <w:t>o</w:t>
      </w:r>
      <w:r w:rsidR="006343E1">
        <w:t> </w:t>
      </w:r>
      <w:r w:rsidRPr="00254AB9">
        <w:t>113%, Irlandii</w:t>
      </w:r>
      <w:r w:rsidR="006343E1">
        <w:t xml:space="preserve"> </w:t>
      </w:r>
      <w:r w:rsidR="006343E1" w:rsidRPr="00254AB9">
        <w:t>o</w:t>
      </w:r>
      <w:r w:rsidR="006343E1">
        <w:t> </w:t>
      </w:r>
      <w:r w:rsidRPr="00254AB9">
        <w:t xml:space="preserve">266%, na Litwie </w:t>
      </w:r>
      <w:r w:rsidR="00814E5E">
        <w:t xml:space="preserve">o </w:t>
      </w:r>
      <w:r w:rsidRPr="00254AB9">
        <w:t xml:space="preserve">74%, na Łotwie </w:t>
      </w:r>
      <w:r w:rsidR="00814E5E">
        <w:t xml:space="preserve">o </w:t>
      </w:r>
      <w:r w:rsidRPr="00254AB9">
        <w:t>85%,</w:t>
      </w:r>
      <w:r w:rsidR="006343E1">
        <w:t xml:space="preserve"> </w:t>
      </w:r>
      <w:r w:rsidR="006343E1" w:rsidRPr="00254AB9">
        <w:t>w</w:t>
      </w:r>
      <w:r w:rsidR="006343E1">
        <w:t> </w:t>
      </w:r>
      <w:r w:rsidRPr="00254AB9">
        <w:t xml:space="preserve">Bułgarii </w:t>
      </w:r>
      <w:r w:rsidR="00814E5E">
        <w:t xml:space="preserve">o </w:t>
      </w:r>
      <w:r w:rsidRPr="00254AB9">
        <w:t>78%,</w:t>
      </w:r>
      <w:r w:rsidR="006343E1">
        <w:t xml:space="preserve"> </w:t>
      </w:r>
      <w:r w:rsidR="006343E1" w:rsidRPr="00254AB9">
        <w:t>a</w:t>
      </w:r>
      <w:r w:rsidR="006343E1">
        <w:t> </w:t>
      </w:r>
      <w:r w:rsidRPr="00254AB9">
        <w:t xml:space="preserve">w Polsce </w:t>
      </w:r>
      <w:r w:rsidR="00814E5E">
        <w:t>o</w:t>
      </w:r>
      <w:r w:rsidRPr="00254AB9">
        <w:t xml:space="preserve"> 60%. Widać również</w:t>
      </w:r>
      <w:r w:rsidR="00477C54">
        <w:t>, że </w:t>
      </w:r>
      <w:r w:rsidRPr="00254AB9">
        <w:t>najistotniejszym elementem wzrostu produktywności</w:t>
      </w:r>
      <w:r w:rsidR="006343E1">
        <w:t xml:space="preserve"> </w:t>
      </w:r>
      <w:r w:rsidR="006343E1" w:rsidRPr="00254AB9">
        <w:t>w</w:t>
      </w:r>
      <w:r w:rsidR="006343E1">
        <w:t> </w:t>
      </w:r>
      <w:r w:rsidRPr="00254AB9">
        <w:t>Unii Europejskiej jest wzrost wewnątrzsektorowy (tj. wynikający ze wzrostu nakładów kapitałowych, innowacji na poziomie co najmniej danej firmy oraz poprawy funkcjonowania branż)</w:t>
      </w:r>
      <w:r w:rsidRPr="00254AB9">
        <w:rPr>
          <w:rStyle w:val="Odwoanieprzypisudolnego"/>
          <w:rFonts w:cs="Calibri"/>
          <w:sz w:val="21"/>
          <w:szCs w:val="21"/>
        </w:rPr>
        <w:footnoteReference w:id="11"/>
      </w:r>
      <w:r w:rsidRPr="00254AB9">
        <w:t>. Można zatem powiedzieć</w:t>
      </w:r>
      <w:r w:rsidR="00477C54">
        <w:t>, że </w:t>
      </w:r>
      <w:r w:rsidRPr="00254AB9">
        <w:t>pomimo dużego potencjału transformacyjnego polskiej gospodarki główne szanse rozwojowe leżą we wzroście wewnątrzsektorowym. Stąd kluczowe powinno być wspieranie rozwoju dobrego zarządzania, kapitału ludzkiego</w:t>
      </w:r>
      <w:r w:rsidR="006343E1">
        <w:t xml:space="preserve"> </w:t>
      </w:r>
      <w:r w:rsidR="006343E1" w:rsidRPr="00254AB9">
        <w:t>i</w:t>
      </w:r>
      <w:r w:rsidR="006343E1">
        <w:t> </w:t>
      </w:r>
      <w:r w:rsidRPr="00254AB9">
        <w:t>społecznego oraz innowacyjności</w:t>
      </w:r>
      <w:r w:rsidR="006343E1">
        <w:t xml:space="preserve"> </w:t>
      </w:r>
      <w:r w:rsidR="006343E1" w:rsidRPr="00254AB9">
        <w:t>i</w:t>
      </w:r>
      <w:r w:rsidR="006343E1">
        <w:t> </w:t>
      </w:r>
      <w:r w:rsidRPr="00254AB9">
        <w:t>zwiększanie wydajności procesów produkcyjnych wewnątrz branż, nie zapominając jednak o wsparciu zmiany strukturalnej</w:t>
      </w:r>
      <w:r w:rsidR="006343E1">
        <w:t xml:space="preserve"> </w:t>
      </w:r>
      <w:r w:rsidR="006343E1" w:rsidRPr="00254AB9">
        <w:t>w</w:t>
      </w:r>
      <w:r w:rsidR="006343E1">
        <w:t> </w:t>
      </w:r>
      <w:r w:rsidRPr="00254AB9">
        <w:t>przypadku sektorów</w:t>
      </w:r>
      <w:r w:rsidR="006343E1">
        <w:t xml:space="preserve"> </w:t>
      </w:r>
      <w:r w:rsidR="006343E1" w:rsidRPr="00254AB9">
        <w:t>o</w:t>
      </w:r>
      <w:r w:rsidR="006343E1">
        <w:t> </w:t>
      </w:r>
      <w:r w:rsidRPr="00254AB9">
        <w:t>udowodnionych ponadprzeciętnych perspektywach rozwojowych w kontekście ogólnoświatowych trendów oraz unikalnych atutów gospodarki krajowej oraz gospodarek regionalnych.</w:t>
      </w:r>
    </w:p>
    <w:p w14:paraId="71D06449" w14:textId="77777777" w:rsidR="008E15C9" w:rsidRPr="003D6D53" w:rsidRDefault="008E15C9" w:rsidP="008E15C9">
      <w:pPr>
        <w:pStyle w:val="Nagwek2"/>
      </w:pPr>
      <w:bookmarkStart w:id="23" w:name="_Toc511921174"/>
      <w:bookmarkStart w:id="24" w:name="_Toc31808492"/>
      <w:bookmarkStart w:id="25" w:name="_Toc106968775"/>
      <w:r w:rsidRPr="003D6D53">
        <w:t>Produktywność – wymiar terytorialny</w:t>
      </w:r>
      <w:bookmarkEnd w:id="23"/>
      <w:bookmarkEnd w:id="24"/>
      <w:bookmarkEnd w:id="25"/>
    </w:p>
    <w:p w14:paraId="62A42999" w14:textId="58CAD02D" w:rsidR="008E15C9" w:rsidRPr="00254AB9" w:rsidRDefault="008E15C9" w:rsidP="008E15C9">
      <w:r w:rsidRPr="00254AB9">
        <w:t>Rozwój gospodarczy nie jest równomiernie rozłożony</w:t>
      </w:r>
      <w:r w:rsidR="006343E1">
        <w:t xml:space="preserve"> </w:t>
      </w:r>
      <w:r w:rsidR="006343E1" w:rsidRPr="00254AB9">
        <w:t>w</w:t>
      </w:r>
      <w:r w:rsidR="006343E1">
        <w:t> </w:t>
      </w:r>
      <w:r w:rsidRPr="00254AB9">
        <w:t>przestrzeni. Różne rodzaje aktywności gospodarczej koncentrują się na obszarach cechujących się określonymi warunkami sprzyjającymi ich rozwojowi.</w:t>
      </w:r>
      <w:r w:rsidR="006343E1">
        <w:t xml:space="preserve"> </w:t>
      </w:r>
      <w:r w:rsidR="006343E1" w:rsidRPr="00254AB9">
        <w:t>W</w:t>
      </w:r>
      <w:r w:rsidR="006343E1">
        <w:t> </w:t>
      </w:r>
      <w:r w:rsidRPr="00254AB9">
        <w:t>miarę upływu czasu różnice (początkowo być może nieznaczne) pogłębiają się w wyniku koncentracji zasobów oraz efektów skali</w:t>
      </w:r>
      <w:r w:rsidR="006343E1">
        <w:t xml:space="preserve"> </w:t>
      </w:r>
      <w:r w:rsidR="006343E1" w:rsidRPr="00254AB9">
        <w:t>i</w:t>
      </w:r>
      <w:r w:rsidR="006343E1">
        <w:t> </w:t>
      </w:r>
      <w:r w:rsidRPr="00254AB9">
        <w:t>sieci. Utrwalone</w:t>
      </w:r>
      <w:r w:rsidR="006343E1">
        <w:t xml:space="preserve"> </w:t>
      </w:r>
      <w:r w:rsidR="006343E1" w:rsidRPr="00254AB9">
        <w:t>w</w:t>
      </w:r>
      <w:r w:rsidR="006343E1">
        <w:t> </w:t>
      </w:r>
      <w:r w:rsidRPr="00254AB9">
        <w:t>ten sposób struktury gospodarcze są trudne do zmiany, przy czym próba podjęcia takiej zmiany może być</w:t>
      </w:r>
      <w:r w:rsidR="006343E1">
        <w:t xml:space="preserve"> </w:t>
      </w:r>
      <w:r w:rsidR="006343E1" w:rsidRPr="00254AB9">
        <w:t>w</w:t>
      </w:r>
      <w:r w:rsidR="006343E1">
        <w:t> </w:t>
      </w:r>
      <w:r w:rsidRPr="00254AB9">
        <w:t>krótkim okresie kosztowna społecznie dla objętych nią grup zawodowych,</w:t>
      </w:r>
      <w:r w:rsidR="006343E1">
        <w:t xml:space="preserve"> </w:t>
      </w:r>
      <w:r w:rsidR="006343E1" w:rsidRPr="00254AB9">
        <w:t>a</w:t>
      </w:r>
      <w:r w:rsidR="006343E1">
        <w:t> </w:t>
      </w:r>
      <w:r w:rsidRPr="00254AB9">
        <w:t>w długim okresie może nie przynieść oczekiwanego wzrostu dobrobytu</w:t>
      </w:r>
      <w:r w:rsidR="006343E1">
        <w:t xml:space="preserve"> </w:t>
      </w:r>
      <w:r w:rsidR="006343E1" w:rsidRPr="00254AB9">
        <w:t>i</w:t>
      </w:r>
      <w:r w:rsidR="006343E1">
        <w:t> </w:t>
      </w:r>
      <w:r w:rsidRPr="00254AB9">
        <w:t>jakości życia, jeśli</w:t>
      </w:r>
      <w:r w:rsidR="006343E1">
        <w:t xml:space="preserve"> </w:t>
      </w:r>
      <w:r w:rsidR="006343E1" w:rsidRPr="00254AB9">
        <w:t>w</w:t>
      </w:r>
      <w:r w:rsidR="006343E1">
        <w:t> </w:t>
      </w:r>
      <w:r w:rsidRPr="00254AB9">
        <w:t xml:space="preserve">miejscu starych specjalizacji gospodarczych nie pojawią się nowe, bardziej produktywne. </w:t>
      </w:r>
      <w:r w:rsidR="002E6C76">
        <w:t>W</w:t>
      </w:r>
      <w:r w:rsidR="002E6C76" w:rsidRPr="00254AB9">
        <w:t>ydaje się</w:t>
      </w:r>
      <w:r w:rsidR="002E6C76">
        <w:t>, że</w:t>
      </w:r>
      <w:r w:rsidR="002E6C76" w:rsidRPr="00254AB9">
        <w:t xml:space="preserve"> </w:t>
      </w:r>
      <w:r w:rsidRPr="00254AB9">
        <w:t>jak dotąd</w:t>
      </w:r>
      <w:r w:rsidR="002E6C76" w:rsidRPr="002E6C76">
        <w:t xml:space="preserve"> </w:t>
      </w:r>
      <w:r w:rsidR="002E6C76">
        <w:t>c</w:t>
      </w:r>
      <w:r w:rsidR="002E6C76" w:rsidRPr="00254AB9">
        <w:t>yfryzacja</w:t>
      </w:r>
      <w:r w:rsidRPr="00254AB9">
        <w:t xml:space="preserve"> raczej wzmacnia niż ham</w:t>
      </w:r>
      <w:r w:rsidR="002E6C76">
        <w:t>uje</w:t>
      </w:r>
      <w:r w:rsidRPr="00254AB9">
        <w:t xml:space="preserve"> procesy narastania nierówności przestrzennych – nowoczesne firmy wymagają </w:t>
      </w:r>
      <w:r w:rsidRPr="00254AB9">
        <w:lastRenderedPageBreak/>
        <w:t>odpowiedniej infrastruktury, ich pracownicy oczekują jakości</w:t>
      </w:r>
      <w:r w:rsidR="006343E1">
        <w:t xml:space="preserve"> </w:t>
      </w:r>
      <w:r w:rsidR="006343E1" w:rsidRPr="00254AB9">
        <w:t>i</w:t>
      </w:r>
      <w:r w:rsidR="006343E1">
        <w:t> </w:t>
      </w:r>
      <w:r w:rsidRPr="00254AB9">
        <w:t xml:space="preserve">stylu życia typowego dla </w:t>
      </w:r>
      <w:r w:rsidR="002E6C76" w:rsidRPr="00254AB9">
        <w:t>miast</w:t>
      </w:r>
      <w:r w:rsidRPr="00254AB9">
        <w:t xml:space="preserve"> rozwiniętych</w:t>
      </w:r>
      <w:r w:rsidR="002E6C76">
        <w:t>,</w:t>
      </w:r>
      <w:r w:rsidR="006343E1">
        <w:t xml:space="preserve"> </w:t>
      </w:r>
      <w:r w:rsidR="006343E1" w:rsidRPr="00254AB9">
        <w:t>a</w:t>
      </w:r>
      <w:r w:rsidR="006343E1">
        <w:t> </w:t>
      </w:r>
      <w:r w:rsidRPr="00254AB9">
        <w:t>osiągane efekty skali</w:t>
      </w:r>
      <w:r w:rsidR="006343E1">
        <w:t xml:space="preserve"> </w:t>
      </w:r>
      <w:r w:rsidR="006343E1" w:rsidRPr="00254AB9">
        <w:t>i</w:t>
      </w:r>
      <w:r w:rsidR="006343E1">
        <w:t> </w:t>
      </w:r>
      <w:r w:rsidRPr="00254AB9">
        <w:t xml:space="preserve">sieci stają się jeszcze silniejsze. </w:t>
      </w:r>
    </w:p>
    <w:p w14:paraId="4EDCADC5" w14:textId="4410701D" w:rsidR="008E15C9" w:rsidRPr="00ED0DD5" w:rsidRDefault="008E15C9" w:rsidP="00ED0DD5">
      <w:r w:rsidRPr="00ED0DD5">
        <w:t>W Polsce między rokiem 2004</w:t>
      </w:r>
      <w:r w:rsidR="006343E1" w:rsidRPr="00ED0DD5">
        <w:t xml:space="preserve"> a </w:t>
      </w:r>
      <w:r w:rsidRPr="00ED0DD5">
        <w:t>2016 relacja między najsilniejszym województwem (mazowieckie)</w:t>
      </w:r>
      <w:r w:rsidR="006343E1" w:rsidRPr="00ED0DD5">
        <w:t xml:space="preserve"> a </w:t>
      </w:r>
      <w:r w:rsidRPr="00ED0DD5">
        <w:t>najsłabszym (lubelskie) pod względem wydajności pracy wahała się</w:t>
      </w:r>
      <w:r w:rsidR="006343E1" w:rsidRPr="00ED0DD5">
        <w:t xml:space="preserve"> w </w:t>
      </w:r>
      <w:r w:rsidRPr="00ED0DD5">
        <w:t>przedziale 1,76</w:t>
      </w:r>
      <w:r w:rsidR="002E6C76">
        <w:rPr>
          <w:rFonts w:ascii="Times New Roman" w:hAnsi="Times New Roman" w:cs="Times New Roman"/>
        </w:rPr>
        <w:t>–</w:t>
      </w:r>
      <w:r w:rsidRPr="00ED0DD5">
        <w:t xml:space="preserve">1,86 bez wyraźnej tendencji rosnącej ani malejącej. </w:t>
      </w:r>
      <w:r w:rsidR="005144CE" w:rsidRPr="00ED0DD5">
        <w:t xml:space="preserve">Wyraźnie powiększył się również </w:t>
      </w:r>
      <w:r w:rsidR="00ED0DD5">
        <w:t>r</w:t>
      </w:r>
      <w:r w:rsidRPr="00ED0DD5">
        <w:t>ozstęp ćwiartkowy</w:t>
      </w:r>
      <w:r w:rsidRPr="00ED0DD5">
        <w:rPr>
          <w:rStyle w:val="Odwoanieprzypisudolnego"/>
          <w:sz w:val="20"/>
          <w:szCs w:val="20"/>
        </w:rPr>
        <w:footnoteReference w:id="12"/>
      </w:r>
      <w:r w:rsidRPr="00ED0DD5">
        <w:rPr>
          <w:rStyle w:val="Odwoanieprzypisudolnego"/>
          <w:sz w:val="20"/>
          <w:szCs w:val="20"/>
        </w:rPr>
        <w:t xml:space="preserve"> </w:t>
      </w:r>
      <w:r w:rsidR="005144CE" w:rsidRPr="00ED0DD5">
        <w:t xml:space="preserve">(najbardziej między rokiem </w:t>
      </w:r>
      <w:r w:rsidRPr="00ED0DD5">
        <w:t>2011</w:t>
      </w:r>
      <w:r w:rsidR="005144CE" w:rsidRPr="00ED0DD5">
        <w:t xml:space="preserve"> a </w:t>
      </w:r>
      <w:r w:rsidRPr="00ED0DD5">
        <w:t>2012</w:t>
      </w:r>
      <w:r w:rsidR="005144CE" w:rsidRPr="00ED0DD5">
        <w:t>). Zróżnicowanie pomiędzy regionami mierzone rozstępem ćwiartkowym wydajności pracy wzrosło między 2014 a</w:t>
      </w:r>
      <w:r w:rsidR="006E0D25">
        <w:t> </w:t>
      </w:r>
      <w:r w:rsidR="005144CE" w:rsidRPr="00ED0DD5">
        <w:t>2016 rokiem (urealni</w:t>
      </w:r>
      <w:r w:rsidR="002E6C76">
        <w:t>one</w:t>
      </w:r>
      <w:r w:rsidR="005144CE" w:rsidRPr="00ED0DD5">
        <w:t xml:space="preserve"> w</w:t>
      </w:r>
      <w:r w:rsidR="002E6C76">
        <w:t>edłu</w:t>
      </w:r>
      <w:r w:rsidR="005144CE" w:rsidRPr="00ED0DD5">
        <w:t>g CPI) o ok. 22%</w:t>
      </w:r>
      <w:r w:rsidR="00D75E32">
        <w:rPr>
          <w:rStyle w:val="Odwoanieprzypisudolnego"/>
        </w:rPr>
        <w:footnoteReference w:id="13"/>
      </w:r>
      <w:r w:rsidR="005144CE" w:rsidRPr="00ED0DD5">
        <w:t>.</w:t>
      </w:r>
      <w:r w:rsidRPr="00ED0DD5">
        <w:t xml:space="preserve"> Zróżnicowania podregionalne (</w:t>
      </w:r>
      <w:r w:rsidR="005144CE" w:rsidRPr="00ED0DD5">
        <w:t xml:space="preserve">por. </w:t>
      </w:r>
      <w:r w:rsidR="003B19BC">
        <w:t>mapy</w:t>
      </w:r>
      <w:r w:rsidR="003B19BC" w:rsidRPr="00ED0DD5">
        <w:t xml:space="preserve"> </w:t>
      </w:r>
      <w:r w:rsidR="000935B2">
        <w:t>1</w:t>
      </w:r>
      <w:r w:rsidR="005144CE" w:rsidRPr="00ED0DD5">
        <w:t xml:space="preserve"> i</w:t>
      </w:r>
      <w:r w:rsidR="000935B2">
        <w:t xml:space="preserve"> 2</w:t>
      </w:r>
      <w:r w:rsidRPr="00ED0DD5">
        <w:t>) są jeszcze wyraźniejsze.</w:t>
      </w:r>
    </w:p>
    <w:tbl>
      <w:tblPr>
        <w:tblW w:w="9480" w:type="dxa"/>
        <w:tblInd w:w="108" w:type="dxa"/>
        <w:tblLook w:val="04A0" w:firstRow="1" w:lastRow="0" w:firstColumn="1" w:lastColumn="0" w:noHBand="0" w:noVBand="1"/>
      </w:tblPr>
      <w:tblGrid>
        <w:gridCol w:w="4512"/>
        <w:gridCol w:w="4776"/>
        <w:gridCol w:w="192"/>
      </w:tblGrid>
      <w:tr w:rsidR="008E15C9" w:rsidRPr="00254AB9" w14:paraId="2F929D5D" w14:textId="77777777" w:rsidTr="008E15C9">
        <w:tc>
          <w:tcPr>
            <w:tcW w:w="4428" w:type="dxa"/>
            <w:shd w:val="clear" w:color="auto" w:fill="auto"/>
          </w:tcPr>
          <w:p w14:paraId="64AF81B0" w14:textId="0807530A" w:rsidR="008E15C9" w:rsidRDefault="00755322" w:rsidP="000935B2">
            <w:pPr>
              <w:pStyle w:val="Nagwek4"/>
            </w:pPr>
            <w:r>
              <w:t xml:space="preserve">Mapa </w:t>
            </w:r>
            <w:r w:rsidR="000935B2">
              <w:t>1</w:t>
            </w:r>
            <w:r w:rsidR="008E15C9" w:rsidRPr="00254AB9">
              <w:t xml:space="preserve">. </w:t>
            </w:r>
            <w:r w:rsidR="008E15C9">
              <w:t>Wartość dodana brutto na 1 pracującego (w</w:t>
            </w:r>
            <w:r w:rsidR="008E15C9" w:rsidRPr="00254AB9">
              <w:t>ydajność pracy</w:t>
            </w:r>
            <w:r w:rsidR="008E15C9">
              <w:t>)</w:t>
            </w:r>
            <w:r w:rsidR="006343E1">
              <w:t xml:space="preserve"> </w:t>
            </w:r>
            <w:r w:rsidR="006343E1" w:rsidRPr="00254AB9">
              <w:t>w</w:t>
            </w:r>
            <w:r w:rsidR="006343E1">
              <w:t> </w:t>
            </w:r>
            <w:r w:rsidR="008E15C9" w:rsidRPr="00254AB9">
              <w:t>przekroju regionalnym (</w:t>
            </w:r>
            <w:r w:rsidR="008E15C9" w:rsidRPr="000C5EEF">
              <w:t>w</w:t>
            </w:r>
            <w:r w:rsidR="000D5568">
              <w:t> </w:t>
            </w:r>
            <w:r w:rsidR="008E15C9" w:rsidRPr="00254AB9">
              <w:t>201</w:t>
            </w:r>
            <w:r w:rsidR="008E15C9">
              <w:t>8</w:t>
            </w:r>
            <w:r w:rsidR="000D5568">
              <w:t> </w:t>
            </w:r>
            <w:r w:rsidR="008E15C9" w:rsidRPr="00254AB9">
              <w:t>r.,</w:t>
            </w:r>
            <w:r w:rsidR="006343E1">
              <w:t xml:space="preserve"> </w:t>
            </w:r>
            <w:r w:rsidR="006343E1" w:rsidRPr="000C5EEF">
              <w:t>w</w:t>
            </w:r>
            <w:r w:rsidR="006343E1">
              <w:t> </w:t>
            </w:r>
            <w:r w:rsidR="008E15C9" w:rsidRPr="00254AB9">
              <w:t>tys. zł)</w:t>
            </w:r>
          </w:p>
          <w:p w14:paraId="03033A95" w14:textId="46BF3A41" w:rsidR="008E15C9" w:rsidRPr="00254AB9" w:rsidRDefault="008E15C9" w:rsidP="00D75E32"/>
        </w:tc>
        <w:tc>
          <w:tcPr>
            <w:tcW w:w="5052" w:type="dxa"/>
            <w:gridSpan w:val="2"/>
            <w:shd w:val="clear" w:color="auto" w:fill="auto"/>
          </w:tcPr>
          <w:p w14:paraId="2DEB1BB4" w14:textId="7A13560D" w:rsidR="008E15C9" w:rsidRPr="00254AB9" w:rsidRDefault="00755322" w:rsidP="000935B2">
            <w:pPr>
              <w:pStyle w:val="Nagwek4"/>
            </w:pPr>
            <w:r>
              <w:t xml:space="preserve">Mapa </w:t>
            </w:r>
            <w:r w:rsidR="000935B2">
              <w:t>2</w:t>
            </w:r>
            <w:r w:rsidR="008E15C9" w:rsidRPr="00254AB9">
              <w:t xml:space="preserve">. </w:t>
            </w:r>
            <w:r w:rsidR="008E15C9">
              <w:t>Wartość dodana brutto na 1 pracującego (w</w:t>
            </w:r>
            <w:r w:rsidR="008E15C9" w:rsidRPr="00254AB9">
              <w:t>ydajność pracy</w:t>
            </w:r>
            <w:r w:rsidR="008E15C9">
              <w:t>)</w:t>
            </w:r>
            <w:r w:rsidR="006343E1">
              <w:t xml:space="preserve"> </w:t>
            </w:r>
            <w:r w:rsidR="006343E1" w:rsidRPr="00254AB9">
              <w:t>w</w:t>
            </w:r>
            <w:r w:rsidR="006343E1">
              <w:t> </w:t>
            </w:r>
            <w:r w:rsidR="008E15C9" w:rsidRPr="00254AB9">
              <w:t>przekroju podregionalnym według województw (</w:t>
            </w:r>
            <w:r w:rsidR="008E15C9" w:rsidRPr="000C5EEF">
              <w:t xml:space="preserve">w </w:t>
            </w:r>
            <w:r w:rsidR="008E15C9" w:rsidRPr="00254AB9">
              <w:t>201</w:t>
            </w:r>
            <w:r w:rsidR="008E15C9">
              <w:t>8</w:t>
            </w:r>
            <w:r w:rsidR="008E15C9" w:rsidRPr="00254AB9">
              <w:t xml:space="preserve"> r.,</w:t>
            </w:r>
            <w:r w:rsidR="006343E1">
              <w:t xml:space="preserve"> </w:t>
            </w:r>
            <w:r w:rsidR="006343E1" w:rsidRPr="000C5EEF">
              <w:t>w</w:t>
            </w:r>
            <w:r w:rsidR="006343E1">
              <w:t> </w:t>
            </w:r>
            <w:r w:rsidR="008E15C9" w:rsidRPr="00254AB9">
              <w:t>tys. zł)</w:t>
            </w:r>
          </w:p>
        </w:tc>
      </w:tr>
      <w:tr w:rsidR="008E15C9" w:rsidRPr="00254AB9" w14:paraId="1C6F38AA" w14:textId="77777777" w:rsidTr="008E15C9">
        <w:trPr>
          <w:gridAfter w:val="1"/>
          <w:wAfter w:w="516" w:type="dxa"/>
        </w:trPr>
        <w:tc>
          <w:tcPr>
            <w:tcW w:w="8964" w:type="dxa"/>
            <w:gridSpan w:val="2"/>
            <w:shd w:val="clear" w:color="auto" w:fill="auto"/>
          </w:tcPr>
          <w:p w14:paraId="60B7A665" w14:textId="77777777" w:rsidR="007C783D" w:rsidRDefault="008E15C9" w:rsidP="00A862D0">
            <w:pPr>
              <w:pStyle w:val="Bezodstpw"/>
              <w:spacing w:after="0"/>
            </w:pPr>
            <w:r>
              <w:rPr>
                <w:rFonts w:cs="Calibri"/>
                <w:noProof/>
                <w:sz w:val="21"/>
                <w:szCs w:val="21"/>
                <w:lang w:eastAsia="pl-PL"/>
              </w:rPr>
              <w:drawing>
                <wp:inline distT="0" distB="0" distL="0" distR="0" wp14:anchorId="59681972" wp14:editId="09A508E7">
                  <wp:extent cx="5760720" cy="2609215"/>
                  <wp:effectExtent l="0" t="0" r="0" b="635"/>
                  <wp:docPr id="227" name="Obraz 227"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Obraz 227" descr="Obraz zawierający mapa&#10;&#10;Opis wygenerowany automatyczni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0720" cy="2609215"/>
                          </a:xfrm>
                          <a:prstGeom prst="rect">
                            <a:avLst/>
                          </a:prstGeom>
                        </pic:spPr>
                      </pic:pic>
                    </a:graphicData>
                  </a:graphic>
                </wp:inline>
              </w:drawing>
            </w:r>
          </w:p>
          <w:p w14:paraId="0094B9FB" w14:textId="77777777" w:rsidR="007C783D" w:rsidRDefault="007C783D" w:rsidP="00A862D0">
            <w:pPr>
              <w:pStyle w:val="Bezodstpw"/>
              <w:spacing w:after="0"/>
            </w:pPr>
          </w:p>
          <w:p w14:paraId="53F9423E" w14:textId="1B48FB1F" w:rsidR="008E15C9" w:rsidRPr="00254AB9" w:rsidRDefault="008E15C9" w:rsidP="00A862D0">
            <w:pPr>
              <w:pStyle w:val="Bezodstpw"/>
              <w:spacing w:after="0"/>
            </w:pPr>
            <w:r w:rsidRPr="00254AB9">
              <w:t xml:space="preserve">Źródło: GUS, Bank Danych Lokalnych </w:t>
            </w:r>
          </w:p>
        </w:tc>
      </w:tr>
    </w:tbl>
    <w:p w14:paraId="71DD9A10" w14:textId="036F812C" w:rsidR="008E15C9" w:rsidRPr="00254AB9" w:rsidRDefault="008E15C9" w:rsidP="008E15C9">
      <w:r w:rsidRPr="00254AB9">
        <w:t xml:space="preserve">Nie można jednoznacznie określić, jaki jest optymalny czy też społecznie dopuszczalny poziom wewnątrzkrajowych terytorialnych zróżnicowań dotyczących wydajności pracy. </w:t>
      </w:r>
      <w:r w:rsidR="000D5568">
        <w:t>Z</w:t>
      </w:r>
      <w:r w:rsidR="000D5568" w:rsidRPr="00254AB9">
        <w:t xml:space="preserve">różnicowania </w:t>
      </w:r>
      <w:r w:rsidR="000D5568">
        <w:t>w</w:t>
      </w:r>
      <w:r w:rsidRPr="00254AB9">
        <w:t>ystępujące</w:t>
      </w:r>
      <w:r w:rsidR="006343E1">
        <w:t xml:space="preserve"> </w:t>
      </w:r>
      <w:r w:rsidR="006343E1" w:rsidRPr="00254AB9">
        <w:t>w</w:t>
      </w:r>
      <w:r w:rsidR="006343E1">
        <w:t> </w:t>
      </w:r>
      <w:r w:rsidRPr="00254AB9">
        <w:t>realnych gospodarkach zależą od wielu czynników, takich jak np. wielkość państwa (w mniejszych państwach bardzo wysoka część dochodu narodowego koncentruje się często w regionach stołecznych) czy lokalizacja specyficznych segmentów gospodarki</w:t>
      </w:r>
      <w:r w:rsidR="006343E1">
        <w:t xml:space="preserve"> </w:t>
      </w:r>
      <w:r w:rsidR="006343E1" w:rsidRPr="00254AB9">
        <w:t>o</w:t>
      </w:r>
      <w:r w:rsidR="006343E1">
        <w:t> </w:t>
      </w:r>
      <w:r w:rsidRPr="00254AB9">
        <w:t>wyjątkowo wysokiej produktywności (londyńskie City, Dolina Krzemowa).</w:t>
      </w:r>
      <w:r w:rsidR="006343E1">
        <w:t xml:space="preserve"> </w:t>
      </w:r>
      <w:r w:rsidR="006343E1" w:rsidRPr="00254AB9">
        <w:t>W</w:t>
      </w:r>
      <w:r w:rsidR="006343E1">
        <w:t> </w:t>
      </w:r>
      <w:r w:rsidRPr="00254AB9">
        <w:t>Polsce od lat najbardziej produktywne są województwa</w:t>
      </w:r>
      <w:r w:rsidR="000D5568">
        <w:t>:</w:t>
      </w:r>
      <w:r w:rsidRPr="00254AB9">
        <w:t xml:space="preserve"> mazowieckie, dolnośląskie, śląskie</w:t>
      </w:r>
      <w:r w:rsidR="006343E1">
        <w:t xml:space="preserve"> </w:t>
      </w:r>
      <w:r w:rsidR="006343E1" w:rsidRPr="00254AB9">
        <w:t>i</w:t>
      </w:r>
      <w:r w:rsidR="006343E1">
        <w:t> </w:t>
      </w:r>
      <w:r w:rsidRPr="00254AB9">
        <w:t>pomorskie, co oczywiście przekłada się bezpośrednio na poziom PKB na mieszkańca. Ponadto między województwami występują znaczne różnice w produktywności w ramach tego samego rodzaju aktywności gospodarczej. Przykładowo w </w:t>
      </w:r>
      <w:r>
        <w:t>2018</w:t>
      </w:r>
      <w:r w:rsidRPr="00254AB9">
        <w:t xml:space="preserve"> r. wartość dodana brutto na 1 pracującego</w:t>
      </w:r>
      <w:r w:rsidR="006343E1">
        <w:t xml:space="preserve"> </w:t>
      </w:r>
      <w:r w:rsidR="006343E1" w:rsidRPr="00254AB9">
        <w:t>w</w:t>
      </w:r>
      <w:r w:rsidR="006343E1">
        <w:t> </w:t>
      </w:r>
      <w:r w:rsidRPr="00254AB9">
        <w:t>relacji do średniej krajowej (liczonej dla danego rodzaju działalności) wahała się</w:t>
      </w:r>
      <w:r w:rsidR="006343E1">
        <w:t xml:space="preserve"> </w:t>
      </w:r>
      <w:r w:rsidR="006343E1" w:rsidRPr="00254AB9">
        <w:t>w</w:t>
      </w:r>
      <w:r w:rsidR="006343E1">
        <w:t> </w:t>
      </w:r>
      <w:r w:rsidRPr="00254AB9">
        <w:t xml:space="preserve">przedziale: </w:t>
      </w:r>
    </w:p>
    <w:p w14:paraId="5D6C3C84" w14:textId="139A9D92" w:rsidR="008E15C9" w:rsidRPr="00254AB9" w:rsidRDefault="008E15C9" w:rsidP="00A9445F">
      <w:pPr>
        <w:numPr>
          <w:ilvl w:val="0"/>
          <w:numId w:val="5"/>
        </w:numPr>
      </w:pPr>
      <w:r w:rsidRPr="00254AB9">
        <w:lastRenderedPageBreak/>
        <w:t>w rolnictwie, leśnictwie, łowiectwie</w:t>
      </w:r>
      <w:r w:rsidR="006343E1">
        <w:t xml:space="preserve"> </w:t>
      </w:r>
      <w:r w:rsidR="006343E1" w:rsidRPr="00254AB9">
        <w:t>i</w:t>
      </w:r>
      <w:r w:rsidR="006343E1">
        <w:t> </w:t>
      </w:r>
      <w:r w:rsidRPr="00254AB9">
        <w:t xml:space="preserve">rybactwie </w:t>
      </w:r>
      <w:r w:rsidR="000D5568">
        <w:rPr>
          <w:rFonts w:ascii="Times New Roman" w:hAnsi="Times New Roman" w:cs="Times New Roman"/>
        </w:rPr>
        <w:t>–</w:t>
      </w:r>
      <w:r w:rsidRPr="00254AB9">
        <w:t xml:space="preserve"> od </w:t>
      </w:r>
      <w:r>
        <w:t>27</w:t>
      </w:r>
      <w:r w:rsidRPr="00254AB9">
        <w:t>%</w:t>
      </w:r>
      <w:r w:rsidR="006343E1">
        <w:t xml:space="preserve"> </w:t>
      </w:r>
      <w:r w:rsidR="006343E1" w:rsidRPr="00254AB9">
        <w:t>w</w:t>
      </w:r>
      <w:r w:rsidR="006343E1">
        <w:t> </w:t>
      </w:r>
      <w:r w:rsidRPr="00254AB9">
        <w:t xml:space="preserve">woj. podkarpackim, </w:t>
      </w:r>
      <w:r>
        <w:t>38</w:t>
      </w:r>
      <w:r w:rsidRPr="00254AB9">
        <w:t>%</w:t>
      </w:r>
      <w:r w:rsidR="006343E1">
        <w:t xml:space="preserve"> </w:t>
      </w:r>
      <w:r w:rsidR="006343E1" w:rsidRPr="00254AB9">
        <w:t>w</w:t>
      </w:r>
      <w:r w:rsidR="006343E1">
        <w:t> </w:t>
      </w:r>
      <w:r>
        <w:t xml:space="preserve">woj. </w:t>
      </w:r>
      <w:r w:rsidRPr="00254AB9">
        <w:t>małopolskim</w:t>
      </w:r>
      <w:r w:rsidR="006343E1">
        <w:t xml:space="preserve"> </w:t>
      </w:r>
      <w:r w:rsidR="006343E1" w:rsidRPr="00254AB9">
        <w:t>i</w:t>
      </w:r>
      <w:r w:rsidR="006343E1">
        <w:t> </w:t>
      </w:r>
      <w:r>
        <w:t>60</w:t>
      </w:r>
      <w:r w:rsidRPr="00254AB9">
        <w:t>%</w:t>
      </w:r>
      <w:r w:rsidR="006343E1">
        <w:t xml:space="preserve"> </w:t>
      </w:r>
      <w:r w:rsidR="006343E1" w:rsidRPr="00254AB9">
        <w:t>w</w:t>
      </w:r>
      <w:r w:rsidR="006343E1">
        <w:t> </w:t>
      </w:r>
      <w:r>
        <w:t>woj.</w:t>
      </w:r>
      <w:r w:rsidRPr="00254AB9">
        <w:t xml:space="preserve"> świętokrzyskim do </w:t>
      </w:r>
      <w:r>
        <w:t>173</w:t>
      </w:r>
      <w:r w:rsidRPr="00254AB9">
        <w:t>%</w:t>
      </w:r>
      <w:r w:rsidR="006343E1">
        <w:t xml:space="preserve"> </w:t>
      </w:r>
      <w:r w:rsidR="006343E1" w:rsidRPr="00254AB9">
        <w:t>w</w:t>
      </w:r>
      <w:r w:rsidR="006343E1">
        <w:t> </w:t>
      </w:r>
      <w:r>
        <w:t>woj.</w:t>
      </w:r>
      <w:r w:rsidRPr="00254AB9">
        <w:t xml:space="preserve"> </w:t>
      </w:r>
      <w:r>
        <w:t xml:space="preserve">warmińsko-mazurskim </w:t>
      </w:r>
      <w:r w:rsidRPr="00254AB9">
        <w:t>(p</w:t>
      </w:r>
      <w:r>
        <w:t>onad</w:t>
      </w:r>
      <w:r w:rsidRPr="00254AB9">
        <w:t xml:space="preserve"> </w:t>
      </w:r>
      <w:r>
        <w:t>6</w:t>
      </w:r>
      <w:r w:rsidRPr="00254AB9">
        <w:t>-krotna różnica między skrajnymi poziomami wydajności</w:t>
      </w:r>
      <w:r w:rsidR="006343E1">
        <w:t xml:space="preserve"> </w:t>
      </w:r>
      <w:r w:rsidR="006343E1" w:rsidRPr="00254AB9">
        <w:t>w</w:t>
      </w:r>
      <w:r w:rsidR="006343E1">
        <w:t> </w:t>
      </w:r>
      <w:r w:rsidRPr="00254AB9">
        <w:t>rolnictwie w </w:t>
      </w:r>
      <w:r>
        <w:t xml:space="preserve">województwach </w:t>
      </w:r>
      <w:r w:rsidRPr="00254AB9">
        <w:t xml:space="preserve">), </w:t>
      </w:r>
    </w:p>
    <w:p w14:paraId="1C5A7297" w14:textId="5D1F5F3A" w:rsidR="008E15C9" w:rsidRPr="00254AB9" w:rsidRDefault="008E15C9" w:rsidP="00A9445F">
      <w:pPr>
        <w:numPr>
          <w:ilvl w:val="0"/>
          <w:numId w:val="5"/>
        </w:numPr>
      </w:pPr>
      <w:r w:rsidRPr="00254AB9">
        <w:t xml:space="preserve">w przetwórstwie przemysłowym – od niespełna </w:t>
      </w:r>
      <w:r>
        <w:t>80</w:t>
      </w:r>
      <w:r w:rsidRPr="00254AB9">
        <w:t>% średniej krajowej</w:t>
      </w:r>
      <w:r w:rsidR="006343E1">
        <w:t xml:space="preserve"> </w:t>
      </w:r>
      <w:r w:rsidR="006343E1" w:rsidRPr="00254AB9">
        <w:t>w</w:t>
      </w:r>
      <w:r w:rsidR="006343E1">
        <w:t> </w:t>
      </w:r>
      <w:r w:rsidRPr="00254AB9">
        <w:t xml:space="preserve">woj. </w:t>
      </w:r>
      <w:r w:rsidR="00FD6B65">
        <w:t xml:space="preserve"> warmińsko-mazur</w:t>
      </w:r>
      <w:r>
        <w:t xml:space="preserve">skim </w:t>
      </w:r>
      <w:r w:rsidRPr="00254AB9">
        <w:t>do 1</w:t>
      </w:r>
      <w:r>
        <w:t>29</w:t>
      </w:r>
      <w:r w:rsidRPr="00254AB9">
        <w:t>%</w:t>
      </w:r>
      <w:r w:rsidR="006343E1">
        <w:t xml:space="preserve"> </w:t>
      </w:r>
      <w:r w:rsidR="006343E1" w:rsidRPr="00254AB9">
        <w:t>w</w:t>
      </w:r>
      <w:r w:rsidR="006343E1">
        <w:t> </w:t>
      </w:r>
      <w:r w:rsidRPr="00254AB9">
        <w:t xml:space="preserve">woj. </w:t>
      </w:r>
      <w:r>
        <w:t>m</w:t>
      </w:r>
      <w:r w:rsidR="00A862D0">
        <w:t>a</w:t>
      </w:r>
      <w:r>
        <w:t>zowieckim</w:t>
      </w:r>
      <w:r w:rsidRPr="00254AB9">
        <w:t xml:space="preserve">, </w:t>
      </w:r>
    </w:p>
    <w:p w14:paraId="54EACE24" w14:textId="4D1DEB7D" w:rsidR="008E15C9" w:rsidRPr="00254AB9" w:rsidRDefault="008E15C9" w:rsidP="00A9445F">
      <w:pPr>
        <w:numPr>
          <w:ilvl w:val="0"/>
          <w:numId w:val="5"/>
        </w:numPr>
      </w:pPr>
      <w:r w:rsidRPr="00254AB9">
        <w:t>łącznie</w:t>
      </w:r>
      <w:r w:rsidR="006343E1">
        <w:t xml:space="preserve"> </w:t>
      </w:r>
      <w:r w:rsidR="006343E1" w:rsidRPr="00254AB9">
        <w:t>w</w:t>
      </w:r>
      <w:r w:rsidR="006343E1">
        <w:t> </w:t>
      </w:r>
      <w:r w:rsidRPr="00254AB9">
        <w:t>handlu, naprawach pojazdów samochodowych, transporcie, gospodarce magazynowej, zakwaterowaniu</w:t>
      </w:r>
      <w:r w:rsidR="006343E1">
        <w:t xml:space="preserve"> </w:t>
      </w:r>
      <w:r w:rsidR="006343E1" w:rsidRPr="00254AB9">
        <w:t>i</w:t>
      </w:r>
      <w:r w:rsidR="006343E1">
        <w:t> </w:t>
      </w:r>
      <w:r w:rsidRPr="00254AB9">
        <w:t>gastronomii</w:t>
      </w:r>
      <w:r>
        <w:t>, informacji</w:t>
      </w:r>
      <w:r w:rsidR="006343E1">
        <w:t xml:space="preserve"> i </w:t>
      </w:r>
      <w:r>
        <w:t>komunikacji</w:t>
      </w:r>
      <w:r w:rsidRPr="00254AB9">
        <w:t xml:space="preserve"> – od p</w:t>
      </w:r>
      <w:r w:rsidR="00FD6B65">
        <w:t>rawie</w:t>
      </w:r>
      <w:r w:rsidRPr="00254AB9">
        <w:t xml:space="preserve"> </w:t>
      </w:r>
      <w:r>
        <w:t>83</w:t>
      </w:r>
      <w:r w:rsidRPr="00254AB9">
        <w:t>% średniej krajowej</w:t>
      </w:r>
      <w:r w:rsidR="006343E1">
        <w:t xml:space="preserve"> </w:t>
      </w:r>
      <w:r w:rsidR="006343E1" w:rsidRPr="00254AB9">
        <w:t>w</w:t>
      </w:r>
      <w:r w:rsidR="006343E1">
        <w:t> </w:t>
      </w:r>
      <w:r w:rsidRPr="00254AB9">
        <w:t xml:space="preserve">woj. lubuskim do ponad </w:t>
      </w:r>
      <w:r>
        <w:t>129</w:t>
      </w:r>
      <w:r w:rsidRPr="00254AB9">
        <w:t>%</w:t>
      </w:r>
      <w:r w:rsidR="006343E1">
        <w:t xml:space="preserve"> </w:t>
      </w:r>
      <w:r w:rsidR="006343E1" w:rsidRPr="00254AB9">
        <w:t>w</w:t>
      </w:r>
      <w:r w:rsidR="006343E1">
        <w:t> </w:t>
      </w:r>
      <w:r w:rsidRPr="00254AB9">
        <w:t xml:space="preserve">woj. mazowieckim. </w:t>
      </w:r>
    </w:p>
    <w:p w14:paraId="4EF31943" w14:textId="16072A2E" w:rsidR="008E15C9" w:rsidRDefault="008E15C9" w:rsidP="008E15C9">
      <w:r w:rsidRPr="00254AB9">
        <w:t>W konsekwencji tych zróżnicowań poziom rozwoju ekonomicznego danego regionu wynika</w:t>
      </w:r>
      <w:r w:rsidR="006343E1">
        <w:t xml:space="preserve"> </w:t>
      </w:r>
      <w:r w:rsidR="006343E1" w:rsidRPr="00254AB9">
        <w:t>z</w:t>
      </w:r>
      <w:r w:rsidR="006343E1">
        <w:t> </w:t>
      </w:r>
      <w:r w:rsidRPr="00254AB9">
        <w:t>dwóch głównych czynników: struktury jego gospodarki (relatywnych udziałów branż bardziej produktywnych) oraz produktywności</w:t>
      </w:r>
      <w:r w:rsidR="006343E1">
        <w:t xml:space="preserve"> </w:t>
      </w:r>
      <w:r w:rsidR="006343E1" w:rsidRPr="00254AB9">
        <w:t>w</w:t>
      </w:r>
      <w:r w:rsidR="006343E1">
        <w:t> </w:t>
      </w:r>
      <w:r w:rsidRPr="00254AB9">
        <w:t>poszczególnych branżach. Podniesienie wydajności pracy jest podstawowym warunkiem wzrostu gospodarczego</w:t>
      </w:r>
      <w:r w:rsidR="006343E1">
        <w:t xml:space="preserve"> </w:t>
      </w:r>
      <w:r w:rsidR="006343E1" w:rsidRPr="00254AB9">
        <w:t>i</w:t>
      </w:r>
      <w:r w:rsidR="006343E1">
        <w:t> </w:t>
      </w:r>
      <w:r w:rsidRPr="00254AB9">
        <w:t>poprawy poziomu życia. Instrumenty interwencji publicznej kierowane do poszczególnych branż mają oczywisty wymiar terytorialny wynikający</w:t>
      </w:r>
      <w:r w:rsidR="006343E1">
        <w:t xml:space="preserve"> </w:t>
      </w:r>
      <w:r w:rsidR="006343E1" w:rsidRPr="00254AB9">
        <w:t>z</w:t>
      </w:r>
      <w:r w:rsidR="006343E1">
        <w:t> </w:t>
      </w:r>
      <w:r w:rsidRPr="00254AB9">
        <w:t>przestrzennej lokalizacji tych branż, zatem istotnym zadaniem wydaje się koordynacja działań między polityką gospodarczą (w tym przemysłową)</w:t>
      </w:r>
      <w:r w:rsidR="006343E1">
        <w:t xml:space="preserve"> </w:t>
      </w:r>
      <w:r w:rsidR="006343E1" w:rsidRPr="00254AB9">
        <w:t>a</w:t>
      </w:r>
      <w:r w:rsidR="006343E1">
        <w:t> </w:t>
      </w:r>
      <w:r w:rsidRPr="00254AB9">
        <w:t>innymi politykami oraz rządem a samorządami terytorialnymi wszystkich szczebli</w:t>
      </w:r>
      <w:r w:rsidR="006343E1">
        <w:t xml:space="preserve"> </w:t>
      </w:r>
      <w:r w:rsidR="006343E1" w:rsidRPr="00254AB9">
        <w:t>w</w:t>
      </w:r>
      <w:r w:rsidR="006343E1">
        <w:t> </w:t>
      </w:r>
      <w:r w:rsidRPr="00254AB9">
        <w:t>celu maksymalizacji efektów synergii dla określonego terytorium</w:t>
      </w:r>
      <w:r w:rsidR="006343E1">
        <w:t xml:space="preserve"> </w:t>
      </w:r>
      <w:r w:rsidR="006343E1" w:rsidRPr="00254AB9">
        <w:t>z</w:t>
      </w:r>
      <w:r w:rsidR="006343E1">
        <w:t> </w:t>
      </w:r>
      <w:r w:rsidRPr="00254AB9">
        <w:t>działań realizowanych</w:t>
      </w:r>
      <w:r w:rsidR="006343E1">
        <w:t xml:space="preserve"> </w:t>
      </w:r>
      <w:r w:rsidR="006343E1" w:rsidRPr="00254AB9">
        <w:t>w</w:t>
      </w:r>
      <w:r w:rsidR="006343E1">
        <w:t> </w:t>
      </w:r>
      <w:r w:rsidRPr="00254AB9">
        <w:t>ramach różnych polityk.</w:t>
      </w:r>
    </w:p>
    <w:p w14:paraId="4AF83D53" w14:textId="1B0FF8A0" w:rsidR="00A833F3" w:rsidRPr="00272F7E" w:rsidRDefault="00A833F3" w:rsidP="00472FD3">
      <w:pPr>
        <w:pStyle w:val="Nagwek4"/>
      </w:pPr>
      <w:r>
        <w:t xml:space="preserve">Tabela </w:t>
      </w:r>
      <w:r w:rsidR="00BA63E5">
        <w:t>1</w:t>
      </w:r>
      <w:r w:rsidR="00162B67" w:rsidRPr="00E60DBA">
        <w:t>.</w:t>
      </w:r>
      <w:r>
        <w:t xml:space="preserve"> Produktywność pracy w podziale na regiony Polski w 2010 i 2018 r.</w:t>
      </w:r>
    </w:p>
    <w:tbl>
      <w:tblPr>
        <w:tblpPr w:leftFromText="141" w:rightFromText="141" w:vertAnchor="text" w:horzAnchor="margin" w:tblpXSpec="center" w:tblpY="152"/>
        <w:tblW w:w="9231" w:type="dxa"/>
        <w:jc w:val="center"/>
        <w:tblLayout w:type="fixed"/>
        <w:tblCellMar>
          <w:left w:w="70" w:type="dxa"/>
          <w:right w:w="70" w:type="dxa"/>
        </w:tblCellMar>
        <w:tblLook w:val="04A0" w:firstRow="1" w:lastRow="0" w:firstColumn="1" w:lastColumn="0" w:noHBand="0" w:noVBand="1"/>
      </w:tblPr>
      <w:tblGrid>
        <w:gridCol w:w="3660"/>
        <w:gridCol w:w="1466"/>
        <w:gridCol w:w="1468"/>
        <w:gridCol w:w="1270"/>
        <w:gridCol w:w="1367"/>
      </w:tblGrid>
      <w:tr w:rsidR="00A833F3" w:rsidRPr="003E0DE3" w14:paraId="452F92EC" w14:textId="77777777" w:rsidTr="00DC2007">
        <w:trPr>
          <w:trHeight w:val="194"/>
          <w:jc w:val="center"/>
        </w:trPr>
        <w:tc>
          <w:tcPr>
            <w:tcW w:w="3660" w:type="dxa"/>
            <w:vMerge w:val="restart"/>
            <w:tcBorders>
              <w:top w:val="single" w:sz="4" w:space="0" w:color="000000"/>
              <w:left w:val="single" w:sz="4" w:space="0" w:color="000000"/>
              <w:right w:val="single" w:sz="4" w:space="0" w:color="000000"/>
            </w:tcBorders>
            <w:shd w:val="clear" w:color="000000" w:fill="D3D3D3"/>
            <w:vAlign w:val="center"/>
            <w:hideMark/>
          </w:tcPr>
          <w:p w14:paraId="305574CA" w14:textId="77777777" w:rsidR="00A833F3" w:rsidRPr="003E0DE3" w:rsidRDefault="00A833F3" w:rsidP="00DC2007">
            <w:pPr>
              <w:spacing w:after="0" w:line="240" w:lineRule="auto"/>
              <w:jc w:val="center"/>
              <w:rPr>
                <w:rFonts w:ascii="Calibri" w:eastAsia="Times New Roman" w:hAnsi="Calibri" w:cs="Times New Roman"/>
                <w:color w:val="000000"/>
                <w:sz w:val="19"/>
                <w:szCs w:val="19"/>
                <w:lang w:eastAsia="pl-PL"/>
              </w:rPr>
            </w:pPr>
            <w:r w:rsidRPr="003E0DE3">
              <w:rPr>
                <w:rFonts w:ascii="Calibri" w:eastAsia="Times New Roman" w:hAnsi="Calibri" w:cs="Times New Roman"/>
                <w:color w:val="000000"/>
                <w:sz w:val="19"/>
                <w:szCs w:val="19"/>
                <w:lang w:eastAsia="pl-PL"/>
              </w:rPr>
              <w:t>Region/województwo</w:t>
            </w:r>
          </w:p>
          <w:p w14:paraId="596E48D7" w14:textId="22420599" w:rsidR="00A833F3" w:rsidRPr="003E0DE3" w:rsidRDefault="00A833F3" w:rsidP="00DC2007">
            <w:pPr>
              <w:spacing w:after="0" w:line="240" w:lineRule="auto"/>
              <w:jc w:val="center"/>
              <w:rPr>
                <w:rFonts w:ascii="Calibri" w:eastAsia="Times New Roman" w:hAnsi="Calibri" w:cs="Times New Roman"/>
                <w:color w:val="000000"/>
                <w:sz w:val="19"/>
                <w:szCs w:val="19"/>
                <w:lang w:eastAsia="pl-PL"/>
              </w:rPr>
            </w:pPr>
          </w:p>
        </w:tc>
        <w:tc>
          <w:tcPr>
            <w:tcW w:w="2934" w:type="dxa"/>
            <w:gridSpan w:val="2"/>
            <w:tcBorders>
              <w:top w:val="single" w:sz="4" w:space="0" w:color="000000"/>
              <w:left w:val="nil"/>
              <w:bottom w:val="single" w:sz="4" w:space="0" w:color="auto"/>
              <w:right w:val="single" w:sz="4" w:space="0" w:color="000000"/>
            </w:tcBorders>
            <w:shd w:val="clear" w:color="000000" w:fill="D3D3D3"/>
            <w:vAlign w:val="center"/>
          </w:tcPr>
          <w:p w14:paraId="76ED49AD" w14:textId="6921ACFE" w:rsidR="00A833F3" w:rsidRPr="003E0DE3" w:rsidRDefault="00A833F3" w:rsidP="00DC2007">
            <w:pPr>
              <w:spacing w:after="0" w:line="240" w:lineRule="auto"/>
              <w:jc w:val="center"/>
              <w:rPr>
                <w:rFonts w:ascii="Calibri" w:eastAsia="Times New Roman" w:hAnsi="Calibri" w:cs="Times New Roman"/>
                <w:color w:val="000000"/>
                <w:sz w:val="19"/>
                <w:szCs w:val="19"/>
                <w:lang w:eastAsia="pl-PL"/>
              </w:rPr>
            </w:pPr>
            <w:r w:rsidRPr="003E0DE3">
              <w:rPr>
                <w:rFonts w:ascii="Calibri" w:eastAsia="Times New Roman" w:hAnsi="Calibri" w:cs="Times New Roman"/>
                <w:color w:val="000000"/>
                <w:sz w:val="19"/>
                <w:szCs w:val="19"/>
                <w:lang w:eastAsia="pl-PL"/>
              </w:rPr>
              <w:t>wartość dodana brutto na</w:t>
            </w:r>
            <w:r w:rsidR="00162B67">
              <w:rPr>
                <w:rFonts w:ascii="Calibri" w:eastAsia="Times New Roman" w:hAnsi="Calibri" w:cs="Times New Roman"/>
                <w:color w:val="000000"/>
                <w:sz w:val="19"/>
                <w:szCs w:val="19"/>
                <w:lang w:eastAsia="pl-PL"/>
              </w:rPr>
              <w:t> </w:t>
            </w:r>
            <w:r w:rsidRPr="003E0DE3">
              <w:rPr>
                <w:rFonts w:ascii="Calibri" w:eastAsia="Times New Roman" w:hAnsi="Calibri" w:cs="Times New Roman"/>
                <w:color w:val="000000"/>
                <w:sz w:val="19"/>
                <w:szCs w:val="19"/>
                <w:lang w:eastAsia="pl-PL"/>
              </w:rPr>
              <w:t>1</w:t>
            </w:r>
            <w:r w:rsidR="00162B67">
              <w:rPr>
                <w:rFonts w:ascii="Calibri" w:eastAsia="Times New Roman" w:hAnsi="Calibri" w:cs="Times New Roman"/>
                <w:color w:val="000000"/>
                <w:sz w:val="19"/>
                <w:szCs w:val="19"/>
                <w:lang w:eastAsia="pl-PL"/>
              </w:rPr>
              <w:t> </w:t>
            </w:r>
            <w:r w:rsidRPr="003E0DE3">
              <w:rPr>
                <w:rFonts w:ascii="Calibri" w:eastAsia="Times New Roman" w:hAnsi="Calibri" w:cs="Times New Roman"/>
                <w:color w:val="000000"/>
                <w:sz w:val="19"/>
                <w:szCs w:val="19"/>
                <w:lang w:eastAsia="pl-PL"/>
              </w:rPr>
              <w:t>pracującego [zł]</w:t>
            </w:r>
          </w:p>
        </w:tc>
        <w:tc>
          <w:tcPr>
            <w:tcW w:w="2637" w:type="dxa"/>
            <w:gridSpan w:val="2"/>
            <w:tcBorders>
              <w:top w:val="single" w:sz="4" w:space="0" w:color="000000"/>
              <w:left w:val="nil"/>
              <w:bottom w:val="single" w:sz="4" w:space="0" w:color="000000"/>
              <w:right w:val="single" w:sz="4" w:space="0" w:color="000000"/>
            </w:tcBorders>
            <w:shd w:val="clear" w:color="000000" w:fill="D3D3D3"/>
          </w:tcPr>
          <w:p w14:paraId="08306F6E" w14:textId="40DBDB33" w:rsidR="00A833F3" w:rsidRPr="003E0DE3" w:rsidRDefault="00A833F3" w:rsidP="00DC2007">
            <w:pPr>
              <w:spacing w:after="0" w:line="240" w:lineRule="auto"/>
              <w:jc w:val="center"/>
              <w:rPr>
                <w:rFonts w:ascii="Calibri" w:eastAsia="Times New Roman" w:hAnsi="Calibri" w:cs="Times New Roman"/>
                <w:color w:val="000000"/>
                <w:sz w:val="19"/>
                <w:szCs w:val="19"/>
                <w:lang w:eastAsia="pl-PL"/>
              </w:rPr>
            </w:pPr>
            <w:r w:rsidRPr="003E0DE3">
              <w:rPr>
                <w:rFonts w:ascii="Calibri" w:eastAsia="Times New Roman" w:hAnsi="Calibri" w:cs="Times New Roman"/>
                <w:color w:val="000000"/>
                <w:sz w:val="19"/>
                <w:szCs w:val="19"/>
                <w:lang w:eastAsia="pl-PL"/>
              </w:rPr>
              <w:t>% wartości lidera</w:t>
            </w:r>
          </w:p>
        </w:tc>
      </w:tr>
      <w:tr w:rsidR="00A833F3" w:rsidRPr="003E0DE3" w14:paraId="532EB373" w14:textId="77777777" w:rsidTr="00DC2007">
        <w:trPr>
          <w:trHeight w:val="194"/>
          <w:jc w:val="center"/>
        </w:trPr>
        <w:tc>
          <w:tcPr>
            <w:tcW w:w="3660" w:type="dxa"/>
            <w:vMerge/>
            <w:tcBorders>
              <w:left w:val="single" w:sz="4" w:space="0" w:color="000000"/>
              <w:bottom w:val="single" w:sz="4" w:space="0" w:color="000000"/>
              <w:right w:val="single" w:sz="4" w:space="0" w:color="000000"/>
            </w:tcBorders>
            <w:shd w:val="clear" w:color="000000" w:fill="D3D3D3"/>
            <w:vAlign w:val="center"/>
            <w:hideMark/>
          </w:tcPr>
          <w:p w14:paraId="4D2437E8" w14:textId="77777777" w:rsidR="00A833F3" w:rsidRPr="003E0DE3" w:rsidRDefault="00A833F3" w:rsidP="00DC2007">
            <w:pPr>
              <w:spacing w:after="0" w:line="240" w:lineRule="auto"/>
              <w:rPr>
                <w:rFonts w:ascii="Calibri" w:eastAsia="Times New Roman" w:hAnsi="Calibri" w:cs="Times New Roman"/>
                <w:color w:val="000000"/>
                <w:sz w:val="19"/>
                <w:szCs w:val="19"/>
                <w:lang w:eastAsia="pl-PL"/>
              </w:rPr>
            </w:pPr>
          </w:p>
        </w:tc>
        <w:tc>
          <w:tcPr>
            <w:tcW w:w="1466" w:type="dxa"/>
            <w:tcBorders>
              <w:top w:val="single" w:sz="4" w:space="0" w:color="auto"/>
              <w:left w:val="single" w:sz="4" w:space="0" w:color="000000"/>
              <w:bottom w:val="single" w:sz="4" w:space="0" w:color="auto"/>
              <w:right w:val="single" w:sz="4" w:space="0" w:color="auto"/>
            </w:tcBorders>
            <w:shd w:val="clear" w:color="000000" w:fill="D3D3D3"/>
          </w:tcPr>
          <w:p w14:paraId="0181A6C3" w14:textId="2D63DD5A" w:rsidR="00A833F3" w:rsidRPr="003E0DE3" w:rsidRDefault="00A833F3" w:rsidP="00DC2007">
            <w:pPr>
              <w:spacing w:after="0" w:line="240" w:lineRule="auto"/>
              <w:jc w:val="center"/>
              <w:rPr>
                <w:rFonts w:ascii="Calibri" w:eastAsia="Times New Roman" w:hAnsi="Calibri" w:cs="Times New Roman"/>
                <w:color w:val="000000"/>
                <w:sz w:val="19"/>
                <w:szCs w:val="19"/>
                <w:lang w:eastAsia="pl-PL"/>
              </w:rPr>
            </w:pPr>
            <w:r w:rsidRPr="003E0DE3">
              <w:rPr>
                <w:rFonts w:ascii="Calibri" w:eastAsia="Times New Roman" w:hAnsi="Calibri" w:cs="Times New Roman"/>
                <w:color w:val="000000"/>
                <w:sz w:val="19"/>
                <w:szCs w:val="19"/>
                <w:lang w:eastAsia="pl-PL"/>
              </w:rPr>
              <w:t>201</w:t>
            </w:r>
            <w:r w:rsidR="006F32B8">
              <w:rPr>
                <w:rFonts w:ascii="Calibri" w:eastAsia="Times New Roman" w:hAnsi="Calibri" w:cs="Times New Roman"/>
                <w:color w:val="000000"/>
                <w:sz w:val="19"/>
                <w:szCs w:val="19"/>
                <w:lang w:eastAsia="pl-PL"/>
              </w:rPr>
              <w:t>1</w:t>
            </w:r>
          </w:p>
        </w:tc>
        <w:tc>
          <w:tcPr>
            <w:tcW w:w="1468" w:type="dxa"/>
            <w:tcBorders>
              <w:top w:val="single" w:sz="4" w:space="0" w:color="auto"/>
              <w:left w:val="single" w:sz="4" w:space="0" w:color="auto"/>
              <w:bottom w:val="single" w:sz="4" w:space="0" w:color="auto"/>
              <w:right w:val="single" w:sz="4" w:space="0" w:color="auto"/>
            </w:tcBorders>
            <w:shd w:val="clear" w:color="000000" w:fill="D3D3D3"/>
            <w:vAlign w:val="center"/>
            <w:hideMark/>
          </w:tcPr>
          <w:p w14:paraId="65E73465" w14:textId="77777777" w:rsidR="00A833F3" w:rsidRPr="003E0DE3" w:rsidRDefault="00A833F3" w:rsidP="00DC2007">
            <w:pPr>
              <w:spacing w:after="0" w:line="240" w:lineRule="auto"/>
              <w:jc w:val="center"/>
              <w:rPr>
                <w:rFonts w:ascii="Calibri" w:eastAsia="Times New Roman" w:hAnsi="Calibri" w:cs="Times New Roman"/>
                <w:color w:val="000000"/>
                <w:sz w:val="19"/>
                <w:szCs w:val="19"/>
                <w:lang w:eastAsia="pl-PL"/>
              </w:rPr>
            </w:pPr>
            <w:r w:rsidRPr="003E0DE3">
              <w:rPr>
                <w:rFonts w:ascii="Calibri" w:eastAsia="Times New Roman" w:hAnsi="Calibri" w:cs="Times New Roman"/>
                <w:color w:val="000000"/>
                <w:sz w:val="19"/>
                <w:szCs w:val="19"/>
                <w:lang w:eastAsia="pl-PL"/>
              </w:rPr>
              <w:t>2018</w:t>
            </w:r>
          </w:p>
        </w:tc>
        <w:tc>
          <w:tcPr>
            <w:tcW w:w="1270" w:type="dxa"/>
            <w:tcBorders>
              <w:top w:val="nil"/>
              <w:left w:val="single" w:sz="4" w:space="0" w:color="auto"/>
              <w:bottom w:val="single" w:sz="4" w:space="0" w:color="000000"/>
              <w:right w:val="single" w:sz="4" w:space="0" w:color="000000"/>
            </w:tcBorders>
            <w:shd w:val="clear" w:color="000000" w:fill="D3D3D3"/>
          </w:tcPr>
          <w:p w14:paraId="71D1F150" w14:textId="3F2E3C7C" w:rsidR="006F32B8" w:rsidRPr="003E0DE3" w:rsidRDefault="00A833F3" w:rsidP="00DC2007">
            <w:pPr>
              <w:spacing w:after="0" w:line="240" w:lineRule="auto"/>
              <w:jc w:val="center"/>
              <w:rPr>
                <w:rFonts w:ascii="Calibri" w:eastAsia="Times New Roman" w:hAnsi="Calibri" w:cs="Times New Roman"/>
                <w:color w:val="000000"/>
                <w:sz w:val="19"/>
                <w:szCs w:val="19"/>
                <w:lang w:eastAsia="pl-PL"/>
              </w:rPr>
            </w:pPr>
            <w:r w:rsidRPr="003E0DE3">
              <w:rPr>
                <w:rFonts w:ascii="Calibri" w:eastAsia="Times New Roman" w:hAnsi="Calibri" w:cs="Times New Roman"/>
                <w:color w:val="000000"/>
                <w:sz w:val="19"/>
                <w:szCs w:val="19"/>
                <w:lang w:eastAsia="pl-PL"/>
              </w:rPr>
              <w:t>201</w:t>
            </w:r>
            <w:r w:rsidR="006F32B8">
              <w:rPr>
                <w:rFonts w:ascii="Calibri" w:eastAsia="Times New Roman" w:hAnsi="Calibri" w:cs="Times New Roman"/>
                <w:color w:val="000000"/>
                <w:sz w:val="19"/>
                <w:szCs w:val="19"/>
                <w:lang w:eastAsia="pl-PL"/>
              </w:rPr>
              <w:t>1</w:t>
            </w:r>
          </w:p>
        </w:tc>
        <w:tc>
          <w:tcPr>
            <w:tcW w:w="1367" w:type="dxa"/>
            <w:tcBorders>
              <w:top w:val="nil"/>
              <w:left w:val="nil"/>
              <w:bottom w:val="single" w:sz="4" w:space="0" w:color="000000"/>
              <w:right w:val="single" w:sz="4" w:space="0" w:color="000000"/>
            </w:tcBorders>
            <w:shd w:val="clear" w:color="000000" w:fill="D3D3D3"/>
          </w:tcPr>
          <w:p w14:paraId="1E238193" w14:textId="77777777" w:rsidR="00A833F3" w:rsidRPr="003E0DE3" w:rsidRDefault="00A833F3" w:rsidP="00DC2007">
            <w:pPr>
              <w:spacing w:after="0" w:line="240" w:lineRule="auto"/>
              <w:jc w:val="center"/>
              <w:rPr>
                <w:rFonts w:ascii="Calibri" w:eastAsia="Times New Roman" w:hAnsi="Calibri" w:cs="Times New Roman"/>
                <w:color w:val="000000"/>
                <w:sz w:val="19"/>
                <w:szCs w:val="19"/>
                <w:lang w:eastAsia="pl-PL"/>
              </w:rPr>
            </w:pPr>
            <w:r w:rsidRPr="003E0DE3">
              <w:rPr>
                <w:rFonts w:ascii="Calibri" w:eastAsia="Times New Roman" w:hAnsi="Calibri" w:cs="Times New Roman"/>
                <w:color w:val="000000"/>
                <w:sz w:val="19"/>
                <w:szCs w:val="19"/>
                <w:lang w:eastAsia="pl-PL"/>
              </w:rPr>
              <w:t>2018</w:t>
            </w:r>
          </w:p>
        </w:tc>
      </w:tr>
      <w:tr w:rsidR="006F32B8" w:rsidRPr="003E0DE3" w14:paraId="487FE60F" w14:textId="77777777" w:rsidTr="00DC2007">
        <w:trPr>
          <w:trHeight w:val="194"/>
          <w:jc w:val="center"/>
        </w:trPr>
        <w:tc>
          <w:tcPr>
            <w:tcW w:w="3660" w:type="dxa"/>
            <w:tcBorders>
              <w:top w:val="nil"/>
              <w:left w:val="nil"/>
              <w:bottom w:val="nil"/>
              <w:right w:val="nil"/>
            </w:tcBorders>
            <w:shd w:val="clear" w:color="auto" w:fill="auto"/>
            <w:noWrap/>
            <w:vAlign w:val="bottom"/>
            <w:hideMark/>
          </w:tcPr>
          <w:p w14:paraId="41A734D2" w14:textId="04DD4D83" w:rsidR="006F32B8" w:rsidRPr="003E0DE3" w:rsidRDefault="00BA63E5" w:rsidP="00DC2007">
            <w:pPr>
              <w:spacing w:after="0" w:line="240" w:lineRule="auto"/>
              <w:rPr>
                <w:rFonts w:ascii="Calibri" w:eastAsia="Times New Roman" w:hAnsi="Calibri" w:cs="Times New Roman"/>
                <w:sz w:val="19"/>
                <w:szCs w:val="19"/>
                <w:lang w:eastAsia="pl-PL"/>
              </w:rPr>
            </w:pPr>
            <w:r w:rsidRPr="003E0DE3">
              <w:rPr>
                <w:rFonts w:ascii="Calibri" w:hAnsi="Calibri"/>
                <w:sz w:val="19"/>
                <w:szCs w:val="19"/>
              </w:rPr>
              <w:t>Warszawski stołeczny</w:t>
            </w:r>
          </w:p>
        </w:tc>
        <w:tc>
          <w:tcPr>
            <w:tcW w:w="1466" w:type="dxa"/>
            <w:tcBorders>
              <w:top w:val="single" w:sz="4" w:space="0" w:color="auto"/>
              <w:left w:val="nil"/>
              <w:bottom w:val="nil"/>
              <w:right w:val="nil"/>
            </w:tcBorders>
            <w:vAlign w:val="bottom"/>
          </w:tcPr>
          <w:p w14:paraId="46A2214C" w14:textId="5A574ECD" w:rsidR="006F32B8" w:rsidRPr="006F32B8" w:rsidRDefault="006F32B8" w:rsidP="00DC2007">
            <w:pPr>
              <w:spacing w:after="0" w:line="240" w:lineRule="auto"/>
              <w:jc w:val="right"/>
              <w:rPr>
                <w:rFonts w:ascii="Calibri" w:hAnsi="Calibri"/>
                <w:sz w:val="19"/>
                <w:szCs w:val="19"/>
              </w:rPr>
            </w:pPr>
            <w:r w:rsidRPr="006F32B8">
              <w:rPr>
                <w:rFonts w:ascii="Calibri" w:hAnsi="Calibri"/>
                <w:sz w:val="19"/>
                <w:szCs w:val="19"/>
              </w:rPr>
              <w:t>150 538</w:t>
            </w:r>
          </w:p>
        </w:tc>
        <w:tc>
          <w:tcPr>
            <w:tcW w:w="1468" w:type="dxa"/>
            <w:tcBorders>
              <w:top w:val="single" w:sz="4" w:space="0" w:color="auto"/>
              <w:left w:val="nil"/>
              <w:bottom w:val="nil"/>
              <w:right w:val="single" w:sz="4" w:space="0" w:color="auto"/>
            </w:tcBorders>
            <w:shd w:val="clear" w:color="auto" w:fill="auto"/>
            <w:noWrap/>
            <w:vAlign w:val="bottom"/>
            <w:hideMark/>
          </w:tcPr>
          <w:p w14:paraId="54E4459D" w14:textId="77777777" w:rsidR="006F32B8" w:rsidRPr="003E0DE3" w:rsidRDefault="006F32B8" w:rsidP="00DC2007">
            <w:pPr>
              <w:spacing w:after="0" w:line="240" w:lineRule="auto"/>
              <w:jc w:val="right"/>
              <w:rPr>
                <w:rFonts w:ascii="Calibri" w:eastAsia="Times New Roman" w:hAnsi="Calibri" w:cs="Times New Roman"/>
                <w:sz w:val="19"/>
                <w:szCs w:val="19"/>
                <w:lang w:eastAsia="pl-PL"/>
              </w:rPr>
            </w:pPr>
            <w:r w:rsidRPr="003E0DE3">
              <w:rPr>
                <w:rFonts w:ascii="Calibri" w:hAnsi="Calibri"/>
                <w:sz w:val="19"/>
                <w:szCs w:val="19"/>
              </w:rPr>
              <w:t>181 986</w:t>
            </w:r>
          </w:p>
        </w:tc>
        <w:tc>
          <w:tcPr>
            <w:tcW w:w="1270" w:type="dxa"/>
            <w:tcBorders>
              <w:top w:val="nil"/>
              <w:left w:val="single" w:sz="4" w:space="0" w:color="auto"/>
              <w:bottom w:val="nil"/>
              <w:right w:val="nil"/>
            </w:tcBorders>
            <w:vAlign w:val="bottom"/>
          </w:tcPr>
          <w:p w14:paraId="544F6C2E" w14:textId="01F79D9D" w:rsidR="006F32B8" w:rsidRPr="006F32B8" w:rsidRDefault="006F32B8" w:rsidP="00DC2007">
            <w:pPr>
              <w:spacing w:after="0" w:line="240" w:lineRule="auto"/>
              <w:jc w:val="right"/>
              <w:rPr>
                <w:rFonts w:ascii="Calibri" w:hAnsi="Calibri"/>
                <w:sz w:val="19"/>
                <w:szCs w:val="19"/>
              </w:rPr>
            </w:pPr>
            <w:r w:rsidRPr="006F32B8">
              <w:rPr>
                <w:rFonts w:ascii="Calibri" w:hAnsi="Calibri"/>
                <w:sz w:val="19"/>
                <w:szCs w:val="19"/>
              </w:rPr>
              <w:t>100,0%</w:t>
            </w:r>
          </w:p>
        </w:tc>
        <w:tc>
          <w:tcPr>
            <w:tcW w:w="1367" w:type="dxa"/>
            <w:tcBorders>
              <w:top w:val="nil"/>
              <w:left w:val="nil"/>
              <w:bottom w:val="nil"/>
              <w:right w:val="nil"/>
            </w:tcBorders>
            <w:vAlign w:val="bottom"/>
          </w:tcPr>
          <w:p w14:paraId="05F5F9E1" w14:textId="77777777" w:rsidR="006F32B8" w:rsidRPr="003E0DE3" w:rsidRDefault="006F32B8" w:rsidP="00DC2007">
            <w:pPr>
              <w:spacing w:after="0" w:line="240" w:lineRule="auto"/>
              <w:jc w:val="right"/>
              <w:rPr>
                <w:rFonts w:ascii="Calibri" w:hAnsi="Calibri"/>
                <w:sz w:val="19"/>
                <w:szCs w:val="19"/>
              </w:rPr>
            </w:pPr>
            <w:r w:rsidRPr="003E0DE3">
              <w:rPr>
                <w:rFonts w:ascii="Calibri" w:hAnsi="Calibri"/>
                <w:sz w:val="19"/>
                <w:szCs w:val="19"/>
              </w:rPr>
              <w:t>100,0%</w:t>
            </w:r>
          </w:p>
        </w:tc>
      </w:tr>
      <w:tr w:rsidR="006F32B8" w:rsidRPr="003E0DE3" w14:paraId="7AAE79DD" w14:textId="77777777" w:rsidTr="00DC2007">
        <w:trPr>
          <w:trHeight w:val="194"/>
          <w:jc w:val="center"/>
        </w:trPr>
        <w:tc>
          <w:tcPr>
            <w:tcW w:w="3660" w:type="dxa"/>
            <w:tcBorders>
              <w:top w:val="nil"/>
              <w:left w:val="nil"/>
              <w:bottom w:val="nil"/>
              <w:right w:val="nil"/>
            </w:tcBorders>
            <w:shd w:val="clear" w:color="auto" w:fill="auto"/>
            <w:noWrap/>
            <w:vAlign w:val="bottom"/>
            <w:hideMark/>
          </w:tcPr>
          <w:p w14:paraId="6DA9A590" w14:textId="6AB8C051" w:rsidR="006F32B8" w:rsidRPr="003E0DE3" w:rsidRDefault="00BA63E5" w:rsidP="00DC2007">
            <w:pPr>
              <w:spacing w:after="0" w:line="240" w:lineRule="auto"/>
              <w:rPr>
                <w:rFonts w:ascii="Calibri" w:eastAsia="Times New Roman" w:hAnsi="Calibri" w:cs="Times New Roman"/>
                <w:sz w:val="19"/>
                <w:szCs w:val="19"/>
                <w:lang w:eastAsia="pl-PL"/>
              </w:rPr>
            </w:pPr>
            <w:r w:rsidRPr="003E0DE3">
              <w:rPr>
                <w:rFonts w:ascii="Calibri" w:hAnsi="Calibri"/>
                <w:sz w:val="19"/>
                <w:szCs w:val="19"/>
              </w:rPr>
              <w:t>Dolnośląskie</w:t>
            </w:r>
          </w:p>
        </w:tc>
        <w:tc>
          <w:tcPr>
            <w:tcW w:w="1466" w:type="dxa"/>
            <w:tcBorders>
              <w:top w:val="nil"/>
              <w:left w:val="nil"/>
              <w:bottom w:val="nil"/>
              <w:right w:val="nil"/>
            </w:tcBorders>
            <w:vAlign w:val="bottom"/>
          </w:tcPr>
          <w:p w14:paraId="20417688" w14:textId="06E354ED" w:rsidR="006F32B8" w:rsidRPr="006F32B8" w:rsidRDefault="006F32B8" w:rsidP="00DC2007">
            <w:pPr>
              <w:spacing w:after="0" w:line="240" w:lineRule="auto"/>
              <w:jc w:val="right"/>
              <w:rPr>
                <w:rFonts w:ascii="Calibri" w:hAnsi="Calibri"/>
                <w:sz w:val="19"/>
                <w:szCs w:val="19"/>
              </w:rPr>
            </w:pPr>
            <w:r w:rsidRPr="006F32B8">
              <w:rPr>
                <w:rFonts w:ascii="Calibri" w:hAnsi="Calibri"/>
                <w:sz w:val="19"/>
                <w:szCs w:val="19"/>
              </w:rPr>
              <w:t>115 528</w:t>
            </w:r>
          </w:p>
        </w:tc>
        <w:tc>
          <w:tcPr>
            <w:tcW w:w="1468" w:type="dxa"/>
            <w:tcBorders>
              <w:top w:val="nil"/>
              <w:left w:val="nil"/>
              <w:bottom w:val="nil"/>
              <w:right w:val="single" w:sz="4" w:space="0" w:color="auto"/>
            </w:tcBorders>
            <w:shd w:val="clear" w:color="auto" w:fill="auto"/>
            <w:noWrap/>
            <w:vAlign w:val="bottom"/>
            <w:hideMark/>
          </w:tcPr>
          <w:p w14:paraId="0A6D0492" w14:textId="77777777" w:rsidR="006F32B8" w:rsidRPr="003E0DE3" w:rsidRDefault="006F32B8" w:rsidP="00DC2007">
            <w:pPr>
              <w:spacing w:after="0" w:line="240" w:lineRule="auto"/>
              <w:jc w:val="right"/>
              <w:rPr>
                <w:rFonts w:ascii="Calibri" w:eastAsia="Times New Roman" w:hAnsi="Calibri" w:cs="Times New Roman"/>
                <w:sz w:val="19"/>
                <w:szCs w:val="19"/>
                <w:lang w:eastAsia="pl-PL"/>
              </w:rPr>
            </w:pPr>
            <w:r w:rsidRPr="003E0DE3">
              <w:rPr>
                <w:rFonts w:ascii="Calibri" w:hAnsi="Calibri"/>
                <w:sz w:val="19"/>
                <w:szCs w:val="19"/>
              </w:rPr>
              <w:t>137 414</w:t>
            </w:r>
          </w:p>
        </w:tc>
        <w:tc>
          <w:tcPr>
            <w:tcW w:w="1270" w:type="dxa"/>
            <w:tcBorders>
              <w:top w:val="nil"/>
              <w:left w:val="single" w:sz="4" w:space="0" w:color="auto"/>
              <w:bottom w:val="nil"/>
              <w:right w:val="nil"/>
            </w:tcBorders>
            <w:vAlign w:val="bottom"/>
          </w:tcPr>
          <w:p w14:paraId="1354FB41" w14:textId="56555D76" w:rsidR="006F32B8" w:rsidRPr="006F32B8" w:rsidRDefault="006F32B8" w:rsidP="00DC2007">
            <w:pPr>
              <w:spacing w:after="0" w:line="240" w:lineRule="auto"/>
              <w:jc w:val="right"/>
              <w:rPr>
                <w:rFonts w:ascii="Calibri" w:hAnsi="Calibri"/>
                <w:sz w:val="19"/>
                <w:szCs w:val="19"/>
              </w:rPr>
            </w:pPr>
            <w:r w:rsidRPr="006F32B8">
              <w:rPr>
                <w:rFonts w:ascii="Calibri" w:hAnsi="Calibri"/>
                <w:sz w:val="19"/>
                <w:szCs w:val="19"/>
              </w:rPr>
              <w:t>76,9%</w:t>
            </w:r>
          </w:p>
        </w:tc>
        <w:tc>
          <w:tcPr>
            <w:tcW w:w="1367" w:type="dxa"/>
            <w:tcBorders>
              <w:top w:val="nil"/>
              <w:left w:val="nil"/>
              <w:bottom w:val="nil"/>
              <w:right w:val="nil"/>
            </w:tcBorders>
            <w:vAlign w:val="bottom"/>
          </w:tcPr>
          <w:p w14:paraId="3E37B884" w14:textId="77777777" w:rsidR="006F32B8" w:rsidRPr="003E0DE3" w:rsidRDefault="006F32B8" w:rsidP="00DC2007">
            <w:pPr>
              <w:spacing w:after="0" w:line="240" w:lineRule="auto"/>
              <w:jc w:val="right"/>
              <w:rPr>
                <w:rFonts w:ascii="Calibri" w:hAnsi="Calibri"/>
                <w:sz w:val="19"/>
                <w:szCs w:val="19"/>
              </w:rPr>
            </w:pPr>
            <w:r w:rsidRPr="003E0DE3">
              <w:rPr>
                <w:rFonts w:ascii="Calibri" w:hAnsi="Calibri"/>
                <w:sz w:val="19"/>
                <w:szCs w:val="19"/>
              </w:rPr>
              <w:t>75,5%</w:t>
            </w:r>
          </w:p>
        </w:tc>
      </w:tr>
      <w:tr w:rsidR="006F32B8" w:rsidRPr="003E0DE3" w14:paraId="76015476" w14:textId="77777777" w:rsidTr="00DC2007">
        <w:trPr>
          <w:trHeight w:val="194"/>
          <w:jc w:val="center"/>
        </w:trPr>
        <w:tc>
          <w:tcPr>
            <w:tcW w:w="3660" w:type="dxa"/>
            <w:tcBorders>
              <w:top w:val="nil"/>
              <w:left w:val="nil"/>
              <w:bottom w:val="nil"/>
              <w:right w:val="nil"/>
            </w:tcBorders>
            <w:shd w:val="clear" w:color="auto" w:fill="auto"/>
            <w:noWrap/>
            <w:vAlign w:val="bottom"/>
            <w:hideMark/>
          </w:tcPr>
          <w:p w14:paraId="1286124B" w14:textId="1DF1588D" w:rsidR="006F32B8" w:rsidRPr="003E0DE3" w:rsidRDefault="006F32B8" w:rsidP="00DC2007">
            <w:pPr>
              <w:spacing w:after="0" w:line="240" w:lineRule="auto"/>
              <w:rPr>
                <w:rFonts w:ascii="Calibri" w:eastAsia="Times New Roman" w:hAnsi="Calibri" w:cs="Times New Roman"/>
                <w:sz w:val="19"/>
                <w:szCs w:val="19"/>
                <w:lang w:eastAsia="pl-PL"/>
              </w:rPr>
            </w:pPr>
            <w:r w:rsidRPr="003E0DE3">
              <w:rPr>
                <w:rFonts w:ascii="Calibri" w:hAnsi="Calibri"/>
                <w:sz w:val="19"/>
                <w:szCs w:val="19"/>
              </w:rPr>
              <w:t>Ś</w:t>
            </w:r>
            <w:r w:rsidR="00BA63E5" w:rsidRPr="003E0DE3">
              <w:rPr>
                <w:rFonts w:ascii="Calibri" w:hAnsi="Calibri"/>
                <w:sz w:val="19"/>
                <w:szCs w:val="19"/>
              </w:rPr>
              <w:t>ląskie</w:t>
            </w:r>
          </w:p>
        </w:tc>
        <w:tc>
          <w:tcPr>
            <w:tcW w:w="1466" w:type="dxa"/>
            <w:tcBorders>
              <w:top w:val="nil"/>
              <w:left w:val="nil"/>
              <w:bottom w:val="nil"/>
              <w:right w:val="nil"/>
            </w:tcBorders>
            <w:vAlign w:val="bottom"/>
          </w:tcPr>
          <w:p w14:paraId="3C78763A" w14:textId="101AA801" w:rsidR="006F32B8" w:rsidRPr="006F32B8" w:rsidRDefault="006F32B8" w:rsidP="00DC2007">
            <w:pPr>
              <w:spacing w:after="0" w:line="240" w:lineRule="auto"/>
              <w:jc w:val="right"/>
              <w:rPr>
                <w:rFonts w:ascii="Calibri" w:hAnsi="Calibri"/>
                <w:sz w:val="19"/>
                <w:szCs w:val="19"/>
              </w:rPr>
            </w:pPr>
            <w:r w:rsidRPr="006F32B8">
              <w:rPr>
                <w:rFonts w:ascii="Calibri" w:hAnsi="Calibri"/>
                <w:sz w:val="19"/>
                <w:szCs w:val="19"/>
              </w:rPr>
              <w:t>106 543</w:t>
            </w:r>
          </w:p>
        </w:tc>
        <w:tc>
          <w:tcPr>
            <w:tcW w:w="1468" w:type="dxa"/>
            <w:tcBorders>
              <w:top w:val="nil"/>
              <w:left w:val="nil"/>
              <w:bottom w:val="nil"/>
              <w:right w:val="single" w:sz="4" w:space="0" w:color="auto"/>
            </w:tcBorders>
            <w:shd w:val="clear" w:color="auto" w:fill="auto"/>
            <w:noWrap/>
            <w:vAlign w:val="bottom"/>
            <w:hideMark/>
          </w:tcPr>
          <w:p w14:paraId="745C64A3" w14:textId="77777777" w:rsidR="006F32B8" w:rsidRPr="003E0DE3" w:rsidRDefault="006F32B8" w:rsidP="00DC2007">
            <w:pPr>
              <w:spacing w:after="0" w:line="240" w:lineRule="auto"/>
              <w:jc w:val="right"/>
              <w:rPr>
                <w:rFonts w:ascii="Calibri" w:eastAsia="Times New Roman" w:hAnsi="Calibri" w:cs="Times New Roman"/>
                <w:sz w:val="19"/>
                <w:szCs w:val="19"/>
                <w:lang w:eastAsia="pl-PL"/>
              </w:rPr>
            </w:pPr>
            <w:r w:rsidRPr="003E0DE3">
              <w:rPr>
                <w:rFonts w:ascii="Calibri" w:hAnsi="Calibri"/>
                <w:sz w:val="19"/>
                <w:szCs w:val="19"/>
              </w:rPr>
              <w:t>134 054</w:t>
            </w:r>
          </w:p>
        </w:tc>
        <w:tc>
          <w:tcPr>
            <w:tcW w:w="1270" w:type="dxa"/>
            <w:tcBorders>
              <w:top w:val="nil"/>
              <w:left w:val="single" w:sz="4" w:space="0" w:color="auto"/>
              <w:bottom w:val="nil"/>
              <w:right w:val="nil"/>
            </w:tcBorders>
            <w:vAlign w:val="bottom"/>
          </w:tcPr>
          <w:p w14:paraId="178DABB1" w14:textId="2ED96188" w:rsidR="006F32B8" w:rsidRPr="006F32B8" w:rsidRDefault="006F32B8" w:rsidP="00DC2007">
            <w:pPr>
              <w:spacing w:after="0" w:line="240" w:lineRule="auto"/>
              <w:jc w:val="right"/>
              <w:rPr>
                <w:rFonts w:ascii="Calibri" w:hAnsi="Calibri"/>
                <w:sz w:val="19"/>
                <w:szCs w:val="19"/>
              </w:rPr>
            </w:pPr>
            <w:r w:rsidRPr="006F32B8">
              <w:rPr>
                <w:rFonts w:ascii="Calibri" w:hAnsi="Calibri"/>
                <w:sz w:val="19"/>
                <w:szCs w:val="19"/>
              </w:rPr>
              <w:t>70,3%</w:t>
            </w:r>
          </w:p>
        </w:tc>
        <w:tc>
          <w:tcPr>
            <w:tcW w:w="1367" w:type="dxa"/>
            <w:tcBorders>
              <w:top w:val="nil"/>
              <w:left w:val="nil"/>
              <w:bottom w:val="nil"/>
              <w:right w:val="nil"/>
            </w:tcBorders>
            <w:vAlign w:val="bottom"/>
          </w:tcPr>
          <w:p w14:paraId="31005D20" w14:textId="77777777" w:rsidR="006F32B8" w:rsidRPr="003E0DE3" w:rsidRDefault="006F32B8" w:rsidP="00DC2007">
            <w:pPr>
              <w:spacing w:after="0" w:line="240" w:lineRule="auto"/>
              <w:jc w:val="right"/>
              <w:rPr>
                <w:rFonts w:ascii="Calibri" w:hAnsi="Calibri"/>
                <w:sz w:val="19"/>
                <w:szCs w:val="19"/>
              </w:rPr>
            </w:pPr>
            <w:r w:rsidRPr="003E0DE3">
              <w:rPr>
                <w:rFonts w:ascii="Calibri" w:hAnsi="Calibri"/>
                <w:sz w:val="19"/>
                <w:szCs w:val="19"/>
              </w:rPr>
              <w:t>73,7%</w:t>
            </w:r>
          </w:p>
        </w:tc>
      </w:tr>
      <w:tr w:rsidR="006F32B8" w:rsidRPr="003E0DE3" w14:paraId="450AE3A4" w14:textId="77777777" w:rsidTr="00DC2007">
        <w:trPr>
          <w:trHeight w:val="194"/>
          <w:jc w:val="center"/>
        </w:trPr>
        <w:tc>
          <w:tcPr>
            <w:tcW w:w="3660" w:type="dxa"/>
            <w:tcBorders>
              <w:top w:val="nil"/>
              <w:left w:val="nil"/>
              <w:bottom w:val="nil"/>
              <w:right w:val="nil"/>
            </w:tcBorders>
            <w:shd w:val="clear" w:color="auto" w:fill="auto"/>
            <w:noWrap/>
            <w:vAlign w:val="bottom"/>
            <w:hideMark/>
          </w:tcPr>
          <w:p w14:paraId="2C1229C8" w14:textId="58CF2D9D" w:rsidR="006F32B8" w:rsidRPr="003E0DE3" w:rsidRDefault="00BA63E5" w:rsidP="00DC2007">
            <w:pPr>
              <w:spacing w:after="0" w:line="240" w:lineRule="auto"/>
              <w:rPr>
                <w:rFonts w:ascii="Calibri" w:eastAsia="Times New Roman" w:hAnsi="Calibri" w:cs="Times New Roman"/>
                <w:sz w:val="19"/>
                <w:szCs w:val="19"/>
                <w:lang w:eastAsia="pl-PL"/>
              </w:rPr>
            </w:pPr>
            <w:r w:rsidRPr="003E0DE3">
              <w:rPr>
                <w:rFonts w:ascii="Calibri" w:hAnsi="Calibri"/>
                <w:sz w:val="19"/>
                <w:szCs w:val="19"/>
              </w:rPr>
              <w:t>Pomorskie</w:t>
            </w:r>
          </w:p>
        </w:tc>
        <w:tc>
          <w:tcPr>
            <w:tcW w:w="1466" w:type="dxa"/>
            <w:tcBorders>
              <w:top w:val="nil"/>
              <w:left w:val="nil"/>
              <w:bottom w:val="nil"/>
              <w:right w:val="nil"/>
            </w:tcBorders>
            <w:vAlign w:val="bottom"/>
          </w:tcPr>
          <w:p w14:paraId="4FD99B52" w14:textId="04036FC3" w:rsidR="006F32B8" w:rsidRPr="006F32B8" w:rsidRDefault="006F32B8" w:rsidP="00DC2007">
            <w:pPr>
              <w:spacing w:after="0" w:line="240" w:lineRule="auto"/>
              <w:jc w:val="right"/>
              <w:rPr>
                <w:rFonts w:ascii="Calibri" w:hAnsi="Calibri"/>
                <w:sz w:val="19"/>
                <w:szCs w:val="19"/>
              </w:rPr>
            </w:pPr>
            <w:r w:rsidRPr="006F32B8">
              <w:rPr>
                <w:rFonts w:ascii="Calibri" w:hAnsi="Calibri"/>
                <w:sz w:val="19"/>
                <w:szCs w:val="19"/>
              </w:rPr>
              <w:t>102 394</w:t>
            </w:r>
          </w:p>
        </w:tc>
        <w:tc>
          <w:tcPr>
            <w:tcW w:w="1468" w:type="dxa"/>
            <w:tcBorders>
              <w:top w:val="nil"/>
              <w:left w:val="nil"/>
              <w:bottom w:val="nil"/>
              <w:right w:val="single" w:sz="4" w:space="0" w:color="auto"/>
            </w:tcBorders>
            <w:shd w:val="clear" w:color="auto" w:fill="auto"/>
            <w:noWrap/>
            <w:vAlign w:val="bottom"/>
            <w:hideMark/>
          </w:tcPr>
          <w:p w14:paraId="6A28856F" w14:textId="77777777" w:rsidR="006F32B8" w:rsidRPr="003E0DE3" w:rsidRDefault="006F32B8" w:rsidP="00DC2007">
            <w:pPr>
              <w:spacing w:after="0" w:line="240" w:lineRule="auto"/>
              <w:jc w:val="right"/>
              <w:rPr>
                <w:rFonts w:ascii="Calibri" w:eastAsia="Times New Roman" w:hAnsi="Calibri" w:cs="Times New Roman"/>
                <w:sz w:val="19"/>
                <w:szCs w:val="19"/>
                <w:lang w:eastAsia="pl-PL"/>
              </w:rPr>
            </w:pPr>
            <w:r w:rsidRPr="003E0DE3">
              <w:rPr>
                <w:rFonts w:ascii="Calibri" w:hAnsi="Calibri"/>
                <w:sz w:val="19"/>
                <w:szCs w:val="19"/>
              </w:rPr>
              <w:t>126 143</w:t>
            </w:r>
          </w:p>
        </w:tc>
        <w:tc>
          <w:tcPr>
            <w:tcW w:w="1270" w:type="dxa"/>
            <w:tcBorders>
              <w:top w:val="nil"/>
              <w:left w:val="single" w:sz="4" w:space="0" w:color="auto"/>
              <w:bottom w:val="nil"/>
              <w:right w:val="nil"/>
            </w:tcBorders>
            <w:vAlign w:val="bottom"/>
          </w:tcPr>
          <w:p w14:paraId="2F93DBB3" w14:textId="06B6B746" w:rsidR="006F32B8" w:rsidRPr="006F32B8" w:rsidRDefault="006F32B8" w:rsidP="00DC2007">
            <w:pPr>
              <w:spacing w:after="0" w:line="240" w:lineRule="auto"/>
              <w:jc w:val="right"/>
              <w:rPr>
                <w:rFonts w:ascii="Calibri" w:hAnsi="Calibri"/>
                <w:sz w:val="19"/>
                <w:szCs w:val="19"/>
              </w:rPr>
            </w:pPr>
            <w:r w:rsidRPr="006F32B8">
              <w:rPr>
                <w:rFonts w:ascii="Calibri" w:hAnsi="Calibri"/>
                <w:sz w:val="19"/>
                <w:szCs w:val="19"/>
              </w:rPr>
              <w:t>70,4%</w:t>
            </w:r>
          </w:p>
        </w:tc>
        <w:tc>
          <w:tcPr>
            <w:tcW w:w="1367" w:type="dxa"/>
            <w:tcBorders>
              <w:top w:val="nil"/>
              <w:left w:val="nil"/>
              <w:bottom w:val="nil"/>
              <w:right w:val="nil"/>
            </w:tcBorders>
            <w:vAlign w:val="bottom"/>
          </w:tcPr>
          <w:p w14:paraId="56603CD7" w14:textId="77777777" w:rsidR="006F32B8" w:rsidRPr="003E0DE3" w:rsidRDefault="006F32B8" w:rsidP="00DC2007">
            <w:pPr>
              <w:spacing w:after="0" w:line="240" w:lineRule="auto"/>
              <w:jc w:val="right"/>
              <w:rPr>
                <w:rFonts w:ascii="Calibri" w:hAnsi="Calibri"/>
                <w:sz w:val="19"/>
                <w:szCs w:val="19"/>
              </w:rPr>
            </w:pPr>
            <w:r w:rsidRPr="003E0DE3">
              <w:rPr>
                <w:rFonts w:ascii="Calibri" w:hAnsi="Calibri"/>
                <w:sz w:val="19"/>
                <w:szCs w:val="19"/>
              </w:rPr>
              <w:t>69,3%</w:t>
            </w:r>
          </w:p>
        </w:tc>
      </w:tr>
      <w:tr w:rsidR="006F32B8" w:rsidRPr="003E0DE3" w14:paraId="6F1D407C" w14:textId="77777777" w:rsidTr="00DC2007">
        <w:trPr>
          <w:trHeight w:val="194"/>
          <w:jc w:val="center"/>
        </w:trPr>
        <w:tc>
          <w:tcPr>
            <w:tcW w:w="3660" w:type="dxa"/>
            <w:tcBorders>
              <w:top w:val="nil"/>
              <w:left w:val="nil"/>
              <w:bottom w:val="nil"/>
              <w:right w:val="nil"/>
            </w:tcBorders>
            <w:shd w:val="clear" w:color="auto" w:fill="auto"/>
            <w:noWrap/>
            <w:vAlign w:val="bottom"/>
            <w:hideMark/>
          </w:tcPr>
          <w:p w14:paraId="4DCBD4C2" w14:textId="22BBD331" w:rsidR="006F32B8" w:rsidRPr="003E0DE3" w:rsidRDefault="00BA63E5" w:rsidP="00DC2007">
            <w:pPr>
              <w:spacing w:after="0" w:line="240" w:lineRule="auto"/>
              <w:rPr>
                <w:rFonts w:ascii="Calibri" w:eastAsia="Times New Roman" w:hAnsi="Calibri" w:cs="Times New Roman"/>
                <w:sz w:val="19"/>
                <w:szCs w:val="19"/>
                <w:lang w:eastAsia="pl-PL"/>
              </w:rPr>
            </w:pPr>
            <w:r w:rsidRPr="003E0DE3">
              <w:rPr>
                <w:rFonts w:ascii="Calibri" w:hAnsi="Calibri"/>
                <w:sz w:val="19"/>
                <w:szCs w:val="19"/>
              </w:rPr>
              <w:t>Zachodniopomorskie</w:t>
            </w:r>
          </w:p>
        </w:tc>
        <w:tc>
          <w:tcPr>
            <w:tcW w:w="1466" w:type="dxa"/>
            <w:tcBorders>
              <w:top w:val="nil"/>
              <w:left w:val="nil"/>
              <w:bottom w:val="nil"/>
              <w:right w:val="nil"/>
            </w:tcBorders>
            <w:vAlign w:val="bottom"/>
          </w:tcPr>
          <w:p w14:paraId="1FADE993" w14:textId="323D60E5" w:rsidR="006F32B8" w:rsidRPr="006F32B8" w:rsidRDefault="006F32B8" w:rsidP="00DC2007">
            <w:pPr>
              <w:spacing w:after="0" w:line="240" w:lineRule="auto"/>
              <w:jc w:val="right"/>
              <w:rPr>
                <w:rFonts w:ascii="Calibri" w:hAnsi="Calibri"/>
                <w:sz w:val="19"/>
                <w:szCs w:val="19"/>
              </w:rPr>
            </w:pPr>
            <w:r w:rsidRPr="006F32B8">
              <w:rPr>
                <w:rFonts w:ascii="Calibri" w:hAnsi="Calibri"/>
                <w:sz w:val="19"/>
                <w:szCs w:val="19"/>
              </w:rPr>
              <w:t>98 289</w:t>
            </w:r>
          </w:p>
        </w:tc>
        <w:tc>
          <w:tcPr>
            <w:tcW w:w="1468" w:type="dxa"/>
            <w:tcBorders>
              <w:top w:val="nil"/>
              <w:left w:val="nil"/>
              <w:bottom w:val="nil"/>
              <w:right w:val="single" w:sz="4" w:space="0" w:color="auto"/>
            </w:tcBorders>
            <w:shd w:val="clear" w:color="auto" w:fill="auto"/>
            <w:noWrap/>
            <w:vAlign w:val="bottom"/>
            <w:hideMark/>
          </w:tcPr>
          <w:p w14:paraId="6DE670BC" w14:textId="77777777" w:rsidR="006F32B8" w:rsidRPr="003E0DE3" w:rsidRDefault="006F32B8" w:rsidP="00DC2007">
            <w:pPr>
              <w:spacing w:after="0" w:line="240" w:lineRule="auto"/>
              <w:jc w:val="right"/>
              <w:rPr>
                <w:rFonts w:ascii="Calibri" w:eastAsia="Times New Roman" w:hAnsi="Calibri" w:cs="Times New Roman"/>
                <w:sz w:val="19"/>
                <w:szCs w:val="19"/>
                <w:lang w:eastAsia="pl-PL"/>
              </w:rPr>
            </w:pPr>
            <w:r w:rsidRPr="003E0DE3">
              <w:rPr>
                <w:rFonts w:ascii="Calibri" w:hAnsi="Calibri"/>
                <w:sz w:val="19"/>
                <w:szCs w:val="19"/>
              </w:rPr>
              <w:t>122 340</w:t>
            </w:r>
          </w:p>
        </w:tc>
        <w:tc>
          <w:tcPr>
            <w:tcW w:w="1270" w:type="dxa"/>
            <w:tcBorders>
              <w:top w:val="nil"/>
              <w:left w:val="single" w:sz="4" w:space="0" w:color="auto"/>
              <w:bottom w:val="nil"/>
              <w:right w:val="nil"/>
            </w:tcBorders>
            <w:vAlign w:val="bottom"/>
          </w:tcPr>
          <w:p w14:paraId="3C7FCF50" w14:textId="165B3FD2" w:rsidR="006F32B8" w:rsidRPr="006F32B8" w:rsidRDefault="006F32B8" w:rsidP="00DC2007">
            <w:pPr>
              <w:spacing w:after="0" w:line="240" w:lineRule="auto"/>
              <w:jc w:val="right"/>
              <w:rPr>
                <w:rFonts w:ascii="Calibri" w:hAnsi="Calibri"/>
                <w:sz w:val="19"/>
                <w:szCs w:val="19"/>
              </w:rPr>
            </w:pPr>
            <w:r w:rsidRPr="006F32B8">
              <w:rPr>
                <w:rFonts w:ascii="Calibri" w:hAnsi="Calibri"/>
                <w:sz w:val="19"/>
                <w:szCs w:val="19"/>
              </w:rPr>
              <w:t>66,3%</w:t>
            </w:r>
          </w:p>
        </w:tc>
        <w:tc>
          <w:tcPr>
            <w:tcW w:w="1367" w:type="dxa"/>
            <w:tcBorders>
              <w:top w:val="nil"/>
              <w:left w:val="nil"/>
              <w:bottom w:val="nil"/>
              <w:right w:val="nil"/>
            </w:tcBorders>
            <w:vAlign w:val="bottom"/>
          </w:tcPr>
          <w:p w14:paraId="0E410303" w14:textId="77777777" w:rsidR="006F32B8" w:rsidRPr="003E0DE3" w:rsidRDefault="006F32B8" w:rsidP="00DC2007">
            <w:pPr>
              <w:spacing w:after="0" w:line="240" w:lineRule="auto"/>
              <w:jc w:val="right"/>
              <w:rPr>
                <w:rFonts w:ascii="Calibri" w:hAnsi="Calibri"/>
                <w:sz w:val="19"/>
                <w:szCs w:val="19"/>
              </w:rPr>
            </w:pPr>
            <w:r w:rsidRPr="003E0DE3">
              <w:rPr>
                <w:rFonts w:ascii="Calibri" w:hAnsi="Calibri"/>
                <w:sz w:val="19"/>
                <w:szCs w:val="19"/>
              </w:rPr>
              <w:t>67,2%</w:t>
            </w:r>
          </w:p>
        </w:tc>
      </w:tr>
      <w:tr w:rsidR="006F32B8" w:rsidRPr="003E0DE3" w14:paraId="16D2F8CD" w14:textId="77777777" w:rsidTr="00DC2007">
        <w:trPr>
          <w:trHeight w:val="194"/>
          <w:jc w:val="center"/>
        </w:trPr>
        <w:tc>
          <w:tcPr>
            <w:tcW w:w="3660" w:type="dxa"/>
            <w:tcBorders>
              <w:top w:val="nil"/>
              <w:left w:val="nil"/>
              <w:bottom w:val="nil"/>
              <w:right w:val="nil"/>
            </w:tcBorders>
            <w:shd w:val="clear" w:color="auto" w:fill="auto"/>
            <w:noWrap/>
            <w:vAlign w:val="bottom"/>
            <w:hideMark/>
          </w:tcPr>
          <w:p w14:paraId="503FD04E" w14:textId="4A6626C3" w:rsidR="006F32B8" w:rsidRPr="003E0DE3" w:rsidRDefault="00BA63E5" w:rsidP="00DC2007">
            <w:pPr>
              <w:spacing w:after="0" w:line="240" w:lineRule="auto"/>
              <w:rPr>
                <w:rFonts w:ascii="Calibri" w:eastAsia="Times New Roman" w:hAnsi="Calibri" w:cs="Times New Roman"/>
                <w:sz w:val="19"/>
                <w:szCs w:val="19"/>
                <w:lang w:eastAsia="pl-PL"/>
              </w:rPr>
            </w:pPr>
            <w:r w:rsidRPr="003E0DE3">
              <w:rPr>
                <w:rFonts w:ascii="Calibri" w:hAnsi="Calibri"/>
                <w:sz w:val="19"/>
                <w:szCs w:val="19"/>
              </w:rPr>
              <w:t>Wielkopolskie</w:t>
            </w:r>
          </w:p>
        </w:tc>
        <w:tc>
          <w:tcPr>
            <w:tcW w:w="1466" w:type="dxa"/>
            <w:tcBorders>
              <w:top w:val="nil"/>
              <w:left w:val="nil"/>
              <w:bottom w:val="nil"/>
              <w:right w:val="nil"/>
            </w:tcBorders>
            <w:vAlign w:val="bottom"/>
          </w:tcPr>
          <w:p w14:paraId="3B271288" w14:textId="59927265" w:rsidR="006F32B8" w:rsidRPr="006F32B8" w:rsidRDefault="006F32B8" w:rsidP="00DC2007">
            <w:pPr>
              <w:spacing w:after="0" w:line="240" w:lineRule="auto"/>
              <w:jc w:val="right"/>
              <w:rPr>
                <w:rFonts w:ascii="Calibri" w:hAnsi="Calibri"/>
                <w:sz w:val="19"/>
                <w:szCs w:val="19"/>
              </w:rPr>
            </w:pPr>
            <w:r w:rsidRPr="006F32B8">
              <w:rPr>
                <w:rFonts w:ascii="Calibri" w:hAnsi="Calibri"/>
                <w:sz w:val="19"/>
                <w:szCs w:val="19"/>
              </w:rPr>
              <w:t>94 816</w:t>
            </w:r>
          </w:p>
        </w:tc>
        <w:tc>
          <w:tcPr>
            <w:tcW w:w="1468" w:type="dxa"/>
            <w:tcBorders>
              <w:top w:val="nil"/>
              <w:left w:val="nil"/>
              <w:bottom w:val="nil"/>
              <w:right w:val="single" w:sz="4" w:space="0" w:color="auto"/>
            </w:tcBorders>
            <w:shd w:val="clear" w:color="auto" w:fill="auto"/>
            <w:noWrap/>
            <w:vAlign w:val="bottom"/>
            <w:hideMark/>
          </w:tcPr>
          <w:p w14:paraId="64FECF35" w14:textId="77777777" w:rsidR="006F32B8" w:rsidRPr="003E0DE3" w:rsidRDefault="006F32B8" w:rsidP="00DC2007">
            <w:pPr>
              <w:spacing w:after="0" w:line="240" w:lineRule="auto"/>
              <w:jc w:val="right"/>
              <w:rPr>
                <w:rFonts w:ascii="Calibri" w:eastAsia="Times New Roman" w:hAnsi="Calibri" w:cs="Times New Roman"/>
                <w:sz w:val="19"/>
                <w:szCs w:val="19"/>
                <w:lang w:eastAsia="pl-PL"/>
              </w:rPr>
            </w:pPr>
            <w:r w:rsidRPr="003E0DE3">
              <w:rPr>
                <w:rFonts w:ascii="Calibri" w:hAnsi="Calibri"/>
                <w:sz w:val="19"/>
                <w:szCs w:val="19"/>
              </w:rPr>
              <w:t>120 182</w:t>
            </w:r>
          </w:p>
        </w:tc>
        <w:tc>
          <w:tcPr>
            <w:tcW w:w="1270" w:type="dxa"/>
            <w:tcBorders>
              <w:top w:val="nil"/>
              <w:left w:val="single" w:sz="4" w:space="0" w:color="auto"/>
              <w:bottom w:val="nil"/>
              <w:right w:val="nil"/>
            </w:tcBorders>
            <w:vAlign w:val="bottom"/>
          </w:tcPr>
          <w:p w14:paraId="1E60225C" w14:textId="74D08619" w:rsidR="006F32B8" w:rsidRPr="006F32B8" w:rsidRDefault="006F32B8" w:rsidP="00DC2007">
            <w:pPr>
              <w:spacing w:after="0" w:line="240" w:lineRule="auto"/>
              <w:jc w:val="right"/>
              <w:rPr>
                <w:rFonts w:ascii="Calibri" w:hAnsi="Calibri"/>
                <w:sz w:val="19"/>
                <w:szCs w:val="19"/>
              </w:rPr>
            </w:pPr>
            <w:r w:rsidRPr="006F32B8">
              <w:rPr>
                <w:rFonts w:ascii="Calibri" w:hAnsi="Calibri"/>
                <w:sz w:val="19"/>
                <w:szCs w:val="19"/>
              </w:rPr>
              <w:t>63,5%</w:t>
            </w:r>
          </w:p>
        </w:tc>
        <w:tc>
          <w:tcPr>
            <w:tcW w:w="1367" w:type="dxa"/>
            <w:tcBorders>
              <w:top w:val="nil"/>
              <w:left w:val="nil"/>
              <w:bottom w:val="nil"/>
              <w:right w:val="nil"/>
            </w:tcBorders>
            <w:vAlign w:val="bottom"/>
          </w:tcPr>
          <w:p w14:paraId="6912F1CB" w14:textId="77777777" w:rsidR="006F32B8" w:rsidRPr="003E0DE3" w:rsidRDefault="006F32B8" w:rsidP="00DC2007">
            <w:pPr>
              <w:spacing w:after="0" w:line="240" w:lineRule="auto"/>
              <w:jc w:val="right"/>
              <w:rPr>
                <w:rFonts w:ascii="Calibri" w:hAnsi="Calibri"/>
                <w:sz w:val="19"/>
                <w:szCs w:val="19"/>
              </w:rPr>
            </w:pPr>
            <w:r w:rsidRPr="003E0DE3">
              <w:rPr>
                <w:rFonts w:ascii="Calibri" w:hAnsi="Calibri"/>
                <w:sz w:val="19"/>
                <w:szCs w:val="19"/>
              </w:rPr>
              <w:t>66,0%</w:t>
            </w:r>
          </w:p>
        </w:tc>
      </w:tr>
      <w:tr w:rsidR="006F32B8" w:rsidRPr="003E0DE3" w14:paraId="54C847AB" w14:textId="77777777" w:rsidTr="00DC2007">
        <w:trPr>
          <w:trHeight w:val="194"/>
          <w:jc w:val="center"/>
        </w:trPr>
        <w:tc>
          <w:tcPr>
            <w:tcW w:w="3660" w:type="dxa"/>
            <w:tcBorders>
              <w:top w:val="nil"/>
              <w:left w:val="nil"/>
              <w:bottom w:val="nil"/>
              <w:right w:val="nil"/>
            </w:tcBorders>
            <w:shd w:val="clear" w:color="auto" w:fill="auto"/>
            <w:noWrap/>
            <w:vAlign w:val="bottom"/>
            <w:hideMark/>
          </w:tcPr>
          <w:p w14:paraId="369F9435" w14:textId="691205B7" w:rsidR="006F32B8" w:rsidRPr="003E0DE3" w:rsidRDefault="00BA63E5" w:rsidP="00DC2007">
            <w:pPr>
              <w:spacing w:after="0" w:line="240" w:lineRule="auto"/>
              <w:rPr>
                <w:rFonts w:ascii="Calibri" w:eastAsia="Times New Roman" w:hAnsi="Calibri" w:cs="Times New Roman"/>
                <w:sz w:val="19"/>
                <w:szCs w:val="19"/>
                <w:lang w:eastAsia="pl-PL"/>
              </w:rPr>
            </w:pPr>
            <w:r w:rsidRPr="003E0DE3">
              <w:rPr>
                <w:rFonts w:ascii="Calibri" w:hAnsi="Calibri"/>
                <w:sz w:val="19"/>
                <w:szCs w:val="19"/>
              </w:rPr>
              <w:t>Opolskie</w:t>
            </w:r>
          </w:p>
        </w:tc>
        <w:tc>
          <w:tcPr>
            <w:tcW w:w="1466" w:type="dxa"/>
            <w:tcBorders>
              <w:top w:val="nil"/>
              <w:left w:val="nil"/>
              <w:bottom w:val="nil"/>
              <w:right w:val="nil"/>
            </w:tcBorders>
            <w:vAlign w:val="bottom"/>
          </w:tcPr>
          <w:p w14:paraId="230596E3" w14:textId="1B21495C" w:rsidR="006F32B8" w:rsidRPr="006F32B8" w:rsidRDefault="006F32B8" w:rsidP="00DC2007">
            <w:pPr>
              <w:spacing w:after="0" w:line="240" w:lineRule="auto"/>
              <w:jc w:val="right"/>
              <w:rPr>
                <w:rFonts w:ascii="Calibri" w:hAnsi="Calibri"/>
                <w:sz w:val="19"/>
                <w:szCs w:val="19"/>
              </w:rPr>
            </w:pPr>
            <w:r w:rsidRPr="006F32B8">
              <w:rPr>
                <w:rFonts w:ascii="Calibri" w:hAnsi="Calibri"/>
                <w:sz w:val="19"/>
                <w:szCs w:val="19"/>
              </w:rPr>
              <w:t>94 548</w:t>
            </w:r>
          </w:p>
        </w:tc>
        <w:tc>
          <w:tcPr>
            <w:tcW w:w="1468" w:type="dxa"/>
            <w:tcBorders>
              <w:top w:val="nil"/>
              <w:left w:val="nil"/>
              <w:bottom w:val="nil"/>
              <w:right w:val="single" w:sz="4" w:space="0" w:color="auto"/>
            </w:tcBorders>
            <w:shd w:val="clear" w:color="auto" w:fill="auto"/>
            <w:noWrap/>
            <w:vAlign w:val="bottom"/>
            <w:hideMark/>
          </w:tcPr>
          <w:p w14:paraId="287A4FF1" w14:textId="77777777" w:rsidR="006F32B8" w:rsidRPr="003E0DE3" w:rsidRDefault="006F32B8" w:rsidP="00DC2007">
            <w:pPr>
              <w:spacing w:after="0" w:line="240" w:lineRule="auto"/>
              <w:jc w:val="right"/>
              <w:rPr>
                <w:rFonts w:ascii="Calibri" w:eastAsia="Times New Roman" w:hAnsi="Calibri" w:cs="Times New Roman"/>
                <w:sz w:val="19"/>
                <w:szCs w:val="19"/>
                <w:lang w:eastAsia="pl-PL"/>
              </w:rPr>
            </w:pPr>
            <w:r w:rsidRPr="003E0DE3">
              <w:rPr>
                <w:rFonts w:ascii="Calibri" w:hAnsi="Calibri"/>
                <w:sz w:val="19"/>
                <w:szCs w:val="19"/>
              </w:rPr>
              <w:t>117 765</w:t>
            </w:r>
          </w:p>
        </w:tc>
        <w:tc>
          <w:tcPr>
            <w:tcW w:w="1270" w:type="dxa"/>
            <w:tcBorders>
              <w:top w:val="nil"/>
              <w:left w:val="single" w:sz="4" w:space="0" w:color="auto"/>
              <w:bottom w:val="nil"/>
              <w:right w:val="nil"/>
            </w:tcBorders>
            <w:vAlign w:val="bottom"/>
          </w:tcPr>
          <w:p w14:paraId="7759A358" w14:textId="0D6886B9" w:rsidR="006F32B8" w:rsidRPr="006F32B8" w:rsidRDefault="006F32B8" w:rsidP="00DC2007">
            <w:pPr>
              <w:spacing w:after="0" w:line="240" w:lineRule="auto"/>
              <w:jc w:val="right"/>
              <w:rPr>
                <w:rFonts w:ascii="Calibri" w:hAnsi="Calibri"/>
                <w:sz w:val="19"/>
                <w:szCs w:val="19"/>
              </w:rPr>
            </w:pPr>
            <w:r w:rsidRPr="006F32B8">
              <w:rPr>
                <w:rFonts w:ascii="Calibri" w:hAnsi="Calibri"/>
                <w:sz w:val="19"/>
                <w:szCs w:val="19"/>
              </w:rPr>
              <w:t>63,0%</w:t>
            </w:r>
          </w:p>
        </w:tc>
        <w:tc>
          <w:tcPr>
            <w:tcW w:w="1367" w:type="dxa"/>
            <w:tcBorders>
              <w:top w:val="nil"/>
              <w:left w:val="nil"/>
              <w:bottom w:val="nil"/>
              <w:right w:val="nil"/>
            </w:tcBorders>
            <w:vAlign w:val="bottom"/>
          </w:tcPr>
          <w:p w14:paraId="44DC5C28" w14:textId="77777777" w:rsidR="006F32B8" w:rsidRPr="003E0DE3" w:rsidRDefault="006F32B8" w:rsidP="00DC2007">
            <w:pPr>
              <w:spacing w:after="0" w:line="240" w:lineRule="auto"/>
              <w:jc w:val="right"/>
              <w:rPr>
                <w:rFonts w:ascii="Calibri" w:hAnsi="Calibri"/>
                <w:sz w:val="19"/>
                <w:szCs w:val="19"/>
              </w:rPr>
            </w:pPr>
            <w:r w:rsidRPr="003E0DE3">
              <w:rPr>
                <w:rFonts w:ascii="Calibri" w:hAnsi="Calibri"/>
                <w:sz w:val="19"/>
                <w:szCs w:val="19"/>
              </w:rPr>
              <w:t>64,7%</w:t>
            </w:r>
          </w:p>
        </w:tc>
      </w:tr>
      <w:tr w:rsidR="006F32B8" w:rsidRPr="003E0DE3" w14:paraId="0BDAEC53" w14:textId="77777777" w:rsidTr="00DC2007">
        <w:trPr>
          <w:trHeight w:val="194"/>
          <w:jc w:val="center"/>
        </w:trPr>
        <w:tc>
          <w:tcPr>
            <w:tcW w:w="3660" w:type="dxa"/>
            <w:tcBorders>
              <w:top w:val="nil"/>
              <w:left w:val="nil"/>
              <w:bottom w:val="nil"/>
              <w:right w:val="nil"/>
            </w:tcBorders>
            <w:shd w:val="clear" w:color="auto" w:fill="auto"/>
            <w:noWrap/>
            <w:vAlign w:val="bottom"/>
            <w:hideMark/>
          </w:tcPr>
          <w:p w14:paraId="22723C7F" w14:textId="7B880FDD" w:rsidR="006F32B8" w:rsidRPr="003E0DE3" w:rsidRDefault="00BA63E5" w:rsidP="00DC2007">
            <w:pPr>
              <w:spacing w:after="0" w:line="240" w:lineRule="auto"/>
              <w:rPr>
                <w:rFonts w:ascii="Calibri" w:eastAsia="Times New Roman" w:hAnsi="Calibri" w:cs="Times New Roman"/>
                <w:sz w:val="19"/>
                <w:szCs w:val="19"/>
                <w:lang w:eastAsia="pl-PL"/>
              </w:rPr>
            </w:pPr>
            <w:r w:rsidRPr="003E0DE3">
              <w:rPr>
                <w:rFonts w:ascii="Calibri" w:hAnsi="Calibri"/>
                <w:sz w:val="19"/>
                <w:szCs w:val="19"/>
              </w:rPr>
              <w:t>Lubuskie</w:t>
            </w:r>
          </w:p>
        </w:tc>
        <w:tc>
          <w:tcPr>
            <w:tcW w:w="1466" w:type="dxa"/>
            <w:tcBorders>
              <w:top w:val="nil"/>
              <w:left w:val="nil"/>
              <w:bottom w:val="nil"/>
              <w:right w:val="nil"/>
            </w:tcBorders>
            <w:vAlign w:val="bottom"/>
          </w:tcPr>
          <w:p w14:paraId="138791A8" w14:textId="38746F48" w:rsidR="006F32B8" w:rsidRPr="006F32B8" w:rsidRDefault="006F32B8" w:rsidP="00DC2007">
            <w:pPr>
              <w:spacing w:after="0" w:line="240" w:lineRule="auto"/>
              <w:jc w:val="right"/>
              <w:rPr>
                <w:rFonts w:ascii="Calibri" w:hAnsi="Calibri"/>
                <w:sz w:val="19"/>
                <w:szCs w:val="19"/>
              </w:rPr>
            </w:pPr>
            <w:r w:rsidRPr="006F32B8">
              <w:rPr>
                <w:rFonts w:ascii="Calibri" w:hAnsi="Calibri"/>
                <w:sz w:val="19"/>
                <w:szCs w:val="19"/>
              </w:rPr>
              <w:t>92 609</w:t>
            </w:r>
          </w:p>
        </w:tc>
        <w:tc>
          <w:tcPr>
            <w:tcW w:w="1468" w:type="dxa"/>
            <w:tcBorders>
              <w:top w:val="nil"/>
              <w:left w:val="nil"/>
              <w:bottom w:val="nil"/>
              <w:right w:val="single" w:sz="4" w:space="0" w:color="auto"/>
            </w:tcBorders>
            <w:shd w:val="clear" w:color="auto" w:fill="auto"/>
            <w:noWrap/>
            <w:vAlign w:val="bottom"/>
            <w:hideMark/>
          </w:tcPr>
          <w:p w14:paraId="52EB9260" w14:textId="77777777" w:rsidR="006F32B8" w:rsidRPr="003E0DE3" w:rsidRDefault="006F32B8" w:rsidP="00DC2007">
            <w:pPr>
              <w:spacing w:after="0" w:line="240" w:lineRule="auto"/>
              <w:jc w:val="right"/>
              <w:rPr>
                <w:rFonts w:ascii="Calibri" w:eastAsia="Times New Roman" w:hAnsi="Calibri" w:cs="Times New Roman"/>
                <w:sz w:val="19"/>
                <w:szCs w:val="19"/>
                <w:lang w:eastAsia="pl-PL"/>
              </w:rPr>
            </w:pPr>
            <w:r w:rsidRPr="003E0DE3">
              <w:rPr>
                <w:rFonts w:ascii="Calibri" w:hAnsi="Calibri"/>
                <w:sz w:val="19"/>
                <w:szCs w:val="19"/>
              </w:rPr>
              <w:t>116 987</w:t>
            </w:r>
          </w:p>
        </w:tc>
        <w:tc>
          <w:tcPr>
            <w:tcW w:w="1270" w:type="dxa"/>
            <w:tcBorders>
              <w:top w:val="nil"/>
              <w:left w:val="single" w:sz="4" w:space="0" w:color="auto"/>
              <w:bottom w:val="nil"/>
              <w:right w:val="nil"/>
            </w:tcBorders>
            <w:vAlign w:val="bottom"/>
          </w:tcPr>
          <w:p w14:paraId="325B5D7E" w14:textId="26646BA9" w:rsidR="006F32B8" w:rsidRPr="006F32B8" w:rsidRDefault="006F32B8" w:rsidP="00DC2007">
            <w:pPr>
              <w:spacing w:after="0" w:line="240" w:lineRule="auto"/>
              <w:jc w:val="right"/>
              <w:rPr>
                <w:rFonts w:ascii="Calibri" w:hAnsi="Calibri"/>
                <w:sz w:val="19"/>
                <w:szCs w:val="19"/>
              </w:rPr>
            </w:pPr>
            <w:r w:rsidRPr="006F32B8">
              <w:rPr>
                <w:rFonts w:ascii="Calibri" w:hAnsi="Calibri"/>
                <w:sz w:val="19"/>
                <w:szCs w:val="19"/>
              </w:rPr>
              <w:t>62,6%</w:t>
            </w:r>
          </w:p>
        </w:tc>
        <w:tc>
          <w:tcPr>
            <w:tcW w:w="1367" w:type="dxa"/>
            <w:tcBorders>
              <w:top w:val="nil"/>
              <w:left w:val="nil"/>
              <w:bottom w:val="nil"/>
              <w:right w:val="nil"/>
            </w:tcBorders>
            <w:vAlign w:val="bottom"/>
          </w:tcPr>
          <w:p w14:paraId="761E84D6" w14:textId="77777777" w:rsidR="006F32B8" w:rsidRPr="003E0DE3" w:rsidRDefault="006F32B8" w:rsidP="00DC2007">
            <w:pPr>
              <w:spacing w:after="0" w:line="240" w:lineRule="auto"/>
              <w:jc w:val="right"/>
              <w:rPr>
                <w:rFonts w:ascii="Calibri" w:hAnsi="Calibri"/>
                <w:sz w:val="19"/>
                <w:szCs w:val="19"/>
              </w:rPr>
            </w:pPr>
            <w:r w:rsidRPr="003E0DE3">
              <w:rPr>
                <w:rFonts w:ascii="Calibri" w:hAnsi="Calibri"/>
                <w:sz w:val="19"/>
                <w:szCs w:val="19"/>
              </w:rPr>
              <w:t>64,3%</w:t>
            </w:r>
          </w:p>
        </w:tc>
      </w:tr>
      <w:tr w:rsidR="006F32B8" w:rsidRPr="003E0DE3" w14:paraId="12788AC8" w14:textId="77777777" w:rsidTr="00DC2007">
        <w:trPr>
          <w:trHeight w:val="194"/>
          <w:jc w:val="center"/>
        </w:trPr>
        <w:tc>
          <w:tcPr>
            <w:tcW w:w="3660" w:type="dxa"/>
            <w:tcBorders>
              <w:top w:val="nil"/>
              <w:left w:val="nil"/>
              <w:bottom w:val="nil"/>
              <w:right w:val="nil"/>
            </w:tcBorders>
            <w:shd w:val="clear" w:color="auto" w:fill="auto"/>
            <w:noWrap/>
            <w:vAlign w:val="bottom"/>
            <w:hideMark/>
          </w:tcPr>
          <w:p w14:paraId="68A8D2E3" w14:textId="10C9D23E" w:rsidR="006F32B8" w:rsidRPr="003E0DE3" w:rsidRDefault="00BA63E5" w:rsidP="00DC2007">
            <w:pPr>
              <w:spacing w:after="0" w:line="240" w:lineRule="auto"/>
              <w:rPr>
                <w:rFonts w:ascii="Calibri" w:eastAsia="Times New Roman" w:hAnsi="Calibri" w:cs="Times New Roman"/>
                <w:sz w:val="19"/>
                <w:szCs w:val="19"/>
                <w:lang w:eastAsia="pl-PL"/>
              </w:rPr>
            </w:pPr>
            <w:r w:rsidRPr="003E0DE3">
              <w:rPr>
                <w:rFonts w:ascii="Calibri" w:hAnsi="Calibri"/>
                <w:sz w:val="19"/>
                <w:szCs w:val="19"/>
              </w:rPr>
              <w:t>Mazowiecki regionalny</w:t>
            </w:r>
          </w:p>
        </w:tc>
        <w:tc>
          <w:tcPr>
            <w:tcW w:w="1466" w:type="dxa"/>
            <w:tcBorders>
              <w:top w:val="nil"/>
              <w:left w:val="nil"/>
              <w:bottom w:val="nil"/>
              <w:right w:val="nil"/>
            </w:tcBorders>
            <w:vAlign w:val="bottom"/>
          </w:tcPr>
          <w:p w14:paraId="2FAF4B26" w14:textId="0C8506E7" w:rsidR="006F32B8" w:rsidRPr="006F32B8" w:rsidRDefault="006F32B8" w:rsidP="00DC2007">
            <w:pPr>
              <w:spacing w:after="0" w:line="240" w:lineRule="auto"/>
              <w:jc w:val="right"/>
              <w:rPr>
                <w:rFonts w:ascii="Calibri" w:hAnsi="Calibri"/>
                <w:sz w:val="19"/>
                <w:szCs w:val="19"/>
              </w:rPr>
            </w:pPr>
            <w:r w:rsidRPr="006F32B8">
              <w:rPr>
                <w:rFonts w:ascii="Calibri" w:hAnsi="Calibri"/>
                <w:sz w:val="19"/>
                <w:szCs w:val="19"/>
              </w:rPr>
              <w:t>90 199</w:t>
            </w:r>
          </w:p>
        </w:tc>
        <w:tc>
          <w:tcPr>
            <w:tcW w:w="1468" w:type="dxa"/>
            <w:tcBorders>
              <w:top w:val="nil"/>
              <w:left w:val="nil"/>
              <w:bottom w:val="nil"/>
              <w:right w:val="single" w:sz="4" w:space="0" w:color="auto"/>
            </w:tcBorders>
            <w:shd w:val="clear" w:color="auto" w:fill="auto"/>
            <w:noWrap/>
            <w:vAlign w:val="bottom"/>
            <w:hideMark/>
          </w:tcPr>
          <w:p w14:paraId="72E2ADDE" w14:textId="77777777" w:rsidR="006F32B8" w:rsidRPr="003E0DE3" w:rsidRDefault="006F32B8" w:rsidP="00DC2007">
            <w:pPr>
              <w:spacing w:after="0" w:line="240" w:lineRule="auto"/>
              <w:jc w:val="right"/>
              <w:rPr>
                <w:rFonts w:ascii="Calibri" w:eastAsia="Times New Roman" w:hAnsi="Calibri" w:cs="Times New Roman"/>
                <w:sz w:val="19"/>
                <w:szCs w:val="19"/>
                <w:lang w:eastAsia="pl-PL"/>
              </w:rPr>
            </w:pPr>
            <w:r w:rsidRPr="003E0DE3">
              <w:rPr>
                <w:rFonts w:ascii="Calibri" w:hAnsi="Calibri"/>
                <w:sz w:val="19"/>
                <w:szCs w:val="19"/>
              </w:rPr>
              <w:t>113 368</w:t>
            </w:r>
          </w:p>
        </w:tc>
        <w:tc>
          <w:tcPr>
            <w:tcW w:w="1270" w:type="dxa"/>
            <w:tcBorders>
              <w:top w:val="nil"/>
              <w:left w:val="single" w:sz="4" w:space="0" w:color="auto"/>
              <w:bottom w:val="nil"/>
              <w:right w:val="nil"/>
            </w:tcBorders>
            <w:vAlign w:val="bottom"/>
          </w:tcPr>
          <w:p w14:paraId="7D351F45" w14:textId="3BECD456" w:rsidR="006F32B8" w:rsidRPr="006F32B8" w:rsidRDefault="006F32B8" w:rsidP="00DC2007">
            <w:pPr>
              <w:spacing w:after="0" w:line="240" w:lineRule="auto"/>
              <w:jc w:val="right"/>
              <w:rPr>
                <w:rFonts w:ascii="Calibri" w:hAnsi="Calibri"/>
                <w:sz w:val="19"/>
                <w:szCs w:val="19"/>
              </w:rPr>
            </w:pPr>
            <w:r w:rsidRPr="006F32B8">
              <w:rPr>
                <w:rFonts w:ascii="Calibri" w:hAnsi="Calibri"/>
                <w:sz w:val="19"/>
                <w:szCs w:val="19"/>
              </w:rPr>
              <w:t>60,6%</w:t>
            </w:r>
          </w:p>
        </w:tc>
        <w:tc>
          <w:tcPr>
            <w:tcW w:w="1367" w:type="dxa"/>
            <w:tcBorders>
              <w:top w:val="nil"/>
              <w:left w:val="nil"/>
              <w:bottom w:val="nil"/>
              <w:right w:val="nil"/>
            </w:tcBorders>
            <w:vAlign w:val="bottom"/>
          </w:tcPr>
          <w:p w14:paraId="79FDA38E" w14:textId="77777777" w:rsidR="006F32B8" w:rsidRPr="003E0DE3" w:rsidRDefault="006F32B8" w:rsidP="00DC2007">
            <w:pPr>
              <w:spacing w:after="0" w:line="240" w:lineRule="auto"/>
              <w:jc w:val="right"/>
              <w:rPr>
                <w:rFonts w:ascii="Calibri" w:hAnsi="Calibri"/>
                <w:sz w:val="19"/>
                <w:szCs w:val="19"/>
              </w:rPr>
            </w:pPr>
            <w:r w:rsidRPr="003E0DE3">
              <w:rPr>
                <w:rFonts w:ascii="Calibri" w:hAnsi="Calibri"/>
                <w:sz w:val="19"/>
                <w:szCs w:val="19"/>
              </w:rPr>
              <w:t>62,3%</w:t>
            </w:r>
          </w:p>
        </w:tc>
      </w:tr>
      <w:tr w:rsidR="006F32B8" w:rsidRPr="003E0DE3" w14:paraId="6CEBE597" w14:textId="77777777" w:rsidTr="00DC2007">
        <w:trPr>
          <w:trHeight w:val="194"/>
          <w:jc w:val="center"/>
        </w:trPr>
        <w:tc>
          <w:tcPr>
            <w:tcW w:w="3660" w:type="dxa"/>
            <w:tcBorders>
              <w:top w:val="nil"/>
              <w:left w:val="nil"/>
              <w:bottom w:val="nil"/>
              <w:right w:val="nil"/>
            </w:tcBorders>
            <w:shd w:val="clear" w:color="auto" w:fill="auto"/>
            <w:noWrap/>
            <w:vAlign w:val="bottom"/>
            <w:hideMark/>
          </w:tcPr>
          <w:p w14:paraId="3570C870" w14:textId="15A4F27D" w:rsidR="006F32B8" w:rsidRPr="003E0DE3" w:rsidRDefault="00BA63E5" w:rsidP="00DC2007">
            <w:pPr>
              <w:spacing w:after="0" w:line="240" w:lineRule="auto"/>
              <w:rPr>
                <w:rFonts w:ascii="Calibri" w:eastAsia="Times New Roman" w:hAnsi="Calibri" w:cs="Times New Roman"/>
                <w:sz w:val="19"/>
                <w:szCs w:val="19"/>
                <w:lang w:eastAsia="pl-PL"/>
              </w:rPr>
            </w:pPr>
            <w:r w:rsidRPr="003E0DE3">
              <w:rPr>
                <w:rFonts w:ascii="Calibri" w:hAnsi="Calibri"/>
                <w:sz w:val="19"/>
                <w:szCs w:val="19"/>
              </w:rPr>
              <w:t>Łódzkie</w:t>
            </w:r>
          </w:p>
        </w:tc>
        <w:tc>
          <w:tcPr>
            <w:tcW w:w="1466" w:type="dxa"/>
            <w:tcBorders>
              <w:top w:val="nil"/>
              <w:left w:val="nil"/>
              <w:bottom w:val="nil"/>
              <w:right w:val="nil"/>
            </w:tcBorders>
            <w:vAlign w:val="bottom"/>
          </w:tcPr>
          <w:p w14:paraId="42C649DA" w14:textId="0588537D" w:rsidR="006F32B8" w:rsidRPr="006F32B8" w:rsidRDefault="006F32B8" w:rsidP="00DC2007">
            <w:pPr>
              <w:spacing w:after="0" w:line="240" w:lineRule="auto"/>
              <w:jc w:val="right"/>
              <w:rPr>
                <w:rFonts w:ascii="Calibri" w:hAnsi="Calibri"/>
                <w:sz w:val="19"/>
                <w:szCs w:val="19"/>
              </w:rPr>
            </w:pPr>
            <w:r w:rsidRPr="006F32B8">
              <w:rPr>
                <w:rFonts w:ascii="Calibri" w:hAnsi="Calibri"/>
                <w:sz w:val="19"/>
                <w:szCs w:val="19"/>
              </w:rPr>
              <w:t>88 149</w:t>
            </w:r>
          </w:p>
        </w:tc>
        <w:tc>
          <w:tcPr>
            <w:tcW w:w="1468" w:type="dxa"/>
            <w:tcBorders>
              <w:top w:val="nil"/>
              <w:left w:val="nil"/>
              <w:bottom w:val="nil"/>
              <w:right w:val="single" w:sz="4" w:space="0" w:color="auto"/>
            </w:tcBorders>
            <w:shd w:val="clear" w:color="auto" w:fill="auto"/>
            <w:noWrap/>
            <w:vAlign w:val="bottom"/>
            <w:hideMark/>
          </w:tcPr>
          <w:p w14:paraId="4C0C0FE1" w14:textId="77777777" w:rsidR="006F32B8" w:rsidRPr="003E0DE3" w:rsidRDefault="006F32B8" w:rsidP="00DC2007">
            <w:pPr>
              <w:spacing w:after="0" w:line="240" w:lineRule="auto"/>
              <w:jc w:val="right"/>
              <w:rPr>
                <w:rFonts w:ascii="Calibri" w:eastAsia="Times New Roman" w:hAnsi="Calibri" w:cs="Times New Roman"/>
                <w:sz w:val="19"/>
                <w:szCs w:val="19"/>
                <w:lang w:eastAsia="pl-PL"/>
              </w:rPr>
            </w:pPr>
            <w:r w:rsidRPr="003E0DE3">
              <w:rPr>
                <w:rFonts w:ascii="Calibri" w:hAnsi="Calibri"/>
                <w:sz w:val="19"/>
                <w:szCs w:val="19"/>
              </w:rPr>
              <w:t>112 201</w:t>
            </w:r>
          </w:p>
        </w:tc>
        <w:tc>
          <w:tcPr>
            <w:tcW w:w="1270" w:type="dxa"/>
            <w:tcBorders>
              <w:top w:val="nil"/>
              <w:left w:val="single" w:sz="4" w:space="0" w:color="auto"/>
              <w:bottom w:val="nil"/>
              <w:right w:val="nil"/>
            </w:tcBorders>
            <w:vAlign w:val="bottom"/>
          </w:tcPr>
          <w:p w14:paraId="05CA02DC" w14:textId="56921870" w:rsidR="006F32B8" w:rsidRPr="006F32B8" w:rsidRDefault="006F32B8" w:rsidP="00DC2007">
            <w:pPr>
              <w:spacing w:after="0" w:line="240" w:lineRule="auto"/>
              <w:jc w:val="right"/>
              <w:rPr>
                <w:rFonts w:ascii="Calibri" w:hAnsi="Calibri"/>
                <w:sz w:val="19"/>
                <w:szCs w:val="19"/>
              </w:rPr>
            </w:pPr>
            <w:r w:rsidRPr="006F32B8">
              <w:rPr>
                <w:rFonts w:ascii="Calibri" w:hAnsi="Calibri"/>
                <w:sz w:val="19"/>
                <w:szCs w:val="19"/>
              </w:rPr>
              <w:t>59,9%</w:t>
            </w:r>
          </w:p>
        </w:tc>
        <w:tc>
          <w:tcPr>
            <w:tcW w:w="1367" w:type="dxa"/>
            <w:tcBorders>
              <w:top w:val="nil"/>
              <w:left w:val="nil"/>
              <w:bottom w:val="nil"/>
              <w:right w:val="nil"/>
            </w:tcBorders>
            <w:vAlign w:val="bottom"/>
          </w:tcPr>
          <w:p w14:paraId="31DC566A" w14:textId="77777777" w:rsidR="006F32B8" w:rsidRPr="003E0DE3" w:rsidRDefault="006F32B8" w:rsidP="00DC2007">
            <w:pPr>
              <w:spacing w:after="0" w:line="240" w:lineRule="auto"/>
              <w:jc w:val="right"/>
              <w:rPr>
                <w:rFonts w:ascii="Calibri" w:hAnsi="Calibri"/>
                <w:sz w:val="19"/>
                <w:szCs w:val="19"/>
              </w:rPr>
            </w:pPr>
            <w:r w:rsidRPr="003E0DE3">
              <w:rPr>
                <w:rFonts w:ascii="Calibri" w:hAnsi="Calibri"/>
                <w:sz w:val="19"/>
                <w:szCs w:val="19"/>
              </w:rPr>
              <w:t>61,7%</w:t>
            </w:r>
          </w:p>
        </w:tc>
      </w:tr>
      <w:tr w:rsidR="006F32B8" w:rsidRPr="003E0DE3" w14:paraId="5FB0B785" w14:textId="77777777" w:rsidTr="00DC2007">
        <w:trPr>
          <w:trHeight w:val="194"/>
          <w:jc w:val="center"/>
        </w:trPr>
        <w:tc>
          <w:tcPr>
            <w:tcW w:w="3660" w:type="dxa"/>
            <w:tcBorders>
              <w:top w:val="nil"/>
              <w:left w:val="nil"/>
              <w:bottom w:val="nil"/>
              <w:right w:val="nil"/>
            </w:tcBorders>
            <w:shd w:val="clear" w:color="auto" w:fill="auto"/>
            <w:noWrap/>
            <w:vAlign w:val="bottom"/>
            <w:hideMark/>
          </w:tcPr>
          <w:p w14:paraId="30D3BDD4" w14:textId="75A09109" w:rsidR="006F32B8" w:rsidRPr="003E0DE3" w:rsidRDefault="00BA63E5" w:rsidP="00DC2007">
            <w:pPr>
              <w:spacing w:after="0" w:line="240" w:lineRule="auto"/>
              <w:rPr>
                <w:rFonts w:ascii="Calibri" w:eastAsia="Times New Roman" w:hAnsi="Calibri" w:cs="Times New Roman"/>
                <w:sz w:val="19"/>
                <w:szCs w:val="19"/>
                <w:lang w:eastAsia="pl-PL"/>
              </w:rPr>
            </w:pPr>
            <w:r w:rsidRPr="003E0DE3">
              <w:rPr>
                <w:rFonts w:ascii="Calibri" w:hAnsi="Calibri"/>
                <w:sz w:val="19"/>
                <w:szCs w:val="19"/>
              </w:rPr>
              <w:t>Kujawsko-pomorskie</w:t>
            </w:r>
          </w:p>
        </w:tc>
        <w:tc>
          <w:tcPr>
            <w:tcW w:w="1466" w:type="dxa"/>
            <w:tcBorders>
              <w:top w:val="nil"/>
              <w:left w:val="nil"/>
              <w:bottom w:val="nil"/>
              <w:right w:val="nil"/>
            </w:tcBorders>
            <w:vAlign w:val="bottom"/>
          </w:tcPr>
          <w:p w14:paraId="46263E1D" w14:textId="08E506A9" w:rsidR="006F32B8" w:rsidRPr="006F32B8" w:rsidRDefault="006F32B8" w:rsidP="00DC2007">
            <w:pPr>
              <w:spacing w:after="0" w:line="240" w:lineRule="auto"/>
              <w:jc w:val="right"/>
              <w:rPr>
                <w:rFonts w:ascii="Calibri" w:hAnsi="Calibri"/>
                <w:sz w:val="19"/>
                <w:szCs w:val="19"/>
              </w:rPr>
            </w:pPr>
            <w:r w:rsidRPr="006F32B8">
              <w:rPr>
                <w:rFonts w:ascii="Calibri" w:hAnsi="Calibri"/>
                <w:sz w:val="19"/>
                <w:szCs w:val="19"/>
              </w:rPr>
              <w:t>87 909</w:t>
            </w:r>
          </w:p>
        </w:tc>
        <w:tc>
          <w:tcPr>
            <w:tcW w:w="1468" w:type="dxa"/>
            <w:tcBorders>
              <w:top w:val="nil"/>
              <w:left w:val="nil"/>
              <w:bottom w:val="nil"/>
              <w:right w:val="single" w:sz="4" w:space="0" w:color="auto"/>
            </w:tcBorders>
            <w:shd w:val="clear" w:color="auto" w:fill="auto"/>
            <w:noWrap/>
            <w:vAlign w:val="bottom"/>
            <w:hideMark/>
          </w:tcPr>
          <w:p w14:paraId="4429BF0B" w14:textId="77777777" w:rsidR="006F32B8" w:rsidRPr="003E0DE3" w:rsidRDefault="006F32B8" w:rsidP="00DC2007">
            <w:pPr>
              <w:spacing w:after="0" w:line="240" w:lineRule="auto"/>
              <w:jc w:val="right"/>
              <w:rPr>
                <w:rFonts w:ascii="Calibri" w:eastAsia="Times New Roman" w:hAnsi="Calibri" w:cs="Times New Roman"/>
                <w:sz w:val="19"/>
                <w:szCs w:val="19"/>
                <w:lang w:eastAsia="pl-PL"/>
              </w:rPr>
            </w:pPr>
            <w:r w:rsidRPr="003E0DE3">
              <w:rPr>
                <w:rFonts w:ascii="Calibri" w:hAnsi="Calibri"/>
                <w:sz w:val="19"/>
                <w:szCs w:val="19"/>
              </w:rPr>
              <w:t>111 937</w:t>
            </w:r>
          </w:p>
        </w:tc>
        <w:tc>
          <w:tcPr>
            <w:tcW w:w="1270" w:type="dxa"/>
            <w:tcBorders>
              <w:top w:val="nil"/>
              <w:left w:val="single" w:sz="4" w:space="0" w:color="auto"/>
              <w:bottom w:val="nil"/>
              <w:right w:val="nil"/>
            </w:tcBorders>
            <w:vAlign w:val="bottom"/>
          </w:tcPr>
          <w:p w14:paraId="1092E10A" w14:textId="19D06286" w:rsidR="006F32B8" w:rsidRPr="006F32B8" w:rsidRDefault="006F32B8" w:rsidP="00DC2007">
            <w:pPr>
              <w:spacing w:after="0" w:line="240" w:lineRule="auto"/>
              <w:jc w:val="right"/>
              <w:rPr>
                <w:rFonts w:ascii="Calibri" w:hAnsi="Calibri"/>
                <w:sz w:val="19"/>
                <w:szCs w:val="19"/>
              </w:rPr>
            </w:pPr>
            <w:r w:rsidRPr="006F32B8">
              <w:rPr>
                <w:rFonts w:ascii="Calibri" w:hAnsi="Calibri"/>
                <w:sz w:val="19"/>
                <w:szCs w:val="19"/>
              </w:rPr>
              <w:t>58,9%</w:t>
            </w:r>
          </w:p>
        </w:tc>
        <w:tc>
          <w:tcPr>
            <w:tcW w:w="1367" w:type="dxa"/>
            <w:tcBorders>
              <w:top w:val="nil"/>
              <w:left w:val="nil"/>
              <w:bottom w:val="nil"/>
              <w:right w:val="nil"/>
            </w:tcBorders>
            <w:vAlign w:val="bottom"/>
          </w:tcPr>
          <w:p w14:paraId="6DD00084" w14:textId="77777777" w:rsidR="006F32B8" w:rsidRPr="003E0DE3" w:rsidRDefault="006F32B8" w:rsidP="00DC2007">
            <w:pPr>
              <w:spacing w:after="0" w:line="240" w:lineRule="auto"/>
              <w:jc w:val="right"/>
              <w:rPr>
                <w:rFonts w:ascii="Calibri" w:hAnsi="Calibri"/>
                <w:sz w:val="19"/>
                <w:szCs w:val="19"/>
              </w:rPr>
            </w:pPr>
            <w:r w:rsidRPr="003E0DE3">
              <w:rPr>
                <w:rFonts w:ascii="Calibri" w:hAnsi="Calibri"/>
                <w:sz w:val="19"/>
                <w:szCs w:val="19"/>
              </w:rPr>
              <w:t>61,5%</w:t>
            </w:r>
          </w:p>
        </w:tc>
      </w:tr>
      <w:tr w:rsidR="006F32B8" w:rsidRPr="003E0DE3" w14:paraId="7E2D1ECE" w14:textId="77777777" w:rsidTr="00DC2007">
        <w:trPr>
          <w:trHeight w:val="194"/>
          <w:jc w:val="center"/>
        </w:trPr>
        <w:tc>
          <w:tcPr>
            <w:tcW w:w="3660" w:type="dxa"/>
            <w:tcBorders>
              <w:top w:val="nil"/>
              <w:left w:val="nil"/>
              <w:bottom w:val="nil"/>
              <w:right w:val="nil"/>
            </w:tcBorders>
            <w:shd w:val="clear" w:color="auto" w:fill="auto"/>
            <w:noWrap/>
            <w:vAlign w:val="bottom"/>
            <w:hideMark/>
          </w:tcPr>
          <w:p w14:paraId="197D54FE" w14:textId="24A1AD9B" w:rsidR="006F32B8" w:rsidRPr="003E0DE3" w:rsidRDefault="00BA63E5" w:rsidP="00DC2007">
            <w:pPr>
              <w:spacing w:after="0" w:line="240" w:lineRule="auto"/>
              <w:rPr>
                <w:rFonts w:ascii="Calibri" w:eastAsia="Times New Roman" w:hAnsi="Calibri" w:cs="Times New Roman"/>
                <w:sz w:val="19"/>
                <w:szCs w:val="19"/>
                <w:lang w:eastAsia="pl-PL"/>
              </w:rPr>
            </w:pPr>
            <w:r w:rsidRPr="003E0DE3">
              <w:rPr>
                <w:rFonts w:ascii="Calibri" w:hAnsi="Calibri"/>
                <w:sz w:val="19"/>
                <w:szCs w:val="19"/>
              </w:rPr>
              <w:t>Małopolskie</w:t>
            </w:r>
          </w:p>
        </w:tc>
        <w:tc>
          <w:tcPr>
            <w:tcW w:w="1466" w:type="dxa"/>
            <w:tcBorders>
              <w:top w:val="nil"/>
              <w:left w:val="nil"/>
              <w:bottom w:val="nil"/>
              <w:right w:val="nil"/>
            </w:tcBorders>
            <w:vAlign w:val="bottom"/>
          </w:tcPr>
          <w:p w14:paraId="7832486C" w14:textId="276FE8B4" w:rsidR="006F32B8" w:rsidRPr="006F32B8" w:rsidRDefault="006F32B8" w:rsidP="00DC2007">
            <w:pPr>
              <w:spacing w:after="0" w:line="240" w:lineRule="auto"/>
              <w:jc w:val="right"/>
              <w:rPr>
                <w:rFonts w:ascii="Calibri" w:hAnsi="Calibri"/>
                <w:sz w:val="19"/>
                <w:szCs w:val="19"/>
              </w:rPr>
            </w:pPr>
            <w:r w:rsidRPr="006F32B8">
              <w:rPr>
                <w:rFonts w:ascii="Calibri" w:hAnsi="Calibri"/>
                <w:sz w:val="19"/>
                <w:szCs w:val="19"/>
              </w:rPr>
              <w:t>86 960</w:t>
            </w:r>
          </w:p>
        </w:tc>
        <w:tc>
          <w:tcPr>
            <w:tcW w:w="1468" w:type="dxa"/>
            <w:tcBorders>
              <w:top w:val="nil"/>
              <w:left w:val="nil"/>
              <w:bottom w:val="nil"/>
              <w:right w:val="single" w:sz="4" w:space="0" w:color="auto"/>
            </w:tcBorders>
            <w:shd w:val="clear" w:color="auto" w:fill="auto"/>
            <w:noWrap/>
            <w:vAlign w:val="bottom"/>
            <w:hideMark/>
          </w:tcPr>
          <w:p w14:paraId="3C114142" w14:textId="77777777" w:rsidR="006F32B8" w:rsidRPr="003E0DE3" w:rsidRDefault="006F32B8" w:rsidP="00DC2007">
            <w:pPr>
              <w:spacing w:after="0" w:line="240" w:lineRule="auto"/>
              <w:jc w:val="right"/>
              <w:rPr>
                <w:rFonts w:ascii="Calibri" w:eastAsia="Times New Roman" w:hAnsi="Calibri" w:cs="Times New Roman"/>
                <w:sz w:val="19"/>
                <w:szCs w:val="19"/>
                <w:lang w:eastAsia="pl-PL"/>
              </w:rPr>
            </w:pPr>
            <w:r w:rsidRPr="003E0DE3">
              <w:rPr>
                <w:rFonts w:ascii="Calibri" w:hAnsi="Calibri"/>
                <w:sz w:val="19"/>
                <w:szCs w:val="19"/>
              </w:rPr>
              <w:t>110 482</w:t>
            </w:r>
          </w:p>
        </w:tc>
        <w:tc>
          <w:tcPr>
            <w:tcW w:w="1270" w:type="dxa"/>
            <w:tcBorders>
              <w:top w:val="nil"/>
              <w:left w:val="single" w:sz="4" w:space="0" w:color="auto"/>
              <w:bottom w:val="nil"/>
              <w:right w:val="nil"/>
            </w:tcBorders>
            <w:vAlign w:val="bottom"/>
          </w:tcPr>
          <w:p w14:paraId="7D015BB6" w14:textId="11E9C471" w:rsidR="006F32B8" w:rsidRPr="006F32B8" w:rsidRDefault="006F32B8" w:rsidP="00DC2007">
            <w:pPr>
              <w:spacing w:after="0" w:line="240" w:lineRule="auto"/>
              <w:jc w:val="right"/>
              <w:rPr>
                <w:rFonts w:ascii="Calibri" w:hAnsi="Calibri"/>
                <w:sz w:val="19"/>
                <w:szCs w:val="19"/>
              </w:rPr>
            </w:pPr>
            <w:r w:rsidRPr="006F32B8">
              <w:rPr>
                <w:rFonts w:ascii="Calibri" w:hAnsi="Calibri"/>
                <w:sz w:val="19"/>
                <w:szCs w:val="19"/>
              </w:rPr>
              <w:t>57,5%</w:t>
            </w:r>
          </w:p>
        </w:tc>
        <w:tc>
          <w:tcPr>
            <w:tcW w:w="1367" w:type="dxa"/>
            <w:tcBorders>
              <w:top w:val="nil"/>
              <w:left w:val="nil"/>
              <w:bottom w:val="nil"/>
              <w:right w:val="nil"/>
            </w:tcBorders>
            <w:vAlign w:val="bottom"/>
          </w:tcPr>
          <w:p w14:paraId="3828540C" w14:textId="77777777" w:rsidR="006F32B8" w:rsidRPr="003E0DE3" w:rsidRDefault="006F32B8" w:rsidP="00DC2007">
            <w:pPr>
              <w:spacing w:after="0" w:line="240" w:lineRule="auto"/>
              <w:jc w:val="right"/>
              <w:rPr>
                <w:rFonts w:ascii="Calibri" w:hAnsi="Calibri"/>
                <w:sz w:val="19"/>
                <w:szCs w:val="19"/>
              </w:rPr>
            </w:pPr>
            <w:r w:rsidRPr="003E0DE3">
              <w:rPr>
                <w:rFonts w:ascii="Calibri" w:hAnsi="Calibri"/>
                <w:sz w:val="19"/>
                <w:szCs w:val="19"/>
              </w:rPr>
              <w:t>60,7%</w:t>
            </w:r>
          </w:p>
        </w:tc>
      </w:tr>
      <w:tr w:rsidR="006F32B8" w:rsidRPr="003E0DE3" w14:paraId="39F42E7D" w14:textId="77777777" w:rsidTr="00DC2007">
        <w:trPr>
          <w:trHeight w:val="194"/>
          <w:jc w:val="center"/>
        </w:trPr>
        <w:tc>
          <w:tcPr>
            <w:tcW w:w="3660" w:type="dxa"/>
            <w:tcBorders>
              <w:top w:val="nil"/>
              <w:left w:val="nil"/>
              <w:bottom w:val="nil"/>
              <w:right w:val="nil"/>
            </w:tcBorders>
            <w:shd w:val="clear" w:color="auto" w:fill="auto"/>
            <w:noWrap/>
            <w:vAlign w:val="bottom"/>
            <w:hideMark/>
          </w:tcPr>
          <w:p w14:paraId="2403CBDC" w14:textId="7F5D7B32" w:rsidR="006F32B8" w:rsidRPr="003E0DE3" w:rsidRDefault="00BA63E5" w:rsidP="00DC2007">
            <w:pPr>
              <w:spacing w:after="0" w:line="240" w:lineRule="auto"/>
              <w:rPr>
                <w:rFonts w:ascii="Calibri" w:eastAsia="Times New Roman" w:hAnsi="Calibri" w:cs="Times New Roman"/>
                <w:sz w:val="19"/>
                <w:szCs w:val="19"/>
                <w:lang w:eastAsia="pl-PL"/>
              </w:rPr>
            </w:pPr>
            <w:r w:rsidRPr="003E0DE3">
              <w:rPr>
                <w:rFonts w:ascii="Calibri" w:hAnsi="Calibri"/>
                <w:sz w:val="19"/>
                <w:szCs w:val="19"/>
              </w:rPr>
              <w:t>Warmińsko-mazurskie</w:t>
            </w:r>
          </w:p>
        </w:tc>
        <w:tc>
          <w:tcPr>
            <w:tcW w:w="1466" w:type="dxa"/>
            <w:tcBorders>
              <w:top w:val="nil"/>
              <w:left w:val="nil"/>
              <w:bottom w:val="nil"/>
              <w:right w:val="nil"/>
            </w:tcBorders>
            <w:vAlign w:val="bottom"/>
          </w:tcPr>
          <w:p w14:paraId="40B076B0" w14:textId="0CFF0F63" w:rsidR="006F32B8" w:rsidRPr="006F32B8" w:rsidRDefault="006F32B8" w:rsidP="00DC2007">
            <w:pPr>
              <w:spacing w:after="0" w:line="240" w:lineRule="auto"/>
              <w:jc w:val="right"/>
              <w:rPr>
                <w:rFonts w:ascii="Calibri" w:hAnsi="Calibri"/>
                <w:sz w:val="19"/>
                <w:szCs w:val="19"/>
              </w:rPr>
            </w:pPr>
            <w:r w:rsidRPr="006F32B8">
              <w:rPr>
                <w:rFonts w:ascii="Calibri" w:hAnsi="Calibri"/>
                <w:sz w:val="19"/>
                <w:szCs w:val="19"/>
              </w:rPr>
              <w:t>86 834</w:t>
            </w:r>
          </w:p>
        </w:tc>
        <w:tc>
          <w:tcPr>
            <w:tcW w:w="1468" w:type="dxa"/>
            <w:tcBorders>
              <w:top w:val="nil"/>
              <w:left w:val="nil"/>
              <w:bottom w:val="nil"/>
              <w:right w:val="single" w:sz="4" w:space="0" w:color="auto"/>
            </w:tcBorders>
            <w:shd w:val="clear" w:color="auto" w:fill="auto"/>
            <w:noWrap/>
            <w:vAlign w:val="bottom"/>
            <w:hideMark/>
          </w:tcPr>
          <w:p w14:paraId="4CC60784" w14:textId="77777777" w:rsidR="006F32B8" w:rsidRPr="003E0DE3" w:rsidRDefault="006F32B8" w:rsidP="00DC2007">
            <w:pPr>
              <w:spacing w:after="0" w:line="240" w:lineRule="auto"/>
              <w:jc w:val="right"/>
              <w:rPr>
                <w:rFonts w:ascii="Calibri" w:eastAsia="Times New Roman" w:hAnsi="Calibri" w:cs="Times New Roman"/>
                <w:sz w:val="19"/>
                <w:szCs w:val="19"/>
                <w:lang w:eastAsia="pl-PL"/>
              </w:rPr>
            </w:pPr>
            <w:r w:rsidRPr="003E0DE3">
              <w:rPr>
                <w:rFonts w:ascii="Calibri" w:hAnsi="Calibri"/>
                <w:sz w:val="19"/>
                <w:szCs w:val="19"/>
              </w:rPr>
              <w:t>107 280</w:t>
            </w:r>
          </w:p>
        </w:tc>
        <w:tc>
          <w:tcPr>
            <w:tcW w:w="1270" w:type="dxa"/>
            <w:tcBorders>
              <w:top w:val="nil"/>
              <w:left w:val="single" w:sz="4" w:space="0" w:color="auto"/>
              <w:bottom w:val="nil"/>
              <w:right w:val="nil"/>
            </w:tcBorders>
            <w:vAlign w:val="bottom"/>
          </w:tcPr>
          <w:p w14:paraId="641B3B07" w14:textId="40C1E197" w:rsidR="006F32B8" w:rsidRPr="006F32B8" w:rsidRDefault="006F32B8" w:rsidP="00DC2007">
            <w:pPr>
              <w:spacing w:after="0" w:line="240" w:lineRule="auto"/>
              <w:jc w:val="right"/>
              <w:rPr>
                <w:rFonts w:ascii="Calibri" w:hAnsi="Calibri"/>
                <w:sz w:val="19"/>
                <w:szCs w:val="19"/>
              </w:rPr>
            </w:pPr>
            <w:r w:rsidRPr="006F32B8">
              <w:rPr>
                <w:rFonts w:ascii="Calibri" w:hAnsi="Calibri"/>
                <w:sz w:val="19"/>
                <w:szCs w:val="19"/>
              </w:rPr>
              <w:t>58,3%</w:t>
            </w:r>
          </w:p>
        </w:tc>
        <w:tc>
          <w:tcPr>
            <w:tcW w:w="1367" w:type="dxa"/>
            <w:tcBorders>
              <w:top w:val="nil"/>
              <w:left w:val="nil"/>
              <w:bottom w:val="nil"/>
              <w:right w:val="nil"/>
            </w:tcBorders>
            <w:vAlign w:val="bottom"/>
          </w:tcPr>
          <w:p w14:paraId="03B460DA" w14:textId="77777777" w:rsidR="006F32B8" w:rsidRPr="003E0DE3" w:rsidRDefault="006F32B8" w:rsidP="00DC2007">
            <w:pPr>
              <w:spacing w:after="0" w:line="240" w:lineRule="auto"/>
              <w:jc w:val="right"/>
              <w:rPr>
                <w:rFonts w:ascii="Calibri" w:hAnsi="Calibri"/>
                <w:sz w:val="19"/>
                <w:szCs w:val="19"/>
              </w:rPr>
            </w:pPr>
            <w:r w:rsidRPr="003E0DE3">
              <w:rPr>
                <w:rFonts w:ascii="Calibri" w:hAnsi="Calibri"/>
                <w:sz w:val="19"/>
                <w:szCs w:val="19"/>
              </w:rPr>
              <w:t>58,9%</w:t>
            </w:r>
          </w:p>
        </w:tc>
      </w:tr>
      <w:tr w:rsidR="006F32B8" w:rsidRPr="003E0DE3" w14:paraId="0D72C5AF" w14:textId="77777777" w:rsidTr="00DC2007">
        <w:trPr>
          <w:trHeight w:val="194"/>
          <w:jc w:val="center"/>
        </w:trPr>
        <w:tc>
          <w:tcPr>
            <w:tcW w:w="3660" w:type="dxa"/>
            <w:tcBorders>
              <w:top w:val="nil"/>
              <w:left w:val="nil"/>
              <w:bottom w:val="nil"/>
              <w:right w:val="nil"/>
            </w:tcBorders>
            <w:shd w:val="clear" w:color="auto" w:fill="auto"/>
            <w:noWrap/>
            <w:vAlign w:val="bottom"/>
            <w:hideMark/>
          </w:tcPr>
          <w:p w14:paraId="67A83A17" w14:textId="45F69B00" w:rsidR="006F32B8" w:rsidRPr="003E0DE3" w:rsidRDefault="00BA63E5" w:rsidP="00DC2007">
            <w:pPr>
              <w:spacing w:after="0" w:line="240" w:lineRule="auto"/>
              <w:rPr>
                <w:rFonts w:ascii="Calibri" w:eastAsia="Times New Roman" w:hAnsi="Calibri" w:cs="Times New Roman"/>
                <w:sz w:val="19"/>
                <w:szCs w:val="19"/>
                <w:lang w:eastAsia="pl-PL"/>
              </w:rPr>
            </w:pPr>
            <w:r w:rsidRPr="003E0DE3">
              <w:rPr>
                <w:rFonts w:ascii="Calibri" w:hAnsi="Calibri"/>
                <w:sz w:val="19"/>
                <w:szCs w:val="19"/>
              </w:rPr>
              <w:t>Podlaskie</w:t>
            </w:r>
          </w:p>
        </w:tc>
        <w:tc>
          <w:tcPr>
            <w:tcW w:w="1466" w:type="dxa"/>
            <w:tcBorders>
              <w:top w:val="nil"/>
              <w:left w:val="nil"/>
              <w:bottom w:val="nil"/>
              <w:right w:val="nil"/>
            </w:tcBorders>
            <w:vAlign w:val="bottom"/>
          </w:tcPr>
          <w:p w14:paraId="3BC9658A" w14:textId="3FA77741" w:rsidR="006F32B8" w:rsidRPr="006F32B8" w:rsidRDefault="006F32B8" w:rsidP="00DC2007">
            <w:pPr>
              <w:spacing w:after="0" w:line="240" w:lineRule="auto"/>
              <w:jc w:val="right"/>
              <w:rPr>
                <w:rFonts w:ascii="Calibri" w:hAnsi="Calibri"/>
                <w:sz w:val="19"/>
                <w:szCs w:val="19"/>
              </w:rPr>
            </w:pPr>
            <w:r w:rsidRPr="006F32B8">
              <w:rPr>
                <w:rFonts w:ascii="Calibri" w:hAnsi="Calibri"/>
                <w:sz w:val="19"/>
                <w:szCs w:val="19"/>
              </w:rPr>
              <w:t>78 982</w:t>
            </w:r>
          </w:p>
        </w:tc>
        <w:tc>
          <w:tcPr>
            <w:tcW w:w="1468" w:type="dxa"/>
            <w:tcBorders>
              <w:top w:val="nil"/>
              <w:left w:val="nil"/>
              <w:bottom w:val="nil"/>
              <w:right w:val="single" w:sz="4" w:space="0" w:color="auto"/>
            </w:tcBorders>
            <w:shd w:val="clear" w:color="auto" w:fill="auto"/>
            <w:noWrap/>
            <w:vAlign w:val="bottom"/>
            <w:hideMark/>
          </w:tcPr>
          <w:p w14:paraId="3849292A" w14:textId="77777777" w:rsidR="006F32B8" w:rsidRPr="003E0DE3" w:rsidRDefault="006F32B8" w:rsidP="00DC2007">
            <w:pPr>
              <w:spacing w:after="0" w:line="240" w:lineRule="auto"/>
              <w:jc w:val="right"/>
              <w:rPr>
                <w:rFonts w:ascii="Calibri" w:eastAsia="Times New Roman" w:hAnsi="Calibri" w:cs="Times New Roman"/>
                <w:sz w:val="19"/>
                <w:szCs w:val="19"/>
                <w:lang w:eastAsia="pl-PL"/>
              </w:rPr>
            </w:pPr>
            <w:r w:rsidRPr="003E0DE3">
              <w:rPr>
                <w:rFonts w:ascii="Calibri" w:hAnsi="Calibri"/>
                <w:sz w:val="19"/>
                <w:szCs w:val="19"/>
              </w:rPr>
              <w:t>97 236</w:t>
            </w:r>
          </w:p>
        </w:tc>
        <w:tc>
          <w:tcPr>
            <w:tcW w:w="1270" w:type="dxa"/>
            <w:tcBorders>
              <w:top w:val="nil"/>
              <w:left w:val="single" w:sz="4" w:space="0" w:color="auto"/>
              <w:bottom w:val="nil"/>
              <w:right w:val="nil"/>
            </w:tcBorders>
            <w:vAlign w:val="bottom"/>
          </w:tcPr>
          <w:p w14:paraId="69BCF56A" w14:textId="148084B8" w:rsidR="006F32B8" w:rsidRPr="006F32B8" w:rsidRDefault="006F32B8" w:rsidP="00DC2007">
            <w:pPr>
              <w:spacing w:after="0" w:line="240" w:lineRule="auto"/>
              <w:jc w:val="right"/>
              <w:rPr>
                <w:rFonts w:ascii="Calibri" w:hAnsi="Calibri"/>
                <w:sz w:val="19"/>
                <w:szCs w:val="19"/>
              </w:rPr>
            </w:pPr>
            <w:r w:rsidRPr="006F32B8">
              <w:rPr>
                <w:rFonts w:ascii="Calibri" w:hAnsi="Calibri"/>
                <w:sz w:val="19"/>
                <w:szCs w:val="19"/>
              </w:rPr>
              <w:t>52,0%</w:t>
            </w:r>
          </w:p>
        </w:tc>
        <w:tc>
          <w:tcPr>
            <w:tcW w:w="1367" w:type="dxa"/>
            <w:tcBorders>
              <w:top w:val="nil"/>
              <w:left w:val="nil"/>
              <w:bottom w:val="nil"/>
              <w:right w:val="nil"/>
            </w:tcBorders>
            <w:vAlign w:val="bottom"/>
          </w:tcPr>
          <w:p w14:paraId="111FD673" w14:textId="77777777" w:rsidR="006F32B8" w:rsidRPr="003E0DE3" w:rsidRDefault="006F32B8" w:rsidP="00DC2007">
            <w:pPr>
              <w:spacing w:after="0" w:line="240" w:lineRule="auto"/>
              <w:jc w:val="right"/>
              <w:rPr>
                <w:rFonts w:ascii="Calibri" w:hAnsi="Calibri"/>
                <w:sz w:val="19"/>
                <w:szCs w:val="19"/>
              </w:rPr>
            </w:pPr>
            <w:r w:rsidRPr="003E0DE3">
              <w:rPr>
                <w:rFonts w:ascii="Calibri" w:hAnsi="Calibri"/>
                <w:sz w:val="19"/>
                <w:szCs w:val="19"/>
              </w:rPr>
              <w:t>53,4%</w:t>
            </w:r>
          </w:p>
        </w:tc>
      </w:tr>
      <w:tr w:rsidR="006F32B8" w:rsidRPr="003E0DE3" w14:paraId="33FC75F3" w14:textId="77777777" w:rsidTr="00DC2007">
        <w:trPr>
          <w:trHeight w:val="194"/>
          <w:jc w:val="center"/>
        </w:trPr>
        <w:tc>
          <w:tcPr>
            <w:tcW w:w="3660" w:type="dxa"/>
            <w:tcBorders>
              <w:top w:val="nil"/>
              <w:left w:val="nil"/>
              <w:bottom w:val="nil"/>
              <w:right w:val="nil"/>
            </w:tcBorders>
            <w:shd w:val="clear" w:color="auto" w:fill="auto"/>
            <w:noWrap/>
            <w:vAlign w:val="bottom"/>
            <w:hideMark/>
          </w:tcPr>
          <w:p w14:paraId="07167E21" w14:textId="7BFFA78F" w:rsidR="006F32B8" w:rsidRPr="003E0DE3" w:rsidRDefault="00BA63E5" w:rsidP="00DC2007">
            <w:pPr>
              <w:spacing w:after="0" w:line="240" w:lineRule="auto"/>
              <w:rPr>
                <w:rFonts w:ascii="Calibri" w:eastAsia="Times New Roman" w:hAnsi="Calibri" w:cs="Times New Roman"/>
                <w:sz w:val="19"/>
                <w:szCs w:val="19"/>
                <w:lang w:eastAsia="pl-PL"/>
              </w:rPr>
            </w:pPr>
            <w:r w:rsidRPr="003E0DE3">
              <w:rPr>
                <w:rFonts w:ascii="Calibri" w:hAnsi="Calibri"/>
                <w:sz w:val="19"/>
                <w:szCs w:val="19"/>
              </w:rPr>
              <w:t>Świętokrzyskie</w:t>
            </w:r>
          </w:p>
        </w:tc>
        <w:tc>
          <w:tcPr>
            <w:tcW w:w="1466" w:type="dxa"/>
            <w:tcBorders>
              <w:top w:val="nil"/>
              <w:left w:val="nil"/>
              <w:bottom w:val="nil"/>
              <w:right w:val="nil"/>
            </w:tcBorders>
            <w:vAlign w:val="bottom"/>
          </w:tcPr>
          <w:p w14:paraId="04F16A45" w14:textId="33FA7378" w:rsidR="006F32B8" w:rsidRPr="006F32B8" w:rsidRDefault="006F32B8" w:rsidP="00DC2007">
            <w:pPr>
              <w:spacing w:after="0" w:line="240" w:lineRule="auto"/>
              <w:jc w:val="right"/>
              <w:rPr>
                <w:rFonts w:ascii="Calibri" w:hAnsi="Calibri"/>
                <w:sz w:val="19"/>
                <w:szCs w:val="19"/>
              </w:rPr>
            </w:pPr>
            <w:r w:rsidRPr="006F32B8">
              <w:rPr>
                <w:rFonts w:ascii="Calibri" w:hAnsi="Calibri"/>
                <w:sz w:val="19"/>
                <w:szCs w:val="19"/>
              </w:rPr>
              <w:t>76 320</w:t>
            </w:r>
          </w:p>
        </w:tc>
        <w:tc>
          <w:tcPr>
            <w:tcW w:w="1468" w:type="dxa"/>
            <w:tcBorders>
              <w:top w:val="nil"/>
              <w:left w:val="nil"/>
              <w:bottom w:val="nil"/>
              <w:right w:val="single" w:sz="4" w:space="0" w:color="auto"/>
            </w:tcBorders>
            <w:shd w:val="clear" w:color="auto" w:fill="auto"/>
            <w:noWrap/>
            <w:vAlign w:val="bottom"/>
            <w:hideMark/>
          </w:tcPr>
          <w:p w14:paraId="3C8687F9" w14:textId="77777777" w:rsidR="006F32B8" w:rsidRPr="003E0DE3" w:rsidRDefault="006F32B8" w:rsidP="00DC2007">
            <w:pPr>
              <w:spacing w:after="0" w:line="240" w:lineRule="auto"/>
              <w:jc w:val="right"/>
              <w:rPr>
                <w:rFonts w:ascii="Calibri" w:eastAsia="Times New Roman" w:hAnsi="Calibri" w:cs="Times New Roman"/>
                <w:sz w:val="19"/>
                <w:szCs w:val="19"/>
                <w:lang w:eastAsia="pl-PL"/>
              </w:rPr>
            </w:pPr>
            <w:r w:rsidRPr="003E0DE3">
              <w:rPr>
                <w:rFonts w:ascii="Calibri" w:hAnsi="Calibri"/>
                <w:sz w:val="19"/>
                <w:szCs w:val="19"/>
              </w:rPr>
              <w:t>94 066</w:t>
            </w:r>
          </w:p>
        </w:tc>
        <w:tc>
          <w:tcPr>
            <w:tcW w:w="1270" w:type="dxa"/>
            <w:tcBorders>
              <w:top w:val="nil"/>
              <w:left w:val="single" w:sz="4" w:space="0" w:color="auto"/>
              <w:bottom w:val="nil"/>
              <w:right w:val="nil"/>
            </w:tcBorders>
            <w:vAlign w:val="bottom"/>
          </w:tcPr>
          <w:p w14:paraId="101B2A0F" w14:textId="6C03D03B" w:rsidR="006F32B8" w:rsidRPr="006F32B8" w:rsidRDefault="006F32B8" w:rsidP="00DC2007">
            <w:pPr>
              <w:spacing w:after="0" w:line="240" w:lineRule="auto"/>
              <w:jc w:val="right"/>
              <w:rPr>
                <w:rFonts w:ascii="Calibri" w:hAnsi="Calibri"/>
                <w:sz w:val="19"/>
                <w:szCs w:val="19"/>
              </w:rPr>
            </w:pPr>
            <w:r w:rsidRPr="006F32B8">
              <w:rPr>
                <w:rFonts w:ascii="Calibri" w:hAnsi="Calibri"/>
                <w:sz w:val="19"/>
                <w:szCs w:val="19"/>
              </w:rPr>
              <w:t>50,6%</w:t>
            </w:r>
          </w:p>
        </w:tc>
        <w:tc>
          <w:tcPr>
            <w:tcW w:w="1367" w:type="dxa"/>
            <w:tcBorders>
              <w:top w:val="nil"/>
              <w:left w:val="nil"/>
              <w:bottom w:val="nil"/>
              <w:right w:val="nil"/>
            </w:tcBorders>
            <w:vAlign w:val="bottom"/>
          </w:tcPr>
          <w:p w14:paraId="7D2949AD" w14:textId="77777777" w:rsidR="006F32B8" w:rsidRPr="003E0DE3" w:rsidRDefault="006F32B8" w:rsidP="00DC2007">
            <w:pPr>
              <w:spacing w:after="0" w:line="240" w:lineRule="auto"/>
              <w:jc w:val="right"/>
              <w:rPr>
                <w:rFonts w:ascii="Calibri" w:hAnsi="Calibri"/>
                <w:sz w:val="19"/>
                <w:szCs w:val="19"/>
              </w:rPr>
            </w:pPr>
            <w:r w:rsidRPr="003E0DE3">
              <w:rPr>
                <w:rFonts w:ascii="Calibri" w:hAnsi="Calibri"/>
                <w:sz w:val="19"/>
                <w:szCs w:val="19"/>
              </w:rPr>
              <w:t>51,7%</w:t>
            </w:r>
          </w:p>
        </w:tc>
      </w:tr>
      <w:tr w:rsidR="006F32B8" w:rsidRPr="003E0DE3" w14:paraId="481BA6EF" w14:textId="77777777" w:rsidTr="00DC2007">
        <w:trPr>
          <w:trHeight w:val="194"/>
          <w:jc w:val="center"/>
        </w:trPr>
        <w:tc>
          <w:tcPr>
            <w:tcW w:w="3660" w:type="dxa"/>
            <w:tcBorders>
              <w:top w:val="nil"/>
              <w:left w:val="nil"/>
              <w:bottom w:val="nil"/>
              <w:right w:val="nil"/>
            </w:tcBorders>
            <w:shd w:val="clear" w:color="auto" w:fill="auto"/>
            <w:noWrap/>
            <w:vAlign w:val="bottom"/>
            <w:hideMark/>
          </w:tcPr>
          <w:p w14:paraId="7745A7BE" w14:textId="4310BFD1" w:rsidR="006F32B8" w:rsidRPr="003E0DE3" w:rsidRDefault="00BA63E5" w:rsidP="00DC2007">
            <w:pPr>
              <w:spacing w:after="0" w:line="240" w:lineRule="auto"/>
              <w:rPr>
                <w:rFonts w:ascii="Calibri" w:eastAsia="Times New Roman" w:hAnsi="Calibri" w:cs="Times New Roman"/>
                <w:sz w:val="19"/>
                <w:szCs w:val="19"/>
                <w:lang w:eastAsia="pl-PL"/>
              </w:rPr>
            </w:pPr>
            <w:r w:rsidRPr="003E0DE3">
              <w:rPr>
                <w:rFonts w:ascii="Calibri" w:hAnsi="Calibri"/>
                <w:sz w:val="19"/>
                <w:szCs w:val="19"/>
              </w:rPr>
              <w:t>Podkarpackie</w:t>
            </w:r>
          </w:p>
        </w:tc>
        <w:tc>
          <w:tcPr>
            <w:tcW w:w="1466" w:type="dxa"/>
            <w:tcBorders>
              <w:top w:val="nil"/>
              <w:left w:val="nil"/>
              <w:bottom w:val="nil"/>
              <w:right w:val="nil"/>
            </w:tcBorders>
            <w:vAlign w:val="bottom"/>
          </w:tcPr>
          <w:p w14:paraId="46411444" w14:textId="08FF0817" w:rsidR="006F32B8" w:rsidRPr="006F32B8" w:rsidRDefault="006F32B8" w:rsidP="00DC2007">
            <w:pPr>
              <w:spacing w:after="0" w:line="240" w:lineRule="auto"/>
              <w:jc w:val="right"/>
              <w:rPr>
                <w:rFonts w:ascii="Calibri" w:hAnsi="Calibri"/>
                <w:sz w:val="19"/>
                <w:szCs w:val="19"/>
              </w:rPr>
            </w:pPr>
            <w:r w:rsidRPr="006F32B8">
              <w:rPr>
                <w:rFonts w:ascii="Calibri" w:hAnsi="Calibri"/>
                <w:sz w:val="19"/>
                <w:szCs w:val="19"/>
              </w:rPr>
              <w:t>72 150</w:t>
            </w:r>
          </w:p>
        </w:tc>
        <w:tc>
          <w:tcPr>
            <w:tcW w:w="1468" w:type="dxa"/>
            <w:tcBorders>
              <w:top w:val="nil"/>
              <w:left w:val="nil"/>
              <w:bottom w:val="nil"/>
              <w:right w:val="single" w:sz="4" w:space="0" w:color="auto"/>
            </w:tcBorders>
            <w:shd w:val="clear" w:color="auto" w:fill="auto"/>
            <w:noWrap/>
            <w:vAlign w:val="bottom"/>
            <w:hideMark/>
          </w:tcPr>
          <w:p w14:paraId="49B35270" w14:textId="77777777" w:rsidR="006F32B8" w:rsidRPr="003E0DE3" w:rsidRDefault="006F32B8" w:rsidP="00DC2007">
            <w:pPr>
              <w:spacing w:after="0" w:line="240" w:lineRule="auto"/>
              <w:jc w:val="right"/>
              <w:rPr>
                <w:rFonts w:ascii="Calibri" w:eastAsia="Times New Roman" w:hAnsi="Calibri" w:cs="Times New Roman"/>
                <w:sz w:val="19"/>
                <w:szCs w:val="19"/>
                <w:lang w:eastAsia="pl-PL"/>
              </w:rPr>
            </w:pPr>
            <w:r w:rsidRPr="003E0DE3">
              <w:rPr>
                <w:rFonts w:ascii="Calibri" w:hAnsi="Calibri"/>
                <w:sz w:val="19"/>
                <w:szCs w:val="19"/>
              </w:rPr>
              <w:t>92 512</w:t>
            </w:r>
          </w:p>
        </w:tc>
        <w:tc>
          <w:tcPr>
            <w:tcW w:w="1270" w:type="dxa"/>
            <w:tcBorders>
              <w:top w:val="nil"/>
              <w:left w:val="single" w:sz="4" w:space="0" w:color="auto"/>
              <w:bottom w:val="nil"/>
              <w:right w:val="nil"/>
            </w:tcBorders>
            <w:vAlign w:val="bottom"/>
          </w:tcPr>
          <w:p w14:paraId="7F6E7570" w14:textId="7DE33D19" w:rsidR="006F32B8" w:rsidRPr="006F32B8" w:rsidRDefault="006F32B8" w:rsidP="00DC2007">
            <w:pPr>
              <w:spacing w:after="0" w:line="240" w:lineRule="auto"/>
              <w:jc w:val="right"/>
              <w:rPr>
                <w:rFonts w:ascii="Calibri" w:hAnsi="Calibri"/>
                <w:sz w:val="19"/>
                <w:szCs w:val="19"/>
              </w:rPr>
            </w:pPr>
            <w:r w:rsidRPr="006F32B8">
              <w:rPr>
                <w:rFonts w:ascii="Calibri" w:hAnsi="Calibri"/>
                <w:sz w:val="19"/>
                <w:szCs w:val="19"/>
              </w:rPr>
              <w:t>48,2%</w:t>
            </w:r>
          </w:p>
        </w:tc>
        <w:tc>
          <w:tcPr>
            <w:tcW w:w="1367" w:type="dxa"/>
            <w:tcBorders>
              <w:top w:val="nil"/>
              <w:left w:val="nil"/>
              <w:bottom w:val="nil"/>
              <w:right w:val="nil"/>
            </w:tcBorders>
            <w:vAlign w:val="bottom"/>
          </w:tcPr>
          <w:p w14:paraId="4B9C5953" w14:textId="77777777" w:rsidR="006F32B8" w:rsidRPr="003E0DE3" w:rsidRDefault="006F32B8" w:rsidP="00DC2007">
            <w:pPr>
              <w:spacing w:after="0" w:line="240" w:lineRule="auto"/>
              <w:jc w:val="right"/>
              <w:rPr>
                <w:rFonts w:ascii="Calibri" w:hAnsi="Calibri"/>
                <w:sz w:val="19"/>
                <w:szCs w:val="19"/>
              </w:rPr>
            </w:pPr>
            <w:r w:rsidRPr="003E0DE3">
              <w:rPr>
                <w:rFonts w:ascii="Calibri" w:hAnsi="Calibri"/>
                <w:sz w:val="19"/>
                <w:szCs w:val="19"/>
              </w:rPr>
              <w:t>50,8%</w:t>
            </w:r>
          </w:p>
        </w:tc>
      </w:tr>
      <w:tr w:rsidR="006F32B8" w:rsidRPr="003E0DE3" w14:paraId="20417F6D" w14:textId="77777777" w:rsidTr="00DC2007">
        <w:trPr>
          <w:trHeight w:val="194"/>
          <w:jc w:val="center"/>
        </w:trPr>
        <w:tc>
          <w:tcPr>
            <w:tcW w:w="3660" w:type="dxa"/>
            <w:tcBorders>
              <w:top w:val="nil"/>
              <w:left w:val="nil"/>
              <w:bottom w:val="nil"/>
              <w:right w:val="nil"/>
            </w:tcBorders>
            <w:shd w:val="clear" w:color="auto" w:fill="auto"/>
            <w:noWrap/>
            <w:vAlign w:val="bottom"/>
          </w:tcPr>
          <w:p w14:paraId="67DFFA3C" w14:textId="10F14DA9" w:rsidR="006F32B8" w:rsidRPr="003E0DE3" w:rsidRDefault="00BA63E5" w:rsidP="00DC2007">
            <w:pPr>
              <w:spacing w:after="0" w:line="240" w:lineRule="auto"/>
              <w:rPr>
                <w:rFonts w:ascii="Calibri" w:eastAsia="Times New Roman" w:hAnsi="Calibri" w:cs="Times New Roman"/>
                <w:sz w:val="19"/>
                <w:szCs w:val="19"/>
                <w:lang w:eastAsia="pl-PL"/>
              </w:rPr>
            </w:pPr>
            <w:r w:rsidRPr="003E0DE3">
              <w:rPr>
                <w:rFonts w:ascii="Calibri" w:hAnsi="Calibri"/>
                <w:sz w:val="19"/>
                <w:szCs w:val="19"/>
              </w:rPr>
              <w:t>Lubelskie</w:t>
            </w:r>
          </w:p>
        </w:tc>
        <w:tc>
          <w:tcPr>
            <w:tcW w:w="1466" w:type="dxa"/>
            <w:tcBorders>
              <w:top w:val="nil"/>
              <w:left w:val="nil"/>
              <w:bottom w:val="nil"/>
              <w:right w:val="nil"/>
            </w:tcBorders>
            <w:vAlign w:val="bottom"/>
          </w:tcPr>
          <w:p w14:paraId="168FC0B7" w14:textId="2856E2EA" w:rsidR="006F32B8" w:rsidRPr="003E0DE3" w:rsidRDefault="006F32B8" w:rsidP="00DC2007">
            <w:pPr>
              <w:spacing w:after="0" w:line="240" w:lineRule="auto"/>
              <w:jc w:val="right"/>
              <w:rPr>
                <w:rFonts w:ascii="Calibri" w:hAnsi="Calibri"/>
                <w:sz w:val="19"/>
                <w:szCs w:val="19"/>
              </w:rPr>
            </w:pPr>
            <w:r w:rsidRPr="006F32B8">
              <w:rPr>
                <w:rFonts w:ascii="Calibri" w:hAnsi="Calibri"/>
                <w:sz w:val="19"/>
                <w:szCs w:val="19"/>
              </w:rPr>
              <w:t>70 742</w:t>
            </w:r>
          </w:p>
        </w:tc>
        <w:tc>
          <w:tcPr>
            <w:tcW w:w="1468" w:type="dxa"/>
            <w:tcBorders>
              <w:top w:val="nil"/>
              <w:left w:val="nil"/>
              <w:bottom w:val="nil"/>
              <w:right w:val="single" w:sz="4" w:space="0" w:color="auto"/>
            </w:tcBorders>
            <w:shd w:val="clear" w:color="auto" w:fill="auto"/>
            <w:noWrap/>
            <w:vAlign w:val="bottom"/>
          </w:tcPr>
          <w:p w14:paraId="23E0FC0E" w14:textId="77777777" w:rsidR="006F32B8" w:rsidRPr="003E0DE3" w:rsidRDefault="006F32B8" w:rsidP="00DC2007">
            <w:pPr>
              <w:spacing w:after="0" w:line="240" w:lineRule="auto"/>
              <w:jc w:val="right"/>
              <w:rPr>
                <w:rFonts w:ascii="Calibri" w:eastAsia="Times New Roman" w:hAnsi="Calibri" w:cs="Times New Roman"/>
                <w:sz w:val="19"/>
                <w:szCs w:val="19"/>
                <w:lang w:eastAsia="pl-PL"/>
              </w:rPr>
            </w:pPr>
            <w:r w:rsidRPr="003E0DE3">
              <w:rPr>
                <w:rFonts w:ascii="Calibri" w:hAnsi="Calibri"/>
                <w:sz w:val="19"/>
                <w:szCs w:val="19"/>
              </w:rPr>
              <w:t>88 072</w:t>
            </w:r>
          </w:p>
        </w:tc>
        <w:tc>
          <w:tcPr>
            <w:tcW w:w="1270" w:type="dxa"/>
            <w:tcBorders>
              <w:top w:val="nil"/>
              <w:left w:val="single" w:sz="4" w:space="0" w:color="auto"/>
              <w:bottom w:val="nil"/>
              <w:right w:val="nil"/>
            </w:tcBorders>
            <w:vAlign w:val="bottom"/>
          </w:tcPr>
          <w:p w14:paraId="09327B2F" w14:textId="0B5FA5D2" w:rsidR="006F32B8" w:rsidRPr="003E0DE3" w:rsidRDefault="006F32B8" w:rsidP="00DC2007">
            <w:pPr>
              <w:spacing w:after="0" w:line="240" w:lineRule="auto"/>
              <w:jc w:val="right"/>
              <w:rPr>
                <w:rFonts w:ascii="Calibri" w:hAnsi="Calibri"/>
                <w:sz w:val="19"/>
                <w:szCs w:val="19"/>
              </w:rPr>
            </w:pPr>
            <w:r w:rsidRPr="006F32B8">
              <w:rPr>
                <w:rFonts w:ascii="Calibri" w:hAnsi="Calibri"/>
                <w:sz w:val="19"/>
                <w:szCs w:val="19"/>
              </w:rPr>
              <w:t>47,8%</w:t>
            </w:r>
          </w:p>
        </w:tc>
        <w:tc>
          <w:tcPr>
            <w:tcW w:w="1367" w:type="dxa"/>
            <w:tcBorders>
              <w:top w:val="nil"/>
              <w:left w:val="nil"/>
              <w:bottom w:val="nil"/>
              <w:right w:val="nil"/>
            </w:tcBorders>
            <w:vAlign w:val="bottom"/>
          </w:tcPr>
          <w:p w14:paraId="70AC623C" w14:textId="77777777" w:rsidR="006F32B8" w:rsidRPr="003E0DE3" w:rsidRDefault="006F32B8" w:rsidP="00DC2007">
            <w:pPr>
              <w:spacing w:after="0" w:line="240" w:lineRule="auto"/>
              <w:jc w:val="right"/>
              <w:rPr>
                <w:rFonts w:ascii="Calibri" w:hAnsi="Calibri"/>
                <w:sz w:val="19"/>
                <w:szCs w:val="19"/>
              </w:rPr>
            </w:pPr>
            <w:r w:rsidRPr="003E0DE3">
              <w:rPr>
                <w:rFonts w:ascii="Calibri" w:hAnsi="Calibri"/>
                <w:sz w:val="19"/>
                <w:szCs w:val="19"/>
              </w:rPr>
              <w:t>48,4%</w:t>
            </w:r>
          </w:p>
        </w:tc>
      </w:tr>
    </w:tbl>
    <w:p w14:paraId="33D383C0" w14:textId="77777777" w:rsidR="00162B67" w:rsidRDefault="00162B67" w:rsidP="00472FD3">
      <w:pPr>
        <w:pStyle w:val="Bezodstpw"/>
      </w:pPr>
    </w:p>
    <w:p w14:paraId="75A7845A" w14:textId="00F45DC9" w:rsidR="00472FD3" w:rsidRDefault="00472FD3" w:rsidP="00472FD3">
      <w:pPr>
        <w:pStyle w:val="Bezodstpw"/>
      </w:pPr>
      <w:r>
        <w:t xml:space="preserve">Źródło: Opracowanie </w:t>
      </w:r>
      <w:r w:rsidR="003A56DA">
        <w:t>MRiT</w:t>
      </w:r>
      <w:r>
        <w:t xml:space="preserve"> na podstawie danych GUS</w:t>
      </w:r>
    </w:p>
    <w:p w14:paraId="1805BE20" w14:textId="32B196F9" w:rsidR="00FD6B65" w:rsidRPr="00FD6B65" w:rsidRDefault="00FD6B65" w:rsidP="00FD6B65">
      <w:r w:rsidRPr="00FD6B65">
        <w:t xml:space="preserve">Zróżnicowanie wartości dodanej brutto na pracującego (miary produktywności) jest wysokie pomiędzy poszczególnymi regionami Polski. Największą wartość wykazuje w tym względzie region warszawski stołeczny, </w:t>
      </w:r>
      <w:r w:rsidRPr="00FD6B65">
        <w:lastRenderedPageBreak/>
        <w:t>obejmujący Warszawę i przyległe powiaty. Najmniej produktywne województwo –</w:t>
      </w:r>
      <w:r w:rsidR="00162B67">
        <w:t xml:space="preserve"> </w:t>
      </w:r>
      <w:r w:rsidRPr="00FD6B65">
        <w:t>lubelskie – osiąg</w:t>
      </w:r>
      <w:r w:rsidR="00162B67">
        <w:t>nęło</w:t>
      </w:r>
      <w:r w:rsidRPr="00FD6B65">
        <w:t xml:space="preserve"> w 2018 r</w:t>
      </w:r>
      <w:r w:rsidR="00162B67">
        <w:t>oku</w:t>
      </w:r>
      <w:r w:rsidRPr="00FD6B65">
        <w:t xml:space="preserve"> mniej niż połowę (48,4%) wartości dodanej produkowanej przez pracującego w regionie warszawskim stołecznym.</w:t>
      </w:r>
      <w:r>
        <w:t xml:space="preserve"> </w:t>
      </w:r>
      <w:r w:rsidRPr="00FD6B65">
        <w:t>Pomiędzy rokiem 201</w:t>
      </w:r>
      <w:r w:rsidR="006F32B8">
        <w:t>1</w:t>
      </w:r>
      <w:r w:rsidRPr="00FD6B65">
        <w:t xml:space="preserve"> a 2018 różnica w poziomie produktywności pomiędzy regionem warszawskim stołecznym a większością regionów nieznacznie się zmniejszyła (maksymalnie o </w:t>
      </w:r>
      <w:r w:rsidR="006F32B8">
        <w:t>3,3</w:t>
      </w:r>
      <w:r w:rsidRPr="00FD6B65">
        <w:t xml:space="preserve"> pkt. proc.)</w:t>
      </w:r>
    </w:p>
    <w:p w14:paraId="7F893B57" w14:textId="74F0667F" w:rsidR="00BA66A7" w:rsidRDefault="00BA66A7" w:rsidP="00276338">
      <w:pPr>
        <w:pStyle w:val="Nagwek4"/>
      </w:pPr>
      <w:r>
        <w:t xml:space="preserve">Wykres </w:t>
      </w:r>
      <w:r w:rsidR="003B19BC">
        <w:t>14</w:t>
      </w:r>
      <w:r w:rsidR="00FF72E5">
        <w:t>.</w:t>
      </w:r>
      <w:r>
        <w:t xml:space="preserve"> </w:t>
      </w:r>
      <w:r w:rsidRPr="00E1640F">
        <w:t>Nakłady inwestycyjne w 2018 r. w</w:t>
      </w:r>
      <w:r w:rsidR="00162B67">
        <w:t>edłu</w:t>
      </w:r>
      <w:r w:rsidRPr="00E1640F">
        <w:t>g regionów Polski</w:t>
      </w:r>
    </w:p>
    <w:p w14:paraId="032D83F5" w14:textId="70361462" w:rsidR="00BA66A7" w:rsidRDefault="00BA66A7" w:rsidP="00A833F3">
      <w:r>
        <w:rPr>
          <w:noProof/>
          <w:lang w:eastAsia="pl-PL"/>
        </w:rPr>
        <w:drawing>
          <wp:inline distT="0" distB="0" distL="0" distR="0" wp14:anchorId="1AB6FCF3" wp14:editId="7912B82C">
            <wp:extent cx="2790825" cy="2404110"/>
            <wp:effectExtent l="0" t="0" r="9525"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a:extLst>
                        <a:ext uri="{28A0092B-C50C-407E-A947-70E740481C1C}">
                          <a14:useLocalDpi xmlns:a14="http://schemas.microsoft.com/office/drawing/2010/main" val="0"/>
                        </a:ext>
                      </a:extLst>
                    </a:blip>
                    <a:srcRect t="13974" r="52414"/>
                    <a:stretch/>
                  </pic:blipFill>
                  <pic:spPr bwMode="auto">
                    <a:xfrm>
                      <a:off x="0" y="0"/>
                      <a:ext cx="2798408" cy="2410642"/>
                    </a:xfrm>
                    <a:prstGeom prst="rect">
                      <a:avLst/>
                    </a:prstGeom>
                    <a:noFill/>
                    <a:ln>
                      <a:noFill/>
                    </a:ln>
                    <a:extLst>
                      <a:ext uri="{53640926-AAD7-44D8-BBD7-CCE9431645EC}">
                        <a14:shadowObscured xmlns:a14="http://schemas.microsoft.com/office/drawing/2010/main"/>
                      </a:ext>
                    </a:extLst>
                  </pic:spPr>
                </pic:pic>
              </a:graphicData>
            </a:graphic>
          </wp:inline>
        </w:drawing>
      </w:r>
    </w:p>
    <w:p w14:paraId="57A0B256" w14:textId="77777777" w:rsidR="007C783D" w:rsidRDefault="007C783D" w:rsidP="00BA66A7">
      <w:pPr>
        <w:pStyle w:val="Bezodstpw"/>
      </w:pPr>
    </w:p>
    <w:p w14:paraId="6B77D9C4" w14:textId="77777777" w:rsidR="00BA66A7" w:rsidRPr="00185938" w:rsidRDefault="00BA66A7" w:rsidP="00BA66A7">
      <w:pPr>
        <w:pStyle w:val="Bezodstpw"/>
      </w:pPr>
      <w:r>
        <w:t xml:space="preserve">Źródło: </w:t>
      </w:r>
      <w:r>
        <w:rPr>
          <w:iCs/>
        </w:rPr>
        <w:t>Regiony Polski 2020</w:t>
      </w:r>
      <w:r>
        <w:t>, GUS</w:t>
      </w:r>
    </w:p>
    <w:p w14:paraId="6AC85465" w14:textId="6639C73A" w:rsidR="00311B4A" w:rsidRDefault="00311B4A" w:rsidP="00311B4A">
      <w:pPr>
        <w:pStyle w:val="Nagwek4"/>
      </w:pPr>
      <w:r>
        <w:t>Mapa 3. Nakłady inwestycyjne w 2018 r. w przeliczen</w:t>
      </w:r>
      <w:r w:rsidR="00A32838">
        <w:t>iu na jednego mieszkańca według</w:t>
      </w:r>
      <w:r>
        <w:t xml:space="preserve"> regionów Polski</w:t>
      </w:r>
    </w:p>
    <w:p w14:paraId="225AA972" w14:textId="77777777" w:rsidR="00311B4A" w:rsidRDefault="00311B4A" w:rsidP="00311B4A">
      <w:r>
        <w:rPr>
          <w:noProof/>
          <w:lang w:eastAsia="pl-PL"/>
        </w:rPr>
        <w:drawing>
          <wp:inline distT="0" distB="0" distL="0" distR="0" wp14:anchorId="5F7097D4" wp14:editId="7D7D76DB">
            <wp:extent cx="2884805" cy="2452396"/>
            <wp:effectExtent l="0" t="0" r="0" b="5080"/>
            <wp:docPr id="25" name="Obraz 25"/>
            <wp:cNvGraphicFramePr/>
            <a:graphic xmlns:a="http://schemas.openxmlformats.org/drawingml/2006/main">
              <a:graphicData uri="http://schemas.openxmlformats.org/drawingml/2006/picture">
                <pic:pic xmlns:pic="http://schemas.openxmlformats.org/drawingml/2006/picture">
                  <pic:nvPicPr>
                    <pic:cNvPr id="12" name="Obraz 12"/>
                    <pic:cNvPicPr/>
                  </pic:nvPicPr>
                  <pic:blipFill rotWithShape="1">
                    <a:blip r:embed="rId27">
                      <a:extLst>
                        <a:ext uri="{28A0092B-C50C-407E-A947-70E740481C1C}">
                          <a14:useLocalDpi xmlns:a14="http://schemas.microsoft.com/office/drawing/2010/main" val="0"/>
                        </a:ext>
                      </a:extLst>
                    </a:blip>
                    <a:srcRect l="49859" t="10566"/>
                    <a:stretch/>
                  </pic:blipFill>
                  <pic:spPr bwMode="auto">
                    <a:xfrm>
                      <a:off x="0" y="0"/>
                      <a:ext cx="2884805" cy="2452396"/>
                    </a:xfrm>
                    <a:prstGeom prst="rect">
                      <a:avLst/>
                    </a:prstGeom>
                    <a:noFill/>
                    <a:ln>
                      <a:noFill/>
                    </a:ln>
                    <a:extLst>
                      <a:ext uri="{53640926-AAD7-44D8-BBD7-CCE9431645EC}">
                        <a14:shadowObscured xmlns:a14="http://schemas.microsoft.com/office/drawing/2010/main"/>
                      </a:ext>
                    </a:extLst>
                  </pic:spPr>
                </pic:pic>
              </a:graphicData>
            </a:graphic>
          </wp:inline>
        </w:drawing>
      </w:r>
    </w:p>
    <w:p w14:paraId="0B232C8B" w14:textId="77777777" w:rsidR="00311B4A" w:rsidRPr="00185938" w:rsidRDefault="00311B4A" w:rsidP="00311B4A">
      <w:pPr>
        <w:pStyle w:val="Bezodstpw"/>
      </w:pPr>
      <w:r>
        <w:t xml:space="preserve">Źródło: </w:t>
      </w:r>
      <w:r>
        <w:rPr>
          <w:iCs/>
        </w:rPr>
        <w:t>Regiony Polski 2020</w:t>
      </w:r>
      <w:r>
        <w:t>, GUS</w:t>
      </w:r>
    </w:p>
    <w:p w14:paraId="3458189C" w14:textId="68DF7A63" w:rsidR="00A833F3" w:rsidRDefault="00A833F3" w:rsidP="00A833F3">
      <w:r>
        <w:rPr>
          <w:noProof/>
        </w:rPr>
        <w:t>Dla procesu konwergencji fundamentalne znaczenie ma wzrost kapitałochłonności w mniej rozwiniętych regionach. Tymczasem nakłady inwestycyjne wciąż kumulują się w najbardziej rozwiniętych dotychczas regionach. W</w:t>
      </w:r>
      <w:r w:rsidR="006E0D25">
        <w:rPr>
          <w:noProof/>
        </w:rPr>
        <w:t> </w:t>
      </w:r>
      <w:r>
        <w:rPr>
          <w:noProof/>
        </w:rPr>
        <w:t>przeliczeniu na mieszkańca były one w 2018 r</w:t>
      </w:r>
      <w:r w:rsidR="007D618A">
        <w:rPr>
          <w:noProof/>
        </w:rPr>
        <w:t>oku</w:t>
      </w:r>
      <w:r>
        <w:rPr>
          <w:noProof/>
        </w:rPr>
        <w:t xml:space="preserve"> najwyższe w Warszawie, woj</w:t>
      </w:r>
      <w:r w:rsidR="007D618A">
        <w:rPr>
          <w:noProof/>
        </w:rPr>
        <w:t>ewództwie</w:t>
      </w:r>
      <w:r>
        <w:rPr>
          <w:noProof/>
        </w:rPr>
        <w:t xml:space="preserve"> dolno</w:t>
      </w:r>
      <w:r w:rsidR="007D618A">
        <w:rPr>
          <w:noProof/>
        </w:rPr>
        <w:t>ś</w:t>
      </w:r>
      <w:r>
        <w:rPr>
          <w:noProof/>
        </w:rPr>
        <w:t>ląskim i</w:t>
      </w:r>
      <w:r w:rsidR="006E0D25">
        <w:rPr>
          <w:noProof/>
        </w:rPr>
        <w:t> </w:t>
      </w:r>
      <w:r>
        <w:rPr>
          <w:noProof/>
        </w:rPr>
        <w:t>woj</w:t>
      </w:r>
      <w:r w:rsidR="007D618A">
        <w:rPr>
          <w:noProof/>
        </w:rPr>
        <w:t>ewództwie</w:t>
      </w:r>
      <w:r>
        <w:rPr>
          <w:noProof/>
        </w:rPr>
        <w:t xml:space="preserve"> pomorskim. W drugim przedziale znalazły się województwa: wielkopolskie, opolskie i śląskie. Zwiastuje to utrzymanie powolnego tempa konwergencji produktywności pomiędzy regionami. </w:t>
      </w:r>
      <w:r>
        <w:t xml:space="preserve">Również nakłady na </w:t>
      </w:r>
      <w:r w:rsidR="0017473B">
        <w:t>działalność</w:t>
      </w:r>
      <w:r>
        <w:t xml:space="preserve"> B+R w przeliczeniu na </w:t>
      </w:r>
      <w:r w:rsidR="0017473B">
        <w:t xml:space="preserve">jednego </w:t>
      </w:r>
      <w:r>
        <w:t>mieszkańca najbardziej skumulowane są w wysoko produktywnych regionach – Warszawie, woj</w:t>
      </w:r>
      <w:r w:rsidR="007D618A">
        <w:t>ewództwach</w:t>
      </w:r>
      <w:r>
        <w:t xml:space="preserve"> małopolskim, </w:t>
      </w:r>
      <w:r w:rsidR="0017473B">
        <w:t xml:space="preserve">pomorskim i </w:t>
      </w:r>
      <w:r>
        <w:t xml:space="preserve">dolnośląskim. Jednak dość wysokie wartości osiągają nakłady na </w:t>
      </w:r>
      <w:r w:rsidR="0017473B">
        <w:t>działalność</w:t>
      </w:r>
      <w:r>
        <w:t xml:space="preserve"> B+R w województwach gorzej rozwiniętych – lubelskim i podkarpackim, co przekłada się na liczbę patentów.</w:t>
      </w:r>
    </w:p>
    <w:p w14:paraId="50A8316C" w14:textId="378A40BB" w:rsidR="00DC2007" w:rsidRPr="00DC2007" w:rsidRDefault="00DC2007" w:rsidP="00A833F3">
      <w:pPr>
        <w:rPr>
          <w:rFonts w:eastAsiaTheme="majorEastAsia" w:cstheme="majorBidi"/>
          <w:b/>
          <w:iCs/>
          <w:sz w:val="21"/>
        </w:rPr>
      </w:pPr>
      <w:r w:rsidRPr="00DC2007">
        <w:rPr>
          <w:rFonts w:eastAsiaTheme="majorEastAsia" w:cstheme="majorBidi"/>
          <w:b/>
          <w:iCs/>
          <w:sz w:val="21"/>
        </w:rPr>
        <w:lastRenderedPageBreak/>
        <w:t xml:space="preserve">Wykres </w:t>
      </w:r>
      <w:r w:rsidR="00BA63E5">
        <w:rPr>
          <w:rFonts w:eastAsiaTheme="majorEastAsia" w:cstheme="majorBidi"/>
          <w:b/>
          <w:iCs/>
          <w:sz w:val="21"/>
        </w:rPr>
        <w:t xml:space="preserve">15. </w:t>
      </w:r>
      <w:r w:rsidRPr="00DC2007">
        <w:rPr>
          <w:rFonts w:eastAsiaTheme="majorEastAsia" w:cstheme="majorBidi"/>
          <w:b/>
          <w:iCs/>
          <w:sz w:val="21"/>
        </w:rPr>
        <w:t>Nowo utw</w:t>
      </w:r>
      <w:r w:rsidR="00A732F3">
        <w:rPr>
          <w:rFonts w:eastAsiaTheme="majorEastAsia" w:cstheme="majorBidi"/>
          <w:b/>
          <w:iCs/>
          <w:sz w:val="21"/>
        </w:rPr>
        <w:t>orzone miejsca pracy w 2019 r.</w:t>
      </w:r>
      <w:r w:rsidR="00A732F3">
        <w:rPr>
          <w:rFonts w:eastAsiaTheme="majorEastAsia" w:cstheme="majorBidi"/>
          <w:b/>
          <w:iCs/>
          <w:sz w:val="21"/>
        </w:rPr>
        <w:tab/>
      </w:r>
      <w:r w:rsidRPr="00DC2007">
        <w:rPr>
          <w:rFonts w:eastAsiaTheme="majorEastAsia" w:cstheme="majorBidi"/>
          <w:b/>
          <w:iCs/>
          <w:sz w:val="21"/>
        </w:rPr>
        <w:t xml:space="preserve">Mapa </w:t>
      </w:r>
      <w:r w:rsidR="00311B4A">
        <w:rPr>
          <w:rFonts w:eastAsiaTheme="majorEastAsia" w:cstheme="majorBidi"/>
          <w:b/>
          <w:iCs/>
          <w:sz w:val="21"/>
        </w:rPr>
        <w:t>4.</w:t>
      </w:r>
      <w:r w:rsidRPr="00DC2007">
        <w:rPr>
          <w:rFonts w:eastAsiaTheme="majorEastAsia" w:cstheme="majorBidi"/>
          <w:b/>
          <w:iCs/>
          <w:sz w:val="21"/>
        </w:rPr>
        <w:t xml:space="preserve"> Stopa bezrobocia w 2019 r. (BAEL)</w:t>
      </w:r>
    </w:p>
    <w:p w14:paraId="32B4DAFC" w14:textId="52EBACBF" w:rsidR="00A833F3" w:rsidRDefault="00A833F3" w:rsidP="00A833F3">
      <w:pPr>
        <w:jc w:val="left"/>
      </w:pPr>
      <w:r w:rsidRPr="00185938">
        <w:rPr>
          <w:noProof/>
        </w:rPr>
        <w:t xml:space="preserve"> </w:t>
      </w:r>
      <w:r>
        <w:rPr>
          <w:noProof/>
          <w:lang w:eastAsia="pl-PL"/>
        </w:rPr>
        <mc:AlternateContent>
          <mc:Choice Requires="wpg">
            <w:drawing>
              <wp:inline distT="0" distB="0" distL="0" distR="0" wp14:anchorId="68B0179E" wp14:editId="49A117CB">
                <wp:extent cx="5374005" cy="2192655"/>
                <wp:effectExtent l="0" t="0" r="0" b="0"/>
                <wp:docPr id="5" name="Grupa 5"/>
                <wp:cNvGraphicFramePr/>
                <a:graphic xmlns:a="http://schemas.openxmlformats.org/drawingml/2006/main">
                  <a:graphicData uri="http://schemas.microsoft.com/office/word/2010/wordprocessingGroup">
                    <wpg:wgp>
                      <wpg:cNvGrpSpPr/>
                      <wpg:grpSpPr>
                        <a:xfrm>
                          <a:off x="0" y="0"/>
                          <a:ext cx="5374005" cy="2192655"/>
                          <a:chOff x="0" y="316499"/>
                          <a:chExt cx="5951759" cy="2428606"/>
                        </a:xfrm>
                      </wpg:grpSpPr>
                      <pic:pic xmlns:pic="http://schemas.openxmlformats.org/drawingml/2006/picture">
                        <pic:nvPicPr>
                          <pic:cNvPr id="7" name="Obraz 7"/>
                          <pic:cNvPicPr>
                            <a:picLocks noChangeAspect="1"/>
                          </pic:cNvPicPr>
                        </pic:nvPicPr>
                        <pic:blipFill rotWithShape="1">
                          <a:blip r:embed="rId28">
                            <a:extLst>
                              <a:ext uri="{28A0092B-C50C-407E-A947-70E740481C1C}">
                                <a14:useLocalDpi xmlns:a14="http://schemas.microsoft.com/office/drawing/2010/main" val="0"/>
                              </a:ext>
                            </a:extLst>
                          </a:blip>
                          <a:srcRect l="1" t="7638" r="56952" b="33748"/>
                          <a:stretch/>
                        </pic:blipFill>
                        <pic:spPr bwMode="auto">
                          <a:xfrm>
                            <a:off x="0" y="316499"/>
                            <a:ext cx="3171825" cy="2428606"/>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 name="Obraz 8"/>
                          <pic:cNvPicPr>
                            <a:picLocks noChangeAspect="1"/>
                          </pic:cNvPicPr>
                        </pic:nvPicPr>
                        <pic:blipFill rotWithShape="1">
                          <a:blip r:embed="rId29">
                            <a:extLst>
                              <a:ext uri="{28A0092B-C50C-407E-A947-70E740481C1C}">
                                <a14:useLocalDpi xmlns:a14="http://schemas.microsoft.com/office/drawing/2010/main" val="0"/>
                              </a:ext>
                            </a:extLst>
                          </a:blip>
                          <a:srcRect t="15398"/>
                          <a:stretch/>
                        </pic:blipFill>
                        <pic:spPr bwMode="auto">
                          <a:xfrm>
                            <a:off x="3286664" y="421999"/>
                            <a:ext cx="2665095" cy="2318661"/>
                          </a:xfrm>
                          <a:prstGeom prst="rect">
                            <a:avLst/>
                          </a:prstGeom>
                          <a:noFill/>
                          <a:ln>
                            <a:noFill/>
                          </a:ln>
                        </pic:spPr>
                      </pic:pic>
                    </wpg:wgp>
                  </a:graphicData>
                </a:graphic>
              </wp:inline>
            </w:drawing>
          </mc:Choice>
          <mc:Fallback>
            <w:pict>
              <v:group w14:anchorId="07A18178" id="Grupa 5" o:spid="_x0000_s1026" style="width:423.15pt;height:172.65pt;mso-position-horizontal-relative:char;mso-position-vertical-relative:line" coordorigin=",3164" coordsize="59517,24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7" o:spid="_x0000_s1027" type="#_x0000_t75" style="position:absolute;top:3164;width:31718;height:24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">
                  <v:imagedata r:id="rId30" o:title="" croptop="5006f" cropbottom="22117f" cropleft="1f" cropright="37324f"/>
                </v:shape>
                <v:shape id="Obraz 8" o:spid="_x0000_s1028" type="#_x0000_t75" style="position:absolute;left:32866;top:4219;width:26651;height:23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">
                  <v:imagedata r:id="rId31" o:title="" croptop="10091f"/>
                </v:shape>
                <w10:anchorlock/>
              </v:group>
            </w:pict>
          </mc:Fallback>
        </mc:AlternateContent>
      </w:r>
    </w:p>
    <w:p w14:paraId="0EA1A741" w14:textId="37E80FC2" w:rsidR="00BA63E5" w:rsidRPr="00185938" w:rsidRDefault="00BA63E5" w:rsidP="00BA63E5">
      <w:pPr>
        <w:pStyle w:val="Bezodstpw"/>
      </w:pPr>
      <w:r>
        <w:t xml:space="preserve">Źródło: </w:t>
      </w:r>
      <w:r>
        <w:rPr>
          <w:iCs/>
        </w:rPr>
        <w:t>Regiony Polski 2020</w:t>
      </w:r>
      <w:r>
        <w:t>, GUS</w:t>
      </w:r>
      <w:r w:rsidR="00A732F3">
        <w:tab/>
      </w:r>
      <w:r w:rsidR="00A732F3">
        <w:tab/>
      </w:r>
      <w:r w:rsidR="00A732F3">
        <w:tab/>
      </w:r>
      <w:r w:rsidR="00A732F3">
        <w:tab/>
        <w:t xml:space="preserve">Źródło: </w:t>
      </w:r>
      <w:r w:rsidR="00A732F3">
        <w:rPr>
          <w:iCs/>
        </w:rPr>
        <w:t>Regiony Polski 2020</w:t>
      </w:r>
      <w:r w:rsidR="00A732F3">
        <w:t>, GUS</w:t>
      </w:r>
    </w:p>
    <w:p w14:paraId="5F41C5DE" w14:textId="754889B7" w:rsidR="00A833F3" w:rsidRDefault="00A833F3" w:rsidP="00A833F3">
      <w:pPr>
        <w:rPr>
          <w:noProof/>
        </w:rPr>
      </w:pPr>
      <w:r>
        <w:t>Choć na warszawskim rynku pracy od kilku lat odnotowywano minimalne bezrobocie, wciąż powstawało tam najwięcej miejsc pracy (dane za 2019 r</w:t>
      </w:r>
      <w:r w:rsidR="007D618A">
        <w:t>ok</w:t>
      </w:r>
      <w:r>
        <w:t xml:space="preserve">). Trudność w znalezieniu pracowników nie była wystraczającym powodem dla firm, aby lokować swoją działalność i miejsca pracy w województwach z większym bezrobociem. Wskazuje to na znaczące różnice w pozostałych warunkach prowadzenia biznesu, np. dostępie do infrastruktury, lub na niedostosowanie kwalifikacji w tych województwach </w:t>
      </w:r>
      <w:r w:rsidR="00E60DBA">
        <w:t>w stosunku do</w:t>
      </w:r>
      <w:r>
        <w:t xml:space="preserve"> potrzeb przedsiębiorstw.</w:t>
      </w:r>
    </w:p>
    <w:p w14:paraId="7ED5C4A3" w14:textId="6D49C7E9" w:rsidR="00276338" w:rsidRDefault="00A833F3" w:rsidP="00A833F3">
      <w:r>
        <w:t>Kluczowe znaczenie ma dostępność kapitału ludzkiego, a więc pracowników o odpowiednich kwalifikacjach. Dla sektora przemysłowego są to przede wszystkim absolwenci techników, szkół branżowych oraz studiów na kierunkach technicznych. W liczbie uczniów tego typu szkół przoduje woj</w:t>
      </w:r>
      <w:r w:rsidR="00E60DBA">
        <w:t>ewództwo</w:t>
      </w:r>
      <w:r>
        <w:t xml:space="preserve"> mazowieckie, jednocześnie posiadając najmniejszy ich odsetek w ogólnej liczbie uczniów szkół ponadpodstawowych i ponadgimnazjalnych. Biorąc pod uwagę jedynie liczbę uczniów szkół branżowych I stopnia (przygotowujących w 3 lata do wykonywania zawodu), najwięcej uczniów kształci się w woj</w:t>
      </w:r>
      <w:r w:rsidR="00E60DBA">
        <w:t>ewództwach</w:t>
      </w:r>
      <w:r>
        <w:t xml:space="preserve"> wielkopolskim, małopolskim i śląskim.</w:t>
      </w:r>
    </w:p>
    <w:p w14:paraId="2FBD3EA5" w14:textId="48CCC392" w:rsidR="00276338" w:rsidRDefault="00276338" w:rsidP="00276338">
      <w:pPr>
        <w:pStyle w:val="Nagwek4"/>
      </w:pPr>
      <w:r>
        <w:t xml:space="preserve">Tabela </w:t>
      </w:r>
      <w:r w:rsidR="00BA63E5">
        <w:t>2</w:t>
      </w:r>
      <w:r w:rsidR="00E60DBA">
        <w:rPr>
          <w:noProof/>
        </w:rPr>
        <w:t>.</w:t>
      </w:r>
      <w:r>
        <w:t xml:space="preserve"> Liczba uczniów techników dla młodzieży oraz szkół branżowych I stopnia w 2019 r</w:t>
      </w:r>
      <w:r w:rsidR="00E60DBA">
        <w:t>.</w:t>
      </w:r>
    </w:p>
    <w:tbl>
      <w:tblPr>
        <w:tblW w:w="9183" w:type="dxa"/>
        <w:tblLayout w:type="fixed"/>
        <w:tblCellMar>
          <w:left w:w="70" w:type="dxa"/>
          <w:right w:w="70" w:type="dxa"/>
        </w:tblCellMar>
        <w:tblLook w:val="04A0" w:firstRow="1" w:lastRow="0" w:firstColumn="1" w:lastColumn="0" w:noHBand="0" w:noVBand="1"/>
      </w:tblPr>
      <w:tblGrid>
        <w:gridCol w:w="2012"/>
        <w:gridCol w:w="1576"/>
        <w:gridCol w:w="2009"/>
        <w:gridCol w:w="1588"/>
        <w:gridCol w:w="1998"/>
      </w:tblGrid>
      <w:tr w:rsidR="00A833F3" w:rsidRPr="00BE39F1" w14:paraId="6BB14A51" w14:textId="77777777" w:rsidTr="00BA63E5">
        <w:trPr>
          <w:trHeight w:val="466"/>
        </w:trPr>
        <w:tc>
          <w:tcPr>
            <w:tcW w:w="2012" w:type="dxa"/>
            <w:vMerge w:val="restart"/>
            <w:tcBorders>
              <w:top w:val="single" w:sz="4" w:space="0" w:color="000000"/>
              <w:left w:val="single" w:sz="4" w:space="0" w:color="000000"/>
              <w:bottom w:val="single" w:sz="4" w:space="0" w:color="000000"/>
              <w:right w:val="single" w:sz="4" w:space="0" w:color="000000"/>
            </w:tcBorders>
            <w:shd w:val="clear" w:color="000000" w:fill="D3D3D3"/>
            <w:vAlign w:val="center"/>
            <w:hideMark/>
          </w:tcPr>
          <w:p w14:paraId="2B8AF07E" w14:textId="77777777" w:rsidR="00A833F3" w:rsidRPr="00BE39F1" w:rsidRDefault="00A833F3" w:rsidP="00367821">
            <w:pPr>
              <w:spacing w:after="0" w:line="240" w:lineRule="auto"/>
              <w:jc w:val="center"/>
              <w:rPr>
                <w:rFonts w:ascii="Arial" w:eastAsiaTheme="minorHAnsi" w:hAnsi="Arial"/>
                <w:color w:val="auto"/>
                <w:sz w:val="19"/>
                <w:szCs w:val="19"/>
              </w:rPr>
            </w:pPr>
            <w:r w:rsidRPr="00BE39F1">
              <w:rPr>
                <w:rFonts w:ascii="Arial" w:eastAsiaTheme="minorHAnsi" w:hAnsi="Arial"/>
                <w:color w:val="auto"/>
                <w:sz w:val="19"/>
                <w:szCs w:val="19"/>
              </w:rPr>
              <w:t>Nazwa</w:t>
            </w:r>
          </w:p>
        </w:tc>
        <w:tc>
          <w:tcPr>
            <w:tcW w:w="3585" w:type="dxa"/>
            <w:gridSpan w:val="2"/>
            <w:tcBorders>
              <w:top w:val="single" w:sz="4" w:space="0" w:color="000000"/>
              <w:left w:val="nil"/>
              <w:bottom w:val="single" w:sz="4" w:space="0" w:color="000000"/>
              <w:right w:val="single" w:sz="4" w:space="0" w:color="000000"/>
            </w:tcBorders>
            <w:shd w:val="clear" w:color="000000" w:fill="D3D3D3"/>
            <w:vAlign w:val="center"/>
            <w:hideMark/>
          </w:tcPr>
          <w:p w14:paraId="0C38D6F0" w14:textId="1DFF0F6F" w:rsidR="00A833F3" w:rsidRPr="00BE39F1" w:rsidRDefault="00A833F3" w:rsidP="00367821">
            <w:pPr>
              <w:spacing w:after="0" w:line="240" w:lineRule="auto"/>
              <w:jc w:val="center"/>
              <w:rPr>
                <w:rFonts w:ascii="Arial" w:eastAsiaTheme="minorHAnsi" w:hAnsi="Arial"/>
                <w:color w:val="auto"/>
                <w:sz w:val="19"/>
                <w:szCs w:val="19"/>
              </w:rPr>
            </w:pPr>
            <w:r w:rsidRPr="00BE39F1">
              <w:rPr>
                <w:rFonts w:ascii="Arial" w:eastAsiaTheme="minorHAnsi" w:hAnsi="Arial"/>
                <w:color w:val="auto"/>
                <w:sz w:val="19"/>
                <w:szCs w:val="19"/>
              </w:rPr>
              <w:t>Uczniowie techników dla młodzieży</w:t>
            </w:r>
          </w:p>
        </w:tc>
        <w:tc>
          <w:tcPr>
            <w:tcW w:w="3586" w:type="dxa"/>
            <w:gridSpan w:val="2"/>
            <w:tcBorders>
              <w:top w:val="single" w:sz="4" w:space="0" w:color="000000"/>
              <w:left w:val="nil"/>
              <w:bottom w:val="single" w:sz="4" w:space="0" w:color="000000"/>
              <w:right w:val="single" w:sz="4" w:space="0" w:color="000000"/>
            </w:tcBorders>
            <w:shd w:val="clear" w:color="000000" w:fill="D3D3D3"/>
            <w:vAlign w:val="center"/>
            <w:hideMark/>
          </w:tcPr>
          <w:p w14:paraId="7B9A5B66" w14:textId="2CFFB149" w:rsidR="00A833F3" w:rsidRPr="00BE39F1" w:rsidRDefault="00A833F3" w:rsidP="00367821">
            <w:pPr>
              <w:spacing w:after="0" w:line="240" w:lineRule="auto"/>
              <w:jc w:val="center"/>
              <w:rPr>
                <w:rFonts w:ascii="Arial" w:eastAsiaTheme="minorHAnsi" w:hAnsi="Arial"/>
                <w:color w:val="auto"/>
                <w:sz w:val="19"/>
                <w:szCs w:val="19"/>
              </w:rPr>
            </w:pPr>
            <w:r w:rsidRPr="00BE39F1">
              <w:rPr>
                <w:rFonts w:ascii="Arial" w:eastAsiaTheme="minorHAnsi" w:hAnsi="Arial"/>
                <w:color w:val="auto"/>
                <w:sz w:val="19"/>
                <w:szCs w:val="19"/>
              </w:rPr>
              <w:t>Uczniowie branżowych szkół I stopnia</w:t>
            </w:r>
          </w:p>
        </w:tc>
      </w:tr>
      <w:tr w:rsidR="00A833F3" w:rsidRPr="00BE39F1" w14:paraId="1C17C43D" w14:textId="77777777" w:rsidTr="00BA63E5">
        <w:trPr>
          <w:trHeight w:val="141"/>
        </w:trPr>
        <w:tc>
          <w:tcPr>
            <w:tcW w:w="2012" w:type="dxa"/>
            <w:vMerge/>
            <w:tcBorders>
              <w:top w:val="single" w:sz="4" w:space="0" w:color="000000"/>
              <w:left w:val="single" w:sz="4" w:space="0" w:color="000000"/>
              <w:bottom w:val="single" w:sz="4" w:space="0" w:color="000000"/>
              <w:right w:val="single" w:sz="4" w:space="0" w:color="000000"/>
            </w:tcBorders>
            <w:vAlign w:val="center"/>
            <w:hideMark/>
          </w:tcPr>
          <w:p w14:paraId="0B7D05C8" w14:textId="77777777" w:rsidR="00A833F3" w:rsidRPr="00BE39F1" w:rsidRDefault="00A833F3" w:rsidP="00A833F3">
            <w:pPr>
              <w:spacing w:after="0" w:line="240" w:lineRule="auto"/>
              <w:rPr>
                <w:rFonts w:ascii="Arial" w:eastAsiaTheme="minorHAnsi" w:hAnsi="Arial"/>
                <w:color w:val="auto"/>
                <w:sz w:val="19"/>
                <w:szCs w:val="19"/>
              </w:rPr>
            </w:pPr>
          </w:p>
        </w:tc>
        <w:tc>
          <w:tcPr>
            <w:tcW w:w="1576" w:type="dxa"/>
            <w:tcBorders>
              <w:top w:val="nil"/>
              <w:left w:val="nil"/>
              <w:bottom w:val="single" w:sz="4" w:space="0" w:color="000000"/>
              <w:right w:val="single" w:sz="4" w:space="0" w:color="000000"/>
            </w:tcBorders>
            <w:shd w:val="clear" w:color="000000" w:fill="D3D3D3"/>
            <w:vAlign w:val="center"/>
            <w:hideMark/>
          </w:tcPr>
          <w:p w14:paraId="565382FA" w14:textId="77777777" w:rsidR="00A833F3" w:rsidRPr="00BE39F1" w:rsidRDefault="00A833F3" w:rsidP="00367821">
            <w:pPr>
              <w:spacing w:after="0" w:line="240" w:lineRule="auto"/>
              <w:jc w:val="center"/>
              <w:rPr>
                <w:rFonts w:ascii="Arial" w:eastAsiaTheme="minorHAnsi" w:hAnsi="Arial"/>
                <w:color w:val="auto"/>
                <w:sz w:val="19"/>
                <w:szCs w:val="19"/>
              </w:rPr>
            </w:pPr>
            <w:r w:rsidRPr="00BE39F1">
              <w:rPr>
                <w:rFonts w:ascii="Arial" w:eastAsiaTheme="minorHAnsi" w:hAnsi="Arial"/>
                <w:color w:val="auto"/>
                <w:sz w:val="19"/>
                <w:szCs w:val="19"/>
              </w:rPr>
              <w:t>Liczba</w:t>
            </w:r>
          </w:p>
        </w:tc>
        <w:tc>
          <w:tcPr>
            <w:tcW w:w="2008" w:type="dxa"/>
            <w:tcBorders>
              <w:top w:val="nil"/>
              <w:left w:val="nil"/>
              <w:bottom w:val="single" w:sz="4" w:space="0" w:color="000000"/>
              <w:right w:val="single" w:sz="4" w:space="0" w:color="000000"/>
            </w:tcBorders>
            <w:shd w:val="clear" w:color="000000" w:fill="D3D3D3"/>
            <w:vAlign w:val="center"/>
          </w:tcPr>
          <w:p w14:paraId="5CD488EF" w14:textId="77777777" w:rsidR="00A833F3" w:rsidRPr="00BE39F1" w:rsidRDefault="00A833F3" w:rsidP="00367821">
            <w:pPr>
              <w:spacing w:after="0" w:line="240" w:lineRule="auto"/>
              <w:jc w:val="center"/>
              <w:rPr>
                <w:rFonts w:ascii="Arial" w:eastAsiaTheme="minorHAnsi" w:hAnsi="Arial"/>
                <w:color w:val="auto"/>
                <w:sz w:val="19"/>
                <w:szCs w:val="19"/>
              </w:rPr>
            </w:pPr>
            <w:r w:rsidRPr="00BE39F1">
              <w:rPr>
                <w:rFonts w:ascii="Arial" w:eastAsiaTheme="minorHAnsi" w:hAnsi="Arial"/>
                <w:color w:val="auto"/>
                <w:sz w:val="19"/>
                <w:szCs w:val="19"/>
              </w:rPr>
              <w:t>% uczniów szkół ponadpodstawowych</w:t>
            </w:r>
          </w:p>
        </w:tc>
        <w:tc>
          <w:tcPr>
            <w:tcW w:w="1588" w:type="dxa"/>
            <w:tcBorders>
              <w:top w:val="nil"/>
              <w:left w:val="nil"/>
              <w:bottom w:val="single" w:sz="4" w:space="0" w:color="000000"/>
              <w:right w:val="single" w:sz="4" w:space="0" w:color="000000"/>
            </w:tcBorders>
            <w:shd w:val="clear" w:color="000000" w:fill="D3D3D3"/>
            <w:vAlign w:val="center"/>
            <w:hideMark/>
          </w:tcPr>
          <w:p w14:paraId="60962A0A" w14:textId="77777777" w:rsidR="00A833F3" w:rsidRPr="00BE39F1" w:rsidRDefault="00A833F3" w:rsidP="00367821">
            <w:pPr>
              <w:spacing w:after="0" w:line="240" w:lineRule="auto"/>
              <w:jc w:val="center"/>
              <w:rPr>
                <w:rFonts w:ascii="Arial" w:eastAsiaTheme="minorHAnsi" w:hAnsi="Arial"/>
                <w:color w:val="auto"/>
                <w:sz w:val="19"/>
                <w:szCs w:val="19"/>
              </w:rPr>
            </w:pPr>
            <w:r w:rsidRPr="00BE39F1">
              <w:rPr>
                <w:rFonts w:ascii="Arial" w:eastAsiaTheme="minorHAnsi" w:hAnsi="Arial"/>
                <w:color w:val="auto"/>
                <w:sz w:val="19"/>
                <w:szCs w:val="19"/>
              </w:rPr>
              <w:t>Liczba</w:t>
            </w:r>
          </w:p>
        </w:tc>
        <w:tc>
          <w:tcPr>
            <w:tcW w:w="1998" w:type="dxa"/>
            <w:tcBorders>
              <w:top w:val="nil"/>
              <w:left w:val="nil"/>
              <w:bottom w:val="single" w:sz="4" w:space="0" w:color="000000"/>
              <w:right w:val="single" w:sz="4" w:space="0" w:color="000000"/>
            </w:tcBorders>
            <w:shd w:val="clear" w:color="000000" w:fill="D3D3D3"/>
          </w:tcPr>
          <w:p w14:paraId="7BD7AD14" w14:textId="77777777" w:rsidR="00A833F3" w:rsidRPr="00BE39F1" w:rsidRDefault="00A833F3" w:rsidP="00367821">
            <w:pPr>
              <w:spacing w:after="0" w:line="240" w:lineRule="auto"/>
              <w:jc w:val="center"/>
              <w:rPr>
                <w:rFonts w:ascii="Arial" w:eastAsiaTheme="minorHAnsi" w:hAnsi="Arial"/>
                <w:color w:val="auto"/>
                <w:sz w:val="19"/>
                <w:szCs w:val="19"/>
              </w:rPr>
            </w:pPr>
            <w:r w:rsidRPr="00BE39F1">
              <w:rPr>
                <w:rFonts w:ascii="Arial" w:eastAsiaTheme="minorHAnsi" w:hAnsi="Arial"/>
                <w:color w:val="auto"/>
                <w:sz w:val="19"/>
                <w:szCs w:val="19"/>
              </w:rPr>
              <w:t>% uczniów szkół ponadpodstawowych</w:t>
            </w:r>
          </w:p>
        </w:tc>
      </w:tr>
      <w:tr w:rsidR="00A833F3" w:rsidRPr="00BE39F1" w14:paraId="58E45C2B" w14:textId="77777777" w:rsidTr="00BA63E5">
        <w:trPr>
          <w:trHeight w:val="141"/>
        </w:trPr>
        <w:tc>
          <w:tcPr>
            <w:tcW w:w="2012" w:type="dxa"/>
            <w:tcBorders>
              <w:top w:val="nil"/>
              <w:left w:val="nil"/>
              <w:bottom w:val="nil"/>
              <w:right w:val="nil"/>
            </w:tcBorders>
            <w:shd w:val="clear" w:color="auto" w:fill="auto"/>
            <w:noWrap/>
            <w:vAlign w:val="bottom"/>
            <w:hideMark/>
          </w:tcPr>
          <w:p w14:paraId="56D02842" w14:textId="77777777" w:rsidR="00A833F3" w:rsidRPr="00BE39F1" w:rsidRDefault="00A833F3" w:rsidP="00A833F3">
            <w:pPr>
              <w:spacing w:after="0" w:line="240" w:lineRule="auto"/>
              <w:rPr>
                <w:rFonts w:ascii="Arial" w:eastAsia="Times New Roman" w:hAnsi="Arial"/>
                <w:sz w:val="19"/>
                <w:szCs w:val="19"/>
                <w:lang w:eastAsia="pl-PL"/>
              </w:rPr>
            </w:pPr>
            <w:r w:rsidRPr="00BE39F1">
              <w:rPr>
                <w:rFonts w:ascii="Arial" w:hAnsi="Arial"/>
                <w:sz w:val="19"/>
                <w:szCs w:val="19"/>
              </w:rPr>
              <w:t xml:space="preserve">Mazowieckie </w:t>
            </w:r>
          </w:p>
        </w:tc>
        <w:tc>
          <w:tcPr>
            <w:tcW w:w="1576" w:type="dxa"/>
            <w:tcBorders>
              <w:top w:val="nil"/>
              <w:left w:val="nil"/>
              <w:bottom w:val="nil"/>
              <w:right w:val="nil"/>
            </w:tcBorders>
            <w:shd w:val="clear" w:color="auto" w:fill="auto"/>
            <w:noWrap/>
            <w:vAlign w:val="bottom"/>
            <w:hideMark/>
          </w:tcPr>
          <w:p w14:paraId="0AA54C7D" w14:textId="77777777" w:rsidR="00A833F3" w:rsidRPr="00BE39F1" w:rsidRDefault="00A833F3" w:rsidP="00A833F3">
            <w:pPr>
              <w:spacing w:after="0" w:line="240" w:lineRule="auto"/>
              <w:jc w:val="right"/>
              <w:rPr>
                <w:rFonts w:ascii="Arial" w:eastAsia="Times New Roman" w:hAnsi="Arial"/>
                <w:b/>
                <w:bCs/>
                <w:sz w:val="19"/>
                <w:szCs w:val="19"/>
                <w:lang w:eastAsia="pl-PL"/>
              </w:rPr>
            </w:pPr>
            <w:r w:rsidRPr="00BE39F1">
              <w:rPr>
                <w:rFonts w:ascii="Arial" w:hAnsi="Arial"/>
                <w:b/>
                <w:bCs/>
                <w:sz w:val="19"/>
                <w:szCs w:val="19"/>
              </w:rPr>
              <w:t>80055</w:t>
            </w:r>
          </w:p>
        </w:tc>
        <w:tc>
          <w:tcPr>
            <w:tcW w:w="2008" w:type="dxa"/>
            <w:tcBorders>
              <w:top w:val="nil"/>
              <w:left w:val="nil"/>
              <w:bottom w:val="nil"/>
              <w:right w:val="nil"/>
            </w:tcBorders>
            <w:vAlign w:val="bottom"/>
          </w:tcPr>
          <w:p w14:paraId="02740917"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color w:val="000000"/>
                <w:sz w:val="19"/>
                <w:szCs w:val="19"/>
              </w:rPr>
              <w:t>33,6%</w:t>
            </w:r>
          </w:p>
        </w:tc>
        <w:tc>
          <w:tcPr>
            <w:tcW w:w="1588" w:type="dxa"/>
            <w:tcBorders>
              <w:top w:val="nil"/>
              <w:left w:val="nil"/>
              <w:bottom w:val="nil"/>
              <w:right w:val="nil"/>
            </w:tcBorders>
            <w:shd w:val="clear" w:color="auto" w:fill="auto"/>
            <w:noWrap/>
            <w:vAlign w:val="bottom"/>
            <w:hideMark/>
          </w:tcPr>
          <w:p w14:paraId="388D7B3E"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sz w:val="19"/>
                <w:szCs w:val="19"/>
              </w:rPr>
              <w:t>16463</w:t>
            </w:r>
          </w:p>
        </w:tc>
        <w:tc>
          <w:tcPr>
            <w:tcW w:w="1998" w:type="dxa"/>
            <w:tcBorders>
              <w:top w:val="nil"/>
              <w:left w:val="nil"/>
              <w:bottom w:val="nil"/>
              <w:right w:val="nil"/>
            </w:tcBorders>
            <w:vAlign w:val="bottom"/>
          </w:tcPr>
          <w:p w14:paraId="26BDC2BC"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color w:val="000000"/>
                <w:sz w:val="19"/>
                <w:szCs w:val="19"/>
              </w:rPr>
              <w:t>6,9%</w:t>
            </w:r>
          </w:p>
        </w:tc>
      </w:tr>
      <w:tr w:rsidR="00A833F3" w:rsidRPr="00BE39F1" w14:paraId="3186B186" w14:textId="77777777" w:rsidTr="00BA63E5">
        <w:trPr>
          <w:trHeight w:val="141"/>
        </w:trPr>
        <w:tc>
          <w:tcPr>
            <w:tcW w:w="2012" w:type="dxa"/>
            <w:tcBorders>
              <w:top w:val="nil"/>
              <w:left w:val="nil"/>
              <w:bottom w:val="nil"/>
              <w:right w:val="nil"/>
            </w:tcBorders>
            <w:shd w:val="clear" w:color="auto" w:fill="auto"/>
            <w:noWrap/>
            <w:vAlign w:val="bottom"/>
            <w:hideMark/>
          </w:tcPr>
          <w:p w14:paraId="4BB0CE76" w14:textId="77777777" w:rsidR="00A833F3" w:rsidRPr="00BE39F1" w:rsidRDefault="00A833F3" w:rsidP="00A833F3">
            <w:pPr>
              <w:spacing w:after="0" w:line="240" w:lineRule="auto"/>
              <w:rPr>
                <w:rFonts w:ascii="Arial" w:eastAsia="Times New Roman" w:hAnsi="Arial"/>
                <w:sz w:val="19"/>
                <w:szCs w:val="19"/>
                <w:lang w:eastAsia="pl-PL"/>
              </w:rPr>
            </w:pPr>
            <w:r w:rsidRPr="00BE39F1">
              <w:rPr>
                <w:rFonts w:ascii="Arial" w:hAnsi="Arial"/>
                <w:sz w:val="19"/>
                <w:szCs w:val="19"/>
              </w:rPr>
              <w:t xml:space="preserve">Śląskie </w:t>
            </w:r>
          </w:p>
        </w:tc>
        <w:tc>
          <w:tcPr>
            <w:tcW w:w="1576" w:type="dxa"/>
            <w:tcBorders>
              <w:top w:val="nil"/>
              <w:left w:val="nil"/>
              <w:bottom w:val="nil"/>
              <w:right w:val="nil"/>
            </w:tcBorders>
            <w:shd w:val="clear" w:color="auto" w:fill="auto"/>
            <w:noWrap/>
            <w:vAlign w:val="bottom"/>
            <w:hideMark/>
          </w:tcPr>
          <w:p w14:paraId="58ED73D6"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sz w:val="19"/>
                <w:szCs w:val="19"/>
              </w:rPr>
              <w:t>73843</w:t>
            </w:r>
          </w:p>
        </w:tc>
        <w:tc>
          <w:tcPr>
            <w:tcW w:w="2008" w:type="dxa"/>
            <w:tcBorders>
              <w:top w:val="nil"/>
              <w:left w:val="nil"/>
              <w:bottom w:val="nil"/>
              <w:right w:val="nil"/>
            </w:tcBorders>
            <w:vAlign w:val="bottom"/>
          </w:tcPr>
          <w:p w14:paraId="2881B2F5"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color w:val="000000"/>
                <w:sz w:val="19"/>
                <w:szCs w:val="19"/>
              </w:rPr>
              <w:t>41,4%</w:t>
            </w:r>
          </w:p>
        </w:tc>
        <w:tc>
          <w:tcPr>
            <w:tcW w:w="1588" w:type="dxa"/>
            <w:tcBorders>
              <w:top w:val="nil"/>
              <w:left w:val="nil"/>
              <w:bottom w:val="nil"/>
              <w:right w:val="nil"/>
            </w:tcBorders>
            <w:shd w:val="clear" w:color="auto" w:fill="auto"/>
            <w:noWrap/>
            <w:vAlign w:val="bottom"/>
            <w:hideMark/>
          </w:tcPr>
          <w:p w14:paraId="12BB2F28"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sz w:val="19"/>
                <w:szCs w:val="19"/>
              </w:rPr>
              <w:t>19155</w:t>
            </w:r>
          </w:p>
        </w:tc>
        <w:tc>
          <w:tcPr>
            <w:tcW w:w="1998" w:type="dxa"/>
            <w:tcBorders>
              <w:top w:val="nil"/>
              <w:left w:val="nil"/>
              <w:bottom w:val="nil"/>
              <w:right w:val="nil"/>
            </w:tcBorders>
            <w:vAlign w:val="bottom"/>
          </w:tcPr>
          <w:p w14:paraId="320CD651"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color w:val="000000"/>
                <w:sz w:val="19"/>
                <w:szCs w:val="19"/>
              </w:rPr>
              <w:t>10,7%</w:t>
            </w:r>
          </w:p>
        </w:tc>
      </w:tr>
      <w:tr w:rsidR="00A833F3" w:rsidRPr="00BE39F1" w14:paraId="73EFDDAD" w14:textId="77777777" w:rsidTr="00BA63E5">
        <w:trPr>
          <w:trHeight w:val="141"/>
        </w:trPr>
        <w:tc>
          <w:tcPr>
            <w:tcW w:w="2012" w:type="dxa"/>
            <w:tcBorders>
              <w:top w:val="nil"/>
              <w:left w:val="nil"/>
              <w:bottom w:val="nil"/>
              <w:right w:val="nil"/>
            </w:tcBorders>
            <w:shd w:val="clear" w:color="auto" w:fill="auto"/>
            <w:noWrap/>
            <w:vAlign w:val="bottom"/>
            <w:hideMark/>
          </w:tcPr>
          <w:p w14:paraId="17554231" w14:textId="77777777" w:rsidR="00A833F3" w:rsidRPr="00BE39F1" w:rsidRDefault="00A833F3" w:rsidP="00A833F3">
            <w:pPr>
              <w:spacing w:after="0" w:line="240" w:lineRule="auto"/>
              <w:rPr>
                <w:rFonts w:ascii="Arial" w:eastAsia="Times New Roman" w:hAnsi="Arial"/>
                <w:sz w:val="19"/>
                <w:szCs w:val="19"/>
                <w:lang w:eastAsia="pl-PL"/>
              </w:rPr>
            </w:pPr>
            <w:r w:rsidRPr="00BE39F1">
              <w:rPr>
                <w:rFonts w:ascii="Arial" w:hAnsi="Arial"/>
                <w:sz w:val="19"/>
                <w:szCs w:val="19"/>
              </w:rPr>
              <w:t xml:space="preserve">Wielkopolskie </w:t>
            </w:r>
          </w:p>
        </w:tc>
        <w:tc>
          <w:tcPr>
            <w:tcW w:w="1576" w:type="dxa"/>
            <w:tcBorders>
              <w:top w:val="nil"/>
              <w:left w:val="nil"/>
              <w:bottom w:val="nil"/>
              <w:right w:val="nil"/>
            </w:tcBorders>
            <w:shd w:val="clear" w:color="auto" w:fill="auto"/>
            <w:noWrap/>
            <w:vAlign w:val="bottom"/>
            <w:hideMark/>
          </w:tcPr>
          <w:p w14:paraId="3CD9037B"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sz w:val="19"/>
                <w:szCs w:val="19"/>
              </w:rPr>
              <w:t>62936</w:t>
            </w:r>
          </w:p>
        </w:tc>
        <w:tc>
          <w:tcPr>
            <w:tcW w:w="2008" w:type="dxa"/>
            <w:tcBorders>
              <w:top w:val="nil"/>
              <w:left w:val="nil"/>
              <w:bottom w:val="nil"/>
              <w:right w:val="nil"/>
            </w:tcBorders>
            <w:vAlign w:val="bottom"/>
          </w:tcPr>
          <w:p w14:paraId="6C674991"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color w:val="000000"/>
                <w:sz w:val="19"/>
                <w:szCs w:val="19"/>
              </w:rPr>
              <w:t>40,0%</w:t>
            </w:r>
          </w:p>
        </w:tc>
        <w:tc>
          <w:tcPr>
            <w:tcW w:w="1588" w:type="dxa"/>
            <w:tcBorders>
              <w:top w:val="nil"/>
              <w:left w:val="nil"/>
              <w:bottom w:val="nil"/>
              <w:right w:val="nil"/>
            </w:tcBorders>
            <w:shd w:val="clear" w:color="auto" w:fill="auto"/>
            <w:noWrap/>
            <w:vAlign w:val="bottom"/>
            <w:hideMark/>
          </w:tcPr>
          <w:p w14:paraId="517E2F3E" w14:textId="77777777" w:rsidR="00A833F3" w:rsidRPr="00BE39F1" w:rsidRDefault="00A833F3" w:rsidP="00A833F3">
            <w:pPr>
              <w:spacing w:after="0" w:line="240" w:lineRule="auto"/>
              <w:jc w:val="right"/>
              <w:rPr>
                <w:rFonts w:ascii="Arial" w:eastAsia="Times New Roman" w:hAnsi="Arial"/>
                <w:b/>
                <w:bCs/>
                <w:sz w:val="19"/>
                <w:szCs w:val="19"/>
                <w:lang w:eastAsia="pl-PL"/>
              </w:rPr>
            </w:pPr>
            <w:r w:rsidRPr="00BE39F1">
              <w:rPr>
                <w:rFonts w:ascii="Arial" w:hAnsi="Arial"/>
                <w:b/>
                <w:bCs/>
                <w:sz w:val="19"/>
                <w:szCs w:val="19"/>
              </w:rPr>
              <w:t>24981</w:t>
            </w:r>
          </w:p>
        </w:tc>
        <w:tc>
          <w:tcPr>
            <w:tcW w:w="1998" w:type="dxa"/>
            <w:tcBorders>
              <w:top w:val="nil"/>
              <w:left w:val="nil"/>
              <w:bottom w:val="nil"/>
              <w:right w:val="nil"/>
            </w:tcBorders>
            <w:vAlign w:val="bottom"/>
          </w:tcPr>
          <w:p w14:paraId="70E74931" w14:textId="77777777" w:rsidR="00A833F3" w:rsidRPr="00BE39F1" w:rsidRDefault="00A833F3" w:rsidP="00A833F3">
            <w:pPr>
              <w:spacing w:after="0" w:line="240" w:lineRule="auto"/>
              <w:jc w:val="right"/>
              <w:rPr>
                <w:rFonts w:ascii="Arial" w:eastAsia="Times New Roman" w:hAnsi="Arial"/>
                <w:b/>
                <w:bCs/>
                <w:sz w:val="19"/>
                <w:szCs w:val="19"/>
                <w:lang w:eastAsia="pl-PL"/>
              </w:rPr>
            </w:pPr>
            <w:r w:rsidRPr="00BE39F1">
              <w:rPr>
                <w:rFonts w:ascii="Arial" w:hAnsi="Arial"/>
                <w:b/>
                <w:bCs/>
                <w:color w:val="000000"/>
                <w:sz w:val="19"/>
                <w:szCs w:val="19"/>
              </w:rPr>
              <w:t>15,9%</w:t>
            </w:r>
          </w:p>
        </w:tc>
      </w:tr>
      <w:tr w:rsidR="00A833F3" w:rsidRPr="00BE39F1" w14:paraId="59B1061A" w14:textId="77777777" w:rsidTr="00BA63E5">
        <w:trPr>
          <w:trHeight w:val="141"/>
        </w:trPr>
        <w:tc>
          <w:tcPr>
            <w:tcW w:w="2012" w:type="dxa"/>
            <w:tcBorders>
              <w:top w:val="nil"/>
              <w:left w:val="nil"/>
              <w:bottom w:val="nil"/>
              <w:right w:val="nil"/>
            </w:tcBorders>
            <w:shd w:val="clear" w:color="auto" w:fill="auto"/>
            <w:noWrap/>
            <w:vAlign w:val="bottom"/>
            <w:hideMark/>
          </w:tcPr>
          <w:p w14:paraId="54181FDF" w14:textId="77777777" w:rsidR="00A833F3" w:rsidRPr="00BE39F1" w:rsidRDefault="00A833F3" w:rsidP="00A833F3">
            <w:pPr>
              <w:spacing w:after="0" w:line="240" w:lineRule="auto"/>
              <w:rPr>
                <w:rFonts w:ascii="Arial" w:eastAsia="Times New Roman" w:hAnsi="Arial"/>
                <w:sz w:val="19"/>
                <w:szCs w:val="19"/>
                <w:lang w:eastAsia="pl-PL"/>
              </w:rPr>
            </w:pPr>
            <w:r w:rsidRPr="00BE39F1">
              <w:rPr>
                <w:rFonts w:ascii="Arial" w:hAnsi="Arial"/>
                <w:sz w:val="19"/>
                <w:szCs w:val="19"/>
              </w:rPr>
              <w:t xml:space="preserve">Małopolskie </w:t>
            </w:r>
          </w:p>
        </w:tc>
        <w:tc>
          <w:tcPr>
            <w:tcW w:w="1576" w:type="dxa"/>
            <w:tcBorders>
              <w:top w:val="nil"/>
              <w:left w:val="nil"/>
              <w:bottom w:val="nil"/>
              <w:right w:val="nil"/>
            </w:tcBorders>
            <w:shd w:val="clear" w:color="auto" w:fill="auto"/>
            <w:noWrap/>
            <w:vAlign w:val="bottom"/>
            <w:hideMark/>
          </w:tcPr>
          <w:p w14:paraId="3C8B88C0"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sz w:val="19"/>
                <w:szCs w:val="19"/>
              </w:rPr>
              <w:t>62613</w:t>
            </w:r>
          </w:p>
        </w:tc>
        <w:tc>
          <w:tcPr>
            <w:tcW w:w="2008" w:type="dxa"/>
            <w:tcBorders>
              <w:top w:val="nil"/>
              <w:left w:val="nil"/>
              <w:bottom w:val="nil"/>
              <w:right w:val="nil"/>
            </w:tcBorders>
            <w:vAlign w:val="bottom"/>
          </w:tcPr>
          <w:p w14:paraId="500A0651"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color w:val="000000"/>
                <w:sz w:val="19"/>
                <w:szCs w:val="19"/>
              </w:rPr>
              <w:t>41,1%</w:t>
            </w:r>
          </w:p>
        </w:tc>
        <w:tc>
          <w:tcPr>
            <w:tcW w:w="1588" w:type="dxa"/>
            <w:tcBorders>
              <w:top w:val="nil"/>
              <w:left w:val="nil"/>
              <w:bottom w:val="nil"/>
              <w:right w:val="nil"/>
            </w:tcBorders>
            <w:shd w:val="clear" w:color="auto" w:fill="auto"/>
            <w:noWrap/>
            <w:vAlign w:val="bottom"/>
            <w:hideMark/>
          </w:tcPr>
          <w:p w14:paraId="2BA11FBA"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sz w:val="19"/>
                <w:szCs w:val="19"/>
              </w:rPr>
              <w:t>19803</w:t>
            </w:r>
          </w:p>
        </w:tc>
        <w:tc>
          <w:tcPr>
            <w:tcW w:w="1998" w:type="dxa"/>
            <w:tcBorders>
              <w:top w:val="nil"/>
              <w:left w:val="nil"/>
              <w:bottom w:val="nil"/>
              <w:right w:val="nil"/>
            </w:tcBorders>
            <w:vAlign w:val="bottom"/>
          </w:tcPr>
          <w:p w14:paraId="5F4AF54A"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color w:val="000000"/>
                <w:sz w:val="19"/>
                <w:szCs w:val="19"/>
              </w:rPr>
              <w:t>13,0%</w:t>
            </w:r>
          </w:p>
        </w:tc>
      </w:tr>
      <w:tr w:rsidR="00A833F3" w:rsidRPr="00BE39F1" w14:paraId="7CF66D86" w14:textId="77777777" w:rsidTr="00BA63E5">
        <w:trPr>
          <w:trHeight w:val="141"/>
        </w:trPr>
        <w:tc>
          <w:tcPr>
            <w:tcW w:w="2012" w:type="dxa"/>
            <w:tcBorders>
              <w:top w:val="nil"/>
              <w:left w:val="nil"/>
              <w:bottom w:val="nil"/>
              <w:right w:val="nil"/>
            </w:tcBorders>
            <w:shd w:val="clear" w:color="auto" w:fill="auto"/>
            <w:noWrap/>
            <w:vAlign w:val="bottom"/>
            <w:hideMark/>
          </w:tcPr>
          <w:p w14:paraId="7743F4B3" w14:textId="77777777" w:rsidR="00A833F3" w:rsidRPr="00BE39F1" w:rsidRDefault="00A833F3" w:rsidP="00A833F3">
            <w:pPr>
              <w:spacing w:after="0" w:line="240" w:lineRule="auto"/>
              <w:rPr>
                <w:rFonts w:ascii="Arial" w:eastAsia="Times New Roman" w:hAnsi="Arial"/>
                <w:sz w:val="19"/>
                <w:szCs w:val="19"/>
                <w:lang w:eastAsia="pl-PL"/>
              </w:rPr>
            </w:pPr>
            <w:r w:rsidRPr="00BE39F1">
              <w:rPr>
                <w:rFonts w:ascii="Arial" w:hAnsi="Arial"/>
                <w:sz w:val="19"/>
                <w:szCs w:val="19"/>
              </w:rPr>
              <w:t xml:space="preserve">Podkarpackie </w:t>
            </w:r>
          </w:p>
        </w:tc>
        <w:tc>
          <w:tcPr>
            <w:tcW w:w="1576" w:type="dxa"/>
            <w:tcBorders>
              <w:top w:val="nil"/>
              <w:left w:val="nil"/>
              <w:bottom w:val="nil"/>
              <w:right w:val="nil"/>
            </w:tcBorders>
            <w:shd w:val="clear" w:color="auto" w:fill="auto"/>
            <w:noWrap/>
            <w:vAlign w:val="bottom"/>
            <w:hideMark/>
          </w:tcPr>
          <w:p w14:paraId="050F6E64"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sz w:val="19"/>
                <w:szCs w:val="19"/>
              </w:rPr>
              <w:t>43157</w:t>
            </w:r>
          </w:p>
        </w:tc>
        <w:tc>
          <w:tcPr>
            <w:tcW w:w="2008" w:type="dxa"/>
            <w:tcBorders>
              <w:top w:val="nil"/>
              <w:left w:val="nil"/>
              <w:bottom w:val="nil"/>
              <w:right w:val="nil"/>
            </w:tcBorders>
            <w:vAlign w:val="bottom"/>
          </w:tcPr>
          <w:p w14:paraId="3C0AB371" w14:textId="77777777" w:rsidR="00A833F3" w:rsidRPr="00BE39F1" w:rsidRDefault="00A833F3" w:rsidP="00A833F3">
            <w:pPr>
              <w:spacing w:after="0" w:line="240" w:lineRule="auto"/>
              <w:jc w:val="right"/>
              <w:rPr>
                <w:rFonts w:ascii="Arial" w:eastAsia="Times New Roman" w:hAnsi="Arial"/>
                <w:b/>
                <w:bCs/>
                <w:sz w:val="19"/>
                <w:szCs w:val="19"/>
                <w:lang w:eastAsia="pl-PL"/>
              </w:rPr>
            </w:pPr>
            <w:r w:rsidRPr="00BE39F1">
              <w:rPr>
                <w:rFonts w:ascii="Arial" w:hAnsi="Arial"/>
                <w:b/>
                <w:bCs/>
                <w:color w:val="000000"/>
                <w:sz w:val="19"/>
                <w:szCs w:val="19"/>
              </w:rPr>
              <w:t>44,6%</w:t>
            </w:r>
          </w:p>
        </w:tc>
        <w:tc>
          <w:tcPr>
            <w:tcW w:w="1588" w:type="dxa"/>
            <w:tcBorders>
              <w:top w:val="nil"/>
              <w:left w:val="nil"/>
              <w:bottom w:val="nil"/>
              <w:right w:val="nil"/>
            </w:tcBorders>
            <w:shd w:val="clear" w:color="auto" w:fill="auto"/>
            <w:noWrap/>
            <w:vAlign w:val="bottom"/>
            <w:hideMark/>
          </w:tcPr>
          <w:p w14:paraId="0192C9F9"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sz w:val="19"/>
                <w:szCs w:val="19"/>
              </w:rPr>
              <w:t>9651</w:t>
            </w:r>
          </w:p>
        </w:tc>
        <w:tc>
          <w:tcPr>
            <w:tcW w:w="1998" w:type="dxa"/>
            <w:tcBorders>
              <w:top w:val="nil"/>
              <w:left w:val="nil"/>
              <w:bottom w:val="nil"/>
              <w:right w:val="nil"/>
            </w:tcBorders>
            <w:vAlign w:val="bottom"/>
          </w:tcPr>
          <w:p w14:paraId="775B19B7"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color w:val="000000"/>
                <w:sz w:val="19"/>
                <w:szCs w:val="19"/>
              </w:rPr>
              <w:t>10,0%</w:t>
            </w:r>
          </w:p>
        </w:tc>
      </w:tr>
      <w:tr w:rsidR="00A833F3" w:rsidRPr="00BE39F1" w14:paraId="3C860FBF" w14:textId="77777777" w:rsidTr="00BA63E5">
        <w:trPr>
          <w:trHeight w:val="141"/>
        </w:trPr>
        <w:tc>
          <w:tcPr>
            <w:tcW w:w="2012" w:type="dxa"/>
            <w:tcBorders>
              <w:top w:val="nil"/>
              <w:left w:val="nil"/>
              <w:bottom w:val="nil"/>
              <w:right w:val="nil"/>
            </w:tcBorders>
            <w:shd w:val="clear" w:color="auto" w:fill="auto"/>
            <w:noWrap/>
            <w:vAlign w:val="bottom"/>
            <w:hideMark/>
          </w:tcPr>
          <w:p w14:paraId="14D4B694" w14:textId="77777777" w:rsidR="00A833F3" w:rsidRPr="00BE39F1" w:rsidRDefault="00A833F3" w:rsidP="00A833F3">
            <w:pPr>
              <w:spacing w:after="0" w:line="240" w:lineRule="auto"/>
              <w:rPr>
                <w:rFonts w:ascii="Arial" w:eastAsia="Times New Roman" w:hAnsi="Arial"/>
                <w:sz w:val="19"/>
                <w:szCs w:val="19"/>
                <w:lang w:eastAsia="pl-PL"/>
              </w:rPr>
            </w:pPr>
            <w:r w:rsidRPr="00BE39F1">
              <w:rPr>
                <w:rFonts w:ascii="Arial" w:hAnsi="Arial"/>
                <w:sz w:val="19"/>
                <w:szCs w:val="19"/>
              </w:rPr>
              <w:t xml:space="preserve">Dolnośląskie </w:t>
            </w:r>
          </w:p>
        </w:tc>
        <w:tc>
          <w:tcPr>
            <w:tcW w:w="1576" w:type="dxa"/>
            <w:tcBorders>
              <w:top w:val="nil"/>
              <w:left w:val="nil"/>
              <w:bottom w:val="nil"/>
              <w:right w:val="nil"/>
            </w:tcBorders>
            <w:shd w:val="clear" w:color="auto" w:fill="auto"/>
            <w:noWrap/>
            <w:vAlign w:val="bottom"/>
            <w:hideMark/>
          </w:tcPr>
          <w:p w14:paraId="3F6CF9D9"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sz w:val="19"/>
                <w:szCs w:val="19"/>
              </w:rPr>
              <w:t>42112</w:t>
            </w:r>
          </w:p>
        </w:tc>
        <w:tc>
          <w:tcPr>
            <w:tcW w:w="2008" w:type="dxa"/>
            <w:tcBorders>
              <w:top w:val="nil"/>
              <w:left w:val="nil"/>
              <w:bottom w:val="nil"/>
              <w:right w:val="nil"/>
            </w:tcBorders>
            <w:vAlign w:val="bottom"/>
          </w:tcPr>
          <w:p w14:paraId="52B9C882"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color w:val="000000"/>
                <w:sz w:val="19"/>
                <w:szCs w:val="19"/>
              </w:rPr>
              <w:t>38,9%</w:t>
            </w:r>
          </w:p>
        </w:tc>
        <w:tc>
          <w:tcPr>
            <w:tcW w:w="1588" w:type="dxa"/>
            <w:tcBorders>
              <w:top w:val="nil"/>
              <w:left w:val="nil"/>
              <w:bottom w:val="nil"/>
              <w:right w:val="nil"/>
            </w:tcBorders>
            <w:shd w:val="clear" w:color="auto" w:fill="auto"/>
            <w:noWrap/>
            <w:vAlign w:val="bottom"/>
            <w:hideMark/>
          </w:tcPr>
          <w:p w14:paraId="3C4DF26D"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sz w:val="19"/>
                <w:szCs w:val="19"/>
              </w:rPr>
              <w:t>11 866</w:t>
            </w:r>
          </w:p>
        </w:tc>
        <w:tc>
          <w:tcPr>
            <w:tcW w:w="1998" w:type="dxa"/>
            <w:tcBorders>
              <w:top w:val="nil"/>
              <w:left w:val="nil"/>
              <w:bottom w:val="nil"/>
              <w:right w:val="nil"/>
            </w:tcBorders>
            <w:vAlign w:val="bottom"/>
          </w:tcPr>
          <w:p w14:paraId="155A1937"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color w:val="000000"/>
                <w:sz w:val="19"/>
                <w:szCs w:val="19"/>
              </w:rPr>
              <w:t>11,0%</w:t>
            </w:r>
          </w:p>
        </w:tc>
      </w:tr>
      <w:tr w:rsidR="00A833F3" w:rsidRPr="00BE39F1" w14:paraId="324B1D07" w14:textId="77777777" w:rsidTr="00BA63E5">
        <w:trPr>
          <w:trHeight w:val="141"/>
        </w:trPr>
        <w:tc>
          <w:tcPr>
            <w:tcW w:w="2012" w:type="dxa"/>
            <w:tcBorders>
              <w:top w:val="nil"/>
              <w:left w:val="nil"/>
              <w:bottom w:val="nil"/>
              <w:right w:val="nil"/>
            </w:tcBorders>
            <w:shd w:val="clear" w:color="auto" w:fill="auto"/>
            <w:noWrap/>
            <w:vAlign w:val="bottom"/>
            <w:hideMark/>
          </w:tcPr>
          <w:p w14:paraId="7E16F823" w14:textId="77777777" w:rsidR="00A833F3" w:rsidRPr="00BE39F1" w:rsidRDefault="00A833F3" w:rsidP="00A833F3">
            <w:pPr>
              <w:spacing w:after="0" w:line="240" w:lineRule="auto"/>
              <w:rPr>
                <w:rFonts w:ascii="Arial" w:eastAsia="Times New Roman" w:hAnsi="Arial"/>
                <w:sz w:val="19"/>
                <w:szCs w:val="19"/>
                <w:lang w:eastAsia="pl-PL"/>
              </w:rPr>
            </w:pPr>
            <w:r w:rsidRPr="00BE39F1">
              <w:rPr>
                <w:rFonts w:ascii="Arial" w:hAnsi="Arial"/>
                <w:sz w:val="19"/>
                <w:szCs w:val="19"/>
              </w:rPr>
              <w:t xml:space="preserve">Pomorskie </w:t>
            </w:r>
          </w:p>
        </w:tc>
        <w:tc>
          <w:tcPr>
            <w:tcW w:w="1576" w:type="dxa"/>
            <w:tcBorders>
              <w:top w:val="nil"/>
              <w:left w:val="nil"/>
              <w:bottom w:val="nil"/>
              <w:right w:val="nil"/>
            </w:tcBorders>
            <w:shd w:val="clear" w:color="auto" w:fill="auto"/>
            <w:noWrap/>
            <w:vAlign w:val="bottom"/>
            <w:hideMark/>
          </w:tcPr>
          <w:p w14:paraId="523A4A2E"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sz w:val="19"/>
                <w:szCs w:val="19"/>
              </w:rPr>
              <w:t>39641</w:t>
            </w:r>
          </w:p>
        </w:tc>
        <w:tc>
          <w:tcPr>
            <w:tcW w:w="2008" w:type="dxa"/>
            <w:tcBorders>
              <w:top w:val="nil"/>
              <w:left w:val="nil"/>
              <w:bottom w:val="nil"/>
              <w:right w:val="nil"/>
            </w:tcBorders>
            <w:vAlign w:val="bottom"/>
          </w:tcPr>
          <w:p w14:paraId="213C9D1B"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color w:val="000000"/>
                <w:sz w:val="19"/>
                <w:szCs w:val="19"/>
              </w:rPr>
              <w:t>37,5%</w:t>
            </w:r>
          </w:p>
        </w:tc>
        <w:tc>
          <w:tcPr>
            <w:tcW w:w="1588" w:type="dxa"/>
            <w:tcBorders>
              <w:top w:val="nil"/>
              <w:left w:val="nil"/>
              <w:bottom w:val="nil"/>
              <w:right w:val="nil"/>
            </w:tcBorders>
            <w:shd w:val="clear" w:color="auto" w:fill="auto"/>
            <w:noWrap/>
            <w:vAlign w:val="bottom"/>
            <w:hideMark/>
          </w:tcPr>
          <w:p w14:paraId="2D63D8D8"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sz w:val="19"/>
                <w:szCs w:val="19"/>
              </w:rPr>
              <w:t>15532</w:t>
            </w:r>
          </w:p>
        </w:tc>
        <w:tc>
          <w:tcPr>
            <w:tcW w:w="1998" w:type="dxa"/>
            <w:tcBorders>
              <w:top w:val="nil"/>
              <w:left w:val="nil"/>
              <w:bottom w:val="nil"/>
              <w:right w:val="nil"/>
            </w:tcBorders>
            <w:vAlign w:val="bottom"/>
          </w:tcPr>
          <w:p w14:paraId="6A82AD9C"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color w:val="000000"/>
                <w:sz w:val="19"/>
                <w:szCs w:val="19"/>
              </w:rPr>
              <w:t>14,7%</w:t>
            </w:r>
          </w:p>
        </w:tc>
      </w:tr>
      <w:tr w:rsidR="00A833F3" w:rsidRPr="00BE39F1" w14:paraId="2B5CB3A8" w14:textId="77777777" w:rsidTr="00BA63E5">
        <w:trPr>
          <w:trHeight w:val="141"/>
        </w:trPr>
        <w:tc>
          <w:tcPr>
            <w:tcW w:w="2012" w:type="dxa"/>
            <w:tcBorders>
              <w:top w:val="nil"/>
              <w:left w:val="nil"/>
              <w:bottom w:val="nil"/>
              <w:right w:val="nil"/>
            </w:tcBorders>
            <w:shd w:val="clear" w:color="auto" w:fill="auto"/>
            <w:noWrap/>
            <w:vAlign w:val="bottom"/>
            <w:hideMark/>
          </w:tcPr>
          <w:p w14:paraId="06A569D7" w14:textId="77777777" w:rsidR="00A833F3" w:rsidRPr="00BE39F1" w:rsidRDefault="00A833F3" w:rsidP="00A833F3">
            <w:pPr>
              <w:spacing w:after="0" w:line="240" w:lineRule="auto"/>
              <w:rPr>
                <w:rFonts w:ascii="Arial" w:eastAsia="Times New Roman" w:hAnsi="Arial"/>
                <w:sz w:val="19"/>
                <w:szCs w:val="19"/>
                <w:lang w:eastAsia="pl-PL"/>
              </w:rPr>
            </w:pPr>
            <w:r w:rsidRPr="00BE39F1">
              <w:rPr>
                <w:rFonts w:ascii="Arial" w:hAnsi="Arial"/>
                <w:sz w:val="19"/>
                <w:szCs w:val="19"/>
              </w:rPr>
              <w:t xml:space="preserve">Łódzkie </w:t>
            </w:r>
          </w:p>
        </w:tc>
        <w:tc>
          <w:tcPr>
            <w:tcW w:w="1576" w:type="dxa"/>
            <w:tcBorders>
              <w:top w:val="nil"/>
              <w:left w:val="nil"/>
              <w:bottom w:val="nil"/>
              <w:right w:val="nil"/>
            </w:tcBorders>
            <w:shd w:val="clear" w:color="auto" w:fill="auto"/>
            <w:noWrap/>
            <w:vAlign w:val="bottom"/>
            <w:hideMark/>
          </w:tcPr>
          <w:p w14:paraId="12DA1DD9"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sz w:val="19"/>
                <w:szCs w:val="19"/>
              </w:rPr>
              <w:t>39136</w:t>
            </w:r>
          </w:p>
        </w:tc>
        <w:tc>
          <w:tcPr>
            <w:tcW w:w="2008" w:type="dxa"/>
            <w:tcBorders>
              <w:top w:val="nil"/>
              <w:left w:val="nil"/>
              <w:bottom w:val="nil"/>
              <w:right w:val="nil"/>
            </w:tcBorders>
            <w:vAlign w:val="bottom"/>
          </w:tcPr>
          <w:p w14:paraId="54B7BEE9"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color w:val="000000"/>
                <w:sz w:val="19"/>
                <w:szCs w:val="19"/>
              </w:rPr>
              <w:t>39,5%</w:t>
            </w:r>
          </w:p>
        </w:tc>
        <w:tc>
          <w:tcPr>
            <w:tcW w:w="1588" w:type="dxa"/>
            <w:tcBorders>
              <w:top w:val="nil"/>
              <w:left w:val="nil"/>
              <w:bottom w:val="nil"/>
              <w:right w:val="nil"/>
            </w:tcBorders>
            <w:shd w:val="clear" w:color="auto" w:fill="auto"/>
            <w:noWrap/>
            <w:vAlign w:val="bottom"/>
            <w:hideMark/>
          </w:tcPr>
          <w:p w14:paraId="2823C983"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sz w:val="19"/>
                <w:szCs w:val="19"/>
              </w:rPr>
              <w:t>8354</w:t>
            </w:r>
          </w:p>
        </w:tc>
        <w:tc>
          <w:tcPr>
            <w:tcW w:w="1998" w:type="dxa"/>
            <w:tcBorders>
              <w:top w:val="nil"/>
              <w:left w:val="nil"/>
              <w:bottom w:val="nil"/>
              <w:right w:val="nil"/>
            </w:tcBorders>
            <w:vAlign w:val="bottom"/>
          </w:tcPr>
          <w:p w14:paraId="7FF66A65"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color w:val="000000"/>
                <w:sz w:val="19"/>
                <w:szCs w:val="19"/>
              </w:rPr>
              <w:t>8,4%</w:t>
            </w:r>
          </w:p>
        </w:tc>
      </w:tr>
      <w:tr w:rsidR="00A833F3" w:rsidRPr="00BE39F1" w14:paraId="0BCA111E" w14:textId="77777777" w:rsidTr="00BA63E5">
        <w:trPr>
          <w:trHeight w:val="141"/>
        </w:trPr>
        <w:tc>
          <w:tcPr>
            <w:tcW w:w="2012" w:type="dxa"/>
            <w:tcBorders>
              <w:top w:val="nil"/>
              <w:left w:val="nil"/>
              <w:bottom w:val="nil"/>
              <w:right w:val="nil"/>
            </w:tcBorders>
            <w:shd w:val="clear" w:color="auto" w:fill="auto"/>
            <w:noWrap/>
            <w:vAlign w:val="bottom"/>
            <w:hideMark/>
          </w:tcPr>
          <w:p w14:paraId="1E64FD63" w14:textId="77777777" w:rsidR="00A833F3" w:rsidRPr="00BE39F1" w:rsidRDefault="00A833F3" w:rsidP="00A833F3">
            <w:pPr>
              <w:spacing w:after="0" w:line="240" w:lineRule="auto"/>
              <w:rPr>
                <w:rFonts w:ascii="Arial" w:eastAsia="Times New Roman" w:hAnsi="Arial"/>
                <w:sz w:val="19"/>
                <w:szCs w:val="19"/>
                <w:lang w:eastAsia="pl-PL"/>
              </w:rPr>
            </w:pPr>
            <w:r w:rsidRPr="00BE39F1">
              <w:rPr>
                <w:rFonts w:ascii="Arial" w:hAnsi="Arial"/>
                <w:sz w:val="19"/>
                <w:szCs w:val="19"/>
              </w:rPr>
              <w:t xml:space="preserve">Lubelskie </w:t>
            </w:r>
          </w:p>
        </w:tc>
        <w:tc>
          <w:tcPr>
            <w:tcW w:w="1576" w:type="dxa"/>
            <w:tcBorders>
              <w:top w:val="nil"/>
              <w:left w:val="nil"/>
              <w:bottom w:val="nil"/>
              <w:right w:val="nil"/>
            </w:tcBorders>
            <w:shd w:val="clear" w:color="auto" w:fill="auto"/>
            <w:noWrap/>
            <w:vAlign w:val="bottom"/>
            <w:hideMark/>
          </w:tcPr>
          <w:p w14:paraId="23599223"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sz w:val="19"/>
                <w:szCs w:val="19"/>
              </w:rPr>
              <w:t>38425</w:t>
            </w:r>
          </w:p>
        </w:tc>
        <w:tc>
          <w:tcPr>
            <w:tcW w:w="2008" w:type="dxa"/>
            <w:tcBorders>
              <w:top w:val="nil"/>
              <w:left w:val="nil"/>
              <w:bottom w:val="nil"/>
              <w:right w:val="nil"/>
            </w:tcBorders>
            <w:vAlign w:val="bottom"/>
          </w:tcPr>
          <w:p w14:paraId="3E481405"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color w:val="000000"/>
                <w:sz w:val="19"/>
                <w:szCs w:val="19"/>
              </w:rPr>
              <w:t>41,3%</w:t>
            </w:r>
          </w:p>
        </w:tc>
        <w:tc>
          <w:tcPr>
            <w:tcW w:w="1588" w:type="dxa"/>
            <w:tcBorders>
              <w:top w:val="nil"/>
              <w:left w:val="nil"/>
              <w:bottom w:val="nil"/>
              <w:right w:val="nil"/>
            </w:tcBorders>
            <w:shd w:val="clear" w:color="auto" w:fill="auto"/>
            <w:noWrap/>
            <w:vAlign w:val="bottom"/>
            <w:hideMark/>
          </w:tcPr>
          <w:p w14:paraId="6E34CC58"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sz w:val="19"/>
                <w:szCs w:val="19"/>
              </w:rPr>
              <w:t>8097</w:t>
            </w:r>
          </w:p>
        </w:tc>
        <w:tc>
          <w:tcPr>
            <w:tcW w:w="1998" w:type="dxa"/>
            <w:tcBorders>
              <w:top w:val="nil"/>
              <w:left w:val="nil"/>
              <w:bottom w:val="nil"/>
              <w:right w:val="nil"/>
            </w:tcBorders>
            <w:vAlign w:val="bottom"/>
          </w:tcPr>
          <w:p w14:paraId="7A904593"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color w:val="000000"/>
                <w:sz w:val="19"/>
                <w:szCs w:val="19"/>
              </w:rPr>
              <w:t>8,7%</w:t>
            </w:r>
          </w:p>
        </w:tc>
      </w:tr>
      <w:tr w:rsidR="00A833F3" w:rsidRPr="00BE39F1" w14:paraId="075F92D9" w14:textId="77777777" w:rsidTr="00BA63E5">
        <w:trPr>
          <w:trHeight w:val="141"/>
        </w:trPr>
        <w:tc>
          <w:tcPr>
            <w:tcW w:w="2012" w:type="dxa"/>
            <w:tcBorders>
              <w:top w:val="nil"/>
              <w:left w:val="nil"/>
              <w:bottom w:val="nil"/>
              <w:right w:val="nil"/>
            </w:tcBorders>
            <w:shd w:val="clear" w:color="auto" w:fill="auto"/>
            <w:noWrap/>
            <w:vAlign w:val="bottom"/>
            <w:hideMark/>
          </w:tcPr>
          <w:p w14:paraId="61FF50FC" w14:textId="77777777" w:rsidR="00A833F3" w:rsidRPr="00BE39F1" w:rsidRDefault="00A833F3" w:rsidP="00A833F3">
            <w:pPr>
              <w:spacing w:after="0" w:line="240" w:lineRule="auto"/>
              <w:rPr>
                <w:rFonts w:ascii="Arial" w:eastAsia="Times New Roman" w:hAnsi="Arial"/>
                <w:sz w:val="19"/>
                <w:szCs w:val="19"/>
                <w:lang w:eastAsia="pl-PL"/>
              </w:rPr>
            </w:pPr>
            <w:r w:rsidRPr="00BE39F1">
              <w:rPr>
                <w:rFonts w:ascii="Arial" w:hAnsi="Arial"/>
                <w:sz w:val="19"/>
                <w:szCs w:val="19"/>
              </w:rPr>
              <w:t xml:space="preserve">Kujawsko-pomorskie </w:t>
            </w:r>
          </w:p>
        </w:tc>
        <w:tc>
          <w:tcPr>
            <w:tcW w:w="1576" w:type="dxa"/>
            <w:tcBorders>
              <w:top w:val="nil"/>
              <w:left w:val="nil"/>
              <w:bottom w:val="nil"/>
              <w:right w:val="nil"/>
            </w:tcBorders>
            <w:shd w:val="clear" w:color="auto" w:fill="auto"/>
            <w:noWrap/>
            <w:vAlign w:val="bottom"/>
            <w:hideMark/>
          </w:tcPr>
          <w:p w14:paraId="1AD2D061"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sz w:val="19"/>
                <w:szCs w:val="19"/>
              </w:rPr>
              <w:t>38340</w:t>
            </w:r>
          </w:p>
        </w:tc>
        <w:tc>
          <w:tcPr>
            <w:tcW w:w="2008" w:type="dxa"/>
            <w:tcBorders>
              <w:top w:val="nil"/>
              <w:left w:val="nil"/>
              <w:bottom w:val="nil"/>
              <w:right w:val="nil"/>
            </w:tcBorders>
            <w:vAlign w:val="bottom"/>
          </w:tcPr>
          <w:p w14:paraId="2490E43E"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color w:val="000000"/>
                <w:sz w:val="19"/>
                <w:szCs w:val="19"/>
              </w:rPr>
              <w:t>42,0%</w:t>
            </w:r>
          </w:p>
        </w:tc>
        <w:tc>
          <w:tcPr>
            <w:tcW w:w="1588" w:type="dxa"/>
            <w:tcBorders>
              <w:top w:val="nil"/>
              <w:left w:val="nil"/>
              <w:bottom w:val="nil"/>
              <w:right w:val="nil"/>
            </w:tcBorders>
            <w:shd w:val="clear" w:color="auto" w:fill="auto"/>
            <w:noWrap/>
            <w:vAlign w:val="bottom"/>
            <w:hideMark/>
          </w:tcPr>
          <w:p w14:paraId="6590F18B"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sz w:val="19"/>
                <w:szCs w:val="19"/>
              </w:rPr>
              <w:t>12075</w:t>
            </w:r>
          </w:p>
        </w:tc>
        <w:tc>
          <w:tcPr>
            <w:tcW w:w="1998" w:type="dxa"/>
            <w:tcBorders>
              <w:top w:val="nil"/>
              <w:left w:val="nil"/>
              <w:bottom w:val="nil"/>
              <w:right w:val="nil"/>
            </w:tcBorders>
            <w:vAlign w:val="bottom"/>
          </w:tcPr>
          <w:p w14:paraId="048F453B"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color w:val="000000"/>
                <w:sz w:val="19"/>
                <w:szCs w:val="19"/>
              </w:rPr>
              <w:t>13,2%</w:t>
            </w:r>
          </w:p>
        </w:tc>
      </w:tr>
      <w:tr w:rsidR="00A833F3" w:rsidRPr="00BE39F1" w14:paraId="005B2934" w14:textId="77777777" w:rsidTr="00BA63E5">
        <w:trPr>
          <w:trHeight w:val="141"/>
        </w:trPr>
        <w:tc>
          <w:tcPr>
            <w:tcW w:w="2012" w:type="dxa"/>
            <w:tcBorders>
              <w:top w:val="nil"/>
              <w:left w:val="nil"/>
              <w:bottom w:val="nil"/>
              <w:right w:val="nil"/>
            </w:tcBorders>
            <w:shd w:val="clear" w:color="auto" w:fill="auto"/>
            <w:noWrap/>
            <w:vAlign w:val="bottom"/>
            <w:hideMark/>
          </w:tcPr>
          <w:p w14:paraId="78913AF6" w14:textId="77777777" w:rsidR="00A833F3" w:rsidRPr="00BE39F1" w:rsidRDefault="00A833F3" w:rsidP="00A833F3">
            <w:pPr>
              <w:spacing w:after="0" w:line="240" w:lineRule="auto"/>
              <w:rPr>
                <w:rFonts w:ascii="Arial" w:eastAsia="Times New Roman" w:hAnsi="Arial"/>
                <w:sz w:val="19"/>
                <w:szCs w:val="19"/>
                <w:lang w:eastAsia="pl-PL"/>
              </w:rPr>
            </w:pPr>
            <w:r w:rsidRPr="00BE39F1">
              <w:rPr>
                <w:rFonts w:ascii="Arial" w:hAnsi="Arial"/>
                <w:sz w:val="19"/>
                <w:szCs w:val="19"/>
              </w:rPr>
              <w:t xml:space="preserve">Zachodniopomorskie </w:t>
            </w:r>
          </w:p>
        </w:tc>
        <w:tc>
          <w:tcPr>
            <w:tcW w:w="1576" w:type="dxa"/>
            <w:tcBorders>
              <w:top w:val="nil"/>
              <w:left w:val="nil"/>
              <w:bottom w:val="nil"/>
              <w:right w:val="nil"/>
            </w:tcBorders>
            <w:shd w:val="clear" w:color="auto" w:fill="auto"/>
            <w:noWrap/>
            <w:vAlign w:val="bottom"/>
            <w:hideMark/>
          </w:tcPr>
          <w:p w14:paraId="768FEF0B"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sz w:val="19"/>
                <w:szCs w:val="19"/>
              </w:rPr>
              <w:t>25356</w:t>
            </w:r>
          </w:p>
        </w:tc>
        <w:tc>
          <w:tcPr>
            <w:tcW w:w="2008" w:type="dxa"/>
            <w:tcBorders>
              <w:top w:val="nil"/>
              <w:left w:val="nil"/>
              <w:bottom w:val="nil"/>
              <w:right w:val="nil"/>
            </w:tcBorders>
            <w:vAlign w:val="bottom"/>
          </w:tcPr>
          <w:p w14:paraId="0AD2669F"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color w:val="000000"/>
                <w:sz w:val="19"/>
                <w:szCs w:val="19"/>
              </w:rPr>
              <w:t>38,7%</w:t>
            </w:r>
          </w:p>
        </w:tc>
        <w:tc>
          <w:tcPr>
            <w:tcW w:w="1588" w:type="dxa"/>
            <w:tcBorders>
              <w:top w:val="nil"/>
              <w:left w:val="nil"/>
              <w:bottom w:val="nil"/>
              <w:right w:val="nil"/>
            </w:tcBorders>
            <w:shd w:val="clear" w:color="auto" w:fill="auto"/>
            <w:noWrap/>
            <w:vAlign w:val="bottom"/>
            <w:hideMark/>
          </w:tcPr>
          <w:p w14:paraId="44B78B59"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sz w:val="19"/>
                <w:szCs w:val="19"/>
              </w:rPr>
              <w:t>8168</w:t>
            </w:r>
          </w:p>
        </w:tc>
        <w:tc>
          <w:tcPr>
            <w:tcW w:w="1998" w:type="dxa"/>
            <w:tcBorders>
              <w:top w:val="nil"/>
              <w:left w:val="nil"/>
              <w:bottom w:val="nil"/>
              <w:right w:val="nil"/>
            </w:tcBorders>
            <w:vAlign w:val="bottom"/>
          </w:tcPr>
          <w:p w14:paraId="5069A7E7"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color w:val="000000"/>
                <w:sz w:val="19"/>
                <w:szCs w:val="19"/>
              </w:rPr>
              <w:t>12,5%</w:t>
            </w:r>
          </w:p>
        </w:tc>
      </w:tr>
      <w:tr w:rsidR="00A833F3" w:rsidRPr="00BE39F1" w14:paraId="39F5C168" w14:textId="77777777" w:rsidTr="00BA63E5">
        <w:trPr>
          <w:trHeight w:val="141"/>
        </w:trPr>
        <w:tc>
          <w:tcPr>
            <w:tcW w:w="2012" w:type="dxa"/>
            <w:tcBorders>
              <w:top w:val="nil"/>
              <w:left w:val="nil"/>
              <w:bottom w:val="nil"/>
              <w:right w:val="nil"/>
            </w:tcBorders>
            <w:shd w:val="clear" w:color="auto" w:fill="auto"/>
            <w:noWrap/>
            <w:vAlign w:val="bottom"/>
            <w:hideMark/>
          </w:tcPr>
          <w:p w14:paraId="44487307" w14:textId="77777777" w:rsidR="00A833F3" w:rsidRPr="00BE39F1" w:rsidRDefault="00A833F3" w:rsidP="00A833F3">
            <w:pPr>
              <w:spacing w:after="0" w:line="240" w:lineRule="auto"/>
              <w:rPr>
                <w:rFonts w:ascii="Arial" w:eastAsia="Times New Roman" w:hAnsi="Arial"/>
                <w:sz w:val="19"/>
                <w:szCs w:val="19"/>
                <w:lang w:eastAsia="pl-PL"/>
              </w:rPr>
            </w:pPr>
            <w:r w:rsidRPr="00BE39F1">
              <w:rPr>
                <w:rFonts w:ascii="Arial" w:hAnsi="Arial"/>
                <w:sz w:val="19"/>
                <w:szCs w:val="19"/>
              </w:rPr>
              <w:t xml:space="preserve">Warmińsko-mazurskie </w:t>
            </w:r>
          </w:p>
        </w:tc>
        <w:tc>
          <w:tcPr>
            <w:tcW w:w="1576" w:type="dxa"/>
            <w:tcBorders>
              <w:top w:val="nil"/>
              <w:left w:val="nil"/>
              <w:bottom w:val="nil"/>
              <w:right w:val="nil"/>
            </w:tcBorders>
            <w:shd w:val="clear" w:color="auto" w:fill="auto"/>
            <w:noWrap/>
            <w:vAlign w:val="bottom"/>
            <w:hideMark/>
          </w:tcPr>
          <w:p w14:paraId="2A71A3CB"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sz w:val="19"/>
                <w:szCs w:val="19"/>
              </w:rPr>
              <w:t>23963</w:t>
            </w:r>
          </w:p>
        </w:tc>
        <w:tc>
          <w:tcPr>
            <w:tcW w:w="2008" w:type="dxa"/>
            <w:tcBorders>
              <w:top w:val="nil"/>
              <w:left w:val="nil"/>
              <w:bottom w:val="nil"/>
              <w:right w:val="nil"/>
            </w:tcBorders>
            <w:vAlign w:val="bottom"/>
          </w:tcPr>
          <w:p w14:paraId="64A57936"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color w:val="000000"/>
                <w:sz w:val="19"/>
                <w:szCs w:val="19"/>
              </w:rPr>
              <w:t>39,3%</w:t>
            </w:r>
          </w:p>
        </w:tc>
        <w:tc>
          <w:tcPr>
            <w:tcW w:w="1588" w:type="dxa"/>
            <w:tcBorders>
              <w:top w:val="nil"/>
              <w:left w:val="nil"/>
              <w:bottom w:val="nil"/>
              <w:right w:val="nil"/>
            </w:tcBorders>
            <w:shd w:val="clear" w:color="auto" w:fill="auto"/>
            <w:noWrap/>
            <w:vAlign w:val="bottom"/>
            <w:hideMark/>
          </w:tcPr>
          <w:p w14:paraId="3B27FDFC"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sz w:val="19"/>
                <w:szCs w:val="19"/>
              </w:rPr>
              <w:t>8786</w:t>
            </w:r>
          </w:p>
        </w:tc>
        <w:tc>
          <w:tcPr>
            <w:tcW w:w="1998" w:type="dxa"/>
            <w:tcBorders>
              <w:top w:val="nil"/>
              <w:left w:val="nil"/>
              <w:bottom w:val="nil"/>
              <w:right w:val="nil"/>
            </w:tcBorders>
            <w:vAlign w:val="bottom"/>
          </w:tcPr>
          <w:p w14:paraId="08477F92"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color w:val="000000"/>
                <w:sz w:val="19"/>
                <w:szCs w:val="19"/>
              </w:rPr>
              <w:t>14,4%</w:t>
            </w:r>
          </w:p>
        </w:tc>
      </w:tr>
      <w:tr w:rsidR="00A833F3" w:rsidRPr="00BE39F1" w14:paraId="78344885" w14:textId="77777777" w:rsidTr="00BA63E5">
        <w:trPr>
          <w:trHeight w:val="141"/>
        </w:trPr>
        <w:tc>
          <w:tcPr>
            <w:tcW w:w="2012" w:type="dxa"/>
            <w:tcBorders>
              <w:top w:val="nil"/>
              <w:left w:val="nil"/>
              <w:bottom w:val="nil"/>
              <w:right w:val="nil"/>
            </w:tcBorders>
            <w:shd w:val="clear" w:color="auto" w:fill="auto"/>
            <w:noWrap/>
            <w:vAlign w:val="bottom"/>
            <w:hideMark/>
          </w:tcPr>
          <w:p w14:paraId="2409838E" w14:textId="77777777" w:rsidR="00A833F3" w:rsidRPr="00BE39F1" w:rsidRDefault="00A833F3" w:rsidP="00A833F3">
            <w:pPr>
              <w:spacing w:after="0" w:line="240" w:lineRule="auto"/>
              <w:rPr>
                <w:rFonts w:ascii="Arial" w:eastAsia="Times New Roman" w:hAnsi="Arial"/>
                <w:sz w:val="19"/>
                <w:szCs w:val="19"/>
                <w:lang w:eastAsia="pl-PL"/>
              </w:rPr>
            </w:pPr>
            <w:r w:rsidRPr="00BE39F1">
              <w:rPr>
                <w:rFonts w:ascii="Arial" w:hAnsi="Arial"/>
                <w:sz w:val="19"/>
                <w:szCs w:val="19"/>
              </w:rPr>
              <w:t xml:space="preserve">Świętokrzyskie </w:t>
            </w:r>
          </w:p>
        </w:tc>
        <w:tc>
          <w:tcPr>
            <w:tcW w:w="1576" w:type="dxa"/>
            <w:tcBorders>
              <w:top w:val="nil"/>
              <w:left w:val="nil"/>
              <w:bottom w:val="nil"/>
              <w:right w:val="nil"/>
            </w:tcBorders>
            <w:shd w:val="clear" w:color="auto" w:fill="auto"/>
            <w:noWrap/>
            <w:vAlign w:val="bottom"/>
            <w:hideMark/>
          </w:tcPr>
          <w:p w14:paraId="1C08B116"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sz w:val="19"/>
                <w:szCs w:val="19"/>
              </w:rPr>
              <w:t>23302</w:t>
            </w:r>
          </w:p>
        </w:tc>
        <w:tc>
          <w:tcPr>
            <w:tcW w:w="2008" w:type="dxa"/>
            <w:tcBorders>
              <w:top w:val="nil"/>
              <w:left w:val="nil"/>
              <w:bottom w:val="nil"/>
              <w:right w:val="nil"/>
            </w:tcBorders>
            <w:vAlign w:val="bottom"/>
          </w:tcPr>
          <w:p w14:paraId="147E4BF2"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color w:val="000000"/>
                <w:sz w:val="19"/>
                <w:szCs w:val="19"/>
              </w:rPr>
              <w:t>44,1%</w:t>
            </w:r>
          </w:p>
        </w:tc>
        <w:tc>
          <w:tcPr>
            <w:tcW w:w="1588" w:type="dxa"/>
            <w:tcBorders>
              <w:top w:val="nil"/>
              <w:left w:val="nil"/>
              <w:bottom w:val="nil"/>
              <w:right w:val="nil"/>
            </w:tcBorders>
            <w:shd w:val="clear" w:color="auto" w:fill="auto"/>
            <w:noWrap/>
            <w:vAlign w:val="bottom"/>
            <w:hideMark/>
          </w:tcPr>
          <w:p w14:paraId="4C344A2C"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sz w:val="19"/>
                <w:szCs w:val="19"/>
              </w:rPr>
              <w:t>5083</w:t>
            </w:r>
          </w:p>
        </w:tc>
        <w:tc>
          <w:tcPr>
            <w:tcW w:w="1998" w:type="dxa"/>
            <w:tcBorders>
              <w:top w:val="nil"/>
              <w:left w:val="nil"/>
              <w:bottom w:val="nil"/>
              <w:right w:val="nil"/>
            </w:tcBorders>
            <w:vAlign w:val="bottom"/>
          </w:tcPr>
          <w:p w14:paraId="0D0E49DD"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color w:val="000000"/>
                <w:sz w:val="19"/>
                <w:szCs w:val="19"/>
              </w:rPr>
              <w:t>9,6%</w:t>
            </w:r>
          </w:p>
        </w:tc>
      </w:tr>
      <w:tr w:rsidR="00A833F3" w:rsidRPr="00BE39F1" w14:paraId="0D5653F2" w14:textId="77777777" w:rsidTr="00BA63E5">
        <w:trPr>
          <w:trHeight w:val="141"/>
        </w:trPr>
        <w:tc>
          <w:tcPr>
            <w:tcW w:w="2012" w:type="dxa"/>
            <w:tcBorders>
              <w:top w:val="nil"/>
              <w:left w:val="nil"/>
              <w:bottom w:val="nil"/>
              <w:right w:val="nil"/>
            </w:tcBorders>
            <w:shd w:val="clear" w:color="auto" w:fill="auto"/>
            <w:noWrap/>
            <w:vAlign w:val="bottom"/>
            <w:hideMark/>
          </w:tcPr>
          <w:p w14:paraId="08CF2116" w14:textId="77777777" w:rsidR="00A833F3" w:rsidRPr="00BE39F1" w:rsidRDefault="00A833F3" w:rsidP="00A833F3">
            <w:pPr>
              <w:spacing w:after="0" w:line="240" w:lineRule="auto"/>
              <w:rPr>
                <w:rFonts w:ascii="Arial" w:eastAsia="Times New Roman" w:hAnsi="Arial"/>
                <w:sz w:val="19"/>
                <w:szCs w:val="19"/>
                <w:lang w:eastAsia="pl-PL"/>
              </w:rPr>
            </w:pPr>
            <w:r w:rsidRPr="00BE39F1">
              <w:rPr>
                <w:rFonts w:ascii="Arial" w:hAnsi="Arial"/>
                <w:sz w:val="19"/>
                <w:szCs w:val="19"/>
              </w:rPr>
              <w:lastRenderedPageBreak/>
              <w:t xml:space="preserve">Podlaskie </w:t>
            </w:r>
          </w:p>
        </w:tc>
        <w:tc>
          <w:tcPr>
            <w:tcW w:w="1576" w:type="dxa"/>
            <w:tcBorders>
              <w:top w:val="nil"/>
              <w:left w:val="nil"/>
              <w:bottom w:val="nil"/>
              <w:right w:val="nil"/>
            </w:tcBorders>
            <w:shd w:val="clear" w:color="auto" w:fill="auto"/>
            <w:noWrap/>
            <w:vAlign w:val="bottom"/>
            <w:hideMark/>
          </w:tcPr>
          <w:p w14:paraId="0D350BC2"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sz w:val="19"/>
                <w:szCs w:val="19"/>
              </w:rPr>
              <w:t>19867</w:t>
            </w:r>
          </w:p>
        </w:tc>
        <w:tc>
          <w:tcPr>
            <w:tcW w:w="2008" w:type="dxa"/>
            <w:tcBorders>
              <w:top w:val="nil"/>
              <w:left w:val="nil"/>
              <w:bottom w:val="nil"/>
              <w:right w:val="nil"/>
            </w:tcBorders>
            <w:vAlign w:val="bottom"/>
          </w:tcPr>
          <w:p w14:paraId="4710BEE2"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color w:val="000000"/>
                <w:sz w:val="19"/>
                <w:szCs w:val="19"/>
              </w:rPr>
              <w:t>41,1%</w:t>
            </w:r>
          </w:p>
        </w:tc>
        <w:tc>
          <w:tcPr>
            <w:tcW w:w="1588" w:type="dxa"/>
            <w:tcBorders>
              <w:top w:val="nil"/>
              <w:left w:val="nil"/>
              <w:bottom w:val="nil"/>
              <w:right w:val="nil"/>
            </w:tcBorders>
            <w:shd w:val="clear" w:color="auto" w:fill="auto"/>
            <w:noWrap/>
            <w:vAlign w:val="bottom"/>
            <w:hideMark/>
          </w:tcPr>
          <w:p w14:paraId="6877C0C9"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sz w:val="19"/>
                <w:szCs w:val="19"/>
              </w:rPr>
              <w:t>3951</w:t>
            </w:r>
          </w:p>
        </w:tc>
        <w:tc>
          <w:tcPr>
            <w:tcW w:w="1998" w:type="dxa"/>
            <w:tcBorders>
              <w:top w:val="nil"/>
              <w:left w:val="nil"/>
              <w:bottom w:val="nil"/>
              <w:right w:val="nil"/>
            </w:tcBorders>
            <w:vAlign w:val="bottom"/>
          </w:tcPr>
          <w:p w14:paraId="552BD34F"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color w:val="000000"/>
                <w:sz w:val="19"/>
                <w:szCs w:val="19"/>
              </w:rPr>
              <w:t>8,2%</w:t>
            </w:r>
          </w:p>
        </w:tc>
      </w:tr>
      <w:tr w:rsidR="00A833F3" w:rsidRPr="00BE39F1" w14:paraId="7F2FAD4E" w14:textId="77777777" w:rsidTr="00BA63E5">
        <w:trPr>
          <w:trHeight w:val="141"/>
        </w:trPr>
        <w:tc>
          <w:tcPr>
            <w:tcW w:w="2012" w:type="dxa"/>
            <w:tcBorders>
              <w:top w:val="nil"/>
              <w:left w:val="nil"/>
              <w:bottom w:val="nil"/>
              <w:right w:val="nil"/>
            </w:tcBorders>
            <w:shd w:val="clear" w:color="auto" w:fill="auto"/>
            <w:noWrap/>
            <w:vAlign w:val="bottom"/>
            <w:hideMark/>
          </w:tcPr>
          <w:p w14:paraId="43DF2103" w14:textId="77777777" w:rsidR="00A833F3" w:rsidRPr="00BE39F1" w:rsidRDefault="00A833F3" w:rsidP="00A833F3">
            <w:pPr>
              <w:spacing w:after="0" w:line="240" w:lineRule="auto"/>
              <w:rPr>
                <w:rFonts w:ascii="Arial" w:eastAsia="Times New Roman" w:hAnsi="Arial"/>
                <w:sz w:val="19"/>
                <w:szCs w:val="19"/>
                <w:lang w:eastAsia="pl-PL"/>
              </w:rPr>
            </w:pPr>
            <w:r w:rsidRPr="00BE39F1">
              <w:rPr>
                <w:rFonts w:ascii="Arial" w:hAnsi="Arial"/>
                <w:sz w:val="19"/>
                <w:szCs w:val="19"/>
              </w:rPr>
              <w:t xml:space="preserve">Lubuskie </w:t>
            </w:r>
          </w:p>
        </w:tc>
        <w:tc>
          <w:tcPr>
            <w:tcW w:w="1576" w:type="dxa"/>
            <w:tcBorders>
              <w:top w:val="nil"/>
              <w:left w:val="nil"/>
              <w:bottom w:val="nil"/>
              <w:right w:val="nil"/>
            </w:tcBorders>
            <w:shd w:val="clear" w:color="auto" w:fill="auto"/>
            <w:noWrap/>
            <w:vAlign w:val="bottom"/>
            <w:hideMark/>
          </w:tcPr>
          <w:p w14:paraId="62024F79"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sz w:val="19"/>
                <w:szCs w:val="19"/>
              </w:rPr>
              <w:t>17994</w:t>
            </w:r>
          </w:p>
        </w:tc>
        <w:tc>
          <w:tcPr>
            <w:tcW w:w="2008" w:type="dxa"/>
            <w:tcBorders>
              <w:top w:val="nil"/>
              <w:left w:val="nil"/>
              <w:bottom w:val="nil"/>
              <w:right w:val="nil"/>
            </w:tcBorders>
            <w:vAlign w:val="bottom"/>
          </w:tcPr>
          <w:p w14:paraId="0DAFB791"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color w:val="000000"/>
                <w:sz w:val="19"/>
                <w:szCs w:val="19"/>
              </w:rPr>
              <w:t>44,2%</w:t>
            </w:r>
          </w:p>
        </w:tc>
        <w:tc>
          <w:tcPr>
            <w:tcW w:w="1588" w:type="dxa"/>
            <w:tcBorders>
              <w:top w:val="nil"/>
              <w:left w:val="nil"/>
              <w:bottom w:val="nil"/>
              <w:right w:val="nil"/>
            </w:tcBorders>
            <w:shd w:val="clear" w:color="auto" w:fill="auto"/>
            <w:noWrap/>
            <w:vAlign w:val="bottom"/>
            <w:hideMark/>
          </w:tcPr>
          <w:p w14:paraId="2921EAA7"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sz w:val="19"/>
                <w:szCs w:val="19"/>
              </w:rPr>
              <w:t>5791</w:t>
            </w:r>
          </w:p>
        </w:tc>
        <w:tc>
          <w:tcPr>
            <w:tcW w:w="1998" w:type="dxa"/>
            <w:tcBorders>
              <w:top w:val="nil"/>
              <w:left w:val="nil"/>
              <w:bottom w:val="nil"/>
              <w:right w:val="nil"/>
            </w:tcBorders>
            <w:vAlign w:val="bottom"/>
          </w:tcPr>
          <w:p w14:paraId="1533CC42"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color w:val="000000"/>
                <w:sz w:val="19"/>
                <w:szCs w:val="19"/>
              </w:rPr>
              <w:t>14,2%</w:t>
            </w:r>
          </w:p>
        </w:tc>
      </w:tr>
      <w:tr w:rsidR="00A833F3" w:rsidRPr="00BE39F1" w14:paraId="17E841E9" w14:textId="77777777" w:rsidTr="00BA63E5">
        <w:trPr>
          <w:trHeight w:val="141"/>
        </w:trPr>
        <w:tc>
          <w:tcPr>
            <w:tcW w:w="2012" w:type="dxa"/>
            <w:tcBorders>
              <w:top w:val="nil"/>
              <w:left w:val="nil"/>
              <w:bottom w:val="nil"/>
              <w:right w:val="nil"/>
            </w:tcBorders>
            <w:shd w:val="clear" w:color="auto" w:fill="auto"/>
            <w:noWrap/>
            <w:vAlign w:val="bottom"/>
            <w:hideMark/>
          </w:tcPr>
          <w:p w14:paraId="6318856A" w14:textId="77777777" w:rsidR="00A833F3" w:rsidRPr="00BE39F1" w:rsidRDefault="00A833F3" w:rsidP="00A833F3">
            <w:pPr>
              <w:spacing w:after="0" w:line="240" w:lineRule="auto"/>
              <w:rPr>
                <w:rFonts w:ascii="Arial" w:eastAsia="Times New Roman" w:hAnsi="Arial"/>
                <w:sz w:val="19"/>
                <w:szCs w:val="19"/>
                <w:lang w:eastAsia="pl-PL"/>
              </w:rPr>
            </w:pPr>
            <w:r w:rsidRPr="00BE39F1">
              <w:rPr>
                <w:rFonts w:ascii="Arial" w:hAnsi="Arial"/>
                <w:sz w:val="19"/>
                <w:szCs w:val="19"/>
              </w:rPr>
              <w:t xml:space="preserve">Opolskie </w:t>
            </w:r>
          </w:p>
        </w:tc>
        <w:tc>
          <w:tcPr>
            <w:tcW w:w="1576" w:type="dxa"/>
            <w:tcBorders>
              <w:top w:val="nil"/>
              <w:left w:val="nil"/>
              <w:bottom w:val="nil"/>
              <w:right w:val="nil"/>
            </w:tcBorders>
            <w:shd w:val="clear" w:color="auto" w:fill="auto"/>
            <w:noWrap/>
            <w:vAlign w:val="bottom"/>
            <w:hideMark/>
          </w:tcPr>
          <w:p w14:paraId="3EC32BEB"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sz w:val="19"/>
                <w:szCs w:val="19"/>
              </w:rPr>
              <w:t>16755</w:t>
            </w:r>
          </w:p>
        </w:tc>
        <w:tc>
          <w:tcPr>
            <w:tcW w:w="2008" w:type="dxa"/>
            <w:tcBorders>
              <w:top w:val="nil"/>
              <w:left w:val="nil"/>
              <w:bottom w:val="nil"/>
              <w:right w:val="nil"/>
            </w:tcBorders>
            <w:vAlign w:val="bottom"/>
          </w:tcPr>
          <w:p w14:paraId="6078AC3D"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color w:val="000000"/>
                <w:sz w:val="19"/>
                <w:szCs w:val="19"/>
              </w:rPr>
              <w:t>43,7%</w:t>
            </w:r>
          </w:p>
        </w:tc>
        <w:tc>
          <w:tcPr>
            <w:tcW w:w="1588" w:type="dxa"/>
            <w:tcBorders>
              <w:top w:val="nil"/>
              <w:left w:val="nil"/>
              <w:bottom w:val="nil"/>
              <w:right w:val="nil"/>
            </w:tcBorders>
            <w:shd w:val="clear" w:color="auto" w:fill="auto"/>
            <w:noWrap/>
            <w:vAlign w:val="bottom"/>
            <w:hideMark/>
          </w:tcPr>
          <w:p w14:paraId="10748026"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sz w:val="19"/>
                <w:szCs w:val="19"/>
              </w:rPr>
              <w:t>5330</w:t>
            </w:r>
          </w:p>
        </w:tc>
        <w:tc>
          <w:tcPr>
            <w:tcW w:w="1998" w:type="dxa"/>
            <w:tcBorders>
              <w:top w:val="nil"/>
              <w:left w:val="nil"/>
              <w:bottom w:val="nil"/>
              <w:right w:val="nil"/>
            </w:tcBorders>
            <w:vAlign w:val="bottom"/>
          </w:tcPr>
          <w:p w14:paraId="6064D911" w14:textId="77777777" w:rsidR="00A833F3" w:rsidRPr="00BE39F1" w:rsidRDefault="00A833F3" w:rsidP="00A833F3">
            <w:pPr>
              <w:spacing w:after="0" w:line="240" w:lineRule="auto"/>
              <w:jc w:val="right"/>
              <w:rPr>
                <w:rFonts w:ascii="Arial" w:eastAsia="Times New Roman" w:hAnsi="Arial"/>
                <w:sz w:val="19"/>
                <w:szCs w:val="19"/>
                <w:lang w:eastAsia="pl-PL"/>
              </w:rPr>
            </w:pPr>
            <w:r w:rsidRPr="00BE39F1">
              <w:rPr>
                <w:rFonts w:ascii="Arial" w:hAnsi="Arial"/>
                <w:color w:val="000000"/>
                <w:sz w:val="19"/>
                <w:szCs w:val="19"/>
              </w:rPr>
              <w:t>13,9%</w:t>
            </w:r>
          </w:p>
        </w:tc>
      </w:tr>
    </w:tbl>
    <w:p w14:paraId="74B27588" w14:textId="77777777" w:rsidR="009F709C" w:rsidRDefault="009F709C" w:rsidP="00276338">
      <w:pPr>
        <w:pStyle w:val="Bezodstpw"/>
      </w:pPr>
    </w:p>
    <w:p w14:paraId="04ABDF40" w14:textId="563DC12D" w:rsidR="00276338" w:rsidRDefault="00276338" w:rsidP="00276338">
      <w:pPr>
        <w:pStyle w:val="Bezodstpw"/>
      </w:pPr>
      <w:r>
        <w:t xml:space="preserve">Źródło: Opracowanie </w:t>
      </w:r>
      <w:r w:rsidR="003A56DA">
        <w:t>MRiT</w:t>
      </w:r>
      <w:r>
        <w:t xml:space="preserve"> na podstawie danych GUS</w:t>
      </w:r>
    </w:p>
    <w:p w14:paraId="38F87EE9" w14:textId="51C70283" w:rsidR="00A833F3" w:rsidRDefault="00891352" w:rsidP="00A833F3">
      <w:r w:rsidRPr="00891352">
        <w:t xml:space="preserve">Jeśli chodzi o infrastrukturę, coraz większego znaczenia dla prowadzenia działalności gospodarczej nabiera dostępność </w:t>
      </w:r>
      <w:r w:rsidRPr="008709F3">
        <w:t>wyso</w:t>
      </w:r>
      <w:r w:rsidR="008709F3" w:rsidRPr="00367821">
        <w:t>ko</w:t>
      </w:r>
      <w:r w:rsidRPr="00891352">
        <w:t xml:space="preserve"> wydajnego łącza internetowego. Przedsiębiorstwa przemysłowe, usługowe i rolne </w:t>
      </w:r>
      <w:r w:rsidR="009F709C" w:rsidRPr="00891352">
        <w:t xml:space="preserve">będą </w:t>
      </w:r>
      <w:r w:rsidRPr="00891352">
        <w:t>obsługiwać coraz większe zbiory danych, często przechowywanych lub przetwarzanych w chmurze cyfrowej, co wymaga stabilnego i szybkiego łącza internetowego. Jak wskazał Prezes Urzędu Komunikacji Elektronicznej w</w:t>
      </w:r>
      <w:r w:rsidR="006E0D25">
        <w:t> </w:t>
      </w:r>
      <w:r w:rsidRPr="00891352">
        <w:t xml:space="preserve">raporcie o stanie rynku telekomunikacyjnego w Polsce w 2019 r. </w:t>
      </w:r>
      <w:r w:rsidR="009F709C">
        <w:rPr>
          <w:rFonts w:ascii="Times New Roman" w:hAnsi="Times New Roman" w:cs="Times New Roman"/>
        </w:rPr>
        <w:t>–</w:t>
      </w:r>
      <w:r w:rsidRPr="00891352">
        <w:t xml:space="preserve"> w ciągu ostatnich 5 lat odnotowano znaczący wzrost liczby łączy o przepływnościach min. 100 Mb/s. W 2019 r. udział tych łączy w liczbie łączy ogółem wzrósł do 50,4%</w:t>
      </w:r>
      <w:r w:rsidR="009F709C">
        <w:t>,</w:t>
      </w:r>
      <w:r w:rsidRPr="00891352">
        <w:t xml:space="preserve"> tj. o prawie 8 p</w:t>
      </w:r>
      <w:r w:rsidR="00BA63E5">
        <w:t xml:space="preserve">unktów </w:t>
      </w:r>
      <w:r w:rsidRPr="00891352">
        <w:t>p</w:t>
      </w:r>
      <w:r w:rsidR="00BA63E5">
        <w:t>roc</w:t>
      </w:r>
      <w:r w:rsidRPr="00891352">
        <w:t>. w porównaniu do 2018 r. Udziały pozostałych łączy o prędkości poniżej 100 Mb/s zmniejszają się na rzecz łączy o największych prędkościach. W 2019 r. 1,4% użytkowników mogło korzystać z</w:t>
      </w:r>
      <w:r w:rsidR="006E0D25">
        <w:t> </w:t>
      </w:r>
      <w:r w:rsidRPr="00891352">
        <w:t>najszybszych obecnie na rynku łączy o przepływności min. 1 Gb/s.</w:t>
      </w:r>
      <w:r w:rsidR="00FD6B65">
        <w:t xml:space="preserve"> </w:t>
      </w:r>
      <w:r w:rsidR="00A833F3">
        <w:t>Jak widać na mapie</w:t>
      </w:r>
      <w:r w:rsidR="00311B4A">
        <w:t xml:space="preserve"> 5.</w:t>
      </w:r>
      <w:r w:rsidR="00A833F3">
        <w:t xml:space="preserve">, oprócz terenów aglomeracji miejskich </w:t>
      </w:r>
      <w:r>
        <w:t>zasięg szybkiej sieci internetowej</w:t>
      </w:r>
      <w:r w:rsidR="00A833F3">
        <w:t xml:space="preserve"> </w:t>
      </w:r>
      <w:r w:rsidR="009F709C">
        <w:t xml:space="preserve">obejmuje </w:t>
      </w:r>
      <w:r w:rsidR="00A833F3">
        <w:t>znaczną część woj</w:t>
      </w:r>
      <w:r w:rsidR="009F709C">
        <w:t>ewództw</w:t>
      </w:r>
      <w:r w:rsidR="00A833F3">
        <w:t xml:space="preserve"> śląskiego, wielkopolskiego</w:t>
      </w:r>
      <w:r w:rsidR="009F709C">
        <w:t xml:space="preserve"> i</w:t>
      </w:r>
      <w:r w:rsidR="00634F0F">
        <w:t xml:space="preserve"> </w:t>
      </w:r>
      <w:r w:rsidR="009F709C">
        <w:t>m</w:t>
      </w:r>
      <w:r w:rsidR="00634F0F">
        <w:t>ałopolskiego</w:t>
      </w:r>
      <w:r w:rsidR="009F709C">
        <w:t>,</w:t>
      </w:r>
      <w:r w:rsidR="00A833F3">
        <w:t xml:space="preserve"> a także </w:t>
      </w:r>
      <w:r w:rsidR="00634F0F">
        <w:t xml:space="preserve">znaczny </w:t>
      </w:r>
      <w:r w:rsidR="00A833F3">
        <w:t>obszar woj</w:t>
      </w:r>
      <w:r w:rsidR="009F709C">
        <w:t>ewództwa</w:t>
      </w:r>
      <w:r w:rsidR="00A833F3">
        <w:t xml:space="preserve"> podkarpackiego.</w:t>
      </w:r>
    </w:p>
    <w:p w14:paraId="071AF937" w14:textId="779EE6D6" w:rsidR="00AB0F74" w:rsidRDefault="00276338" w:rsidP="00276338">
      <w:pPr>
        <w:pStyle w:val="Nagwek4"/>
      </w:pPr>
      <w:r>
        <w:t xml:space="preserve">Mapa </w:t>
      </w:r>
      <w:r w:rsidR="00311B4A">
        <w:t>5</w:t>
      </w:r>
      <w:r w:rsidR="000935B2">
        <w:t>.</w:t>
      </w:r>
      <w:r>
        <w:t xml:space="preserve"> </w:t>
      </w:r>
      <w:r w:rsidR="00BA653D">
        <w:t>Docieranie do lokali, w których ma</w:t>
      </w:r>
      <w:r w:rsidRPr="00891352">
        <w:t xml:space="preserve"> zasięg </w:t>
      </w:r>
      <w:r w:rsidR="009F709C" w:rsidRPr="00CB07D4">
        <w:t>I</w:t>
      </w:r>
      <w:r w:rsidRPr="00BA653D">
        <w:t>nternet</w:t>
      </w:r>
      <w:r w:rsidRPr="00891352">
        <w:t xml:space="preserve"> stacjonarn</w:t>
      </w:r>
      <w:r w:rsidR="00BA653D">
        <w:t>y</w:t>
      </w:r>
      <w:r w:rsidRPr="00891352">
        <w:t xml:space="preserve"> o przepustowości co najmniej 100 mb/s</w:t>
      </w:r>
      <w:r w:rsidDel="00891352">
        <w:t xml:space="preserve"> </w:t>
      </w:r>
    </w:p>
    <w:p w14:paraId="3029931A" w14:textId="2CA5ECD3" w:rsidR="00A833F3" w:rsidRDefault="00891352" w:rsidP="00A833F3">
      <w:r>
        <w:rPr>
          <w:noProof/>
          <w:lang w:eastAsia="pl-PL"/>
        </w:rPr>
        <w:drawing>
          <wp:inline distT="0" distB="0" distL="0" distR="0" wp14:anchorId="57A50BF9" wp14:editId="7BCE0E85">
            <wp:extent cx="3867150" cy="3368575"/>
            <wp:effectExtent l="0" t="0" r="0" b="381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67150" cy="3368575"/>
                    </a:xfrm>
                    <a:prstGeom prst="rect">
                      <a:avLst/>
                    </a:prstGeom>
                    <a:noFill/>
                    <a:ln>
                      <a:noFill/>
                    </a:ln>
                  </pic:spPr>
                </pic:pic>
              </a:graphicData>
            </a:graphic>
          </wp:inline>
        </w:drawing>
      </w:r>
      <w:r w:rsidR="00AB0F74">
        <w:rPr>
          <w:noProof/>
        </w:rPr>
        <w:t xml:space="preserve"> </w:t>
      </w:r>
    </w:p>
    <w:p w14:paraId="45FD19D9" w14:textId="107AC243" w:rsidR="00A833F3" w:rsidRDefault="00276338" w:rsidP="00276338">
      <w:pPr>
        <w:pStyle w:val="Bezodstpw"/>
      </w:pPr>
      <w:r>
        <w:t xml:space="preserve">Źródło: </w:t>
      </w:r>
      <w:r>
        <w:rPr>
          <w:iCs/>
        </w:rPr>
        <w:t>Raport o stanie rynku telekomunikacyjnego w Polsce w 2019 r., URE</w:t>
      </w:r>
    </w:p>
    <w:p w14:paraId="7CD17755" w14:textId="2F68C544" w:rsidR="00AB0F74" w:rsidRDefault="00AB0F74" w:rsidP="00AB0F74">
      <w:pPr>
        <w:rPr>
          <w:noProof/>
        </w:rPr>
      </w:pPr>
      <w:r>
        <w:t xml:space="preserve">Wskaźnik </w:t>
      </w:r>
      <w:r w:rsidR="00313ECA">
        <w:t>m</w:t>
      </w:r>
      <w:r>
        <w:t xml:space="preserve">iędzygałęziowej </w:t>
      </w:r>
      <w:r w:rsidR="00313ECA">
        <w:t>d</w:t>
      </w:r>
      <w:r>
        <w:t xml:space="preserve">ostępności </w:t>
      </w:r>
      <w:r w:rsidR="00313ECA">
        <w:t>t</w:t>
      </w:r>
      <w:r>
        <w:t>ransportowej określa</w:t>
      </w:r>
      <w:r w:rsidR="009F709C">
        <w:t>,</w:t>
      </w:r>
      <w:r>
        <w:t xml:space="preserve"> jak dobrze skomunikowany jest dany teren pod względem infrastruktury drogowej i kolejowej. Jest to jeden z najistotniejszych czynników wpływających na decyzje przedsiębiorstw o lokalizacji swojej działalności. Zmniejszenie różnic w produktywności regionów wymaga zmniejszenia zróżnicowania jakości i pokrycia infrastrukturą transportową. Mapa</w:t>
      </w:r>
      <w:r w:rsidR="000935B2">
        <w:t xml:space="preserve"> </w:t>
      </w:r>
      <w:r w:rsidR="00311B4A">
        <w:t>6</w:t>
      </w:r>
      <w:r w:rsidR="000935B2">
        <w:t>.</w:t>
      </w:r>
      <w:r>
        <w:t xml:space="preserve"> prezentuje spodziewany stan dostępności transportowej w powiatach w 2023 r. Dostrzec można skupienie rozwoju dróg na łączności z dwiema największymi aglomeracjami – górnośląską i warszawską. Szczególnie widoczny jest niski poziom wskaźnika w woj</w:t>
      </w:r>
      <w:r w:rsidR="009F709C">
        <w:t>ewództwie</w:t>
      </w:r>
      <w:r>
        <w:t xml:space="preserve"> zachodniopomorskim oraz znaczn</w:t>
      </w:r>
      <w:r w:rsidR="009F709C">
        <w:t>i</w:t>
      </w:r>
      <w:r>
        <w:t>e gorsze połączenie pomiędzy pobliskimi średnimi miastami wojewódzkimi w porównaniu z łącznością z Warszawą.</w:t>
      </w:r>
      <w:r w:rsidRPr="00AB0F74">
        <w:rPr>
          <w:noProof/>
        </w:rPr>
        <w:t xml:space="preserve"> </w:t>
      </w:r>
    </w:p>
    <w:p w14:paraId="3DFA4C16" w14:textId="0133B241" w:rsidR="00276338" w:rsidRDefault="00276338" w:rsidP="00367821">
      <w:pPr>
        <w:pStyle w:val="Nagwek4"/>
        <w:ind w:left="709" w:hanging="709"/>
      </w:pPr>
      <w:r>
        <w:lastRenderedPageBreak/>
        <w:t xml:space="preserve">Mapa </w:t>
      </w:r>
      <w:r w:rsidR="00311B4A">
        <w:t>6</w:t>
      </w:r>
      <w:r w:rsidR="000935B2">
        <w:t>.</w:t>
      </w:r>
      <w:r>
        <w:t xml:space="preserve"> Prognozowane wartości </w:t>
      </w:r>
      <w:r w:rsidR="00313ECA">
        <w:t>w</w:t>
      </w:r>
      <w:r>
        <w:t xml:space="preserve">skaźnika </w:t>
      </w:r>
      <w:r w:rsidR="00313ECA">
        <w:t>m</w:t>
      </w:r>
      <w:r>
        <w:t xml:space="preserve">iędzygałęziowej </w:t>
      </w:r>
      <w:r w:rsidR="00313ECA">
        <w:t>d</w:t>
      </w:r>
      <w:r>
        <w:t xml:space="preserve">ostępności </w:t>
      </w:r>
      <w:r w:rsidR="00313ECA">
        <w:t>t</w:t>
      </w:r>
      <w:r>
        <w:t>ransportowej w 2023 r. w podziale na powiaty Polski</w:t>
      </w:r>
    </w:p>
    <w:p w14:paraId="1DD58D14" w14:textId="17B880DD" w:rsidR="00AB0F74" w:rsidRDefault="00AB0F74" w:rsidP="00AB0F74">
      <w:r w:rsidRPr="00556AAA">
        <w:rPr>
          <w:noProof/>
          <w:lang w:eastAsia="pl-PL"/>
        </w:rPr>
        <w:drawing>
          <wp:inline distT="0" distB="0" distL="0" distR="0" wp14:anchorId="4A4AB41B" wp14:editId="4F6CFD14">
            <wp:extent cx="3467735" cy="2985135"/>
            <wp:effectExtent l="0" t="0" r="0" b="5715"/>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 r="820" b="9412"/>
                    <a:stretch/>
                  </pic:blipFill>
                  <pic:spPr bwMode="auto">
                    <a:xfrm>
                      <a:off x="0" y="0"/>
                      <a:ext cx="3467735" cy="2985135"/>
                    </a:xfrm>
                    <a:prstGeom prst="rect">
                      <a:avLst/>
                    </a:prstGeom>
                    <a:noFill/>
                    <a:ln>
                      <a:noFill/>
                    </a:ln>
                    <a:extLst>
                      <a:ext uri="{53640926-AAD7-44D8-BBD7-CCE9431645EC}">
                        <a14:shadowObscured xmlns:a14="http://schemas.microsoft.com/office/drawing/2010/main"/>
                      </a:ext>
                    </a:extLst>
                  </pic:spPr>
                </pic:pic>
              </a:graphicData>
            </a:graphic>
          </wp:inline>
        </w:drawing>
      </w:r>
    </w:p>
    <w:p w14:paraId="4733143E" w14:textId="646EC8DA" w:rsidR="00276338" w:rsidRPr="00B94D4F" w:rsidRDefault="00276338" w:rsidP="00276338">
      <w:pPr>
        <w:pStyle w:val="Bezodstpw"/>
        <w:rPr>
          <w:i w:val="0"/>
          <w:iCs/>
        </w:rPr>
      </w:pPr>
      <w:r w:rsidRPr="00B94D4F">
        <w:t xml:space="preserve">Źródło: </w:t>
      </w:r>
      <w:r w:rsidRPr="00B94D4F">
        <w:rPr>
          <w:iCs/>
        </w:rPr>
        <w:t>Raport końcowy dot</w:t>
      </w:r>
      <w:r w:rsidR="009F709C">
        <w:rPr>
          <w:iCs/>
        </w:rPr>
        <w:t>yczący</w:t>
      </w:r>
      <w:r w:rsidRPr="00B94D4F">
        <w:rPr>
          <w:iCs/>
        </w:rPr>
        <w:t xml:space="preserve"> wykonania badania ewaluacyjnego pt.  „Oszacowanie oczekiwanych rezultatów interwencji za pomocą miar dostępności transportowej dostosowanych do potrzeb dokumentów strategicznych i operacyjnych perspektywy finansowej 2014</w:t>
      </w:r>
      <w:r w:rsidR="009F709C">
        <w:rPr>
          <w:rFonts w:ascii="Times New Roman" w:hAnsi="Times New Roman" w:cs="Times New Roman"/>
          <w:iCs/>
        </w:rPr>
        <w:t>–</w:t>
      </w:r>
      <w:r w:rsidRPr="00B94D4F">
        <w:rPr>
          <w:iCs/>
        </w:rPr>
        <w:t>2020 (aktualizacja 2020/2021)”</w:t>
      </w:r>
    </w:p>
    <w:p w14:paraId="01080866" w14:textId="6E9EB0C9" w:rsidR="00BA63E5" w:rsidRDefault="00A833F3" w:rsidP="00BA63E5">
      <w:r>
        <w:t xml:space="preserve">Wykres </w:t>
      </w:r>
      <w:r w:rsidR="001C3C76">
        <w:t xml:space="preserve">16. </w:t>
      </w:r>
      <w:r>
        <w:t xml:space="preserve">wskazuje na wolniejszy rozwój infrastruktury transportowej w województwach, które dotychczas były pod tym względem zapóźnione (szczególnie </w:t>
      </w:r>
      <w:r w:rsidR="0021706B">
        <w:t xml:space="preserve">województwa </w:t>
      </w:r>
      <w:r>
        <w:t xml:space="preserve">zachodniopomorskie i podlaskie). Utrzymanie tego trendu </w:t>
      </w:r>
      <w:r w:rsidR="0021706B">
        <w:t xml:space="preserve">będzie </w:t>
      </w:r>
      <w:r>
        <w:t>powodować coraz mniejszą atrakcyjność tych województw jako lokalizacji inwestycyjnych i hamowanie konwergencji gospodarczej lub wręcz pogłębianie dotychczasowych różnic.</w:t>
      </w:r>
    </w:p>
    <w:p w14:paraId="5FDAB728" w14:textId="116E0AB9" w:rsidR="00A833F3" w:rsidRDefault="00313ECA" w:rsidP="00BA63E5">
      <w:pPr>
        <w:jc w:val="left"/>
      </w:pPr>
      <w:r w:rsidRPr="00313ECA">
        <w:rPr>
          <w:rFonts w:eastAsiaTheme="majorEastAsia" w:cstheme="majorBidi"/>
          <w:b/>
          <w:iCs/>
          <w:sz w:val="21"/>
        </w:rPr>
        <w:t xml:space="preserve">Wykres </w:t>
      </w:r>
      <w:r w:rsidR="001C3C76">
        <w:rPr>
          <w:rFonts w:eastAsiaTheme="majorEastAsia" w:cstheme="majorBidi"/>
          <w:b/>
          <w:iCs/>
          <w:sz w:val="21"/>
        </w:rPr>
        <w:t>16.</w:t>
      </w:r>
      <w:r w:rsidRPr="00313ECA">
        <w:rPr>
          <w:rFonts w:eastAsiaTheme="majorEastAsia" w:cstheme="majorBidi"/>
          <w:b/>
          <w:iCs/>
          <w:sz w:val="21"/>
        </w:rPr>
        <w:t xml:space="preserve"> Monitoring poziomu dostępności drogowej w latach 2013-2023 (syntetyczny wskaźnik drogowej dostępnoś</w:t>
      </w:r>
      <w:r>
        <w:rPr>
          <w:rFonts w:eastAsiaTheme="majorEastAsia" w:cstheme="majorBidi"/>
          <w:b/>
          <w:iCs/>
          <w:sz w:val="21"/>
        </w:rPr>
        <w:t>ci transportowej</w:t>
      </w:r>
      <w:r w:rsidRPr="00313ECA">
        <w:rPr>
          <w:rFonts w:eastAsiaTheme="majorEastAsia" w:cstheme="majorBidi"/>
          <w:b/>
          <w:iCs/>
          <w:sz w:val="21"/>
        </w:rPr>
        <w:t>)</w:t>
      </w:r>
      <w:r w:rsidR="00A833F3" w:rsidRPr="00556AAA">
        <w:rPr>
          <w:noProof/>
          <w:lang w:eastAsia="pl-PL"/>
        </w:rPr>
        <w:drawing>
          <wp:inline distT="0" distB="0" distL="0" distR="0" wp14:anchorId="53986D85" wp14:editId="7BE10D5B">
            <wp:extent cx="5496638" cy="3019425"/>
            <wp:effectExtent l="0" t="0" r="889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4">
                      <a:extLst>
                        <a:ext uri="{28A0092B-C50C-407E-A947-70E740481C1C}">
                          <a14:useLocalDpi xmlns:a14="http://schemas.microsoft.com/office/drawing/2010/main" val="0"/>
                        </a:ext>
                      </a:extLst>
                    </a:blip>
                    <a:srcRect b="11453"/>
                    <a:stretch/>
                  </pic:blipFill>
                  <pic:spPr bwMode="auto">
                    <a:xfrm>
                      <a:off x="0" y="0"/>
                      <a:ext cx="5503653" cy="3023279"/>
                    </a:xfrm>
                    <a:prstGeom prst="rect">
                      <a:avLst/>
                    </a:prstGeom>
                    <a:noFill/>
                    <a:ln>
                      <a:noFill/>
                    </a:ln>
                    <a:extLst>
                      <a:ext uri="{53640926-AAD7-44D8-BBD7-CCE9431645EC}">
                        <a14:shadowObscured xmlns:a14="http://schemas.microsoft.com/office/drawing/2010/main"/>
                      </a:ext>
                    </a:extLst>
                  </pic:spPr>
                </pic:pic>
              </a:graphicData>
            </a:graphic>
          </wp:inline>
        </w:drawing>
      </w:r>
    </w:p>
    <w:p w14:paraId="0E1EA65B" w14:textId="6F9E9036" w:rsidR="00BA63E5" w:rsidRPr="00BA63E5" w:rsidRDefault="00BA63E5" w:rsidP="00BA63E5">
      <w:pPr>
        <w:pStyle w:val="Bezodstpw"/>
        <w:rPr>
          <w:i w:val="0"/>
          <w:iCs/>
        </w:rPr>
      </w:pPr>
      <w:r w:rsidRPr="00B94D4F">
        <w:t xml:space="preserve">Źródło: </w:t>
      </w:r>
      <w:r w:rsidRPr="00B94D4F">
        <w:rPr>
          <w:iCs/>
        </w:rPr>
        <w:t>Raport końcowy dot</w:t>
      </w:r>
      <w:r>
        <w:rPr>
          <w:iCs/>
        </w:rPr>
        <w:t>yczący</w:t>
      </w:r>
      <w:r w:rsidRPr="00B94D4F">
        <w:rPr>
          <w:iCs/>
        </w:rPr>
        <w:t xml:space="preserve"> wykonania badania ewaluacyjnego pt.  „Oszacowanie oczekiwanych rezultatów interwencji za pomocą miar dostępności transportowej dostosowanych do potrzeb dokumentów strategicznych i operacyjnych perspektywy finansowej 2014</w:t>
      </w:r>
      <w:r>
        <w:rPr>
          <w:rFonts w:ascii="Times New Roman" w:hAnsi="Times New Roman" w:cs="Times New Roman"/>
          <w:iCs/>
        </w:rPr>
        <w:t>–</w:t>
      </w:r>
      <w:r w:rsidRPr="00B94D4F">
        <w:rPr>
          <w:iCs/>
        </w:rPr>
        <w:t>2020 (aktualizacja 2020/2021)”</w:t>
      </w:r>
    </w:p>
    <w:p w14:paraId="5F1D058A" w14:textId="554FB2A3" w:rsidR="008E15C9" w:rsidRPr="00254AB9" w:rsidRDefault="008E15C9" w:rsidP="008E15C9">
      <w:pPr>
        <w:pStyle w:val="Nagwek2"/>
      </w:pPr>
      <w:bookmarkStart w:id="26" w:name="_Toc31808493"/>
      <w:bookmarkStart w:id="27" w:name="_Toc106968776"/>
      <w:r w:rsidRPr="002647FB">
        <w:lastRenderedPageBreak/>
        <w:t>Produktywność</w:t>
      </w:r>
      <w:r w:rsidR="006343E1">
        <w:t xml:space="preserve"> </w:t>
      </w:r>
      <w:r w:rsidR="006343E1" w:rsidRPr="00254AB9">
        <w:t>a</w:t>
      </w:r>
      <w:r w:rsidR="006343E1">
        <w:t> </w:t>
      </w:r>
      <w:r w:rsidRPr="00254AB9">
        <w:t>inwestycje</w:t>
      </w:r>
      <w:bookmarkEnd w:id="26"/>
      <w:bookmarkEnd w:id="27"/>
    </w:p>
    <w:p w14:paraId="776A760A" w14:textId="6C9720FA" w:rsidR="008E15C9" w:rsidRDefault="008E15C9" w:rsidP="008E15C9">
      <w:r>
        <w:t>Szeroko rozumiane inwestycje przedsiębiorstw należy traktować jako główne bezpośrednie źródło wzrostu produktywności. W najbardziej wąskim, tradycyjnym rozumieniu ekonomicznym mechanizm ich wpływu opiera się na zastępowaniu pracy kapitałem – im wyższa relacja kapitału do pracy po stronie czynników produkcji, tym wyższa wydajność pracy, osiągana dzięki lepszemu uzbrojeniu technicznemu,</w:t>
      </w:r>
      <w:r w:rsidR="006343E1">
        <w:t xml:space="preserve"> w </w:t>
      </w:r>
      <w:r>
        <w:t>tym automatyzacji</w:t>
      </w:r>
      <w:r w:rsidR="006343E1">
        <w:t xml:space="preserve"> i </w:t>
      </w:r>
      <w:r>
        <w:t>robotyzacji. Nawet przy takim najprostszym rozumieniu inwestycji wyraźnie widać</w:t>
      </w:r>
      <w:r w:rsidR="00477C54">
        <w:t>, że </w:t>
      </w:r>
      <w:r w:rsidR="006343E1">
        <w:t>w </w:t>
      </w:r>
      <w:r>
        <w:t>warunkach zwiększającego się obciążenia demograficznego oraz presji na wzrost wydatków zdrowotnych</w:t>
      </w:r>
      <w:r w:rsidR="006343E1">
        <w:t xml:space="preserve"> i </w:t>
      </w:r>
      <w:r>
        <w:t>emerytalnych są one konieczne dla sfinansowania coraz większego wolumenu świadczeń pieniędzmi pochodzącymi</w:t>
      </w:r>
      <w:r w:rsidR="006343E1">
        <w:t xml:space="preserve"> z </w:t>
      </w:r>
      <w:r>
        <w:t xml:space="preserve">pracy </w:t>
      </w:r>
      <w:r w:rsidR="0021706B" w:rsidRPr="00BA653D">
        <w:t>osób zatrudnionych w gospodarce narodowej</w:t>
      </w:r>
      <w:r w:rsidR="00AB065C" w:rsidRPr="00BA653D">
        <w:t xml:space="preserve"> w </w:t>
      </w:r>
      <w:r w:rsidRPr="00BA653D">
        <w:t xml:space="preserve"> </w:t>
      </w:r>
      <w:r w:rsidR="00AB065C" w:rsidRPr="00BA653D">
        <w:t xml:space="preserve">liczbie </w:t>
      </w:r>
      <w:r>
        <w:t>rosnącej znacznie wolniej lub wręcz malejącej.</w:t>
      </w:r>
    </w:p>
    <w:p w14:paraId="4A3F67F3" w14:textId="3796BE32" w:rsidR="008E15C9" w:rsidRDefault="008E15C9" w:rsidP="008E15C9">
      <w:r>
        <w:t>Inwestycje można jednak rozumieć szeroko, tak aby obejmowały również nakłady poniesione np. na szkolenia pracowników, działalność badawczo-rozwojową czy usprawnienia zarządcze. Nie wszystkie rodzaje inwestycji mają taką samą wartość</w:t>
      </w:r>
      <w:r w:rsidR="006343E1">
        <w:t xml:space="preserve"> z </w:t>
      </w:r>
      <w:r>
        <w:t>punktu widzenia produktywności systemu gospodarczego jako całości. Inwestycje umożliwiające nawet tylko ilościowy wzrost skali działalności mają większe znaczenie niż inwestycje odtworzeniowe. Za jeszcze bardziej pożądane można uznać inwestycje</w:t>
      </w:r>
      <w:r w:rsidR="006343E1">
        <w:t xml:space="preserve"> w </w:t>
      </w:r>
      <w:r>
        <w:t>aktywa niematerialne oraz związane</w:t>
      </w:r>
      <w:r w:rsidR="006343E1">
        <w:t xml:space="preserve"> z </w:t>
      </w:r>
      <w:r>
        <w:t xml:space="preserve">wdrażaniem </w:t>
      </w:r>
      <w:r w:rsidR="00AB065C">
        <w:t xml:space="preserve">produktów czy procesów </w:t>
      </w:r>
      <w:r>
        <w:t>nowych dla firmy</w:t>
      </w:r>
      <w:r w:rsidR="006343E1">
        <w:t xml:space="preserve"> i </w:t>
      </w:r>
      <w:r>
        <w:t>nowoczesnych w skali świata, zarówno technologicznych</w:t>
      </w:r>
      <w:r w:rsidR="00AB065C">
        <w:t>,</w:t>
      </w:r>
      <w:r>
        <w:t xml:space="preserve"> jak</w:t>
      </w:r>
      <w:r w:rsidR="006343E1">
        <w:t xml:space="preserve"> i </w:t>
      </w:r>
      <w:r>
        <w:t>organizacyjnych.</w:t>
      </w:r>
      <w:r w:rsidR="006343E1">
        <w:t xml:space="preserve"> W </w:t>
      </w:r>
      <w:r>
        <w:t>kontekście rozwoju niskoemisyjnej gospodarki</w:t>
      </w:r>
      <w:r w:rsidR="006343E1">
        <w:t xml:space="preserve"> o </w:t>
      </w:r>
      <w:r>
        <w:t>obiegu zamkniętym opartej na danych za priorytetowe należałoby uznać inwestycje</w:t>
      </w:r>
      <w:r w:rsidR="006343E1">
        <w:t xml:space="preserve"> w </w:t>
      </w:r>
      <w:r w:rsidR="00AB065C">
        <w:t>technologie</w:t>
      </w:r>
      <w:r w:rsidR="00AB065C" w:rsidRPr="00367821">
        <w:t xml:space="preserve"> </w:t>
      </w:r>
      <w:r>
        <w:t>„zielone”</w:t>
      </w:r>
      <w:r w:rsidR="006343E1">
        <w:t xml:space="preserve"> i </w:t>
      </w:r>
      <w:r>
        <w:t>cyfrowe. Na te priorytety tematyczne można,</w:t>
      </w:r>
      <w:r w:rsidR="006343E1">
        <w:t xml:space="preserve"> w </w:t>
      </w:r>
      <w:r>
        <w:t>ramach realizacji Strategii, dodatkowo nałożyć priorytety sektorowe, odzwierciedlające preferencje dla wybranych branż przemysłowych i usługowych.</w:t>
      </w:r>
    </w:p>
    <w:p w14:paraId="7D83BB1A" w14:textId="2040AF40" w:rsidR="008E15C9" w:rsidRDefault="001C3C76" w:rsidP="008E15C9">
      <w:r>
        <w:t>Jak widać na wykresie 17</w:t>
      </w:r>
      <w:r w:rsidR="008E15C9">
        <w:t>., recesja</w:t>
      </w:r>
      <w:r w:rsidR="006343E1">
        <w:t xml:space="preserve"> z </w:t>
      </w:r>
      <w:r w:rsidR="008E15C9">
        <w:t>roku 2009 zaowocowała obniżeniem stopy inwestycji w państwach członkowskich oraz</w:t>
      </w:r>
      <w:r w:rsidR="006343E1">
        <w:t xml:space="preserve"> w </w:t>
      </w:r>
      <w:r w:rsidR="008E15C9">
        <w:t>całej Unii Europejskiej. Około 2013 r. stopa inwestycji zaczęła się zwiększać, jednak nie powróciła jak dotąd do poziomów sprzed kryzysu</w:t>
      </w:r>
      <w:r w:rsidR="00AB065C">
        <w:t>, z wyjątkiem Niemiec</w:t>
      </w:r>
      <w:r w:rsidR="008E15C9">
        <w:t>.</w:t>
      </w:r>
      <w:r w:rsidR="008E15C9">
        <w:rPr>
          <w:rStyle w:val="Odwoanieprzypisudolnego"/>
        </w:rPr>
        <w:footnoteReference w:id="14"/>
      </w:r>
      <w:r w:rsidR="006343E1">
        <w:t xml:space="preserve"> W </w:t>
      </w:r>
      <w:r w:rsidR="008E15C9">
        <w:t xml:space="preserve">2018 </w:t>
      </w:r>
      <w:r w:rsidR="008E15C9" w:rsidRPr="00BA653D">
        <w:t>r</w:t>
      </w:r>
      <w:r w:rsidR="00BA653D">
        <w:t>.</w:t>
      </w:r>
      <w:r w:rsidR="008E15C9">
        <w:t xml:space="preserve"> do państw</w:t>
      </w:r>
      <w:r w:rsidR="006343E1">
        <w:t xml:space="preserve"> o </w:t>
      </w:r>
      <w:r w:rsidR="008E15C9">
        <w:t>szczególnie wysokiej stopie inwestycji należały Czechy</w:t>
      </w:r>
      <w:r w:rsidR="006343E1">
        <w:t xml:space="preserve"> i </w:t>
      </w:r>
      <w:r w:rsidR="008E15C9">
        <w:t xml:space="preserve">Węgry, natomiast Polska znalazła się wyraźnie poniżej z wartością 18,2%. </w:t>
      </w:r>
    </w:p>
    <w:tbl>
      <w:tblPr>
        <w:tblW w:w="0" w:type="auto"/>
        <w:tblInd w:w="108" w:type="dxa"/>
        <w:tblBorders>
          <w:insideV w:val="single" w:sz="4" w:space="0" w:color="auto"/>
        </w:tblBorders>
        <w:tblLook w:val="04A0" w:firstRow="1" w:lastRow="0" w:firstColumn="1" w:lastColumn="0" w:noHBand="0" w:noVBand="1"/>
      </w:tblPr>
      <w:tblGrid>
        <w:gridCol w:w="7133"/>
      </w:tblGrid>
      <w:tr w:rsidR="008E15C9" w:rsidRPr="00254AB9" w14:paraId="7800F75E" w14:textId="77777777" w:rsidTr="00D52A43">
        <w:trPr>
          <w:trHeight w:val="3995"/>
        </w:trPr>
        <w:tc>
          <w:tcPr>
            <w:tcW w:w="7133" w:type="dxa"/>
            <w:shd w:val="clear" w:color="auto" w:fill="auto"/>
          </w:tcPr>
          <w:p w14:paraId="41ADCEE1" w14:textId="42FFE91C" w:rsidR="008E15C9" w:rsidRDefault="008E15C9" w:rsidP="003A5EA7">
            <w:pPr>
              <w:pStyle w:val="Nagwek4"/>
            </w:pPr>
            <w:r>
              <w:lastRenderedPageBreak/>
              <w:br w:type="page"/>
            </w:r>
            <w:r w:rsidRPr="00254AB9">
              <w:t xml:space="preserve">Wykres </w:t>
            </w:r>
            <w:r w:rsidR="001C3C76">
              <w:rPr>
                <w:noProof/>
              </w:rPr>
              <w:t>17</w:t>
            </w:r>
            <w:r w:rsidRPr="00254AB9">
              <w:t>. Inwestycje</w:t>
            </w:r>
            <w:r w:rsidR="006343E1">
              <w:t xml:space="preserve"> </w:t>
            </w:r>
            <w:r w:rsidR="006343E1" w:rsidRPr="00254AB9">
              <w:t>w</w:t>
            </w:r>
            <w:r w:rsidR="006343E1">
              <w:t> </w:t>
            </w:r>
            <w:r w:rsidRPr="00254AB9">
              <w:t>wybranych państwach UE jako % PKB</w:t>
            </w:r>
          </w:p>
          <w:p w14:paraId="43E66016" w14:textId="77777777" w:rsidR="008E15C9" w:rsidRPr="00254AB9" w:rsidRDefault="008E15C9" w:rsidP="008E15C9">
            <w:pPr>
              <w:spacing w:after="0" w:line="240" w:lineRule="auto"/>
              <w:rPr>
                <w:rFonts w:cs="Calibri"/>
                <w:b/>
                <w:sz w:val="21"/>
                <w:szCs w:val="21"/>
              </w:rPr>
            </w:pPr>
            <w:r>
              <w:rPr>
                <w:rFonts w:cs="Calibri"/>
                <w:b/>
                <w:noProof/>
                <w:sz w:val="21"/>
                <w:szCs w:val="21"/>
                <w:lang w:eastAsia="pl-PL"/>
              </w:rPr>
              <w:drawing>
                <wp:inline distT="0" distB="0" distL="0" distR="0" wp14:anchorId="1B533B45" wp14:editId="366B9E32">
                  <wp:extent cx="4245610" cy="2711395"/>
                  <wp:effectExtent l="0" t="0" r="2540" b="0"/>
                  <wp:docPr id="18" name="Obraz 18" descr="C:\Users\j.kaminski\_Diagnoza_SP_2019\201906_gfcf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C:\Users\j.kaminski\_Diagnoza_SP_2019\201906_gfcf_5.pn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3312" r="1812" b="2550"/>
                          <a:stretch/>
                        </pic:blipFill>
                        <pic:spPr bwMode="auto">
                          <a:xfrm>
                            <a:off x="0" y="0"/>
                            <a:ext cx="4263253" cy="272266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E15C9" w:rsidRPr="00254AB9" w14:paraId="2FC58D4A" w14:textId="77777777" w:rsidTr="00D52A43">
        <w:trPr>
          <w:trHeight w:val="319"/>
        </w:trPr>
        <w:tc>
          <w:tcPr>
            <w:tcW w:w="7133" w:type="dxa"/>
            <w:shd w:val="clear" w:color="auto" w:fill="auto"/>
          </w:tcPr>
          <w:p w14:paraId="581EC702" w14:textId="29FD5E9B" w:rsidR="008E15C9" w:rsidRPr="00254AB9" w:rsidRDefault="008E15C9" w:rsidP="008E15C9">
            <w:pPr>
              <w:pStyle w:val="Bezodstpw"/>
            </w:pPr>
            <w:r w:rsidRPr="00254AB9">
              <w:t xml:space="preserve">Źródło: Opracowanie </w:t>
            </w:r>
            <w:r w:rsidR="003A56DA">
              <w:t>MRiT</w:t>
            </w:r>
            <w:r w:rsidR="003A5EA7">
              <w:t xml:space="preserve"> </w:t>
            </w:r>
            <w:r w:rsidRPr="00254AB9">
              <w:t>na podstawie danych Eurostat</w:t>
            </w:r>
          </w:p>
        </w:tc>
      </w:tr>
    </w:tbl>
    <w:p w14:paraId="48CA297F" w14:textId="6E27407C" w:rsidR="008E15C9" w:rsidRDefault="008E15C9" w:rsidP="008E15C9">
      <w:r>
        <w:t>Na wynik Polski wpłynęły relatywnie niskie inwestycje przedsiębiorstw.</w:t>
      </w:r>
      <w:r w:rsidR="006343E1">
        <w:t xml:space="preserve"> W </w:t>
      </w:r>
      <w:r>
        <w:t xml:space="preserve">2018 r. stanowiły one 10,24% PKB przy średniej unijnej wynoszącej 13,05%. </w:t>
      </w:r>
    </w:p>
    <w:tbl>
      <w:tblPr>
        <w:tblW w:w="0" w:type="auto"/>
        <w:tblInd w:w="108" w:type="dxa"/>
        <w:tblLook w:val="04A0" w:firstRow="1" w:lastRow="0" w:firstColumn="1" w:lastColumn="0" w:noHBand="0" w:noVBand="1"/>
      </w:tblPr>
      <w:tblGrid>
        <w:gridCol w:w="7566"/>
      </w:tblGrid>
      <w:tr w:rsidR="00A862D0" w:rsidRPr="00254AB9" w14:paraId="3482B898" w14:textId="77777777" w:rsidTr="00D52A43">
        <w:trPr>
          <w:trHeight w:val="250"/>
        </w:trPr>
        <w:tc>
          <w:tcPr>
            <w:tcW w:w="6245" w:type="dxa"/>
            <w:shd w:val="clear" w:color="auto" w:fill="auto"/>
          </w:tcPr>
          <w:p w14:paraId="095F9FD1" w14:textId="2E8681A2" w:rsidR="00A862D0" w:rsidRPr="00254AB9" w:rsidRDefault="00A862D0" w:rsidP="001C3C76">
            <w:pPr>
              <w:pStyle w:val="Nagwek4"/>
            </w:pPr>
            <w:r w:rsidRPr="00254AB9">
              <w:rPr>
                <w:rFonts w:cs="Calibri"/>
              </w:rPr>
              <w:t xml:space="preserve">Wykres </w:t>
            </w:r>
            <w:r w:rsidRPr="00254AB9">
              <w:rPr>
                <w:rFonts w:cs="Calibri"/>
              </w:rPr>
              <w:fldChar w:fldCharType="begin"/>
            </w:r>
            <w:r w:rsidRPr="00254AB9">
              <w:rPr>
                <w:rFonts w:cs="Calibri"/>
              </w:rPr>
              <w:instrText xml:space="preserve"> SEQ Rysunek \* ARABIC </w:instrText>
            </w:r>
            <w:r w:rsidRPr="00254AB9">
              <w:rPr>
                <w:rFonts w:cs="Calibri"/>
              </w:rPr>
              <w:fldChar w:fldCharType="separate"/>
            </w:r>
            <w:r w:rsidR="003B19BC">
              <w:rPr>
                <w:rFonts w:cs="Calibri"/>
                <w:noProof/>
              </w:rPr>
              <w:t>1</w:t>
            </w:r>
            <w:r w:rsidRPr="00254AB9">
              <w:rPr>
                <w:rFonts w:cs="Calibri"/>
              </w:rPr>
              <w:fldChar w:fldCharType="end"/>
            </w:r>
            <w:r w:rsidR="001C3C76">
              <w:rPr>
                <w:rFonts w:cs="Calibri"/>
              </w:rPr>
              <w:t>8</w:t>
            </w:r>
            <w:r w:rsidRPr="00254AB9">
              <w:rPr>
                <w:rFonts w:cs="Calibri"/>
              </w:rPr>
              <w:t xml:space="preserve">. </w:t>
            </w:r>
            <w:r w:rsidRPr="00254AB9">
              <w:t>Inwestycje przedsiębiorstw</w:t>
            </w:r>
            <w:r w:rsidR="006343E1">
              <w:t xml:space="preserve"> </w:t>
            </w:r>
            <w:r w:rsidR="006343E1" w:rsidRPr="00254AB9">
              <w:t>w</w:t>
            </w:r>
            <w:r w:rsidR="006343E1">
              <w:t> </w:t>
            </w:r>
            <w:r w:rsidRPr="00254AB9">
              <w:t>2016 r. jako % PKB</w:t>
            </w:r>
          </w:p>
        </w:tc>
      </w:tr>
      <w:tr w:rsidR="00A862D0" w:rsidRPr="00254AB9" w14:paraId="4247A9D1" w14:textId="77777777" w:rsidTr="00D52A43">
        <w:trPr>
          <w:trHeight w:val="2942"/>
        </w:trPr>
        <w:tc>
          <w:tcPr>
            <w:tcW w:w="6245" w:type="dxa"/>
            <w:shd w:val="clear" w:color="auto" w:fill="auto"/>
          </w:tcPr>
          <w:p w14:paraId="15F06461" w14:textId="77777777" w:rsidR="00A862D0" w:rsidRPr="00254AB9" w:rsidRDefault="00A862D0" w:rsidP="00A862D0">
            <w:pPr>
              <w:spacing w:after="0" w:line="240" w:lineRule="auto"/>
              <w:rPr>
                <w:noProof/>
                <w:lang w:eastAsia="pl-PL"/>
              </w:rPr>
            </w:pPr>
            <w:r>
              <w:rPr>
                <w:noProof/>
                <w:lang w:eastAsia="pl-PL"/>
              </w:rPr>
              <w:drawing>
                <wp:inline distT="0" distB="0" distL="0" distR="0" wp14:anchorId="3653FB1A" wp14:editId="70052775">
                  <wp:extent cx="4659464" cy="3100817"/>
                  <wp:effectExtent l="0" t="0" r="8255" b="4445"/>
                  <wp:docPr id="46" name="Obraz 46" descr="20180601biz_inv_gdp_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6669" descr="20180601biz_inv_gdp_20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0667" cy="3121582"/>
                          </a:xfrm>
                          <a:prstGeom prst="rect">
                            <a:avLst/>
                          </a:prstGeom>
                          <a:noFill/>
                          <a:ln>
                            <a:noFill/>
                          </a:ln>
                        </pic:spPr>
                      </pic:pic>
                    </a:graphicData>
                  </a:graphic>
                </wp:inline>
              </w:drawing>
            </w:r>
          </w:p>
        </w:tc>
      </w:tr>
      <w:tr w:rsidR="00A862D0" w:rsidRPr="00254AB9" w14:paraId="0F89D8EF" w14:textId="77777777" w:rsidTr="00D52A43">
        <w:trPr>
          <w:trHeight w:val="276"/>
        </w:trPr>
        <w:tc>
          <w:tcPr>
            <w:tcW w:w="6245" w:type="dxa"/>
            <w:shd w:val="clear" w:color="auto" w:fill="auto"/>
          </w:tcPr>
          <w:p w14:paraId="524A82D4" w14:textId="79892056" w:rsidR="00A862D0" w:rsidRPr="00254AB9" w:rsidRDefault="00A862D0" w:rsidP="00A862D0">
            <w:pPr>
              <w:pStyle w:val="Bezodstpw"/>
              <w:rPr>
                <w:szCs w:val="18"/>
              </w:rPr>
            </w:pPr>
            <w:r w:rsidRPr="00254AB9">
              <w:t xml:space="preserve">Źródło: Opracowanie </w:t>
            </w:r>
            <w:r w:rsidR="003A56DA">
              <w:t>MRiT</w:t>
            </w:r>
            <w:r w:rsidR="003A5EA7">
              <w:t xml:space="preserve"> </w:t>
            </w:r>
            <w:r w:rsidRPr="00254AB9">
              <w:t>na podstawie danych Eurostat</w:t>
            </w:r>
          </w:p>
        </w:tc>
      </w:tr>
    </w:tbl>
    <w:p w14:paraId="679D6860" w14:textId="6E69676B" w:rsidR="008E15C9" w:rsidRDefault="008E15C9" w:rsidP="008E15C9">
      <w:r>
        <w:t>Jak już wskazano, za warunek konieczny dla trwałego wzrostu produktywności należy uznać wzrost inwestycji –</w:t>
      </w:r>
      <w:r w:rsidR="006343E1">
        <w:t xml:space="preserve"> w </w:t>
      </w:r>
      <w:r>
        <w:t>szczególności inwestycji przedsiębiorstw –</w:t>
      </w:r>
      <w:r w:rsidR="006343E1">
        <w:t xml:space="preserve"> w </w:t>
      </w:r>
      <w:r>
        <w:t>wymiarze nie tylko ilościowym, lecz również jakościowym. Działania realizowane</w:t>
      </w:r>
      <w:r w:rsidR="006343E1">
        <w:t xml:space="preserve"> w </w:t>
      </w:r>
      <w:r>
        <w:t xml:space="preserve">ramach </w:t>
      </w:r>
      <w:r w:rsidR="00BA653D">
        <w:t>„</w:t>
      </w:r>
      <w:r>
        <w:t>Strategii</w:t>
      </w:r>
      <w:r w:rsidR="00BA653D">
        <w:t>”</w:t>
      </w:r>
      <w:r>
        <w:t xml:space="preserve"> powinny</w:t>
      </w:r>
      <w:r w:rsidR="006343E1">
        <w:t xml:space="preserve"> w </w:t>
      </w:r>
      <w:r>
        <w:t>sposób szczególny stymulować inwestycje</w:t>
      </w:r>
      <w:r w:rsidR="006343E1">
        <w:t xml:space="preserve"> o </w:t>
      </w:r>
      <w:r>
        <w:t>konkretnym ukierunkowaniu, wynikającym</w:t>
      </w:r>
      <w:r w:rsidR="006343E1">
        <w:t xml:space="preserve"> z </w:t>
      </w:r>
      <w:r>
        <w:t>identyfikacji szans rozwojowych</w:t>
      </w:r>
      <w:r w:rsidR="006343E1">
        <w:t xml:space="preserve"> w </w:t>
      </w:r>
      <w:r>
        <w:t>kontekście globalnych megatrendów. W</w:t>
      </w:r>
      <w:r w:rsidR="00D52A43">
        <w:t> </w:t>
      </w:r>
      <w:r>
        <w:t>gospodarce opartej na wiedzy szczególną kategorią prorozwojowych inwestycji, identyfikowalną</w:t>
      </w:r>
      <w:r w:rsidR="006343E1">
        <w:t xml:space="preserve"> w </w:t>
      </w:r>
      <w:r>
        <w:t>systemie statystyki publicznej, są inwestycje</w:t>
      </w:r>
      <w:r w:rsidR="006343E1">
        <w:t xml:space="preserve"> w </w:t>
      </w:r>
      <w:r>
        <w:t xml:space="preserve">szeroko rozumianą własność intelektualną. </w:t>
      </w:r>
      <w:r w:rsidRPr="00A158C0">
        <w:t>Kategoria ta zawiera inwestycje</w:t>
      </w:r>
      <w:r w:rsidR="006343E1">
        <w:t xml:space="preserve"> </w:t>
      </w:r>
      <w:r w:rsidR="006343E1" w:rsidRPr="00A158C0">
        <w:lastRenderedPageBreak/>
        <w:t>w</w:t>
      </w:r>
      <w:r w:rsidR="006343E1">
        <w:t> </w:t>
      </w:r>
      <w:r w:rsidRPr="00A158C0">
        <w:t>następujące rodzaje aktywów: badania</w:t>
      </w:r>
      <w:r w:rsidR="006343E1">
        <w:t xml:space="preserve"> </w:t>
      </w:r>
      <w:r w:rsidR="006343E1" w:rsidRPr="00A158C0">
        <w:t>i</w:t>
      </w:r>
      <w:r w:rsidR="006343E1">
        <w:t> </w:t>
      </w:r>
      <w:r w:rsidRPr="00A158C0">
        <w:t>rozwój, poszukiwania</w:t>
      </w:r>
      <w:r w:rsidR="006343E1">
        <w:t xml:space="preserve"> </w:t>
      </w:r>
      <w:r w:rsidR="006343E1" w:rsidRPr="00A158C0">
        <w:t>i</w:t>
      </w:r>
      <w:r w:rsidR="006343E1">
        <w:t> </w:t>
      </w:r>
      <w:r w:rsidRPr="00A158C0">
        <w:t>ocena złóż mineralnych, oprogramowanie komputerowe, bazy danych, dzieła artystyczne, pozostałe produkty własności intelektualnej</w:t>
      </w:r>
      <w:r>
        <w:t>.</w:t>
      </w:r>
    </w:p>
    <w:tbl>
      <w:tblPr>
        <w:tblW w:w="0" w:type="auto"/>
        <w:tblInd w:w="108" w:type="dxa"/>
        <w:tblLook w:val="04A0" w:firstRow="1" w:lastRow="0" w:firstColumn="1" w:lastColumn="0" w:noHBand="0" w:noVBand="1"/>
      </w:tblPr>
      <w:tblGrid>
        <w:gridCol w:w="8964"/>
      </w:tblGrid>
      <w:tr w:rsidR="008E15C9" w:rsidRPr="00254AB9" w14:paraId="05395224" w14:textId="77777777" w:rsidTr="008E15C9">
        <w:tc>
          <w:tcPr>
            <w:tcW w:w="8964" w:type="dxa"/>
            <w:shd w:val="clear" w:color="auto" w:fill="auto"/>
          </w:tcPr>
          <w:p w14:paraId="1CBA2696" w14:textId="0D5EEAEF" w:rsidR="008E15C9" w:rsidRDefault="008E15C9" w:rsidP="003A5EA7">
            <w:pPr>
              <w:pStyle w:val="Nagwek4"/>
              <w:rPr>
                <w:szCs w:val="21"/>
              </w:rPr>
            </w:pPr>
            <w:r w:rsidRPr="00254AB9">
              <w:rPr>
                <w:rFonts w:cs="Calibri"/>
                <w:szCs w:val="21"/>
              </w:rPr>
              <w:t xml:space="preserve">Wykres </w:t>
            </w:r>
            <w:r w:rsidRPr="00254AB9">
              <w:rPr>
                <w:rFonts w:cs="Calibri"/>
                <w:szCs w:val="21"/>
              </w:rPr>
              <w:fldChar w:fldCharType="begin"/>
            </w:r>
            <w:r w:rsidRPr="00254AB9">
              <w:rPr>
                <w:rFonts w:cs="Calibri"/>
                <w:szCs w:val="21"/>
              </w:rPr>
              <w:instrText xml:space="preserve"> SEQ Rysunek \* ARABIC </w:instrText>
            </w:r>
            <w:r w:rsidRPr="00254AB9">
              <w:rPr>
                <w:rFonts w:cs="Calibri"/>
                <w:szCs w:val="21"/>
              </w:rPr>
              <w:fldChar w:fldCharType="separate"/>
            </w:r>
            <w:r w:rsidRPr="00254AB9">
              <w:rPr>
                <w:rFonts w:cs="Calibri"/>
                <w:noProof/>
                <w:szCs w:val="21"/>
              </w:rPr>
              <w:t>1</w:t>
            </w:r>
            <w:r w:rsidRPr="00254AB9">
              <w:rPr>
                <w:rFonts w:cs="Calibri"/>
                <w:szCs w:val="21"/>
              </w:rPr>
              <w:fldChar w:fldCharType="end"/>
            </w:r>
            <w:r w:rsidR="001C3C76">
              <w:rPr>
                <w:rFonts w:cs="Calibri"/>
                <w:szCs w:val="21"/>
              </w:rPr>
              <w:t>9</w:t>
            </w:r>
            <w:r w:rsidRPr="00254AB9">
              <w:rPr>
                <w:rFonts w:cs="Calibri"/>
                <w:szCs w:val="21"/>
              </w:rPr>
              <w:t xml:space="preserve">. </w:t>
            </w:r>
            <w:r w:rsidRPr="00254AB9">
              <w:rPr>
                <w:szCs w:val="21"/>
              </w:rPr>
              <w:t>I</w:t>
            </w:r>
            <w:r w:rsidRPr="00612520">
              <w:t>nwestycje</w:t>
            </w:r>
            <w:r w:rsidR="006343E1">
              <w:t xml:space="preserve"> </w:t>
            </w:r>
            <w:r w:rsidR="006343E1" w:rsidRPr="00612520">
              <w:t>w</w:t>
            </w:r>
            <w:r w:rsidR="006343E1">
              <w:t> </w:t>
            </w:r>
            <w:r w:rsidRPr="00612520">
              <w:t xml:space="preserve">produkty </w:t>
            </w:r>
            <w:r w:rsidRPr="003A5EA7">
              <w:t>własności</w:t>
            </w:r>
            <w:r w:rsidRPr="00612520">
              <w:t xml:space="preserve"> intelektualnej</w:t>
            </w:r>
            <w:r w:rsidR="006343E1">
              <w:t xml:space="preserve"> </w:t>
            </w:r>
            <w:r w:rsidR="006343E1" w:rsidRPr="00612520">
              <w:t>w</w:t>
            </w:r>
            <w:r w:rsidR="006343E1">
              <w:t> </w:t>
            </w:r>
            <w:r w:rsidRPr="00612520">
              <w:t>2018 r. jako % PKB</w:t>
            </w:r>
          </w:p>
          <w:p w14:paraId="2C66F7B3" w14:textId="77777777" w:rsidR="008E15C9" w:rsidRPr="00254AB9" w:rsidRDefault="008E15C9" w:rsidP="008E15C9">
            <w:pPr>
              <w:spacing w:after="0" w:line="240" w:lineRule="auto"/>
              <w:rPr>
                <w:b/>
                <w:sz w:val="21"/>
                <w:szCs w:val="21"/>
              </w:rPr>
            </w:pPr>
            <w:r>
              <w:rPr>
                <w:b/>
                <w:noProof/>
                <w:sz w:val="21"/>
                <w:szCs w:val="21"/>
                <w:lang w:eastAsia="pl-PL"/>
              </w:rPr>
              <w:drawing>
                <wp:inline distT="0" distB="0" distL="0" distR="0" wp14:anchorId="6832D561" wp14:editId="129D784D">
                  <wp:extent cx="4659464" cy="2889250"/>
                  <wp:effectExtent l="0" t="0" r="8255" b="6350"/>
                  <wp:docPr id="11" name="Obraz 11" descr="C:\Users\j.kaminski\_Diagnoza_SP_2019\201906inv_i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C:\Users\j.kaminski\_Diagnoza_SP_2019\201906inv_ipp.pn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3454" r="2124"/>
                          <a:stretch/>
                        </pic:blipFill>
                        <pic:spPr bwMode="auto">
                          <a:xfrm>
                            <a:off x="0" y="0"/>
                            <a:ext cx="4664638" cy="289245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E15C9" w:rsidRPr="00254AB9" w14:paraId="3A740BE3" w14:textId="77777777" w:rsidTr="008E15C9">
        <w:tc>
          <w:tcPr>
            <w:tcW w:w="8964" w:type="dxa"/>
            <w:shd w:val="clear" w:color="auto" w:fill="auto"/>
          </w:tcPr>
          <w:p w14:paraId="0310E6D4" w14:textId="77777777" w:rsidR="008E15C9" w:rsidRPr="00254AB9" w:rsidRDefault="008E15C9" w:rsidP="008E15C9">
            <w:pPr>
              <w:pStyle w:val="Bezodstpw"/>
            </w:pPr>
            <w:r w:rsidRPr="00254AB9">
              <w:t>Źródło: Eurostat</w:t>
            </w:r>
          </w:p>
        </w:tc>
      </w:tr>
    </w:tbl>
    <w:p w14:paraId="10F8D824" w14:textId="59193850" w:rsidR="008E15C9" w:rsidRDefault="008E15C9" w:rsidP="008E15C9">
      <w:r>
        <w:t>Jak widać na wykresie</w:t>
      </w:r>
      <w:r w:rsidR="001C3C76">
        <w:t xml:space="preserve"> 19.</w:t>
      </w:r>
      <w:r>
        <w:t>, spośród państw Unii Europejskiej (</w:t>
      </w:r>
      <w:r w:rsidRPr="00612520">
        <w:t>dla których</w:t>
      </w:r>
      <w:r w:rsidR="006343E1">
        <w:t xml:space="preserve"> </w:t>
      </w:r>
      <w:r w:rsidR="006343E1" w:rsidRPr="00612520">
        <w:t>w</w:t>
      </w:r>
      <w:r w:rsidR="006343E1">
        <w:t> </w:t>
      </w:r>
      <w:r w:rsidRPr="00612520">
        <w:t>momencie pisania diagnozy były dostępne dane za rok 2018</w:t>
      </w:r>
      <w:r>
        <w:t>) Polska wraz ze Słowacją zajmowała ostatnie miejsce pod względem udziału inwestycji w wartości niematerialne</w:t>
      </w:r>
      <w:r w:rsidR="006343E1">
        <w:t xml:space="preserve"> i </w:t>
      </w:r>
      <w:r>
        <w:t>prawne</w:t>
      </w:r>
      <w:r w:rsidR="006343E1">
        <w:t xml:space="preserve"> w </w:t>
      </w:r>
      <w:r>
        <w:t>PKB. Na cele związane</w:t>
      </w:r>
      <w:r w:rsidR="006343E1">
        <w:t xml:space="preserve"> z </w:t>
      </w:r>
      <w:r>
        <w:t>produktami własności intelektualnej Polska przeznaczyła</w:t>
      </w:r>
      <w:r w:rsidR="006343E1">
        <w:t xml:space="preserve"> w </w:t>
      </w:r>
      <w:r>
        <w:t>tym roku 1,5% PKB.</w:t>
      </w:r>
      <w:r w:rsidR="006343E1">
        <w:t xml:space="preserve"> W </w:t>
      </w:r>
      <w:r>
        <w:t>świetle tego wskaźnika oraz wielu innych ustaleń niniejszej diagnozy jedno z ciekawszych pytań analitycznych dotyczących polskiej gospodarki brzmi zatem: jak długo da się utrzymać</w:t>
      </w:r>
      <w:r w:rsidR="006343E1">
        <w:t xml:space="preserve"> w </w:t>
      </w:r>
      <w:r>
        <w:t>Polsce obecne wysokie tempo wzrostu PKB</w:t>
      </w:r>
      <w:r w:rsidR="006343E1">
        <w:t xml:space="preserve"> i </w:t>
      </w:r>
      <w:r>
        <w:t>wydajności pracy bez wyraźnego zwiększenia stopy inwestycji prywatnych,</w:t>
      </w:r>
      <w:r w:rsidR="006343E1">
        <w:t xml:space="preserve"> w </w:t>
      </w:r>
      <w:r>
        <w:t>tym</w:t>
      </w:r>
      <w:r w:rsidR="006343E1">
        <w:t xml:space="preserve"> w </w:t>
      </w:r>
      <w:r>
        <w:t>szczególności inwestycji zwiększających szeroko rozumiany kapitał niematerialny przedsiębiorstw oraz ich zdolność do absorpcji</w:t>
      </w:r>
      <w:r w:rsidR="006343E1">
        <w:t xml:space="preserve"> i </w:t>
      </w:r>
      <w:r>
        <w:t>kreacji innowacji.</w:t>
      </w:r>
    </w:p>
    <w:p w14:paraId="35888AEF" w14:textId="66CE9A64" w:rsidR="008E15C9" w:rsidRDefault="008E15C9" w:rsidP="008E15C9">
      <w:r>
        <w:t>Teoretycznie skłonność do inwestycji,</w:t>
      </w:r>
      <w:r w:rsidR="006343E1">
        <w:t xml:space="preserve"> w </w:t>
      </w:r>
      <w:r>
        <w:t>tym inwestycji szczególnie produktywnych, powinna rosnąć wraz</w:t>
      </w:r>
      <w:r w:rsidR="006343E1">
        <w:t xml:space="preserve"> z </w:t>
      </w:r>
      <w:r>
        <w:t>wielkością przedsiębiorstwa</w:t>
      </w:r>
      <w:r w:rsidR="006343E1">
        <w:t xml:space="preserve"> z </w:t>
      </w:r>
      <w:r>
        <w:t>uwagi choćby na efekty skali oraz wzrost możliwości finansowych</w:t>
      </w:r>
      <w:r w:rsidR="006343E1">
        <w:t xml:space="preserve"> i </w:t>
      </w:r>
      <w:r>
        <w:t>umiejętności zarządczych. Ta hipoteza znajduje potwierdzenie</w:t>
      </w:r>
      <w:r w:rsidR="006343E1">
        <w:t xml:space="preserve"> w </w:t>
      </w:r>
      <w:r>
        <w:t>rzeczywistości. W 2017 r. duże przedsiębiorstwa generowały 60% przychodów ze sprzedaży, 70% nakładów na środki trwałe oraz ponad 80% nakładów na wartości niematerialne</w:t>
      </w:r>
      <w:r w:rsidR="006343E1">
        <w:t xml:space="preserve"> i </w:t>
      </w:r>
      <w:r>
        <w:t>prawne</w:t>
      </w:r>
      <w:r>
        <w:rPr>
          <w:rStyle w:val="Odwoanieprzypisudolnego"/>
        </w:rPr>
        <w:footnoteReference w:id="15"/>
      </w:r>
      <w:r>
        <w:t>. Odpowiednio mniejsze były udziały firm małych</w:t>
      </w:r>
      <w:r w:rsidR="006343E1">
        <w:t xml:space="preserve"> i </w:t>
      </w:r>
      <w:r>
        <w:t>średnich. Wydaje się zatem</w:t>
      </w:r>
      <w:r w:rsidR="00477C54">
        <w:t>, że </w:t>
      </w:r>
      <w:r>
        <w:t>warunkiem zwiększenia zdolności inwestycyjnej polskich firm jest wspieranie zwiększania skali ich działalności. Doprecyzowując, jeśli z punktu widzenia tempa wzrostu firmy mamy dwa zasadnicze modele biznesowe: tradycyjny (w myśl zasady przetrwać, umocnić się, rozwijać ostrożnie, najpierw sprzedaż potem innowacje) oraz startupowy (</w:t>
      </w:r>
      <w:r w:rsidRPr="00367821">
        <w:rPr>
          <w:i/>
        </w:rPr>
        <w:t>born global</w:t>
      </w:r>
      <w:r>
        <w:t xml:space="preserve">, ukierunkowanie na bardzo szybki wzrost), to być może system wsparcia finansowego i dotyczącego transferu wiedzy dla </w:t>
      </w:r>
      <w:r w:rsidR="00A30C03">
        <w:t xml:space="preserve">małych i średnich przedsiębiorstw (dalej </w:t>
      </w:r>
      <w:r>
        <w:t>MŚP</w:t>
      </w:r>
      <w:r w:rsidR="00A30C03">
        <w:t>)</w:t>
      </w:r>
      <w:r>
        <w:t xml:space="preserve"> należy kształtować</w:t>
      </w:r>
      <w:r w:rsidR="006343E1">
        <w:t xml:space="preserve"> z </w:t>
      </w:r>
      <w:r>
        <w:t>jasnym wyodrębnieniem tych dwóch logik. Takie ukierunkowanie nie byłoby sprzeczne</w:t>
      </w:r>
      <w:r w:rsidR="006343E1">
        <w:t xml:space="preserve"> z </w:t>
      </w:r>
      <w:r>
        <w:t>ideą coraz silniejszego wbudowania postaw ekspansywnych</w:t>
      </w:r>
      <w:r w:rsidR="006343E1">
        <w:t xml:space="preserve"> i </w:t>
      </w:r>
      <w:r>
        <w:t xml:space="preserve">proinnowacyjnych w sposób funkcjonowania wszystkich </w:t>
      </w:r>
      <w:r>
        <w:lastRenderedPageBreak/>
        <w:t>przedsiębiorców, natomiast pozwoliłoby dostosować instrumenty do potrzeb</w:t>
      </w:r>
      <w:r w:rsidR="006343E1">
        <w:t xml:space="preserve"> i </w:t>
      </w:r>
      <w:r>
        <w:t>możliwości dwóch rodzajów firm zasadniczo różniących się gotowością do ryzyka związanego</w:t>
      </w:r>
      <w:r w:rsidR="006343E1">
        <w:t xml:space="preserve"> z </w:t>
      </w:r>
      <w:r>
        <w:t xml:space="preserve">działalnością innowacyjną.   </w:t>
      </w:r>
    </w:p>
    <w:tbl>
      <w:tblPr>
        <w:tblW w:w="0" w:type="auto"/>
        <w:tblInd w:w="70" w:type="dxa"/>
        <w:tblCellMar>
          <w:left w:w="70" w:type="dxa"/>
          <w:right w:w="70" w:type="dxa"/>
        </w:tblCellMar>
        <w:tblLook w:val="04A0" w:firstRow="1" w:lastRow="0" w:firstColumn="1" w:lastColumn="0" w:noHBand="0" w:noVBand="1"/>
      </w:tblPr>
      <w:tblGrid>
        <w:gridCol w:w="9002"/>
      </w:tblGrid>
      <w:tr w:rsidR="008E15C9" w:rsidRPr="00254AB9" w14:paraId="741CF8A5" w14:textId="77777777" w:rsidTr="008E15C9">
        <w:tc>
          <w:tcPr>
            <w:tcW w:w="9142" w:type="dxa"/>
            <w:shd w:val="clear" w:color="auto" w:fill="auto"/>
          </w:tcPr>
          <w:p w14:paraId="5246D2F5" w14:textId="5932AA01" w:rsidR="008E15C9" w:rsidRPr="00254AB9" w:rsidRDefault="008E15C9" w:rsidP="003A5EA7">
            <w:pPr>
              <w:pStyle w:val="Nagwek4"/>
              <w:rPr>
                <w:sz w:val="20"/>
                <w:szCs w:val="20"/>
              </w:rPr>
            </w:pPr>
            <w:r w:rsidRPr="00254AB9">
              <w:t xml:space="preserve">Wykres </w:t>
            </w:r>
            <w:r w:rsidR="001C3C76">
              <w:t>20</w:t>
            </w:r>
            <w:r w:rsidRPr="00254AB9">
              <w:t>. Podstawowe informacje</w:t>
            </w:r>
            <w:r w:rsidR="006343E1">
              <w:t xml:space="preserve"> </w:t>
            </w:r>
            <w:r w:rsidR="006343E1" w:rsidRPr="00254AB9">
              <w:t>o</w:t>
            </w:r>
            <w:r w:rsidR="006343E1">
              <w:t> </w:t>
            </w:r>
            <w:r w:rsidRPr="00254AB9">
              <w:t xml:space="preserve">aktywności przedsiębiorstw </w:t>
            </w:r>
            <w:r w:rsidRPr="00254AB9">
              <w:rPr>
                <w:sz w:val="20"/>
                <w:szCs w:val="20"/>
              </w:rPr>
              <w:t>według liczby pracowników (2017)</w:t>
            </w:r>
          </w:p>
          <w:tbl>
            <w:tblPr>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2705"/>
              <w:gridCol w:w="3200"/>
              <w:gridCol w:w="2947"/>
            </w:tblGrid>
            <w:tr w:rsidR="008E15C9" w:rsidRPr="00254AB9" w14:paraId="4F808D7C" w14:textId="77777777" w:rsidTr="008E15C9">
              <w:tc>
                <w:tcPr>
                  <w:tcW w:w="2801" w:type="dxa"/>
                  <w:shd w:val="clear" w:color="auto" w:fill="auto"/>
                </w:tcPr>
                <w:p w14:paraId="0217DC92" w14:textId="77777777" w:rsidR="008E15C9" w:rsidRPr="00254AB9" w:rsidRDefault="008E15C9" w:rsidP="008E15C9">
                  <w:pPr>
                    <w:spacing w:after="0" w:line="240" w:lineRule="auto"/>
                    <w:rPr>
                      <w:b/>
                      <w:sz w:val="20"/>
                      <w:szCs w:val="20"/>
                    </w:rPr>
                  </w:pPr>
                  <w:r>
                    <w:rPr>
                      <w:noProof/>
                      <w:lang w:eastAsia="pl-PL"/>
                    </w:rPr>
                    <w:drawing>
                      <wp:inline distT="0" distB="0" distL="0" distR="0" wp14:anchorId="481576F8" wp14:editId="7A81F0C4">
                        <wp:extent cx="1657350" cy="1530350"/>
                        <wp:effectExtent l="0" t="0" r="0" b="0"/>
                        <wp:docPr id="3" name="Wykres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c>
                <w:tcPr>
                  <w:tcW w:w="3301" w:type="dxa"/>
                  <w:shd w:val="clear" w:color="auto" w:fill="auto"/>
                </w:tcPr>
                <w:p w14:paraId="68757F2A" w14:textId="77777777" w:rsidR="008E15C9" w:rsidRPr="00254AB9" w:rsidRDefault="008E15C9" w:rsidP="008E15C9">
                  <w:pPr>
                    <w:spacing w:after="0" w:line="240" w:lineRule="auto"/>
                    <w:rPr>
                      <w:b/>
                      <w:sz w:val="20"/>
                      <w:szCs w:val="20"/>
                    </w:rPr>
                  </w:pPr>
                  <w:r>
                    <w:rPr>
                      <w:noProof/>
                      <w:lang w:eastAsia="pl-PL"/>
                    </w:rPr>
                    <w:drawing>
                      <wp:inline distT="0" distB="0" distL="0" distR="0" wp14:anchorId="65FE915A" wp14:editId="721B172A">
                        <wp:extent cx="1987550" cy="1865630"/>
                        <wp:effectExtent l="0" t="0" r="0" b="1270"/>
                        <wp:docPr id="2" name="Wykres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c>
                <w:tcPr>
                  <w:tcW w:w="2890" w:type="dxa"/>
                  <w:shd w:val="clear" w:color="auto" w:fill="auto"/>
                </w:tcPr>
                <w:p w14:paraId="7E9C5BF4" w14:textId="77777777" w:rsidR="008E15C9" w:rsidRPr="00254AB9" w:rsidRDefault="008E15C9" w:rsidP="008E15C9">
                  <w:pPr>
                    <w:spacing w:after="0" w:line="240" w:lineRule="auto"/>
                    <w:rPr>
                      <w:b/>
                      <w:sz w:val="20"/>
                      <w:szCs w:val="20"/>
                    </w:rPr>
                  </w:pPr>
                  <w:r>
                    <w:rPr>
                      <w:noProof/>
                      <w:lang w:eastAsia="pl-PL"/>
                    </w:rPr>
                    <w:drawing>
                      <wp:inline distT="0" distB="0" distL="0" distR="0" wp14:anchorId="14548E90" wp14:editId="0AEDD7CC">
                        <wp:extent cx="1819275" cy="1577975"/>
                        <wp:effectExtent l="0" t="0" r="0" b="3175"/>
                        <wp:docPr id="1"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r>
            <w:tr w:rsidR="008E15C9" w:rsidRPr="00254AB9" w14:paraId="626AC44F" w14:textId="77777777" w:rsidTr="008E15C9">
              <w:tc>
                <w:tcPr>
                  <w:tcW w:w="2801" w:type="dxa"/>
                  <w:shd w:val="clear" w:color="auto" w:fill="auto"/>
                </w:tcPr>
                <w:p w14:paraId="11C0B2FA" w14:textId="1B427A02" w:rsidR="008E15C9" w:rsidRPr="00254AB9" w:rsidRDefault="008E15C9" w:rsidP="008E15C9">
                  <w:pPr>
                    <w:spacing w:after="0" w:line="240" w:lineRule="auto"/>
                    <w:rPr>
                      <w:b/>
                      <w:sz w:val="20"/>
                      <w:szCs w:val="20"/>
                    </w:rPr>
                  </w:pPr>
                  <w:r w:rsidRPr="00254AB9">
                    <w:rPr>
                      <w:b/>
                      <w:sz w:val="20"/>
                      <w:szCs w:val="20"/>
                    </w:rPr>
                    <w:t>Udziały przedsiębiorstw</w:t>
                  </w:r>
                  <w:r w:rsidR="006343E1">
                    <w:rPr>
                      <w:b/>
                      <w:sz w:val="20"/>
                      <w:szCs w:val="20"/>
                    </w:rPr>
                    <w:t xml:space="preserve"> </w:t>
                  </w:r>
                  <w:r w:rsidR="006343E1" w:rsidRPr="00254AB9">
                    <w:rPr>
                      <w:b/>
                      <w:sz w:val="20"/>
                      <w:szCs w:val="20"/>
                    </w:rPr>
                    <w:t>w</w:t>
                  </w:r>
                  <w:r w:rsidR="00E26A20">
                    <w:rPr>
                      <w:b/>
                      <w:sz w:val="20"/>
                      <w:szCs w:val="20"/>
                    </w:rPr>
                    <w:t xml:space="preserve"> </w:t>
                  </w:r>
                  <w:r w:rsidRPr="00254AB9">
                    <w:rPr>
                      <w:b/>
                      <w:sz w:val="20"/>
                      <w:szCs w:val="20"/>
                    </w:rPr>
                    <w:t>łącz</w:t>
                  </w:r>
                  <w:r w:rsidR="002553A1">
                    <w:rPr>
                      <w:b/>
                      <w:sz w:val="20"/>
                      <w:szCs w:val="20"/>
                    </w:rPr>
                    <w:t>-</w:t>
                  </w:r>
                  <w:proofErr w:type="spellStart"/>
                  <w:r w:rsidRPr="00254AB9">
                    <w:rPr>
                      <w:b/>
                      <w:sz w:val="20"/>
                      <w:szCs w:val="20"/>
                    </w:rPr>
                    <w:t>nych</w:t>
                  </w:r>
                  <w:proofErr w:type="spellEnd"/>
                  <w:r w:rsidRPr="00254AB9">
                    <w:rPr>
                      <w:b/>
                      <w:sz w:val="20"/>
                      <w:szCs w:val="20"/>
                    </w:rPr>
                    <w:t xml:space="preserve"> przychodach ze sprzedaży (2017)</w:t>
                  </w:r>
                </w:p>
              </w:tc>
              <w:tc>
                <w:tcPr>
                  <w:tcW w:w="3301" w:type="dxa"/>
                  <w:shd w:val="clear" w:color="auto" w:fill="auto"/>
                </w:tcPr>
                <w:p w14:paraId="289EEE00" w14:textId="6E319692" w:rsidR="008E15C9" w:rsidRPr="00254AB9" w:rsidRDefault="008E15C9" w:rsidP="008E15C9">
                  <w:pPr>
                    <w:spacing w:after="0" w:line="240" w:lineRule="auto"/>
                    <w:rPr>
                      <w:b/>
                      <w:sz w:val="20"/>
                      <w:szCs w:val="20"/>
                    </w:rPr>
                  </w:pPr>
                  <w:r w:rsidRPr="00254AB9">
                    <w:rPr>
                      <w:b/>
                      <w:sz w:val="20"/>
                      <w:szCs w:val="20"/>
                    </w:rPr>
                    <w:t>Udziały przedsiębiorstw</w:t>
                  </w:r>
                  <w:r w:rsidR="006343E1">
                    <w:rPr>
                      <w:b/>
                      <w:sz w:val="20"/>
                      <w:szCs w:val="20"/>
                    </w:rPr>
                    <w:t xml:space="preserve"> </w:t>
                  </w:r>
                  <w:r w:rsidR="006343E1" w:rsidRPr="00254AB9">
                    <w:rPr>
                      <w:b/>
                      <w:sz w:val="20"/>
                      <w:szCs w:val="20"/>
                    </w:rPr>
                    <w:t>w</w:t>
                  </w:r>
                  <w:r w:rsidR="006343E1">
                    <w:rPr>
                      <w:b/>
                      <w:sz w:val="20"/>
                      <w:szCs w:val="20"/>
                    </w:rPr>
                    <w:t> </w:t>
                  </w:r>
                  <w:r w:rsidRPr="00254AB9">
                    <w:rPr>
                      <w:b/>
                      <w:sz w:val="20"/>
                      <w:szCs w:val="20"/>
                    </w:rPr>
                    <w:t xml:space="preserve">łącznych nakładach na środki trwałe (2017) </w:t>
                  </w:r>
                </w:p>
                <w:p w14:paraId="741D2CEB" w14:textId="77777777" w:rsidR="008E15C9" w:rsidRPr="00254AB9" w:rsidRDefault="008E15C9" w:rsidP="008E15C9">
                  <w:pPr>
                    <w:spacing w:after="0" w:line="240" w:lineRule="auto"/>
                    <w:rPr>
                      <w:b/>
                      <w:sz w:val="20"/>
                      <w:szCs w:val="20"/>
                    </w:rPr>
                  </w:pPr>
                  <w:r w:rsidRPr="00254AB9">
                    <w:rPr>
                      <w:b/>
                      <w:sz w:val="20"/>
                      <w:szCs w:val="20"/>
                    </w:rPr>
                    <w:t>według liczby pracowników</w:t>
                  </w:r>
                </w:p>
                <w:p w14:paraId="1E51390C" w14:textId="77777777" w:rsidR="008E15C9" w:rsidRPr="00254AB9" w:rsidRDefault="008E15C9" w:rsidP="008E15C9">
                  <w:pPr>
                    <w:spacing w:after="0" w:line="240" w:lineRule="auto"/>
                    <w:rPr>
                      <w:b/>
                      <w:sz w:val="20"/>
                      <w:szCs w:val="20"/>
                    </w:rPr>
                  </w:pPr>
                </w:p>
              </w:tc>
              <w:tc>
                <w:tcPr>
                  <w:tcW w:w="2890" w:type="dxa"/>
                  <w:shd w:val="clear" w:color="auto" w:fill="auto"/>
                </w:tcPr>
                <w:p w14:paraId="2D0636A3" w14:textId="794C791C" w:rsidR="008E15C9" w:rsidRPr="00254AB9" w:rsidRDefault="008E15C9" w:rsidP="008E15C9">
                  <w:pPr>
                    <w:spacing w:after="0" w:line="240" w:lineRule="auto"/>
                    <w:rPr>
                      <w:b/>
                      <w:sz w:val="20"/>
                      <w:szCs w:val="20"/>
                    </w:rPr>
                  </w:pPr>
                  <w:r w:rsidRPr="00254AB9">
                    <w:rPr>
                      <w:b/>
                      <w:sz w:val="20"/>
                      <w:szCs w:val="20"/>
                    </w:rPr>
                    <w:t>Udziały przedsiębiorstw</w:t>
                  </w:r>
                  <w:r w:rsidR="006343E1">
                    <w:rPr>
                      <w:b/>
                      <w:sz w:val="20"/>
                      <w:szCs w:val="20"/>
                    </w:rPr>
                    <w:t xml:space="preserve"> </w:t>
                  </w:r>
                  <w:r w:rsidR="006343E1" w:rsidRPr="00254AB9">
                    <w:rPr>
                      <w:b/>
                      <w:sz w:val="20"/>
                      <w:szCs w:val="20"/>
                    </w:rPr>
                    <w:t>w</w:t>
                  </w:r>
                  <w:r w:rsidR="002553A1">
                    <w:rPr>
                      <w:b/>
                      <w:sz w:val="20"/>
                      <w:szCs w:val="20"/>
                    </w:rPr>
                    <w:t xml:space="preserve"> </w:t>
                  </w:r>
                  <w:r w:rsidRPr="00254AB9">
                    <w:rPr>
                      <w:b/>
                      <w:sz w:val="20"/>
                      <w:szCs w:val="20"/>
                    </w:rPr>
                    <w:t>łącz</w:t>
                  </w:r>
                  <w:r w:rsidR="002553A1">
                    <w:rPr>
                      <w:b/>
                      <w:sz w:val="20"/>
                      <w:szCs w:val="20"/>
                    </w:rPr>
                    <w:t>-</w:t>
                  </w:r>
                  <w:proofErr w:type="spellStart"/>
                  <w:r w:rsidRPr="00254AB9">
                    <w:rPr>
                      <w:b/>
                      <w:sz w:val="20"/>
                      <w:szCs w:val="20"/>
                    </w:rPr>
                    <w:t>nych</w:t>
                  </w:r>
                  <w:proofErr w:type="spellEnd"/>
                  <w:r w:rsidRPr="00254AB9">
                    <w:rPr>
                      <w:b/>
                      <w:sz w:val="20"/>
                      <w:szCs w:val="20"/>
                    </w:rPr>
                    <w:t xml:space="preserve"> nakładach na wartości niema</w:t>
                  </w:r>
                  <w:r w:rsidR="002553A1">
                    <w:rPr>
                      <w:b/>
                      <w:sz w:val="20"/>
                      <w:szCs w:val="20"/>
                    </w:rPr>
                    <w:t>-</w:t>
                  </w:r>
                  <w:proofErr w:type="spellStart"/>
                  <w:r w:rsidRPr="00254AB9">
                    <w:rPr>
                      <w:b/>
                      <w:sz w:val="20"/>
                      <w:szCs w:val="20"/>
                    </w:rPr>
                    <w:t>terialne</w:t>
                  </w:r>
                  <w:proofErr w:type="spellEnd"/>
                  <w:r w:rsidR="006343E1">
                    <w:rPr>
                      <w:b/>
                      <w:sz w:val="20"/>
                      <w:szCs w:val="20"/>
                    </w:rPr>
                    <w:t xml:space="preserve"> </w:t>
                  </w:r>
                  <w:r w:rsidR="006343E1" w:rsidRPr="00254AB9">
                    <w:rPr>
                      <w:b/>
                      <w:sz w:val="20"/>
                      <w:szCs w:val="20"/>
                    </w:rPr>
                    <w:t>i</w:t>
                  </w:r>
                  <w:r w:rsidR="006343E1">
                    <w:rPr>
                      <w:b/>
                      <w:sz w:val="20"/>
                      <w:szCs w:val="20"/>
                    </w:rPr>
                    <w:t> </w:t>
                  </w:r>
                  <w:r w:rsidRPr="00254AB9">
                    <w:rPr>
                      <w:b/>
                      <w:sz w:val="20"/>
                      <w:szCs w:val="20"/>
                    </w:rPr>
                    <w:t>prawne (2017) według liczby pracowników</w:t>
                  </w:r>
                </w:p>
              </w:tc>
            </w:tr>
          </w:tbl>
          <w:p w14:paraId="1E2E9FCE" w14:textId="77777777" w:rsidR="007C783D" w:rsidRDefault="007C783D" w:rsidP="003A5EA7">
            <w:pPr>
              <w:pStyle w:val="Bezodstpw"/>
            </w:pPr>
          </w:p>
          <w:p w14:paraId="34F9F446" w14:textId="052E8950" w:rsidR="008E15C9" w:rsidRPr="00254AB9" w:rsidRDefault="008E15C9" w:rsidP="003A5EA7">
            <w:pPr>
              <w:pStyle w:val="Bezodstpw"/>
            </w:pPr>
            <w:r w:rsidRPr="00254AB9">
              <w:t xml:space="preserve">Źródło: Opracowanie </w:t>
            </w:r>
            <w:r w:rsidR="003A56DA">
              <w:t>MRiT</w:t>
            </w:r>
            <w:r w:rsidR="003A5EA7">
              <w:t xml:space="preserve"> </w:t>
            </w:r>
            <w:r w:rsidRPr="00254AB9">
              <w:t>na podstawie danych GUS (2018)</w:t>
            </w:r>
          </w:p>
        </w:tc>
      </w:tr>
    </w:tbl>
    <w:p w14:paraId="167BBC44" w14:textId="71CF7905" w:rsidR="008E15C9" w:rsidRDefault="008E15C9" w:rsidP="008E15C9">
      <w:r>
        <w:t>W kontekście wzrostu firm warto podkreślić</w:t>
      </w:r>
      <w:r w:rsidR="00477C54">
        <w:t>, że </w:t>
      </w:r>
      <w:r>
        <w:t>jego miarą nie jest tak naprawdę wzrost zatrudnienia, ale wzrost przychodów ze sprzedaży, udziału</w:t>
      </w:r>
      <w:r w:rsidR="006343E1">
        <w:t xml:space="preserve"> w </w:t>
      </w:r>
      <w:r>
        <w:t>rynku oraz wskaźników rentowności.</w:t>
      </w:r>
      <w:r w:rsidR="006343E1">
        <w:t xml:space="preserve"> W </w:t>
      </w:r>
      <w:r>
        <w:t>pewnym uproszczeniu, firmy nie dlatego są rentowne, bo zatrudniają wiele osób, ale dlatego zatrudniają wiele osób, bo osiągnęły kiedyś poziom rentowności (lub przekonały inwestorów</w:t>
      </w:r>
      <w:r w:rsidR="006343E1">
        <w:t xml:space="preserve"> o </w:t>
      </w:r>
      <w:r>
        <w:t>potencjale wzrostu rentowności) umożliwiający inwestycje, za którymi poszedł wzrost zatrudnienia. Praktyczną konsekwencją tego faktu, zwłaszcza</w:t>
      </w:r>
      <w:r w:rsidR="006343E1">
        <w:t xml:space="preserve"> w </w:t>
      </w:r>
      <w:r>
        <w:t>kontekście narastających problemów</w:t>
      </w:r>
      <w:r w:rsidR="006343E1">
        <w:t xml:space="preserve"> z </w:t>
      </w:r>
      <w:r>
        <w:t>podażą siły roboczej, powinno być zmniejszenie roli kryterium wpływu na zatrudnienie przy ocenie projektów inwestycyjnych przedsiębiorstw, finansowanych ze środków publicznych. Zamiast tego większą rolę należałoby przyznać wpływowi na wydajność pracy, szacowanemu na podstawie prognozowanej zmiany wartości dodanej na zatrudnionego, rentowności kapitału oraz TFP, czego warunkiem jest zdolność oceniających do dogłębnego zrozumienia biznesplanu ocenianego przedsięwzięcia. Stawia to kolejne wyzwania dotyczące zadbania</w:t>
      </w:r>
      <w:r w:rsidR="006343E1">
        <w:t xml:space="preserve"> o </w:t>
      </w:r>
      <w:r>
        <w:t>jakość biznesplanów tworzonych przy ubieganiu się</w:t>
      </w:r>
      <w:r w:rsidR="006343E1">
        <w:t xml:space="preserve"> o </w:t>
      </w:r>
      <w:r>
        <w:t>środki publiczne oraz</w:t>
      </w:r>
      <w:r w:rsidR="006343E1">
        <w:t xml:space="preserve"> o </w:t>
      </w:r>
      <w:r>
        <w:t>jakość wymogów formułowanych wobec tych biznesplanów, tak aby były one nie tylko elementem procedury administracyjnej</w:t>
      </w:r>
      <w:r w:rsidR="00723398">
        <w:t>,</w:t>
      </w:r>
      <w:r>
        <w:t xml:space="preserve"> ale narzędziem cennym również dla przedsiębiorcy jako usprawnienie strategicznego planowania działalności firmy.</w:t>
      </w:r>
    </w:p>
    <w:p w14:paraId="23F24CF4" w14:textId="0C9AD0A5" w:rsidR="008E15C9" w:rsidRDefault="008E15C9" w:rsidP="008E15C9">
      <w:r w:rsidRPr="00FA1DEB">
        <w:t xml:space="preserve">Należy również rozważyć silniejsze niż do tej pory ukierunkowanie </w:t>
      </w:r>
      <w:r>
        <w:t>wsparcia przedsiębiorczości ze środków publicznych</w:t>
      </w:r>
      <w:r w:rsidRPr="00FA1DEB">
        <w:t xml:space="preserve"> na najszerzej rozumiane aktywa niematerialne.</w:t>
      </w:r>
      <w:r>
        <w:t xml:space="preserve"> Pewne kategorie wydatków mogłyby całkowicie zostać wyłączone</w:t>
      </w:r>
      <w:r w:rsidR="006343E1">
        <w:t xml:space="preserve"> z </w:t>
      </w:r>
      <w:r>
        <w:t>finansowania lub obłożone limitem udziału</w:t>
      </w:r>
      <w:r w:rsidR="006343E1">
        <w:t xml:space="preserve"> w </w:t>
      </w:r>
      <w:r>
        <w:t>całkowitych kosztach kwalifikowalnych projektu.</w:t>
      </w:r>
    </w:p>
    <w:p w14:paraId="7F1E5723" w14:textId="77777777" w:rsidR="00ED7916" w:rsidRDefault="00ED7916">
      <w:pPr>
        <w:spacing w:before="0" w:after="0" w:line="240" w:lineRule="auto"/>
        <w:jc w:val="left"/>
        <w:rPr>
          <w:rFonts w:eastAsia="Times New Roman" w:cs="Times New Roman"/>
          <w:b/>
          <w:bCs/>
          <w:color w:val="4F81BD"/>
          <w:szCs w:val="26"/>
          <w:lang w:val="en-US"/>
        </w:rPr>
      </w:pPr>
      <w:bookmarkStart w:id="28" w:name="_Toc31808494"/>
      <w:r>
        <w:rPr>
          <w:lang w:val="en-US"/>
        </w:rPr>
        <w:br w:type="page"/>
      </w:r>
    </w:p>
    <w:p w14:paraId="217EF4B9" w14:textId="2C2E1668" w:rsidR="008E15C9" w:rsidRPr="009760C6" w:rsidRDefault="008E15C9" w:rsidP="008E15C9">
      <w:pPr>
        <w:pStyle w:val="Nagwek2"/>
        <w:rPr>
          <w:lang w:val="en-US"/>
        </w:rPr>
      </w:pPr>
      <w:bookmarkStart w:id="29" w:name="_Toc106968777"/>
      <w:r w:rsidRPr="009760C6">
        <w:rPr>
          <w:lang w:val="en-US"/>
        </w:rPr>
        <w:lastRenderedPageBreak/>
        <w:t>Literatura</w:t>
      </w:r>
      <w:bookmarkEnd w:id="28"/>
      <w:bookmarkEnd w:id="29"/>
    </w:p>
    <w:p w14:paraId="1E7F2D02" w14:textId="0CCCBB61" w:rsidR="008E15C9" w:rsidRDefault="008E15C9" w:rsidP="008E15C9">
      <w:pPr>
        <w:spacing w:after="0" w:line="240" w:lineRule="auto"/>
        <w:rPr>
          <w:rFonts w:cs="Calibri"/>
          <w:sz w:val="21"/>
          <w:szCs w:val="21"/>
          <w:lang w:val="en-GB"/>
        </w:rPr>
      </w:pPr>
      <w:r w:rsidRPr="00254AB9">
        <w:rPr>
          <w:rFonts w:cs="Calibri"/>
          <w:sz w:val="21"/>
          <w:szCs w:val="21"/>
          <w:lang w:val="en-GB"/>
        </w:rPr>
        <w:t xml:space="preserve">European Commission (2018). </w:t>
      </w:r>
      <w:r w:rsidRPr="00254AB9">
        <w:rPr>
          <w:rFonts w:cs="Calibri"/>
          <w:i/>
          <w:sz w:val="21"/>
          <w:szCs w:val="21"/>
          <w:lang w:val="en-GB"/>
        </w:rPr>
        <w:t xml:space="preserve">Science, Research and Innovation Performance of the EU 2018. Strengthening the foundations for </w:t>
      </w:r>
      <w:r w:rsidR="005144CE" w:rsidRPr="00254AB9">
        <w:rPr>
          <w:rFonts w:cs="Calibri"/>
          <w:i/>
          <w:sz w:val="21"/>
          <w:szCs w:val="21"/>
          <w:lang w:val="en-GB"/>
        </w:rPr>
        <w:t>Europe's</w:t>
      </w:r>
      <w:r w:rsidRPr="00254AB9">
        <w:rPr>
          <w:rFonts w:cs="Calibri"/>
          <w:i/>
          <w:sz w:val="21"/>
          <w:szCs w:val="21"/>
          <w:lang w:val="en-GB"/>
        </w:rPr>
        <w:t xml:space="preserve"> future</w:t>
      </w:r>
      <w:r w:rsidRPr="00254AB9">
        <w:rPr>
          <w:rFonts w:cs="Calibri"/>
          <w:sz w:val="21"/>
          <w:szCs w:val="21"/>
          <w:lang w:val="en-GB"/>
        </w:rPr>
        <w:t>.</w:t>
      </w:r>
      <w:r>
        <w:rPr>
          <w:rFonts w:cs="Calibri"/>
          <w:sz w:val="21"/>
          <w:szCs w:val="21"/>
          <w:lang w:val="en-GB"/>
        </w:rPr>
        <w:t xml:space="preserve"> </w:t>
      </w:r>
    </w:p>
    <w:p w14:paraId="0FEE6A5D" w14:textId="77777777" w:rsidR="008E15C9" w:rsidRPr="002647FB" w:rsidRDefault="008E15C9" w:rsidP="008E15C9">
      <w:pPr>
        <w:spacing w:before="0" w:after="0" w:line="240" w:lineRule="auto"/>
        <w:rPr>
          <w:rStyle w:val="Hipercze"/>
          <w:rFonts w:cs="Calibri"/>
          <w:sz w:val="21"/>
          <w:szCs w:val="21"/>
          <w:lang w:val="en-GB"/>
        </w:rPr>
      </w:pPr>
      <w:r w:rsidRPr="00254AB9">
        <w:rPr>
          <w:rFonts w:cs="Calibri"/>
          <w:sz w:val="21"/>
          <w:szCs w:val="21"/>
        </w:rPr>
        <w:fldChar w:fldCharType="begin"/>
      </w:r>
      <w:r w:rsidRPr="00254AB9">
        <w:rPr>
          <w:rFonts w:cs="Calibri"/>
          <w:sz w:val="21"/>
          <w:szCs w:val="21"/>
          <w:lang w:val="en-GB"/>
        </w:rPr>
        <w:instrText xml:space="preserve"> HYPERLINK "https://ec.europa.eu/info/research-and-innovation/strategy/policy-support/science-research-and-innovation-performance-eu-srip-report_en" </w:instrText>
      </w:r>
      <w:r w:rsidRPr="00254AB9">
        <w:rPr>
          <w:rFonts w:cs="Calibri"/>
          <w:sz w:val="21"/>
          <w:szCs w:val="21"/>
        </w:rPr>
      </w:r>
      <w:r w:rsidRPr="00254AB9">
        <w:rPr>
          <w:rFonts w:cs="Calibri"/>
          <w:sz w:val="21"/>
          <w:szCs w:val="21"/>
        </w:rPr>
        <w:fldChar w:fldCharType="separate"/>
      </w:r>
      <w:r w:rsidRPr="002647FB">
        <w:rPr>
          <w:rStyle w:val="Hipercze"/>
          <w:rFonts w:cs="Calibri"/>
          <w:sz w:val="21"/>
          <w:szCs w:val="21"/>
          <w:lang w:val="en-GB"/>
        </w:rPr>
        <w:t>https://ec.europa.eu/info/research-and-innovation/strategy/policy-support/science-research-and-innovation-performance-eu-srip-report_en</w:t>
      </w:r>
    </w:p>
    <w:p w14:paraId="487333F2" w14:textId="24128F61" w:rsidR="008E15C9" w:rsidRDefault="008E15C9" w:rsidP="008E15C9">
      <w:pPr>
        <w:spacing w:after="0" w:line="240" w:lineRule="auto"/>
        <w:rPr>
          <w:rFonts w:cs="Calibri"/>
          <w:sz w:val="21"/>
          <w:szCs w:val="21"/>
          <w:lang w:val="en-GB"/>
        </w:rPr>
      </w:pPr>
      <w:r w:rsidRPr="00254AB9">
        <w:rPr>
          <w:rFonts w:cs="Calibri"/>
          <w:sz w:val="21"/>
          <w:szCs w:val="21"/>
        </w:rPr>
        <w:fldChar w:fldCharType="end"/>
      </w:r>
      <w:r w:rsidRPr="00254AB9">
        <w:rPr>
          <w:rFonts w:cs="Calibri"/>
          <w:sz w:val="21"/>
          <w:szCs w:val="21"/>
          <w:lang w:val="en-GB"/>
        </w:rPr>
        <w:t>Ghosh, S</w:t>
      </w:r>
      <w:r w:rsidR="00A732F3">
        <w:rPr>
          <w:rFonts w:cs="Calibri"/>
          <w:sz w:val="21"/>
          <w:szCs w:val="21"/>
          <w:lang w:val="en-GB"/>
        </w:rPr>
        <w:t>.</w:t>
      </w:r>
      <w:r w:rsidRPr="00254AB9">
        <w:rPr>
          <w:rFonts w:cs="Calibri"/>
          <w:sz w:val="21"/>
          <w:szCs w:val="21"/>
          <w:lang w:val="en-GB"/>
        </w:rPr>
        <w:t>, Kraay, A</w:t>
      </w:r>
      <w:r w:rsidR="00A732F3">
        <w:rPr>
          <w:rFonts w:cs="Calibri"/>
          <w:sz w:val="21"/>
          <w:szCs w:val="21"/>
          <w:lang w:val="en-GB"/>
        </w:rPr>
        <w:t>.,</w:t>
      </w:r>
      <w:r w:rsidRPr="00254AB9">
        <w:rPr>
          <w:rFonts w:cs="Calibri"/>
          <w:sz w:val="21"/>
          <w:szCs w:val="21"/>
          <w:lang w:val="en-GB"/>
        </w:rPr>
        <w:t xml:space="preserve"> (2000). </w:t>
      </w:r>
      <w:r w:rsidRPr="00254AB9">
        <w:rPr>
          <w:rFonts w:cs="Calibri"/>
          <w:i/>
          <w:sz w:val="21"/>
          <w:szCs w:val="21"/>
          <w:lang w:val="en-GB"/>
        </w:rPr>
        <w:t>Measuring growth in total factor productivity</w:t>
      </w:r>
      <w:r w:rsidRPr="00254AB9">
        <w:rPr>
          <w:rFonts w:cs="Calibri"/>
          <w:sz w:val="21"/>
          <w:szCs w:val="21"/>
          <w:lang w:val="en-GB"/>
        </w:rPr>
        <w:t>. PREM Notes no. 42. Economic Policy. World Bank Group.</w:t>
      </w:r>
      <w:r>
        <w:rPr>
          <w:rFonts w:cs="Calibri"/>
          <w:sz w:val="21"/>
          <w:szCs w:val="21"/>
          <w:lang w:val="en-GB"/>
        </w:rPr>
        <w:t xml:space="preserve"> </w:t>
      </w:r>
    </w:p>
    <w:p w14:paraId="069CB3AB" w14:textId="6E6E4866" w:rsidR="008E15C9" w:rsidRPr="00A732F3" w:rsidRDefault="008E15C9" w:rsidP="008E15C9">
      <w:pPr>
        <w:spacing w:before="0" w:after="0" w:line="240" w:lineRule="auto"/>
        <w:rPr>
          <w:rFonts w:cs="Calibri"/>
          <w:sz w:val="21"/>
          <w:szCs w:val="21"/>
          <w:lang w:val="en-GB"/>
        </w:rPr>
      </w:pPr>
      <w:r w:rsidRPr="00A732F3">
        <w:rPr>
          <w:rFonts w:cs="Calibri"/>
          <w:sz w:val="21"/>
          <w:szCs w:val="21"/>
          <w:lang w:val="en-GB"/>
        </w:rPr>
        <w:t>http://documents.worldbank.org/curated/en/418451468336625510/Measuring-growth-in-total-factor-productivity</w:t>
      </w:r>
    </w:p>
    <w:p w14:paraId="44A5580D" w14:textId="7AA4D42D" w:rsidR="008E15C9" w:rsidRPr="00254AB9" w:rsidRDefault="008E15C9" w:rsidP="008E15C9">
      <w:pPr>
        <w:spacing w:after="0" w:line="240" w:lineRule="auto"/>
        <w:rPr>
          <w:rFonts w:cs="Calibri"/>
          <w:sz w:val="21"/>
          <w:szCs w:val="21"/>
        </w:rPr>
      </w:pPr>
      <w:r w:rsidRPr="00254AB9">
        <w:rPr>
          <w:rFonts w:cs="Calibri"/>
          <w:sz w:val="21"/>
          <w:szCs w:val="21"/>
        </w:rPr>
        <w:t>GUS (2018)</w:t>
      </w:r>
      <w:r w:rsidR="008E4E54">
        <w:rPr>
          <w:rFonts w:cs="Calibri"/>
          <w:sz w:val="21"/>
          <w:szCs w:val="21"/>
        </w:rPr>
        <w:t>.</w:t>
      </w:r>
      <w:r w:rsidRPr="00254AB9">
        <w:rPr>
          <w:rFonts w:cs="Calibri"/>
          <w:sz w:val="21"/>
          <w:szCs w:val="21"/>
        </w:rPr>
        <w:t xml:space="preserve"> </w:t>
      </w:r>
      <w:r w:rsidRPr="00254AB9">
        <w:rPr>
          <w:rFonts w:cs="Calibri"/>
          <w:i/>
          <w:sz w:val="21"/>
          <w:szCs w:val="21"/>
        </w:rPr>
        <w:t>Wyniki finansowe podmiotów gospodarczych I-XII 2017 (tablice)</w:t>
      </w:r>
      <w:r w:rsidRPr="00254AB9">
        <w:rPr>
          <w:rFonts w:cs="Calibri"/>
          <w:sz w:val="21"/>
          <w:szCs w:val="21"/>
        </w:rPr>
        <w:t>, Warszawa.</w:t>
      </w:r>
      <w:r>
        <w:rPr>
          <w:rFonts w:cs="Calibri"/>
          <w:sz w:val="21"/>
          <w:szCs w:val="21"/>
        </w:rPr>
        <w:t xml:space="preserve"> </w:t>
      </w:r>
      <w:r w:rsidRPr="00A732F3">
        <w:rPr>
          <w:rFonts w:cs="Calibri"/>
          <w:sz w:val="21"/>
          <w:szCs w:val="21"/>
        </w:rPr>
        <w:t>http://stat.gov.pl/download/gfx/portalinformacyjny/pl/defaultaktualnosci/5502/11/18/1/wyniki_finansowe_podmiotow_gospodarczych_1-12_2017_tablice.xlsx</w:t>
      </w:r>
    </w:p>
    <w:p w14:paraId="162FB5A7" w14:textId="335CCD5F" w:rsidR="008E15C9" w:rsidRPr="00254AB9" w:rsidRDefault="008E15C9" w:rsidP="008E15C9">
      <w:pPr>
        <w:spacing w:after="0" w:line="240" w:lineRule="auto"/>
        <w:rPr>
          <w:rFonts w:cs="Calibri"/>
          <w:sz w:val="21"/>
          <w:szCs w:val="21"/>
          <w:lang w:val="en-GB"/>
        </w:rPr>
      </w:pPr>
      <w:r w:rsidRPr="00254AB9">
        <w:rPr>
          <w:rFonts w:cs="Calibri"/>
          <w:sz w:val="21"/>
          <w:szCs w:val="21"/>
          <w:lang w:val="en-GB"/>
        </w:rPr>
        <w:t xml:space="preserve">Haskell J, Westlake S. (2018), </w:t>
      </w:r>
      <w:r w:rsidRPr="00254AB9">
        <w:rPr>
          <w:rFonts w:cs="Calibri"/>
          <w:i/>
          <w:sz w:val="21"/>
          <w:szCs w:val="21"/>
          <w:lang w:val="en-GB"/>
        </w:rPr>
        <w:t xml:space="preserve">Capitalism without </w:t>
      </w:r>
      <w:r w:rsidR="00723398">
        <w:rPr>
          <w:rFonts w:cs="Calibri"/>
          <w:i/>
          <w:sz w:val="21"/>
          <w:szCs w:val="21"/>
          <w:lang w:val="en-GB"/>
        </w:rPr>
        <w:t>C</w:t>
      </w:r>
      <w:r w:rsidRPr="00254AB9">
        <w:rPr>
          <w:rFonts w:cs="Calibri"/>
          <w:i/>
          <w:sz w:val="21"/>
          <w:szCs w:val="21"/>
          <w:lang w:val="en-GB"/>
        </w:rPr>
        <w:t xml:space="preserve">apital. The </w:t>
      </w:r>
      <w:r w:rsidR="00723398">
        <w:rPr>
          <w:rFonts w:cs="Calibri"/>
          <w:i/>
          <w:sz w:val="21"/>
          <w:szCs w:val="21"/>
          <w:lang w:val="en-GB"/>
        </w:rPr>
        <w:t>R</w:t>
      </w:r>
      <w:r w:rsidRPr="00254AB9">
        <w:rPr>
          <w:rFonts w:cs="Calibri"/>
          <w:i/>
          <w:sz w:val="21"/>
          <w:szCs w:val="21"/>
          <w:lang w:val="en-GB"/>
        </w:rPr>
        <w:t xml:space="preserve">ise of the </w:t>
      </w:r>
      <w:r w:rsidR="00723398">
        <w:rPr>
          <w:rFonts w:cs="Calibri"/>
          <w:i/>
          <w:sz w:val="21"/>
          <w:szCs w:val="21"/>
          <w:lang w:val="en-GB"/>
        </w:rPr>
        <w:t>I</w:t>
      </w:r>
      <w:r w:rsidRPr="00254AB9">
        <w:rPr>
          <w:rFonts w:cs="Calibri"/>
          <w:i/>
          <w:sz w:val="21"/>
          <w:szCs w:val="21"/>
          <w:lang w:val="en-GB"/>
        </w:rPr>
        <w:t xml:space="preserve">ntangible </w:t>
      </w:r>
      <w:r w:rsidR="00723398">
        <w:rPr>
          <w:rFonts w:cs="Calibri"/>
          <w:i/>
          <w:sz w:val="21"/>
          <w:szCs w:val="21"/>
          <w:lang w:val="en-GB"/>
        </w:rPr>
        <w:t>E</w:t>
      </w:r>
      <w:r w:rsidRPr="00254AB9">
        <w:rPr>
          <w:rFonts w:cs="Calibri"/>
          <w:i/>
          <w:sz w:val="21"/>
          <w:szCs w:val="21"/>
          <w:lang w:val="en-GB"/>
        </w:rPr>
        <w:t>conomy</w:t>
      </w:r>
      <w:r w:rsidRPr="00254AB9">
        <w:rPr>
          <w:rFonts w:cs="Calibri"/>
          <w:sz w:val="21"/>
          <w:szCs w:val="21"/>
          <w:lang w:val="en-GB"/>
        </w:rPr>
        <w:t>, Princeton University Press.</w:t>
      </w:r>
    </w:p>
    <w:p w14:paraId="3F5893B8" w14:textId="25C03658" w:rsidR="008E15C9" w:rsidRPr="00254AB9" w:rsidRDefault="008E15C9" w:rsidP="008E15C9">
      <w:pPr>
        <w:spacing w:after="0" w:line="240" w:lineRule="auto"/>
        <w:rPr>
          <w:rFonts w:cs="Calibri"/>
          <w:sz w:val="21"/>
          <w:szCs w:val="21"/>
        </w:rPr>
      </w:pPr>
      <w:r w:rsidRPr="00254AB9">
        <w:rPr>
          <w:rFonts w:cs="Calibri"/>
          <w:sz w:val="21"/>
          <w:szCs w:val="21"/>
        </w:rPr>
        <w:t>Koloch G., Grobelna K., Zakrzewska-</w:t>
      </w:r>
      <w:proofErr w:type="spellStart"/>
      <w:r w:rsidRPr="00254AB9">
        <w:rPr>
          <w:rFonts w:cs="Calibri"/>
          <w:sz w:val="21"/>
          <w:szCs w:val="21"/>
        </w:rPr>
        <w:t>Szlichtyng</w:t>
      </w:r>
      <w:proofErr w:type="spellEnd"/>
      <w:r w:rsidRPr="00254AB9">
        <w:rPr>
          <w:rFonts w:cs="Calibri"/>
          <w:sz w:val="21"/>
          <w:szCs w:val="21"/>
        </w:rPr>
        <w:t xml:space="preserve"> K., Kamiński B., Kaszyński D. (2017). </w:t>
      </w:r>
      <w:r w:rsidRPr="00254AB9">
        <w:rPr>
          <w:rFonts w:cs="Calibri"/>
          <w:i/>
          <w:sz w:val="21"/>
          <w:szCs w:val="21"/>
        </w:rPr>
        <w:t>Intensywność wykorzystania danych</w:t>
      </w:r>
      <w:r w:rsidR="006343E1">
        <w:rPr>
          <w:rFonts w:cs="Calibri"/>
          <w:i/>
          <w:sz w:val="21"/>
          <w:szCs w:val="21"/>
        </w:rPr>
        <w:t xml:space="preserve"> </w:t>
      </w:r>
      <w:r w:rsidR="006343E1" w:rsidRPr="00254AB9">
        <w:rPr>
          <w:rFonts w:cs="Calibri"/>
          <w:i/>
          <w:sz w:val="21"/>
          <w:szCs w:val="21"/>
        </w:rPr>
        <w:t>w</w:t>
      </w:r>
      <w:r w:rsidR="006343E1">
        <w:rPr>
          <w:rFonts w:cs="Calibri"/>
          <w:i/>
          <w:sz w:val="21"/>
          <w:szCs w:val="21"/>
        </w:rPr>
        <w:t> </w:t>
      </w:r>
      <w:r w:rsidRPr="00254AB9">
        <w:rPr>
          <w:rFonts w:cs="Calibri"/>
          <w:i/>
          <w:sz w:val="21"/>
          <w:szCs w:val="21"/>
        </w:rPr>
        <w:t>gospodarce</w:t>
      </w:r>
      <w:r w:rsidR="006343E1">
        <w:rPr>
          <w:rFonts w:cs="Calibri"/>
          <w:i/>
          <w:sz w:val="21"/>
          <w:szCs w:val="21"/>
        </w:rPr>
        <w:t xml:space="preserve"> </w:t>
      </w:r>
      <w:r w:rsidR="006343E1" w:rsidRPr="00254AB9">
        <w:rPr>
          <w:rFonts w:cs="Calibri"/>
          <w:i/>
          <w:sz w:val="21"/>
          <w:szCs w:val="21"/>
        </w:rPr>
        <w:t>a</w:t>
      </w:r>
      <w:r w:rsidR="006343E1">
        <w:rPr>
          <w:rFonts w:cs="Calibri"/>
          <w:i/>
          <w:sz w:val="21"/>
          <w:szCs w:val="21"/>
        </w:rPr>
        <w:t> </w:t>
      </w:r>
      <w:r w:rsidRPr="00254AB9">
        <w:rPr>
          <w:rFonts w:cs="Calibri"/>
          <w:i/>
          <w:sz w:val="21"/>
          <w:szCs w:val="21"/>
        </w:rPr>
        <w:t>jej rozwój. Analiza diagnostyczna</w:t>
      </w:r>
      <w:r w:rsidRPr="00254AB9">
        <w:rPr>
          <w:rFonts w:cs="Calibri"/>
          <w:sz w:val="21"/>
          <w:szCs w:val="21"/>
        </w:rPr>
        <w:t>.</w:t>
      </w:r>
    </w:p>
    <w:p w14:paraId="4427E1B2" w14:textId="0831043C" w:rsidR="008E15C9" w:rsidRPr="00254AB9" w:rsidRDefault="008E15C9" w:rsidP="008E15C9">
      <w:pPr>
        <w:spacing w:before="0" w:after="0" w:line="240" w:lineRule="auto"/>
        <w:rPr>
          <w:rFonts w:cs="Calibri"/>
          <w:sz w:val="21"/>
          <w:szCs w:val="21"/>
        </w:rPr>
      </w:pPr>
      <w:r w:rsidRPr="00A732F3">
        <w:rPr>
          <w:rFonts w:cs="Calibri"/>
          <w:sz w:val="21"/>
          <w:szCs w:val="21"/>
        </w:rPr>
        <w:t>https://mc.bip.gov.pl/rok-2017/analiza-diagnostyczna-intesywnosc-wykorzystania-danych-w-gospodarce-a-jej-rozwoj.html</w:t>
      </w:r>
    </w:p>
    <w:p w14:paraId="490A3A10" w14:textId="5229B100" w:rsidR="008E15C9" w:rsidRPr="00254AB9" w:rsidRDefault="008E15C9" w:rsidP="008E15C9">
      <w:pPr>
        <w:spacing w:after="0" w:line="240" w:lineRule="auto"/>
        <w:rPr>
          <w:rFonts w:cs="Calibri"/>
          <w:sz w:val="21"/>
          <w:szCs w:val="21"/>
          <w:lang w:val="en-GB"/>
        </w:rPr>
      </w:pPr>
      <w:r w:rsidRPr="00254AB9">
        <w:rPr>
          <w:rFonts w:cs="Calibri"/>
          <w:sz w:val="21"/>
          <w:szCs w:val="21"/>
          <w:lang w:val="en-GB"/>
        </w:rPr>
        <w:t xml:space="preserve">McKinsey Global Institute (2018). </w:t>
      </w:r>
      <w:r w:rsidRPr="00254AB9">
        <w:rPr>
          <w:rFonts w:cs="Calibri"/>
          <w:i/>
          <w:sz w:val="21"/>
          <w:szCs w:val="21"/>
          <w:lang w:val="en-GB"/>
        </w:rPr>
        <w:t xml:space="preserve">Solving the </w:t>
      </w:r>
      <w:r w:rsidR="00723398">
        <w:rPr>
          <w:rFonts w:cs="Calibri"/>
          <w:i/>
          <w:sz w:val="21"/>
          <w:szCs w:val="21"/>
          <w:lang w:val="en-GB"/>
        </w:rPr>
        <w:t>P</w:t>
      </w:r>
      <w:r w:rsidRPr="00254AB9">
        <w:rPr>
          <w:rFonts w:cs="Calibri"/>
          <w:i/>
          <w:sz w:val="21"/>
          <w:szCs w:val="21"/>
          <w:lang w:val="en-GB"/>
        </w:rPr>
        <w:t xml:space="preserve">roductivity </w:t>
      </w:r>
      <w:r w:rsidR="00723398">
        <w:rPr>
          <w:rFonts w:cs="Calibri"/>
          <w:i/>
          <w:sz w:val="21"/>
          <w:szCs w:val="21"/>
          <w:lang w:val="en-GB"/>
        </w:rPr>
        <w:t>P</w:t>
      </w:r>
      <w:r w:rsidRPr="00254AB9">
        <w:rPr>
          <w:rFonts w:cs="Calibri"/>
          <w:i/>
          <w:sz w:val="21"/>
          <w:szCs w:val="21"/>
          <w:lang w:val="en-GB"/>
        </w:rPr>
        <w:t xml:space="preserve">uzzle: the </w:t>
      </w:r>
      <w:r w:rsidR="00723398">
        <w:rPr>
          <w:rFonts w:cs="Calibri"/>
          <w:i/>
          <w:sz w:val="21"/>
          <w:szCs w:val="21"/>
          <w:lang w:val="en-GB"/>
        </w:rPr>
        <w:t>R</w:t>
      </w:r>
      <w:r w:rsidRPr="00254AB9">
        <w:rPr>
          <w:rFonts w:cs="Calibri"/>
          <w:i/>
          <w:sz w:val="21"/>
          <w:szCs w:val="21"/>
          <w:lang w:val="en-GB"/>
        </w:rPr>
        <w:t xml:space="preserve">ole of </w:t>
      </w:r>
      <w:r w:rsidR="00723398">
        <w:rPr>
          <w:rFonts w:cs="Calibri"/>
          <w:i/>
          <w:sz w:val="21"/>
          <w:szCs w:val="21"/>
          <w:lang w:val="en-GB"/>
        </w:rPr>
        <w:t>D</w:t>
      </w:r>
      <w:r w:rsidRPr="00254AB9">
        <w:rPr>
          <w:rFonts w:cs="Calibri"/>
          <w:i/>
          <w:sz w:val="21"/>
          <w:szCs w:val="21"/>
          <w:lang w:val="en-GB"/>
        </w:rPr>
        <w:t xml:space="preserve">emand and the </w:t>
      </w:r>
      <w:r w:rsidR="00723398">
        <w:rPr>
          <w:rFonts w:cs="Calibri"/>
          <w:i/>
          <w:sz w:val="21"/>
          <w:szCs w:val="21"/>
          <w:lang w:val="en-GB"/>
        </w:rPr>
        <w:t>P</w:t>
      </w:r>
      <w:r w:rsidRPr="00254AB9">
        <w:rPr>
          <w:rFonts w:cs="Calibri"/>
          <w:i/>
          <w:sz w:val="21"/>
          <w:szCs w:val="21"/>
          <w:lang w:val="en-GB"/>
        </w:rPr>
        <w:t xml:space="preserve">romise of </w:t>
      </w:r>
      <w:r w:rsidR="00723398">
        <w:rPr>
          <w:rFonts w:cs="Calibri"/>
          <w:i/>
          <w:sz w:val="21"/>
          <w:szCs w:val="21"/>
          <w:lang w:val="en-GB"/>
        </w:rPr>
        <w:t>D</w:t>
      </w:r>
      <w:r w:rsidRPr="00254AB9">
        <w:rPr>
          <w:rFonts w:cs="Calibri"/>
          <w:i/>
          <w:sz w:val="21"/>
          <w:szCs w:val="21"/>
          <w:lang w:val="en-GB"/>
        </w:rPr>
        <w:t>igitisation</w:t>
      </w:r>
      <w:r w:rsidRPr="00254AB9">
        <w:rPr>
          <w:rFonts w:cs="Calibri"/>
          <w:sz w:val="21"/>
          <w:szCs w:val="21"/>
          <w:lang w:val="en-GB"/>
        </w:rPr>
        <w:t>.</w:t>
      </w:r>
    </w:p>
    <w:p w14:paraId="28624DD5" w14:textId="437B2DF1" w:rsidR="008E15C9" w:rsidRPr="00A732F3" w:rsidRDefault="008E15C9" w:rsidP="008E15C9">
      <w:pPr>
        <w:spacing w:before="0" w:after="0" w:line="240" w:lineRule="auto"/>
        <w:rPr>
          <w:rFonts w:cs="Calibri"/>
          <w:sz w:val="21"/>
          <w:szCs w:val="21"/>
          <w:lang w:val="en-GB"/>
        </w:rPr>
      </w:pPr>
      <w:r w:rsidRPr="00A732F3">
        <w:rPr>
          <w:rFonts w:cs="Calibri"/>
          <w:sz w:val="21"/>
          <w:szCs w:val="21"/>
          <w:lang w:val="en-GB"/>
        </w:rPr>
        <w:t>https://www.mckinsey.com/~/media/McKinsey/Global%20Themes/Meeting%20societys%20expectations/Solving%20the%20productivity%20puzzle/MGI-Solving-the-Productivity-Puzzle-Report-February-22-2018.ashx</w:t>
      </w:r>
    </w:p>
    <w:p w14:paraId="5E50ABEF" w14:textId="3C852046" w:rsidR="008E15C9" w:rsidRPr="00254AB9" w:rsidRDefault="008E15C9" w:rsidP="008E15C9">
      <w:pPr>
        <w:spacing w:after="0" w:line="240" w:lineRule="auto"/>
        <w:rPr>
          <w:rFonts w:cs="Calibri"/>
          <w:sz w:val="21"/>
          <w:szCs w:val="21"/>
          <w:lang w:val="en-GB"/>
        </w:rPr>
      </w:pPr>
      <w:r w:rsidRPr="00254AB9">
        <w:rPr>
          <w:rFonts w:cs="Calibri"/>
          <w:sz w:val="21"/>
          <w:szCs w:val="21"/>
          <w:lang w:val="en-GB"/>
        </w:rPr>
        <w:t xml:space="preserve">McMillan M., Rodrik D. (2011). </w:t>
      </w:r>
      <w:r w:rsidRPr="00254AB9">
        <w:rPr>
          <w:rFonts w:cs="Calibri"/>
          <w:i/>
          <w:sz w:val="21"/>
          <w:szCs w:val="21"/>
          <w:lang w:val="en-GB"/>
        </w:rPr>
        <w:t xml:space="preserve">Globalization, </w:t>
      </w:r>
      <w:r w:rsidR="00723398">
        <w:rPr>
          <w:rFonts w:cs="Calibri"/>
          <w:i/>
          <w:sz w:val="21"/>
          <w:szCs w:val="21"/>
          <w:lang w:val="en-GB"/>
        </w:rPr>
        <w:t>S</w:t>
      </w:r>
      <w:r w:rsidRPr="00254AB9">
        <w:rPr>
          <w:rFonts w:cs="Calibri"/>
          <w:i/>
          <w:sz w:val="21"/>
          <w:szCs w:val="21"/>
          <w:lang w:val="en-GB"/>
        </w:rPr>
        <w:t xml:space="preserve">tructural </w:t>
      </w:r>
      <w:r w:rsidR="00723398">
        <w:rPr>
          <w:rFonts w:cs="Calibri"/>
          <w:i/>
          <w:sz w:val="21"/>
          <w:szCs w:val="21"/>
          <w:lang w:val="en-GB"/>
        </w:rPr>
        <w:t>C</w:t>
      </w:r>
      <w:r w:rsidRPr="00254AB9">
        <w:rPr>
          <w:rFonts w:cs="Calibri"/>
          <w:i/>
          <w:sz w:val="21"/>
          <w:szCs w:val="21"/>
          <w:lang w:val="en-GB"/>
        </w:rPr>
        <w:t>hange</w:t>
      </w:r>
      <w:r w:rsidR="007112C1">
        <w:rPr>
          <w:rFonts w:cs="Calibri"/>
          <w:i/>
          <w:sz w:val="21"/>
          <w:szCs w:val="21"/>
          <w:lang w:val="en-GB"/>
        </w:rPr>
        <w:t>,</w:t>
      </w:r>
      <w:r w:rsidRPr="00254AB9">
        <w:rPr>
          <w:rFonts w:cs="Calibri"/>
          <w:i/>
          <w:sz w:val="21"/>
          <w:szCs w:val="21"/>
          <w:lang w:val="en-GB"/>
        </w:rPr>
        <w:t xml:space="preserve"> and </w:t>
      </w:r>
      <w:r w:rsidR="00723398">
        <w:rPr>
          <w:rFonts w:cs="Calibri"/>
          <w:i/>
          <w:sz w:val="21"/>
          <w:szCs w:val="21"/>
          <w:lang w:val="en-GB"/>
        </w:rPr>
        <w:t>P</w:t>
      </w:r>
      <w:r w:rsidRPr="00254AB9">
        <w:rPr>
          <w:rFonts w:cs="Calibri"/>
          <w:i/>
          <w:sz w:val="21"/>
          <w:szCs w:val="21"/>
          <w:lang w:val="en-GB"/>
        </w:rPr>
        <w:t xml:space="preserve">roductivity </w:t>
      </w:r>
      <w:r w:rsidR="00723398">
        <w:rPr>
          <w:rFonts w:cs="Calibri"/>
          <w:i/>
          <w:sz w:val="21"/>
          <w:szCs w:val="21"/>
          <w:lang w:val="en-GB"/>
        </w:rPr>
        <w:t>G</w:t>
      </w:r>
      <w:r w:rsidRPr="00254AB9">
        <w:rPr>
          <w:rFonts w:cs="Calibri"/>
          <w:i/>
          <w:sz w:val="21"/>
          <w:szCs w:val="21"/>
          <w:lang w:val="en-GB"/>
        </w:rPr>
        <w:t>rowth</w:t>
      </w:r>
      <w:r w:rsidRPr="00254AB9">
        <w:rPr>
          <w:rFonts w:cs="Calibri"/>
          <w:sz w:val="21"/>
          <w:szCs w:val="21"/>
          <w:lang w:val="en-GB"/>
        </w:rPr>
        <w:t>, NBER Working Paper 17143.</w:t>
      </w:r>
      <w:r>
        <w:rPr>
          <w:rFonts w:cs="Calibri"/>
          <w:sz w:val="21"/>
          <w:szCs w:val="21"/>
          <w:lang w:val="en-GB"/>
        </w:rPr>
        <w:t xml:space="preserve"> </w:t>
      </w:r>
      <w:r w:rsidR="00477C54" w:rsidRPr="00A732F3">
        <w:rPr>
          <w:lang w:val="en-GB"/>
        </w:rPr>
        <w:t>http://www</w:t>
      </w:r>
      <w:r w:rsidRPr="000D03DE">
        <w:rPr>
          <w:lang w:val="en-GB"/>
        </w:rPr>
        <w:t>.nber.org/papers/w17143</w:t>
      </w:r>
    </w:p>
    <w:p w14:paraId="51BF2222" w14:textId="77777777" w:rsidR="00EE6849" w:rsidRPr="00254AB9" w:rsidRDefault="00EE6849" w:rsidP="00730223">
      <w:pPr>
        <w:spacing w:after="0" w:line="240" w:lineRule="auto"/>
        <w:rPr>
          <w:rFonts w:cs="Calibri"/>
          <w:sz w:val="21"/>
          <w:szCs w:val="21"/>
          <w:lang w:val="en-GB"/>
        </w:rPr>
      </w:pPr>
    </w:p>
    <w:p w14:paraId="2C8D4992" w14:textId="77777777" w:rsidR="00EE6849" w:rsidRPr="00254AB9" w:rsidRDefault="00EE6849" w:rsidP="00730223">
      <w:pPr>
        <w:spacing w:after="0" w:line="240" w:lineRule="auto"/>
        <w:rPr>
          <w:rFonts w:cs="Calibri"/>
          <w:sz w:val="21"/>
          <w:szCs w:val="21"/>
          <w:lang w:val="en-GB"/>
        </w:rPr>
      </w:pPr>
    </w:p>
    <w:p w14:paraId="434C2A00" w14:textId="43B6210D" w:rsidR="0069452A" w:rsidRPr="00254AB9" w:rsidRDefault="0069452A" w:rsidP="00EA60A4">
      <w:pPr>
        <w:pStyle w:val="Nagwek1"/>
        <w:pageBreakBefore/>
        <w:numPr>
          <w:ilvl w:val="0"/>
          <w:numId w:val="1"/>
        </w:numPr>
        <w:spacing w:before="0" w:line="240" w:lineRule="auto"/>
        <w:ind w:left="714" w:hanging="357"/>
        <w:rPr>
          <w:rFonts w:ascii="Calibri" w:hAnsi="Calibri" w:cs="Calibri"/>
          <w:sz w:val="32"/>
          <w:szCs w:val="32"/>
        </w:rPr>
      </w:pPr>
      <w:bookmarkStart w:id="30" w:name="_Toc511921193"/>
      <w:bookmarkStart w:id="31" w:name="_Toc31808495"/>
      <w:bookmarkStart w:id="32" w:name="_Toc106968778"/>
      <w:r w:rsidRPr="00254AB9">
        <w:rPr>
          <w:rFonts w:ascii="Calibri" w:hAnsi="Calibri" w:cs="Calibri"/>
          <w:sz w:val="32"/>
          <w:szCs w:val="32"/>
        </w:rPr>
        <w:lastRenderedPageBreak/>
        <w:t>Materiało-</w:t>
      </w:r>
      <w:r w:rsidR="006343E1">
        <w:rPr>
          <w:rFonts w:ascii="Calibri" w:hAnsi="Calibri" w:cs="Calibri"/>
          <w:sz w:val="32"/>
          <w:szCs w:val="32"/>
        </w:rPr>
        <w:t xml:space="preserve"> </w:t>
      </w:r>
      <w:r w:rsidR="006343E1" w:rsidRPr="00254AB9">
        <w:rPr>
          <w:rFonts w:ascii="Calibri" w:hAnsi="Calibri" w:cs="Calibri"/>
          <w:sz w:val="32"/>
          <w:szCs w:val="32"/>
        </w:rPr>
        <w:t>i</w:t>
      </w:r>
      <w:r w:rsidR="006343E1">
        <w:rPr>
          <w:rFonts w:ascii="Calibri" w:hAnsi="Calibri" w:cs="Calibri"/>
          <w:sz w:val="32"/>
          <w:szCs w:val="32"/>
        </w:rPr>
        <w:t> </w:t>
      </w:r>
      <w:r w:rsidRPr="00254AB9">
        <w:rPr>
          <w:rFonts w:ascii="Calibri" w:hAnsi="Calibri" w:cs="Calibri"/>
          <w:sz w:val="32"/>
          <w:szCs w:val="32"/>
        </w:rPr>
        <w:t>energochłonność</w:t>
      </w:r>
      <w:bookmarkEnd w:id="30"/>
      <w:bookmarkEnd w:id="31"/>
      <w:bookmarkEnd w:id="32"/>
    </w:p>
    <w:p w14:paraId="749F5A31" w14:textId="7C80AAA9" w:rsidR="005B060B" w:rsidRPr="00254AB9" w:rsidRDefault="005B060B" w:rsidP="003A5EA7">
      <w:bookmarkStart w:id="33" w:name="_Toc511921180"/>
      <w:r w:rsidRPr="00254AB9">
        <w:t>Istotnym aspektem wymagającym omówienia jest zasobochłonność polskiej gospodarki. Efektywne wykorzystanie materiałów decyduje</w:t>
      </w:r>
      <w:r w:rsidR="006343E1">
        <w:t xml:space="preserve"> </w:t>
      </w:r>
      <w:r w:rsidR="006343E1" w:rsidRPr="00254AB9">
        <w:t>o</w:t>
      </w:r>
      <w:r w:rsidR="006343E1">
        <w:t> </w:t>
      </w:r>
      <w:r w:rsidRPr="00254AB9">
        <w:t>przewagach konkurencyjnych przedsiębiorstw oraz wytwarzanej przez nich wartości dodanej. Polska gospodarka charakteryzuje się wysoką materiało-</w:t>
      </w:r>
      <w:r w:rsidR="006343E1">
        <w:t xml:space="preserve"> </w:t>
      </w:r>
      <w:r w:rsidR="006343E1" w:rsidRPr="00254AB9">
        <w:t>i</w:t>
      </w:r>
      <w:r w:rsidR="006343E1">
        <w:t> </w:t>
      </w:r>
      <w:r w:rsidRPr="00254AB9">
        <w:t>zasobochłonnością oraz niską efektywnością energetyczną</w:t>
      </w:r>
      <w:r w:rsidR="006016AC" w:rsidRPr="00993715">
        <w:t xml:space="preserve">, </w:t>
      </w:r>
      <w:r w:rsidR="00993715" w:rsidRPr="00993715">
        <w:t xml:space="preserve">co </w:t>
      </w:r>
      <w:r w:rsidR="006016AC" w:rsidRPr="00993715">
        <w:t>jest ściśle powiązane z obecnym etapem rozwoju Polski – kraju o wysokim współczynniku uprzemysłowienia, bazującego na starych technologiach i infrastrukturze, w erze koniecznych transformacji w kierunku nowoczesnych technologii i efektywności procesowej.</w:t>
      </w:r>
      <w:r w:rsidRPr="00254AB9">
        <w:t xml:space="preserve"> Wyczerpywanie się surowców pierwotnych, wzrost ich cen</w:t>
      </w:r>
      <w:r w:rsidR="006343E1">
        <w:t xml:space="preserve"> </w:t>
      </w:r>
      <w:r w:rsidR="006343E1" w:rsidRPr="00254AB9">
        <w:t>i</w:t>
      </w:r>
      <w:r w:rsidR="006343E1">
        <w:t> </w:t>
      </w:r>
      <w:r w:rsidRPr="00254AB9">
        <w:t>rosnąca zależność od dostawców</w:t>
      </w:r>
      <w:r w:rsidR="006343E1">
        <w:t xml:space="preserve"> </w:t>
      </w:r>
      <w:r w:rsidR="006343E1" w:rsidRPr="00254AB9">
        <w:t>z</w:t>
      </w:r>
      <w:r w:rsidR="006343E1">
        <w:t> </w:t>
      </w:r>
      <w:r w:rsidRPr="00254AB9">
        <w:t>krajów trzecich stanowi poważne zagrożenie dla dalszego rozwoju gospodarczego oraz wyzwanie</w:t>
      </w:r>
      <w:r w:rsidR="006343E1">
        <w:t xml:space="preserve"> </w:t>
      </w:r>
      <w:r w:rsidR="006343E1" w:rsidRPr="00254AB9">
        <w:t>w</w:t>
      </w:r>
      <w:r w:rsidR="006343E1">
        <w:t> </w:t>
      </w:r>
      <w:r w:rsidRPr="00254AB9">
        <w:t>kontekście ochrony środowiska.</w:t>
      </w:r>
      <w:r w:rsidR="006016AC" w:rsidRPr="00993715">
        <w:t xml:space="preserve"> Strategia Polski w obszarze gospodarowania własnymi kopalinami oraz zapewnienia dostępu do pierwiastków i surowców niezbędnych do zrównoważonego rozwoju stanowi obecnie jedno z największych wyzwań polityki gospodarczej państwa.</w:t>
      </w:r>
      <w:r w:rsidR="006016AC">
        <w:rPr>
          <w:rFonts w:cs="Calibri"/>
          <w:sz w:val="21"/>
          <w:szCs w:val="21"/>
        </w:rPr>
        <w:t xml:space="preserve"> </w:t>
      </w:r>
    </w:p>
    <w:p w14:paraId="20540FA0" w14:textId="5FBFB7D2" w:rsidR="005B060B" w:rsidRDefault="005B060B" w:rsidP="003A5EA7">
      <w:pPr>
        <w:rPr>
          <w:rFonts w:eastAsia="Times New Roman"/>
          <w:lang w:eastAsia="pl-PL"/>
        </w:rPr>
      </w:pPr>
      <w:r w:rsidRPr="00254AB9">
        <w:t>Wydaje się</w:t>
      </w:r>
      <w:r w:rsidR="00993715">
        <w:t>,</w:t>
      </w:r>
      <w:r w:rsidR="00477C54">
        <w:t xml:space="preserve"> że </w:t>
      </w:r>
      <w:r w:rsidRPr="00254AB9">
        <w:t xml:space="preserve">idea dotychczasowego </w:t>
      </w:r>
      <w:r w:rsidRPr="000C5EEF">
        <w:t>modelu</w:t>
      </w:r>
      <w:r w:rsidRPr="00254AB9">
        <w:t xml:space="preserve"> tzw. gospodarki linearnej, opierającej się na zasadzie „weź – wyprodukuj – zużyj – wyrzuć” jest nieefektywna</w:t>
      </w:r>
      <w:r w:rsidR="006343E1">
        <w:t xml:space="preserve"> </w:t>
      </w:r>
      <w:r w:rsidR="006343E1" w:rsidRPr="00254AB9">
        <w:t>i</w:t>
      </w:r>
      <w:r w:rsidR="006343E1">
        <w:t> </w:t>
      </w:r>
      <w:r w:rsidRPr="00254AB9">
        <w:t>wyczerpała się już</w:t>
      </w:r>
      <w:r w:rsidR="006343E1">
        <w:t xml:space="preserve"> </w:t>
      </w:r>
      <w:r w:rsidR="006343E1" w:rsidRPr="00254AB9">
        <w:t>w</w:t>
      </w:r>
      <w:r w:rsidR="006343E1">
        <w:t> </w:t>
      </w:r>
      <w:r w:rsidRPr="00254AB9">
        <w:t xml:space="preserve">obliczu konieczności wdrażania </w:t>
      </w:r>
      <w:r w:rsidRPr="00254AB9">
        <w:rPr>
          <w:rFonts w:eastAsia="Times New Roman"/>
          <w:lang w:eastAsia="pl-PL"/>
        </w:rPr>
        <w:t>zasad zrównoważonego rozwoju – uwzględniającego system wzajemnych</w:t>
      </w:r>
      <w:r w:rsidR="006343E1">
        <w:rPr>
          <w:rFonts w:eastAsia="Times New Roman"/>
          <w:lang w:eastAsia="pl-PL"/>
        </w:rPr>
        <w:t xml:space="preserve"> </w:t>
      </w:r>
      <w:r w:rsidR="006343E1" w:rsidRPr="00254AB9">
        <w:rPr>
          <w:rFonts w:eastAsia="Times New Roman"/>
          <w:lang w:eastAsia="pl-PL"/>
        </w:rPr>
        <w:t>i</w:t>
      </w:r>
      <w:r w:rsidR="006343E1">
        <w:rPr>
          <w:rFonts w:eastAsia="Times New Roman"/>
          <w:lang w:eastAsia="pl-PL"/>
        </w:rPr>
        <w:t> </w:t>
      </w:r>
      <w:r w:rsidRPr="00254AB9">
        <w:rPr>
          <w:rFonts w:eastAsia="Times New Roman"/>
          <w:lang w:eastAsia="pl-PL"/>
        </w:rPr>
        <w:t>wielopłaszczyznowych związków pomiędzy środowiskiem</w:t>
      </w:r>
      <w:r w:rsidR="006343E1">
        <w:rPr>
          <w:rFonts w:eastAsia="Times New Roman"/>
          <w:lang w:eastAsia="pl-PL"/>
        </w:rPr>
        <w:t xml:space="preserve"> </w:t>
      </w:r>
      <w:r w:rsidR="006343E1" w:rsidRPr="00254AB9">
        <w:rPr>
          <w:rFonts w:eastAsia="Times New Roman"/>
          <w:lang w:eastAsia="pl-PL"/>
        </w:rPr>
        <w:t>a</w:t>
      </w:r>
      <w:r w:rsidR="006343E1">
        <w:rPr>
          <w:rFonts w:eastAsia="Times New Roman"/>
          <w:lang w:eastAsia="pl-PL"/>
        </w:rPr>
        <w:t> </w:t>
      </w:r>
      <w:r w:rsidRPr="00254AB9">
        <w:rPr>
          <w:rFonts w:eastAsia="Times New Roman"/>
          <w:lang w:eastAsia="pl-PL"/>
        </w:rPr>
        <w:t>gospodarką</w:t>
      </w:r>
      <w:r w:rsidR="006343E1">
        <w:rPr>
          <w:rFonts w:eastAsia="Times New Roman"/>
          <w:lang w:eastAsia="pl-PL"/>
        </w:rPr>
        <w:t xml:space="preserve"> </w:t>
      </w:r>
      <w:r w:rsidR="006343E1" w:rsidRPr="00254AB9">
        <w:rPr>
          <w:rFonts w:eastAsia="Times New Roman"/>
          <w:lang w:eastAsia="pl-PL"/>
        </w:rPr>
        <w:t>i</w:t>
      </w:r>
      <w:r w:rsidR="006343E1">
        <w:rPr>
          <w:rFonts w:eastAsia="Times New Roman"/>
          <w:lang w:eastAsia="pl-PL"/>
        </w:rPr>
        <w:t> </w:t>
      </w:r>
      <w:r w:rsidRPr="00254AB9">
        <w:rPr>
          <w:rFonts w:eastAsia="Times New Roman"/>
          <w:lang w:eastAsia="pl-PL"/>
        </w:rPr>
        <w:t>społeczeństwem.</w:t>
      </w:r>
    </w:p>
    <w:p w14:paraId="53E8307C" w14:textId="187344BB" w:rsidR="005B060B" w:rsidRPr="00254AB9" w:rsidRDefault="005B060B" w:rsidP="003A5EA7">
      <w:r w:rsidRPr="00254AB9">
        <w:rPr>
          <w:rFonts w:eastAsia="Times New Roman"/>
          <w:lang w:eastAsia="pl-PL"/>
        </w:rPr>
        <w:t>Potrzebna jest nowa koncepcja, która zapewni oszczędne gospodarowanie zasobami (</w:t>
      </w:r>
      <w:r w:rsidRPr="00254AB9">
        <w:t>produkt</w:t>
      </w:r>
      <w:r w:rsidR="006A59A8">
        <w:t>ami</w:t>
      </w:r>
      <w:r w:rsidRPr="00254AB9">
        <w:t>, materiał</w:t>
      </w:r>
      <w:r w:rsidR="006A59A8">
        <w:t>ami</w:t>
      </w:r>
      <w:r w:rsidRPr="00254AB9">
        <w:t xml:space="preserve"> oraz surowc</w:t>
      </w:r>
      <w:r w:rsidR="006A59A8">
        <w:t>ami</w:t>
      </w:r>
      <w:r w:rsidRPr="00254AB9">
        <w:t xml:space="preserve"> pierwotn</w:t>
      </w:r>
      <w:r w:rsidR="006A59A8">
        <w:t>ymi</w:t>
      </w:r>
      <w:r w:rsidR="006343E1">
        <w:t xml:space="preserve"> </w:t>
      </w:r>
      <w:r w:rsidR="006343E1" w:rsidRPr="00254AB9">
        <w:t>i</w:t>
      </w:r>
      <w:r w:rsidR="006343E1">
        <w:t> </w:t>
      </w:r>
      <w:r w:rsidRPr="00254AB9">
        <w:t>wtórn</w:t>
      </w:r>
      <w:r w:rsidR="006A59A8">
        <w:t>ymi</w:t>
      </w:r>
      <w:r w:rsidRPr="00254AB9">
        <w:t>) oraz zminimalizowane wytwarzanie odpadów</w:t>
      </w:r>
      <w:r w:rsidR="006343E1">
        <w:t xml:space="preserve"> </w:t>
      </w:r>
      <w:r w:rsidR="006343E1" w:rsidRPr="00254AB9">
        <w:t>i</w:t>
      </w:r>
      <w:r w:rsidR="006343E1">
        <w:t> </w:t>
      </w:r>
      <w:r w:rsidRPr="00254AB9">
        <w:t>emisji. Chodzi</w:t>
      </w:r>
      <w:r w:rsidR="006343E1">
        <w:t xml:space="preserve"> </w:t>
      </w:r>
      <w:r w:rsidR="006343E1" w:rsidRPr="00254AB9">
        <w:t>o</w:t>
      </w:r>
      <w:r w:rsidR="006343E1">
        <w:t> </w:t>
      </w:r>
      <w:r w:rsidRPr="00254AB9">
        <w:t>zaprojektowanie cyklu,</w:t>
      </w:r>
      <w:r w:rsidR="006343E1">
        <w:t xml:space="preserve"> </w:t>
      </w:r>
      <w:r w:rsidR="006343E1" w:rsidRPr="00254AB9">
        <w:t>w</w:t>
      </w:r>
      <w:r w:rsidR="006343E1">
        <w:t> </w:t>
      </w:r>
      <w:r w:rsidRPr="00254AB9">
        <w:t>którym etapy, zaczynając od pozyskania surowca, przez projektowanie, produkcję, konsumpcję, zbieranie odpadów aż po ich zagospodarowanie, będą powtarzały się wielokrotnie. Ważne jest</w:t>
      </w:r>
      <w:r w:rsidR="006A59A8">
        <w:t>,</w:t>
      </w:r>
      <w:r w:rsidRPr="00254AB9">
        <w:t xml:space="preserve"> aby odpad</w:t>
      </w:r>
      <w:r w:rsidR="00664BA2">
        <w:t>y, jeżeli już powstaną</w:t>
      </w:r>
      <w:r w:rsidRPr="00254AB9">
        <w:t>, był</w:t>
      </w:r>
      <w:r w:rsidR="00664BA2">
        <w:t>y</w:t>
      </w:r>
      <w:r w:rsidRPr="00254AB9">
        <w:t xml:space="preserve"> traktowan</w:t>
      </w:r>
      <w:r w:rsidR="00664BA2">
        <w:t>e</w:t>
      </w:r>
      <w:r w:rsidRPr="00254AB9">
        <w:t xml:space="preserve"> jako surowiec wtórny, który można wykorzystać do ponownej produkcji</w:t>
      </w:r>
      <w:r w:rsidR="006343E1">
        <w:t xml:space="preserve"> </w:t>
      </w:r>
      <w:r w:rsidR="006343E1" w:rsidRPr="00254AB9">
        <w:t>w</w:t>
      </w:r>
      <w:r w:rsidR="006343E1">
        <w:t> </w:t>
      </w:r>
      <w:r w:rsidRPr="00254AB9">
        <w:t>odpowiedni ekonomicznie</w:t>
      </w:r>
      <w:r w:rsidR="006343E1">
        <w:t xml:space="preserve"> </w:t>
      </w:r>
      <w:r w:rsidR="006343E1" w:rsidRPr="00254AB9">
        <w:t>i</w:t>
      </w:r>
      <w:r w:rsidR="006343E1">
        <w:t> </w:t>
      </w:r>
      <w:r w:rsidRPr="00254AB9">
        <w:t>środowiskowo sposób. Ponadto potrzebna jest dbałość</w:t>
      </w:r>
      <w:r w:rsidR="006343E1">
        <w:t xml:space="preserve"> </w:t>
      </w:r>
      <w:r w:rsidR="006343E1" w:rsidRPr="00254AB9">
        <w:t>o</w:t>
      </w:r>
      <w:r w:rsidR="006343E1">
        <w:t> </w:t>
      </w:r>
      <w:r w:rsidRPr="00254AB9">
        <w:t>maksymalne wydłużenie czasu korzystania</w:t>
      </w:r>
      <w:r w:rsidR="006343E1">
        <w:t xml:space="preserve"> </w:t>
      </w:r>
      <w:r w:rsidR="006343E1" w:rsidRPr="00254AB9">
        <w:t>z</w:t>
      </w:r>
      <w:r w:rsidR="006343E1">
        <w:t> </w:t>
      </w:r>
      <w:r w:rsidRPr="00254AB9">
        <w:t>produktów lub ich zastępowanie innymi – także niematerialnymi – substytutami. Wiąże się to</w:t>
      </w:r>
      <w:r w:rsidR="006343E1">
        <w:t xml:space="preserve"> </w:t>
      </w:r>
      <w:r w:rsidR="006343E1" w:rsidRPr="00254AB9">
        <w:t>z</w:t>
      </w:r>
      <w:r w:rsidR="006343E1">
        <w:t> </w:t>
      </w:r>
      <w:r w:rsidRPr="00254AB9">
        <w:t>innowacyjnością przedsiębiorców, nowymi modelami biznesowymi</w:t>
      </w:r>
      <w:r w:rsidR="006343E1">
        <w:t xml:space="preserve"> </w:t>
      </w:r>
      <w:r w:rsidR="006343E1" w:rsidRPr="00254AB9">
        <w:t>i</w:t>
      </w:r>
      <w:r w:rsidR="006343E1">
        <w:t> </w:t>
      </w:r>
      <w:r w:rsidRPr="00254AB9">
        <w:t>zmianą świadomości środowiskowej społeczeństwa.</w:t>
      </w:r>
    </w:p>
    <w:p w14:paraId="0D98EA34" w14:textId="6E87AAB3" w:rsidR="005B060B" w:rsidRPr="00254AB9" w:rsidRDefault="005B060B" w:rsidP="003A5EA7">
      <w:r w:rsidRPr="00254AB9">
        <w:t>Budowanie takiego modelu</w:t>
      </w:r>
      <w:r w:rsidR="006343E1">
        <w:t xml:space="preserve"> </w:t>
      </w:r>
      <w:r w:rsidR="006343E1" w:rsidRPr="00254AB9">
        <w:t>w</w:t>
      </w:r>
      <w:r w:rsidR="006343E1">
        <w:t> </w:t>
      </w:r>
      <w:r w:rsidRPr="00254AB9">
        <w:t xml:space="preserve">Polsce już trwa. Dokumentem wdrażającym nowy model gospodarczy na poziomie krajowym jest </w:t>
      </w:r>
      <w:r w:rsidRPr="00254AB9">
        <w:rPr>
          <w:i/>
        </w:rPr>
        <w:t>Mapa drogowa transformacji</w:t>
      </w:r>
      <w:r w:rsidR="006343E1">
        <w:rPr>
          <w:i/>
        </w:rPr>
        <w:t xml:space="preserve"> </w:t>
      </w:r>
      <w:r w:rsidR="006343E1" w:rsidRPr="00254AB9">
        <w:rPr>
          <w:i/>
        </w:rPr>
        <w:t>w</w:t>
      </w:r>
      <w:r w:rsidR="006343E1">
        <w:rPr>
          <w:i/>
        </w:rPr>
        <w:t> </w:t>
      </w:r>
      <w:r w:rsidRPr="00254AB9">
        <w:rPr>
          <w:i/>
        </w:rPr>
        <w:t>kierunku gospodarki</w:t>
      </w:r>
      <w:r w:rsidR="006343E1">
        <w:rPr>
          <w:i/>
        </w:rPr>
        <w:t xml:space="preserve"> </w:t>
      </w:r>
      <w:r w:rsidR="006343E1" w:rsidRPr="00254AB9">
        <w:rPr>
          <w:i/>
        </w:rPr>
        <w:t>o</w:t>
      </w:r>
      <w:r w:rsidR="006343E1">
        <w:rPr>
          <w:i/>
        </w:rPr>
        <w:t> </w:t>
      </w:r>
      <w:r w:rsidRPr="00254AB9">
        <w:rPr>
          <w:i/>
        </w:rPr>
        <w:t>obiegu zamkniętym (GOZ)</w:t>
      </w:r>
      <w:r w:rsidRPr="00254AB9">
        <w:t>.</w:t>
      </w:r>
    </w:p>
    <w:p w14:paraId="3E5D889C" w14:textId="7E652ECE" w:rsidR="005B060B" w:rsidRPr="000D03DE" w:rsidRDefault="005B060B" w:rsidP="003A5EA7">
      <w:r w:rsidRPr="000D03DE">
        <w:t>Podkreślenia wymaga</w:t>
      </w:r>
      <w:r w:rsidR="00477C54">
        <w:t>, że </w:t>
      </w:r>
      <w:r w:rsidRPr="000D03DE">
        <w:t>nie startujemy</w:t>
      </w:r>
      <w:r w:rsidR="006343E1">
        <w:t xml:space="preserve"> </w:t>
      </w:r>
      <w:r w:rsidR="006343E1" w:rsidRPr="000D03DE">
        <w:t>w</w:t>
      </w:r>
      <w:r w:rsidR="006343E1">
        <w:t> </w:t>
      </w:r>
      <w:r w:rsidRPr="000D03DE">
        <w:t>Polsce od zera. Poszczególne elementy GOZ są już</w:t>
      </w:r>
      <w:r w:rsidR="006343E1">
        <w:t xml:space="preserve"> </w:t>
      </w:r>
      <w:r w:rsidR="006343E1" w:rsidRPr="000D03DE">
        <w:t>w</w:t>
      </w:r>
      <w:r w:rsidR="006343E1">
        <w:t> </w:t>
      </w:r>
      <w:r w:rsidRPr="000D03DE">
        <w:t>tej chwili realizowane</w:t>
      </w:r>
      <w:r w:rsidR="006343E1">
        <w:t xml:space="preserve"> </w:t>
      </w:r>
      <w:r w:rsidR="006343E1" w:rsidRPr="000D03DE">
        <w:t>i</w:t>
      </w:r>
      <w:r w:rsidR="006343E1">
        <w:t> </w:t>
      </w:r>
      <w:r w:rsidRPr="000D03DE">
        <w:t>chociaż są często inaczej nazwane</w:t>
      </w:r>
      <w:r w:rsidR="006A59A8">
        <w:t>,</w:t>
      </w:r>
      <w:r w:rsidRPr="000D03DE">
        <w:t xml:space="preserve"> mieszczą się</w:t>
      </w:r>
      <w:r w:rsidR="006343E1">
        <w:t xml:space="preserve"> </w:t>
      </w:r>
      <w:r w:rsidR="006343E1" w:rsidRPr="000D03DE">
        <w:t>w</w:t>
      </w:r>
      <w:r w:rsidR="006343E1">
        <w:t> </w:t>
      </w:r>
      <w:r w:rsidRPr="000D03DE">
        <w:t>obszarach zielonej gospodarki, zrównoważonego rozwoju albo</w:t>
      </w:r>
      <w:r w:rsidR="006343E1">
        <w:t xml:space="preserve"> </w:t>
      </w:r>
      <w:r w:rsidR="006343E1" w:rsidRPr="000D03DE">
        <w:t>w</w:t>
      </w:r>
      <w:r w:rsidR="006343E1">
        <w:t> </w:t>
      </w:r>
      <w:r w:rsidRPr="000D03DE">
        <w:t>ramach działań</w:t>
      </w:r>
      <w:r w:rsidR="006343E1">
        <w:t xml:space="preserve"> </w:t>
      </w:r>
      <w:r w:rsidR="006343E1" w:rsidRPr="000D03DE">
        <w:t>w</w:t>
      </w:r>
      <w:r w:rsidR="006343E1">
        <w:t> </w:t>
      </w:r>
      <w:r w:rsidRPr="000D03DE">
        <w:t>obszarze niskoemisyjności.</w:t>
      </w:r>
    </w:p>
    <w:p w14:paraId="254E9999" w14:textId="77777777" w:rsidR="005B060B" w:rsidRPr="00254AB9" w:rsidRDefault="005B060B" w:rsidP="005B060B">
      <w:pPr>
        <w:pStyle w:val="Nagwek2"/>
      </w:pPr>
      <w:bookmarkStart w:id="34" w:name="_Toc511921194"/>
      <w:bookmarkStart w:id="35" w:name="_Toc517448464"/>
      <w:bookmarkStart w:id="36" w:name="_Toc31808496"/>
      <w:bookmarkStart w:id="37" w:name="_Toc106968779"/>
      <w:r w:rsidRPr="00254AB9">
        <w:t>Wykorzystanie zasobów</w:t>
      </w:r>
      <w:bookmarkEnd w:id="34"/>
      <w:bookmarkEnd w:id="35"/>
      <w:bookmarkEnd w:id="36"/>
      <w:bookmarkEnd w:id="37"/>
    </w:p>
    <w:p w14:paraId="53673CA7" w14:textId="38D0D064" w:rsidR="005B060B" w:rsidRPr="00410B38" w:rsidRDefault="005B060B" w:rsidP="003A5EA7">
      <w:pPr>
        <w:rPr>
          <w:lang w:eastAsia="pl-PL"/>
        </w:rPr>
      </w:pPr>
      <w:r w:rsidRPr="00410B38">
        <w:rPr>
          <w:lang w:eastAsia="pl-PL"/>
        </w:rPr>
        <w:t>Jedną</w:t>
      </w:r>
      <w:r w:rsidR="006343E1" w:rsidRPr="00410B38">
        <w:rPr>
          <w:lang w:eastAsia="pl-PL"/>
        </w:rPr>
        <w:t xml:space="preserve"> z </w:t>
      </w:r>
      <w:r w:rsidRPr="00410B38">
        <w:rPr>
          <w:lang w:eastAsia="pl-PL"/>
        </w:rPr>
        <w:t>miar efektywności użytkowania zasobów</w:t>
      </w:r>
      <w:r w:rsidR="006343E1" w:rsidRPr="00410B38">
        <w:rPr>
          <w:lang w:eastAsia="pl-PL"/>
        </w:rPr>
        <w:t xml:space="preserve"> w </w:t>
      </w:r>
      <w:r w:rsidRPr="00410B38">
        <w:rPr>
          <w:lang w:eastAsia="pl-PL"/>
        </w:rPr>
        <w:t>gospodarce,</w:t>
      </w:r>
      <w:r w:rsidR="006343E1" w:rsidRPr="00410B38">
        <w:rPr>
          <w:lang w:eastAsia="pl-PL"/>
        </w:rPr>
        <w:t xml:space="preserve"> a </w:t>
      </w:r>
      <w:r w:rsidRPr="00410B38">
        <w:rPr>
          <w:lang w:eastAsia="pl-PL"/>
        </w:rPr>
        <w:t xml:space="preserve">tym samym miernikiem zrównoważonego rozwoju jest produktywność zasobów obliczana jako relacja produktu krajowego brutto (PKB) do </w:t>
      </w:r>
      <w:r w:rsidR="00276338">
        <w:rPr>
          <w:lang w:eastAsia="pl-PL"/>
        </w:rPr>
        <w:t xml:space="preserve">krajowej konsumpcji materialnej </w:t>
      </w:r>
      <w:r w:rsidRPr="00410B38">
        <w:rPr>
          <w:lang w:eastAsia="pl-PL"/>
        </w:rPr>
        <w:t>(DMC). Krajow</w:t>
      </w:r>
      <w:r w:rsidR="00276338">
        <w:rPr>
          <w:lang w:eastAsia="pl-PL"/>
        </w:rPr>
        <w:t>a</w:t>
      </w:r>
      <w:r w:rsidRPr="00410B38">
        <w:rPr>
          <w:lang w:eastAsia="pl-PL"/>
        </w:rPr>
        <w:t xml:space="preserve"> </w:t>
      </w:r>
      <w:r w:rsidR="00276338">
        <w:rPr>
          <w:lang w:eastAsia="pl-PL"/>
        </w:rPr>
        <w:t>konsumpcja materialna</w:t>
      </w:r>
      <w:r w:rsidRPr="00410B38">
        <w:rPr>
          <w:lang w:eastAsia="pl-PL"/>
        </w:rPr>
        <w:t xml:space="preserve"> obejmuje wszystkie materiały bezpośrednio zużyte</w:t>
      </w:r>
      <w:r w:rsidR="006343E1" w:rsidRPr="00410B38">
        <w:rPr>
          <w:lang w:eastAsia="pl-PL"/>
        </w:rPr>
        <w:t xml:space="preserve"> w </w:t>
      </w:r>
      <w:r w:rsidRPr="00410B38">
        <w:rPr>
          <w:lang w:eastAsia="pl-PL"/>
        </w:rPr>
        <w:t xml:space="preserve">procesach ekonomicznych na potrzeby gospodarki. Stanowi sumę </w:t>
      </w:r>
      <w:r w:rsidR="00276338">
        <w:rPr>
          <w:lang w:eastAsia="pl-PL"/>
        </w:rPr>
        <w:t>surowców</w:t>
      </w:r>
      <w:r w:rsidRPr="00410B38">
        <w:rPr>
          <w:lang w:eastAsia="pl-PL"/>
        </w:rPr>
        <w:t xml:space="preserve"> pozyskanych na terytorium kraju oraz</w:t>
      </w:r>
      <w:r w:rsidR="006343E1" w:rsidRPr="00410B38">
        <w:rPr>
          <w:lang w:eastAsia="pl-PL"/>
        </w:rPr>
        <w:t xml:space="preserve"> z </w:t>
      </w:r>
      <w:r w:rsidRPr="00410B38">
        <w:rPr>
          <w:lang w:eastAsia="pl-PL"/>
        </w:rPr>
        <w:t>importu pomniejszoną</w:t>
      </w:r>
      <w:r w:rsidR="006343E1" w:rsidRPr="00410B38">
        <w:rPr>
          <w:lang w:eastAsia="pl-PL"/>
        </w:rPr>
        <w:t xml:space="preserve"> </w:t>
      </w:r>
      <w:r w:rsidR="00276338">
        <w:rPr>
          <w:lang w:eastAsia="pl-PL"/>
        </w:rPr>
        <w:t>o surowce</w:t>
      </w:r>
      <w:r w:rsidRPr="00410B38">
        <w:rPr>
          <w:lang w:eastAsia="pl-PL"/>
        </w:rPr>
        <w:t xml:space="preserve"> wysłane na eksport. Dane do </w:t>
      </w:r>
      <w:r w:rsidR="000D014C">
        <w:rPr>
          <w:lang w:eastAsia="pl-PL"/>
        </w:rPr>
        <w:t>o</w:t>
      </w:r>
      <w:r w:rsidRPr="000D014C">
        <w:rPr>
          <w:lang w:eastAsia="pl-PL"/>
        </w:rPr>
        <w:t>gólnogospodarcz</w:t>
      </w:r>
      <w:r w:rsidR="00276338" w:rsidRPr="000D014C">
        <w:rPr>
          <w:lang w:eastAsia="pl-PL"/>
        </w:rPr>
        <w:t>ych</w:t>
      </w:r>
      <w:r w:rsidRPr="000D014C">
        <w:rPr>
          <w:lang w:eastAsia="pl-PL"/>
        </w:rPr>
        <w:t xml:space="preserve"> </w:t>
      </w:r>
      <w:r w:rsidR="000D014C">
        <w:rPr>
          <w:lang w:eastAsia="pl-PL"/>
        </w:rPr>
        <w:t>r</w:t>
      </w:r>
      <w:r w:rsidRPr="000D014C">
        <w:rPr>
          <w:lang w:eastAsia="pl-PL"/>
        </w:rPr>
        <w:t>achunk</w:t>
      </w:r>
      <w:r w:rsidR="00276338" w:rsidRPr="000D014C">
        <w:rPr>
          <w:lang w:eastAsia="pl-PL"/>
        </w:rPr>
        <w:t>ów</w:t>
      </w:r>
      <w:r w:rsidRPr="000D014C">
        <w:rPr>
          <w:lang w:eastAsia="pl-PL"/>
        </w:rPr>
        <w:t xml:space="preserve"> </w:t>
      </w:r>
      <w:r w:rsidR="000D014C">
        <w:rPr>
          <w:lang w:eastAsia="pl-PL"/>
        </w:rPr>
        <w:t>p</w:t>
      </w:r>
      <w:r w:rsidRPr="000D014C">
        <w:rPr>
          <w:lang w:eastAsia="pl-PL"/>
        </w:rPr>
        <w:t xml:space="preserve">rzepływów </w:t>
      </w:r>
      <w:r w:rsidR="000D014C">
        <w:rPr>
          <w:lang w:eastAsia="pl-PL"/>
        </w:rPr>
        <w:t>m</w:t>
      </w:r>
      <w:r w:rsidRPr="000D014C">
        <w:rPr>
          <w:lang w:eastAsia="pl-PL"/>
        </w:rPr>
        <w:t>ateria</w:t>
      </w:r>
      <w:r w:rsidR="00276338" w:rsidRPr="000D014C">
        <w:rPr>
          <w:lang w:eastAsia="pl-PL"/>
        </w:rPr>
        <w:t>lnych</w:t>
      </w:r>
      <w:r w:rsidR="00276338">
        <w:rPr>
          <w:lang w:eastAsia="pl-PL"/>
        </w:rPr>
        <w:t xml:space="preserve"> </w:t>
      </w:r>
      <w:r w:rsidRPr="00410B38">
        <w:rPr>
          <w:lang w:eastAsia="pl-PL"/>
        </w:rPr>
        <w:t>tworzy się</w:t>
      </w:r>
      <w:r w:rsidR="006343E1" w:rsidRPr="00410B38">
        <w:rPr>
          <w:lang w:eastAsia="pl-PL"/>
        </w:rPr>
        <w:t xml:space="preserve"> z </w:t>
      </w:r>
      <w:r w:rsidRPr="00410B38">
        <w:rPr>
          <w:lang w:eastAsia="pl-PL"/>
        </w:rPr>
        <w:t>następujących elementów składowych:</w:t>
      </w:r>
    </w:p>
    <w:p w14:paraId="3A8EA3BE" w14:textId="7640E10F" w:rsidR="005B060B" w:rsidRPr="00993715" w:rsidRDefault="005B060B" w:rsidP="00A9445F">
      <w:pPr>
        <w:pStyle w:val="Akapitzlist"/>
        <w:numPr>
          <w:ilvl w:val="0"/>
          <w:numId w:val="23"/>
        </w:numPr>
        <w:rPr>
          <w:lang w:eastAsia="pl-PL"/>
        </w:rPr>
      </w:pPr>
      <w:r w:rsidRPr="00993715">
        <w:rPr>
          <w:lang w:eastAsia="pl-PL"/>
        </w:rPr>
        <w:t>biomasa</w:t>
      </w:r>
      <w:r w:rsidR="006343E1" w:rsidRPr="00993715">
        <w:rPr>
          <w:lang w:eastAsia="pl-PL"/>
        </w:rPr>
        <w:t xml:space="preserve"> i </w:t>
      </w:r>
      <w:r w:rsidRPr="00993715">
        <w:rPr>
          <w:lang w:eastAsia="pl-PL"/>
        </w:rPr>
        <w:t>produkty</w:t>
      </w:r>
      <w:r w:rsidR="006343E1" w:rsidRPr="00993715">
        <w:rPr>
          <w:lang w:eastAsia="pl-PL"/>
        </w:rPr>
        <w:t xml:space="preserve"> z </w:t>
      </w:r>
      <w:r w:rsidRPr="00993715">
        <w:rPr>
          <w:lang w:eastAsia="pl-PL"/>
        </w:rPr>
        <w:t>biomasy,</w:t>
      </w:r>
    </w:p>
    <w:p w14:paraId="0D2C7808" w14:textId="6CC54F37" w:rsidR="005B060B" w:rsidRPr="00993715" w:rsidRDefault="005B060B" w:rsidP="00A9445F">
      <w:pPr>
        <w:pStyle w:val="Akapitzlist"/>
        <w:numPr>
          <w:ilvl w:val="0"/>
          <w:numId w:val="23"/>
        </w:numPr>
        <w:rPr>
          <w:lang w:eastAsia="pl-PL"/>
        </w:rPr>
      </w:pPr>
      <w:r w:rsidRPr="00993715">
        <w:rPr>
          <w:lang w:eastAsia="pl-PL"/>
        </w:rPr>
        <w:t>rudy</w:t>
      </w:r>
      <w:r w:rsidR="006343E1" w:rsidRPr="00993715">
        <w:rPr>
          <w:lang w:eastAsia="pl-PL"/>
        </w:rPr>
        <w:t xml:space="preserve"> i </w:t>
      </w:r>
      <w:r w:rsidRPr="00993715">
        <w:rPr>
          <w:lang w:eastAsia="pl-PL"/>
        </w:rPr>
        <w:t>koncentraty metali, surowe</w:t>
      </w:r>
      <w:r w:rsidR="006343E1" w:rsidRPr="00993715">
        <w:rPr>
          <w:lang w:eastAsia="pl-PL"/>
        </w:rPr>
        <w:t xml:space="preserve"> i </w:t>
      </w:r>
      <w:r w:rsidRPr="00993715">
        <w:rPr>
          <w:lang w:eastAsia="pl-PL"/>
        </w:rPr>
        <w:t>przetworzone,</w:t>
      </w:r>
    </w:p>
    <w:p w14:paraId="7E0593BC" w14:textId="5E5233A6" w:rsidR="005B060B" w:rsidRPr="00993715" w:rsidRDefault="005B060B" w:rsidP="00A9445F">
      <w:pPr>
        <w:pStyle w:val="Akapitzlist"/>
        <w:numPr>
          <w:ilvl w:val="0"/>
          <w:numId w:val="23"/>
        </w:numPr>
        <w:rPr>
          <w:lang w:eastAsia="pl-PL"/>
        </w:rPr>
      </w:pPr>
      <w:r w:rsidRPr="00993715">
        <w:rPr>
          <w:lang w:eastAsia="pl-PL"/>
        </w:rPr>
        <w:t>minerały niemetaliczne, surowe</w:t>
      </w:r>
      <w:r w:rsidR="006343E1" w:rsidRPr="00993715">
        <w:rPr>
          <w:lang w:eastAsia="pl-PL"/>
        </w:rPr>
        <w:t xml:space="preserve"> i </w:t>
      </w:r>
      <w:r w:rsidRPr="00993715">
        <w:rPr>
          <w:lang w:eastAsia="pl-PL"/>
        </w:rPr>
        <w:t>przetworzone,</w:t>
      </w:r>
    </w:p>
    <w:p w14:paraId="3701826B" w14:textId="622EB9ED" w:rsidR="005B060B" w:rsidRPr="00993715" w:rsidRDefault="005B060B" w:rsidP="00A9445F">
      <w:pPr>
        <w:pStyle w:val="Akapitzlist"/>
        <w:numPr>
          <w:ilvl w:val="0"/>
          <w:numId w:val="23"/>
        </w:numPr>
        <w:rPr>
          <w:lang w:eastAsia="pl-PL"/>
        </w:rPr>
      </w:pPr>
      <w:r w:rsidRPr="00993715">
        <w:rPr>
          <w:lang w:eastAsia="pl-PL"/>
        </w:rPr>
        <w:t>kopalne surowce energetyczne</w:t>
      </w:r>
      <w:r w:rsidR="00311AB7">
        <w:rPr>
          <w:lang w:eastAsia="pl-PL"/>
        </w:rPr>
        <w:t xml:space="preserve"> </w:t>
      </w:r>
      <w:r w:rsidRPr="00993715">
        <w:rPr>
          <w:lang w:eastAsia="pl-PL"/>
        </w:rPr>
        <w:t>/</w:t>
      </w:r>
      <w:r w:rsidR="00311AB7">
        <w:rPr>
          <w:lang w:eastAsia="pl-PL"/>
        </w:rPr>
        <w:t xml:space="preserve"> </w:t>
      </w:r>
      <w:r w:rsidRPr="00993715">
        <w:rPr>
          <w:lang w:eastAsia="pl-PL"/>
        </w:rPr>
        <w:t>nośniki energii, surowe</w:t>
      </w:r>
      <w:r w:rsidR="006343E1" w:rsidRPr="00993715">
        <w:rPr>
          <w:lang w:eastAsia="pl-PL"/>
        </w:rPr>
        <w:t xml:space="preserve"> i </w:t>
      </w:r>
      <w:r w:rsidRPr="00993715">
        <w:rPr>
          <w:lang w:eastAsia="pl-PL"/>
        </w:rPr>
        <w:t>przetworzone,</w:t>
      </w:r>
    </w:p>
    <w:p w14:paraId="4FF504BB" w14:textId="24EC8130" w:rsidR="005B060B" w:rsidRPr="00993715" w:rsidRDefault="007463D1" w:rsidP="00A9445F">
      <w:pPr>
        <w:pStyle w:val="Akapitzlist"/>
        <w:numPr>
          <w:ilvl w:val="0"/>
          <w:numId w:val="23"/>
        </w:numPr>
        <w:rPr>
          <w:lang w:eastAsia="pl-PL"/>
        </w:rPr>
      </w:pPr>
      <w:r w:rsidRPr="00993715">
        <w:rPr>
          <w:lang w:eastAsia="pl-PL"/>
        </w:rPr>
        <w:t>odpady przekazane do ostatecznego zagospodarowania</w:t>
      </w:r>
      <w:r w:rsidR="00993715" w:rsidRPr="00993715">
        <w:rPr>
          <w:lang w:eastAsia="pl-PL"/>
        </w:rPr>
        <w:t>.</w:t>
      </w:r>
    </w:p>
    <w:p w14:paraId="2DE5EC9B" w14:textId="77777777" w:rsidR="00DC0BA5" w:rsidRDefault="00DC0BA5" w:rsidP="00367821">
      <w:pPr>
        <w:ind w:left="360"/>
        <w:rPr>
          <w:lang w:eastAsia="pl-PL"/>
        </w:rPr>
      </w:pPr>
    </w:p>
    <w:p w14:paraId="775E83D7" w14:textId="77777777" w:rsidR="00DC0BA5" w:rsidRPr="00993715" w:rsidRDefault="00DC0BA5" w:rsidP="00367821">
      <w:pPr>
        <w:ind w:left="360"/>
        <w:rPr>
          <w:lang w:eastAsia="pl-PL"/>
        </w:rPr>
      </w:pPr>
    </w:p>
    <w:p w14:paraId="05C36D2D" w14:textId="0BD4BAD2" w:rsidR="005B060B" w:rsidRPr="00993715" w:rsidRDefault="005B060B" w:rsidP="003A5EA7">
      <w:pPr>
        <w:rPr>
          <w:lang w:eastAsia="pl-PL"/>
        </w:rPr>
      </w:pPr>
      <w:r w:rsidRPr="00993715">
        <w:rPr>
          <w:lang w:eastAsia="pl-PL"/>
        </w:rPr>
        <w:t>Krajowa gospodarka materia</w:t>
      </w:r>
      <w:r w:rsidRPr="00993715">
        <w:rPr>
          <w:rFonts w:hint="eastAsia"/>
          <w:lang w:eastAsia="pl-PL"/>
        </w:rPr>
        <w:t>ł</w:t>
      </w:r>
      <w:r w:rsidRPr="00993715">
        <w:rPr>
          <w:lang w:eastAsia="pl-PL"/>
        </w:rPr>
        <w:t>owa</w:t>
      </w:r>
      <w:r w:rsidR="006343E1" w:rsidRPr="00993715">
        <w:rPr>
          <w:lang w:eastAsia="pl-PL"/>
        </w:rPr>
        <w:t xml:space="preserve"> w </w:t>
      </w:r>
      <w:r w:rsidRPr="00993715">
        <w:rPr>
          <w:lang w:eastAsia="pl-PL"/>
        </w:rPr>
        <w:t>latach 2014</w:t>
      </w:r>
      <w:r w:rsidR="00311AB7">
        <w:rPr>
          <w:rFonts w:ascii="Times New Roman" w:hAnsi="Times New Roman" w:cs="Times New Roman"/>
          <w:lang w:eastAsia="pl-PL"/>
        </w:rPr>
        <w:t>–</w:t>
      </w:r>
      <w:r w:rsidRPr="00993715">
        <w:rPr>
          <w:lang w:eastAsia="pl-PL"/>
        </w:rPr>
        <w:t>2019 charakteryzowa</w:t>
      </w:r>
      <w:r w:rsidRPr="00993715">
        <w:rPr>
          <w:rFonts w:hint="eastAsia"/>
          <w:lang w:eastAsia="pl-PL"/>
        </w:rPr>
        <w:t>ł</w:t>
      </w:r>
      <w:r w:rsidRPr="00993715">
        <w:rPr>
          <w:lang w:eastAsia="pl-PL"/>
        </w:rPr>
        <w:t>a si</w:t>
      </w:r>
      <w:r w:rsidRPr="00993715">
        <w:rPr>
          <w:rFonts w:hint="eastAsia"/>
          <w:lang w:eastAsia="pl-PL"/>
        </w:rPr>
        <w:t>ę</w:t>
      </w:r>
      <w:r w:rsidRPr="00993715">
        <w:rPr>
          <w:lang w:eastAsia="pl-PL"/>
        </w:rPr>
        <w:t>:</w:t>
      </w:r>
    </w:p>
    <w:p w14:paraId="354018C3" w14:textId="1B3312F5" w:rsidR="005B060B" w:rsidRPr="00993715" w:rsidRDefault="0069452A" w:rsidP="00367821">
      <w:pPr>
        <w:pStyle w:val="Akapitzlist"/>
        <w:numPr>
          <w:ilvl w:val="0"/>
          <w:numId w:val="26"/>
        </w:numPr>
        <w:rPr>
          <w:lang w:eastAsia="pl-PL"/>
        </w:rPr>
      </w:pPr>
      <w:r w:rsidRPr="00993715">
        <w:rPr>
          <w:lang w:eastAsia="pl-PL"/>
        </w:rPr>
        <w:t xml:space="preserve"> </w:t>
      </w:r>
      <w:r w:rsidR="005B060B" w:rsidRPr="00993715">
        <w:rPr>
          <w:lang w:eastAsia="pl-PL"/>
        </w:rPr>
        <w:t>wzrostow</w:t>
      </w:r>
      <w:r w:rsidR="005B060B" w:rsidRPr="00993715">
        <w:rPr>
          <w:rFonts w:hint="eastAsia"/>
          <w:lang w:eastAsia="pl-PL"/>
        </w:rPr>
        <w:t>ą</w:t>
      </w:r>
      <w:r w:rsidR="005B060B" w:rsidRPr="00993715">
        <w:rPr>
          <w:lang w:eastAsia="pl-PL"/>
        </w:rPr>
        <w:t xml:space="preserve"> tendencj</w:t>
      </w:r>
      <w:r w:rsidR="005B060B" w:rsidRPr="00993715">
        <w:rPr>
          <w:rFonts w:hint="eastAsia"/>
          <w:lang w:eastAsia="pl-PL"/>
        </w:rPr>
        <w:t>ą</w:t>
      </w:r>
      <w:r w:rsidR="005B060B" w:rsidRPr="00993715">
        <w:rPr>
          <w:lang w:eastAsia="pl-PL"/>
        </w:rPr>
        <w:t xml:space="preserve"> zu</w:t>
      </w:r>
      <w:r w:rsidR="005B060B" w:rsidRPr="00993715">
        <w:rPr>
          <w:rFonts w:hint="eastAsia"/>
          <w:lang w:eastAsia="pl-PL"/>
        </w:rPr>
        <w:t>ż</w:t>
      </w:r>
      <w:r w:rsidR="005B060B" w:rsidRPr="00993715">
        <w:rPr>
          <w:lang w:eastAsia="pl-PL"/>
        </w:rPr>
        <w:t>ycia badanych materia</w:t>
      </w:r>
      <w:r w:rsidR="005B060B" w:rsidRPr="00993715">
        <w:rPr>
          <w:rFonts w:hint="eastAsia"/>
          <w:lang w:eastAsia="pl-PL"/>
        </w:rPr>
        <w:t>ł</w:t>
      </w:r>
      <w:r w:rsidR="005B060B" w:rsidRPr="00993715">
        <w:rPr>
          <w:lang w:eastAsia="pl-PL"/>
        </w:rPr>
        <w:t>ów, na co zasadniczy wp</w:t>
      </w:r>
      <w:r w:rsidR="005B060B" w:rsidRPr="00993715">
        <w:rPr>
          <w:rFonts w:hint="eastAsia"/>
          <w:lang w:eastAsia="pl-PL"/>
        </w:rPr>
        <w:t>ł</w:t>
      </w:r>
      <w:r w:rsidR="005B060B" w:rsidRPr="00993715">
        <w:rPr>
          <w:lang w:eastAsia="pl-PL"/>
        </w:rPr>
        <w:t>yw ma wielko</w:t>
      </w:r>
      <w:r w:rsidR="005B060B" w:rsidRPr="00993715">
        <w:rPr>
          <w:rFonts w:hint="eastAsia"/>
          <w:lang w:eastAsia="pl-PL"/>
        </w:rPr>
        <w:t>ść</w:t>
      </w:r>
      <w:r w:rsidR="005B060B" w:rsidRPr="00993715">
        <w:rPr>
          <w:lang w:eastAsia="pl-PL"/>
        </w:rPr>
        <w:t xml:space="preserve"> produkcji</w:t>
      </w:r>
      <w:r w:rsidR="006343E1" w:rsidRPr="00993715">
        <w:rPr>
          <w:lang w:eastAsia="pl-PL"/>
        </w:rPr>
        <w:t xml:space="preserve"> i </w:t>
      </w:r>
      <w:r w:rsidR="005B060B" w:rsidRPr="00993715">
        <w:rPr>
          <w:lang w:eastAsia="pl-PL"/>
        </w:rPr>
        <w:t>importu,</w:t>
      </w:r>
    </w:p>
    <w:p w14:paraId="7702BA44" w14:textId="5B12496C" w:rsidR="005B060B" w:rsidRPr="00993715" w:rsidRDefault="005B060B" w:rsidP="00367821">
      <w:pPr>
        <w:pStyle w:val="Akapitzlist"/>
        <w:numPr>
          <w:ilvl w:val="0"/>
          <w:numId w:val="26"/>
        </w:numPr>
        <w:rPr>
          <w:lang w:eastAsia="pl-PL"/>
        </w:rPr>
      </w:pPr>
      <w:r w:rsidRPr="00993715">
        <w:rPr>
          <w:lang w:eastAsia="pl-PL"/>
        </w:rPr>
        <w:t>utrzymaniem wysokiego udzia</w:t>
      </w:r>
      <w:r w:rsidRPr="00993715">
        <w:rPr>
          <w:rFonts w:hint="eastAsia"/>
          <w:lang w:eastAsia="pl-PL"/>
        </w:rPr>
        <w:t>ł</w:t>
      </w:r>
      <w:r w:rsidRPr="00993715">
        <w:rPr>
          <w:lang w:eastAsia="pl-PL"/>
        </w:rPr>
        <w:t>u importowanych materia</w:t>
      </w:r>
      <w:r w:rsidRPr="00993715">
        <w:rPr>
          <w:rFonts w:hint="eastAsia"/>
          <w:lang w:eastAsia="pl-PL"/>
        </w:rPr>
        <w:t>ł</w:t>
      </w:r>
      <w:r w:rsidRPr="00993715">
        <w:rPr>
          <w:lang w:eastAsia="pl-PL"/>
        </w:rPr>
        <w:t>ów</w:t>
      </w:r>
      <w:r w:rsidR="006343E1" w:rsidRPr="00993715">
        <w:rPr>
          <w:lang w:eastAsia="pl-PL"/>
        </w:rPr>
        <w:t xml:space="preserve"> w </w:t>
      </w:r>
      <w:r w:rsidRPr="00993715">
        <w:rPr>
          <w:lang w:eastAsia="pl-PL"/>
        </w:rPr>
        <w:t>zu</w:t>
      </w:r>
      <w:r w:rsidRPr="00993715">
        <w:rPr>
          <w:rFonts w:hint="eastAsia"/>
          <w:lang w:eastAsia="pl-PL"/>
        </w:rPr>
        <w:t>ż</w:t>
      </w:r>
      <w:r w:rsidRPr="00993715">
        <w:rPr>
          <w:lang w:eastAsia="pl-PL"/>
        </w:rPr>
        <w:t>yciu krajowym (GUS 2020).</w:t>
      </w:r>
    </w:p>
    <w:p w14:paraId="0F987A19" w14:textId="77777777" w:rsidR="00DC0BA5" w:rsidRPr="00993715" w:rsidRDefault="00DC0BA5" w:rsidP="00DC0BA5">
      <w:pPr>
        <w:rPr>
          <w:lang w:eastAsia="pl-PL"/>
        </w:rPr>
      </w:pPr>
    </w:p>
    <w:p w14:paraId="6F1F344A" w14:textId="2D4C44A2" w:rsidR="0069452A" w:rsidRPr="00254AB9" w:rsidRDefault="005B060B" w:rsidP="00993715">
      <w:pPr>
        <w:pStyle w:val="Nagwek4"/>
        <w:rPr>
          <w:rFonts w:ascii="Calibri" w:hAnsi="Calibri" w:cs="Calibri"/>
          <w:b w:val="0"/>
          <w:szCs w:val="21"/>
        </w:rPr>
      </w:pPr>
      <w:r w:rsidRPr="00254AB9">
        <w:t xml:space="preserve">Wykres </w:t>
      </w:r>
      <w:r w:rsidR="001C3C76">
        <w:t>21</w:t>
      </w:r>
      <w:r w:rsidRPr="00254AB9">
        <w:fldChar w:fldCharType="begin"/>
      </w:r>
      <w:r w:rsidRPr="00254AB9">
        <w:instrText xml:space="preserve"> SEQ Rysunek \* ARABIC </w:instrText>
      </w:r>
      <w:r w:rsidRPr="00254AB9">
        <w:fldChar w:fldCharType="end"/>
      </w:r>
      <w:r w:rsidRPr="00254AB9">
        <w:t>.</w:t>
      </w:r>
      <w:r w:rsidRPr="00254AB9">
        <w:rPr>
          <w:rFonts w:eastAsia="Times New Roman"/>
          <w:lang w:eastAsia="pl-PL"/>
        </w:rPr>
        <w:t xml:space="preserve"> </w:t>
      </w:r>
      <w:r w:rsidR="00993715" w:rsidRPr="00993715">
        <w:t>Produktywność zasobów jako stosunek PKB (PPS) do Krajowej Konsumpcji Materialnej (DMC)</w:t>
      </w:r>
      <w:r w:rsidR="00993715">
        <w:rPr>
          <w:b w:val="0"/>
        </w:rPr>
        <w:t xml:space="preserve"> </w:t>
      </w:r>
    </w:p>
    <w:p w14:paraId="1E3D8F83" w14:textId="77777777" w:rsidR="005B060B" w:rsidRPr="00254AB9" w:rsidRDefault="005B060B" w:rsidP="005B060B">
      <w:pPr>
        <w:spacing w:after="0" w:line="240" w:lineRule="auto"/>
        <w:rPr>
          <w:rFonts w:eastAsia="Times New Roman" w:cs="Calibri"/>
          <w:b/>
          <w:sz w:val="21"/>
          <w:szCs w:val="21"/>
          <w:lang w:eastAsia="pl-PL"/>
        </w:rPr>
      </w:pPr>
      <w:r>
        <w:rPr>
          <w:noProof/>
          <w:lang w:eastAsia="pl-PL"/>
        </w:rPr>
        <w:drawing>
          <wp:inline distT="0" distB="0" distL="0" distR="0" wp14:anchorId="38FEEBD1" wp14:editId="26A984D9">
            <wp:extent cx="5237980" cy="2706201"/>
            <wp:effectExtent l="0" t="0" r="20320" b="18415"/>
            <wp:docPr id="232" name="Wykres 2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AB76477" w14:textId="77777777" w:rsidR="005B060B" w:rsidRPr="00254AB9" w:rsidRDefault="005B060B" w:rsidP="005B060B">
      <w:pPr>
        <w:pStyle w:val="NormalnyWeb"/>
        <w:shd w:val="clear" w:color="auto" w:fill="FFFFFF"/>
        <w:spacing w:before="0" w:beforeAutospacing="0" w:after="0" w:afterAutospacing="0"/>
        <w:rPr>
          <w:rFonts w:ascii="Calibri" w:hAnsi="Calibri" w:cs="Calibri"/>
          <w:b/>
          <w:sz w:val="21"/>
          <w:szCs w:val="21"/>
        </w:rPr>
      </w:pPr>
    </w:p>
    <w:p w14:paraId="2895F4D6" w14:textId="4D3927EF" w:rsidR="005B060B" w:rsidRPr="00254AB9" w:rsidRDefault="005B060B" w:rsidP="005B060B">
      <w:pPr>
        <w:pStyle w:val="Bezodstpw"/>
        <w:rPr>
          <w:rFonts w:eastAsia="Times New Roman"/>
          <w:lang w:eastAsia="pl-PL"/>
        </w:rPr>
      </w:pPr>
      <w:r w:rsidRPr="00254AB9">
        <w:rPr>
          <w:rFonts w:eastAsia="Times New Roman"/>
          <w:lang w:eastAsia="pl-PL"/>
        </w:rPr>
        <w:t>Źródło:</w:t>
      </w:r>
      <w:r w:rsidRPr="00254AB9">
        <w:t xml:space="preserve"> Opracowanie </w:t>
      </w:r>
      <w:r w:rsidR="003A56DA">
        <w:t>MRiT</w:t>
      </w:r>
      <w:r w:rsidRPr="00254AB9">
        <w:t xml:space="preserve"> na podstawie danych Eurostat</w:t>
      </w:r>
    </w:p>
    <w:p w14:paraId="1BDE73C9" w14:textId="0E519DE8" w:rsidR="005B060B" w:rsidRPr="00254AB9" w:rsidRDefault="005B060B" w:rsidP="003A5EA7">
      <w:pPr>
        <w:rPr>
          <w:lang w:eastAsia="pl-PL"/>
        </w:rPr>
      </w:pPr>
      <w:r w:rsidRPr="00254AB9">
        <w:rPr>
          <w:lang w:eastAsia="pl-PL"/>
        </w:rPr>
        <w:t>Dla porównań wydajności zasobów pomiędzy krajami</w:t>
      </w:r>
      <w:r w:rsidR="006343E1">
        <w:rPr>
          <w:lang w:eastAsia="pl-PL"/>
        </w:rPr>
        <w:t xml:space="preserve"> </w:t>
      </w:r>
      <w:r w:rsidR="006343E1" w:rsidRPr="00254AB9">
        <w:rPr>
          <w:lang w:eastAsia="pl-PL"/>
        </w:rPr>
        <w:t>w</w:t>
      </w:r>
      <w:r w:rsidR="006343E1">
        <w:rPr>
          <w:lang w:eastAsia="pl-PL"/>
        </w:rPr>
        <w:t> </w:t>
      </w:r>
      <w:r w:rsidRPr="00254AB9">
        <w:rPr>
          <w:lang w:eastAsia="pl-PL"/>
        </w:rPr>
        <w:t>czasie przyjęto wskaźnik wyliczony</w:t>
      </w:r>
      <w:r w:rsidR="006343E1">
        <w:rPr>
          <w:lang w:eastAsia="pl-PL"/>
        </w:rPr>
        <w:t xml:space="preserve"> </w:t>
      </w:r>
      <w:r w:rsidR="007F1720">
        <w:rPr>
          <w:lang w:eastAsia="pl-PL"/>
        </w:rPr>
        <w:t>na podstawie</w:t>
      </w:r>
      <w:r w:rsidR="006343E1">
        <w:rPr>
          <w:lang w:eastAsia="pl-PL"/>
        </w:rPr>
        <w:t> </w:t>
      </w:r>
      <w:r w:rsidRPr="00254AB9">
        <w:rPr>
          <w:lang w:eastAsia="pl-PL"/>
        </w:rPr>
        <w:t>PKB w</w:t>
      </w:r>
      <w:r w:rsidR="007F1720">
        <w:rPr>
          <w:lang w:eastAsia="pl-PL"/>
        </w:rPr>
        <w:t>edłu</w:t>
      </w:r>
      <w:r w:rsidRPr="00254AB9">
        <w:rPr>
          <w:lang w:eastAsia="pl-PL"/>
        </w:rPr>
        <w:t>g parytetu siły nabywczej (PPS). W</w:t>
      </w:r>
      <w:r w:rsidR="007F1720">
        <w:rPr>
          <w:lang w:eastAsia="pl-PL"/>
        </w:rPr>
        <w:t>edłu</w:t>
      </w:r>
      <w:r w:rsidRPr="00254AB9">
        <w:rPr>
          <w:lang w:eastAsia="pl-PL"/>
        </w:rPr>
        <w:t>g danych Eurostat wskaźnik produktywności zasobów</w:t>
      </w:r>
      <w:r w:rsidR="006343E1">
        <w:rPr>
          <w:lang w:eastAsia="pl-PL"/>
        </w:rPr>
        <w:t xml:space="preserve"> </w:t>
      </w:r>
      <w:r w:rsidR="006343E1" w:rsidRPr="00254AB9">
        <w:rPr>
          <w:lang w:eastAsia="pl-PL"/>
        </w:rPr>
        <w:t>w</w:t>
      </w:r>
      <w:r w:rsidR="006343E1">
        <w:rPr>
          <w:lang w:eastAsia="pl-PL"/>
        </w:rPr>
        <w:t> </w:t>
      </w:r>
      <w:r w:rsidRPr="00254AB9">
        <w:rPr>
          <w:lang w:eastAsia="pl-PL"/>
        </w:rPr>
        <w:t>Polsce</w:t>
      </w:r>
      <w:r w:rsidR="006343E1">
        <w:rPr>
          <w:lang w:eastAsia="pl-PL"/>
        </w:rPr>
        <w:t xml:space="preserve"> </w:t>
      </w:r>
      <w:r w:rsidR="006343E1" w:rsidRPr="00254AB9">
        <w:rPr>
          <w:lang w:eastAsia="pl-PL"/>
        </w:rPr>
        <w:t>w</w:t>
      </w:r>
      <w:r w:rsidR="006343E1">
        <w:rPr>
          <w:lang w:eastAsia="pl-PL"/>
        </w:rPr>
        <w:t> </w:t>
      </w:r>
      <w:r w:rsidRPr="00254AB9">
        <w:rPr>
          <w:lang w:eastAsia="pl-PL"/>
        </w:rPr>
        <w:t>latach 2004</w:t>
      </w:r>
      <w:r w:rsidR="007F1720">
        <w:rPr>
          <w:rFonts w:ascii="Times New Roman" w:hAnsi="Times New Roman" w:cs="Times New Roman"/>
          <w:lang w:eastAsia="pl-PL"/>
        </w:rPr>
        <w:t>–</w:t>
      </w:r>
      <w:r w:rsidRPr="00254AB9">
        <w:rPr>
          <w:lang w:eastAsia="pl-PL"/>
        </w:rPr>
        <w:t>201</w:t>
      </w:r>
      <w:r>
        <w:rPr>
          <w:lang w:eastAsia="pl-PL"/>
        </w:rPr>
        <w:t>9</w:t>
      </w:r>
      <w:r w:rsidRPr="00254AB9">
        <w:rPr>
          <w:lang w:eastAsia="pl-PL"/>
        </w:rPr>
        <w:t xml:space="preserve"> wzrósł</w:t>
      </w:r>
      <w:r w:rsidR="006343E1">
        <w:rPr>
          <w:lang w:eastAsia="pl-PL"/>
        </w:rPr>
        <w:t xml:space="preserve"> </w:t>
      </w:r>
      <w:r w:rsidR="006343E1" w:rsidRPr="00254AB9">
        <w:rPr>
          <w:lang w:eastAsia="pl-PL"/>
        </w:rPr>
        <w:t>z</w:t>
      </w:r>
      <w:r w:rsidR="006343E1">
        <w:rPr>
          <w:lang w:eastAsia="pl-PL"/>
        </w:rPr>
        <w:t> </w:t>
      </w:r>
      <w:r w:rsidRPr="00254AB9">
        <w:rPr>
          <w:lang w:eastAsia="pl-PL"/>
        </w:rPr>
        <w:t>0,7</w:t>
      </w:r>
      <w:r>
        <w:rPr>
          <w:lang w:eastAsia="pl-PL"/>
        </w:rPr>
        <w:t>7</w:t>
      </w:r>
      <w:r w:rsidRPr="00254AB9">
        <w:rPr>
          <w:lang w:eastAsia="pl-PL"/>
        </w:rPr>
        <w:t xml:space="preserve"> do 1,</w:t>
      </w:r>
      <w:r>
        <w:rPr>
          <w:lang w:eastAsia="pl-PL"/>
        </w:rPr>
        <w:t>24</w:t>
      </w:r>
      <w:r w:rsidRPr="00254AB9">
        <w:rPr>
          <w:lang w:eastAsia="pl-PL"/>
        </w:rPr>
        <w:t xml:space="preserve"> PPS/kg.</w:t>
      </w:r>
      <w:r w:rsidR="006343E1">
        <w:rPr>
          <w:lang w:eastAsia="pl-PL"/>
        </w:rPr>
        <w:t xml:space="preserve"> </w:t>
      </w:r>
      <w:r w:rsidR="006343E1" w:rsidRPr="00254AB9">
        <w:rPr>
          <w:lang w:eastAsia="pl-PL"/>
        </w:rPr>
        <w:t>Z</w:t>
      </w:r>
      <w:r w:rsidR="006343E1">
        <w:rPr>
          <w:lang w:eastAsia="pl-PL"/>
        </w:rPr>
        <w:t> </w:t>
      </w:r>
      <w:r w:rsidRPr="00254AB9">
        <w:rPr>
          <w:lang w:eastAsia="pl-PL"/>
        </w:rPr>
        <w:t xml:space="preserve">kolei średnia dla krajów UE-28 wzrosła </w:t>
      </w:r>
      <w:r w:rsidR="007F1720">
        <w:rPr>
          <w:lang w:eastAsia="pl-PL"/>
        </w:rPr>
        <w:t xml:space="preserve">w </w:t>
      </w:r>
      <w:r w:rsidRPr="00254AB9">
        <w:rPr>
          <w:lang w:eastAsia="pl-PL"/>
        </w:rPr>
        <w:t>t</w:t>
      </w:r>
      <w:r w:rsidR="007F1720">
        <w:rPr>
          <w:lang w:eastAsia="pl-PL"/>
        </w:rPr>
        <w:t>ym</w:t>
      </w:r>
      <w:r w:rsidRPr="00254AB9">
        <w:rPr>
          <w:lang w:eastAsia="pl-PL"/>
        </w:rPr>
        <w:t xml:space="preserve"> okres</w:t>
      </w:r>
      <w:r w:rsidR="007F1720">
        <w:rPr>
          <w:lang w:eastAsia="pl-PL"/>
        </w:rPr>
        <w:t>ie</w:t>
      </w:r>
      <w:r w:rsidR="006343E1">
        <w:rPr>
          <w:lang w:eastAsia="pl-PL"/>
        </w:rPr>
        <w:t xml:space="preserve"> </w:t>
      </w:r>
      <w:r w:rsidR="006343E1" w:rsidRPr="00254AB9">
        <w:rPr>
          <w:lang w:eastAsia="pl-PL"/>
        </w:rPr>
        <w:t>z</w:t>
      </w:r>
      <w:r w:rsidR="006343E1">
        <w:rPr>
          <w:lang w:eastAsia="pl-PL"/>
        </w:rPr>
        <w:t> </w:t>
      </w:r>
      <w:r w:rsidRPr="00254AB9">
        <w:rPr>
          <w:lang w:eastAsia="pl-PL"/>
        </w:rPr>
        <w:t>1,</w:t>
      </w:r>
      <w:r>
        <w:rPr>
          <w:lang w:eastAsia="pl-PL"/>
        </w:rPr>
        <w:t>37</w:t>
      </w:r>
      <w:r w:rsidRPr="00254AB9">
        <w:rPr>
          <w:lang w:eastAsia="pl-PL"/>
        </w:rPr>
        <w:t xml:space="preserve"> do 2,</w:t>
      </w:r>
      <w:r>
        <w:rPr>
          <w:lang w:eastAsia="pl-PL"/>
        </w:rPr>
        <w:t>34</w:t>
      </w:r>
      <w:r w:rsidRPr="00254AB9">
        <w:rPr>
          <w:lang w:eastAsia="pl-PL"/>
        </w:rPr>
        <w:t>. Oznacza to</w:t>
      </w:r>
      <w:r w:rsidR="00477C54">
        <w:rPr>
          <w:lang w:eastAsia="pl-PL"/>
        </w:rPr>
        <w:t>, że </w:t>
      </w:r>
      <w:r w:rsidRPr="00254AB9">
        <w:rPr>
          <w:lang w:eastAsia="pl-PL"/>
        </w:rPr>
        <w:t>Polska nie osiągnęła jeszcze średniej wydajności U</w:t>
      </w:r>
      <w:r w:rsidR="007F1720">
        <w:rPr>
          <w:lang w:eastAsia="pl-PL"/>
        </w:rPr>
        <w:t xml:space="preserve">nii </w:t>
      </w:r>
      <w:r w:rsidRPr="00254AB9">
        <w:rPr>
          <w:lang w:eastAsia="pl-PL"/>
        </w:rPr>
        <w:t>E</w:t>
      </w:r>
      <w:r w:rsidR="007F1720">
        <w:rPr>
          <w:lang w:eastAsia="pl-PL"/>
        </w:rPr>
        <w:t>uropejskiej</w:t>
      </w:r>
      <w:r w:rsidR="006343E1">
        <w:rPr>
          <w:lang w:eastAsia="pl-PL"/>
        </w:rPr>
        <w:t xml:space="preserve"> </w:t>
      </w:r>
      <w:r w:rsidR="006343E1" w:rsidRPr="00254AB9">
        <w:rPr>
          <w:lang w:eastAsia="pl-PL"/>
        </w:rPr>
        <w:t>z</w:t>
      </w:r>
      <w:r w:rsidR="006343E1">
        <w:rPr>
          <w:lang w:eastAsia="pl-PL"/>
        </w:rPr>
        <w:t> </w:t>
      </w:r>
      <w:r w:rsidRPr="00254AB9">
        <w:rPr>
          <w:lang w:eastAsia="pl-PL"/>
        </w:rPr>
        <w:t xml:space="preserve">2004 r. Pod tym względem wyprzedzamy zaledwie </w:t>
      </w:r>
      <w:r>
        <w:rPr>
          <w:lang w:eastAsia="pl-PL"/>
        </w:rPr>
        <w:t>4</w:t>
      </w:r>
      <w:r w:rsidRPr="00254AB9">
        <w:rPr>
          <w:lang w:eastAsia="pl-PL"/>
        </w:rPr>
        <w:t xml:space="preserve"> kraj</w:t>
      </w:r>
      <w:r>
        <w:rPr>
          <w:lang w:eastAsia="pl-PL"/>
        </w:rPr>
        <w:t>e</w:t>
      </w:r>
      <w:r w:rsidRPr="00254AB9">
        <w:rPr>
          <w:lang w:eastAsia="pl-PL"/>
        </w:rPr>
        <w:t xml:space="preserve"> U</w:t>
      </w:r>
      <w:r w:rsidR="007F1720">
        <w:rPr>
          <w:lang w:eastAsia="pl-PL"/>
        </w:rPr>
        <w:t xml:space="preserve">nii </w:t>
      </w:r>
      <w:r w:rsidRPr="00254AB9">
        <w:rPr>
          <w:lang w:eastAsia="pl-PL"/>
        </w:rPr>
        <w:t>E</w:t>
      </w:r>
      <w:r w:rsidR="007F1720">
        <w:rPr>
          <w:lang w:eastAsia="pl-PL"/>
        </w:rPr>
        <w:t>uropejskiej</w:t>
      </w:r>
      <w:r w:rsidRPr="00254AB9">
        <w:rPr>
          <w:lang w:eastAsia="pl-PL"/>
        </w:rPr>
        <w:t>: Finlandię (</w:t>
      </w:r>
      <w:r>
        <w:rPr>
          <w:lang w:eastAsia="pl-PL"/>
        </w:rPr>
        <w:t>1,06</w:t>
      </w:r>
      <w:r w:rsidRPr="00254AB9">
        <w:rPr>
          <w:lang w:eastAsia="pl-PL"/>
        </w:rPr>
        <w:t>), Bułgarię (0,</w:t>
      </w:r>
      <w:r>
        <w:rPr>
          <w:lang w:eastAsia="pl-PL"/>
        </w:rPr>
        <w:t>79</w:t>
      </w:r>
      <w:r w:rsidRPr="00254AB9">
        <w:rPr>
          <w:lang w:eastAsia="pl-PL"/>
        </w:rPr>
        <w:t>), Rumunię (0,</w:t>
      </w:r>
      <w:r>
        <w:rPr>
          <w:lang w:eastAsia="pl-PL"/>
        </w:rPr>
        <w:t>88</w:t>
      </w:r>
      <w:r w:rsidRPr="00254AB9">
        <w:rPr>
          <w:lang w:eastAsia="pl-PL"/>
        </w:rPr>
        <w:t>)</w:t>
      </w:r>
      <w:r w:rsidR="006343E1">
        <w:rPr>
          <w:lang w:eastAsia="pl-PL"/>
        </w:rPr>
        <w:t xml:space="preserve"> </w:t>
      </w:r>
      <w:r w:rsidR="006343E1" w:rsidRPr="00254AB9">
        <w:rPr>
          <w:lang w:eastAsia="pl-PL"/>
        </w:rPr>
        <w:t>i</w:t>
      </w:r>
      <w:r w:rsidR="006343E1">
        <w:rPr>
          <w:lang w:eastAsia="pl-PL"/>
        </w:rPr>
        <w:t> </w:t>
      </w:r>
      <w:r w:rsidRPr="00254AB9">
        <w:rPr>
          <w:lang w:eastAsia="pl-PL"/>
        </w:rPr>
        <w:t>Estonię (0,</w:t>
      </w:r>
      <w:r>
        <w:rPr>
          <w:lang w:eastAsia="pl-PL"/>
        </w:rPr>
        <w:t>86</w:t>
      </w:r>
      <w:r w:rsidRPr="00254AB9">
        <w:rPr>
          <w:lang w:eastAsia="pl-PL"/>
        </w:rPr>
        <w:t>),</w:t>
      </w:r>
      <w:r w:rsidR="006343E1">
        <w:rPr>
          <w:lang w:eastAsia="pl-PL"/>
        </w:rPr>
        <w:t xml:space="preserve"> </w:t>
      </w:r>
      <w:r w:rsidR="006343E1" w:rsidRPr="00254AB9">
        <w:rPr>
          <w:lang w:eastAsia="pl-PL"/>
        </w:rPr>
        <w:t>a</w:t>
      </w:r>
      <w:r w:rsidR="006343E1">
        <w:rPr>
          <w:lang w:eastAsia="pl-PL"/>
        </w:rPr>
        <w:t> </w:t>
      </w:r>
      <w:r w:rsidRPr="00254AB9">
        <w:rPr>
          <w:lang w:eastAsia="pl-PL"/>
        </w:rPr>
        <w:t>nasza wydajność zasobowa</w:t>
      </w:r>
      <w:r w:rsidR="006343E1">
        <w:rPr>
          <w:lang w:eastAsia="pl-PL"/>
        </w:rPr>
        <w:t xml:space="preserve"> </w:t>
      </w:r>
      <w:r w:rsidR="006343E1" w:rsidRPr="00254AB9">
        <w:rPr>
          <w:lang w:eastAsia="pl-PL"/>
        </w:rPr>
        <w:t>w</w:t>
      </w:r>
      <w:r w:rsidR="006343E1">
        <w:rPr>
          <w:lang w:eastAsia="pl-PL"/>
        </w:rPr>
        <w:t> </w:t>
      </w:r>
      <w:r w:rsidRPr="00254AB9">
        <w:rPr>
          <w:lang w:eastAsia="pl-PL"/>
        </w:rPr>
        <w:t>201</w:t>
      </w:r>
      <w:r>
        <w:rPr>
          <w:lang w:eastAsia="pl-PL"/>
        </w:rPr>
        <w:t>9</w:t>
      </w:r>
      <w:r w:rsidRPr="00254AB9">
        <w:rPr>
          <w:lang w:eastAsia="pl-PL"/>
        </w:rPr>
        <w:t xml:space="preserve"> r. stanowi zaledwie </w:t>
      </w:r>
      <w:r>
        <w:rPr>
          <w:lang w:eastAsia="pl-PL"/>
        </w:rPr>
        <w:t>29,5</w:t>
      </w:r>
      <w:r w:rsidRPr="00254AB9">
        <w:rPr>
          <w:lang w:eastAsia="pl-PL"/>
        </w:rPr>
        <w:t xml:space="preserve">% wydajności </w:t>
      </w:r>
      <w:r>
        <w:rPr>
          <w:lang w:eastAsia="pl-PL"/>
        </w:rPr>
        <w:t>Holandii</w:t>
      </w:r>
      <w:r w:rsidRPr="00254AB9">
        <w:rPr>
          <w:lang w:eastAsia="pl-PL"/>
        </w:rPr>
        <w:t xml:space="preserve"> </w:t>
      </w:r>
      <w:r w:rsidR="00477C54">
        <w:rPr>
          <w:lang w:eastAsia="pl-PL"/>
        </w:rPr>
        <w:t>–</w:t>
      </w:r>
      <w:r w:rsidRPr="00254AB9">
        <w:rPr>
          <w:lang w:eastAsia="pl-PL"/>
        </w:rPr>
        <w:t xml:space="preserve"> kraju</w:t>
      </w:r>
      <w:r w:rsidR="006343E1">
        <w:rPr>
          <w:lang w:eastAsia="pl-PL"/>
        </w:rPr>
        <w:t xml:space="preserve"> </w:t>
      </w:r>
      <w:r w:rsidR="006343E1" w:rsidRPr="00254AB9">
        <w:rPr>
          <w:lang w:eastAsia="pl-PL"/>
        </w:rPr>
        <w:t>o</w:t>
      </w:r>
      <w:r w:rsidR="006343E1">
        <w:rPr>
          <w:lang w:eastAsia="pl-PL"/>
        </w:rPr>
        <w:t> </w:t>
      </w:r>
      <w:r w:rsidRPr="00254AB9">
        <w:rPr>
          <w:lang w:eastAsia="pl-PL"/>
        </w:rPr>
        <w:t>najwyższej wydajności</w:t>
      </w:r>
      <w:r w:rsidR="006343E1">
        <w:rPr>
          <w:lang w:eastAsia="pl-PL"/>
        </w:rPr>
        <w:t xml:space="preserve"> </w:t>
      </w:r>
      <w:r w:rsidR="006343E1" w:rsidRPr="00254AB9">
        <w:rPr>
          <w:lang w:eastAsia="pl-PL"/>
        </w:rPr>
        <w:t>w</w:t>
      </w:r>
      <w:r w:rsidR="006343E1">
        <w:rPr>
          <w:lang w:eastAsia="pl-PL"/>
        </w:rPr>
        <w:t> </w:t>
      </w:r>
      <w:r w:rsidRPr="00254AB9">
        <w:rPr>
          <w:lang w:eastAsia="pl-PL"/>
        </w:rPr>
        <w:t>U</w:t>
      </w:r>
      <w:r w:rsidR="007F1720">
        <w:rPr>
          <w:lang w:eastAsia="pl-PL"/>
        </w:rPr>
        <w:t xml:space="preserve">nii </w:t>
      </w:r>
      <w:r w:rsidRPr="00254AB9">
        <w:rPr>
          <w:lang w:eastAsia="pl-PL"/>
        </w:rPr>
        <w:t>E</w:t>
      </w:r>
      <w:r w:rsidR="007F1720">
        <w:rPr>
          <w:lang w:eastAsia="pl-PL"/>
        </w:rPr>
        <w:t>uropejskiej</w:t>
      </w:r>
      <w:r w:rsidRPr="00254AB9">
        <w:rPr>
          <w:lang w:eastAsia="pl-PL"/>
        </w:rPr>
        <w:t xml:space="preserve"> (</w:t>
      </w:r>
      <w:r>
        <w:rPr>
          <w:lang w:eastAsia="pl-PL"/>
        </w:rPr>
        <w:t>4,21</w:t>
      </w:r>
      <w:r w:rsidRPr="00254AB9">
        <w:rPr>
          <w:lang w:eastAsia="pl-PL"/>
        </w:rPr>
        <w:t xml:space="preserve">). Obok </w:t>
      </w:r>
      <w:r>
        <w:rPr>
          <w:lang w:eastAsia="pl-PL"/>
        </w:rPr>
        <w:t>Holandii</w:t>
      </w:r>
      <w:r w:rsidRPr="00254AB9">
        <w:rPr>
          <w:lang w:eastAsia="pl-PL"/>
        </w:rPr>
        <w:t xml:space="preserve"> najwyższa produktywność zasobów notowana jest</w:t>
      </w:r>
      <w:r w:rsidR="006343E1">
        <w:rPr>
          <w:lang w:eastAsia="pl-PL"/>
        </w:rPr>
        <w:t xml:space="preserve"> </w:t>
      </w:r>
      <w:r w:rsidR="006343E1" w:rsidRPr="00254AB9">
        <w:rPr>
          <w:lang w:eastAsia="pl-PL"/>
        </w:rPr>
        <w:t>w</w:t>
      </w:r>
      <w:r w:rsidR="006343E1">
        <w:rPr>
          <w:lang w:eastAsia="pl-PL"/>
        </w:rPr>
        <w:t> </w:t>
      </w:r>
      <w:r>
        <w:rPr>
          <w:lang w:eastAsia="pl-PL"/>
        </w:rPr>
        <w:t>Wielkiej Brytanii</w:t>
      </w:r>
      <w:r w:rsidRPr="00254AB9">
        <w:rPr>
          <w:lang w:eastAsia="pl-PL"/>
        </w:rPr>
        <w:t xml:space="preserve"> (3,</w:t>
      </w:r>
      <w:r>
        <w:rPr>
          <w:lang w:eastAsia="pl-PL"/>
        </w:rPr>
        <w:t>89</w:t>
      </w:r>
      <w:r w:rsidRPr="00254AB9">
        <w:rPr>
          <w:lang w:eastAsia="pl-PL"/>
        </w:rPr>
        <w:t>)</w:t>
      </w:r>
      <w:r>
        <w:rPr>
          <w:lang w:eastAsia="pl-PL"/>
        </w:rPr>
        <w:t>, Luksemburgu</w:t>
      </w:r>
      <w:r w:rsidRPr="00254AB9">
        <w:rPr>
          <w:lang w:eastAsia="pl-PL"/>
        </w:rPr>
        <w:t xml:space="preserve"> </w:t>
      </w:r>
      <w:r>
        <w:rPr>
          <w:lang w:eastAsia="pl-PL"/>
        </w:rPr>
        <w:t xml:space="preserve">(3,76) </w:t>
      </w:r>
      <w:r w:rsidRPr="00254AB9">
        <w:rPr>
          <w:lang w:eastAsia="pl-PL"/>
        </w:rPr>
        <w:t>oraz</w:t>
      </w:r>
      <w:r>
        <w:rPr>
          <w:lang w:eastAsia="pl-PL"/>
        </w:rPr>
        <w:t xml:space="preserve"> we Włoszech </w:t>
      </w:r>
      <w:r w:rsidR="007F1720">
        <w:rPr>
          <w:lang w:eastAsia="pl-PL"/>
        </w:rPr>
        <w:t>(</w:t>
      </w:r>
      <w:r>
        <w:rPr>
          <w:lang w:eastAsia="pl-PL"/>
        </w:rPr>
        <w:t>3,64</w:t>
      </w:r>
      <w:r w:rsidR="007F1720">
        <w:rPr>
          <w:lang w:eastAsia="pl-PL"/>
        </w:rPr>
        <w:t>)</w:t>
      </w:r>
      <w:r w:rsidRPr="00254AB9">
        <w:rPr>
          <w:lang w:eastAsia="pl-PL"/>
        </w:rPr>
        <w:t xml:space="preserve">. </w:t>
      </w:r>
    </w:p>
    <w:p w14:paraId="400CA8C8" w14:textId="5C779D52" w:rsidR="005B060B" w:rsidRPr="00254AB9" w:rsidRDefault="005B060B" w:rsidP="003A5EA7">
      <w:r w:rsidRPr="00254AB9">
        <w:rPr>
          <w:rFonts w:eastAsia="Times New Roman"/>
          <w:lang w:eastAsia="pl-PL"/>
        </w:rPr>
        <w:t xml:space="preserve">Z </w:t>
      </w:r>
      <w:r w:rsidR="000779D4" w:rsidRPr="00254AB9">
        <w:rPr>
          <w:rFonts w:eastAsia="Times New Roman"/>
          <w:lang w:eastAsia="pl-PL"/>
        </w:rPr>
        <w:t>tych</w:t>
      </w:r>
      <w:r w:rsidRPr="00254AB9">
        <w:rPr>
          <w:rFonts w:eastAsia="Times New Roman"/>
          <w:lang w:eastAsia="pl-PL"/>
        </w:rPr>
        <w:t xml:space="preserve"> danych wynika</w:t>
      </w:r>
      <w:r w:rsidR="00477C54">
        <w:rPr>
          <w:rFonts w:eastAsia="Times New Roman"/>
          <w:lang w:eastAsia="pl-PL"/>
        </w:rPr>
        <w:t>, że </w:t>
      </w:r>
      <w:r w:rsidRPr="00254AB9">
        <w:rPr>
          <w:rFonts w:eastAsia="Times New Roman"/>
          <w:lang w:eastAsia="pl-PL"/>
        </w:rPr>
        <w:t>Polska wypada szczególnie niekorzystnie na tle liderów unijnych</w:t>
      </w:r>
      <w:r w:rsidR="00477C54">
        <w:rPr>
          <w:rFonts w:eastAsia="Times New Roman"/>
          <w:lang w:eastAsia="pl-PL"/>
        </w:rPr>
        <w:t>. Od </w:t>
      </w:r>
      <w:r w:rsidRPr="00254AB9">
        <w:t>2011 r. można zaobserwować wzrost produktywności zaso</w:t>
      </w:r>
      <w:r w:rsidR="008B54D2">
        <w:t>bów</w:t>
      </w:r>
      <w:r w:rsidR="000779D4">
        <w:t>,</w:t>
      </w:r>
      <w:r w:rsidR="008B54D2">
        <w:t xml:space="preserve"> </w:t>
      </w:r>
      <w:r>
        <w:t>chociaż trend zmienił się</w:t>
      </w:r>
      <w:r w:rsidR="006343E1">
        <w:t xml:space="preserve"> w </w:t>
      </w:r>
      <w:r>
        <w:t>2015 r.</w:t>
      </w:r>
      <w:r w:rsidR="000779D4">
        <w:t>,</w:t>
      </w:r>
      <w:r>
        <w:t xml:space="preserve"> od kiedy odnotowaliśmy dwa spadki</w:t>
      </w:r>
      <w:r w:rsidR="006343E1">
        <w:t xml:space="preserve"> z </w:t>
      </w:r>
      <w:r>
        <w:t>rzędu</w:t>
      </w:r>
      <w:r w:rsidRPr="00254AB9">
        <w:t xml:space="preserve"> oraz </w:t>
      </w:r>
      <w:r w:rsidRPr="00254AB9">
        <w:rPr>
          <w:i/>
        </w:rPr>
        <w:t>resource decoupling</w:t>
      </w:r>
      <w:r w:rsidRPr="00254AB9">
        <w:t xml:space="preserve">, tj. następuje wzrost PKB przy jednoczesnym spadku krajowej konsumpcji </w:t>
      </w:r>
      <w:r w:rsidR="008B54D2">
        <w:t>materialnej</w:t>
      </w:r>
      <w:r w:rsidRPr="00254AB9">
        <w:t xml:space="preserve"> (</w:t>
      </w:r>
      <w:r w:rsidRPr="00254AB9">
        <w:rPr>
          <w:i/>
        </w:rPr>
        <w:t>DMC – domestic material consumption</w:t>
      </w:r>
      <w:r w:rsidRPr="00254AB9">
        <w:t>). Ze względu na wysoki udział przemysłu</w:t>
      </w:r>
      <w:r w:rsidR="006343E1">
        <w:t xml:space="preserve"> </w:t>
      </w:r>
      <w:r w:rsidR="006343E1" w:rsidRPr="00254AB9">
        <w:t>w</w:t>
      </w:r>
      <w:r w:rsidR="006343E1">
        <w:t> </w:t>
      </w:r>
      <w:r w:rsidRPr="00254AB9">
        <w:t>PKB produktywność zasob</w:t>
      </w:r>
      <w:r w:rsidR="008B54D2">
        <w:t xml:space="preserve">ów </w:t>
      </w:r>
      <w:r w:rsidRPr="00254AB9">
        <w:t>mierzona jako iloraz PKB</w:t>
      </w:r>
      <w:r w:rsidR="006343E1">
        <w:t xml:space="preserve"> </w:t>
      </w:r>
      <w:r w:rsidR="006343E1" w:rsidRPr="00254AB9">
        <w:t>i</w:t>
      </w:r>
      <w:r w:rsidR="006343E1">
        <w:t> </w:t>
      </w:r>
      <w:r w:rsidRPr="00254AB9">
        <w:t xml:space="preserve">krajowej konsumpcji </w:t>
      </w:r>
      <w:r w:rsidR="008B54D2">
        <w:t>materialnej</w:t>
      </w:r>
      <w:r w:rsidRPr="00254AB9">
        <w:t xml:space="preserve"> (DMC) jest jednak wciąż relatywnie niższa</w:t>
      </w:r>
      <w:r w:rsidR="006343E1">
        <w:t xml:space="preserve"> </w:t>
      </w:r>
      <w:r w:rsidR="006343E1" w:rsidRPr="00254AB9">
        <w:t>w</w:t>
      </w:r>
      <w:r w:rsidR="006343E1">
        <w:t> </w:t>
      </w:r>
      <w:r w:rsidRPr="00254AB9">
        <w:t>porównaniu do państw</w:t>
      </w:r>
      <w:r w:rsidR="006343E1">
        <w:t xml:space="preserve"> </w:t>
      </w:r>
      <w:r w:rsidR="006343E1" w:rsidRPr="00254AB9">
        <w:t>z</w:t>
      </w:r>
      <w:r w:rsidR="006343E1">
        <w:t> </w:t>
      </w:r>
      <w:r w:rsidRPr="00254AB9">
        <w:t>niższym udziałem przemysłu</w:t>
      </w:r>
      <w:r w:rsidR="006343E1">
        <w:t xml:space="preserve"> </w:t>
      </w:r>
      <w:r w:rsidR="006343E1" w:rsidRPr="00254AB9">
        <w:t>w</w:t>
      </w:r>
      <w:r w:rsidR="006343E1">
        <w:t> </w:t>
      </w:r>
      <w:r w:rsidRPr="00254AB9">
        <w:t xml:space="preserve">PKB. </w:t>
      </w:r>
    </w:p>
    <w:p w14:paraId="40B3D46D" w14:textId="569945C5" w:rsidR="005B060B" w:rsidRDefault="005B060B" w:rsidP="003A5EA7">
      <w:pPr>
        <w:rPr>
          <w:lang w:eastAsia="pl-PL"/>
        </w:rPr>
      </w:pPr>
      <w:r w:rsidRPr="00B356F7">
        <w:t>Przy</w:t>
      </w:r>
      <w:r>
        <w:t>k</w:t>
      </w:r>
      <w:r w:rsidRPr="00B356F7">
        <w:t xml:space="preserve">ładem poprawy efektywności wykorzystania zasobu jest </w:t>
      </w:r>
      <w:r>
        <w:t>zużycie wody</w:t>
      </w:r>
      <w:r w:rsidR="006343E1">
        <w:t xml:space="preserve"> w </w:t>
      </w:r>
      <w:r>
        <w:t>przemyśle</w:t>
      </w:r>
      <w:r w:rsidRPr="00B356F7">
        <w:t>.</w:t>
      </w:r>
      <w:r w:rsidR="006343E1">
        <w:t xml:space="preserve"> </w:t>
      </w:r>
      <w:r w:rsidR="006343E1" w:rsidRPr="00B356F7">
        <w:t>W</w:t>
      </w:r>
      <w:r w:rsidR="006343E1">
        <w:t> </w:t>
      </w:r>
      <w:r w:rsidRPr="00B356F7">
        <w:t xml:space="preserve">Polsce </w:t>
      </w:r>
      <w:r w:rsidR="000779D4" w:rsidRPr="00636AD2">
        <w:t>ten</w:t>
      </w:r>
      <w:r w:rsidRPr="00B356F7">
        <w:t xml:space="preserve"> wskaźnik</w:t>
      </w:r>
      <w:r w:rsidRPr="00636AD2">
        <w:t xml:space="preserve"> spada systematycznie przy jednoczesnym wzroście wartości produkcji sprzedanej przemysłu. Należy podkreślić</w:t>
      </w:r>
      <w:r w:rsidR="00477C54">
        <w:t>, że</w:t>
      </w:r>
      <w:r w:rsidR="00993715">
        <w:t xml:space="preserve"> </w:t>
      </w:r>
      <w:r w:rsidRPr="00636AD2">
        <w:t>to przemysł ma n</w:t>
      </w:r>
      <w:r w:rsidRPr="00636AD2">
        <w:rPr>
          <w:lang w:eastAsia="pl-PL"/>
        </w:rPr>
        <w:t>ajwiększy udział</w:t>
      </w:r>
      <w:r w:rsidR="006343E1">
        <w:rPr>
          <w:lang w:eastAsia="pl-PL"/>
        </w:rPr>
        <w:t xml:space="preserve"> </w:t>
      </w:r>
      <w:r w:rsidR="006343E1" w:rsidRPr="00636AD2">
        <w:rPr>
          <w:lang w:eastAsia="pl-PL"/>
        </w:rPr>
        <w:t>w</w:t>
      </w:r>
      <w:r w:rsidR="006343E1">
        <w:rPr>
          <w:lang w:eastAsia="pl-PL"/>
        </w:rPr>
        <w:t> </w:t>
      </w:r>
      <w:r w:rsidRPr="00636AD2">
        <w:rPr>
          <w:bCs/>
          <w:lang w:eastAsia="pl-PL"/>
        </w:rPr>
        <w:t xml:space="preserve">zużyciu wody </w:t>
      </w:r>
      <w:r w:rsidRPr="00636AD2">
        <w:rPr>
          <w:lang w:eastAsia="pl-PL"/>
        </w:rPr>
        <w:t>na potrzeby gospodarki narodowej</w:t>
      </w:r>
      <w:r w:rsidR="006343E1">
        <w:rPr>
          <w:lang w:eastAsia="pl-PL"/>
        </w:rPr>
        <w:t xml:space="preserve"> </w:t>
      </w:r>
      <w:r w:rsidR="006343E1" w:rsidRPr="00636AD2">
        <w:rPr>
          <w:lang w:eastAsia="pl-PL"/>
        </w:rPr>
        <w:t>i</w:t>
      </w:r>
      <w:r w:rsidR="006343E1">
        <w:rPr>
          <w:lang w:eastAsia="pl-PL"/>
        </w:rPr>
        <w:t> </w:t>
      </w:r>
      <w:r w:rsidRPr="00636AD2">
        <w:rPr>
          <w:lang w:eastAsia="pl-PL"/>
        </w:rPr>
        <w:t>ludności</w:t>
      </w:r>
      <w:r w:rsidRPr="00254AB9">
        <w:rPr>
          <w:lang w:eastAsia="pl-PL"/>
        </w:rPr>
        <w:t>.</w:t>
      </w:r>
    </w:p>
    <w:p w14:paraId="4DE93649" w14:textId="13209701" w:rsidR="005B060B" w:rsidRDefault="005B060B" w:rsidP="003A5EA7">
      <w:pPr>
        <w:pStyle w:val="Nagwek4"/>
      </w:pPr>
      <w:r>
        <w:lastRenderedPageBreak/>
        <w:t>W</w:t>
      </w:r>
      <w:r w:rsidRPr="00B356F7">
        <w:t xml:space="preserve">ykres </w:t>
      </w:r>
      <w:r w:rsidR="003B19BC">
        <w:t>2</w:t>
      </w:r>
      <w:r w:rsidR="001C3C76">
        <w:t>2</w:t>
      </w:r>
      <w:r w:rsidR="000779D4">
        <w:t>.</w:t>
      </w:r>
      <w:r w:rsidRPr="00B356F7">
        <w:t xml:space="preserve">  </w:t>
      </w:r>
      <w:r>
        <w:t>Zużycie wody na potrzeby przemysłu [dam</w:t>
      </w:r>
      <w:r w:rsidRPr="00E07D2D">
        <w:rPr>
          <w:vertAlign w:val="superscript"/>
        </w:rPr>
        <w:t>3</w:t>
      </w:r>
      <w:r>
        <w:t>]</w:t>
      </w:r>
    </w:p>
    <w:p w14:paraId="06D45C73" w14:textId="77777777" w:rsidR="005B060B" w:rsidRDefault="005B060B" w:rsidP="005B060B">
      <w:pPr>
        <w:rPr>
          <w:rFonts w:cs="Calibri"/>
          <w:b/>
          <w:sz w:val="21"/>
          <w:szCs w:val="21"/>
        </w:rPr>
      </w:pPr>
      <w:r>
        <w:rPr>
          <w:noProof/>
          <w:lang w:eastAsia="pl-PL"/>
        </w:rPr>
        <w:drawing>
          <wp:inline distT="0" distB="0" distL="0" distR="0" wp14:anchorId="16E5516A" wp14:editId="7670FE8F">
            <wp:extent cx="4572000" cy="1823514"/>
            <wp:effectExtent l="0" t="0" r="19050" b="24765"/>
            <wp:docPr id="230" name="Wykres 2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BEB57A9" w14:textId="2241C65A" w:rsidR="005B060B" w:rsidRPr="00254AB9" w:rsidRDefault="005B060B" w:rsidP="005B060B">
      <w:pPr>
        <w:pStyle w:val="Bezodstpw"/>
      </w:pPr>
      <w:r w:rsidRPr="00254AB9">
        <w:t xml:space="preserve">Źródło: Opracowanie </w:t>
      </w:r>
      <w:r w:rsidR="003A56DA">
        <w:t>MRiT</w:t>
      </w:r>
      <w:r w:rsidRPr="00254AB9">
        <w:t xml:space="preserve"> na podstawie danych </w:t>
      </w:r>
      <w:r>
        <w:t>GUS</w:t>
      </w:r>
    </w:p>
    <w:p w14:paraId="2E8EA47F" w14:textId="28E7FC08" w:rsidR="005B060B" w:rsidRDefault="005B060B" w:rsidP="003A5EA7">
      <w:r>
        <w:t>Autorska metodologia pomiaru efektywności wykorzystania zasobów została opracowana przez  University of Cambridge we współpracy</w:t>
      </w:r>
      <w:r w:rsidR="006343E1">
        <w:t xml:space="preserve"> z </w:t>
      </w:r>
      <w:r>
        <w:t>Emerson (2018)</w:t>
      </w:r>
      <w:r w:rsidR="006343E1">
        <w:t xml:space="preserve"> w </w:t>
      </w:r>
      <w:r>
        <w:t xml:space="preserve">postaci tzw. </w:t>
      </w:r>
      <w:r w:rsidRPr="00BB3247">
        <w:t>połączon</w:t>
      </w:r>
      <w:r>
        <w:t>ej</w:t>
      </w:r>
      <w:r w:rsidRPr="00BB3247">
        <w:t xml:space="preserve"> wydajnoś</w:t>
      </w:r>
      <w:r>
        <w:t>ci</w:t>
      </w:r>
      <w:r w:rsidRPr="00BB3247">
        <w:t xml:space="preserve"> energetyczn</w:t>
      </w:r>
      <w:r>
        <w:t>ej</w:t>
      </w:r>
      <w:r w:rsidR="006343E1">
        <w:t xml:space="preserve"> </w:t>
      </w:r>
      <w:r w:rsidR="006343E1" w:rsidRPr="00BB3247">
        <w:t>i</w:t>
      </w:r>
      <w:r w:rsidR="006343E1">
        <w:t> </w:t>
      </w:r>
      <w:r w:rsidRPr="00BB3247">
        <w:t>materiałow</w:t>
      </w:r>
      <w:r>
        <w:t>ej. R</w:t>
      </w:r>
      <w:r w:rsidRPr="00831A01">
        <w:t>aport</w:t>
      </w:r>
      <w:r>
        <w:t xml:space="preserve"> przygotowany dla Polski </w:t>
      </w:r>
      <w:r w:rsidRPr="00831A01">
        <w:t>przedstawia wizualne mapy przepływu energii</w:t>
      </w:r>
      <w:r w:rsidR="006343E1">
        <w:t xml:space="preserve"> </w:t>
      </w:r>
      <w:r w:rsidR="006343E1" w:rsidRPr="00831A01">
        <w:t>i</w:t>
      </w:r>
      <w:r w:rsidR="006343E1">
        <w:t> </w:t>
      </w:r>
      <w:r w:rsidRPr="00831A01">
        <w:t>przepływów materiałowych</w:t>
      </w:r>
      <w:r>
        <w:t>.</w:t>
      </w:r>
      <w:r w:rsidRPr="00831A01">
        <w:t xml:space="preserve"> </w:t>
      </w:r>
    </w:p>
    <w:p w14:paraId="31495529" w14:textId="610E1D6C" w:rsidR="005B060B" w:rsidRPr="004B2345" w:rsidRDefault="005B060B" w:rsidP="003A5EA7">
      <w:r w:rsidRPr="004B2345">
        <w:t xml:space="preserve">W </w:t>
      </w:r>
      <w:r>
        <w:t xml:space="preserve">przeprowadzonym </w:t>
      </w:r>
      <w:r w:rsidRPr="004B2345">
        <w:t>badaniu przepływy energii</w:t>
      </w:r>
      <w:r w:rsidR="006343E1">
        <w:t xml:space="preserve"> </w:t>
      </w:r>
      <w:r w:rsidR="006343E1" w:rsidRPr="004B2345">
        <w:t>i</w:t>
      </w:r>
      <w:r w:rsidR="006343E1">
        <w:t> </w:t>
      </w:r>
      <w:r w:rsidRPr="004B2345">
        <w:t xml:space="preserve">materiałów </w:t>
      </w:r>
      <w:r>
        <w:t>były</w:t>
      </w:r>
      <w:r w:rsidRPr="004B2345">
        <w:t xml:space="preserve"> konwertowane na jednostki egzergii</w:t>
      </w:r>
      <w:r>
        <w:rPr>
          <w:rStyle w:val="Odwoanieprzypisudolnego"/>
          <w:sz w:val="21"/>
          <w:szCs w:val="21"/>
        </w:rPr>
        <w:footnoteReference w:id="16"/>
      </w:r>
      <w:r w:rsidRPr="004B2345">
        <w:t>,</w:t>
      </w:r>
      <w:r w:rsidR="006343E1">
        <w:t xml:space="preserve"> </w:t>
      </w:r>
      <w:r w:rsidR="006343E1" w:rsidRPr="004B2345">
        <w:t>a</w:t>
      </w:r>
      <w:r w:rsidR="006343E1">
        <w:t> </w:t>
      </w:r>
      <w:r w:rsidRPr="004B2345">
        <w:t>następnie wizualizowane</w:t>
      </w:r>
      <w:r w:rsidR="006343E1">
        <w:t xml:space="preserve"> </w:t>
      </w:r>
      <w:r w:rsidR="006343E1" w:rsidRPr="004B2345">
        <w:t>w</w:t>
      </w:r>
      <w:r w:rsidR="006343E1">
        <w:t> </w:t>
      </w:r>
      <w:r w:rsidRPr="004B2345">
        <w:t xml:space="preserve">formie diagramów </w:t>
      </w:r>
      <w:proofErr w:type="spellStart"/>
      <w:r w:rsidRPr="004B2345">
        <w:t>Sankeya</w:t>
      </w:r>
      <w:proofErr w:type="spellEnd"/>
      <w:r>
        <w:t xml:space="preserve">, </w:t>
      </w:r>
      <w:r w:rsidRPr="004B2345">
        <w:t>gdzie</w:t>
      </w:r>
      <w:r>
        <w:t xml:space="preserve"> p</w:t>
      </w:r>
      <w:r w:rsidRPr="004B2345">
        <w:t>rzepływy materiałów</w:t>
      </w:r>
      <w:r w:rsidR="006343E1">
        <w:t xml:space="preserve"> </w:t>
      </w:r>
      <w:r w:rsidR="006343E1" w:rsidRPr="004B2345">
        <w:t>i</w:t>
      </w:r>
      <w:r w:rsidR="006343E1">
        <w:t> </w:t>
      </w:r>
      <w:r w:rsidRPr="004B2345">
        <w:t xml:space="preserve">energii są </w:t>
      </w:r>
      <w:r>
        <w:t>rejestrowane</w:t>
      </w:r>
      <w:r w:rsidRPr="004B2345">
        <w:t xml:space="preserve"> przez serię etapów transformacji</w:t>
      </w:r>
      <w:r w:rsidR="006343E1">
        <w:t xml:space="preserve"> </w:t>
      </w:r>
      <w:r w:rsidR="006343E1" w:rsidRPr="004B2345">
        <w:t>w</w:t>
      </w:r>
      <w:r w:rsidR="006343E1">
        <w:t> </w:t>
      </w:r>
      <w:r w:rsidRPr="004B2345">
        <w:t>łańcuch</w:t>
      </w:r>
      <w:r>
        <w:t>u</w:t>
      </w:r>
      <w:r w:rsidRPr="004B2345">
        <w:t xml:space="preserve"> podaży</w:t>
      </w:r>
      <w:r>
        <w:t xml:space="preserve">. </w:t>
      </w:r>
      <w:r w:rsidRPr="004B2345">
        <w:t>Szerokość każdego przepływu wskazuje na wielkość przepływu egzergii,</w:t>
      </w:r>
      <w:r w:rsidR="006343E1">
        <w:t xml:space="preserve"> a </w:t>
      </w:r>
      <w:r>
        <w:t xml:space="preserve">straty egzergii </w:t>
      </w:r>
      <w:r w:rsidRPr="004B2345">
        <w:t>we wszystkich procesach są zbierane razem</w:t>
      </w:r>
      <w:r w:rsidR="006343E1">
        <w:t xml:space="preserve"> </w:t>
      </w:r>
      <w:r w:rsidR="006343E1" w:rsidRPr="004B2345">
        <w:t>w</w:t>
      </w:r>
      <w:r w:rsidR="006343E1">
        <w:t> </w:t>
      </w:r>
      <w:r w:rsidRPr="004B2345">
        <w:t>prawym dolnym rogu każdego diagramu.</w:t>
      </w:r>
    </w:p>
    <w:p w14:paraId="6554C223" w14:textId="475E3458" w:rsidR="005B060B" w:rsidRPr="0085592D" w:rsidRDefault="005B060B" w:rsidP="003A5EA7">
      <w:r>
        <w:t xml:space="preserve">Rysunek </w:t>
      </w:r>
      <w:r w:rsidR="000935B2">
        <w:t>1</w:t>
      </w:r>
      <w:r>
        <w:t>.</w:t>
      </w:r>
      <w:r w:rsidRPr="0085592D">
        <w:t xml:space="preserve"> </w:t>
      </w:r>
      <w:r w:rsidR="00FC0237">
        <w:t>p</w:t>
      </w:r>
      <w:r w:rsidRPr="0085592D">
        <w:t>rzedstawia energię zużywaną</w:t>
      </w:r>
      <w:r w:rsidR="006343E1">
        <w:t xml:space="preserve"> </w:t>
      </w:r>
      <w:r w:rsidR="006343E1" w:rsidRPr="0085592D">
        <w:t>w</w:t>
      </w:r>
      <w:r w:rsidR="006343E1">
        <w:t> </w:t>
      </w:r>
      <w:r w:rsidRPr="0085592D">
        <w:t xml:space="preserve">przemyśle od źródeł energii pierwotnej </w:t>
      </w:r>
      <w:r>
        <w:t xml:space="preserve">do </w:t>
      </w:r>
      <w:r w:rsidRPr="0085592D">
        <w:t>końcowej energii</w:t>
      </w:r>
      <w:r>
        <w:t xml:space="preserve"> produktów</w:t>
      </w:r>
      <w:r w:rsidR="006343E1">
        <w:t xml:space="preserve"> w </w:t>
      </w:r>
      <w:r>
        <w:t>energochłonnych sektorach przemysłowych</w:t>
      </w:r>
      <w:r>
        <w:rPr>
          <w:rStyle w:val="Odwoanieprzypisudolnego"/>
          <w:rFonts w:cs="Calibri"/>
          <w:sz w:val="21"/>
          <w:szCs w:val="21"/>
        </w:rPr>
        <w:footnoteReference w:id="17"/>
      </w:r>
      <w:r>
        <w:t>.</w:t>
      </w:r>
      <w:r w:rsidR="006343E1">
        <w:t xml:space="preserve"> </w:t>
      </w:r>
      <w:r w:rsidR="006343E1" w:rsidRPr="004B2345">
        <w:t>W</w:t>
      </w:r>
      <w:r w:rsidR="006343E1">
        <w:t> </w:t>
      </w:r>
      <w:r>
        <w:t xml:space="preserve">przeprowadzonym </w:t>
      </w:r>
      <w:r w:rsidRPr="004B2345">
        <w:t>badaniu przepływy energii</w:t>
      </w:r>
      <w:r w:rsidR="006343E1">
        <w:t xml:space="preserve"> </w:t>
      </w:r>
      <w:r w:rsidR="006343E1" w:rsidRPr="004B2345">
        <w:t>i</w:t>
      </w:r>
      <w:r w:rsidR="006343E1">
        <w:t> </w:t>
      </w:r>
      <w:r w:rsidRPr="004B2345">
        <w:t xml:space="preserve">materiałów </w:t>
      </w:r>
      <w:r>
        <w:t>były</w:t>
      </w:r>
      <w:r w:rsidRPr="004B2345">
        <w:t xml:space="preserve"> konwertowane na jednostki egzergii</w:t>
      </w:r>
      <w:r>
        <w:rPr>
          <w:rStyle w:val="Odwoanieprzypisudolnego"/>
          <w:sz w:val="21"/>
          <w:szCs w:val="21"/>
        </w:rPr>
        <w:footnoteReference w:id="18"/>
      </w:r>
      <w:r>
        <w:t>. Na podstawie</w:t>
      </w:r>
      <w:r w:rsidR="006343E1">
        <w:t xml:space="preserve"> </w:t>
      </w:r>
      <w:r w:rsidR="006343E1" w:rsidRPr="0085592D">
        <w:t>z</w:t>
      </w:r>
      <w:r w:rsidR="006343E1">
        <w:t> </w:t>
      </w:r>
      <w:r w:rsidRPr="0085592D">
        <w:t>danych statystycznych Międzynarodowej Agencji Energii (IEA,</w:t>
      </w:r>
      <w:r>
        <w:t xml:space="preserve"> </w:t>
      </w:r>
      <w:r w:rsidRPr="0085592D">
        <w:t>2015)</w:t>
      </w:r>
      <w:r>
        <w:t xml:space="preserve"> zaprezentowano</w:t>
      </w:r>
      <w:r w:rsidR="00477C54">
        <w:t>, że </w:t>
      </w:r>
      <w:r>
        <w:t>energia pierwotna</w:t>
      </w:r>
      <w:r w:rsidRPr="0085592D">
        <w:t xml:space="preserve"> dostarczan</w:t>
      </w:r>
      <w:r>
        <w:t>a</w:t>
      </w:r>
      <w:r w:rsidRPr="0085592D">
        <w:t xml:space="preserve"> do sektora przemysłowego </w:t>
      </w:r>
      <w:r>
        <w:t xml:space="preserve">to </w:t>
      </w:r>
      <w:r w:rsidRPr="0085592D">
        <w:t>ogółem</w:t>
      </w:r>
      <w:r>
        <w:t xml:space="preserve"> </w:t>
      </w:r>
      <w:r w:rsidRPr="0085592D">
        <w:t>1138 PJ.</w:t>
      </w:r>
      <w:r w:rsidR="006343E1">
        <w:t xml:space="preserve"> </w:t>
      </w:r>
      <w:r w:rsidR="006343E1" w:rsidRPr="0085592D">
        <w:t>W</w:t>
      </w:r>
      <w:r w:rsidR="006343E1">
        <w:t> </w:t>
      </w:r>
      <w:r w:rsidRPr="0085592D">
        <w:t>podaż</w:t>
      </w:r>
      <w:r>
        <w:t>y</w:t>
      </w:r>
      <w:r w:rsidRPr="0085592D">
        <w:t xml:space="preserve"> energii pierwotnej dominuj</w:t>
      </w:r>
      <w:r w:rsidR="00FC0237">
        <w:t>ą</w:t>
      </w:r>
      <w:r w:rsidRPr="0085592D">
        <w:t xml:space="preserve"> </w:t>
      </w:r>
      <w:r>
        <w:t>w</w:t>
      </w:r>
      <w:r w:rsidRPr="0085592D">
        <w:t>ęgiel (630 PJ), następnie gaz ziemny (258 PJ), ropa naftowa</w:t>
      </w:r>
      <w:r>
        <w:t xml:space="preserve"> </w:t>
      </w:r>
      <w:r w:rsidRPr="0085592D">
        <w:t>produkty (124 PJ)</w:t>
      </w:r>
      <w:r w:rsidR="006343E1">
        <w:t xml:space="preserve"> </w:t>
      </w:r>
      <w:r w:rsidR="006343E1" w:rsidRPr="0085592D">
        <w:t>i</w:t>
      </w:r>
      <w:r w:rsidR="006343E1">
        <w:t> </w:t>
      </w:r>
      <w:r w:rsidRPr="0085592D">
        <w:t>biopaliwa/odpady (112 PJ). Około połow</w:t>
      </w:r>
      <w:r w:rsidR="00FC0237">
        <w:t>y</w:t>
      </w:r>
      <w:r w:rsidRPr="0085592D">
        <w:t xml:space="preserve"> energii pierwotnej na wejściu</w:t>
      </w:r>
      <w:r>
        <w:t xml:space="preserve"> elektrownie tracą</w:t>
      </w:r>
      <w:r w:rsidRPr="0085592D">
        <w:t xml:space="preserve"> podczas wytwarzania energii elektrycznej</w:t>
      </w:r>
      <w:r w:rsidR="006343E1">
        <w:t xml:space="preserve"> </w:t>
      </w:r>
      <w:r w:rsidR="006343E1" w:rsidRPr="0085592D">
        <w:t>i</w:t>
      </w:r>
      <w:r w:rsidR="006343E1">
        <w:t> </w:t>
      </w:r>
      <w:r w:rsidRPr="0085592D">
        <w:t xml:space="preserve">ciepła. </w:t>
      </w:r>
    </w:p>
    <w:p w14:paraId="7FA8940D" w14:textId="4E75E020" w:rsidR="005B060B" w:rsidRPr="0085592D" w:rsidRDefault="005B060B" w:rsidP="003A5EA7">
      <w:r>
        <w:t>P</w:t>
      </w:r>
      <w:r w:rsidRPr="0085592D">
        <w:t>rawie połowę całej energii pierwotnej (541 PJ)</w:t>
      </w:r>
      <w:r>
        <w:t xml:space="preserve"> w</w:t>
      </w:r>
      <w:r w:rsidRPr="0085592D">
        <w:t xml:space="preserve">ykorzystuje się </w:t>
      </w:r>
      <w:r>
        <w:t xml:space="preserve">do </w:t>
      </w:r>
      <w:r w:rsidRPr="0085592D">
        <w:t>wytwarza</w:t>
      </w:r>
      <w:r>
        <w:t>nia energii</w:t>
      </w:r>
      <w:r w:rsidRPr="0085592D">
        <w:t xml:space="preserve"> elektryczn</w:t>
      </w:r>
      <w:r>
        <w:t>ej</w:t>
      </w:r>
      <w:r w:rsidR="006343E1">
        <w:t xml:space="preserve"> i </w:t>
      </w:r>
      <w:r>
        <w:t>ciepła</w:t>
      </w:r>
      <w:r w:rsidR="006343E1">
        <w:t xml:space="preserve"> </w:t>
      </w:r>
      <w:r w:rsidR="006343E1" w:rsidRPr="0085592D">
        <w:t>w</w:t>
      </w:r>
      <w:r w:rsidR="006343E1">
        <w:t> </w:t>
      </w:r>
      <w:r w:rsidRPr="0085592D">
        <w:t xml:space="preserve">elektrowniach; pozostała część </w:t>
      </w:r>
      <w:r>
        <w:t>to</w:t>
      </w:r>
      <w:r w:rsidRPr="0085592D">
        <w:t xml:space="preserve"> bezpośredni</w:t>
      </w:r>
      <w:r>
        <w:t>a</w:t>
      </w:r>
      <w:r w:rsidRPr="0085592D">
        <w:t xml:space="preserve"> konsumpcj</w:t>
      </w:r>
      <w:r>
        <w:t>a</w:t>
      </w:r>
      <w:r w:rsidRPr="0085592D">
        <w:t xml:space="preserve"> (427</w:t>
      </w:r>
      <w:r>
        <w:t xml:space="preserve"> </w:t>
      </w:r>
      <w:r w:rsidRPr="0085592D">
        <w:t>PJ)</w:t>
      </w:r>
      <w:r w:rsidR="006343E1">
        <w:t xml:space="preserve"> </w:t>
      </w:r>
      <w:r w:rsidR="006343E1" w:rsidRPr="0085592D">
        <w:t>i</w:t>
      </w:r>
      <w:r w:rsidR="006343E1">
        <w:t> </w:t>
      </w:r>
      <w:r w:rsidRPr="0085592D">
        <w:t>wykorzystanie nieenergetyczne (170 PJ).</w:t>
      </w:r>
    </w:p>
    <w:p w14:paraId="40D4BA54" w14:textId="769D46CE" w:rsidR="005B060B" w:rsidRDefault="005B060B" w:rsidP="005B060B">
      <w:r w:rsidRPr="0085592D">
        <w:t>Energia elektryczna</w:t>
      </w:r>
      <w:r w:rsidR="006343E1">
        <w:t xml:space="preserve"> </w:t>
      </w:r>
      <w:r w:rsidR="006343E1" w:rsidRPr="0085592D">
        <w:t>i</w:t>
      </w:r>
      <w:r w:rsidR="006343E1">
        <w:t> </w:t>
      </w:r>
      <w:r w:rsidRPr="0085592D">
        <w:t>cieplna są wytwarzane ze średnią wydajnością 49% przy znacznych stratach</w:t>
      </w:r>
      <w:r>
        <w:t xml:space="preserve"> </w:t>
      </w:r>
      <w:r w:rsidR="0069452A">
        <w:t>-</w:t>
      </w:r>
      <w:r w:rsidR="00477C54">
        <w:t>–</w:t>
      </w:r>
      <w:r>
        <w:t xml:space="preserve"> </w:t>
      </w:r>
      <w:r w:rsidRPr="0085592D">
        <w:t>278 PJ pokazane na szaro. Energia końcowa</w:t>
      </w:r>
      <w:r w:rsidR="006343E1">
        <w:t xml:space="preserve"> </w:t>
      </w:r>
      <w:r w:rsidR="006343E1" w:rsidRPr="0085592D">
        <w:t>w</w:t>
      </w:r>
      <w:r w:rsidR="006343E1">
        <w:t> </w:t>
      </w:r>
      <w:r w:rsidRPr="0085592D">
        <w:t xml:space="preserve">wysokości 590 PJ </w:t>
      </w:r>
      <w:r w:rsidR="00FC0237" w:rsidRPr="0085592D">
        <w:t>jest</w:t>
      </w:r>
      <w:r w:rsidRPr="0085592D">
        <w:t xml:space="preserve"> przeznaczona dla przemysłu jako paliwa </w:t>
      </w:r>
      <w:r w:rsidRPr="0085592D">
        <w:lastRenderedPageBreak/>
        <w:t>rafinowane (384 PJ),</w:t>
      </w:r>
      <w:r>
        <w:t xml:space="preserve"> </w:t>
      </w:r>
      <w:r w:rsidRPr="0085592D">
        <w:t>elektryczność (178 PJ)</w:t>
      </w:r>
      <w:r w:rsidR="006343E1">
        <w:t xml:space="preserve"> </w:t>
      </w:r>
      <w:r w:rsidR="006343E1" w:rsidRPr="0085592D">
        <w:t>i</w:t>
      </w:r>
      <w:r w:rsidR="006343E1">
        <w:t> </w:t>
      </w:r>
      <w:r w:rsidRPr="0085592D">
        <w:t>ciepło (28 PJ),</w:t>
      </w:r>
      <w:r w:rsidR="006343E1">
        <w:t xml:space="preserve"> </w:t>
      </w:r>
      <w:r w:rsidR="006343E1" w:rsidRPr="0085592D">
        <w:t>z</w:t>
      </w:r>
      <w:r w:rsidR="006343E1">
        <w:t> </w:t>
      </w:r>
      <w:r w:rsidRPr="0085592D">
        <w:t xml:space="preserve">dodatkiem </w:t>
      </w:r>
      <w:r>
        <w:t xml:space="preserve">nieenergetycznym (170 PJ). Finalne </w:t>
      </w:r>
      <w:r w:rsidRPr="0085592D">
        <w:t>zużycie energii jest zdominowane przez sektor chemiczny</w:t>
      </w:r>
      <w:r w:rsidR="006343E1">
        <w:t xml:space="preserve"> </w:t>
      </w:r>
      <w:r w:rsidR="006343E1" w:rsidRPr="0085592D">
        <w:t>i</w:t>
      </w:r>
      <w:r w:rsidR="006343E1">
        <w:t> </w:t>
      </w:r>
      <w:r w:rsidRPr="0085592D">
        <w:t>petrochemiczny (274 PJ)</w:t>
      </w:r>
      <w:r>
        <w:t>. I</w:t>
      </w:r>
      <w:r w:rsidRPr="0085592D">
        <w:t>nn</w:t>
      </w:r>
      <w:r>
        <w:t>e</w:t>
      </w:r>
      <w:r w:rsidRPr="0085592D">
        <w:t xml:space="preserve"> </w:t>
      </w:r>
      <w:r>
        <w:t xml:space="preserve">energochłonne </w:t>
      </w:r>
      <w:r w:rsidRPr="0085592D">
        <w:t>sektor</w:t>
      </w:r>
      <w:r>
        <w:t>y</w:t>
      </w:r>
      <w:r w:rsidRPr="0085592D">
        <w:t xml:space="preserve"> przemysłu </w:t>
      </w:r>
      <w:r>
        <w:t>to</w:t>
      </w:r>
      <w:r w:rsidRPr="0085592D">
        <w:t>: minerały niemetaliczn</w:t>
      </w:r>
      <w:r>
        <w:t xml:space="preserve">e </w:t>
      </w:r>
      <w:r w:rsidRPr="0085592D">
        <w:t>(108 PJ), żywność</w:t>
      </w:r>
      <w:r w:rsidR="006343E1">
        <w:t xml:space="preserve"> </w:t>
      </w:r>
      <w:r w:rsidR="006343E1" w:rsidRPr="0085592D">
        <w:t>i</w:t>
      </w:r>
      <w:r w:rsidR="006343E1">
        <w:t> </w:t>
      </w:r>
      <w:r w:rsidRPr="0085592D">
        <w:t>tytoń (78 PJ</w:t>
      </w:r>
      <w:r>
        <w:t>), żelazo</w:t>
      </w:r>
      <w:r w:rsidR="006343E1">
        <w:t xml:space="preserve"> i </w:t>
      </w:r>
      <w:r>
        <w:t>stal (75 PJ), papier/ścier/</w:t>
      </w:r>
      <w:r w:rsidRPr="0085592D">
        <w:t>druk</w:t>
      </w:r>
      <w:r>
        <w:t xml:space="preserve"> </w:t>
      </w:r>
      <w:r w:rsidRPr="0085592D">
        <w:t>(66 PJ), metal</w:t>
      </w:r>
      <w:r>
        <w:t>e</w:t>
      </w:r>
      <w:r w:rsidRPr="0085592D">
        <w:t xml:space="preserve"> nieżelazn</w:t>
      </w:r>
      <w:r>
        <w:t>e (18 PJ) oraz górnictwo</w:t>
      </w:r>
      <w:r w:rsidR="006343E1">
        <w:t xml:space="preserve"> i </w:t>
      </w:r>
      <w:r>
        <w:t>kopalnictwo</w:t>
      </w:r>
      <w:r w:rsidRPr="0085592D">
        <w:t xml:space="preserve"> (16 PJ). Inne branże (126 PJ)</w:t>
      </w:r>
      <w:r w:rsidR="006343E1">
        <w:t xml:space="preserve"> i </w:t>
      </w:r>
      <w:r w:rsidRPr="0085592D">
        <w:t>eksport końcowej energii (119 PJ) stanowi</w:t>
      </w:r>
      <w:r>
        <w:t>ą</w:t>
      </w:r>
      <w:r w:rsidRPr="0085592D">
        <w:t xml:space="preserve"> pozostałą część</w:t>
      </w:r>
      <w:r>
        <w:t>.</w:t>
      </w:r>
      <w:r w:rsidR="00990BBF">
        <w:t xml:space="preserve"> </w:t>
      </w:r>
      <w:r w:rsidRPr="0044730D">
        <w:t>Rysunek obrazuje poglądowe pojęcie skali zużycia energii przemysłowej</w:t>
      </w:r>
      <w:r w:rsidR="006343E1">
        <w:t xml:space="preserve"> </w:t>
      </w:r>
      <w:r w:rsidR="006343E1" w:rsidRPr="0044730D">
        <w:t>w</w:t>
      </w:r>
      <w:r w:rsidR="006343E1">
        <w:t> </w:t>
      </w:r>
      <w:r w:rsidRPr="0044730D">
        <w:t>Polsce</w:t>
      </w:r>
      <w:r w:rsidR="006343E1">
        <w:t xml:space="preserve"> </w:t>
      </w:r>
      <w:r w:rsidR="006343E1" w:rsidRPr="0044730D">
        <w:t>i</w:t>
      </w:r>
      <w:r w:rsidR="006343E1">
        <w:t> </w:t>
      </w:r>
      <w:r w:rsidRPr="0044730D">
        <w:t>punkty</w:t>
      </w:r>
      <w:r w:rsidR="002F610C">
        <w:t>,</w:t>
      </w:r>
      <w:r w:rsidR="006343E1">
        <w:t xml:space="preserve"> </w:t>
      </w:r>
      <w:r w:rsidR="006343E1" w:rsidRPr="0044730D">
        <w:t>w</w:t>
      </w:r>
      <w:r w:rsidR="006343E1">
        <w:t> </w:t>
      </w:r>
      <w:r w:rsidRPr="0044730D">
        <w:t>których  można skoncentrować wysiłki dla zapewnienia efektywności zasobów.</w:t>
      </w:r>
    </w:p>
    <w:p w14:paraId="3BFD0C2C" w14:textId="2CCBD0FE" w:rsidR="005B060B" w:rsidRDefault="005B060B" w:rsidP="00367821">
      <w:pPr>
        <w:pStyle w:val="Nagwek4"/>
        <w:ind w:left="709" w:hanging="709"/>
      </w:pPr>
      <w:r w:rsidRPr="005436C4">
        <w:t>Rys</w:t>
      </w:r>
      <w:r w:rsidR="00DC0BA5">
        <w:t>.</w:t>
      </w:r>
      <w:r w:rsidRPr="005436C4">
        <w:t xml:space="preserve"> </w:t>
      </w:r>
      <w:r w:rsidR="000935B2">
        <w:rPr>
          <w:noProof/>
        </w:rPr>
        <w:t>1</w:t>
      </w:r>
      <w:r w:rsidRPr="005436C4">
        <w:t>.</w:t>
      </w:r>
      <w:r w:rsidRPr="005436C4">
        <w:rPr>
          <w:bCs/>
        </w:rPr>
        <w:t xml:space="preserve"> </w:t>
      </w:r>
      <w:r w:rsidRPr="00FF038C">
        <w:t>Wykorzystanie energii przemysłowej</w:t>
      </w:r>
      <w:r w:rsidR="006343E1">
        <w:t xml:space="preserve"> </w:t>
      </w:r>
      <w:r w:rsidR="006343E1" w:rsidRPr="00FF038C">
        <w:t>w</w:t>
      </w:r>
      <w:r w:rsidR="006343E1">
        <w:t> </w:t>
      </w:r>
      <w:r w:rsidRPr="00FF038C">
        <w:t>Polsce (2015), śledzone</w:t>
      </w:r>
      <w:r w:rsidR="006343E1">
        <w:t xml:space="preserve"> </w:t>
      </w:r>
      <w:r w:rsidR="006343E1" w:rsidRPr="00FF038C">
        <w:t>z</w:t>
      </w:r>
      <w:r w:rsidR="006343E1">
        <w:t> </w:t>
      </w:r>
      <w:r w:rsidRPr="00FF038C">
        <w:t>energii pierwotnej do finalnej (w</w:t>
      </w:r>
      <w:r w:rsidR="002F610C">
        <w:t> </w:t>
      </w:r>
      <w:r w:rsidRPr="00FF038C">
        <w:t>petadżulach, PJ)</w:t>
      </w:r>
    </w:p>
    <w:p w14:paraId="75C8C940" w14:textId="77777777" w:rsidR="005B060B" w:rsidRDefault="005B060B" w:rsidP="005B060B">
      <w:pPr>
        <w:spacing w:after="0" w:line="240" w:lineRule="auto"/>
        <w:rPr>
          <w:rFonts w:cs="Calibri"/>
          <w:sz w:val="21"/>
          <w:szCs w:val="21"/>
        </w:rPr>
      </w:pPr>
      <w:r>
        <w:rPr>
          <w:noProof/>
          <w:lang w:eastAsia="pl-PL"/>
        </w:rPr>
        <w:drawing>
          <wp:inline distT="0" distB="0" distL="0" distR="0" wp14:anchorId="67E2B6D9" wp14:editId="7F8D8941">
            <wp:extent cx="5475829" cy="5798248"/>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78168" cy="5800725"/>
                    </a:xfrm>
                    <a:prstGeom prst="rect">
                      <a:avLst/>
                    </a:prstGeom>
                    <a:noFill/>
                    <a:ln>
                      <a:noFill/>
                    </a:ln>
                  </pic:spPr>
                </pic:pic>
              </a:graphicData>
            </a:graphic>
          </wp:inline>
        </w:drawing>
      </w:r>
    </w:p>
    <w:p w14:paraId="32DD9137" w14:textId="77777777" w:rsidR="005B060B" w:rsidRPr="00367821" w:rsidRDefault="005B060B" w:rsidP="005B060B">
      <w:pPr>
        <w:pStyle w:val="Bezodstpw"/>
        <w:rPr>
          <w:lang w:val="en-US"/>
        </w:rPr>
      </w:pPr>
      <w:r w:rsidRPr="00367821">
        <w:rPr>
          <w:lang w:val="en-US"/>
        </w:rPr>
        <w:t>Źródło: Emerson and University of Cambridge (2018, s.</w:t>
      </w:r>
      <w:r w:rsidR="000A7975" w:rsidRPr="00367821">
        <w:rPr>
          <w:lang w:val="en-US"/>
        </w:rPr>
        <w:t xml:space="preserve"> </w:t>
      </w:r>
      <w:r w:rsidRPr="00367821">
        <w:rPr>
          <w:lang w:val="en-US"/>
        </w:rPr>
        <w:t>9)</w:t>
      </w:r>
    </w:p>
    <w:p w14:paraId="7918B348" w14:textId="52919F1C" w:rsidR="005B060B" w:rsidRDefault="005B060B" w:rsidP="003A5EA7">
      <w:pPr>
        <w:rPr>
          <w:rFonts w:cs="Calibri"/>
          <w:sz w:val="21"/>
          <w:szCs w:val="21"/>
        </w:rPr>
      </w:pPr>
      <w:r>
        <w:t>Analiza przeprowadzona</w:t>
      </w:r>
      <w:r w:rsidR="006343E1">
        <w:t xml:space="preserve"> w </w:t>
      </w:r>
      <w:r>
        <w:t xml:space="preserve">tym opracowaniu dla </w:t>
      </w:r>
      <w:r w:rsidRPr="000E07A7">
        <w:t>pię</w:t>
      </w:r>
      <w:r>
        <w:t>ciu</w:t>
      </w:r>
      <w:r w:rsidRPr="000E07A7">
        <w:t xml:space="preserve"> sektorów przemysłowych</w:t>
      </w:r>
      <w:r>
        <w:t xml:space="preserve"> (GUS 2018a, 2018c)</w:t>
      </w:r>
      <w:r w:rsidRPr="000E07A7">
        <w:t>: chemikalia</w:t>
      </w:r>
      <w:r w:rsidR="002F610C">
        <w:t>,</w:t>
      </w:r>
      <w:r w:rsidRPr="000E07A7">
        <w:t xml:space="preserve"> papier</w:t>
      </w:r>
      <w:r w:rsidR="002F610C">
        <w:t>,</w:t>
      </w:r>
      <w:r w:rsidRPr="000E07A7">
        <w:t xml:space="preserve"> metale podstawowe</w:t>
      </w:r>
      <w:r w:rsidR="002F610C">
        <w:t>,</w:t>
      </w:r>
      <w:r w:rsidRPr="000E07A7">
        <w:t xml:space="preserve"> </w:t>
      </w:r>
      <w:r>
        <w:t>minerały niemetaliczne</w:t>
      </w:r>
      <w:r w:rsidR="002F610C">
        <w:t>,</w:t>
      </w:r>
      <w:r>
        <w:t xml:space="preserve"> guma</w:t>
      </w:r>
      <w:r w:rsidR="006343E1">
        <w:t xml:space="preserve"> i </w:t>
      </w:r>
      <w:r>
        <w:t>plastik pokazuje</w:t>
      </w:r>
      <w:r w:rsidR="00477C54">
        <w:t>, że </w:t>
      </w:r>
      <w:r w:rsidRPr="000E07A7">
        <w:t>odpowiada</w:t>
      </w:r>
      <w:r>
        <w:t>ją one</w:t>
      </w:r>
      <w:r w:rsidRPr="000E07A7">
        <w:t xml:space="preserve"> za około 70%</w:t>
      </w:r>
      <w:r w:rsidR="000A7975">
        <w:t> </w:t>
      </w:r>
      <w:r w:rsidRPr="000E07A7">
        <w:t>całkowitej energii końcowej</w:t>
      </w:r>
      <w:r w:rsidR="006343E1">
        <w:t xml:space="preserve"> </w:t>
      </w:r>
      <w:r w:rsidR="006343E1" w:rsidRPr="000E07A7">
        <w:t>i</w:t>
      </w:r>
      <w:r w:rsidR="006343E1">
        <w:t> </w:t>
      </w:r>
      <w:r w:rsidRPr="000E07A7">
        <w:t xml:space="preserve">energii nieenergetycznej </w:t>
      </w:r>
      <w:r>
        <w:t>wytwarzanej przez</w:t>
      </w:r>
      <w:r w:rsidRPr="000E07A7">
        <w:t xml:space="preserve"> polski sektor przemysłow</w:t>
      </w:r>
      <w:r>
        <w:t>y</w:t>
      </w:r>
      <w:r w:rsidRPr="000E07A7">
        <w:t xml:space="preserve">. Ogólna efektywność wykorzystania zasobów (użyteczne wyniki egzergii ponad całkowity wkład egzergii) tych </w:t>
      </w:r>
      <w:r w:rsidRPr="000E07A7">
        <w:lastRenderedPageBreak/>
        <w:t xml:space="preserve">pięciu sektorów wynosi 63%. </w:t>
      </w:r>
      <w:r>
        <w:t>Analiza przepływów</w:t>
      </w:r>
      <w:r w:rsidRPr="000E07A7">
        <w:t xml:space="preserve"> pokazuje zależność tych przemys</w:t>
      </w:r>
      <w:r>
        <w:t xml:space="preserve">łów od gazu ziemnego (181 PJ), </w:t>
      </w:r>
      <w:r w:rsidRPr="000E07A7">
        <w:t xml:space="preserve">który jest </w:t>
      </w:r>
      <w:r>
        <w:t>wykorzystywany</w:t>
      </w:r>
      <w:r w:rsidR="006343E1">
        <w:t xml:space="preserve"> </w:t>
      </w:r>
      <w:r w:rsidR="006343E1" w:rsidRPr="000E07A7">
        <w:t>w</w:t>
      </w:r>
      <w:r w:rsidR="006343E1">
        <w:t> </w:t>
      </w:r>
      <w:r w:rsidRPr="000E07A7">
        <w:t>sektorze chemicznym (w tym duża część surowców nieenergetycznych)</w:t>
      </w:r>
      <w:r w:rsidR="006343E1">
        <w:t xml:space="preserve"> </w:t>
      </w:r>
      <w:r w:rsidR="006343E1" w:rsidRPr="000E07A7">
        <w:t>i</w:t>
      </w:r>
      <w:r w:rsidR="006343E1">
        <w:t> </w:t>
      </w:r>
      <w:r>
        <w:t xml:space="preserve">sektorze </w:t>
      </w:r>
      <w:r w:rsidRPr="000E07A7">
        <w:t>minerał</w:t>
      </w:r>
      <w:r>
        <w:t>ów</w:t>
      </w:r>
      <w:r w:rsidRPr="000E07A7">
        <w:t xml:space="preserve"> niemetalicznych. Energia elektryczna (100 PJ) jest wykorzystywana we wszystkich sektorach,</w:t>
      </w:r>
      <w:r w:rsidR="006343E1">
        <w:t xml:space="preserve"> </w:t>
      </w:r>
      <w:r w:rsidR="006343E1" w:rsidRPr="000E07A7">
        <w:t>z</w:t>
      </w:r>
      <w:r w:rsidR="006343E1">
        <w:t> </w:t>
      </w:r>
      <w:r w:rsidRPr="000E07A7">
        <w:t xml:space="preserve">dużą </w:t>
      </w:r>
      <w:r>
        <w:t>przewagą</w:t>
      </w:r>
      <w:r w:rsidRPr="000E07A7">
        <w:t xml:space="preserve"> produkcji metalu (głównie stali). Węgiel (79 PJ) stosuje się bezpośrednio</w:t>
      </w:r>
      <w:r w:rsidR="006343E1">
        <w:t xml:space="preserve"> </w:t>
      </w:r>
      <w:r w:rsidR="006343E1" w:rsidRPr="000E07A7">
        <w:t>w</w:t>
      </w:r>
      <w:r w:rsidR="006343E1">
        <w:t> </w:t>
      </w:r>
      <w:r>
        <w:t>sektorze minerałów</w:t>
      </w:r>
      <w:r w:rsidRPr="000E07A7">
        <w:t xml:space="preserve"> niemetaliczn</w:t>
      </w:r>
      <w:r>
        <w:t>ych</w:t>
      </w:r>
      <w:r w:rsidRPr="000E07A7">
        <w:t xml:space="preserve"> (głównie c</w:t>
      </w:r>
      <w:r>
        <w:t>ementowych), papierniczym</w:t>
      </w:r>
      <w:r w:rsidR="006343E1">
        <w:t xml:space="preserve"> i </w:t>
      </w:r>
      <w:r>
        <w:t>chemicznym</w:t>
      </w:r>
      <w:r w:rsidRPr="000E07A7">
        <w:t xml:space="preserve">, </w:t>
      </w:r>
      <w:r w:rsidR="002F610C">
        <w:t>p</w:t>
      </w:r>
      <w:r w:rsidRPr="000E07A7">
        <w:t xml:space="preserve">onadto koks (18 PJ) oraz gaz koksowniczy (18 PJ), oba </w:t>
      </w:r>
      <w:r w:rsidR="008F2775">
        <w:t xml:space="preserve">są </w:t>
      </w:r>
      <w:r w:rsidRPr="000E07A7">
        <w:t>pochodn</w:t>
      </w:r>
      <w:r w:rsidR="008F2775">
        <w:t>ymi</w:t>
      </w:r>
      <w:r w:rsidRPr="000E07A7">
        <w:t xml:space="preserve"> węgla, przyczyniają się do produkcji stali. Odwzorowywanie zasobów</w:t>
      </w:r>
      <w:r w:rsidR="006343E1">
        <w:t xml:space="preserve"> </w:t>
      </w:r>
      <w:r w:rsidR="006343E1" w:rsidRPr="000E07A7">
        <w:t>w</w:t>
      </w:r>
      <w:r w:rsidR="006343E1">
        <w:t> </w:t>
      </w:r>
      <w:r w:rsidRPr="000E07A7">
        <w:t>jednostkach egzergii umożliwia porównanie materialnych danych wejściowych</w:t>
      </w:r>
      <w:r w:rsidR="006343E1">
        <w:t xml:space="preserve"> </w:t>
      </w:r>
      <w:r w:rsidR="006343E1" w:rsidRPr="000E07A7">
        <w:t>z</w:t>
      </w:r>
      <w:r w:rsidR="006343E1">
        <w:t> </w:t>
      </w:r>
      <w:r w:rsidRPr="000E07A7">
        <w:t>wkład</w:t>
      </w:r>
      <w:r>
        <w:t>em</w:t>
      </w:r>
      <w:r w:rsidRPr="000E07A7">
        <w:t xml:space="preserve"> energe</w:t>
      </w:r>
      <w:r>
        <w:t>tycznym</w:t>
      </w:r>
      <w:r w:rsidRPr="000E07A7">
        <w:t>. Stwierdzono</w:t>
      </w:r>
      <w:r w:rsidR="00477C54">
        <w:t>, że </w:t>
      </w:r>
      <w:r w:rsidRPr="000E07A7">
        <w:t>istotne nakłady na te sektory przemysłu obejmują: surowce naftowe</w:t>
      </w:r>
      <w:r w:rsidR="006343E1">
        <w:t xml:space="preserve"> </w:t>
      </w:r>
      <w:r w:rsidR="006343E1" w:rsidRPr="000E07A7">
        <w:t>i</w:t>
      </w:r>
      <w:r w:rsidR="006343E1">
        <w:t> </w:t>
      </w:r>
      <w:r w:rsidRPr="000E07A7">
        <w:t>gazowe (nieenergetyczne, 167 PJ) dla sektora chemicznego</w:t>
      </w:r>
      <w:r w:rsidR="008F2775">
        <w:t>,</w:t>
      </w:r>
      <w:r w:rsidRPr="000E07A7">
        <w:t xml:space="preserve"> stal</w:t>
      </w:r>
      <w:r w:rsidR="006343E1">
        <w:t xml:space="preserve"> </w:t>
      </w:r>
      <w:r w:rsidR="006343E1" w:rsidRPr="000E07A7">
        <w:t>z</w:t>
      </w:r>
      <w:r w:rsidR="006343E1">
        <w:t> </w:t>
      </w:r>
      <w:r w:rsidRPr="000E07A7">
        <w:t>recyklingu</w:t>
      </w:r>
      <w:r w:rsidR="006343E1">
        <w:t xml:space="preserve"> </w:t>
      </w:r>
      <w:r w:rsidR="006343E1" w:rsidRPr="000E07A7">
        <w:t>i</w:t>
      </w:r>
      <w:r w:rsidR="006343E1">
        <w:t> </w:t>
      </w:r>
      <w:r w:rsidRPr="000E07A7">
        <w:t>inne metale (24 PJ) do sektora metali podstawowych</w:t>
      </w:r>
      <w:r w:rsidR="008F2775">
        <w:t>,</w:t>
      </w:r>
      <w:r w:rsidRPr="000E07A7">
        <w:t xml:space="preserve"> drewno (97 PJ) stosowane</w:t>
      </w:r>
      <w:r w:rsidR="006343E1">
        <w:t xml:space="preserve"> </w:t>
      </w:r>
      <w:r w:rsidR="006343E1" w:rsidRPr="000E07A7">
        <w:t>w</w:t>
      </w:r>
      <w:r w:rsidR="006343E1">
        <w:t> </w:t>
      </w:r>
      <w:r w:rsidRPr="000E07A7">
        <w:t>przemyśle papierniczym</w:t>
      </w:r>
      <w:r w:rsidR="008F2775">
        <w:t>,</w:t>
      </w:r>
      <w:r w:rsidRPr="000E07A7">
        <w:t xml:space="preserve"> polimery (nowe</w:t>
      </w:r>
      <w:r w:rsidR="006343E1">
        <w:t xml:space="preserve"> </w:t>
      </w:r>
      <w:r w:rsidR="006343E1" w:rsidRPr="000E07A7">
        <w:t>i</w:t>
      </w:r>
      <w:r w:rsidR="006343E1">
        <w:t> </w:t>
      </w:r>
      <w:r w:rsidRPr="000E07A7">
        <w:t>poddane recyklingowi) wprowadzane do sektora gumy</w:t>
      </w:r>
      <w:r w:rsidR="006343E1">
        <w:t xml:space="preserve"> </w:t>
      </w:r>
      <w:r w:rsidR="006343E1" w:rsidRPr="000E07A7">
        <w:t>i</w:t>
      </w:r>
      <w:r w:rsidR="006343E1">
        <w:t> </w:t>
      </w:r>
      <w:r w:rsidRPr="000E07A7">
        <w:t>tworzyw sztucznych. Materiały wejściowe do przemysłu stanowią około 50% całkowitego wkładu egzergii do tych pięciu sektorów; wpływ materiał</w:t>
      </w:r>
      <w:r>
        <w:t>ów</w:t>
      </w:r>
      <w:r w:rsidRPr="000E07A7">
        <w:t xml:space="preserve"> </w:t>
      </w:r>
      <w:r>
        <w:t xml:space="preserve">jest </w:t>
      </w:r>
      <w:r w:rsidRPr="000E07A7">
        <w:t>często pomijan</w:t>
      </w:r>
      <w:r>
        <w:t>y</w:t>
      </w:r>
      <w:r w:rsidR="006343E1">
        <w:t xml:space="preserve"> </w:t>
      </w:r>
      <w:r w:rsidR="006343E1" w:rsidRPr="000E07A7">
        <w:t>w</w:t>
      </w:r>
      <w:r w:rsidR="006343E1">
        <w:t> </w:t>
      </w:r>
      <w:r w:rsidRPr="000E07A7">
        <w:t>tradycyjnych analizach efektywności energetycznej.</w:t>
      </w:r>
    </w:p>
    <w:p w14:paraId="43A2DC39" w14:textId="16A630AF" w:rsidR="005B060B" w:rsidRPr="00FF038C" w:rsidRDefault="005B060B" w:rsidP="00CB07D4">
      <w:pPr>
        <w:pStyle w:val="Nagwek4"/>
        <w:ind w:left="993" w:hanging="993"/>
      </w:pPr>
      <w:r w:rsidRPr="00254AB9">
        <w:t xml:space="preserve">Wykres </w:t>
      </w:r>
      <w:r w:rsidR="003A5EA7">
        <w:t>2</w:t>
      </w:r>
      <w:r w:rsidR="001C3C76">
        <w:t>3</w:t>
      </w:r>
      <w:r w:rsidRPr="00254AB9">
        <w:fldChar w:fldCharType="begin"/>
      </w:r>
      <w:r w:rsidRPr="00254AB9">
        <w:instrText xml:space="preserve"> SEQ Rysunek \* ARABIC </w:instrText>
      </w:r>
      <w:r w:rsidRPr="00254AB9">
        <w:fldChar w:fldCharType="end"/>
      </w:r>
      <w:r w:rsidRPr="00254AB9">
        <w:t xml:space="preserve">. </w:t>
      </w:r>
      <w:r w:rsidRPr="00FF038C">
        <w:t>Efektywność zasobów (%)</w:t>
      </w:r>
      <w:r w:rsidR="006343E1">
        <w:t xml:space="preserve"> </w:t>
      </w:r>
      <w:r w:rsidR="006343E1" w:rsidRPr="00FF038C">
        <w:t>i</w:t>
      </w:r>
      <w:r w:rsidR="006343E1">
        <w:t> </w:t>
      </w:r>
      <w:r w:rsidRPr="00FF038C">
        <w:t>utrata egzergii (PJ) dla pięciu kluczowych sektorów przemysłowych</w:t>
      </w:r>
      <w:r w:rsidR="006343E1">
        <w:t xml:space="preserve"> </w:t>
      </w:r>
      <w:r w:rsidR="00FD0C32">
        <w:t xml:space="preserve">     </w:t>
      </w:r>
      <w:r w:rsidR="006343E1" w:rsidRPr="00FF038C">
        <w:t>w</w:t>
      </w:r>
      <w:r w:rsidR="006343E1">
        <w:t> </w:t>
      </w:r>
      <w:r w:rsidRPr="00FF038C">
        <w:t>Polsce</w:t>
      </w:r>
    </w:p>
    <w:p w14:paraId="59E75557" w14:textId="77777777" w:rsidR="005B060B" w:rsidRDefault="005B060B" w:rsidP="005B060B">
      <w:pPr>
        <w:spacing w:after="0" w:line="240" w:lineRule="auto"/>
        <w:rPr>
          <w:rFonts w:cs="Calibri"/>
          <w:sz w:val="21"/>
          <w:szCs w:val="21"/>
        </w:rPr>
      </w:pPr>
      <w:r>
        <w:rPr>
          <w:rFonts w:cs="Calibri"/>
          <w:noProof/>
          <w:sz w:val="21"/>
          <w:szCs w:val="21"/>
          <w:lang w:eastAsia="pl-PL"/>
        </w:rPr>
        <w:drawing>
          <wp:inline distT="0" distB="0" distL="0" distR="0" wp14:anchorId="73D78E6D" wp14:editId="2F7FE9B4">
            <wp:extent cx="4184015" cy="2777490"/>
            <wp:effectExtent l="0" t="0" r="6985" b="3810"/>
            <wp:docPr id="339" name="Obraz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84015" cy="2777490"/>
                    </a:xfrm>
                    <a:prstGeom prst="rect">
                      <a:avLst/>
                    </a:prstGeom>
                    <a:noFill/>
                    <a:ln>
                      <a:noFill/>
                    </a:ln>
                  </pic:spPr>
                </pic:pic>
              </a:graphicData>
            </a:graphic>
          </wp:inline>
        </w:drawing>
      </w:r>
    </w:p>
    <w:p w14:paraId="1AC1D442" w14:textId="77777777" w:rsidR="005B060B" w:rsidRDefault="005B060B" w:rsidP="005B060B">
      <w:pPr>
        <w:spacing w:after="0" w:line="240" w:lineRule="auto"/>
        <w:rPr>
          <w:rFonts w:cs="Calibri"/>
          <w:sz w:val="21"/>
          <w:szCs w:val="21"/>
        </w:rPr>
      </w:pPr>
    </w:p>
    <w:p w14:paraId="18F89FCD" w14:textId="77777777" w:rsidR="005B060B" w:rsidRPr="00236C55" w:rsidRDefault="005B060B" w:rsidP="005B060B">
      <w:pPr>
        <w:pStyle w:val="Bezodstpw"/>
        <w:rPr>
          <w:lang w:val="en-GB"/>
        </w:rPr>
      </w:pPr>
      <w:r w:rsidRPr="00236C55">
        <w:rPr>
          <w:lang w:val="en-GB"/>
        </w:rPr>
        <w:t>Źródło: Emerson and University of Cambridge (2018, s.18).</w:t>
      </w:r>
    </w:p>
    <w:p w14:paraId="15173B51" w14:textId="44D50F27" w:rsidR="005B060B" w:rsidRPr="00831A01" w:rsidRDefault="005B060B" w:rsidP="005B060B">
      <w:r w:rsidRPr="00831A01">
        <w:t xml:space="preserve">Wyniki </w:t>
      </w:r>
      <w:r>
        <w:t xml:space="preserve">zaprezentowane powyżej pokazują </w:t>
      </w:r>
      <w:r w:rsidRPr="00831A01">
        <w:t>efekty</w:t>
      </w:r>
      <w:r>
        <w:t>wność gospodarowania</w:t>
      </w:r>
      <w:r w:rsidRPr="00831A01">
        <w:t xml:space="preserve"> zasobami</w:t>
      </w:r>
      <w:r w:rsidR="006343E1">
        <w:t xml:space="preserve"> </w:t>
      </w:r>
      <w:r w:rsidR="006343E1" w:rsidRPr="00831A01">
        <w:t>w</w:t>
      </w:r>
      <w:r w:rsidR="006343E1">
        <w:t> </w:t>
      </w:r>
      <w:r w:rsidRPr="00831A01">
        <w:t>analizowanych sektorach przemysłowych</w:t>
      </w:r>
      <w:r w:rsidR="006343E1">
        <w:t xml:space="preserve"> </w:t>
      </w:r>
      <w:r w:rsidR="006343E1" w:rsidRPr="00831A01">
        <w:t>w</w:t>
      </w:r>
      <w:r w:rsidR="006343E1">
        <w:t> </w:t>
      </w:r>
      <w:r w:rsidRPr="00831A01">
        <w:t>Polsce</w:t>
      </w:r>
      <w:r>
        <w:t xml:space="preserve"> </w:t>
      </w:r>
      <w:r w:rsidR="00477C54">
        <w:t>–</w:t>
      </w:r>
      <w:r>
        <w:t xml:space="preserve"> </w:t>
      </w:r>
      <w:r w:rsidRPr="00831A01">
        <w:t>28%</w:t>
      </w:r>
      <w:r w:rsidR="006343E1">
        <w:t xml:space="preserve"> </w:t>
      </w:r>
      <w:r w:rsidR="006343E1" w:rsidRPr="00831A01">
        <w:t>w</w:t>
      </w:r>
      <w:r w:rsidR="006343E1">
        <w:t> </w:t>
      </w:r>
      <w:r w:rsidRPr="00831A01">
        <w:t>przypadku minerałów niemetalicznych do 84%</w:t>
      </w:r>
      <w:r w:rsidR="006343E1">
        <w:t xml:space="preserve"> </w:t>
      </w:r>
      <w:r w:rsidR="006343E1" w:rsidRPr="00831A01">
        <w:t>w</w:t>
      </w:r>
      <w:r w:rsidR="006343E1">
        <w:t> </w:t>
      </w:r>
      <w:r w:rsidRPr="00831A01">
        <w:t xml:space="preserve">przypadku produkcji papieru, przy </w:t>
      </w:r>
      <w:r>
        <w:t xml:space="preserve">– jak wspomniano wcześniej </w:t>
      </w:r>
      <w:r w:rsidR="00477C54">
        <w:t>–</w:t>
      </w:r>
      <w:r>
        <w:t xml:space="preserve"> </w:t>
      </w:r>
      <w:r w:rsidRPr="00831A01">
        <w:t>średniej wydajności zasobów</w:t>
      </w:r>
      <w:r>
        <w:t xml:space="preserve"> na poziomie </w:t>
      </w:r>
      <w:r w:rsidRPr="00831A01">
        <w:t>63%. Istnieje znaczny potencjał poprawy</w:t>
      </w:r>
      <w:r w:rsidR="006343E1">
        <w:t xml:space="preserve"> </w:t>
      </w:r>
      <w:r w:rsidR="006343E1" w:rsidRPr="00831A01">
        <w:t>w</w:t>
      </w:r>
      <w:r w:rsidR="006343E1">
        <w:t> </w:t>
      </w:r>
      <w:r w:rsidRPr="00831A01">
        <w:t>zakresie ograniczania wkładu zasobów do tych sektorów,</w:t>
      </w:r>
      <w:r w:rsidR="006343E1">
        <w:t xml:space="preserve"> </w:t>
      </w:r>
      <w:r w:rsidR="006343E1" w:rsidRPr="00831A01">
        <w:t>z</w:t>
      </w:r>
      <w:r w:rsidR="006343E1">
        <w:t> </w:t>
      </w:r>
      <w:r w:rsidRPr="00831A01">
        <w:t>bezwzględnymi stratami egze</w:t>
      </w:r>
      <w:r>
        <w:t>rgii wynoszącymi prawie 300 PJ.</w:t>
      </w:r>
    </w:p>
    <w:p w14:paraId="374B3C9C" w14:textId="334A3BFF" w:rsidR="005B060B" w:rsidRPr="00254AB9" w:rsidRDefault="005B060B" w:rsidP="005B060B">
      <w:pPr>
        <w:pStyle w:val="Nagwek2"/>
      </w:pPr>
      <w:bookmarkStart w:id="38" w:name="_Toc511921195"/>
      <w:bookmarkStart w:id="39" w:name="_Toc517448465"/>
      <w:bookmarkStart w:id="40" w:name="_Toc31808497"/>
      <w:bookmarkStart w:id="41" w:name="_Toc106968780"/>
      <w:r w:rsidRPr="00254AB9">
        <w:t xml:space="preserve">Gospodarka odpadami, </w:t>
      </w:r>
      <w:r>
        <w:t>odzysk</w:t>
      </w:r>
      <w:r w:rsidR="006343E1">
        <w:t xml:space="preserve"> i </w:t>
      </w:r>
      <w:r w:rsidRPr="00254AB9">
        <w:t>recykling</w:t>
      </w:r>
      <w:bookmarkEnd w:id="38"/>
      <w:bookmarkEnd w:id="39"/>
      <w:bookmarkEnd w:id="40"/>
      <w:bookmarkEnd w:id="41"/>
    </w:p>
    <w:p w14:paraId="5C6110A0" w14:textId="561942E2" w:rsidR="005B060B" w:rsidRPr="00254AB9" w:rsidRDefault="005B060B" w:rsidP="005B060B">
      <w:r w:rsidRPr="00254AB9">
        <w:t>Produktywność zasobowa jest jednym</w:t>
      </w:r>
      <w:r w:rsidR="006343E1">
        <w:t xml:space="preserve"> </w:t>
      </w:r>
      <w:r w:rsidR="006343E1" w:rsidRPr="00254AB9">
        <w:t>z</w:t>
      </w:r>
      <w:r w:rsidR="006343E1">
        <w:t> </w:t>
      </w:r>
      <w:r w:rsidRPr="00254AB9">
        <w:t>wyznaczników konkurencyjności przedsiębiorców</w:t>
      </w:r>
      <w:r w:rsidR="006343E1">
        <w:t xml:space="preserve"> </w:t>
      </w:r>
      <w:r w:rsidR="006343E1" w:rsidRPr="00254AB9">
        <w:t>i</w:t>
      </w:r>
      <w:r w:rsidR="006343E1">
        <w:t> </w:t>
      </w:r>
      <w:r w:rsidRPr="00254AB9">
        <w:t>wpływa na opłacalność produkcji. Idea zrównoważonej produkcji bazuje nie tylko na zasadzie zwiększania produktywności zasobowej, tj. zmniejszania ilości surowców zużywanych na jednostkę produkowanych dóbr, ale także na założeniu zmniejszania negatywnego wpływu na środowisko procesów produkcyjnych,</w:t>
      </w:r>
      <w:r w:rsidR="006343E1">
        <w:t xml:space="preserve"> </w:t>
      </w:r>
      <w:r w:rsidR="006343E1" w:rsidRPr="00254AB9">
        <w:t>w</w:t>
      </w:r>
      <w:r w:rsidR="006343E1">
        <w:t> </w:t>
      </w:r>
      <w:r w:rsidRPr="00254AB9">
        <w:t>szczególności</w:t>
      </w:r>
      <w:r w:rsidR="006343E1">
        <w:t xml:space="preserve"> </w:t>
      </w:r>
      <w:r w:rsidR="006343E1" w:rsidRPr="00254AB9">
        <w:t>w</w:t>
      </w:r>
      <w:r w:rsidR="006343E1">
        <w:t> </w:t>
      </w:r>
      <w:r w:rsidRPr="00254AB9">
        <w:t xml:space="preserve">kontekście zmniejszania emisji </w:t>
      </w:r>
      <w:r w:rsidR="00531C8C">
        <w:t xml:space="preserve">wybranych </w:t>
      </w:r>
      <w:r w:rsidRPr="00254AB9">
        <w:t>gazów cieplarnianych</w:t>
      </w:r>
      <w:r w:rsidR="006343E1">
        <w:t xml:space="preserve"> </w:t>
      </w:r>
      <w:r w:rsidR="006343E1" w:rsidRPr="00254AB9">
        <w:t>i</w:t>
      </w:r>
      <w:r w:rsidR="006343E1">
        <w:t> </w:t>
      </w:r>
      <w:r w:rsidRPr="00254AB9">
        <w:t>wytwarzania odpadów.</w:t>
      </w:r>
    </w:p>
    <w:p w14:paraId="12C7AFCE" w14:textId="50D0413F" w:rsidR="005B060B" w:rsidRPr="00254AB9" w:rsidRDefault="005B060B" w:rsidP="005B060B">
      <w:pPr>
        <w:rPr>
          <w:rFonts w:ascii="Calibri" w:hAnsi="Calibri" w:cs="Calibri"/>
          <w:sz w:val="21"/>
          <w:szCs w:val="21"/>
        </w:rPr>
      </w:pPr>
      <w:r w:rsidRPr="00254AB9">
        <w:t>W Polsce istnieje duży potencjał poprawy</w:t>
      </w:r>
      <w:r w:rsidR="006343E1">
        <w:t xml:space="preserve"> </w:t>
      </w:r>
      <w:r w:rsidR="006343E1" w:rsidRPr="00254AB9">
        <w:t>w</w:t>
      </w:r>
      <w:r w:rsidR="006343E1">
        <w:t> </w:t>
      </w:r>
      <w:r w:rsidRPr="00254AB9">
        <w:t>zakresie działań dot</w:t>
      </w:r>
      <w:r w:rsidR="008F2775">
        <w:t>yczących</w:t>
      </w:r>
      <w:r w:rsidRPr="00254AB9">
        <w:t xml:space="preserve"> </w:t>
      </w:r>
      <w:r w:rsidR="008F2775">
        <w:t>o</w:t>
      </w:r>
      <w:r w:rsidRPr="00254AB9">
        <w:t>dpadów przemysłowych,</w:t>
      </w:r>
      <w:r w:rsidR="006343E1">
        <w:t xml:space="preserve"> </w:t>
      </w:r>
      <w:r w:rsidR="006343E1" w:rsidRPr="00254AB9">
        <w:t>w</w:t>
      </w:r>
      <w:r w:rsidR="006343E1">
        <w:t> </w:t>
      </w:r>
      <w:r w:rsidRPr="00254AB9">
        <w:t>szczególności pochodzących</w:t>
      </w:r>
      <w:r w:rsidR="006343E1">
        <w:t xml:space="preserve"> </w:t>
      </w:r>
      <w:r w:rsidR="006343E1" w:rsidRPr="00254AB9">
        <w:t>z</w:t>
      </w:r>
      <w:r w:rsidR="006343E1">
        <w:t> </w:t>
      </w:r>
      <w:r w:rsidRPr="00254AB9">
        <w:t>działalności górniczej</w:t>
      </w:r>
      <w:r w:rsidR="006343E1">
        <w:t xml:space="preserve"> </w:t>
      </w:r>
      <w:r w:rsidR="006343E1" w:rsidRPr="00254AB9">
        <w:t>i</w:t>
      </w:r>
      <w:r w:rsidR="006343E1">
        <w:t> </w:t>
      </w:r>
      <w:r w:rsidRPr="00254AB9">
        <w:t xml:space="preserve">wydobywczej, przetwórstwa przemysłowego oraz </w:t>
      </w:r>
      <w:r w:rsidRPr="00254AB9">
        <w:lastRenderedPageBreak/>
        <w:t>wytwarzania</w:t>
      </w:r>
      <w:r w:rsidR="006343E1">
        <w:t xml:space="preserve"> </w:t>
      </w:r>
      <w:r w:rsidR="006343E1" w:rsidRPr="00254AB9">
        <w:t>i</w:t>
      </w:r>
      <w:r w:rsidR="006343E1">
        <w:t> </w:t>
      </w:r>
      <w:r w:rsidRPr="00254AB9">
        <w:t>zaopatrywania</w:t>
      </w:r>
      <w:r w:rsidR="006343E1">
        <w:t xml:space="preserve"> </w:t>
      </w:r>
      <w:r w:rsidR="006343E1" w:rsidRPr="00254AB9">
        <w:t>w</w:t>
      </w:r>
      <w:r w:rsidR="006343E1">
        <w:t> </w:t>
      </w:r>
      <w:r w:rsidRPr="00254AB9">
        <w:t xml:space="preserve">energię. Prowadzenie coraz mniej </w:t>
      </w:r>
      <w:r w:rsidR="00993715">
        <w:t xml:space="preserve">odpadowej </w:t>
      </w:r>
      <w:r w:rsidRPr="00254AB9">
        <w:t>działalności produkcyjnej, zagospodarowanie jak największej ilości odpadów przemysłowych</w:t>
      </w:r>
      <w:r w:rsidR="006343E1">
        <w:t xml:space="preserve"> </w:t>
      </w:r>
      <w:r w:rsidR="006343E1" w:rsidRPr="00254AB9">
        <w:t>w</w:t>
      </w:r>
      <w:r w:rsidR="006343E1">
        <w:t> </w:t>
      </w:r>
      <w:r w:rsidRPr="00254AB9">
        <w:t>innych procesach produkcyjnych oraz</w:t>
      </w:r>
      <w:r w:rsidR="006343E1">
        <w:t xml:space="preserve"> </w:t>
      </w:r>
      <w:r w:rsidR="006343E1" w:rsidRPr="00254AB9">
        <w:t>w</w:t>
      </w:r>
      <w:r w:rsidR="006343E1">
        <w:t> </w:t>
      </w:r>
      <w:r w:rsidRPr="00254AB9">
        <w:t>innych obszarach społecznych</w:t>
      </w:r>
      <w:r w:rsidR="006343E1">
        <w:t xml:space="preserve"> </w:t>
      </w:r>
      <w:r w:rsidR="006343E1" w:rsidRPr="00254AB9">
        <w:t>i</w:t>
      </w:r>
      <w:r w:rsidR="006343E1">
        <w:t> </w:t>
      </w:r>
      <w:r w:rsidRPr="00254AB9">
        <w:t>gospodarczych może</w:t>
      </w:r>
      <w:r w:rsidR="006343E1">
        <w:t xml:space="preserve"> </w:t>
      </w:r>
      <w:r w:rsidR="006343E1" w:rsidRPr="00254AB9">
        <w:t>w</w:t>
      </w:r>
      <w:r w:rsidR="006343E1">
        <w:t> </w:t>
      </w:r>
      <w:r w:rsidRPr="00254AB9">
        <w:t>znaczący sposób przyczynić się do zwiększania opłacalności produkcji</w:t>
      </w:r>
      <w:r w:rsidR="006343E1">
        <w:t xml:space="preserve"> </w:t>
      </w:r>
      <w:r w:rsidR="006343E1" w:rsidRPr="00254AB9">
        <w:t>w</w:t>
      </w:r>
      <w:r w:rsidR="006343E1">
        <w:t> </w:t>
      </w:r>
      <w:r w:rsidRPr="00254AB9">
        <w:t>Polsce</w:t>
      </w:r>
      <w:r>
        <w:t>.</w:t>
      </w:r>
    </w:p>
    <w:p w14:paraId="11B037F9" w14:textId="5E41C954" w:rsidR="005B060B" w:rsidRPr="00F830EE" w:rsidRDefault="005B060B" w:rsidP="005B060B">
      <w:r w:rsidRPr="00F830EE">
        <w:t>Zgodnie</w:t>
      </w:r>
      <w:r w:rsidR="006343E1">
        <w:t xml:space="preserve"> </w:t>
      </w:r>
      <w:r w:rsidR="006343E1" w:rsidRPr="00F830EE">
        <w:t>z</w:t>
      </w:r>
      <w:r w:rsidR="006343E1">
        <w:t> </w:t>
      </w:r>
      <w:r w:rsidRPr="00F830EE">
        <w:t>danymi GUS</w:t>
      </w:r>
      <w:r w:rsidR="006343E1">
        <w:t xml:space="preserve"> </w:t>
      </w:r>
      <w:r w:rsidR="006343E1" w:rsidRPr="00F830EE">
        <w:t>w</w:t>
      </w:r>
      <w:r w:rsidR="006343E1">
        <w:t> </w:t>
      </w:r>
      <w:r w:rsidRPr="00F830EE">
        <w:t>Polsce</w:t>
      </w:r>
      <w:r w:rsidR="006343E1">
        <w:t xml:space="preserve"> </w:t>
      </w:r>
      <w:r w:rsidR="006343E1" w:rsidRPr="00F830EE">
        <w:t>w</w:t>
      </w:r>
      <w:r w:rsidR="006343E1">
        <w:t> </w:t>
      </w:r>
      <w:r w:rsidRPr="00F830EE">
        <w:t>201</w:t>
      </w:r>
      <w:r>
        <w:t>9</w:t>
      </w:r>
      <w:r w:rsidRPr="00F830EE">
        <w:t xml:space="preserve"> r</w:t>
      </w:r>
      <w:r w:rsidR="008F2775">
        <w:t>.</w:t>
      </w:r>
      <w:r w:rsidRPr="00F830EE">
        <w:t xml:space="preserve"> </w:t>
      </w:r>
      <w:r w:rsidRPr="00F830EE">
        <w:rPr>
          <w:bCs/>
        </w:rPr>
        <w:t>wytworzono 11</w:t>
      </w:r>
      <w:r>
        <w:rPr>
          <w:bCs/>
        </w:rPr>
        <w:t>4,1</w:t>
      </w:r>
      <w:r w:rsidRPr="00F830EE">
        <w:rPr>
          <w:bCs/>
        </w:rPr>
        <w:t>mln ton odpadów przemysłowych (</w:t>
      </w:r>
      <w:r>
        <w:rPr>
          <w:bCs/>
        </w:rPr>
        <w:t>nieznaczny spadek</w:t>
      </w:r>
      <w:r w:rsidR="006343E1">
        <w:rPr>
          <w:bCs/>
        </w:rPr>
        <w:t xml:space="preserve"> </w:t>
      </w:r>
      <w:r w:rsidR="006343E1" w:rsidRPr="00F830EE">
        <w:rPr>
          <w:bCs/>
        </w:rPr>
        <w:t>o</w:t>
      </w:r>
      <w:r w:rsidR="006343E1">
        <w:rPr>
          <w:bCs/>
        </w:rPr>
        <w:t> </w:t>
      </w:r>
      <w:r w:rsidRPr="00F830EE">
        <w:rPr>
          <w:bCs/>
        </w:rPr>
        <w:t>1% względem roku poprzedniego)</w:t>
      </w:r>
      <w:r w:rsidRPr="00F830EE">
        <w:t xml:space="preserve">. </w:t>
      </w:r>
      <w:r>
        <w:t>Ilość wytworzonych odpadów (z wyłączeniem odpadów komunalnych) od 2000 r. kształtowała się na zbliżonym poziomie (w granicach 110</w:t>
      </w:r>
      <w:r w:rsidR="008F2775">
        <w:rPr>
          <w:rFonts w:ascii="Times New Roman" w:hAnsi="Times New Roman" w:cs="Times New Roman"/>
        </w:rPr>
        <w:t>–</w:t>
      </w:r>
      <w:r>
        <w:t>130 mln ton), co przy stałym wzroście PKB może wskazywać na pozytywne trendy</w:t>
      </w:r>
      <w:r w:rsidR="006343E1">
        <w:t xml:space="preserve"> w </w:t>
      </w:r>
      <w:r>
        <w:t xml:space="preserve">gospodarce odpadami. </w:t>
      </w:r>
      <w:r w:rsidRPr="00F830EE">
        <w:t xml:space="preserve">Głównym źródłem odpadów </w:t>
      </w:r>
      <w:r>
        <w:t>przemysłowych</w:t>
      </w:r>
      <w:r w:rsidR="006343E1">
        <w:t xml:space="preserve"> </w:t>
      </w:r>
      <w:r w:rsidR="006343E1" w:rsidRPr="00F830EE">
        <w:t>w</w:t>
      </w:r>
      <w:r w:rsidR="006343E1">
        <w:t> </w:t>
      </w:r>
      <w:r w:rsidRPr="00F830EE">
        <w:t>201</w:t>
      </w:r>
      <w:r>
        <w:t>9</w:t>
      </w:r>
      <w:r w:rsidRPr="00F830EE">
        <w:t xml:space="preserve"> r. były, podobnie jak</w:t>
      </w:r>
      <w:r w:rsidR="006343E1">
        <w:t xml:space="preserve"> </w:t>
      </w:r>
      <w:r w:rsidR="006343E1" w:rsidRPr="00F830EE">
        <w:t>w</w:t>
      </w:r>
      <w:r w:rsidR="006343E1">
        <w:t> </w:t>
      </w:r>
      <w:r w:rsidRPr="00F830EE">
        <w:t>latach poprzednich</w:t>
      </w:r>
      <w:r w:rsidR="008F2775">
        <w:t>,</w:t>
      </w:r>
      <w:r w:rsidRPr="00F830EE">
        <w:t xml:space="preserve"> górnictwo</w:t>
      </w:r>
      <w:r w:rsidR="006343E1">
        <w:t xml:space="preserve"> </w:t>
      </w:r>
      <w:r w:rsidR="006343E1" w:rsidRPr="00F830EE">
        <w:t>i</w:t>
      </w:r>
      <w:r w:rsidR="006343E1">
        <w:t> </w:t>
      </w:r>
      <w:r w:rsidRPr="00F830EE">
        <w:t>wydobywanie (ok. 5</w:t>
      </w:r>
      <w:r>
        <w:t>5,8</w:t>
      </w:r>
      <w:r w:rsidRPr="00F830EE">
        <w:t>% ilości wytworzonych odpadów ogółem), przetwórstwo przemysłowe (2</w:t>
      </w:r>
      <w:r>
        <w:t>3,8</w:t>
      </w:r>
      <w:r w:rsidRPr="00F830EE">
        <w:t>%) oraz wytwarzanie</w:t>
      </w:r>
      <w:r w:rsidR="006343E1">
        <w:t xml:space="preserve"> </w:t>
      </w:r>
      <w:r w:rsidR="006343E1" w:rsidRPr="00F830EE">
        <w:t>i</w:t>
      </w:r>
      <w:r w:rsidR="006343E1">
        <w:t> </w:t>
      </w:r>
      <w:r w:rsidRPr="00F830EE">
        <w:t>zaopatrywanie</w:t>
      </w:r>
      <w:r w:rsidR="006343E1">
        <w:t xml:space="preserve"> </w:t>
      </w:r>
      <w:r w:rsidR="006343E1" w:rsidRPr="00F830EE">
        <w:t>w</w:t>
      </w:r>
      <w:r w:rsidR="006343E1">
        <w:t> </w:t>
      </w:r>
      <w:r w:rsidRPr="00F830EE">
        <w:t>energię elektryczną (1</w:t>
      </w:r>
      <w:r>
        <w:t>2,3</w:t>
      </w:r>
      <w:r w:rsidRPr="00F830EE">
        <w:t>%).</w:t>
      </w:r>
      <w:r w:rsidR="006343E1">
        <w:t xml:space="preserve"> </w:t>
      </w:r>
      <w:r w:rsidR="006343E1" w:rsidRPr="00F830EE">
        <w:t>W</w:t>
      </w:r>
      <w:r w:rsidR="006343E1">
        <w:t> </w:t>
      </w:r>
      <w:r w:rsidRPr="00F830EE">
        <w:t>ostatnim dziesięcioleciu największy udział</w:t>
      </w:r>
      <w:r w:rsidR="006343E1">
        <w:t xml:space="preserve"> </w:t>
      </w:r>
      <w:r w:rsidR="006343E1" w:rsidRPr="00F830EE">
        <w:t>w</w:t>
      </w:r>
      <w:r w:rsidR="006343E1">
        <w:t> </w:t>
      </w:r>
      <w:r w:rsidRPr="00F830EE">
        <w:t>ilości odpadów wytworzonych stanowiły odpady powstające przy poszukiwaniu, wydobywaniu, fizycznej</w:t>
      </w:r>
      <w:r w:rsidR="006343E1">
        <w:t xml:space="preserve"> </w:t>
      </w:r>
      <w:r w:rsidR="006343E1" w:rsidRPr="00F830EE">
        <w:t>i</w:t>
      </w:r>
      <w:r w:rsidR="006343E1">
        <w:t> </w:t>
      </w:r>
      <w:r w:rsidRPr="00F830EE">
        <w:t>chemicznej przeróbce rud</w:t>
      </w:r>
      <w:r w:rsidR="006343E1">
        <w:t xml:space="preserve"> </w:t>
      </w:r>
      <w:r w:rsidR="006343E1" w:rsidRPr="00F830EE">
        <w:t>i</w:t>
      </w:r>
      <w:r w:rsidR="006343E1">
        <w:t> </w:t>
      </w:r>
      <w:r w:rsidRPr="00F830EE">
        <w:t xml:space="preserve">innych kopalin </w:t>
      </w:r>
      <w:r w:rsidRPr="00181A7D">
        <w:t>(</w:t>
      </w:r>
      <w:r>
        <w:t>60</w:t>
      </w:r>
      <w:r w:rsidRPr="00181A7D">
        <w:t>%</w:t>
      </w:r>
      <w:r w:rsidR="006343E1">
        <w:t xml:space="preserve"> </w:t>
      </w:r>
      <w:r w:rsidR="006343E1" w:rsidRPr="00181A7D">
        <w:t>w</w:t>
      </w:r>
      <w:r w:rsidR="006343E1">
        <w:t> </w:t>
      </w:r>
      <w:r w:rsidRPr="00181A7D">
        <w:t>201</w:t>
      </w:r>
      <w:r>
        <w:t>9</w:t>
      </w:r>
      <w:r w:rsidRPr="00181A7D">
        <w:t xml:space="preserve"> r.) oraz odpady</w:t>
      </w:r>
      <w:r w:rsidR="006343E1">
        <w:t xml:space="preserve"> </w:t>
      </w:r>
      <w:r w:rsidR="006343E1" w:rsidRPr="00181A7D">
        <w:t>z</w:t>
      </w:r>
      <w:r w:rsidR="006343E1">
        <w:t> </w:t>
      </w:r>
      <w:r w:rsidRPr="00181A7D">
        <w:t>procesów termicznych (2</w:t>
      </w:r>
      <w:r>
        <w:t>0</w:t>
      </w:r>
      <w:r w:rsidRPr="00181A7D">
        <w:t>%).</w:t>
      </w:r>
      <w:r w:rsidRPr="00F830EE">
        <w:t xml:space="preserve"> </w:t>
      </w:r>
    </w:p>
    <w:p w14:paraId="305FFF89" w14:textId="1CD58B46" w:rsidR="005B060B" w:rsidRPr="00254AB9" w:rsidRDefault="005B060B" w:rsidP="005B060B">
      <w:pPr>
        <w:rPr>
          <w:color w:val="FF0000"/>
        </w:rPr>
      </w:pPr>
      <w:r w:rsidRPr="00F830EE">
        <w:t>Z ogólnej ilości odpadów wytworzonych</w:t>
      </w:r>
      <w:r w:rsidR="006343E1">
        <w:t xml:space="preserve"> </w:t>
      </w:r>
      <w:r w:rsidR="006343E1" w:rsidRPr="00F830EE">
        <w:t>w</w:t>
      </w:r>
      <w:r w:rsidR="006343E1">
        <w:t> </w:t>
      </w:r>
      <w:r w:rsidRPr="00181A7D">
        <w:t>201</w:t>
      </w:r>
      <w:r>
        <w:t>9</w:t>
      </w:r>
      <w:r w:rsidR="00BE607F">
        <w:t xml:space="preserve"> </w:t>
      </w:r>
      <w:r w:rsidRPr="00181A7D">
        <w:t xml:space="preserve">r. </w:t>
      </w:r>
      <w:r>
        <w:t>49</w:t>
      </w:r>
      <w:r w:rsidRPr="00181A7D">
        <w:t>% odpadów zostało poddanych odzyskowi</w:t>
      </w:r>
      <w:r w:rsidRPr="00A862D0">
        <w:t>,</w:t>
      </w:r>
      <w:r w:rsidR="006343E1">
        <w:t xml:space="preserve"> </w:t>
      </w:r>
      <w:r w:rsidR="006343E1" w:rsidRPr="00A862D0">
        <w:t>a</w:t>
      </w:r>
      <w:r w:rsidR="006343E1">
        <w:t> </w:t>
      </w:r>
      <w:r w:rsidRPr="00A862D0">
        <w:t>43% podd</w:t>
      </w:r>
      <w:r w:rsidRPr="00181A7D">
        <w:t>ano unieszkodl</w:t>
      </w:r>
      <w:r w:rsidRPr="00F830EE">
        <w:t>iwieniu.</w:t>
      </w:r>
    </w:p>
    <w:p w14:paraId="6DDAE775" w14:textId="421CF686" w:rsidR="005B060B" w:rsidRPr="00254AB9" w:rsidRDefault="005B060B" w:rsidP="005B060B">
      <w:r w:rsidRPr="00254AB9">
        <w:t>Brak jest</w:t>
      </w:r>
      <w:r w:rsidR="00993715">
        <w:t>,</w:t>
      </w:r>
      <w:r w:rsidRPr="00254AB9">
        <w:t xml:space="preserve"> zarówno</w:t>
      </w:r>
      <w:r w:rsidR="006343E1">
        <w:t xml:space="preserve"> </w:t>
      </w:r>
      <w:r w:rsidR="006343E1" w:rsidRPr="00254AB9">
        <w:t>w</w:t>
      </w:r>
      <w:r w:rsidR="006343E1">
        <w:t> </w:t>
      </w:r>
      <w:r w:rsidRPr="00254AB9">
        <w:t>prawie europejskim, jak</w:t>
      </w:r>
      <w:r w:rsidR="006343E1">
        <w:t xml:space="preserve"> </w:t>
      </w:r>
      <w:r w:rsidR="006343E1" w:rsidRPr="00254AB9">
        <w:t>i</w:t>
      </w:r>
      <w:r w:rsidR="006343E1">
        <w:t> </w:t>
      </w:r>
      <w:r>
        <w:t xml:space="preserve">w </w:t>
      </w:r>
      <w:r w:rsidRPr="00254AB9">
        <w:t>polsk</w:t>
      </w:r>
      <w:r w:rsidR="00993715">
        <w:t>im specyficznych uregulowań dotyczących</w:t>
      </w:r>
      <w:r w:rsidRPr="00254AB9">
        <w:t xml:space="preserve"> </w:t>
      </w:r>
      <w:r w:rsidR="00993715">
        <w:t>o</w:t>
      </w:r>
      <w:r w:rsidRPr="00254AB9">
        <w:t xml:space="preserve">dpadów przemysłowych. Oczywiście odnoszą się do nich ogólne przepisy </w:t>
      </w:r>
      <w:r w:rsidR="00993715">
        <w:t>odpadowe</w:t>
      </w:r>
      <w:r w:rsidRPr="00254AB9">
        <w:t>, m.in. dot</w:t>
      </w:r>
      <w:r w:rsidR="008F2775">
        <w:t>yczące</w:t>
      </w:r>
      <w:r w:rsidRPr="00254AB9">
        <w:t xml:space="preserve"> przemieszczania odpadów</w:t>
      </w:r>
      <w:r w:rsidR="006343E1">
        <w:t xml:space="preserve"> </w:t>
      </w:r>
      <w:r w:rsidR="006343E1" w:rsidRPr="00254AB9">
        <w:t>i</w:t>
      </w:r>
      <w:r w:rsidR="006343E1">
        <w:t> </w:t>
      </w:r>
      <w:r w:rsidRPr="00254AB9">
        <w:t>sposobów zagospodarowania. Ponadto regulacje odnoszące się do kryteriów składowania odpadów</w:t>
      </w:r>
      <w:r w:rsidR="006343E1">
        <w:t xml:space="preserve"> </w:t>
      </w:r>
      <w:r w:rsidR="006343E1" w:rsidRPr="00254AB9">
        <w:t>w</w:t>
      </w:r>
      <w:r w:rsidR="006343E1">
        <w:t> </w:t>
      </w:r>
      <w:r w:rsidRPr="00254AB9">
        <w:t xml:space="preserve">przeważającej części </w:t>
      </w:r>
      <w:r w:rsidRPr="000C5EEF">
        <w:t>dot</w:t>
      </w:r>
      <w:r w:rsidRPr="007B428A">
        <w:t>yczą</w:t>
      </w:r>
      <w:r w:rsidRPr="00254AB9">
        <w:t xml:space="preserve"> właśnie odpadów przemysłowych. </w:t>
      </w:r>
    </w:p>
    <w:p w14:paraId="01EE78A8" w14:textId="2DB51CC4" w:rsidR="005B060B" w:rsidRPr="00254AB9" w:rsidRDefault="005B060B" w:rsidP="005B060B">
      <w:r w:rsidRPr="00254AB9">
        <w:t xml:space="preserve">Należy podkreślić, </w:t>
      </w:r>
      <w:r w:rsidR="008F2775">
        <w:t>że</w:t>
      </w:r>
      <w:r w:rsidRPr="00254AB9">
        <w:t xml:space="preserve"> odpady przemysłowe są bardzo zróżnicowane</w:t>
      </w:r>
      <w:r w:rsidR="006343E1">
        <w:t xml:space="preserve"> </w:t>
      </w:r>
      <w:r w:rsidR="006343E1" w:rsidRPr="00254AB9">
        <w:t>i</w:t>
      </w:r>
      <w:r w:rsidR="006343E1">
        <w:t> </w:t>
      </w:r>
      <w:r w:rsidRPr="00254AB9">
        <w:t xml:space="preserve">wymagają rożnego podejścia do ich wykorzystania. Zupełnie inne sposoby zagospodarowania </w:t>
      </w:r>
      <w:r w:rsidR="00FC65F4" w:rsidRPr="00254AB9">
        <w:t xml:space="preserve">będą </w:t>
      </w:r>
      <w:r w:rsidRPr="00254AB9">
        <w:t>dotyczyć odpadów powstających przy płukaniu</w:t>
      </w:r>
      <w:r w:rsidR="006343E1">
        <w:t xml:space="preserve"> </w:t>
      </w:r>
      <w:r w:rsidR="006343E1" w:rsidRPr="00254AB9">
        <w:t>i</w:t>
      </w:r>
      <w:r w:rsidR="006343E1">
        <w:t> </w:t>
      </w:r>
      <w:r w:rsidRPr="00254AB9">
        <w:t>oczyszczaniu kopalin,</w:t>
      </w:r>
      <w:r w:rsidR="006343E1">
        <w:t xml:space="preserve"> </w:t>
      </w:r>
      <w:r w:rsidR="006343E1" w:rsidRPr="00254AB9">
        <w:t>a</w:t>
      </w:r>
      <w:r w:rsidR="006343E1">
        <w:t> </w:t>
      </w:r>
      <w:r w:rsidRPr="00254AB9">
        <w:t>inne odpadów</w:t>
      </w:r>
      <w:r w:rsidR="006343E1">
        <w:t xml:space="preserve"> </w:t>
      </w:r>
      <w:r w:rsidR="006343E1" w:rsidRPr="00254AB9">
        <w:t>z</w:t>
      </w:r>
      <w:r w:rsidR="006343E1">
        <w:t> </w:t>
      </w:r>
      <w:r w:rsidRPr="00254AB9">
        <w:t>przemysłu spożywczego.</w:t>
      </w:r>
      <w:r w:rsidR="006343E1">
        <w:t xml:space="preserve"> </w:t>
      </w:r>
      <w:r w:rsidR="006343E1" w:rsidRPr="00254AB9">
        <w:t>W</w:t>
      </w:r>
      <w:r w:rsidR="006343E1">
        <w:t> </w:t>
      </w:r>
      <w:r w:rsidRPr="00254AB9">
        <w:t>każdym natomiast sektorze istnieją zasoby surowców, które obecnie nie są wykorzystywane.</w:t>
      </w:r>
      <w:r w:rsidR="006343E1">
        <w:t xml:space="preserve"> </w:t>
      </w:r>
      <w:r w:rsidR="006343E1" w:rsidRPr="00254AB9">
        <w:t>Z</w:t>
      </w:r>
      <w:r w:rsidR="006343E1">
        <w:t> </w:t>
      </w:r>
      <w:r w:rsidRPr="00254AB9">
        <w:t>jednej strony wiąże się to</w:t>
      </w:r>
      <w:r w:rsidR="006343E1">
        <w:t xml:space="preserve"> </w:t>
      </w:r>
      <w:r w:rsidR="006343E1" w:rsidRPr="00254AB9">
        <w:t>z</w:t>
      </w:r>
      <w:r w:rsidR="006343E1">
        <w:t> </w:t>
      </w:r>
      <w:r w:rsidRPr="00254AB9">
        <w:t>koniecznością zagospodarowania odpadów,</w:t>
      </w:r>
      <w:r w:rsidR="006343E1">
        <w:t xml:space="preserve"> </w:t>
      </w:r>
      <w:r w:rsidR="006343E1" w:rsidRPr="00254AB9">
        <w:t>w</w:t>
      </w:r>
      <w:r w:rsidR="006343E1">
        <w:t> </w:t>
      </w:r>
      <w:r w:rsidRPr="00254AB9">
        <w:t>tym bardzo często ich składowania.</w:t>
      </w:r>
      <w:r w:rsidR="006343E1">
        <w:t xml:space="preserve"> </w:t>
      </w:r>
      <w:r w:rsidR="006343E1" w:rsidRPr="00254AB9">
        <w:t>Z</w:t>
      </w:r>
      <w:r w:rsidR="006343E1">
        <w:t> </w:t>
      </w:r>
      <w:r w:rsidRPr="00254AB9">
        <w:t xml:space="preserve">drugiej natomiast zmniejsza produktywność zasobową polskiego przemysłu. </w:t>
      </w:r>
    </w:p>
    <w:p w14:paraId="2BFC3CF5" w14:textId="181D56F5" w:rsidR="009568BA" w:rsidRPr="009568BA" w:rsidRDefault="009568BA" w:rsidP="005B060B">
      <w:r w:rsidRPr="009568BA">
        <w:t>W obecnym systemie regulacyjnym funkcjonuje tzw. rozszerzona odpowiedzialność producenta (EPR</w:t>
      </w:r>
      <w:r w:rsidR="005B060B" w:rsidRPr="00254AB9">
        <w:t>)</w:t>
      </w:r>
      <w:r w:rsidR="00FC65F4">
        <w:t>,</w:t>
      </w:r>
      <w:r w:rsidRPr="009568BA">
        <w:t>) w szczególności w odniesieniu do opakowań, pojazdów, sprzętu elektrycznego i elektronicznego, opon oraz baterii i akumulatorów</w:t>
      </w:r>
    </w:p>
    <w:p w14:paraId="30AF33A5" w14:textId="06BB4060" w:rsidR="005B060B" w:rsidRPr="00A71123" w:rsidRDefault="005B060B" w:rsidP="005B060B">
      <w:pPr>
        <w:rPr>
          <w:rFonts w:cs="Calibri"/>
          <w:sz w:val="21"/>
          <w:szCs w:val="21"/>
          <w:lang w:eastAsia="pl-PL"/>
        </w:rPr>
      </w:pPr>
      <w:r w:rsidRPr="00400AAE">
        <w:rPr>
          <w:lang w:eastAsia="pl-PL"/>
        </w:rPr>
        <w:t>W 201</w:t>
      </w:r>
      <w:r>
        <w:rPr>
          <w:lang w:eastAsia="pl-PL"/>
        </w:rPr>
        <w:t>8</w:t>
      </w:r>
      <w:r w:rsidRPr="00400AAE">
        <w:rPr>
          <w:lang w:eastAsia="pl-PL"/>
        </w:rPr>
        <w:t xml:space="preserve"> r. wprowadzono na terytorium Polski łącznie 6</w:t>
      </w:r>
      <w:r>
        <w:rPr>
          <w:lang w:eastAsia="pl-PL"/>
        </w:rPr>
        <w:t>60</w:t>
      </w:r>
      <w:r w:rsidRPr="00400AAE">
        <w:rPr>
          <w:lang w:eastAsia="pl-PL"/>
        </w:rPr>
        <w:t xml:space="preserve"> tys. ton sprzętu elektrycznego</w:t>
      </w:r>
      <w:r w:rsidR="006343E1">
        <w:rPr>
          <w:lang w:eastAsia="pl-PL"/>
        </w:rPr>
        <w:t xml:space="preserve"> </w:t>
      </w:r>
      <w:r w:rsidR="006343E1" w:rsidRPr="00400AAE">
        <w:rPr>
          <w:lang w:eastAsia="pl-PL"/>
        </w:rPr>
        <w:t>i</w:t>
      </w:r>
      <w:r w:rsidR="006343E1">
        <w:rPr>
          <w:lang w:eastAsia="pl-PL"/>
        </w:rPr>
        <w:t> </w:t>
      </w:r>
      <w:r w:rsidRPr="00400AAE">
        <w:rPr>
          <w:lang w:eastAsia="pl-PL"/>
        </w:rPr>
        <w:t>elektronicznego</w:t>
      </w:r>
      <w:r>
        <w:rPr>
          <w:lang w:eastAsia="pl-PL"/>
        </w:rPr>
        <w:t>, a </w:t>
      </w:r>
      <w:r w:rsidRPr="000D03DE">
        <w:rPr>
          <w:lang w:eastAsia="pl-PL"/>
        </w:rPr>
        <w:t xml:space="preserve">zebrano </w:t>
      </w:r>
      <w:r>
        <w:rPr>
          <w:lang w:eastAsia="pl-PL"/>
        </w:rPr>
        <w:t>330</w:t>
      </w:r>
      <w:r w:rsidRPr="000D03DE">
        <w:rPr>
          <w:lang w:eastAsia="pl-PL"/>
        </w:rPr>
        <w:t xml:space="preserve"> </w:t>
      </w:r>
      <w:r w:rsidR="00AC617D">
        <w:rPr>
          <w:lang w:eastAsia="pl-PL"/>
        </w:rPr>
        <w:t>tys.</w:t>
      </w:r>
      <w:r w:rsidRPr="000D03DE">
        <w:rPr>
          <w:lang w:eastAsia="pl-PL"/>
        </w:rPr>
        <w:t xml:space="preserve"> ton zużytego sprzętu elektrycznego</w:t>
      </w:r>
      <w:r w:rsidR="006343E1">
        <w:rPr>
          <w:lang w:eastAsia="pl-PL"/>
        </w:rPr>
        <w:t xml:space="preserve"> </w:t>
      </w:r>
      <w:r w:rsidR="006343E1" w:rsidRPr="000D03DE">
        <w:rPr>
          <w:lang w:eastAsia="pl-PL"/>
        </w:rPr>
        <w:t>i</w:t>
      </w:r>
      <w:r w:rsidR="006343E1">
        <w:rPr>
          <w:lang w:eastAsia="pl-PL"/>
        </w:rPr>
        <w:t> </w:t>
      </w:r>
      <w:r w:rsidRPr="000D03DE">
        <w:rPr>
          <w:lang w:eastAsia="pl-PL"/>
        </w:rPr>
        <w:t xml:space="preserve">elektronicznego (o </w:t>
      </w:r>
      <w:r>
        <w:rPr>
          <w:lang w:eastAsia="pl-PL"/>
        </w:rPr>
        <w:t>34</w:t>
      </w:r>
      <w:r w:rsidRPr="000D03DE">
        <w:rPr>
          <w:lang w:eastAsia="pl-PL"/>
        </w:rPr>
        <w:t>% więcej r/r),</w:t>
      </w:r>
      <w:r w:rsidR="006343E1">
        <w:rPr>
          <w:lang w:eastAsia="pl-PL"/>
        </w:rPr>
        <w:t xml:space="preserve"> </w:t>
      </w:r>
      <w:r w:rsidR="006343E1" w:rsidRPr="000D03DE">
        <w:rPr>
          <w:lang w:eastAsia="pl-PL"/>
        </w:rPr>
        <w:t>w</w:t>
      </w:r>
      <w:r w:rsidR="006343E1">
        <w:rPr>
          <w:lang w:eastAsia="pl-PL"/>
        </w:rPr>
        <w:t> </w:t>
      </w:r>
      <w:r w:rsidRPr="000D03DE">
        <w:rPr>
          <w:lang w:eastAsia="pl-PL"/>
        </w:rPr>
        <w:t>tym</w:t>
      </w:r>
      <w:r w:rsidR="006343E1">
        <w:rPr>
          <w:lang w:eastAsia="pl-PL"/>
        </w:rPr>
        <w:t xml:space="preserve"> </w:t>
      </w:r>
      <w:r w:rsidR="006343E1" w:rsidRPr="000D03DE">
        <w:rPr>
          <w:lang w:eastAsia="pl-PL"/>
        </w:rPr>
        <w:t>z</w:t>
      </w:r>
      <w:r w:rsidR="006343E1">
        <w:rPr>
          <w:lang w:eastAsia="pl-PL"/>
        </w:rPr>
        <w:t> </w:t>
      </w:r>
      <w:r w:rsidRPr="000D03DE">
        <w:rPr>
          <w:lang w:eastAsia="pl-PL"/>
        </w:rPr>
        <w:t xml:space="preserve">gospodarstw domowych </w:t>
      </w:r>
      <w:r>
        <w:rPr>
          <w:lang w:eastAsia="pl-PL"/>
        </w:rPr>
        <w:t>302</w:t>
      </w:r>
      <w:r w:rsidRPr="000D03DE">
        <w:rPr>
          <w:lang w:eastAsia="pl-PL"/>
        </w:rPr>
        <w:t xml:space="preserve"> </w:t>
      </w:r>
      <w:r w:rsidR="00AC617D">
        <w:rPr>
          <w:lang w:eastAsia="pl-PL"/>
        </w:rPr>
        <w:t>tys.</w:t>
      </w:r>
      <w:r w:rsidRPr="000D03DE">
        <w:rPr>
          <w:lang w:eastAsia="pl-PL"/>
        </w:rPr>
        <w:t xml:space="preserve"> ton. Najwięcej zużytego sprzętu zebrano</w:t>
      </w:r>
      <w:r w:rsidR="006343E1">
        <w:rPr>
          <w:lang w:eastAsia="pl-PL"/>
        </w:rPr>
        <w:t xml:space="preserve"> </w:t>
      </w:r>
      <w:r w:rsidR="006343E1" w:rsidRPr="000D03DE">
        <w:rPr>
          <w:lang w:eastAsia="pl-PL"/>
        </w:rPr>
        <w:t>w</w:t>
      </w:r>
      <w:r w:rsidR="006343E1">
        <w:rPr>
          <w:lang w:eastAsia="pl-PL"/>
        </w:rPr>
        <w:t> </w:t>
      </w:r>
      <w:r w:rsidRPr="000D03DE">
        <w:rPr>
          <w:lang w:eastAsia="pl-PL"/>
        </w:rPr>
        <w:t>grupie obejmującej wielkogabarytowe urządzenia gospodarstwa domowego (</w:t>
      </w:r>
      <w:r>
        <w:rPr>
          <w:lang w:eastAsia="pl-PL"/>
        </w:rPr>
        <w:t>4</w:t>
      </w:r>
      <w:r w:rsidRPr="000D03DE">
        <w:rPr>
          <w:lang w:eastAsia="pl-PL"/>
        </w:rPr>
        <w:t>2% masy zebranego sprzętu ogółem)</w:t>
      </w:r>
      <w:r>
        <w:rPr>
          <w:lang w:eastAsia="pl-PL"/>
        </w:rPr>
        <w:t xml:space="preserve"> oraz</w:t>
      </w:r>
      <w:r w:rsidRPr="000D03DE">
        <w:rPr>
          <w:lang w:eastAsia="pl-PL"/>
        </w:rPr>
        <w:t xml:space="preserve"> sprzęt </w:t>
      </w:r>
      <w:r>
        <w:rPr>
          <w:lang w:eastAsia="pl-PL"/>
        </w:rPr>
        <w:t>działający na zasadzie wymiany temperatury</w:t>
      </w:r>
      <w:r w:rsidRPr="000D03DE">
        <w:rPr>
          <w:lang w:eastAsia="pl-PL"/>
        </w:rPr>
        <w:t xml:space="preserve"> (</w:t>
      </w:r>
      <w:r>
        <w:rPr>
          <w:lang w:eastAsia="pl-PL"/>
        </w:rPr>
        <w:t>21</w:t>
      </w:r>
      <w:r w:rsidRPr="000D03DE">
        <w:rPr>
          <w:lang w:eastAsia="pl-PL"/>
        </w:rPr>
        <w:t>%)</w:t>
      </w:r>
      <w:r w:rsidR="00993715">
        <w:rPr>
          <w:lang w:eastAsia="pl-PL"/>
        </w:rPr>
        <w:t>.</w:t>
      </w:r>
    </w:p>
    <w:p w14:paraId="4C5D1469" w14:textId="74BD104E" w:rsidR="005B060B" w:rsidRDefault="005B060B" w:rsidP="005B060B">
      <w:pPr>
        <w:rPr>
          <w:lang w:eastAsia="pl-PL"/>
        </w:rPr>
      </w:pPr>
      <w:r w:rsidRPr="00A71123">
        <w:rPr>
          <w:lang w:eastAsia="pl-PL"/>
        </w:rPr>
        <w:t>W 201</w:t>
      </w:r>
      <w:r>
        <w:rPr>
          <w:lang w:eastAsia="pl-PL"/>
        </w:rPr>
        <w:t>8</w:t>
      </w:r>
      <w:r w:rsidRPr="00A71123">
        <w:rPr>
          <w:lang w:eastAsia="pl-PL"/>
        </w:rPr>
        <w:t xml:space="preserve"> r. osi</w:t>
      </w:r>
      <w:r w:rsidRPr="00A71123">
        <w:rPr>
          <w:rFonts w:hint="eastAsia"/>
          <w:lang w:eastAsia="pl-PL"/>
        </w:rPr>
        <w:t>ą</w:t>
      </w:r>
      <w:r w:rsidRPr="00A71123">
        <w:rPr>
          <w:lang w:eastAsia="pl-PL"/>
        </w:rPr>
        <w:t>gni</w:t>
      </w:r>
      <w:r w:rsidRPr="00A71123">
        <w:rPr>
          <w:rFonts w:hint="eastAsia"/>
          <w:lang w:eastAsia="pl-PL"/>
        </w:rPr>
        <w:t>ę</w:t>
      </w:r>
      <w:r w:rsidRPr="00A71123">
        <w:rPr>
          <w:lang w:eastAsia="pl-PL"/>
        </w:rPr>
        <w:t>to poziom przygotowania do ponownego u</w:t>
      </w:r>
      <w:r w:rsidRPr="00A71123">
        <w:rPr>
          <w:rFonts w:hint="eastAsia"/>
          <w:lang w:eastAsia="pl-PL"/>
        </w:rPr>
        <w:t>ż</w:t>
      </w:r>
      <w:r w:rsidRPr="00A71123">
        <w:rPr>
          <w:lang w:eastAsia="pl-PL"/>
        </w:rPr>
        <w:t>ycia</w:t>
      </w:r>
      <w:r w:rsidR="006343E1">
        <w:rPr>
          <w:lang w:eastAsia="pl-PL"/>
        </w:rPr>
        <w:t xml:space="preserve"> </w:t>
      </w:r>
      <w:r w:rsidR="006343E1" w:rsidRPr="00A71123">
        <w:rPr>
          <w:lang w:eastAsia="pl-PL"/>
        </w:rPr>
        <w:t>i</w:t>
      </w:r>
      <w:r w:rsidR="006343E1">
        <w:rPr>
          <w:lang w:eastAsia="pl-PL"/>
        </w:rPr>
        <w:t> </w:t>
      </w:r>
      <w:r w:rsidRPr="00A71123">
        <w:rPr>
          <w:lang w:eastAsia="pl-PL"/>
        </w:rPr>
        <w:t>recyklingu zu</w:t>
      </w:r>
      <w:r w:rsidRPr="00A71123">
        <w:rPr>
          <w:rFonts w:hint="eastAsia"/>
          <w:lang w:eastAsia="pl-PL"/>
        </w:rPr>
        <w:t>ż</w:t>
      </w:r>
      <w:r w:rsidRPr="00A71123">
        <w:rPr>
          <w:lang w:eastAsia="pl-PL"/>
        </w:rPr>
        <w:t>ytego sprz</w:t>
      </w:r>
      <w:r w:rsidRPr="00A71123">
        <w:rPr>
          <w:rFonts w:hint="eastAsia"/>
          <w:lang w:eastAsia="pl-PL"/>
        </w:rPr>
        <w:t>ę</w:t>
      </w:r>
      <w:r w:rsidRPr="00A71123">
        <w:rPr>
          <w:lang w:eastAsia="pl-PL"/>
        </w:rPr>
        <w:t>tu elektrycznego</w:t>
      </w:r>
      <w:r w:rsidR="006343E1">
        <w:rPr>
          <w:lang w:eastAsia="pl-PL"/>
        </w:rPr>
        <w:t xml:space="preserve"> </w:t>
      </w:r>
      <w:r w:rsidR="006343E1" w:rsidRPr="00A71123">
        <w:rPr>
          <w:lang w:eastAsia="pl-PL"/>
        </w:rPr>
        <w:t>i</w:t>
      </w:r>
      <w:r w:rsidR="006343E1">
        <w:rPr>
          <w:lang w:eastAsia="pl-PL"/>
        </w:rPr>
        <w:t> </w:t>
      </w:r>
      <w:r w:rsidRPr="00A71123">
        <w:rPr>
          <w:lang w:eastAsia="pl-PL"/>
        </w:rPr>
        <w:t>elektronicznego dla wielkogabarytowych urz</w:t>
      </w:r>
      <w:r w:rsidRPr="00A71123">
        <w:rPr>
          <w:rFonts w:hint="eastAsia"/>
          <w:lang w:eastAsia="pl-PL"/>
        </w:rPr>
        <w:t>ą</w:t>
      </w:r>
      <w:r w:rsidRPr="00A71123">
        <w:rPr>
          <w:lang w:eastAsia="pl-PL"/>
        </w:rPr>
        <w:t>dze</w:t>
      </w:r>
      <w:r w:rsidRPr="00A71123">
        <w:rPr>
          <w:rFonts w:hint="eastAsia"/>
          <w:lang w:eastAsia="pl-PL"/>
        </w:rPr>
        <w:t>ń</w:t>
      </w:r>
      <w:r w:rsidRPr="00A71123">
        <w:rPr>
          <w:lang w:eastAsia="pl-PL"/>
        </w:rPr>
        <w:t xml:space="preserve"> gospodarstwa domowego</w:t>
      </w:r>
      <w:r>
        <w:rPr>
          <w:lang w:eastAsia="pl-PL"/>
        </w:rPr>
        <w:t xml:space="preserve"> </w:t>
      </w:r>
      <w:r w:rsidR="00FC65F4">
        <w:rPr>
          <w:rFonts w:ascii="Times New Roman" w:hAnsi="Times New Roman" w:cs="Times New Roman"/>
          <w:lang w:eastAsia="pl-PL"/>
        </w:rPr>
        <w:t>–</w:t>
      </w:r>
      <w:r w:rsidRPr="00A71123">
        <w:rPr>
          <w:lang w:eastAsia="pl-PL"/>
        </w:rPr>
        <w:t xml:space="preserve"> </w:t>
      </w:r>
      <w:r>
        <w:rPr>
          <w:lang w:eastAsia="pl-PL"/>
        </w:rPr>
        <w:t>68</w:t>
      </w:r>
      <w:r w:rsidRPr="00A71123">
        <w:rPr>
          <w:lang w:eastAsia="pl-PL"/>
        </w:rPr>
        <w:t>%,</w:t>
      </w:r>
      <w:r w:rsidR="006343E1">
        <w:rPr>
          <w:lang w:eastAsia="pl-PL"/>
        </w:rPr>
        <w:t xml:space="preserve"> a </w:t>
      </w:r>
      <w:r w:rsidRPr="00A71123">
        <w:rPr>
          <w:lang w:eastAsia="pl-PL"/>
        </w:rPr>
        <w:t>dla sprz</w:t>
      </w:r>
      <w:r w:rsidRPr="00A71123">
        <w:rPr>
          <w:rFonts w:hint="eastAsia"/>
          <w:lang w:eastAsia="pl-PL"/>
        </w:rPr>
        <w:t>ę</w:t>
      </w:r>
      <w:r w:rsidRPr="00A71123">
        <w:rPr>
          <w:lang w:eastAsia="pl-PL"/>
        </w:rPr>
        <w:t xml:space="preserve">tu </w:t>
      </w:r>
      <w:r>
        <w:rPr>
          <w:lang w:eastAsia="pl-PL"/>
        </w:rPr>
        <w:t>działającego na zasadzie wymiany temperatury</w:t>
      </w:r>
      <w:r w:rsidRPr="00A71123">
        <w:rPr>
          <w:lang w:eastAsia="pl-PL"/>
        </w:rPr>
        <w:t xml:space="preserve"> </w:t>
      </w:r>
      <w:r w:rsidR="00FC65F4">
        <w:rPr>
          <w:rFonts w:ascii="Times New Roman" w:hAnsi="Times New Roman" w:cs="Times New Roman"/>
          <w:lang w:eastAsia="pl-PL"/>
        </w:rPr>
        <w:t>–</w:t>
      </w:r>
      <w:r>
        <w:rPr>
          <w:lang w:eastAsia="pl-PL"/>
        </w:rPr>
        <w:t xml:space="preserve"> 73</w:t>
      </w:r>
      <w:r w:rsidR="00FC65F4" w:rsidRPr="00A71123">
        <w:rPr>
          <w:lang w:eastAsia="pl-PL"/>
        </w:rPr>
        <w:t>%</w:t>
      </w:r>
      <w:r w:rsidR="00FC65F4">
        <w:rPr>
          <w:lang w:eastAsia="pl-PL"/>
        </w:rPr>
        <w:t>.</w:t>
      </w:r>
      <w:r w:rsidR="006343E1">
        <w:rPr>
          <w:lang w:eastAsia="pl-PL"/>
        </w:rPr>
        <w:t xml:space="preserve"> </w:t>
      </w:r>
      <w:r w:rsidR="006343E1" w:rsidRPr="00A71123">
        <w:rPr>
          <w:lang w:eastAsia="pl-PL"/>
        </w:rPr>
        <w:t>W</w:t>
      </w:r>
      <w:r w:rsidR="006343E1">
        <w:rPr>
          <w:lang w:eastAsia="pl-PL"/>
        </w:rPr>
        <w:t> </w:t>
      </w:r>
      <w:r w:rsidRPr="00A71123">
        <w:rPr>
          <w:lang w:eastAsia="pl-PL"/>
        </w:rPr>
        <w:t>przeliczeniu na 1 mieszka</w:t>
      </w:r>
      <w:r w:rsidRPr="00A71123">
        <w:rPr>
          <w:rFonts w:hint="eastAsia"/>
          <w:lang w:eastAsia="pl-PL"/>
        </w:rPr>
        <w:t>ń</w:t>
      </w:r>
      <w:r w:rsidRPr="00A71123">
        <w:rPr>
          <w:lang w:eastAsia="pl-PL"/>
        </w:rPr>
        <w:t xml:space="preserve">ca zebrano </w:t>
      </w:r>
      <w:r>
        <w:rPr>
          <w:lang w:eastAsia="pl-PL"/>
        </w:rPr>
        <w:t>8,7</w:t>
      </w:r>
      <w:r w:rsidRPr="00A71123">
        <w:rPr>
          <w:lang w:eastAsia="pl-PL"/>
        </w:rPr>
        <w:t xml:space="preserve"> kg zu</w:t>
      </w:r>
      <w:r w:rsidRPr="00A71123">
        <w:rPr>
          <w:rFonts w:hint="eastAsia"/>
          <w:lang w:eastAsia="pl-PL"/>
        </w:rPr>
        <w:t>ż</w:t>
      </w:r>
      <w:r w:rsidRPr="00A71123">
        <w:rPr>
          <w:lang w:eastAsia="pl-PL"/>
        </w:rPr>
        <w:t>ytego sprz</w:t>
      </w:r>
      <w:r w:rsidRPr="00A71123">
        <w:rPr>
          <w:rFonts w:hint="eastAsia"/>
          <w:lang w:eastAsia="pl-PL"/>
        </w:rPr>
        <w:t>ę</w:t>
      </w:r>
      <w:r w:rsidRPr="00A71123">
        <w:rPr>
          <w:lang w:eastAsia="pl-PL"/>
        </w:rPr>
        <w:t>tu, tym samym Polska osi</w:t>
      </w:r>
      <w:r w:rsidRPr="00A71123">
        <w:rPr>
          <w:rFonts w:hint="eastAsia"/>
          <w:lang w:eastAsia="pl-PL"/>
        </w:rPr>
        <w:t>ą</w:t>
      </w:r>
      <w:r w:rsidRPr="00A71123">
        <w:rPr>
          <w:lang w:eastAsia="pl-PL"/>
        </w:rPr>
        <w:t>gn</w:t>
      </w:r>
      <w:r w:rsidRPr="00A71123">
        <w:rPr>
          <w:rFonts w:hint="eastAsia"/>
          <w:lang w:eastAsia="pl-PL"/>
        </w:rPr>
        <w:t>ęł</w:t>
      </w:r>
      <w:r w:rsidRPr="00A71123">
        <w:rPr>
          <w:lang w:eastAsia="pl-PL"/>
        </w:rPr>
        <w:t>a wymagany przez Komisj</w:t>
      </w:r>
      <w:r w:rsidRPr="00A71123">
        <w:rPr>
          <w:rFonts w:hint="eastAsia"/>
          <w:lang w:eastAsia="pl-PL"/>
        </w:rPr>
        <w:t>ę</w:t>
      </w:r>
      <w:r w:rsidRPr="00A71123">
        <w:rPr>
          <w:lang w:eastAsia="pl-PL"/>
        </w:rPr>
        <w:t xml:space="preserve"> Europejsk</w:t>
      </w:r>
      <w:r w:rsidRPr="00A71123">
        <w:rPr>
          <w:rFonts w:hint="eastAsia"/>
          <w:lang w:eastAsia="pl-PL"/>
        </w:rPr>
        <w:t>ą</w:t>
      </w:r>
      <w:r w:rsidRPr="00A71123">
        <w:rPr>
          <w:lang w:eastAsia="pl-PL"/>
        </w:rPr>
        <w:t xml:space="preserve"> poziom zbi</w:t>
      </w:r>
      <w:r w:rsidR="00FC65F4">
        <w:rPr>
          <w:lang w:eastAsia="pl-PL"/>
        </w:rPr>
        <w:t>ó</w:t>
      </w:r>
      <w:r w:rsidRPr="00A71123">
        <w:rPr>
          <w:lang w:eastAsia="pl-PL"/>
        </w:rPr>
        <w:t>rki sprz</w:t>
      </w:r>
      <w:r w:rsidRPr="00A71123">
        <w:rPr>
          <w:rFonts w:hint="eastAsia"/>
          <w:lang w:eastAsia="pl-PL"/>
        </w:rPr>
        <w:t>ę</w:t>
      </w:r>
      <w:r w:rsidRPr="00A71123">
        <w:rPr>
          <w:lang w:eastAsia="pl-PL"/>
        </w:rPr>
        <w:t>tu (4 kg na mieszka</w:t>
      </w:r>
      <w:r w:rsidRPr="00A71123">
        <w:rPr>
          <w:rFonts w:hint="eastAsia"/>
          <w:lang w:eastAsia="pl-PL"/>
        </w:rPr>
        <w:t>ń</w:t>
      </w:r>
      <w:r w:rsidRPr="00A71123">
        <w:rPr>
          <w:lang w:eastAsia="pl-PL"/>
        </w:rPr>
        <w:t>ca). Wska</w:t>
      </w:r>
      <w:r w:rsidRPr="00A71123">
        <w:rPr>
          <w:rFonts w:hint="eastAsia"/>
          <w:lang w:eastAsia="pl-PL"/>
        </w:rPr>
        <w:t>ź</w:t>
      </w:r>
      <w:r w:rsidRPr="00A71123">
        <w:rPr>
          <w:lang w:eastAsia="pl-PL"/>
        </w:rPr>
        <w:t>nik ten</w:t>
      </w:r>
      <w:r w:rsidR="006343E1">
        <w:rPr>
          <w:lang w:eastAsia="pl-PL"/>
        </w:rPr>
        <w:t xml:space="preserve"> </w:t>
      </w:r>
      <w:r w:rsidR="006343E1" w:rsidRPr="00A71123">
        <w:rPr>
          <w:lang w:eastAsia="pl-PL"/>
        </w:rPr>
        <w:t>w</w:t>
      </w:r>
      <w:r w:rsidR="006343E1">
        <w:rPr>
          <w:lang w:eastAsia="pl-PL"/>
        </w:rPr>
        <w:t> </w:t>
      </w:r>
      <w:r w:rsidRPr="00A71123">
        <w:rPr>
          <w:lang w:eastAsia="pl-PL"/>
        </w:rPr>
        <w:t>ci</w:t>
      </w:r>
      <w:r w:rsidRPr="00A71123">
        <w:rPr>
          <w:rFonts w:hint="eastAsia"/>
          <w:lang w:eastAsia="pl-PL"/>
        </w:rPr>
        <w:t>ą</w:t>
      </w:r>
      <w:r w:rsidRPr="00A71123">
        <w:rPr>
          <w:lang w:eastAsia="pl-PL"/>
        </w:rPr>
        <w:t>gu ostatnich 10 lat wzrósł kilkakrotnie (w 2007 r. wynosi</w:t>
      </w:r>
      <w:r w:rsidRPr="00A71123">
        <w:rPr>
          <w:rFonts w:hint="eastAsia"/>
          <w:lang w:eastAsia="pl-PL"/>
        </w:rPr>
        <w:t>ł</w:t>
      </w:r>
      <w:r w:rsidRPr="00A71123">
        <w:rPr>
          <w:lang w:eastAsia="pl-PL"/>
        </w:rPr>
        <w:t xml:space="preserve"> 0,71 kg na mieszka</w:t>
      </w:r>
      <w:r w:rsidRPr="00A71123">
        <w:rPr>
          <w:rFonts w:hint="eastAsia"/>
          <w:lang w:eastAsia="pl-PL"/>
        </w:rPr>
        <w:t>ń</w:t>
      </w:r>
      <w:r w:rsidRPr="00A71123">
        <w:rPr>
          <w:lang w:eastAsia="pl-PL"/>
        </w:rPr>
        <w:t>ca).</w:t>
      </w:r>
    </w:p>
    <w:p w14:paraId="29E4E753" w14:textId="6EE71253" w:rsidR="005B060B" w:rsidRDefault="005B060B" w:rsidP="005B060B">
      <w:pPr>
        <w:rPr>
          <w:lang w:eastAsia="pl-PL"/>
        </w:rPr>
      </w:pPr>
      <w:r w:rsidRPr="00FB7C92">
        <w:rPr>
          <w:lang w:eastAsia="pl-PL"/>
        </w:rPr>
        <w:t>Dane dotyczące monitoringu poziomu recyklingu odpadów opakowaniowych wyrażonego stosunkiem masy/ilości odpadów opakowaniowych poddanych recyklingowi do masy/ilości wprowadzanych na rynek opakowań podlegających obowiązkowi recyklingu pokazują</w:t>
      </w:r>
      <w:r w:rsidR="00477C54">
        <w:rPr>
          <w:lang w:eastAsia="pl-PL"/>
        </w:rPr>
        <w:t>, że </w:t>
      </w:r>
      <w:r w:rsidR="006343E1" w:rsidRPr="00FB7C92">
        <w:rPr>
          <w:lang w:eastAsia="pl-PL"/>
        </w:rPr>
        <w:t>w</w:t>
      </w:r>
      <w:r w:rsidR="006343E1">
        <w:rPr>
          <w:lang w:eastAsia="pl-PL"/>
        </w:rPr>
        <w:t> </w:t>
      </w:r>
      <w:r w:rsidRPr="00FB7C92">
        <w:rPr>
          <w:lang w:eastAsia="pl-PL"/>
        </w:rPr>
        <w:t xml:space="preserve">2018 r. </w:t>
      </w:r>
      <w:r w:rsidR="00AC617D">
        <w:rPr>
          <w:lang w:eastAsia="pl-PL"/>
        </w:rPr>
        <w:t>recykling</w:t>
      </w:r>
      <w:r w:rsidRPr="00FB7C92">
        <w:rPr>
          <w:lang w:eastAsia="pl-PL"/>
        </w:rPr>
        <w:t xml:space="preserve"> tych odpadów był na poziomie 58,5%. </w:t>
      </w:r>
    </w:p>
    <w:p w14:paraId="37B6219E" w14:textId="7762D659" w:rsidR="005B060B" w:rsidRPr="00254AB9" w:rsidRDefault="005B060B" w:rsidP="005B060B">
      <w:pPr>
        <w:rPr>
          <w:lang w:eastAsia="pl-PL"/>
        </w:rPr>
      </w:pPr>
      <w:r w:rsidRPr="000458F2">
        <w:rPr>
          <w:lang w:eastAsia="pl-PL"/>
        </w:rPr>
        <w:t>W Polsce obserwuje się wyraźne tendencje wzrostu odzysku materiałów. Poprzez coraz lepszy system sortowania odpadów</w:t>
      </w:r>
      <w:r w:rsidR="006343E1">
        <w:rPr>
          <w:lang w:eastAsia="pl-PL"/>
        </w:rPr>
        <w:t xml:space="preserve"> </w:t>
      </w:r>
      <w:r w:rsidR="006343E1" w:rsidRPr="000458F2">
        <w:rPr>
          <w:lang w:eastAsia="pl-PL"/>
        </w:rPr>
        <w:t>i</w:t>
      </w:r>
      <w:r w:rsidR="006343E1">
        <w:rPr>
          <w:lang w:eastAsia="pl-PL"/>
        </w:rPr>
        <w:t> </w:t>
      </w:r>
      <w:r w:rsidRPr="000458F2">
        <w:rPr>
          <w:lang w:eastAsia="pl-PL"/>
        </w:rPr>
        <w:t>konsekwentną politykę preferującą ich wykorzystywanie</w:t>
      </w:r>
      <w:r w:rsidR="006343E1">
        <w:rPr>
          <w:lang w:eastAsia="pl-PL"/>
        </w:rPr>
        <w:t xml:space="preserve"> </w:t>
      </w:r>
      <w:r w:rsidR="006343E1" w:rsidRPr="000458F2">
        <w:rPr>
          <w:lang w:eastAsia="pl-PL"/>
        </w:rPr>
        <w:t>w</w:t>
      </w:r>
      <w:r w:rsidR="006343E1">
        <w:rPr>
          <w:lang w:eastAsia="pl-PL"/>
        </w:rPr>
        <w:t> </w:t>
      </w:r>
      <w:r w:rsidRPr="000458F2">
        <w:rPr>
          <w:lang w:eastAsia="pl-PL"/>
        </w:rPr>
        <w:t>niektórych przypadkach wskaźnik zwrotu materiałów sięga nawet 75</w:t>
      </w:r>
      <w:r w:rsidR="0069452A" w:rsidRPr="000458F2">
        <w:rPr>
          <w:lang w:eastAsia="pl-PL"/>
        </w:rPr>
        <w:t xml:space="preserve">% </w:t>
      </w:r>
      <w:r w:rsidR="0069452A" w:rsidRPr="00D11129">
        <w:rPr>
          <w:lang w:eastAsia="pl-PL"/>
        </w:rPr>
        <w:t>(GUS, 2018a).</w:t>
      </w:r>
      <w:r w:rsidR="006343E1">
        <w:rPr>
          <w:lang w:eastAsia="pl-PL"/>
        </w:rPr>
        <w:t xml:space="preserve"> </w:t>
      </w:r>
      <w:r w:rsidR="006343E1" w:rsidRPr="000458F2">
        <w:rPr>
          <w:lang w:eastAsia="pl-PL"/>
        </w:rPr>
        <w:t>W</w:t>
      </w:r>
      <w:r w:rsidR="006343E1">
        <w:rPr>
          <w:lang w:eastAsia="pl-PL"/>
        </w:rPr>
        <w:t> </w:t>
      </w:r>
      <w:r w:rsidRPr="000458F2">
        <w:rPr>
          <w:lang w:eastAsia="pl-PL"/>
        </w:rPr>
        <w:t>jednostkach produkcyjnych największy udział</w:t>
      </w:r>
      <w:r w:rsidR="006343E1">
        <w:rPr>
          <w:lang w:eastAsia="pl-PL"/>
        </w:rPr>
        <w:t xml:space="preserve"> </w:t>
      </w:r>
      <w:r w:rsidR="006343E1" w:rsidRPr="000458F2">
        <w:rPr>
          <w:lang w:eastAsia="pl-PL"/>
        </w:rPr>
        <w:t>w</w:t>
      </w:r>
      <w:r w:rsidR="006343E1">
        <w:rPr>
          <w:lang w:eastAsia="pl-PL"/>
        </w:rPr>
        <w:t> </w:t>
      </w:r>
      <w:r w:rsidRPr="000458F2">
        <w:rPr>
          <w:lang w:eastAsia="pl-PL"/>
        </w:rPr>
        <w:t>przychodzie odpadów mają skup oraz przychód</w:t>
      </w:r>
      <w:r w:rsidR="006343E1">
        <w:rPr>
          <w:lang w:eastAsia="pl-PL"/>
        </w:rPr>
        <w:t xml:space="preserve"> </w:t>
      </w:r>
      <w:r w:rsidR="006343E1" w:rsidRPr="000458F2">
        <w:rPr>
          <w:lang w:eastAsia="pl-PL"/>
        </w:rPr>
        <w:t>z</w:t>
      </w:r>
      <w:r w:rsidR="006343E1">
        <w:rPr>
          <w:lang w:eastAsia="pl-PL"/>
        </w:rPr>
        <w:t> </w:t>
      </w:r>
      <w:r w:rsidRPr="000458F2">
        <w:rPr>
          <w:lang w:eastAsia="pl-PL"/>
        </w:rPr>
        <w:t>własnej działalności.</w:t>
      </w:r>
      <w:r w:rsidR="006343E1">
        <w:rPr>
          <w:lang w:eastAsia="pl-PL"/>
        </w:rPr>
        <w:t xml:space="preserve"> </w:t>
      </w:r>
      <w:r w:rsidR="006343E1" w:rsidRPr="000458F2">
        <w:rPr>
          <w:lang w:eastAsia="pl-PL"/>
        </w:rPr>
        <w:t>W</w:t>
      </w:r>
      <w:r w:rsidR="006343E1">
        <w:rPr>
          <w:lang w:eastAsia="pl-PL"/>
        </w:rPr>
        <w:t> </w:t>
      </w:r>
      <w:r w:rsidRPr="000458F2">
        <w:rPr>
          <w:lang w:eastAsia="pl-PL"/>
        </w:rPr>
        <w:t>201</w:t>
      </w:r>
      <w:r>
        <w:rPr>
          <w:lang w:eastAsia="pl-PL"/>
        </w:rPr>
        <w:t xml:space="preserve">9 </w:t>
      </w:r>
      <w:r w:rsidRPr="000458F2">
        <w:rPr>
          <w:lang w:eastAsia="pl-PL"/>
        </w:rPr>
        <w:t xml:space="preserve"> r. skup stanowił powyżej 50% </w:t>
      </w:r>
      <w:r w:rsidRPr="000458F2">
        <w:rPr>
          <w:lang w:eastAsia="pl-PL"/>
        </w:rPr>
        <w:lastRenderedPageBreak/>
        <w:t xml:space="preserve">przychodu ogółem </w:t>
      </w:r>
      <w:r>
        <w:rPr>
          <w:lang w:eastAsia="pl-PL"/>
        </w:rPr>
        <w:t>odpadów stalowych</w:t>
      </w:r>
      <w:r w:rsidR="006343E1">
        <w:rPr>
          <w:lang w:eastAsia="pl-PL"/>
        </w:rPr>
        <w:t xml:space="preserve"> i </w:t>
      </w:r>
      <w:r>
        <w:rPr>
          <w:lang w:eastAsia="pl-PL"/>
        </w:rPr>
        <w:t>żeliwnych, miedzi, ołowiu, odpadów</w:t>
      </w:r>
      <w:r w:rsidR="006343E1">
        <w:rPr>
          <w:lang w:eastAsia="pl-PL"/>
        </w:rPr>
        <w:t xml:space="preserve"> z </w:t>
      </w:r>
      <w:r>
        <w:rPr>
          <w:lang w:eastAsia="pl-PL"/>
        </w:rPr>
        <w:t>papieru</w:t>
      </w:r>
      <w:r w:rsidR="006343E1">
        <w:rPr>
          <w:lang w:eastAsia="pl-PL"/>
        </w:rPr>
        <w:t xml:space="preserve"> i </w:t>
      </w:r>
      <w:r>
        <w:rPr>
          <w:lang w:eastAsia="pl-PL"/>
        </w:rPr>
        <w:t>tektury, olejów odpadowych.</w:t>
      </w:r>
      <w:r w:rsidR="006343E1">
        <w:rPr>
          <w:lang w:eastAsia="pl-PL"/>
        </w:rPr>
        <w:t xml:space="preserve"> W </w:t>
      </w:r>
      <w:r>
        <w:rPr>
          <w:lang w:eastAsia="pl-PL"/>
        </w:rPr>
        <w:t>przypadku stłuczki szklanej</w:t>
      </w:r>
      <w:r w:rsidR="006343E1">
        <w:rPr>
          <w:lang w:eastAsia="pl-PL"/>
        </w:rPr>
        <w:t xml:space="preserve"> i </w:t>
      </w:r>
      <w:r>
        <w:rPr>
          <w:lang w:eastAsia="pl-PL"/>
        </w:rPr>
        <w:t>odpadów szklanych udziały rozkładały się proporcjonalnie pomiędzy skup (49,9%)</w:t>
      </w:r>
      <w:r w:rsidR="006343E1">
        <w:rPr>
          <w:lang w:eastAsia="pl-PL"/>
        </w:rPr>
        <w:t xml:space="preserve"> i </w:t>
      </w:r>
      <w:r>
        <w:rPr>
          <w:lang w:eastAsia="pl-PL"/>
        </w:rPr>
        <w:t>przychód</w:t>
      </w:r>
      <w:r w:rsidR="006343E1">
        <w:rPr>
          <w:lang w:eastAsia="pl-PL"/>
        </w:rPr>
        <w:t xml:space="preserve"> z </w:t>
      </w:r>
      <w:r>
        <w:rPr>
          <w:lang w:eastAsia="pl-PL"/>
        </w:rPr>
        <w:t xml:space="preserve">własnej działalności (49,6%). </w:t>
      </w:r>
      <w:r w:rsidRPr="000458F2">
        <w:rPr>
          <w:lang w:eastAsia="pl-PL"/>
        </w:rPr>
        <w:t>Przychód</w:t>
      </w:r>
      <w:r w:rsidR="006343E1">
        <w:rPr>
          <w:lang w:eastAsia="pl-PL"/>
        </w:rPr>
        <w:t xml:space="preserve"> </w:t>
      </w:r>
      <w:r w:rsidR="006343E1" w:rsidRPr="000458F2">
        <w:rPr>
          <w:lang w:eastAsia="pl-PL"/>
        </w:rPr>
        <w:t>z</w:t>
      </w:r>
      <w:r w:rsidR="006343E1">
        <w:rPr>
          <w:lang w:eastAsia="pl-PL"/>
        </w:rPr>
        <w:t> </w:t>
      </w:r>
      <w:r w:rsidRPr="000458F2">
        <w:rPr>
          <w:lang w:eastAsia="pl-PL"/>
        </w:rPr>
        <w:t xml:space="preserve">własnej działalności stanowił powyżej 50% przychodu ogółem </w:t>
      </w:r>
      <w:r>
        <w:rPr>
          <w:lang w:eastAsia="pl-PL"/>
        </w:rPr>
        <w:t>odpadów mosiądzu</w:t>
      </w:r>
      <w:r w:rsidR="006343E1">
        <w:rPr>
          <w:lang w:eastAsia="pl-PL"/>
        </w:rPr>
        <w:t xml:space="preserve"> i </w:t>
      </w:r>
      <w:r>
        <w:rPr>
          <w:lang w:eastAsia="pl-PL"/>
        </w:rPr>
        <w:t>brązu, odpadów</w:t>
      </w:r>
      <w:r w:rsidR="006343E1">
        <w:rPr>
          <w:lang w:eastAsia="pl-PL"/>
        </w:rPr>
        <w:t xml:space="preserve"> z </w:t>
      </w:r>
      <w:r>
        <w:rPr>
          <w:lang w:eastAsia="pl-PL"/>
        </w:rPr>
        <w:t>tworzyw sztucznych, odpadów gumowych</w:t>
      </w:r>
      <w:r w:rsidR="006343E1">
        <w:rPr>
          <w:lang w:eastAsia="pl-PL"/>
        </w:rPr>
        <w:t xml:space="preserve"> i </w:t>
      </w:r>
      <w:r>
        <w:rPr>
          <w:lang w:eastAsia="pl-PL"/>
        </w:rPr>
        <w:t>włókienniczych.</w:t>
      </w:r>
      <w:r w:rsidR="006343E1">
        <w:rPr>
          <w:lang w:eastAsia="pl-PL"/>
        </w:rPr>
        <w:t xml:space="preserve"> </w:t>
      </w:r>
      <w:r w:rsidR="006343E1" w:rsidRPr="000458F2">
        <w:rPr>
          <w:lang w:eastAsia="pl-PL"/>
        </w:rPr>
        <w:t>W</w:t>
      </w:r>
      <w:r w:rsidR="006343E1">
        <w:rPr>
          <w:lang w:eastAsia="pl-PL"/>
        </w:rPr>
        <w:t> </w:t>
      </w:r>
      <w:r w:rsidRPr="000458F2">
        <w:rPr>
          <w:lang w:eastAsia="pl-PL"/>
        </w:rPr>
        <w:t>przypadku odpadów aluminiowych udziały rozkłada</w:t>
      </w:r>
      <w:r w:rsidR="007C28A0">
        <w:rPr>
          <w:lang w:eastAsia="pl-PL"/>
        </w:rPr>
        <w:t>ły</w:t>
      </w:r>
      <w:r w:rsidRPr="000458F2">
        <w:rPr>
          <w:lang w:eastAsia="pl-PL"/>
        </w:rPr>
        <w:t xml:space="preserve"> się </w:t>
      </w:r>
      <w:r>
        <w:rPr>
          <w:lang w:eastAsia="pl-PL"/>
        </w:rPr>
        <w:t>na</w:t>
      </w:r>
      <w:r w:rsidRPr="000458F2">
        <w:rPr>
          <w:lang w:eastAsia="pl-PL"/>
        </w:rPr>
        <w:t xml:space="preserve"> przychód</w:t>
      </w:r>
      <w:r w:rsidR="006343E1">
        <w:rPr>
          <w:lang w:eastAsia="pl-PL"/>
        </w:rPr>
        <w:t xml:space="preserve"> </w:t>
      </w:r>
      <w:r w:rsidR="006343E1" w:rsidRPr="000458F2">
        <w:rPr>
          <w:lang w:eastAsia="pl-PL"/>
        </w:rPr>
        <w:t>z</w:t>
      </w:r>
      <w:r w:rsidR="006343E1">
        <w:rPr>
          <w:lang w:eastAsia="pl-PL"/>
        </w:rPr>
        <w:t> </w:t>
      </w:r>
      <w:r w:rsidRPr="000458F2">
        <w:rPr>
          <w:lang w:eastAsia="pl-PL"/>
        </w:rPr>
        <w:t>własnej działalności (</w:t>
      </w:r>
      <w:r>
        <w:rPr>
          <w:lang w:eastAsia="pl-PL"/>
        </w:rPr>
        <w:t>48</w:t>
      </w:r>
      <w:r w:rsidR="007C28A0">
        <w:rPr>
          <w:lang w:eastAsia="pl-PL"/>
        </w:rPr>
        <w:t>,7</w:t>
      </w:r>
      <w:r w:rsidRPr="000458F2">
        <w:rPr>
          <w:lang w:eastAsia="pl-PL"/>
        </w:rPr>
        <w:t>%), skup (</w:t>
      </w:r>
      <w:r w:rsidR="007C28A0">
        <w:rPr>
          <w:lang w:eastAsia="pl-PL"/>
        </w:rPr>
        <w:t>31,8</w:t>
      </w:r>
      <w:r w:rsidRPr="000458F2">
        <w:rPr>
          <w:lang w:eastAsia="pl-PL"/>
        </w:rPr>
        <w:t>%)</w:t>
      </w:r>
      <w:r w:rsidR="006343E1">
        <w:rPr>
          <w:lang w:eastAsia="pl-PL"/>
        </w:rPr>
        <w:t xml:space="preserve"> </w:t>
      </w:r>
      <w:r w:rsidR="006343E1" w:rsidRPr="000458F2">
        <w:rPr>
          <w:lang w:eastAsia="pl-PL"/>
        </w:rPr>
        <w:t>i</w:t>
      </w:r>
      <w:r w:rsidR="006343E1">
        <w:rPr>
          <w:lang w:eastAsia="pl-PL"/>
        </w:rPr>
        <w:t> </w:t>
      </w:r>
      <w:r w:rsidRPr="000458F2">
        <w:rPr>
          <w:lang w:eastAsia="pl-PL"/>
        </w:rPr>
        <w:t>import (</w:t>
      </w:r>
      <w:r>
        <w:rPr>
          <w:lang w:eastAsia="pl-PL"/>
        </w:rPr>
        <w:t>19,5</w:t>
      </w:r>
      <w:r w:rsidRPr="000458F2">
        <w:rPr>
          <w:lang w:eastAsia="pl-PL"/>
        </w:rPr>
        <w:t>%).</w:t>
      </w:r>
      <w:r w:rsidRPr="00254AB9">
        <w:rPr>
          <w:lang w:eastAsia="pl-PL"/>
        </w:rPr>
        <w:t xml:space="preserve"> </w:t>
      </w:r>
    </w:p>
    <w:p w14:paraId="61346943" w14:textId="6DEA6923" w:rsidR="005B060B" w:rsidRPr="00254AB9" w:rsidRDefault="005B060B" w:rsidP="005B060B">
      <w:pPr>
        <w:rPr>
          <w:lang w:eastAsia="pl-PL"/>
        </w:rPr>
      </w:pPr>
      <w:r w:rsidRPr="000458F2">
        <w:rPr>
          <w:lang w:eastAsia="pl-PL"/>
        </w:rPr>
        <w:t>W latach 201</w:t>
      </w:r>
      <w:r>
        <w:rPr>
          <w:lang w:eastAsia="pl-PL"/>
        </w:rPr>
        <w:t>6</w:t>
      </w:r>
      <w:r w:rsidRPr="000458F2">
        <w:rPr>
          <w:lang w:eastAsia="pl-PL"/>
        </w:rPr>
        <w:t>–201</w:t>
      </w:r>
      <w:r>
        <w:rPr>
          <w:lang w:eastAsia="pl-PL"/>
        </w:rPr>
        <w:t>9</w:t>
      </w:r>
      <w:r w:rsidRPr="000458F2">
        <w:rPr>
          <w:lang w:eastAsia="pl-PL"/>
        </w:rPr>
        <w:t xml:space="preserve"> nastąpił wzrost pozyskania przez jednostki produkcyjne</w:t>
      </w:r>
      <w:r w:rsidR="006343E1">
        <w:rPr>
          <w:lang w:eastAsia="pl-PL"/>
        </w:rPr>
        <w:t xml:space="preserve"> </w:t>
      </w:r>
      <w:r w:rsidR="006343E1" w:rsidRPr="000458F2">
        <w:rPr>
          <w:lang w:eastAsia="pl-PL"/>
        </w:rPr>
        <w:t>i</w:t>
      </w:r>
      <w:r w:rsidR="006343E1">
        <w:rPr>
          <w:lang w:eastAsia="pl-PL"/>
        </w:rPr>
        <w:t> </w:t>
      </w:r>
      <w:r w:rsidRPr="000458F2">
        <w:rPr>
          <w:lang w:eastAsia="pl-PL"/>
        </w:rPr>
        <w:t xml:space="preserve">handlowe większości badanych odpadów. </w:t>
      </w:r>
      <w:r>
        <w:rPr>
          <w:lang w:eastAsia="pl-PL"/>
        </w:rPr>
        <w:t>Przychód</w:t>
      </w:r>
      <w:r w:rsidR="006343E1">
        <w:rPr>
          <w:lang w:eastAsia="pl-PL"/>
        </w:rPr>
        <w:t xml:space="preserve"> w </w:t>
      </w:r>
      <w:r>
        <w:rPr>
          <w:lang w:eastAsia="pl-PL"/>
        </w:rPr>
        <w:t>jednostkach produkcyjnych wzrósł</w:t>
      </w:r>
      <w:r w:rsidR="006343E1">
        <w:rPr>
          <w:lang w:eastAsia="pl-PL"/>
        </w:rPr>
        <w:t xml:space="preserve"> w </w:t>
      </w:r>
      <w:r>
        <w:rPr>
          <w:lang w:eastAsia="pl-PL"/>
        </w:rPr>
        <w:t>przypadku odpadów miedzi, mosiądzu</w:t>
      </w:r>
      <w:r w:rsidR="006343E1">
        <w:rPr>
          <w:lang w:eastAsia="pl-PL"/>
        </w:rPr>
        <w:t xml:space="preserve"> i </w:t>
      </w:r>
      <w:r>
        <w:rPr>
          <w:lang w:eastAsia="pl-PL"/>
        </w:rPr>
        <w:t>brązu</w:t>
      </w:r>
      <w:r w:rsidR="006343E1">
        <w:rPr>
          <w:lang w:eastAsia="pl-PL"/>
        </w:rPr>
        <w:t xml:space="preserve"> o </w:t>
      </w:r>
      <w:r>
        <w:rPr>
          <w:lang w:eastAsia="pl-PL"/>
        </w:rPr>
        <w:t>14,0%, odpadów aluminiowych – 2,7%, odpadów stalowych</w:t>
      </w:r>
      <w:r w:rsidR="006343E1">
        <w:rPr>
          <w:lang w:eastAsia="pl-PL"/>
        </w:rPr>
        <w:t xml:space="preserve"> i </w:t>
      </w:r>
      <w:r>
        <w:rPr>
          <w:lang w:eastAsia="pl-PL"/>
        </w:rPr>
        <w:t>żeliwnych – 1,2%, odpadów</w:t>
      </w:r>
      <w:r w:rsidR="006343E1">
        <w:rPr>
          <w:lang w:eastAsia="pl-PL"/>
        </w:rPr>
        <w:t xml:space="preserve"> z </w:t>
      </w:r>
      <w:r>
        <w:rPr>
          <w:lang w:eastAsia="pl-PL"/>
        </w:rPr>
        <w:t>tworzyw sztucznych – 28,6%, odpadów gumowych – 28,4%, olejów odpadowych – 23,8%, stłuczki szklanej</w:t>
      </w:r>
      <w:r w:rsidR="006343E1">
        <w:rPr>
          <w:lang w:eastAsia="pl-PL"/>
        </w:rPr>
        <w:t xml:space="preserve"> i </w:t>
      </w:r>
      <w:r>
        <w:rPr>
          <w:lang w:eastAsia="pl-PL"/>
        </w:rPr>
        <w:t>odpadów szklanych – 9,1%, odpadów</w:t>
      </w:r>
      <w:r w:rsidR="006343E1">
        <w:rPr>
          <w:lang w:eastAsia="pl-PL"/>
        </w:rPr>
        <w:t xml:space="preserve"> z </w:t>
      </w:r>
      <w:r>
        <w:rPr>
          <w:lang w:eastAsia="pl-PL"/>
        </w:rPr>
        <w:t>papieru</w:t>
      </w:r>
      <w:r w:rsidR="006343E1">
        <w:rPr>
          <w:lang w:eastAsia="pl-PL"/>
        </w:rPr>
        <w:t xml:space="preserve"> i </w:t>
      </w:r>
      <w:r>
        <w:rPr>
          <w:lang w:eastAsia="pl-PL"/>
        </w:rPr>
        <w:t xml:space="preserve">tektury – 6,0%. </w:t>
      </w:r>
    </w:p>
    <w:p w14:paraId="32B71864" w14:textId="696B48C9" w:rsidR="005B060B" w:rsidRPr="00254AB9" w:rsidRDefault="005B060B" w:rsidP="005B060B">
      <w:pPr>
        <w:rPr>
          <w:lang w:eastAsia="pl-PL"/>
        </w:rPr>
      </w:pPr>
      <w:r w:rsidRPr="008216CE">
        <w:rPr>
          <w:lang w:eastAsia="pl-PL"/>
        </w:rPr>
        <w:t>Pod względem ilościowym najwięcej pozyskuje się odpadów stalowych</w:t>
      </w:r>
      <w:r w:rsidR="006343E1">
        <w:rPr>
          <w:lang w:eastAsia="pl-PL"/>
        </w:rPr>
        <w:t xml:space="preserve"> </w:t>
      </w:r>
      <w:r w:rsidR="006343E1" w:rsidRPr="008216CE">
        <w:rPr>
          <w:lang w:eastAsia="pl-PL"/>
        </w:rPr>
        <w:t>i</w:t>
      </w:r>
      <w:r w:rsidR="006343E1">
        <w:rPr>
          <w:lang w:eastAsia="pl-PL"/>
        </w:rPr>
        <w:t> </w:t>
      </w:r>
      <w:r w:rsidRPr="008216CE">
        <w:rPr>
          <w:lang w:eastAsia="pl-PL"/>
        </w:rPr>
        <w:t>żeliwnych oraz odpadów</w:t>
      </w:r>
      <w:r w:rsidR="006343E1">
        <w:rPr>
          <w:lang w:eastAsia="pl-PL"/>
        </w:rPr>
        <w:t xml:space="preserve"> </w:t>
      </w:r>
      <w:r w:rsidR="006343E1" w:rsidRPr="008216CE">
        <w:rPr>
          <w:lang w:eastAsia="pl-PL"/>
        </w:rPr>
        <w:t>z</w:t>
      </w:r>
      <w:r w:rsidR="006343E1">
        <w:rPr>
          <w:lang w:eastAsia="pl-PL"/>
        </w:rPr>
        <w:t> </w:t>
      </w:r>
      <w:r w:rsidRPr="008216CE">
        <w:rPr>
          <w:lang w:eastAsia="pl-PL"/>
        </w:rPr>
        <w:t>papieru</w:t>
      </w:r>
      <w:r w:rsidR="006343E1">
        <w:rPr>
          <w:lang w:eastAsia="pl-PL"/>
        </w:rPr>
        <w:t xml:space="preserve"> </w:t>
      </w:r>
      <w:r w:rsidR="006343E1" w:rsidRPr="008216CE">
        <w:rPr>
          <w:lang w:eastAsia="pl-PL"/>
        </w:rPr>
        <w:t>i</w:t>
      </w:r>
      <w:r w:rsidR="006343E1">
        <w:rPr>
          <w:lang w:eastAsia="pl-PL"/>
        </w:rPr>
        <w:t> </w:t>
      </w:r>
      <w:r w:rsidRPr="008216CE">
        <w:rPr>
          <w:lang w:eastAsia="pl-PL"/>
        </w:rPr>
        <w:t>tektury. Duże rezerwy tkwią</w:t>
      </w:r>
      <w:r w:rsidR="006343E1">
        <w:rPr>
          <w:lang w:eastAsia="pl-PL"/>
        </w:rPr>
        <w:t xml:space="preserve"> </w:t>
      </w:r>
      <w:r w:rsidR="006343E1" w:rsidRPr="008216CE">
        <w:rPr>
          <w:lang w:eastAsia="pl-PL"/>
        </w:rPr>
        <w:t>w</w:t>
      </w:r>
      <w:r w:rsidR="006343E1">
        <w:rPr>
          <w:lang w:eastAsia="pl-PL"/>
        </w:rPr>
        <w:t> </w:t>
      </w:r>
      <w:r w:rsidRPr="008216CE">
        <w:rPr>
          <w:lang w:eastAsia="pl-PL"/>
        </w:rPr>
        <w:t>możliwościach wykorzystania makulatury, która odpowiednio zbierana może pokryć krajowe zapotrzebowanie</w:t>
      </w:r>
      <w:r w:rsidR="006343E1">
        <w:rPr>
          <w:lang w:eastAsia="pl-PL"/>
        </w:rPr>
        <w:t xml:space="preserve"> </w:t>
      </w:r>
      <w:r w:rsidR="006343E1" w:rsidRPr="008216CE">
        <w:rPr>
          <w:lang w:eastAsia="pl-PL"/>
        </w:rPr>
        <w:t>i</w:t>
      </w:r>
      <w:r w:rsidR="006343E1">
        <w:rPr>
          <w:lang w:eastAsia="pl-PL"/>
        </w:rPr>
        <w:t> </w:t>
      </w:r>
      <w:r w:rsidRPr="008216CE">
        <w:rPr>
          <w:lang w:eastAsia="pl-PL"/>
        </w:rPr>
        <w:t>być przedmiotem eksportu.</w:t>
      </w:r>
      <w:r w:rsidR="006343E1">
        <w:rPr>
          <w:lang w:eastAsia="pl-PL"/>
        </w:rPr>
        <w:t xml:space="preserve"> </w:t>
      </w:r>
      <w:r w:rsidR="006343E1" w:rsidRPr="008216CE">
        <w:rPr>
          <w:lang w:eastAsia="pl-PL"/>
        </w:rPr>
        <w:t>W</w:t>
      </w:r>
      <w:r w:rsidR="006343E1">
        <w:rPr>
          <w:lang w:eastAsia="pl-PL"/>
        </w:rPr>
        <w:t> </w:t>
      </w:r>
      <w:r w:rsidRPr="008216CE">
        <w:rPr>
          <w:lang w:eastAsia="pl-PL"/>
        </w:rPr>
        <w:t>ostatnich latach obserwuje się dynamiczny wzrost pozyskania tego</w:t>
      </w:r>
      <w:r w:rsidRPr="00D11129">
        <w:rPr>
          <w:lang w:eastAsia="pl-PL"/>
        </w:rPr>
        <w:t xml:space="preserve"> </w:t>
      </w:r>
      <w:r w:rsidR="00664BA2">
        <w:rPr>
          <w:lang w:eastAsia="pl-PL"/>
        </w:rPr>
        <w:t xml:space="preserve">typu </w:t>
      </w:r>
      <w:r w:rsidRPr="00D11129">
        <w:rPr>
          <w:lang w:eastAsia="pl-PL"/>
        </w:rPr>
        <w:t>odpad</w:t>
      </w:r>
      <w:r w:rsidR="00664BA2">
        <w:rPr>
          <w:lang w:eastAsia="pl-PL"/>
        </w:rPr>
        <w:t>ów</w:t>
      </w:r>
      <w:r w:rsidRPr="00254AB9">
        <w:rPr>
          <w:lang w:eastAsia="pl-PL"/>
        </w:rPr>
        <w:t>.</w:t>
      </w:r>
      <w:r>
        <w:rPr>
          <w:lang w:eastAsia="pl-PL"/>
        </w:rPr>
        <w:t xml:space="preserve"> Zużycie odpadów</w:t>
      </w:r>
      <w:r w:rsidR="006343E1">
        <w:rPr>
          <w:lang w:eastAsia="pl-PL"/>
        </w:rPr>
        <w:t xml:space="preserve"> z </w:t>
      </w:r>
      <w:r>
        <w:rPr>
          <w:lang w:eastAsia="pl-PL"/>
        </w:rPr>
        <w:t>papieru</w:t>
      </w:r>
      <w:r w:rsidR="006343E1">
        <w:rPr>
          <w:lang w:eastAsia="pl-PL"/>
        </w:rPr>
        <w:t xml:space="preserve"> i </w:t>
      </w:r>
      <w:r>
        <w:rPr>
          <w:lang w:eastAsia="pl-PL"/>
        </w:rPr>
        <w:t>tektury do produkcji papieru oraz wyrobów</w:t>
      </w:r>
      <w:r w:rsidR="006343E1">
        <w:rPr>
          <w:lang w:eastAsia="pl-PL"/>
        </w:rPr>
        <w:t xml:space="preserve"> z </w:t>
      </w:r>
      <w:r>
        <w:rPr>
          <w:lang w:eastAsia="pl-PL"/>
        </w:rPr>
        <w:t>papieru wzrosło</w:t>
      </w:r>
      <w:r w:rsidR="006343E1">
        <w:rPr>
          <w:lang w:eastAsia="pl-PL"/>
        </w:rPr>
        <w:t xml:space="preserve"> w </w:t>
      </w:r>
      <w:r>
        <w:rPr>
          <w:lang w:eastAsia="pl-PL"/>
        </w:rPr>
        <w:t>latach 2016–2019</w:t>
      </w:r>
      <w:r w:rsidR="006343E1">
        <w:rPr>
          <w:lang w:eastAsia="pl-PL"/>
        </w:rPr>
        <w:t xml:space="preserve"> o </w:t>
      </w:r>
      <w:r>
        <w:rPr>
          <w:lang w:eastAsia="pl-PL"/>
        </w:rPr>
        <w:t>6,9%. Na 1 tonę wytwarzanego papieru</w:t>
      </w:r>
      <w:r w:rsidR="006343E1">
        <w:rPr>
          <w:lang w:eastAsia="pl-PL"/>
        </w:rPr>
        <w:t xml:space="preserve"> i </w:t>
      </w:r>
      <w:r>
        <w:rPr>
          <w:lang w:eastAsia="pl-PL"/>
        </w:rPr>
        <w:t>tektury zużywano</w:t>
      </w:r>
      <w:r w:rsidR="006343E1">
        <w:rPr>
          <w:lang w:eastAsia="pl-PL"/>
        </w:rPr>
        <w:t xml:space="preserve"> w </w:t>
      </w:r>
      <w:r>
        <w:rPr>
          <w:lang w:eastAsia="pl-PL"/>
        </w:rPr>
        <w:t>2019 r. 538 kg odpadów</w:t>
      </w:r>
      <w:r w:rsidR="006343E1">
        <w:rPr>
          <w:lang w:eastAsia="pl-PL"/>
        </w:rPr>
        <w:t xml:space="preserve"> z </w:t>
      </w:r>
      <w:r>
        <w:rPr>
          <w:lang w:eastAsia="pl-PL"/>
        </w:rPr>
        <w:t>papieru</w:t>
      </w:r>
      <w:r w:rsidR="006343E1">
        <w:rPr>
          <w:lang w:eastAsia="pl-PL"/>
        </w:rPr>
        <w:t xml:space="preserve"> i </w:t>
      </w:r>
      <w:r>
        <w:rPr>
          <w:lang w:eastAsia="pl-PL"/>
        </w:rPr>
        <w:t>tektury,</w:t>
      </w:r>
      <w:r w:rsidR="006343E1">
        <w:rPr>
          <w:lang w:eastAsia="pl-PL"/>
        </w:rPr>
        <w:t xml:space="preserve"> w </w:t>
      </w:r>
      <w:r>
        <w:rPr>
          <w:lang w:eastAsia="pl-PL"/>
        </w:rPr>
        <w:t>2016 r. – 529 kg. Na uwagę zasługuje również dynamic</w:t>
      </w:r>
      <w:r w:rsidR="00664BA2">
        <w:rPr>
          <w:lang w:eastAsia="pl-PL"/>
        </w:rPr>
        <w:t>znie rosnący eksport tych odpadów</w:t>
      </w:r>
      <w:r>
        <w:rPr>
          <w:lang w:eastAsia="pl-PL"/>
        </w:rPr>
        <w:t>.</w:t>
      </w:r>
    </w:p>
    <w:p w14:paraId="7A94C46F" w14:textId="77777777" w:rsidR="007C783D" w:rsidRDefault="005B060B" w:rsidP="005B060B">
      <w:r w:rsidRPr="00254AB9">
        <w:t>Nowy model gospodarki (GOZ) dotyczy także zagospodarowania jak największej ilości odpadów komunalnych poprzez recykling. To wymaga, aby odpady były zbierane selektywnie</w:t>
      </w:r>
      <w:r w:rsidR="006343E1">
        <w:t xml:space="preserve"> </w:t>
      </w:r>
      <w:r w:rsidR="006343E1" w:rsidRPr="00254AB9">
        <w:t>i</w:t>
      </w:r>
      <w:r w:rsidR="006343E1">
        <w:t> </w:t>
      </w:r>
      <w:r w:rsidRPr="00254AB9">
        <w:t>były dobrej jakości.</w:t>
      </w:r>
      <w:r w:rsidRPr="00254AB9">
        <w:rPr>
          <w:lang w:eastAsia="pl-PL"/>
        </w:rPr>
        <w:t xml:space="preserve"> </w:t>
      </w:r>
      <w:r w:rsidRPr="00254AB9">
        <w:t>Poniższy schemat pokazuje</w:t>
      </w:r>
      <w:r w:rsidR="00477C54">
        <w:t>, że </w:t>
      </w:r>
      <w:r w:rsidRPr="00254AB9">
        <w:t>wciąż zbyt dużo odpadów jest składowanych,</w:t>
      </w:r>
      <w:r w:rsidR="006343E1">
        <w:t xml:space="preserve"> </w:t>
      </w:r>
      <w:r w:rsidR="006343E1" w:rsidRPr="00254AB9">
        <w:t>a</w:t>
      </w:r>
      <w:r w:rsidR="006343E1">
        <w:t> </w:t>
      </w:r>
      <w:r w:rsidRPr="00254AB9">
        <w:t>surowce</w:t>
      </w:r>
      <w:r w:rsidR="006343E1">
        <w:t xml:space="preserve"> </w:t>
      </w:r>
      <w:r w:rsidR="006343E1" w:rsidRPr="00254AB9">
        <w:t>w</w:t>
      </w:r>
      <w:r w:rsidR="006343E1">
        <w:t> </w:t>
      </w:r>
      <w:r w:rsidRPr="00254AB9">
        <w:t>nich zawarte są marnowane.</w:t>
      </w:r>
    </w:p>
    <w:p w14:paraId="7A79AFCB" w14:textId="4944BD40" w:rsidR="005B060B" w:rsidRPr="00CB07D4" w:rsidRDefault="005B060B" w:rsidP="001C3C76">
      <w:pPr>
        <w:rPr>
          <w:color w:val="FF0000"/>
          <w:sz w:val="21"/>
        </w:rPr>
      </w:pPr>
      <w:r w:rsidRPr="00254AB9">
        <w:t xml:space="preserve"> </w:t>
      </w:r>
      <w:r w:rsidRPr="005B2788">
        <w:rPr>
          <w:rFonts w:cs="Calibri"/>
          <w:b/>
          <w:sz w:val="21"/>
          <w:szCs w:val="21"/>
        </w:rPr>
        <w:t xml:space="preserve">Wykres </w:t>
      </w:r>
      <w:r w:rsidR="003A5EA7" w:rsidRPr="001C3C76">
        <w:rPr>
          <w:rFonts w:cs="Calibri"/>
          <w:b/>
          <w:sz w:val="21"/>
          <w:szCs w:val="21"/>
        </w:rPr>
        <w:t>2</w:t>
      </w:r>
      <w:r w:rsidR="001C3C76" w:rsidRPr="001C3C76">
        <w:rPr>
          <w:rFonts w:cs="Calibri"/>
          <w:b/>
          <w:sz w:val="21"/>
          <w:szCs w:val="21"/>
        </w:rPr>
        <w:t>4</w:t>
      </w:r>
      <w:r w:rsidRPr="001C3C76">
        <w:rPr>
          <w:rFonts w:cs="Calibri"/>
          <w:b/>
          <w:sz w:val="21"/>
          <w:szCs w:val="21"/>
        </w:rPr>
        <w:t>.</w:t>
      </w:r>
      <w:r w:rsidRPr="005B2788">
        <w:rPr>
          <w:rFonts w:cs="Calibri"/>
          <w:b/>
          <w:sz w:val="21"/>
          <w:szCs w:val="21"/>
        </w:rPr>
        <w:t xml:space="preserve"> Zagospodarowanie odpadów komunalnych</w:t>
      </w:r>
      <w:r w:rsidR="006343E1">
        <w:rPr>
          <w:rFonts w:cs="Calibri"/>
          <w:b/>
          <w:sz w:val="21"/>
          <w:szCs w:val="21"/>
        </w:rPr>
        <w:t xml:space="preserve"> </w:t>
      </w:r>
      <w:r w:rsidR="006343E1" w:rsidRPr="005B2788">
        <w:rPr>
          <w:rFonts w:cs="Calibri"/>
          <w:b/>
          <w:sz w:val="21"/>
          <w:szCs w:val="21"/>
        </w:rPr>
        <w:t>w</w:t>
      </w:r>
      <w:r w:rsidR="006343E1">
        <w:rPr>
          <w:rFonts w:cs="Calibri"/>
          <w:b/>
          <w:sz w:val="21"/>
          <w:szCs w:val="21"/>
        </w:rPr>
        <w:t> </w:t>
      </w:r>
      <w:r w:rsidRPr="005B2788">
        <w:rPr>
          <w:rFonts w:cs="Calibri"/>
          <w:b/>
          <w:sz w:val="21"/>
          <w:szCs w:val="21"/>
        </w:rPr>
        <w:t>Polsce</w:t>
      </w:r>
      <w:r w:rsidR="006343E1">
        <w:rPr>
          <w:rFonts w:cs="Calibri"/>
          <w:b/>
          <w:sz w:val="21"/>
          <w:szCs w:val="21"/>
        </w:rPr>
        <w:t xml:space="preserve"> </w:t>
      </w:r>
      <w:r w:rsidR="006343E1" w:rsidRPr="005B2788">
        <w:rPr>
          <w:rFonts w:cs="Calibri"/>
          <w:b/>
          <w:sz w:val="21"/>
          <w:szCs w:val="21"/>
        </w:rPr>
        <w:t>w</w:t>
      </w:r>
      <w:r w:rsidR="006343E1">
        <w:rPr>
          <w:rFonts w:cs="Calibri"/>
          <w:b/>
          <w:sz w:val="21"/>
          <w:szCs w:val="21"/>
        </w:rPr>
        <w:t> </w:t>
      </w:r>
      <w:r w:rsidRPr="005B2788">
        <w:rPr>
          <w:rFonts w:cs="Calibri"/>
          <w:b/>
          <w:sz w:val="21"/>
          <w:szCs w:val="21"/>
        </w:rPr>
        <w:t xml:space="preserve">2019 </w:t>
      </w:r>
      <w:r w:rsidRPr="00CB07D4">
        <w:rPr>
          <w:b/>
          <w:sz w:val="21"/>
        </w:rPr>
        <w:t>r.</w:t>
      </w:r>
    </w:p>
    <w:p w14:paraId="2959F2A9" w14:textId="77777777" w:rsidR="005B060B" w:rsidRPr="00F21A6B" w:rsidRDefault="005B060B" w:rsidP="005B060B">
      <w:pPr>
        <w:pStyle w:val="Bezodstpw"/>
        <w:rPr>
          <w:i w:val="0"/>
        </w:rPr>
      </w:pPr>
      <w:r>
        <w:rPr>
          <w:noProof/>
          <w:lang w:eastAsia="pl-PL"/>
        </w:rPr>
        <w:drawing>
          <wp:inline distT="0" distB="0" distL="0" distR="0" wp14:anchorId="59356CD7" wp14:editId="719D54C3">
            <wp:extent cx="4572000" cy="2373212"/>
            <wp:effectExtent l="0" t="0" r="19050" b="27305"/>
            <wp:docPr id="229" name="Wykres 2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269A968" w14:textId="77777777" w:rsidR="007C783D" w:rsidRDefault="007C783D" w:rsidP="005B060B">
      <w:pPr>
        <w:pStyle w:val="Bezodstpw"/>
      </w:pPr>
    </w:p>
    <w:p w14:paraId="7ABF173B" w14:textId="0AEFF174" w:rsidR="005B060B" w:rsidRPr="00254AB9" w:rsidRDefault="005B060B" w:rsidP="005B060B">
      <w:pPr>
        <w:pStyle w:val="Bezodstpw"/>
      </w:pPr>
      <w:r w:rsidRPr="00254AB9">
        <w:t xml:space="preserve">Źródło: Opracowanie </w:t>
      </w:r>
      <w:r w:rsidR="003A56DA">
        <w:t>MRIT</w:t>
      </w:r>
      <w:r>
        <w:t xml:space="preserve"> na podstawie danych GUS </w:t>
      </w:r>
    </w:p>
    <w:p w14:paraId="4BC91722" w14:textId="452531CB" w:rsidR="005B060B" w:rsidRDefault="005B060B" w:rsidP="005B060B">
      <w:r>
        <w:t>W latach 2000</w:t>
      </w:r>
      <w:r w:rsidR="00FD0C32">
        <w:rPr>
          <w:rFonts w:ascii="Times New Roman" w:hAnsi="Times New Roman" w:cs="Times New Roman"/>
        </w:rPr>
        <w:t>–</w:t>
      </w:r>
      <w:r>
        <w:t>2018 o</w:t>
      </w:r>
      <w:r w:rsidRPr="006C0F6A">
        <w:t>dpady komunalne wytworzone</w:t>
      </w:r>
      <w:r w:rsidR="006343E1">
        <w:t xml:space="preserve"> </w:t>
      </w:r>
      <w:r w:rsidR="006343E1" w:rsidRPr="006C0F6A">
        <w:t>w</w:t>
      </w:r>
      <w:r w:rsidR="006343E1">
        <w:t> </w:t>
      </w:r>
      <w:r w:rsidRPr="006C0F6A">
        <w:t xml:space="preserve">Polsce </w:t>
      </w:r>
      <w:r w:rsidRPr="00CB07D4">
        <w:rPr>
          <w:i/>
        </w:rPr>
        <w:t>per capita</w:t>
      </w:r>
      <w:r w:rsidRPr="006C0F6A">
        <w:t xml:space="preserve"> </w:t>
      </w:r>
      <w:r>
        <w:t>utrzymywały się na poz</w:t>
      </w:r>
      <w:r w:rsidR="004754F7">
        <w:t>io</w:t>
      </w:r>
      <w:r>
        <w:t xml:space="preserve">mie ok. 300 kg (w </w:t>
      </w:r>
      <w:r w:rsidRPr="006C0F6A">
        <w:t>2018 r. wy</w:t>
      </w:r>
      <w:r>
        <w:t xml:space="preserve">niosły </w:t>
      </w:r>
      <w:r w:rsidRPr="006C0F6A">
        <w:t>329</w:t>
      </w:r>
      <w:r>
        <w:t xml:space="preserve"> kg wobec średniej UE-28 – </w:t>
      </w:r>
      <w:r w:rsidRPr="006C0F6A">
        <w:t>489</w:t>
      </w:r>
      <w:r>
        <w:t xml:space="preserve"> kg).</w:t>
      </w:r>
      <w:r w:rsidR="006343E1">
        <w:t xml:space="preserve"> W </w:t>
      </w:r>
      <w:r>
        <w:t>tym okresie wielkość odpadów składowanych</w:t>
      </w:r>
      <w:r w:rsidR="006343E1">
        <w:t xml:space="preserve"> w </w:t>
      </w:r>
      <w:r>
        <w:t>Polsce zmniejszyła się</w:t>
      </w:r>
      <w:r w:rsidR="006343E1">
        <w:t xml:space="preserve"> z </w:t>
      </w:r>
      <w:r>
        <w:t xml:space="preserve">312 kg </w:t>
      </w:r>
      <w:r w:rsidRPr="00CB07D4">
        <w:rPr>
          <w:i/>
        </w:rPr>
        <w:t>per capita</w:t>
      </w:r>
      <w:r>
        <w:t xml:space="preserve"> do 137</w:t>
      </w:r>
      <w:r w:rsidR="006343E1">
        <w:t xml:space="preserve"> w </w:t>
      </w:r>
      <w:r>
        <w:t xml:space="preserve">2018 r. (wobec 111 kg </w:t>
      </w:r>
      <w:r w:rsidRPr="00CB07D4">
        <w:rPr>
          <w:i/>
        </w:rPr>
        <w:t>per capita</w:t>
      </w:r>
      <w:r>
        <w:t xml:space="preserve"> UE-28).</w:t>
      </w:r>
      <w:r w:rsidR="006343E1">
        <w:t xml:space="preserve"> W </w:t>
      </w:r>
      <w:r>
        <w:t>Polsce</w:t>
      </w:r>
      <w:r w:rsidR="006343E1">
        <w:t xml:space="preserve"> w </w:t>
      </w:r>
      <w:r>
        <w:t>2000</w:t>
      </w:r>
      <w:r w:rsidR="00FD0C32">
        <w:t> </w:t>
      </w:r>
      <w:r>
        <w:t>r. nie funkcjonował</w:t>
      </w:r>
      <w:r w:rsidR="006343E1">
        <w:t xml:space="preserve"> w </w:t>
      </w:r>
      <w:r>
        <w:t>ogóle recykling odpadów,</w:t>
      </w:r>
      <w:r w:rsidR="006343E1">
        <w:t xml:space="preserve"> a </w:t>
      </w:r>
      <w:r>
        <w:t xml:space="preserve">w roku 2018 wyniósł 86 kg na mieszkańca, co stanowiło 57%  średniej UE-28. </w:t>
      </w:r>
      <w:r w:rsidR="00FD0C32">
        <w:t>W m</w:t>
      </w:r>
      <w:r>
        <w:t>niej</w:t>
      </w:r>
      <w:r w:rsidR="00FD0C32">
        <w:t>szym stopniu</w:t>
      </w:r>
      <w:r>
        <w:t xml:space="preserve"> niż Polska tylko 4 kraje U</w:t>
      </w:r>
      <w:r w:rsidR="00FD0C32">
        <w:t xml:space="preserve">nii </w:t>
      </w:r>
      <w:r>
        <w:t>E</w:t>
      </w:r>
      <w:r w:rsidR="00FD0C32">
        <w:t>uropejskiej</w:t>
      </w:r>
      <w:r>
        <w:t xml:space="preserve"> odzyskiwały odpady komunalne poprzez recykling: Rumunia (21), Malta (42), Portugalia (62)</w:t>
      </w:r>
      <w:r w:rsidR="006343E1">
        <w:t xml:space="preserve"> i </w:t>
      </w:r>
      <w:r>
        <w:t>Łotwa (78). Niekwestionowanym liderem europejskim</w:t>
      </w:r>
      <w:r w:rsidR="006343E1">
        <w:t xml:space="preserve"> w </w:t>
      </w:r>
      <w:r>
        <w:t>tym zakresie są Niemcy.</w:t>
      </w:r>
      <w:r w:rsidR="006343E1">
        <w:t xml:space="preserve"> U </w:t>
      </w:r>
      <w:r>
        <w:t>naszych sąsiadów recykling odpadów komunalnych wyniósł</w:t>
      </w:r>
      <w:r w:rsidR="006343E1">
        <w:t xml:space="preserve"> w </w:t>
      </w:r>
      <w:r>
        <w:t xml:space="preserve">2018 r. 305 kg </w:t>
      </w:r>
      <w:r w:rsidRPr="00CB07D4">
        <w:rPr>
          <w:i/>
        </w:rPr>
        <w:t>per</w:t>
      </w:r>
      <w:r w:rsidR="00FD0C32">
        <w:rPr>
          <w:i/>
        </w:rPr>
        <w:t> </w:t>
      </w:r>
      <w:r w:rsidRPr="00CB07D4">
        <w:rPr>
          <w:i/>
        </w:rPr>
        <w:t>capita</w:t>
      </w:r>
      <w:r>
        <w:t>. Wskaźnik recyklingu odpadów komunalnych (liczony jako udział odpadów przeznaczonych do recyklingu</w:t>
      </w:r>
      <w:r w:rsidR="006343E1">
        <w:t xml:space="preserve"> i </w:t>
      </w:r>
      <w:r>
        <w:t>przetwarzania biologicznego</w:t>
      </w:r>
      <w:r w:rsidR="006343E1">
        <w:t xml:space="preserve"> w </w:t>
      </w:r>
      <w:r>
        <w:t>odpadach komunalnych ogółem)</w:t>
      </w:r>
      <w:r w:rsidR="006343E1">
        <w:t xml:space="preserve"> w </w:t>
      </w:r>
      <w:r>
        <w:t xml:space="preserve">krajach Unii </w:t>
      </w:r>
      <w:r>
        <w:lastRenderedPageBreak/>
        <w:t>Europejskiej (UE</w:t>
      </w:r>
      <w:r w:rsidR="00FD0C32">
        <w:t>-</w:t>
      </w:r>
      <w:r>
        <w:t>28)</w:t>
      </w:r>
      <w:r w:rsidR="006343E1">
        <w:t xml:space="preserve"> w </w:t>
      </w:r>
      <w:r>
        <w:t>2018 r. wyniósł 47,0%. Najwyższą wartość wskaźnika odnotowano</w:t>
      </w:r>
      <w:r w:rsidR="006343E1">
        <w:t xml:space="preserve"> w </w:t>
      </w:r>
      <w:r>
        <w:t>Niemczech (67,3%), Słowenii (58,9%)</w:t>
      </w:r>
      <w:r w:rsidR="006343E1">
        <w:t xml:space="preserve"> i </w:t>
      </w:r>
      <w:r>
        <w:t>Austrii (57,7%),</w:t>
      </w:r>
      <w:r w:rsidR="006343E1">
        <w:t xml:space="preserve"> a </w:t>
      </w:r>
      <w:r>
        <w:t>najniższą – na Malcie (6,5%). Polska ze wskaźnikiem recyklingu odpadów komunalnych na poziomie 34,3% zajęła</w:t>
      </w:r>
      <w:r w:rsidR="00477C54">
        <w:t xml:space="preserve"> 18 </w:t>
      </w:r>
      <w:r>
        <w:t>lokatę wśród krajów U</w:t>
      </w:r>
      <w:r w:rsidR="00FD0C32">
        <w:t xml:space="preserve">nii </w:t>
      </w:r>
      <w:r>
        <w:t>E</w:t>
      </w:r>
      <w:r w:rsidR="00FD0C32">
        <w:t>uropejskiej</w:t>
      </w:r>
      <w:r>
        <w:t>.</w:t>
      </w:r>
    </w:p>
    <w:p w14:paraId="7C894F83" w14:textId="5651B53F" w:rsidR="005B060B" w:rsidRPr="00254AB9" w:rsidRDefault="005B060B" w:rsidP="005B060B">
      <w:r w:rsidRPr="00254AB9">
        <w:t>Należy również zauważyć</w:t>
      </w:r>
      <w:r w:rsidR="00477C54">
        <w:t>, że </w:t>
      </w:r>
      <w:r w:rsidRPr="00254AB9">
        <w:rPr>
          <w:lang w:eastAsia="pl-PL"/>
        </w:rPr>
        <w:t>Polska jest jednym</w:t>
      </w:r>
      <w:r w:rsidR="006343E1">
        <w:rPr>
          <w:lang w:eastAsia="pl-PL"/>
        </w:rPr>
        <w:t xml:space="preserve"> </w:t>
      </w:r>
      <w:r w:rsidR="006343E1" w:rsidRPr="00254AB9">
        <w:rPr>
          <w:lang w:eastAsia="pl-PL"/>
        </w:rPr>
        <w:t>z</w:t>
      </w:r>
      <w:r w:rsidR="006343E1">
        <w:rPr>
          <w:lang w:eastAsia="pl-PL"/>
        </w:rPr>
        <w:t> </w:t>
      </w:r>
      <w:r w:rsidRPr="00254AB9">
        <w:rPr>
          <w:lang w:eastAsia="pl-PL"/>
        </w:rPr>
        <w:t xml:space="preserve">czołowych producentów </w:t>
      </w:r>
      <w:r w:rsidR="000D014C">
        <w:rPr>
          <w:lang w:eastAsia="pl-PL"/>
        </w:rPr>
        <w:t>u</w:t>
      </w:r>
      <w:r w:rsidRPr="000D014C">
        <w:rPr>
          <w:lang w:eastAsia="pl-PL"/>
        </w:rPr>
        <w:t xml:space="preserve">bocznych </w:t>
      </w:r>
      <w:r w:rsidR="000D014C">
        <w:rPr>
          <w:lang w:eastAsia="pl-PL"/>
        </w:rPr>
        <w:t>p</w:t>
      </w:r>
      <w:r w:rsidRPr="000D014C">
        <w:rPr>
          <w:lang w:eastAsia="pl-PL"/>
        </w:rPr>
        <w:t xml:space="preserve">roduktów </w:t>
      </w:r>
      <w:r w:rsidR="000D014C">
        <w:rPr>
          <w:lang w:eastAsia="pl-PL"/>
        </w:rPr>
        <w:t>s</w:t>
      </w:r>
      <w:r w:rsidRPr="00254AB9">
        <w:rPr>
          <w:lang w:eastAsia="pl-PL"/>
        </w:rPr>
        <w:t>palania (UPS)</w:t>
      </w:r>
      <w:r w:rsidR="006343E1">
        <w:rPr>
          <w:lang w:eastAsia="pl-PL"/>
        </w:rPr>
        <w:t xml:space="preserve"> </w:t>
      </w:r>
      <w:r w:rsidR="006343E1" w:rsidRPr="00254AB9">
        <w:rPr>
          <w:lang w:eastAsia="pl-PL"/>
        </w:rPr>
        <w:t>w</w:t>
      </w:r>
      <w:r w:rsidR="006343E1">
        <w:rPr>
          <w:lang w:eastAsia="pl-PL"/>
        </w:rPr>
        <w:t> </w:t>
      </w:r>
      <w:r w:rsidRPr="00254AB9">
        <w:rPr>
          <w:lang w:eastAsia="pl-PL"/>
        </w:rPr>
        <w:t>Europie, co wynika</w:t>
      </w:r>
      <w:r w:rsidR="006343E1">
        <w:rPr>
          <w:lang w:eastAsia="pl-PL"/>
        </w:rPr>
        <w:t xml:space="preserve"> </w:t>
      </w:r>
      <w:r w:rsidR="006343E1" w:rsidRPr="00254AB9">
        <w:rPr>
          <w:lang w:eastAsia="pl-PL"/>
        </w:rPr>
        <w:t>z</w:t>
      </w:r>
      <w:r w:rsidR="006343E1">
        <w:rPr>
          <w:lang w:eastAsia="pl-PL"/>
        </w:rPr>
        <w:t> </w:t>
      </w:r>
      <w:r w:rsidRPr="00254AB9">
        <w:rPr>
          <w:lang w:eastAsia="pl-PL"/>
        </w:rPr>
        <w:t>faktu</w:t>
      </w:r>
      <w:r w:rsidR="00477C54">
        <w:rPr>
          <w:lang w:eastAsia="pl-PL"/>
        </w:rPr>
        <w:t>, że </w:t>
      </w:r>
      <w:r w:rsidRPr="00254AB9">
        <w:rPr>
          <w:lang w:eastAsia="pl-PL"/>
        </w:rPr>
        <w:t>wiodącym źródłem energii</w:t>
      </w:r>
      <w:r w:rsidR="006343E1">
        <w:rPr>
          <w:lang w:eastAsia="pl-PL"/>
        </w:rPr>
        <w:t xml:space="preserve"> </w:t>
      </w:r>
      <w:r w:rsidR="006343E1" w:rsidRPr="00254AB9">
        <w:rPr>
          <w:lang w:eastAsia="pl-PL"/>
        </w:rPr>
        <w:t>w</w:t>
      </w:r>
      <w:r w:rsidR="006343E1">
        <w:rPr>
          <w:lang w:eastAsia="pl-PL"/>
        </w:rPr>
        <w:t> </w:t>
      </w:r>
      <w:r w:rsidRPr="00254AB9">
        <w:rPr>
          <w:lang w:eastAsia="pl-PL"/>
        </w:rPr>
        <w:t>kraju jest węgiel. UPS to jednak nie tylko odpad</w:t>
      </w:r>
      <w:r w:rsidR="00664BA2">
        <w:rPr>
          <w:lang w:eastAsia="pl-PL"/>
        </w:rPr>
        <w:t>y – mogą</w:t>
      </w:r>
      <w:r w:rsidRPr="00254AB9">
        <w:rPr>
          <w:lang w:eastAsia="pl-PL"/>
        </w:rPr>
        <w:t xml:space="preserve"> stanowić cenny surowiec, stając się alternatywą dla kruszyw. Wykorzystanie tych materiałów jest istotne nie tylko ze względu na oszczędności finansowe płynące</w:t>
      </w:r>
      <w:r w:rsidR="006343E1">
        <w:rPr>
          <w:lang w:eastAsia="pl-PL"/>
        </w:rPr>
        <w:t xml:space="preserve"> </w:t>
      </w:r>
      <w:r w:rsidR="006343E1" w:rsidRPr="00254AB9">
        <w:rPr>
          <w:lang w:eastAsia="pl-PL"/>
        </w:rPr>
        <w:t>z</w:t>
      </w:r>
      <w:r w:rsidR="006343E1">
        <w:rPr>
          <w:lang w:eastAsia="pl-PL"/>
        </w:rPr>
        <w:t> </w:t>
      </w:r>
      <w:r w:rsidRPr="00254AB9">
        <w:rPr>
          <w:lang w:eastAsia="pl-PL"/>
        </w:rPr>
        <w:t>ich zagospodarowania, ale</w:t>
      </w:r>
      <w:r w:rsidR="006343E1">
        <w:rPr>
          <w:lang w:eastAsia="pl-PL"/>
        </w:rPr>
        <w:t xml:space="preserve"> </w:t>
      </w:r>
      <w:r w:rsidR="006343E1" w:rsidRPr="00254AB9">
        <w:rPr>
          <w:lang w:eastAsia="pl-PL"/>
        </w:rPr>
        <w:t>z</w:t>
      </w:r>
      <w:r w:rsidR="006343E1">
        <w:rPr>
          <w:lang w:eastAsia="pl-PL"/>
        </w:rPr>
        <w:t> </w:t>
      </w:r>
      <w:r w:rsidRPr="00254AB9">
        <w:rPr>
          <w:lang w:eastAsia="pl-PL"/>
        </w:rPr>
        <w:t>uwagi na kurczące się zasoby kruszyw naturalnych, które mogą być przez nie zastąpione</w:t>
      </w:r>
      <w:r w:rsidR="00FD0C32">
        <w:rPr>
          <w:lang w:eastAsia="pl-PL"/>
        </w:rPr>
        <w:t>,</w:t>
      </w:r>
      <w:r w:rsidRPr="00254AB9">
        <w:rPr>
          <w:lang w:eastAsia="pl-PL"/>
        </w:rPr>
        <w:t xml:space="preserve"> oraz zyski ekologiczne</w:t>
      </w:r>
      <w:r w:rsidR="006343E1">
        <w:rPr>
          <w:lang w:eastAsia="pl-PL"/>
        </w:rPr>
        <w:t xml:space="preserve"> </w:t>
      </w:r>
      <w:r w:rsidR="006343E1" w:rsidRPr="00254AB9">
        <w:rPr>
          <w:lang w:eastAsia="pl-PL"/>
        </w:rPr>
        <w:t>z</w:t>
      </w:r>
      <w:r w:rsidR="006343E1">
        <w:rPr>
          <w:lang w:eastAsia="pl-PL"/>
        </w:rPr>
        <w:t> </w:t>
      </w:r>
      <w:r w:rsidRPr="00254AB9">
        <w:rPr>
          <w:lang w:eastAsia="pl-PL"/>
        </w:rPr>
        <w:t>likwidacji składowisk</w:t>
      </w:r>
      <w:r w:rsidR="006343E1">
        <w:rPr>
          <w:lang w:eastAsia="pl-PL"/>
        </w:rPr>
        <w:t xml:space="preserve"> </w:t>
      </w:r>
      <w:r w:rsidR="006343E1" w:rsidRPr="00254AB9">
        <w:rPr>
          <w:lang w:eastAsia="pl-PL"/>
        </w:rPr>
        <w:t>i</w:t>
      </w:r>
      <w:r w:rsidR="006343E1">
        <w:rPr>
          <w:lang w:eastAsia="pl-PL"/>
        </w:rPr>
        <w:t> </w:t>
      </w:r>
      <w:r w:rsidRPr="00254AB9">
        <w:rPr>
          <w:lang w:eastAsia="pl-PL"/>
        </w:rPr>
        <w:t>ochrony zasobów.</w:t>
      </w:r>
      <w:r w:rsidRPr="00254AB9">
        <w:t xml:space="preserve"> </w:t>
      </w:r>
      <w:r w:rsidRPr="00FB07B9">
        <w:t>Zgodnie</w:t>
      </w:r>
      <w:r w:rsidR="006343E1">
        <w:t xml:space="preserve"> </w:t>
      </w:r>
      <w:r w:rsidR="006343E1" w:rsidRPr="00FB07B9">
        <w:t>z</w:t>
      </w:r>
      <w:r w:rsidR="006343E1">
        <w:t> </w:t>
      </w:r>
      <w:r w:rsidRPr="00FB07B9">
        <w:t>danymi Głównego Urzędu Statystycznego</w:t>
      </w:r>
      <w:r w:rsidR="006343E1">
        <w:t xml:space="preserve"> </w:t>
      </w:r>
      <w:r w:rsidR="006343E1" w:rsidRPr="00FB07B9">
        <w:t>w</w:t>
      </w:r>
      <w:r w:rsidR="006343E1">
        <w:t> </w:t>
      </w:r>
      <w:r w:rsidRPr="00FB07B9">
        <w:t>Polsce rokrocznie powstaje około 23 mln ton UPS,</w:t>
      </w:r>
      <w:r w:rsidR="006343E1">
        <w:t xml:space="preserve"> </w:t>
      </w:r>
      <w:r w:rsidR="006343E1" w:rsidRPr="00FB07B9">
        <w:t>z</w:t>
      </w:r>
      <w:r w:rsidR="006343E1">
        <w:t> </w:t>
      </w:r>
      <w:r w:rsidRPr="00FB07B9">
        <w:t xml:space="preserve">czego tylko </w:t>
      </w:r>
      <w:r>
        <w:t>mniej niż połowa</w:t>
      </w:r>
      <w:r w:rsidRPr="00254AB9">
        <w:t xml:space="preserve"> jest zagospodarowana do ponownego użytku. Mimo że kraje europejskie kładą coraz większy nacisk na gospodarkę</w:t>
      </w:r>
      <w:r w:rsidR="006343E1">
        <w:t xml:space="preserve"> </w:t>
      </w:r>
      <w:r w:rsidR="006343E1" w:rsidRPr="00254AB9">
        <w:t>o</w:t>
      </w:r>
      <w:r w:rsidR="006343E1">
        <w:t> </w:t>
      </w:r>
      <w:r w:rsidRPr="00254AB9">
        <w:t>obiegu zamkniętym, podaż UPS jest znacznie większa niż popyt. Na podmiocie wytwarzającym odpady spoczywa obowiązek przedstawienia tego, czy dana substancja jest odpad</w:t>
      </w:r>
      <w:r w:rsidR="00664BA2">
        <w:t>ami</w:t>
      </w:r>
      <w:r w:rsidRPr="00254AB9">
        <w:t xml:space="preserve"> czy stanowi produkt. Jednak droga UPS od odpadu do produktu jest złożona i, jak dotąd, pozbawiona szczegółowej procedury. Aby UPS zostały zaklasyfikowane jako produkt, muszą najpierw zostać uznane przez organ administracji publicznej za substancję, której dalsze wykorzystanie jest obiektywnie</w:t>
      </w:r>
      <w:r w:rsidR="006343E1">
        <w:t xml:space="preserve"> </w:t>
      </w:r>
      <w:r w:rsidR="006343E1" w:rsidRPr="00254AB9">
        <w:t>i</w:t>
      </w:r>
      <w:r w:rsidR="006343E1">
        <w:t> </w:t>
      </w:r>
      <w:r w:rsidRPr="00254AB9">
        <w:t xml:space="preserve">rynkowo pewne. </w:t>
      </w:r>
    </w:p>
    <w:p w14:paraId="3ABC3E77" w14:textId="77777777" w:rsidR="005B060B" w:rsidRDefault="005B060B" w:rsidP="005B060B">
      <w:pPr>
        <w:pStyle w:val="Nagwek2"/>
      </w:pPr>
      <w:bookmarkStart w:id="42" w:name="_Toc511921197"/>
      <w:bookmarkStart w:id="43" w:name="_Toc517448466"/>
      <w:bookmarkStart w:id="44" w:name="_Toc31808498"/>
      <w:bookmarkStart w:id="45" w:name="_Toc106968781"/>
      <w:r w:rsidRPr="00254AB9">
        <w:t>Zużycie energii, efektywność energetyczna</w:t>
      </w:r>
      <w:bookmarkEnd w:id="42"/>
      <w:bookmarkEnd w:id="43"/>
      <w:bookmarkEnd w:id="44"/>
      <w:bookmarkEnd w:id="45"/>
    </w:p>
    <w:p w14:paraId="62B52808" w14:textId="6502D05F" w:rsidR="005B060B" w:rsidRDefault="005B060B" w:rsidP="005B060B">
      <w:r w:rsidRPr="005B2788">
        <w:t>Innym aspektem powiązanym</w:t>
      </w:r>
      <w:r w:rsidR="006343E1">
        <w:t xml:space="preserve"> </w:t>
      </w:r>
      <w:r w:rsidR="006343E1" w:rsidRPr="005B2788">
        <w:t>z</w:t>
      </w:r>
      <w:r w:rsidR="006343E1">
        <w:t> </w:t>
      </w:r>
      <w:r w:rsidRPr="005B2788">
        <w:t>polityką surowcową jest zabezpieczenie dostępu do taniej energii</w:t>
      </w:r>
      <w:r w:rsidR="006343E1">
        <w:t xml:space="preserve"> </w:t>
      </w:r>
      <w:r w:rsidR="006343E1" w:rsidRPr="005B2788">
        <w:t>w</w:t>
      </w:r>
      <w:r w:rsidR="006343E1">
        <w:t> </w:t>
      </w:r>
      <w:r w:rsidRPr="005B2788">
        <w:t>warunkach polityki klimatycznej Unii Europejskiej nastawionej na ograniczanie emisji gazów cieplarnianych</w:t>
      </w:r>
      <w:r w:rsidR="00471314">
        <w:t xml:space="preserve"> przy jednoczesnym zachowaniu wysokiej niezależności energetycznej Polski, zagwarantowaniu dostaw i eliminacji ryzyka blackoutów</w:t>
      </w:r>
      <w:r w:rsidR="0069452A" w:rsidRPr="00254AB9">
        <w:t xml:space="preserve">. Od </w:t>
      </w:r>
      <w:r w:rsidRPr="005B2788">
        <w:t>wielu lat</w:t>
      </w:r>
      <w:r w:rsidR="006343E1">
        <w:t xml:space="preserve"> </w:t>
      </w:r>
      <w:r w:rsidR="006343E1" w:rsidRPr="005B2788">
        <w:t>w</w:t>
      </w:r>
      <w:r w:rsidR="006343E1">
        <w:t> </w:t>
      </w:r>
      <w:r w:rsidRPr="005B2788">
        <w:t xml:space="preserve">Polsce </w:t>
      </w:r>
      <w:r w:rsidR="00415FFF" w:rsidRPr="005B2788">
        <w:t>jest</w:t>
      </w:r>
      <w:r w:rsidRPr="005B2788">
        <w:t xml:space="preserve"> obserwowany stopniowy wzrost zapotrzebowania na energię przy jednoczesnym wzroście efektywności jej wykorzystania. Wzrost efektywności nie jest jednak wystarczający. Ponieważ</w:t>
      </w:r>
      <w:r w:rsidR="006343E1">
        <w:t xml:space="preserve"> </w:t>
      </w:r>
      <w:r w:rsidR="006343E1" w:rsidRPr="005B2788">
        <w:t>w</w:t>
      </w:r>
      <w:r w:rsidR="006343E1">
        <w:t> </w:t>
      </w:r>
      <w:r w:rsidRPr="005B2788">
        <w:t>wielu krajach zachodnich od kilku lat uwidacznia się spadek zapotrzebowania na energię</w:t>
      </w:r>
      <w:r w:rsidR="006343E1">
        <w:t xml:space="preserve"> </w:t>
      </w:r>
      <w:r w:rsidR="006343E1" w:rsidRPr="005B2788">
        <w:t>w</w:t>
      </w:r>
      <w:r w:rsidR="006343E1">
        <w:t> </w:t>
      </w:r>
      <w:r w:rsidRPr="005B2788">
        <w:t>wartościach bezwzględnych</w:t>
      </w:r>
      <w:r w:rsidR="00415FFF">
        <w:t>,</w:t>
      </w:r>
      <w:r w:rsidRPr="005B2788">
        <w:t xml:space="preserve"> to promowana przez te państwa polityka klimatyczna jest</w:t>
      </w:r>
      <w:r w:rsidR="006343E1">
        <w:t xml:space="preserve"> </w:t>
      </w:r>
      <w:r w:rsidR="006343E1" w:rsidRPr="005B2788">
        <w:t>w</w:t>
      </w:r>
      <w:r w:rsidR="006343E1">
        <w:t> </w:t>
      </w:r>
      <w:r w:rsidRPr="005B2788">
        <w:t>ich przypadku mniej uciążliwa niż dla energochłonnych krajów tzw. nowej Unii.</w:t>
      </w:r>
    </w:p>
    <w:p w14:paraId="1CDB8909" w14:textId="0C877609" w:rsidR="005B060B" w:rsidRDefault="005B060B" w:rsidP="005B060B">
      <w:r>
        <w:t>O</w:t>
      </w:r>
      <w:r w:rsidRPr="00310FD8">
        <w:t>d 2015 r. obserwuje się spowolnienie tempa poprawy efektywności energetycznej, dodatkowo</w:t>
      </w:r>
      <w:r w:rsidR="006343E1">
        <w:t xml:space="preserve"> </w:t>
      </w:r>
      <w:r w:rsidR="006343E1" w:rsidRPr="00310FD8">
        <w:t>w</w:t>
      </w:r>
      <w:r w:rsidR="006343E1">
        <w:t> </w:t>
      </w:r>
      <w:r w:rsidRPr="00310FD8">
        <w:t>rezultacie kryzysu</w:t>
      </w:r>
      <w:r w:rsidR="006343E1">
        <w:t xml:space="preserve"> </w:t>
      </w:r>
      <w:r w:rsidR="006343E1" w:rsidRPr="00310FD8">
        <w:t>i</w:t>
      </w:r>
      <w:r w:rsidR="006343E1">
        <w:t> </w:t>
      </w:r>
      <w:r w:rsidRPr="00310FD8">
        <w:t>niskich cen energii IEA szacuje</w:t>
      </w:r>
      <w:r w:rsidR="00477C54">
        <w:t>, że </w:t>
      </w:r>
      <w:r w:rsidR="006343E1" w:rsidRPr="00310FD8">
        <w:t>w</w:t>
      </w:r>
      <w:r w:rsidR="006343E1">
        <w:t> </w:t>
      </w:r>
      <w:r w:rsidRPr="00310FD8">
        <w:t>2020 r. efektywność energetyczna poprawi się zaledwie</w:t>
      </w:r>
      <w:r w:rsidR="006343E1">
        <w:t xml:space="preserve"> </w:t>
      </w:r>
      <w:r w:rsidR="006343E1" w:rsidRPr="00310FD8">
        <w:t>o</w:t>
      </w:r>
      <w:r w:rsidR="006343E1">
        <w:t> </w:t>
      </w:r>
      <w:r w:rsidRPr="00310FD8">
        <w:t>0,8% (w</w:t>
      </w:r>
      <w:r w:rsidR="00477C54">
        <w:t> </w:t>
      </w:r>
      <w:r w:rsidRPr="00310FD8">
        <w:t>2019 r. było to 1,6%,</w:t>
      </w:r>
      <w:r w:rsidR="006343E1">
        <w:t xml:space="preserve"> </w:t>
      </w:r>
      <w:r w:rsidR="006343E1" w:rsidRPr="00310FD8">
        <w:t>a</w:t>
      </w:r>
      <w:r w:rsidR="006343E1">
        <w:t> </w:t>
      </w:r>
      <w:r w:rsidRPr="00310FD8">
        <w:t>w 2018 r. 1,5%). Jest to tempo zbyt słabe</w:t>
      </w:r>
      <w:r w:rsidR="00415FFF">
        <w:t>,</w:t>
      </w:r>
      <w:r w:rsidRPr="00310FD8">
        <w:t xml:space="preserve"> aby osiągnąć globalne cele klimatyczne</w:t>
      </w:r>
      <w:r w:rsidR="00415FFF">
        <w:t>,</w:t>
      </w:r>
      <w:r w:rsidRPr="00310FD8">
        <w:t xml:space="preserve"> szczególnie</w:t>
      </w:r>
      <w:r w:rsidR="00477C54">
        <w:t xml:space="preserve"> że </w:t>
      </w:r>
      <w:r w:rsidR="006343E1" w:rsidRPr="00310FD8">
        <w:t>w</w:t>
      </w:r>
      <w:r w:rsidR="006343E1">
        <w:t> </w:t>
      </w:r>
      <w:r w:rsidRPr="00CB07D4">
        <w:rPr>
          <w:i/>
        </w:rPr>
        <w:t>Scenariuszu Zrównoważonego Rozwoju IEA</w:t>
      </w:r>
      <w:r w:rsidRPr="00310FD8">
        <w:t xml:space="preserve"> efektywność energetyczna odpowiada aż za 40% redukcji emisji gazów cieplarnianych związanych</w:t>
      </w:r>
      <w:r w:rsidR="006343E1">
        <w:t xml:space="preserve"> </w:t>
      </w:r>
      <w:r w:rsidR="006343E1" w:rsidRPr="00310FD8">
        <w:t>z</w:t>
      </w:r>
      <w:r w:rsidR="006343E1">
        <w:t> </w:t>
      </w:r>
      <w:r w:rsidRPr="00310FD8">
        <w:t>energią</w:t>
      </w:r>
      <w:r w:rsidR="006343E1">
        <w:t xml:space="preserve"> </w:t>
      </w:r>
      <w:r w:rsidR="006343E1" w:rsidRPr="00310FD8">
        <w:t>w</w:t>
      </w:r>
      <w:r w:rsidR="006343E1">
        <w:t> </w:t>
      </w:r>
      <w:r w:rsidRPr="00310FD8">
        <w:t>ciągu najbliższych 20 lat.</w:t>
      </w:r>
    </w:p>
    <w:p w14:paraId="7EC0F8C7" w14:textId="1A53B206" w:rsidR="00FD62DE" w:rsidRPr="00A732F3" w:rsidRDefault="00FD62DE" w:rsidP="00FD62DE">
      <w:r w:rsidRPr="00A732F3">
        <w:t>W ostatnich latach Polska poczyniła ogromne postępy w zakresie oszczędności zużycia energii elektrycznej. Pośredni cel na 2016 r.</w:t>
      </w:r>
      <w:r w:rsidR="00415FFF" w:rsidRPr="00A732F3">
        <w:t>,</w:t>
      </w:r>
      <w:r w:rsidRPr="00A732F3">
        <w:t xml:space="preserve"> rozumiany jako osiągni</w:t>
      </w:r>
      <w:r w:rsidR="00415FFF" w:rsidRPr="00A732F3">
        <w:t>ę</w:t>
      </w:r>
      <w:r w:rsidRPr="00A732F3">
        <w:t>cie finalnego zużycia energii w ilości nie mniejszej niż 9% średniego krajowego zużycia tej energii z lat 2001</w:t>
      </w:r>
      <w:r w:rsidR="00415FFF" w:rsidRPr="00A732F3">
        <w:t>–</w:t>
      </w:r>
      <w:r w:rsidRPr="00A732F3">
        <w:t>2005</w:t>
      </w:r>
      <w:r w:rsidR="00415FFF" w:rsidRPr="00A732F3">
        <w:t>,</w:t>
      </w:r>
      <w:r w:rsidRPr="00A732F3">
        <w:t xml:space="preserve"> został zrealizowany z nadwyżką, a w ciągu ostatnich trzech dekad energochłonność krajowej gospodarki uległa redukcji o 30 % (dane Eurostat).</w:t>
      </w:r>
    </w:p>
    <w:p w14:paraId="7E5E326A" w14:textId="77777777" w:rsidR="00FD62DE" w:rsidRDefault="00FD62DE" w:rsidP="005B060B"/>
    <w:p w14:paraId="29BDD205" w14:textId="77777777" w:rsidR="00A732F3" w:rsidRDefault="00A732F3" w:rsidP="005B060B"/>
    <w:p w14:paraId="722ECD66" w14:textId="77777777" w:rsidR="00A732F3" w:rsidRDefault="00A732F3" w:rsidP="005B060B"/>
    <w:p w14:paraId="019F45E6" w14:textId="77777777" w:rsidR="001C3C76" w:rsidRDefault="001C3C76" w:rsidP="005B060B"/>
    <w:p w14:paraId="56492C38" w14:textId="77777777" w:rsidR="001C3C76" w:rsidRDefault="001C3C76" w:rsidP="005B060B"/>
    <w:p w14:paraId="088ABC1E" w14:textId="77777777" w:rsidR="00A732F3" w:rsidRDefault="00A732F3" w:rsidP="005B060B"/>
    <w:p w14:paraId="4D5F7A54" w14:textId="77777777" w:rsidR="00A732F3" w:rsidRDefault="00A732F3" w:rsidP="005B060B"/>
    <w:p w14:paraId="62E4C187" w14:textId="77777777" w:rsidR="00A732F3" w:rsidRPr="00A732F3" w:rsidRDefault="00A732F3" w:rsidP="005B060B"/>
    <w:p w14:paraId="2D24D1AC" w14:textId="34955BB1" w:rsidR="005B060B" w:rsidRPr="00CB07D4" w:rsidRDefault="005B060B" w:rsidP="00A732F3">
      <w:pPr>
        <w:rPr>
          <w:b/>
        </w:rPr>
      </w:pPr>
      <w:r w:rsidRPr="00CB07D4">
        <w:rPr>
          <w:b/>
        </w:rPr>
        <w:lastRenderedPageBreak/>
        <w:t>Wykres</w:t>
      </w:r>
      <w:r w:rsidR="001C3C76">
        <w:rPr>
          <w:b/>
        </w:rPr>
        <w:t xml:space="preserve"> </w:t>
      </w:r>
      <w:r w:rsidR="003A5EA7" w:rsidRPr="00CB07D4">
        <w:rPr>
          <w:b/>
        </w:rPr>
        <w:t>2</w:t>
      </w:r>
      <w:r w:rsidR="001C3C76">
        <w:rPr>
          <w:b/>
        </w:rPr>
        <w:t>5</w:t>
      </w:r>
      <w:r w:rsidRPr="00CB07D4">
        <w:rPr>
          <w:b/>
        </w:rPr>
        <w:t>. Udział kosztów materiałów</w:t>
      </w:r>
      <w:r w:rsidR="006343E1" w:rsidRPr="00CB07D4">
        <w:rPr>
          <w:b/>
        </w:rPr>
        <w:t xml:space="preserve"> i </w:t>
      </w:r>
      <w:r w:rsidRPr="00CB07D4">
        <w:rPr>
          <w:b/>
        </w:rPr>
        <w:t>energii</w:t>
      </w:r>
      <w:r w:rsidR="006343E1" w:rsidRPr="00CB07D4">
        <w:rPr>
          <w:b/>
        </w:rPr>
        <w:t xml:space="preserve"> w </w:t>
      </w:r>
      <w:r w:rsidRPr="00CB07D4">
        <w:rPr>
          <w:b/>
        </w:rPr>
        <w:t xml:space="preserve">kosztach </w:t>
      </w:r>
      <w:r w:rsidR="005B7E78" w:rsidRPr="00CB07D4">
        <w:rPr>
          <w:b/>
        </w:rPr>
        <w:t>w 2017 r.</w:t>
      </w:r>
      <w:r w:rsidR="008B54D2" w:rsidRPr="00CB07D4">
        <w:rPr>
          <w:b/>
        </w:rPr>
        <w:t xml:space="preserve"> </w:t>
      </w:r>
      <w:r w:rsidR="00A732F3">
        <w:rPr>
          <w:b/>
        </w:rPr>
        <w:t>(</w:t>
      </w:r>
      <w:r w:rsidR="008B54D2" w:rsidRPr="00CB07D4">
        <w:rPr>
          <w:b/>
        </w:rPr>
        <w:t>proc.</w:t>
      </w:r>
      <w:r w:rsidR="00A732F3">
        <w:rPr>
          <w:b/>
        </w:rPr>
        <w:t>)</w:t>
      </w:r>
    </w:p>
    <w:tbl>
      <w:tblPr>
        <w:tblpPr w:leftFromText="141" w:rightFromText="141" w:vertAnchor="text" w:horzAnchor="margin" w:tblpY="119"/>
        <w:tblW w:w="0" w:type="auto"/>
        <w:tblLook w:val="04A0" w:firstRow="1" w:lastRow="0" w:firstColumn="1" w:lastColumn="0" w:noHBand="0" w:noVBand="1"/>
      </w:tblPr>
      <w:tblGrid>
        <w:gridCol w:w="9072"/>
      </w:tblGrid>
      <w:tr w:rsidR="005B060B" w:rsidRPr="00254AB9" w14:paraId="4CE33C21" w14:textId="77777777" w:rsidTr="003224F9">
        <w:tc>
          <w:tcPr>
            <w:tcW w:w="9288" w:type="dxa"/>
            <w:shd w:val="clear" w:color="auto" w:fill="auto"/>
          </w:tcPr>
          <w:p w14:paraId="788C7E2F" w14:textId="77777777" w:rsidR="005B060B" w:rsidRPr="005B2788" w:rsidRDefault="005B060B" w:rsidP="003224F9">
            <w:pPr>
              <w:rPr>
                <w:b/>
                <w:sz w:val="21"/>
                <w:szCs w:val="21"/>
              </w:rPr>
            </w:pPr>
            <w:r>
              <w:rPr>
                <w:b/>
                <w:noProof/>
                <w:sz w:val="21"/>
                <w:szCs w:val="21"/>
                <w:lang w:eastAsia="pl-PL"/>
              </w:rPr>
              <w:drawing>
                <wp:inline distT="0" distB="0" distL="0" distR="0" wp14:anchorId="3BC9A2D1" wp14:editId="41780E02">
                  <wp:extent cx="5627370" cy="3115310"/>
                  <wp:effectExtent l="0" t="0" r="0" b="8890"/>
                  <wp:docPr id="233" name="Obraz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27370" cy="3115310"/>
                          </a:xfrm>
                          <a:prstGeom prst="rect">
                            <a:avLst/>
                          </a:prstGeom>
                          <a:noFill/>
                        </pic:spPr>
                      </pic:pic>
                    </a:graphicData>
                  </a:graphic>
                </wp:inline>
              </w:drawing>
            </w:r>
          </w:p>
          <w:p w14:paraId="40D1D4F3" w14:textId="17E14F1F" w:rsidR="005B060B" w:rsidRPr="005B2788" w:rsidRDefault="005B060B" w:rsidP="003224F9">
            <w:pPr>
              <w:pageBreakBefore/>
              <w:spacing w:after="0" w:line="240" w:lineRule="auto"/>
              <w:rPr>
                <w:rFonts w:cs="Calibri"/>
                <w:b/>
                <w:i/>
                <w:color w:val="000000"/>
                <w:sz w:val="18"/>
                <w:szCs w:val="18"/>
              </w:rPr>
            </w:pPr>
            <w:r w:rsidRPr="005B2788">
              <w:rPr>
                <w:i/>
                <w:sz w:val="18"/>
                <w:szCs w:val="18"/>
              </w:rPr>
              <w:t xml:space="preserve">Źródło: Opracowanie </w:t>
            </w:r>
            <w:r w:rsidR="003A56DA">
              <w:rPr>
                <w:i/>
                <w:sz w:val="18"/>
                <w:szCs w:val="18"/>
              </w:rPr>
              <w:t>MRiT</w:t>
            </w:r>
            <w:r>
              <w:rPr>
                <w:i/>
                <w:sz w:val="18"/>
                <w:szCs w:val="18"/>
              </w:rPr>
              <w:t xml:space="preserve"> na podstawie danych GUS</w:t>
            </w:r>
          </w:p>
        </w:tc>
      </w:tr>
      <w:tr w:rsidR="005B060B" w:rsidRPr="00254AB9" w14:paraId="548DC6EC" w14:textId="77777777" w:rsidTr="003224F9">
        <w:trPr>
          <w:trHeight w:val="4600"/>
        </w:trPr>
        <w:tc>
          <w:tcPr>
            <w:tcW w:w="9288" w:type="dxa"/>
            <w:shd w:val="clear" w:color="auto" w:fill="auto"/>
          </w:tcPr>
          <w:p w14:paraId="44868D43" w14:textId="6682BCE7" w:rsidR="005B060B" w:rsidRPr="00254AB9" w:rsidRDefault="005B060B" w:rsidP="003224F9">
            <w:r w:rsidRPr="00D11129">
              <w:t>U</w:t>
            </w:r>
            <w:r w:rsidRPr="000E25A3">
              <w:t>dział kosztów materiałów</w:t>
            </w:r>
            <w:r w:rsidR="006343E1">
              <w:t xml:space="preserve"> </w:t>
            </w:r>
            <w:r w:rsidR="006343E1" w:rsidRPr="000E25A3">
              <w:t>i</w:t>
            </w:r>
            <w:r w:rsidR="006343E1">
              <w:t> </w:t>
            </w:r>
            <w:r w:rsidRPr="000E25A3">
              <w:t>energii</w:t>
            </w:r>
            <w:r w:rsidR="006343E1">
              <w:t xml:space="preserve"> </w:t>
            </w:r>
            <w:r w:rsidR="006343E1" w:rsidRPr="000E25A3">
              <w:t>w</w:t>
            </w:r>
            <w:r w:rsidR="006343E1">
              <w:t> </w:t>
            </w:r>
            <w:r w:rsidRPr="000E25A3">
              <w:t>kosztach przedsiębiorstw ogółem jest dużo wyższy</w:t>
            </w:r>
            <w:r w:rsidR="00415FFF">
              <w:t>,</w:t>
            </w:r>
            <w:r w:rsidRPr="000E25A3">
              <w:t xml:space="preserve"> niż mogłoby się wydawać.</w:t>
            </w:r>
            <w:r w:rsidR="006343E1">
              <w:t xml:space="preserve"> </w:t>
            </w:r>
            <w:r w:rsidR="006343E1" w:rsidRPr="000E25A3">
              <w:t>W</w:t>
            </w:r>
            <w:r w:rsidR="006343E1">
              <w:t> </w:t>
            </w:r>
            <w:r w:rsidRPr="000E25A3">
              <w:t xml:space="preserve">skali całego przetwórstwa przemysłowego wynosi on </w:t>
            </w:r>
            <w:r w:rsidR="005B7E78">
              <w:t>65,6</w:t>
            </w:r>
            <w:r w:rsidRPr="00D11129">
              <w:t>%.</w:t>
            </w:r>
            <w:r w:rsidRPr="00254AB9">
              <w:t xml:space="preserve"> Co więcej, branże najbardziej materiało-</w:t>
            </w:r>
            <w:r w:rsidR="006343E1">
              <w:t xml:space="preserve"> </w:t>
            </w:r>
            <w:r w:rsidR="006343E1" w:rsidRPr="00254AB9">
              <w:t>i</w:t>
            </w:r>
            <w:r w:rsidR="006343E1">
              <w:t> </w:t>
            </w:r>
            <w:r w:rsidRPr="00254AB9">
              <w:t>energochłonne to niekoniecznie te nastawione na przetwarzanie surowców. Znajdują się wśród nich oczywiście takie jak produkcja metali, rafinacja ropy naftowej czy też produkcja wyrobów</w:t>
            </w:r>
            <w:r w:rsidR="006343E1">
              <w:t xml:space="preserve"> </w:t>
            </w:r>
            <w:r w:rsidR="006343E1" w:rsidRPr="00254AB9">
              <w:t>z</w:t>
            </w:r>
            <w:r w:rsidR="006343E1">
              <w:t> </w:t>
            </w:r>
            <w:r w:rsidRPr="00254AB9">
              <w:t>drewna. Na liście znajdziemy jednak też te, dla których</w:t>
            </w:r>
            <w:r w:rsidR="00415FFF">
              <w:t>,</w:t>
            </w:r>
            <w:r w:rsidRPr="00254AB9">
              <w:t xml:space="preserve"> wydawałoby się</w:t>
            </w:r>
            <w:r w:rsidR="00415FFF">
              <w:t>,</w:t>
            </w:r>
            <w:r w:rsidRPr="00254AB9">
              <w:t xml:space="preserve"> materiały</w:t>
            </w:r>
            <w:r w:rsidR="006343E1">
              <w:t xml:space="preserve"> </w:t>
            </w:r>
            <w:r w:rsidR="006343E1" w:rsidRPr="00254AB9">
              <w:t>i</w:t>
            </w:r>
            <w:r w:rsidR="006343E1">
              <w:t> </w:t>
            </w:r>
            <w:r w:rsidRPr="00254AB9">
              <w:t>energia mają znaczenie drugorzędne. Należy tu wymienić przede wszystkim produkcję komputerów, samochodów czy urządzeń elektrycznych.</w:t>
            </w:r>
          </w:p>
          <w:p w14:paraId="78E623EB" w14:textId="6BA9EB6B" w:rsidR="005B060B" w:rsidRDefault="005B060B" w:rsidP="003224F9">
            <w:r w:rsidRPr="00254AB9">
              <w:t>W przypadku produkcji pojazdów samochodowych zabezpieczenie</w:t>
            </w:r>
            <w:r w:rsidR="006343E1">
              <w:t xml:space="preserve"> </w:t>
            </w:r>
            <w:r w:rsidR="006343E1" w:rsidRPr="00254AB9">
              <w:t>w</w:t>
            </w:r>
            <w:r w:rsidR="006343E1">
              <w:t> </w:t>
            </w:r>
            <w:r w:rsidRPr="00254AB9">
              <w:t>materiały wydaje się problemem mało istotnym, gdyż występuje duża konkurencja wśród dostawców podzespołów, a produkcja komponentów</w:t>
            </w:r>
            <w:r w:rsidR="006343E1">
              <w:t xml:space="preserve"> </w:t>
            </w:r>
            <w:r w:rsidR="006343E1" w:rsidRPr="00254AB9">
              <w:t>z</w:t>
            </w:r>
            <w:r w:rsidR="006343E1">
              <w:t> </w:t>
            </w:r>
            <w:r w:rsidRPr="00254AB9">
              <w:t>metali</w:t>
            </w:r>
            <w:r w:rsidR="006343E1">
              <w:t xml:space="preserve"> </w:t>
            </w:r>
            <w:r w:rsidR="006343E1" w:rsidRPr="00254AB9">
              <w:t>i</w:t>
            </w:r>
            <w:r w:rsidR="006343E1">
              <w:t> </w:t>
            </w:r>
            <w:r w:rsidRPr="00254AB9">
              <w:t>tworzyw sztucznych może odbywać się</w:t>
            </w:r>
            <w:r w:rsidR="006343E1">
              <w:t xml:space="preserve"> </w:t>
            </w:r>
            <w:r w:rsidR="006343E1" w:rsidRPr="00254AB9">
              <w:t>w</w:t>
            </w:r>
            <w:r w:rsidR="006343E1">
              <w:t> </w:t>
            </w:r>
            <w:r w:rsidRPr="00254AB9">
              <w:t>wielu miejscach świata.</w:t>
            </w:r>
            <w:r w:rsidR="006343E1">
              <w:t xml:space="preserve"> </w:t>
            </w:r>
            <w:r w:rsidR="006343E1" w:rsidRPr="00254AB9">
              <w:t>W</w:t>
            </w:r>
            <w:r w:rsidR="006343E1">
              <w:t> </w:t>
            </w:r>
            <w:r w:rsidRPr="00254AB9">
              <w:t>elektronice jednak kwestia ta jest dużo poważniejsza. Współczesna elektronika opiera się</w:t>
            </w:r>
            <w:r w:rsidR="006343E1">
              <w:t xml:space="preserve"> </w:t>
            </w:r>
            <w:r w:rsidR="006343E1" w:rsidRPr="00254AB9">
              <w:t>w</w:t>
            </w:r>
            <w:r w:rsidR="006343E1">
              <w:t> </w:t>
            </w:r>
            <w:r w:rsidRPr="00254AB9">
              <w:t>dużej mierze na wykorzystaniu rzadkich pierwiastków takich jak tzw. metale ziem rzadkich. Ich zasoby są skoncentrowane niemal wyłącznie</w:t>
            </w:r>
            <w:r w:rsidR="006343E1">
              <w:t xml:space="preserve"> </w:t>
            </w:r>
            <w:r w:rsidR="006343E1" w:rsidRPr="00254AB9">
              <w:t>w</w:t>
            </w:r>
            <w:r w:rsidR="006343E1">
              <w:t> </w:t>
            </w:r>
            <w:r w:rsidRPr="00254AB9">
              <w:t>Chinach, które wykorzystują na własny użytek coraz większą część</w:t>
            </w:r>
            <w:r w:rsidR="006343E1">
              <w:t xml:space="preserve"> </w:t>
            </w:r>
            <w:r w:rsidR="006343E1" w:rsidRPr="00254AB9">
              <w:t>z</w:t>
            </w:r>
            <w:r w:rsidR="006343E1">
              <w:t> </w:t>
            </w:r>
            <w:r w:rsidRPr="00254AB9">
              <w:t>nich. Ponadto jeśli chodzi</w:t>
            </w:r>
            <w:r w:rsidR="006343E1">
              <w:t xml:space="preserve"> </w:t>
            </w:r>
            <w:r w:rsidR="006343E1" w:rsidRPr="00254AB9">
              <w:t>o</w:t>
            </w:r>
            <w:r w:rsidR="006343E1">
              <w:t> </w:t>
            </w:r>
            <w:r w:rsidRPr="00254AB9">
              <w:t>produkcję niektórych zaawansowanych komponentów</w:t>
            </w:r>
            <w:r w:rsidR="00415FFF">
              <w:t>,</w:t>
            </w:r>
            <w:r w:rsidRPr="00254AB9">
              <w:t xml:space="preserve"> </w:t>
            </w:r>
            <w:r w:rsidR="00415FFF">
              <w:t>jest</w:t>
            </w:r>
            <w:r w:rsidRPr="00254AB9">
              <w:t xml:space="preserve"> najczęściej tylko kilku dostawców lub </w:t>
            </w:r>
            <w:r w:rsidR="003A1D2D">
              <w:t xml:space="preserve">są </w:t>
            </w:r>
            <w:r w:rsidRPr="00254AB9">
              <w:t>wręcz monopole</w:t>
            </w:r>
            <w:r w:rsidR="006343E1">
              <w:t xml:space="preserve"> </w:t>
            </w:r>
            <w:r w:rsidR="006343E1" w:rsidRPr="00254AB9">
              <w:t>w</w:t>
            </w:r>
            <w:r w:rsidR="006343E1">
              <w:t> </w:t>
            </w:r>
            <w:r w:rsidRPr="00254AB9">
              <w:t>zakresie poszczególnych technologii.</w:t>
            </w:r>
          </w:p>
          <w:p w14:paraId="42E79F3F" w14:textId="77777777" w:rsidR="00DC0BA5" w:rsidRDefault="00DC0BA5" w:rsidP="003A5EA7">
            <w:pPr>
              <w:pStyle w:val="Nagwek4"/>
            </w:pPr>
          </w:p>
          <w:p w14:paraId="4AD5057C" w14:textId="77777777" w:rsidR="00DC0BA5" w:rsidRDefault="00DC0BA5" w:rsidP="003A5EA7">
            <w:pPr>
              <w:pStyle w:val="Nagwek4"/>
            </w:pPr>
          </w:p>
          <w:p w14:paraId="69403877" w14:textId="77777777" w:rsidR="00DC0BA5" w:rsidRDefault="00DC0BA5" w:rsidP="003A5EA7">
            <w:pPr>
              <w:pStyle w:val="Nagwek4"/>
            </w:pPr>
          </w:p>
          <w:p w14:paraId="5FC325F0" w14:textId="77777777" w:rsidR="00DC0BA5" w:rsidRDefault="00DC0BA5" w:rsidP="003A5EA7">
            <w:pPr>
              <w:pStyle w:val="Nagwek4"/>
            </w:pPr>
          </w:p>
          <w:p w14:paraId="5C9359ED" w14:textId="77777777" w:rsidR="00DC0BA5" w:rsidRDefault="00DC0BA5" w:rsidP="003A5EA7">
            <w:pPr>
              <w:pStyle w:val="Nagwek4"/>
            </w:pPr>
          </w:p>
          <w:p w14:paraId="1BEDCEF6" w14:textId="77777777" w:rsidR="00DC0BA5" w:rsidRDefault="00DC0BA5" w:rsidP="003A5EA7">
            <w:pPr>
              <w:pStyle w:val="Nagwek4"/>
            </w:pPr>
          </w:p>
          <w:p w14:paraId="0D29827F" w14:textId="77777777" w:rsidR="00DC0BA5" w:rsidRDefault="00DC0BA5" w:rsidP="003A5EA7">
            <w:pPr>
              <w:pStyle w:val="Nagwek4"/>
            </w:pPr>
          </w:p>
          <w:p w14:paraId="0C7FEE6C" w14:textId="77777777" w:rsidR="00DC0BA5" w:rsidRDefault="00DC0BA5" w:rsidP="003A5EA7">
            <w:pPr>
              <w:pStyle w:val="Nagwek4"/>
            </w:pPr>
          </w:p>
          <w:p w14:paraId="22EA6620" w14:textId="77777777" w:rsidR="00DC0BA5" w:rsidRDefault="00DC0BA5" w:rsidP="003A5EA7">
            <w:pPr>
              <w:pStyle w:val="Nagwek4"/>
            </w:pPr>
          </w:p>
          <w:p w14:paraId="155C98A5" w14:textId="77777777" w:rsidR="00DC0BA5" w:rsidRDefault="00DC0BA5" w:rsidP="003A5EA7">
            <w:pPr>
              <w:pStyle w:val="Nagwek4"/>
            </w:pPr>
          </w:p>
          <w:p w14:paraId="4CA14F47" w14:textId="3FC94FA5" w:rsidR="002B346F" w:rsidRPr="002B346F" w:rsidRDefault="005B060B" w:rsidP="00CB07D4">
            <w:pPr>
              <w:pStyle w:val="Nagwek4"/>
            </w:pPr>
            <w:r w:rsidRPr="00254AB9">
              <w:t xml:space="preserve">Wykres </w:t>
            </w:r>
            <w:r w:rsidR="000935B2">
              <w:t>2</w:t>
            </w:r>
            <w:r w:rsidR="001C3C76">
              <w:t>6</w:t>
            </w:r>
            <w:r w:rsidRPr="000E25A3">
              <w:t xml:space="preserve">. </w:t>
            </w:r>
            <w:r w:rsidR="005B7E78">
              <w:t>Zużycie</w:t>
            </w:r>
            <w:r w:rsidR="008B54D2">
              <w:t xml:space="preserve"> </w:t>
            </w:r>
            <w:r w:rsidRPr="000E25A3">
              <w:t>energii elektrycznej</w:t>
            </w:r>
            <w:r w:rsidR="006343E1">
              <w:t xml:space="preserve"> </w:t>
            </w:r>
            <w:r w:rsidR="006343E1" w:rsidRPr="000E25A3">
              <w:t>w</w:t>
            </w:r>
            <w:r w:rsidR="006343E1">
              <w:t> </w:t>
            </w:r>
            <w:r w:rsidRPr="000E25A3">
              <w:t>przemyśle</w:t>
            </w:r>
            <w:r w:rsidR="006343E1">
              <w:t xml:space="preserve"> </w:t>
            </w:r>
            <w:r w:rsidR="006343E1" w:rsidRPr="000E25A3">
              <w:t>w</w:t>
            </w:r>
            <w:r w:rsidR="006343E1">
              <w:t> </w:t>
            </w:r>
            <w:r w:rsidRPr="000E25A3">
              <w:t>gigawatogodzinac</w:t>
            </w:r>
            <w:r>
              <w:t>h</w:t>
            </w:r>
          </w:p>
          <w:tbl>
            <w:tblPr>
              <w:tblpPr w:leftFromText="141" w:rightFromText="141" w:vertAnchor="text" w:horzAnchor="margin" w:tblpY="62"/>
              <w:tblW w:w="9212" w:type="dxa"/>
              <w:tblCellMar>
                <w:left w:w="70" w:type="dxa"/>
                <w:right w:w="70" w:type="dxa"/>
              </w:tblCellMar>
              <w:tblLook w:val="04A0" w:firstRow="1" w:lastRow="0" w:firstColumn="1" w:lastColumn="0" w:noHBand="0" w:noVBand="1"/>
            </w:tblPr>
            <w:tblGrid>
              <w:gridCol w:w="9212"/>
            </w:tblGrid>
            <w:tr w:rsidR="005B060B" w:rsidRPr="00254AB9" w14:paraId="5735EFBF" w14:textId="77777777" w:rsidTr="008B54D2">
              <w:tc>
                <w:tcPr>
                  <w:tcW w:w="9212" w:type="dxa"/>
                  <w:shd w:val="clear" w:color="auto" w:fill="auto"/>
                </w:tcPr>
                <w:p w14:paraId="161FA627" w14:textId="54356064" w:rsidR="005B060B" w:rsidRPr="00254AB9" w:rsidRDefault="008B54D2" w:rsidP="003224F9">
                  <w:pPr>
                    <w:pageBreakBefore/>
                    <w:spacing w:after="0" w:line="240" w:lineRule="auto"/>
                    <w:rPr>
                      <w:rFonts w:cs="Calibri"/>
                      <w:b/>
                      <w:color w:val="000000"/>
                      <w:sz w:val="21"/>
                      <w:szCs w:val="21"/>
                    </w:rPr>
                  </w:pPr>
                  <w:r>
                    <w:rPr>
                      <w:noProof/>
                      <w:lang w:eastAsia="pl-PL"/>
                    </w:rPr>
                    <w:drawing>
                      <wp:inline distT="0" distB="0" distL="0" distR="0" wp14:anchorId="1EBFC90D" wp14:editId="04ECA851">
                        <wp:extent cx="4572000" cy="2743200"/>
                        <wp:effectExtent l="0" t="0" r="0" b="0"/>
                        <wp:docPr id="14" name="Wykres 14">
                          <a:extLst xmlns:a="http://schemas.openxmlformats.org/drawingml/2006/main">
                            <a:ext uri="{FF2B5EF4-FFF2-40B4-BE49-F238E27FC236}">
                              <a16:creationId xmlns:a16="http://schemas.microsoft.com/office/drawing/2014/main" id="{265B2CB4-DAD0-4A2C-B224-1714BF606C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c>
            </w:tr>
            <w:tr w:rsidR="005B060B" w:rsidRPr="00254AB9" w14:paraId="20548F43" w14:textId="77777777" w:rsidTr="003224F9">
              <w:tblPrEx>
                <w:tblCellMar>
                  <w:left w:w="108" w:type="dxa"/>
                  <w:right w:w="108" w:type="dxa"/>
                </w:tblCellMar>
              </w:tblPrEx>
              <w:tc>
                <w:tcPr>
                  <w:tcW w:w="9212" w:type="dxa"/>
                  <w:shd w:val="clear" w:color="auto" w:fill="auto"/>
                </w:tcPr>
                <w:p w14:paraId="25C9EC51" w14:textId="77777777" w:rsidR="007C783D" w:rsidRDefault="007C783D" w:rsidP="003224F9">
                  <w:pPr>
                    <w:pStyle w:val="Bezodstpw"/>
                  </w:pPr>
                </w:p>
                <w:p w14:paraId="0832CFA5" w14:textId="4952E9BD" w:rsidR="005B060B" w:rsidRPr="001E7228" w:rsidRDefault="005B060B" w:rsidP="003224F9">
                  <w:pPr>
                    <w:pStyle w:val="Bezodstpw"/>
                  </w:pPr>
                  <w:r w:rsidRPr="00254AB9">
                    <w:t xml:space="preserve">Źródło: Opracowanie </w:t>
                  </w:r>
                  <w:r w:rsidR="003A56DA">
                    <w:t>MRiT</w:t>
                  </w:r>
                  <w:r>
                    <w:t xml:space="preserve"> </w:t>
                  </w:r>
                  <w:r w:rsidRPr="00254AB9">
                    <w:t>na podstawie danych Eurostat</w:t>
                  </w:r>
                </w:p>
              </w:tc>
            </w:tr>
          </w:tbl>
          <w:p w14:paraId="6708B828" w14:textId="77777777" w:rsidR="005B060B" w:rsidRPr="00254AB9" w:rsidRDefault="005B060B" w:rsidP="003224F9">
            <w:pPr>
              <w:spacing w:after="0" w:line="240" w:lineRule="auto"/>
              <w:jc w:val="left"/>
              <w:rPr>
                <w:rFonts w:cs="Calibri"/>
                <w:color w:val="17365D"/>
                <w:sz w:val="21"/>
                <w:szCs w:val="21"/>
              </w:rPr>
            </w:pPr>
          </w:p>
        </w:tc>
      </w:tr>
    </w:tbl>
    <w:p w14:paraId="5E153741" w14:textId="2CB0B4C2" w:rsidR="005B060B" w:rsidRPr="00254AB9" w:rsidRDefault="005B060B" w:rsidP="005B060B">
      <w:r>
        <w:lastRenderedPageBreak/>
        <w:t>W</w:t>
      </w:r>
      <w:r w:rsidRPr="009903CD">
        <w:t xml:space="preserve"> 201</w:t>
      </w:r>
      <w:r w:rsidR="002B346F">
        <w:t>8</w:t>
      </w:r>
      <w:r w:rsidRPr="009903CD">
        <w:t xml:space="preserve"> r</w:t>
      </w:r>
      <w:r w:rsidR="00415FFF">
        <w:t>.</w:t>
      </w:r>
      <w:r w:rsidRPr="009903CD">
        <w:t xml:space="preserve"> przemysł</w:t>
      </w:r>
      <w:r w:rsidR="006343E1">
        <w:t xml:space="preserve"> </w:t>
      </w:r>
      <w:r w:rsidR="006343E1" w:rsidRPr="009903CD">
        <w:t>i</w:t>
      </w:r>
      <w:r w:rsidR="006343E1">
        <w:t> </w:t>
      </w:r>
      <w:r w:rsidRPr="009903CD">
        <w:t xml:space="preserve">budownictwo odpowiadały za </w:t>
      </w:r>
      <w:r w:rsidR="002B346F">
        <w:t>38,5</w:t>
      </w:r>
      <w:r w:rsidRPr="009903CD">
        <w:t>% popytu na energię</w:t>
      </w:r>
      <w:r w:rsidR="006343E1">
        <w:t xml:space="preserve"> </w:t>
      </w:r>
      <w:r w:rsidR="006343E1" w:rsidRPr="009903CD">
        <w:t>w</w:t>
      </w:r>
      <w:r w:rsidR="006343E1">
        <w:t> </w:t>
      </w:r>
      <w:r w:rsidRPr="009903CD">
        <w:t>gospodarce</w:t>
      </w:r>
      <w:r w:rsidRPr="00940051">
        <w:t>.</w:t>
      </w:r>
      <w:r w:rsidRPr="00254AB9">
        <w:t xml:space="preserve"> Ponadto tempo </w:t>
      </w:r>
      <w:r w:rsidRPr="001E7228">
        <w:t>wzrostu zapotrzebowania na energię elektryczną</w:t>
      </w:r>
      <w:r w:rsidR="006343E1">
        <w:t xml:space="preserve"> </w:t>
      </w:r>
      <w:r w:rsidR="006343E1" w:rsidRPr="001E7228">
        <w:t>w</w:t>
      </w:r>
      <w:r w:rsidR="006343E1">
        <w:t> </w:t>
      </w:r>
      <w:r w:rsidRPr="001E7228">
        <w:t>przemyśle jest dużo wyższe niż w pozostałych sektorach. Zatem</w:t>
      </w:r>
      <w:r w:rsidRPr="00254AB9">
        <w:t xml:space="preserve"> poprawa efektywności energetycznej</w:t>
      </w:r>
      <w:r w:rsidR="006343E1">
        <w:t xml:space="preserve"> </w:t>
      </w:r>
      <w:r w:rsidR="006343E1" w:rsidRPr="00254AB9">
        <w:t>w</w:t>
      </w:r>
      <w:r w:rsidR="006343E1">
        <w:t> </w:t>
      </w:r>
      <w:r w:rsidRPr="00254AB9">
        <w:t>przemyśle może skutkować przyspieszeniem obniżania energochłonności całej gospodarki oraz doprowadzić do obniżenia tempa wzrostu zapotrzebowania na energię elektryczną, obniżając również ryzyko związane</w:t>
      </w:r>
      <w:r w:rsidR="006343E1">
        <w:t xml:space="preserve"> </w:t>
      </w:r>
      <w:r w:rsidR="006343E1" w:rsidRPr="00254AB9">
        <w:t>z</w:t>
      </w:r>
      <w:r w:rsidR="006343E1">
        <w:t> </w:t>
      </w:r>
      <w:r w:rsidRPr="00254AB9">
        <w:t>polityką klimatyczną.</w:t>
      </w:r>
    </w:p>
    <w:tbl>
      <w:tblPr>
        <w:tblW w:w="0" w:type="auto"/>
        <w:tblLook w:val="04A0" w:firstRow="1" w:lastRow="0" w:firstColumn="1" w:lastColumn="0" w:noHBand="0" w:noVBand="1"/>
      </w:tblPr>
      <w:tblGrid>
        <w:gridCol w:w="9072"/>
      </w:tblGrid>
      <w:tr w:rsidR="005B060B" w:rsidRPr="00254AB9" w14:paraId="61C3327D" w14:textId="77777777" w:rsidTr="003224F9">
        <w:tc>
          <w:tcPr>
            <w:tcW w:w="9288" w:type="dxa"/>
            <w:shd w:val="clear" w:color="auto" w:fill="auto"/>
          </w:tcPr>
          <w:p w14:paraId="6EF5AB8D" w14:textId="2DEEBBE5" w:rsidR="005B060B" w:rsidRPr="00254AB9" w:rsidRDefault="005B060B" w:rsidP="001C3C76">
            <w:pPr>
              <w:pStyle w:val="Nagwek4"/>
              <w:rPr>
                <w:color w:val="17365D"/>
              </w:rPr>
            </w:pPr>
            <w:r w:rsidRPr="00254AB9">
              <w:t>Wykres</w:t>
            </w:r>
            <w:r w:rsidR="003B19BC">
              <w:t xml:space="preserve"> </w:t>
            </w:r>
            <w:r w:rsidR="000935B2">
              <w:t>2</w:t>
            </w:r>
            <w:r w:rsidR="001C3C76">
              <w:t>7</w:t>
            </w:r>
            <w:r w:rsidRPr="00254AB9">
              <w:t xml:space="preserve">. </w:t>
            </w:r>
            <w:r w:rsidRPr="009903CD">
              <w:t>Energochłonność branż przetwórstwa przemysłowego</w:t>
            </w:r>
            <w:r w:rsidR="006343E1">
              <w:t xml:space="preserve"> </w:t>
            </w:r>
            <w:r w:rsidR="006343E1" w:rsidRPr="009903CD">
              <w:t>w</w:t>
            </w:r>
            <w:r w:rsidR="006343E1">
              <w:t> </w:t>
            </w:r>
            <w:r w:rsidRPr="009903CD">
              <w:t>TJ/mln zł wartości dodanej</w:t>
            </w:r>
          </w:p>
        </w:tc>
      </w:tr>
      <w:tr w:rsidR="005B060B" w:rsidRPr="00254AB9" w14:paraId="51DF8BAA" w14:textId="77777777" w:rsidTr="003224F9">
        <w:tc>
          <w:tcPr>
            <w:tcW w:w="9288" w:type="dxa"/>
            <w:shd w:val="clear" w:color="auto" w:fill="auto"/>
          </w:tcPr>
          <w:p w14:paraId="1874BF67" w14:textId="77777777" w:rsidR="005B060B" w:rsidRPr="00254AB9" w:rsidRDefault="005B060B" w:rsidP="003224F9">
            <w:pPr>
              <w:spacing w:after="0" w:line="240" w:lineRule="auto"/>
              <w:jc w:val="center"/>
              <w:rPr>
                <w:rFonts w:cs="Calibri"/>
                <w:color w:val="17365D"/>
                <w:sz w:val="21"/>
                <w:szCs w:val="21"/>
              </w:rPr>
            </w:pPr>
            <w:r>
              <w:rPr>
                <w:rFonts w:cs="Calibri"/>
                <w:noProof/>
                <w:color w:val="17365D"/>
                <w:sz w:val="21"/>
                <w:szCs w:val="21"/>
                <w:lang w:eastAsia="pl-PL"/>
              </w:rPr>
              <w:drawing>
                <wp:inline distT="0" distB="0" distL="0" distR="0" wp14:anchorId="3D5CEEBC" wp14:editId="313F6A4E">
                  <wp:extent cx="5698541" cy="2729229"/>
                  <wp:effectExtent l="0" t="0" r="0" b="0"/>
                  <wp:docPr id="336" name="Obraz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00687" cy="2730257"/>
                          </a:xfrm>
                          <a:prstGeom prst="rect">
                            <a:avLst/>
                          </a:prstGeom>
                          <a:noFill/>
                          <a:ln>
                            <a:noFill/>
                          </a:ln>
                        </pic:spPr>
                      </pic:pic>
                    </a:graphicData>
                  </a:graphic>
                </wp:inline>
              </w:drawing>
            </w:r>
          </w:p>
        </w:tc>
      </w:tr>
      <w:tr w:rsidR="005B060B" w:rsidRPr="00254AB9" w14:paraId="2E379842" w14:textId="77777777" w:rsidTr="00027674">
        <w:trPr>
          <w:trHeight w:val="166"/>
        </w:trPr>
        <w:tc>
          <w:tcPr>
            <w:tcW w:w="9288" w:type="dxa"/>
            <w:shd w:val="clear" w:color="auto" w:fill="auto"/>
          </w:tcPr>
          <w:p w14:paraId="76C22DF3" w14:textId="77777777" w:rsidR="007C783D" w:rsidRDefault="007C783D" w:rsidP="003224F9">
            <w:pPr>
              <w:pStyle w:val="Bezodstpw"/>
            </w:pPr>
          </w:p>
          <w:p w14:paraId="07FDC9E9" w14:textId="32D52307" w:rsidR="005B060B" w:rsidRPr="00254AB9" w:rsidRDefault="005B060B" w:rsidP="003224F9">
            <w:pPr>
              <w:pStyle w:val="Bezodstpw"/>
            </w:pPr>
            <w:r w:rsidRPr="00254AB9">
              <w:t xml:space="preserve">Źródło: Opracowanie </w:t>
            </w:r>
            <w:r w:rsidR="003A56DA">
              <w:t>MRiT</w:t>
            </w:r>
            <w:r>
              <w:t xml:space="preserve"> na podstawie danych GUS</w:t>
            </w:r>
            <w:r w:rsidRPr="00254AB9">
              <w:t>, zaznaczono wartość średnią</w:t>
            </w:r>
          </w:p>
        </w:tc>
      </w:tr>
    </w:tbl>
    <w:p w14:paraId="25D8E0B0" w14:textId="4E5DB5BF" w:rsidR="005B060B" w:rsidRPr="00254AB9" w:rsidRDefault="005B060B" w:rsidP="00027674">
      <w:r w:rsidRPr="00254AB9">
        <w:t xml:space="preserve">W przypadku wykorzystania energii na cele produkcyjne </w:t>
      </w:r>
      <w:r w:rsidR="003A1D2D">
        <w:t>jest</w:t>
      </w:r>
      <w:r w:rsidRPr="00254AB9">
        <w:t xml:space="preserve"> kilka branż, które mogą być zagrożone</w:t>
      </w:r>
      <w:r w:rsidR="006343E1">
        <w:t xml:space="preserve"> </w:t>
      </w:r>
      <w:r w:rsidR="006343E1" w:rsidRPr="00254AB9">
        <w:t>z</w:t>
      </w:r>
      <w:r w:rsidR="006343E1">
        <w:t> </w:t>
      </w:r>
      <w:r w:rsidRPr="00254AB9">
        <w:t>powodu wzrostu</w:t>
      </w:r>
      <w:r w:rsidRPr="007B428A">
        <w:t xml:space="preserve"> jej ceny</w:t>
      </w:r>
      <w:r w:rsidRPr="00254AB9">
        <w:t xml:space="preserve">. Jak zaprezentowano na wykresie </w:t>
      </w:r>
      <w:r w:rsidR="003B19BC">
        <w:t>2</w:t>
      </w:r>
      <w:r w:rsidR="001C3C76">
        <w:t>7</w:t>
      </w:r>
      <w:r w:rsidR="003A1D2D">
        <w:t>,</w:t>
      </w:r>
      <w:r w:rsidRPr="00254AB9">
        <w:t xml:space="preserve"> problem ten dotyczy w szczególności pięciu </w:t>
      </w:r>
      <w:r w:rsidR="003A1D2D">
        <w:t>branż</w:t>
      </w:r>
      <w:r w:rsidRPr="00254AB9">
        <w:t xml:space="preserve"> – </w:t>
      </w:r>
      <w:r w:rsidRPr="00254AB9">
        <w:lastRenderedPageBreak/>
        <w:t>produkcji koksu</w:t>
      </w:r>
      <w:r w:rsidR="006343E1">
        <w:t xml:space="preserve"> </w:t>
      </w:r>
      <w:r w:rsidR="006343E1" w:rsidRPr="00254AB9">
        <w:t>i</w:t>
      </w:r>
      <w:r w:rsidR="006343E1">
        <w:t> </w:t>
      </w:r>
      <w:r w:rsidRPr="00254AB9">
        <w:t>rafinacji ropy naftowej, produkcji chemikaliów, metali, wyrobów</w:t>
      </w:r>
      <w:r w:rsidR="006343E1">
        <w:t xml:space="preserve"> </w:t>
      </w:r>
      <w:r w:rsidR="006343E1" w:rsidRPr="00254AB9">
        <w:t>z</w:t>
      </w:r>
      <w:r w:rsidR="006343E1">
        <w:t> </w:t>
      </w:r>
      <w:r w:rsidRPr="00254AB9">
        <w:t>surowców mineralnych oraz produkcji papieru. To one są najbardziej narażone na politykę klimatyczną U</w:t>
      </w:r>
      <w:r w:rsidR="003A1D2D">
        <w:t xml:space="preserve">nii </w:t>
      </w:r>
      <w:r w:rsidRPr="00254AB9">
        <w:t>E</w:t>
      </w:r>
      <w:r w:rsidR="003A1D2D">
        <w:t>uropejskiej</w:t>
      </w:r>
      <w:r w:rsidRPr="00254AB9">
        <w:t xml:space="preserve"> oraz ewentualne problemy</w:t>
      </w:r>
      <w:r w:rsidR="006343E1">
        <w:t xml:space="preserve"> </w:t>
      </w:r>
      <w:r w:rsidR="006343E1" w:rsidRPr="00254AB9">
        <w:t>z</w:t>
      </w:r>
      <w:r w:rsidR="006343E1">
        <w:t> </w:t>
      </w:r>
      <w:r w:rsidRPr="00254AB9">
        <w:t xml:space="preserve">zaspokojeniem potrzeb energetycznych. Łącznie te pięć branż odpowiada za wytwarzanie około </w:t>
      </w:r>
      <w:r w:rsidRPr="009903CD">
        <w:t>20% wartości dodanej przetwórstwa przemysłowego oraz zatrudnienie 15% pracujących</w:t>
      </w:r>
      <w:r w:rsidR="006343E1">
        <w:t xml:space="preserve"> </w:t>
      </w:r>
      <w:r w:rsidR="006343E1" w:rsidRPr="009903CD">
        <w:t>w</w:t>
      </w:r>
      <w:r w:rsidR="006343E1">
        <w:t> </w:t>
      </w:r>
      <w:r w:rsidRPr="009903CD">
        <w:t>tym sektorze.</w:t>
      </w:r>
      <w:r w:rsidR="006343E1">
        <w:t xml:space="preserve"> </w:t>
      </w:r>
      <w:r w:rsidR="006343E1" w:rsidRPr="00254AB9">
        <w:t>W</w:t>
      </w:r>
      <w:r w:rsidR="006343E1">
        <w:t> </w:t>
      </w:r>
      <w:r w:rsidRPr="00254AB9">
        <w:t>przypadku większości</w:t>
      </w:r>
      <w:r w:rsidR="006343E1">
        <w:t xml:space="preserve"> </w:t>
      </w:r>
      <w:r w:rsidR="006343E1" w:rsidRPr="00254AB9">
        <w:t>z</w:t>
      </w:r>
      <w:r w:rsidR="006343E1">
        <w:t> </w:t>
      </w:r>
      <w:r w:rsidRPr="00254AB9">
        <w:t>nich wzrost kosztów może doprowadzić do istotnego ograniczenia produkcji,</w:t>
      </w:r>
      <w:r w:rsidR="006343E1">
        <w:t xml:space="preserve"> </w:t>
      </w:r>
      <w:r w:rsidR="006343E1" w:rsidRPr="00254AB9">
        <w:t>a</w:t>
      </w:r>
      <w:r w:rsidR="006343E1">
        <w:t> </w:t>
      </w:r>
      <w:r w:rsidRPr="00254AB9">
        <w:t>w przypadku rafinacji ropy naftowej, z powodu dużej koncentracji tej branży, rosnące koszty przełożą się najprawdopodobniej na wzrost kosztów transportu</w:t>
      </w:r>
      <w:r w:rsidR="006343E1">
        <w:t xml:space="preserve"> </w:t>
      </w:r>
      <w:r w:rsidR="006343E1" w:rsidRPr="00254AB9">
        <w:t>w</w:t>
      </w:r>
      <w:r w:rsidR="0069452A" w:rsidRPr="00254AB9">
        <w:t xml:space="preserve"> całej gospodarce.</w:t>
      </w:r>
      <w:r w:rsidR="00471314">
        <w:t xml:space="preserve"> Podobnie wzrost </w:t>
      </w:r>
      <w:r w:rsidR="00831CDE">
        <w:t xml:space="preserve">kosztów wytworzenia koksu przełoży się na wzrost kosztów wytworzenia stali, co </w:t>
      </w:r>
      <w:r w:rsidR="003A1D2D">
        <w:t xml:space="preserve">będzie </w:t>
      </w:r>
      <w:r w:rsidR="00831CDE">
        <w:t xml:space="preserve">skutkować wzrostem importu, emisji powstałej na skutek importu oraz wzrostem kosztów produkcji </w:t>
      </w:r>
      <w:r w:rsidR="003A1D2D">
        <w:t>i</w:t>
      </w:r>
      <w:r w:rsidR="00831CDE">
        <w:t xml:space="preserve"> usług we wszystkich sektorach wykorzystujących stal</w:t>
      </w:r>
      <w:r w:rsidR="003A1D2D">
        <w:t>,</w:t>
      </w:r>
      <w:r w:rsidR="00831CDE">
        <w:t xml:space="preserve"> tj. m.in.</w:t>
      </w:r>
      <w:r w:rsidR="003A1D2D">
        <w:t xml:space="preserve"> w</w:t>
      </w:r>
      <w:r w:rsidR="00831CDE">
        <w:t xml:space="preserve"> budownictw</w:t>
      </w:r>
      <w:r w:rsidR="003A1D2D">
        <w:t>ie</w:t>
      </w:r>
      <w:r w:rsidR="00831CDE">
        <w:t>, transpor</w:t>
      </w:r>
      <w:r w:rsidR="003A1D2D">
        <w:t>cie</w:t>
      </w:r>
      <w:r w:rsidR="00831CDE">
        <w:t>, sektor</w:t>
      </w:r>
      <w:r w:rsidR="003A1D2D">
        <w:t>ze</w:t>
      </w:r>
      <w:r w:rsidR="00831CDE">
        <w:t xml:space="preserve"> wytwarzania energii OZE. </w:t>
      </w:r>
    </w:p>
    <w:p w14:paraId="0C308912" w14:textId="346CD585" w:rsidR="005B060B" w:rsidRDefault="005B060B" w:rsidP="00027674">
      <w:r w:rsidRPr="00254AB9">
        <w:t>Problem</w:t>
      </w:r>
      <w:r w:rsidR="006343E1">
        <w:t xml:space="preserve"> </w:t>
      </w:r>
      <w:r w:rsidR="006343E1" w:rsidRPr="00254AB9">
        <w:t>z</w:t>
      </w:r>
      <w:r w:rsidR="006343E1">
        <w:t> </w:t>
      </w:r>
      <w:r w:rsidRPr="00254AB9">
        <w:t xml:space="preserve">energochłonnością dotyczy całej gospodarki. Spadek zużycia energii daje możliwość poprawy dobrobytu mieszkańców, </w:t>
      </w:r>
      <w:r w:rsidR="003A1D2D">
        <w:t>zwłaszcza</w:t>
      </w:r>
      <w:r w:rsidR="00477C54">
        <w:t xml:space="preserve"> że </w:t>
      </w:r>
      <w:r w:rsidR="006343E1" w:rsidRPr="00254AB9">
        <w:t>w</w:t>
      </w:r>
      <w:r w:rsidR="006343E1">
        <w:t> </w:t>
      </w:r>
      <w:r w:rsidRPr="00254AB9">
        <w:t>wielu przypadkach inwestycje efektywnościowe to nie tyle oszczędność, co też poprawa jakości życia.</w:t>
      </w:r>
    </w:p>
    <w:p w14:paraId="3D0735CE" w14:textId="2A579D8B" w:rsidR="005B060B" w:rsidRPr="00A103D9" w:rsidRDefault="005B060B" w:rsidP="00027674">
      <w:r>
        <w:t>Według danych GUS o</w:t>
      </w:r>
      <w:r w:rsidRPr="00A103D9">
        <w:t>gółem tempo poprawy energochłonności przemysłu przetwórczego</w:t>
      </w:r>
      <w:r w:rsidR="006343E1">
        <w:t xml:space="preserve"> </w:t>
      </w:r>
      <w:r w:rsidR="006343E1" w:rsidRPr="00A103D9">
        <w:t>w</w:t>
      </w:r>
      <w:r w:rsidR="006343E1">
        <w:t> </w:t>
      </w:r>
      <w:r w:rsidRPr="00A103D9">
        <w:t>latach 2009–2013 wyniosło średnio 3,9%</w:t>
      </w:r>
      <w:r w:rsidR="001D0254">
        <w:t xml:space="preserve"> na </w:t>
      </w:r>
      <w:r w:rsidRPr="00A103D9">
        <w:t>rok. Wpływ zmian strukturalnych był korzystny, ale niewielki – przyczynił się do spadku energochłonności</w:t>
      </w:r>
      <w:r w:rsidR="006343E1">
        <w:t xml:space="preserve"> </w:t>
      </w:r>
      <w:r w:rsidR="006343E1" w:rsidRPr="00A103D9">
        <w:t>o</w:t>
      </w:r>
      <w:r w:rsidR="006343E1">
        <w:t> </w:t>
      </w:r>
      <w:r w:rsidRPr="00A103D9">
        <w:t>0,7%</w:t>
      </w:r>
      <w:r w:rsidR="001D0254">
        <w:t xml:space="preserve"> na </w:t>
      </w:r>
      <w:r w:rsidRPr="00A103D9">
        <w:t>rok. Energochłonność przemysłu przetwórczego</w:t>
      </w:r>
      <w:r w:rsidR="006343E1">
        <w:t xml:space="preserve"> </w:t>
      </w:r>
      <w:r w:rsidR="006343E1" w:rsidRPr="00A103D9">
        <w:t>w</w:t>
      </w:r>
      <w:r w:rsidR="006343E1">
        <w:t> </w:t>
      </w:r>
      <w:r w:rsidRPr="00A103D9">
        <w:t>stałej strukturze,</w:t>
      </w:r>
      <w:r w:rsidR="006343E1">
        <w:t xml:space="preserve"> </w:t>
      </w:r>
      <w:r w:rsidR="006343E1" w:rsidRPr="00A103D9">
        <w:t>a</w:t>
      </w:r>
      <w:r w:rsidR="006343E1">
        <w:t> </w:t>
      </w:r>
      <w:r w:rsidRPr="00A103D9">
        <w:t>więc po wyeliminowaniu wpływu zmieniających się udziałów poszczególnych branż</w:t>
      </w:r>
      <w:r w:rsidR="006343E1">
        <w:t xml:space="preserve"> </w:t>
      </w:r>
      <w:r w:rsidR="006343E1" w:rsidRPr="00A103D9">
        <w:t>w</w:t>
      </w:r>
      <w:r w:rsidR="006343E1">
        <w:t> </w:t>
      </w:r>
      <w:r w:rsidRPr="00A103D9">
        <w:t>ogólnej wielkości przemysłu przetwórczego, obniżała się</w:t>
      </w:r>
      <w:r w:rsidR="006343E1">
        <w:t xml:space="preserve"> </w:t>
      </w:r>
      <w:r w:rsidR="006343E1" w:rsidRPr="00A103D9">
        <w:t>o</w:t>
      </w:r>
      <w:r w:rsidR="006343E1">
        <w:t> </w:t>
      </w:r>
      <w:r w:rsidRPr="00A103D9">
        <w:t>3,2%</w:t>
      </w:r>
      <w:r w:rsidR="001D0254">
        <w:t xml:space="preserve"> na </w:t>
      </w:r>
      <w:r w:rsidRPr="00A103D9">
        <w:t>rok. Sytuacja uległa zmianie</w:t>
      </w:r>
      <w:r w:rsidR="006343E1">
        <w:t xml:space="preserve"> </w:t>
      </w:r>
      <w:r w:rsidR="006343E1" w:rsidRPr="00A103D9">
        <w:t>w</w:t>
      </w:r>
      <w:r w:rsidR="006343E1">
        <w:t> </w:t>
      </w:r>
      <w:r w:rsidRPr="00A103D9">
        <w:t>latach 2014–2018 – tempo spadku energochłonności obniżyło się do 3,1%</w:t>
      </w:r>
      <w:r w:rsidR="001D0254">
        <w:t xml:space="preserve"> na </w:t>
      </w:r>
      <w:r w:rsidRPr="00A103D9">
        <w:t>rok, przy czym efekt zmian strukturalnych wyniósł 1,7%</w:t>
      </w:r>
      <w:r w:rsidR="001D0254">
        <w:t xml:space="preserve"> na </w:t>
      </w:r>
      <w:r w:rsidRPr="00A103D9">
        <w:t>rok,</w:t>
      </w:r>
      <w:r w:rsidR="006343E1">
        <w:t xml:space="preserve"> </w:t>
      </w:r>
      <w:r w:rsidR="006343E1" w:rsidRPr="00A103D9">
        <w:t>a</w:t>
      </w:r>
      <w:r w:rsidR="006343E1">
        <w:t> </w:t>
      </w:r>
      <w:r w:rsidRPr="00A103D9">
        <w:t>tempo poprawy energochłonności przy stałej strukturze obniżyło się do 1,3%</w:t>
      </w:r>
      <w:r w:rsidR="001D0254">
        <w:t xml:space="preserve"> na </w:t>
      </w:r>
      <w:r w:rsidRPr="00A103D9">
        <w:t>rok</w:t>
      </w:r>
      <w:r w:rsidR="001D0254">
        <w:t>.</w:t>
      </w:r>
      <w:r w:rsidRPr="00A103D9">
        <w:t xml:space="preserve"> </w:t>
      </w:r>
    </w:p>
    <w:tbl>
      <w:tblPr>
        <w:tblW w:w="0" w:type="auto"/>
        <w:tblInd w:w="-38" w:type="dxa"/>
        <w:tblCellMar>
          <w:left w:w="70" w:type="dxa"/>
          <w:right w:w="70" w:type="dxa"/>
        </w:tblCellMar>
        <w:tblLook w:val="04A0" w:firstRow="1" w:lastRow="0" w:firstColumn="1" w:lastColumn="0" w:noHBand="0" w:noVBand="1"/>
      </w:tblPr>
      <w:tblGrid>
        <w:gridCol w:w="9110"/>
      </w:tblGrid>
      <w:tr w:rsidR="005B060B" w:rsidRPr="00254AB9" w14:paraId="20254FE1" w14:textId="77777777" w:rsidTr="003224F9">
        <w:tc>
          <w:tcPr>
            <w:tcW w:w="9212" w:type="dxa"/>
            <w:shd w:val="clear" w:color="auto" w:fill="auto"/>
          </w:tcPr>
          <w:p w14:paraId="58A7F780" w14:textId="619B7CE3" w:rsidR="005B060B" w:rsidRDefault="005B060B" w:rsidP="00027674">
            <w:pPr>
              <w:pStyle w:val="Nagwek4"/>
            </w:pPr>
            <w:r w:rsidRPr="00254AB9">
              <w:br w:type="page"/>
            </w:r>
            <w:r w:rsidRPr="004F6E27">
              <w:t xml:space="preserve">Wykres </w:t>
            </w:r>
            <w:r w:rsidR="00027674">
              <w:t>2</w:t>
            </w:r>
            <w:r w:rsidR="001C3C76">
              <w:t>8</w:t>
            </w:r>
            <w:r w:rsidRPr="004F6E27">
              <w:t>. Energochłonność krajów UE</w:t>
            </w:r>
            <w:r w:rsidR="006343E1">
              <w:t xml:space="preserve"> </w:t>
            </w:r>
            <w:r w:rsidR="006343E1" w:rsidRPr="004F6E27">
              <w:t>w</w:t>
            </w:r>
            <w:r w:rsidR="006343E1">
              <w:t> </w:t>
            </w:r>
            <w:r w:rsidR="00A30C03">
              <w:t>kilogramach oleju ekwiwalentnego</w:t>
            </w:r>
            <w:r w:rsidRPr="004F6E27">
              <w:t xml:space="preserve"> na 1000 euro wartości dodanej (2017)</w:t>
            </w:r>
          </w:p>
          <w:p w14:paraId="3ECED745" w14:textId="77777777" w:rsidR="005B060B" w:rsidRPr="00254AB9" w:rsidRDefault="005B060B" w:rsidP="00027674">
            <w:pPr>
              <w:pStyle w:val="Nagwek4"/>
            </w:pPr>
            <w:r>
              <w:rPr>
                <w:rFonts w:ascii="Tms Rmn" w:hAnsi="Tms Rmn"/>
                <w:noProof/>
                <w:color w:val="auto"/>
                <w:sz w:val="24"/>
                <w:szCs w:val="24"/>
                <w:lang w:eastAsia="pl-PL"/>
              </w:rPr>
              <w:drawing>
                <wp:inline distT="0" distB="0" distL="0" distR="0" wp14:anchorId="68DDFB2A" wp14:editId="26F96961">
                  <wp:extent cx="4706239" cy="2441275"/>
                  <wp:effectExtent l="0" t="0" r="0" b="0"/>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07928" cy="2442151"/>
                          </a:xfrm>
                          <a:prstGeom prst="rect">
                            <a:avLst/>
                          </a:prstGeom>
                          <a:noFill/>
                          <a:ln>
                            <a:noFill/>
                          </a:ln>
                        </pic:spPr>
                      </pic:pic>
                    </a:graphicData>
                  </a:graphic>
                </wp:inline>
              </w:drawing>
            </w:r>
          </w:p>
        </w:tc>
      </w:tr>
      <w:tr w:rsidR="005B060B" w:rsidRPr="00254AB9" w14:paraId="709E35A8" w14:textId="77777777" w:rsidTr="003224F9">
        <w:tblPrEx>
          <w:tblCellMar>
            <w:left w:w="108" w:type="dxa"/>
            <w:right w:w="108" w:type="dxa"/>
          </w:tblCellMar>
        </w:tblPrEx>
        <w:tc>
          <w:tcPr>
            <w:tcW w:w="9212" w:type="dxa"/>
            <w:shd w:val="clear" w:color="auto" w:fill="auto"/>
          </w:tcPr>
          <w:p w14:paraId="4CD86C92" w14:textId="77777777" w:rsidR="007C783D" w:rsidRDefault="007C783D" w:rsidP="003224F9">
            <w:pPr>
              <w:pStyle w:val="Bezodstpw"/>
            </w:pPr>
          </w:p>
          <w:p w14:paraId="393991E1" w14:textId="614D60D5" w:rsidR="005B060B" w:rsidRPr="009760C6" w:rsidRDefault="005B060B" w:rsidP="003224F9">
            <w:pPr>
              <w:pStyle w:val="Bezodstpw"/>
            </w:pPr>
            <w:r w:rsidRPr="00254AB9">
              <w:t xml:space="preserve">Źródło: Opracowanie </w:t>
            </w:r>
            <w:r w:rsidR="003A56DA">
              <w:t>MRiT</w:t>
            </w:r>
            <w:r w:rsidRPr="00254AB9">
              <w:t xml:space="preserve"> na podstawie danych Eurostat</w:t>
            </w:r>
          </w:p>
        </w:tc>
      </w:tr>
    </w:tbl>
    <w:p w14:paraId="583FDB39" w14:textId="7E43B83B" w:rsidR="00FD62DE" w:rsidRPr="00FD62DE" w:rsidRDefault="00FD62DE" w:rsidP="00FD62DE">
      <w:r w:rsidRPr="00FD62DE">
        <w:t>Zwiększenie efektywności energetycznej może być wyrażone poprzez zmniejszenie poziomu zużycia energii pierwotnej, który w 2018 r. dla Polski został zredukowany do 101,1 Mtoe. Należy jednak podkreślić, że spadek energochłonności gospodarki powinien wiązać się przede wszystkim z działaniami proefektywnościowymi, a nie ze zmianami strukturalnymi (tzn. zamykaniem branż). Działania w tym zakresie powinny mieć charakter horyzontalny i dotyczyć wszystkich gałęzi gospodarki poprzez wdrażanie nowych technologii w zakresie poprawy efektywności energetycznej budynków, produktów, urządzeń, instalacji i procesów.</w:t>
      </w:r>
    </w:p>
    <w:p w14:paraId="12B549F9" w14:textId="6F4B529F" w:rsidR="005B060B" w:rsidRDefault="005B060B" w:rsidP="00027674">
      <w:r w:rsidRPr="0010652B">
        <w:lastRenderedPageBreak/>
        <w:t xml:space="preserve">Ograniczenie emisji gazów cieplarnianych </w:t>
      </w:r>
      <w:r w:rsidR="001D0254" w:rsidRPr="0010652B">
        <w:t xml:space="preserve">jest </w:t>
      </w:r>
      <w:r w:rsidRPr="0010652B">
        <w:t xml:space="preserve">realizowane </w:t>
      </w:r>
      <w:r w:rsidR="006343E1" w:rsidRPr="0010652B">
        <w:t>w</w:t>
      </w:r>
      <w:r w:rsidR="006343E1">
        <w:t> </w:t>
      </w:r>
      <w:r w:rsidRPr="0010652B">
        <w:t>U</w:t>
      </w:r>
      <w:r w:rsidR="001D0254">
        <w:t xml:space="preserve">nii </w:t>
      </w:r>
      <w:r w:rsidRPr="0010652B">
        <w:t>E</w:t>
      </w:r>
      <w:r w:rsidR="001D0254">
        <w:t>uropejskiej</w:t>
      </w:r>
      <w:r w:rsidRPr="0010652B">
        <w:t xml:space="preserve"> poprzez dwa mechanizmy przypisane do różnych sektorów gospodarki, czyli system handlu emisjami realizowany na poziomie przedsiębiorstw (ETS) oraz ograniczenie emisji</w:t>
      </w:r>
      <w:r w:rsidR="006343E1">
        <w:t xml:space="preserve"> </w:t>
      </w:r>
      <w:r w:rsidR="006343E1" w:rsidRPr="0010652B">
        <w:t>w</w:t>
      </w:r>
      <w:r w:rsidR="006343E1">
        <w:t> </w:t>
      </w:r>
      <w:r w:rsidRPr="0010652B">
        <w:t xml:space="preserve">sektorach nieobjętych systemem ETS (non-ETS lub ESD ang. </w:t>
      </w:r>
      <w:r w:rsidR="001D0254">
        <w:rPr>
          <w:i/>
        </w:rPr>
        <w:t>e</w:t>
      </w:r>
      <w:r w:rsidRPr="00520B61">
        <w:rPr>
          <w:i/>
        </w:rPr>
        <w:t xml:space="preserve">ffort </w:t>
      </w:r>
      <w:r w:rsidR="001D0254">
        <w:rPr>
          <w:i/>
        </w:rPr>
        <w:t>s</w:t>
      </w:r>
      <w:r w:rsidRPr="00520B61">
        <w:rPr>
          <w:i/>
        </w:rPr>
        <w:t xml:space="preserve">haring </w:t>
      </w:r>
      <w:r w:rsidR="001D0254">
        <w:rPr>
          <w:i/>
        </w:rPr>
        <w:t>d</w:t>
      </w:r>
      <w:r w:rsidRPr="00520B61">
        <w:rPr>
          <w:i/>
        </w:rPr>
        <w:t>ecision</w:t>
      </w:r>
      <w:r w:rsidRPr="00520B61">
        <w:t>)</w:t>
      </w:r>
      <w:r w:rsidR="001D0254" w:rsidRPr="001D0254">
        <w:t xml:space="preserve"> </w:t>
      </w:r>
      <w:r w:rsidR="001D0254" w:rsidRPr="0010652B">
        <w:t>realizowane na poziomie krajowym</w:t>
      </w:r>
      <w:r w:rsidRPr="00520B61">
        <w:t>.</w:t>
      </w:r>
      <w:r w:rsidRPr="00254AB9">
        <w:t xml:space="preserve"> </w:t>
      </w:r>
      <w:r w:rsidRPr="001E5BC1">
        <w:t>Emisja</w:t>
      </w:r>
      <w:r w:rsidR="006343E1">
        <w:t xml:space="preserve"> </w:t>
      </w:r>
      <w:r w:rsidR="006343E1" w:rsidRPr="001E5BC1">
        <w:t>w</w:t>
      </w:r>
      <w:r w:rsidR="006343E1">
        <w:t> </w:t>
      </w:r>
      <w:r w:rsidRPr="001E5BC1">
        <w:t>sektorach nieobjętych</w:t>
      </w:r>
      <w:r>
        <w:t xml:space="preserve"> </w:t>
      </w:r>
      <w:r w:rsidRPr="001E5BC1">
        <w:t>ETS, zgodnie</w:t>
      </w:r>
      <w:r w:rsidR="006343E1">
        <w:t xml:space="preserve"> </w:t>
      </w:r>
      <w:r w:rsidR="006343E1" w:rsidRPr="001E5BC1">
        <w:t>z</w:t>
      </w:r>
      <w:r w:rsidR="006343E1">
        <w:t> </w:t>
      </w:r>
      <w:r w:rsidRPr="001E5BC1">
        <w:t>danymi uwzględnionymi</w:t>
      </w:r>
      <w:r w:rsidR="006343E1">
        <w:t xml:space="preserve"> </w:t>
      </w:r>
      <w:r w:rsidR="006343E1" w:rsidRPr="001E5BC1">
        <w:t>w</w:t>
      </w:r>
      <w:r w:rsidR="006343E1">
        <w:t> </w:t>
      </w:r>
      <w:r w:rsidRPr="001E5BC1">
        <w:t>rozliczeniu krajowych rocznych limitów emisji</w:t>
      </w:r>
      <w:r w:rsidR="006343E1">
        <w:t xml:space="preserve"> </w:t>
      </w:r>
      <w:r w:rsidR="006343E1" w:rsidRPr="001E5BC1">
        <w:t>w</w:t>
      </w:r>
      <w:r w:rsidR="006343E1">
        <w:t> </w:t>
      </w:r>
      <w:r w:rsidRPr="001E5BC1">
        <w:t>ramach U</w:t>
      </w:r>
      <w:r w:rsidR="001D0254">
        <w:t xml:space="preserve">nii </w:t>
      </w:r>
      <w:r w:rsidRPr="001E5BC1">
        <w:t>E</w:t>
      </w:r>
      <w:r w:rsidR="00CD6E8D">
        <w:t>uropejskiej</w:t>
      </w:r>
      <w:r w:rsidRPr="001E5BC1">
        <w:t>,</w:t>
      </w:r>
      <w:r>
        <w:t xml:space="preserve"> </w:t>
      </w:r>
      <w:r w:rsidRPr="001E5BC1">
        <w:t>wyniosła</w:t>
      </w:r>
      <w:r w:rsidR="006343E1">
        <w:t xml:space="preserve"> </w:t>
      </w:r>
      <w:r w:rsidR="006343E1" w:rsidRPr="001E5BC1">
        <w:t>w</w:t>
      </w:r>
      <w:r w:rsidR="006343E1">
        <w:t> </w:t>
      </w:r>
      <w:r w:rsidRPr="001E5BC1">
        <w:t>Polsce 186,1</w:t>
      </w:r>
      <w:r>
        <w:t xml:space="preserve"> </w:t>
      </w:r>
      <w:r w:rsidRPr="001E5BC1">
        <w:t>mln ton ekw</w:t>
      </w:r>
      <w:r w:rsidR="00367821">
        <w:t>iwalentu</w:t>
      </w:r>
      <w:r w:rsidRPr="001E5BC1">
        <w:t xml:space="preserve"> CO</w:t>
      </w:r>
      <w:r w:rsidRPr="00B02C70">
        <w:rPr>
          <w:vertAlign w:val="subscript"/>
        </w:rPr>
        <w:t>2</w:t>
      </w:r>
      <w:r w:rsidR="006343E1">
        <w:t xml:space="preserve"> </w:t>
      </w:r>
      <w:r w:rsidR="006343E1" w:rsidRPr="001E5BC1">
        <w:t>w</w:t>
      </w:r>
      <w:r w:rsidR="006343E1">
        <w:t> </w:t>
      </w:r>
      <w:r w:rsidRPr="001E5BC1">
        <w:t>2013 r.</w:t>
      </w:r>
      <w:r w:rsidR="006343E1">
        <w:t xml:space="preserve"> </w:t>
      </w:r>
      <w:r w:rsidR="006343E1" w:rsidRPr="001E5BC1">
        <w:t>i</w:t>
      </w:r>
      <w:r w:rsidR="006343E1">
        <w:t> </w:t>
      </w:r>
      <w:r w:rsidRPr="001E5BC1">
        <w:t>od 2015</w:t>
      </w:r>
      <w:r>
        <w:t xml:space="preserve"> </w:t>
      </w:r>
      <w:r w:rsidRPr="001E5BC1">
        <w:t>r. rośnie</w:t>
      </w:r>
      <w:r w:rsidR="00CD6E8D">
        <w:t>,</w:t>
      </w:r>
      <w:r w:rsidRPr="001E5BC1">
        <w:t xml:space="preserve"> osiągając</w:t>
      </w:r>
      <w:r>
        <w:t xml:space="preserve"> </w:t>
      </w:r>
      <w:r w:rsidRPr="001E5BC1">
        <w:t>198,7</w:t>
      </w:r>
      <w:r>
        <w:t xml:space="preserve"> </w:t>
      </w:r>
      <w:r w:rsidRPr="001E5BC1">
        <w:t>mln ton ekw. CO</w:t>
      </w:r>
      <w:r w:rsidRPr="00B02C70">
        <w:rPr>
          <w:vertAlign w:val="subscript"/>
        </w:rPr>
        <w:t>2</w:t>
      </w:r>
      <w:r w:rsidR="006343E1">
        <w:t xml:space="preserve"> </w:t>
      </w:r>
      <w:r w:rsidR="006343E1" w:rsidRPr="001E5BC1">
        <w:t>w</w:t>
      </w:r>
      <w:r w:rsidR="006343E1">
        <w:t> </w:t>
      </w:r>
      <w:r w:rsidRPr="001E5BC1">
        <w:t>2016 r.</w:t>
      </w:r>
      <w:r w:rsidR="006343E1">
        <w:t xml:space="preserve"> </w:t>
      </w:r>
      <w:r w:rsidR="006343E1" w:rsidRPr="001E5BC1">
        <w:t>i</w:t>
      </w:r>
      <w:r w:rsidR="006343E1">
        <w:t> </w:t>
      </w:r>
      <w:r w:rsidRPr="001E5BC1">
        <w:t>211,5</w:t>
      </w:r>
      <w:r>
        <w:t xml:space="preserve"> </w:t>
      </w:r>
      <w:r w:rsidRPr="001E5BC1">
        <w:t>mln ton ekw. CO</w:t>
      </w:r>
      <w:r w:rsidRPr="00B02C70">
        <w:rPr>
          <w:vertAlign w:val="subscript"/>
        </w:rPr>
        <w:t>2</w:t>
      </w:r>
      <w:r w:rsidR="006343E1">
        <w:t xml:space="preserve"> </w:t>
      </w:r>
      <w:r w:rsidR="006343E1" w:rsidRPr="001E5BC1">
        <w:t>w</w:t>
      </w:r>
      <w:r w:rsidR="006343E1">
        <w:t> </w:t>
      </w:r>
      <w:r w:rsidRPr="001E5BC1">
        <w:t xml:space="preserve">2017 r. </w:t>
      </w:r>
      <w:r>
        <w:t xml:space="preserve">oraz </w:t>
      </w:r>
      <w:r w:rsidRPr="00547255">
        <w:t>212,</w:t>
      </w:r>
      <w:r>
        <w:t xml:space="preserve">9 </w:t>
      </w:r>
      <w:r w:rsidRPr="00547255">
        <w:t>mln ton ekw. CO</w:t>
      </w:r>
      <w:r w:rsidRPr="00547255">
        <w:rPr>
          <w:vertAlign w:val="subscript"/>
        </w:rPr>
        <w:t>2</w:t>
      </w:r>
      <w:r w:rsidR="006343E1">
        <w:t xml:space="preserve"> w </w:t>
      </w:r>
      <w:r>
        <w:t>2018 r</w:t>
      </w:r>
      <w:r w:rsidR="00477C54">
        <w:t>. Do </w:t>
      </w:r>
      <w:r w:rsidRPr="001E5BC1">
        <w:t>tak istotnego zwiększenia emisji</w:t>
      </w:r>
      <w:r w:rsidR="006343E1">
        <w:t xml:space="preserve"> </w:t>
      </w:r>
      <w:r w:rsidR="006343E1" w:rsidRPr="001E5BC1">
        <w:t>w</w:t>
      </w:r>
      <w:r w:rsidR="006343E1">
        <w:t> </w:t>
      </w:r>
      <w:r w:rsidRPr="001E5BC1">
        <w:t>sektorach nieobjętych</w:t>
      </w:r>
      <w:r w:rsidR="006343E1">
        <w:t xml:space="preserve"> </w:t>
      </w:r>
      <w:r w:rsidR="00367821">
        <w:t xml:space="preserve">Europejskim Systemem Handlu Emisjami </w:t>
      </w:r>
      <w:r w:rsidRPr="001E5BC1">
        <w:t>przyczynił się przede wszystkim wzrost zużycia</w:t>
      </w:r>
      <w:r>
        <w:t xml:space="preserve"> </w:t>
      </w:r>
      <w:r w:rsidRPr="001E5BC1">
        <w:t>paliw</w:t>
      </w:r>
      <w:r w:rsidR="006343E1">
        <w:t xml:space="preserve"> </w:t>
      </w:r>
      <w:r w:rsidR="006343E1" w:rsidRPr="001E5BC1">
        <w:t>o</w:t>
      </w:r>
      <w:r w:rsidR="006343E1">
        <w:t> </w:t>
      </w:r>
      <w:r>
        <w:t xml:space="preserve">ponad </w:t>
      </w:r>
      <w:r w:rsidRPr="001E5BC1">
        <w:t>37%</w:t>
      </w:r>
      <w:r w:rsidR="006343E1">
        <w:t xml:space="preserve"> </w:t>
      </w:r>
      <w:r w:rsidR="006343E1" w:rsidRPr="001E5BC1">
        <w:t>w</w:t>
      </w:r>
      <w:r w:rsidR="006343E1">
        <w:t> </w:t>
      </w:r>
      <w:r w:rsidRPr="001E5BC1">
        <w:t>sektorze transportu drogowego</w:t>
      </w:r>
      <w:r w:rsidR="006343E1">
        <w:t xml:space="preserve"> </w:t>
      </w:r>
      <w:r w:rsidR="006343E1" w:rsidRPr="001E5BC1">
        <w:t>w</w:t>
      </w:r>
      <w:r w:rsidR="006343E1">
        <w:t> </w:t>
      </w:r>
      <w:r w:rsidRPr="001E5BC1">
        <w:t>latach 201</w:t>
      </w:r>
      <w:r>
        <w:t>6</w:t>
      </w:r>
      <w:r w:rsidR="00CD6E8D">
        <w:rPr>
          <w:rFonts w:ascii="Times New Roman" w:hAnsi="Times New Roman" w:cs="Times New Roman"/>
        </w:rPr>
        <w:t>–</w:t>
      </w:r>
      <w:r w:rsidRPr="001E5BC1">
        <w:t>2017.</w:t>
      </w:r>
    </w:p>
    <w:p w14:paraId="4FE39692" w14:textId="0623DBD3" w:rsidR="005B060B" w:rsidRDefault="005B060B" w:rsidP="00027674">
      <w:r w:rsidRPr="00BE0FC2">
        <w:t>Na zwiększoną konsumpcję krajo</w:t>
      </w:r>
      <w:r>
        <w:t>wą paliw ciekłych</w:t>
      </w:r>
      <w:r w:rsidR="0048506E">
        <w:t xml:space="preserve"> </w:t>
      </w:r>
      <w:r>
        <w:t>w latach  2016</w:t>
      </w:r>
      <w:r w:rsidR="00CD6E8D">
        <w:rPr>
          <w:rFonts w:ascii="Times New Roman" w:hAnsi="Times New Roman" w:cs="Times New Roman"/>
        </w:rPr>
        <w:t>–</w:t>
      </w:r>
      <w:r w:rsidRPr="00BE0FC2">
        <w:t>2017 w</w:t>
      </w:r>
      <w:r w:rsidR="00CD6E8D">
        <w:t>edłu</w:t>
      </w:r>
      <w:r w:rsidRPr="00BE0FC2">
        <w:t>g  Polskiej  Organizacji Przemysłu</w:t>
      </w:r>
      <w:r w:rsidR="006343E1">
        <w:t xml:space="preserve"> </w:t>
      </w:r>
      <w:r w:rsidR="006343E1" w:rsidRPr="00BE0FC2">
        <w:t>i</w:t>
      </w:r>
      <w:r w:rsidR="006343E1">
        <w:t> </w:t>
      </w:r>
      <w:r w:rsidRPr="00BE0FC2">
        <w:t>Handlu Naftowego miały wpływ</w:t>
      </w:r>
      <w:r>
        <w:t xml:space="preserve"> </w:t>
      </w:r>
      <w:r w:rsidRPr="00BE0FC2">
        <w:t>poza skuteczną walką</w:t>
      </w:r>
      <w:r w:rsidR="006343E1">
        <w:t xml:space="preserve"> </w:t>
      </w:r>
      <w:r w:rsidR="006343E1" w:rsidRPr="00BE0FC2">
        <w:t>z</w:t>
      </w:r>
      <w:r w:rsidR="006343E1">
        <w:t> </w:t>
      </w:r>
      <w:r w:rsidRPr="00BE0FC2">
        <w:t>nielegalnym obrotem paliwami płynnymi</w:t>
      </w:r>
      <w:r>
        <w:t xml:space="preserve"> </w:t>
      </w:r>
      <w:r w:rsidRPr="00BE0FC2">
        <w:t>zapoczątkowaną</w:t>
      </w:r>
      <w:r w:rsidR="006343E1">
        <w:t xml:space="preserve"> </w:t>
      </w:r>
      <w:r w:rsidR="006343E1" w:rsidRPr="00BE0FC2">
        <w:t>w</w:t>
      </w:r>
      <w:r w:rsidR="006343E1">
        <w:t> </w:t>
      </w:r>
      <w:r w:rsidRPr="00BE0FC2">
        <w:t>2016  r.</w:t>
      </w:r>
      <w:r>
        <w:t xml:space="preserve"> </w:t>
      </w:r>
      <w:r w:rsidRPr="00BE0FC2">
        <w:t>także dodatnie wyniki polskiej gospodarki, korzystne dla kierowców ceny paliw</w:t>
      </w:r>
      <w:r>
        <w:t xml:space="preserve"> </w:t>
      </w:r>
      <w:r w:rsidRPr="00BE0FC2">
        <w:t>oraz</w:t>
      </w:r>
      <w:r>
        <w:t xml:space="preserve"> </w:t>
      </w:r>
      <w:r w:rsidRPr="00BE0FC2">
        <w:t>podniesienie zamożności społeczeństwa,</w:t>
      </w:r>
      <w:r>
        <w:t xml:space="preserve"> </w:t>
      </w:r>
      <w:r w:rsidRPr="00BE0FC2">
        <w:t>co przełożyło</w:t>
      </w:r>
      <w:r>
        <w:t xml:space="preserve"> </w:t>
      </w:r>
      <w:r w:rsidRPr="00BE0FC2">
        <w:t>się na</w:t>
      </w:r>
      <w:r>
        <w:t xml:space="preserve"> </w:t>
      </w:r>
      <w:r w:rsidRPr="00BE0FC2">
        <w:t xml:space="preserve">wzrost </w:t>
      </w:r>
      <w:r w:rsidR="00CD6E8D">
        <w:t>liczby</w:t>
      </w:r>
      <w:r w:rsidRPr="00BE0FC2">
        <w:t xml:space="preserve"> samochodów poruszających się po kraju.</w:t>
      </w:r>
    </w:p>
    <w:p w14:paraId="0F35115A" w14:textId="12722DFC" w:rsidR="00AD038B" w:rsidRPr="00AD038B" w:rsidRDefault="00AD038B" w:rsidP="00AD038B">
      <w:r w:rsidRPr="00AD038B">
        <w:t>Zgodnie z raportem KOBIZE największy udział w całkowitej emisji gazów cieplarnianych (wyrażonej w ekwiwalencie CO</w:t>
      </w:r>
      <w:r w:rsidRPr="00CB07D4">
        <w:rPr>
          <w:vertAlign w:val="subscript"/>
        </w:rPr>
        <w:t>2</w:t>
      </w:r>
      <w:r w:rsidRPr="00AD038B">
        <w:t xml:space="preserve">) w Polsce w 2019 r. (bez sektora LULUCF) miał sektor Energia (ok. 82,2%), a w ramach tego sektora </w:t>
      </w:r>
      <w:r w:rsidR="002627DC">
        <w:t>miały</w:t>
      </w:r>
      <w:r w:rsidRPr="00AD038B">
        <w:t xml:space="preserve"> procesy spalania paliw (76,7%). Rolnictwo było odpowiedzialne za 8,4%, </w:t>
      </w:r>
      <w:r w:rsidR="002627DC">
        <w:t>p</w:t>
      </w:r>
      <w:r w:rsidRPr="00AD038B">
        <w:t xml:space="preserve">rocesy przemysłowe za 6,3% i </w:t>
      </w:r>
      <w:r w:rsidR="002627DC">
        <w:t>o</w:t>
      </w:r>
      <w:r w:rsidRPr="00AD038B">
        <w:t>dpady za 3,1%. Zużycie paliw kopalnych jest głównym źródłem emisji dwutlenku węgla (CO</w:t>
      </w:r>
      <w:r w:rsidRPr="00CB07D4">
        <w:rPr>
          <w:vertAlign w:val="subscript"/>
        </w:rPr>
        <w:t>2</w:t>
      </w:r>
      <w:r w:rsidRPr="00AD038B">
        <w:t xml:space="preserve">).  W 2019 r. odnotowano spadek krajowej emisji GC o 5,1% w stosunku do roku poprzedniego. Główną przyczyną spadku emisji między latami 2018 i 2019 było niższe zużycie paliw spalanych w źródłach stacjonarnych, przede wszystkim węgla kamiennego (o prawie o 8%) i brunatnego (o ponad 15%). Natomiast rok 2019 był kolejnym rokiem wzrostu emisji w sektorze transportu drogowego z powodu wyższego niż w 2018 r. zużycia paliw: benzyny o 3,4% i oleju napędowego o 1%.  </w:t>
      </w:r>
    </w:p>
    <w:p w14:paraId="26BCD254" w14:textId="780C488F" w:rsidR="00AD038B" w:rsidRPr="00AD038B" w:rsidRDefault="00AD038B" w:rsidP="00AD038B">
      <w:r w:rsidRPr="00AD038B">
        <w:t>Biorąc pod uwagę powyższe, przejście na zero- i niskoemisyjne źródła energii i ciepła oraz wsparcie rozwoju transportu zero- i niskoemisyjnego jest ważnym środkiem do osiągnięcia celów dot</w:t>
      </w:r>
      <w:r w:rsidR="002627DC">
        <w:t>yczących</w:t>
      </w:r>
      <w:r w:rsidRPr="00AD038B">
        <w:t xml:space="preserve"> dążenia do neutralności klimatycznej i zrównoważonego rozwoju. Wskaźnik emisji GHG  w Polsce systematycznie maleje, ale jest nadal wyższy niż średnia U</w:t>
      </w:r>
      <w:r w:rsidR="002627DC">
        <w:t xml:space="preserve">nii </w:t>
      </w:r>
      <w:r w:rsidRPr="00AD038B">
        <w:t>E</w:t>
      </w:r>
      <w:r w:rsidR="002627DC">
        <w:t>uropejskiej</w:t>
      </w:r>
      <w:r w:rsidRPr="00AD038B">
        <w:t>.</w:t>
      </w:r>
    </w:p>
    <w:p w14:paraId="46F3CBA0" w14:textId="660ED1D4" w:rsidR="005B060B" w:rsidRDefault="005B060B" w:rsidP="00027674">
      <w:pPr>
        <w:pStyle w:val="Nagwek4"/>
      </w:pPr>
      <w:r>
        <w:t xml:space="preserve"> </w:t>
      </w:r>
      <w:r w:rsidRPr="00254AB9">
        <w:t xml:space="preserve">Wykres </w:t>
      </w:r>
      <w:r w:rsidR="00027674">
        <w:t>2</w:t>
      </w:r>
      <w:r w:rsidR="001C3C76">
        <w:t>9</w:t>
      </w:r>
      <w:r w:rsidRPr="00254AB9">
        <w:t xml:space="preserve">. </w:t>
      </w:r>
      <w:r w:rsidR="00AA6DA1">
        <w:t xml:space="preserve">Zużycie </w:t>
      </w:r>
      <w:r>
        <w:t>energii pierwotnej</w:t>
      </w:r>
      <w:r w:rsidR="006343E1">
        <w:t xml:space="preserve"> w </w:t>
      </w:r>
      <w:r>
        <w:t>2017 r.</w:t>
      </w:r>
    </w:p>
    <w:p w14:paraId="7E4D506D" w14:textId="77777777" w:rsidR="0008591A" w:rsidRDefault="0069452A" w:rsidP="0008591A">
      <w:pPr>
        <w:spacing w:after="0" w:line="240" w:lineRule="auto"/>
      </w:pPr>
      <w:r>
        <w:rPr>
          <w:noProof/>
          <w:lang w:eastAsia="pl-PL"/>
        </w:rPr>
        <w:drawing>
          <wp:inline distT="0" distB="0" distL="0" distR="0" wp14:anchorId="5F20FB0E" wp14:editId="0F4C2813">
            <wp:extent cx="5300664" cy="3095625"/>
            <wp:effectExtent l="0" t="0" r="14605" b="9525"/>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8E85FFB" w14:textId="6ACF488E" w:rsidR="005B060B" w:rsidRPr="00254AB9" w:rsidRDefault="00A32838" w:rsidP="0008591A">
      <w:pPr>
        <w:pStyle w:val="Bezodstpw"/>
        <w:rPr>
          <w:b/>
        </w:rPr>
      </w:pPr>
      <w:r>
        <w:t>Źródło</w:t>
      </w:r>
      <w:r w:rsidR="005B060B">
        <w:t xml:space="preserve">: </w:t>
      </w:r>
      <w:r w:rsidR="005B060B" w:rsidRPr="00472CC9">
        <w:t xml:space="preserve">Opracowanie </w:t>
      </w:r>
      <w:r w:rsidR="003A56DA">
        <w:t>MRiT</w:t>
      </w:r>
      <w:r w:rsidR="005B060B" w:rsidRPr="00472CC9">
        <w:t xml:space="preserve"> na podstawie danych </w:t>
      </w:r>
      <w:r w:rsidR="005B060B">
        <w:t>Eurostat</w:t>
      </w:r>
    </w:p>
    <w:p w14:paraId="5BF60F16" w14:textId="2EC86C48" w:rsidR="00FD62DE" w:rsidRPr="00FD62DE" w:rsidRDefault="00FD62DE" w:rsidP="00FD62DE">
      <w:pPr>
        <w:rPr>
          <w:lang w:eastAsia="pl-PL"/>
        </w:rPr>
      </w:pPr>
      <w:r w:rsidRPr="00FD62DE">
        <w:rPr>
          <w:lang w:eastAsia="pl-PL"/>
        </w:rPr>
        <w:lastRenderedPageBreak/>
        <w:t>Zgodnie z PEP2040 celem do 2030 r. jest redukcja emisji gazów cieplarnianych o ok</w:t>
      </w:r>
      <w:r w:rsidR="002627DC">
        <w:rPr>
          <w:lang w:eastAsia="pl-PL"/>
        </w:rPr>
        <w:t>.</w:t>
      </w:r>
      <w:r w:rsidRPr="00FD62DE">
        <w:rPr>
          <w:lang w:eastAsia="pl-PL"/>
        </w:rPr>
        <w:t xml:space="preserve"> 30% (w stosunku do 1990</w:t>
      </w:r>
      <w:r w:rsidR="002627DC">
        <w:rPr>
          <w:lang w:eastAsia="pl-PL"/>
        </w:rPr>
        <w:t> </w:t>
      </w:r>
      <w:r w:rsidRPr="00FD62DE">
        <w:rPr>
          <w:lang w:eastAsia="pl-PL"/>
        </w:rPr>
        <w:t xml:space="preserve">r.). Realizacja celu </w:t>
      </w:r>
      <w:r w:rsidR="002627DC" w:rsidRPr="00FD62DE">
        <w:rPr>
          <w:lang w:eastAsia="pl-PL"/>
        </w:rPr>
        <w:t>będzie</w:t>
      </w:r>
      <w:r w:rsidRPr="00FD62DE">
        <w:rPr>
          <w:lang w:eastAsia="pl-PL"/>
        </w:rPr>
        <w:t xml:space="preserve"> wspierana przez wzrost udziału OZE we wszystkich sektorach i technologiach, rozwój energetyki jądrowej, zmniejszenie udziału węgla w wytwarzaniu energii (nie więcej niż 56% w 2030 r.), odejście od spalania węgla w gospodarstwach domowych w miastach do 2030 r. i na obszarach wiejskich do 2040 r., wspieranie rozwoju zero- i niskoemisyjnego transportu oraz poprzez działania proefektywnościowe w energetyce.</w:t>
      </w:r>
    </w:p>
    <w:p w14:paraId="25B6CF3E" w14:textId="59EED3B5" w:rsidR="005B060B" w:rsidRDefault="006343E1" w:rsidP="00027674">
      <w:pPr>
        <w:rPr>
          <w:lang w:eastAsia="pl-PL"/>
        </w:rPr>
      </w:pPr>
      <w:r w:rsidRPr="004368AD">
        <w:rPr>
          <w:lang w:eastAsia="pl-PL"/>
        </w:rPr>
        <w:t>W</w:t>
      </w:r>
      <w:r>
        <w:rPr>
          <w:lang w:eastAsia="pl-PL"/>
        </w:rPr>
        <w:t> </w:t>
      </w:r>
      <w:r w:rsidR="005B060B" w:rsidRPr="004368AD">
        <w:rPr>
          <w:lang w:eastAsia="pl-PL"/>
        </w:rPr>
        <w:t>latach 2006</w:t>
      </w:r>
      <w:r w:rsidR="002627DC">
        <w:rPr>
          <w:rFonts w:ascii="Times New Roman" w:hAnsi="Times New Roman" w:cs="Times New Roman"/>
          <w:lang w:eastAsia="pl-PL"/>
        </w:rPr>
        <w:t>–</w:t>
      </w:r>
      <w:r w:rsidR="005B060B" w:rsidRPr="004368AD">
        <w:rPr>
          <w:lang w:eastAsia="pl-PL"/>
        </w:rPr>
        <w:t>2015</w:t>
      </w:r>
      <w:r w:rsidR="00FD62DE">
        <w:rPr>
          <w:lang w:eastAsia="pl-PL"/>
        </w:rPr>
        <w:t xml:space="preserve"> w Polsce</w:t>
      </w:r>
      <w:r w:rsidR="005B060B" w:rsidRPr="004368AD">
        <w:rPr>
          <w:lang w:eastAsia="pl-PL"/>
        </w:rPr>
        <w:t xml:space="preserve"> następował stały wzrost ilości energii pozyskanej ze źródeł odnawialnych (OZE),</w:t>
      </w:r>
      <w:r w:rsidR="005B060B">
        <w:rPr>
          <w:lang w:eastAsia="pl-PL"/>
        </w:rPr>
        <w:t xml:space="preserve"> </w:t>
      </w:r>
      <w:r w:rsidR="005B060B" w:rsidRPr="004368AD">
        <w:rPr>
          <w:lang w:eastAsia="pl-PL"/>
        </w:rPr>
        <w:t>t</w:t>
      </w:r>
      <w:r w:rsidR="005B060B">
        <w:rPr>
          <w:lang w:eastAsia="pl-PL"/>
        </w:rPr>
        <w:t>rend ten odwrócił się</w:t>
      </w:r>
      <w:r>
        <w:rPr>
          <w:lang w:eastAsia="pl-PL"/>
        </w:rPr>
        <w:t xml:space="preserve"> w </w:t>
      </w:r>
      <w:r w:rsidR="005B060B">
        <w:rPr>
          <w:lang w:eastAsia="pl-PL"/>
        </w:rPr>
        <w:t>2016 r.</w:t>
      </w:r>
      <w:r>
        <w:rPr>
          <w:lang w:eastAsia="pl-PL"/>
        </w:rPr>
        <w:t xml:space="preserve"> i </w:t>
      </w:r>
      <w:r w:rsidR="005B060B">
        <w:rPr>
          <w:lang w:eastAsia="pl-PL"/>
        </w:rPr>
        <w:t>2017 r.</w:t>
      </w:r>
      <w:r>
        <w:rPr>
          <w:lang w:eastAsia="pl-PL"/>
        </w:rPr>
        <w:t xml:space="preserve"> </w:t>
      </w:r>
      <w:r w:rsidRPr="00254AB9">
        <w:rPr>
          <w:lang w:eastAsia="pl-PL"/>
        </w:rPr>
        <w:t>W</w:t>
      </w:r>
      <w:r>
        <w:rPr>
          <w:lang w:eastAsia="pl-PL"/>
        </w:rPr>
        <w:t> </w:t>
      </w:r>
      <w:r w:rsidR="005B060B" w:rsidRPr="00254AB9">
        <w:rPr>
          <w:lang w:eastAsia="pl-PL"/>
        </w:rPr>
        <w:t>201</w:t>
      </w:r>
      <w:r w:rsidR="005B060B">
        <w:rPr>
          <w:lang w:eastAsia="pl-PL"/>
        </w:rPr>
        <w:t>7</w:t>
      </w:r>
      <w:r w:rsidR="005B060B" w:rsidRPr="00254AB9">
        <w:rPr>
          <w:lang w:eastAsia="pl-PL"/>
        </w:rPr>
        <w:t xml:space="preserve"> r. Polska,</w:t>
      </w:r>
      <w:r>
        <w:rPr>
          <w:lang w:eastAsia="pl-PL"/>
        </w:rPr>
        <w:t xml:space="preserve"> </w:t>
      </w:r>
      <w:r w:rsidRPr="00254AB9">
        <w:rPr>
          <w:lang w:eastAsia="pl-PL"/>
        </w:rPr>
        <w:t>z</w:t>
      </w:r>
      <w:r>
        <w:rPr>
          <w:lang w:eastAsia="pl-PL"/>
        </w:rPr>
        <w:t> </w:t>
      </w:r>
      <w:r w:rsidR="005B060B" w:rsidRPr="00254AB9">
        <w:rPr>
          <w:lang w:eastAsia="pl-PL"/>
        </w:rPr>
        <w:t>udziałem energii ze źródeł odnawialnych</w:t>
      </w:r>
      <w:r>
        <w:rPr>
          <w:lang w:eastAsia="pl-PL"/>
        </w:rPr>
        <w:t xml:space="preserve"> </w:t>
      </w:r>
      <w:r w:rsidRPr="00254AB9">
        <w:rPr>
          <w:lang w:eastAsia="pl-PL"/>
        </w:rPr>
        <w:t>w</w:t>
      </w:r>
      <w:r>
        <w:rPr>
          <w:lang w:eastAsia="pl-PL"/>
        </w:rPr>
        <w:t> </w:t>
      </w:r>
      <w:r w:rsidR="005B060B" w:rsidRPr="00254AB9">
        <w:rPr>
          <w:lang w:eastAsia="pl-PL"/>
        </w:rPr>
        <w:t xml:space="preserve">końcowym zużyciu energii brutto na poziomie </w:t>
      </w:r>
      <w:r w:rsidR="00444141">
        <w:rPr>
          <w:lang w:eastAsia="pl-PL"/>
        </w:rPr>
        <w:t>11,1</w:t>
      </w:r>
      <w:r w:rsidR="005B060B" w:rsidRPr="00254AB9">
        <w:rPr>
          <w:lang w:eastAsia="pl-PL"/>
        </w:rPr>
        <w:t xml:space="preserve">%, znajdowała się na </w:t>
      </w:r>
      <w:r w:rsidR="00444141">
        <w:rPr>
          <w:lang w:eastAsia="pl-PL"/>
        </w:rPr>
        <w:t>22</w:t>
      </w:r>
      <w:r w:rsidR="005B060B">
        <w:rPr>
          <w:lang w:eastAsia="pl-PL"/>
        </w:rPr>
        <w:t>.</w:t>
      </w:r>
      <w:r w:rsidR="005B060B" w:rsidRPr="00254AB9">
        <w:rPr>
          <w:lang w:eastAsia="pl-PL"/>
        </w:rPr>
        <w:t xml:space="preserve"> pozycji wśród </w:t>
      </w:r>
      <w:r w:rsidR="005B060B">
        <w:rPr>
          <w:lang w:eastAsia="pl-PL"/>
        </w:rPr>
        <w:t>państw członkowskich</w:t>
      </w:r>
      <w:r w:rsidR="005B060B" w:rsidRPr="00254AB9">
        <w:rPr>
          <w:lang w:eastAsia="pl-PL"/>
        </w:rPr>
        <w:t xml:space="preserve"> UE.</w:t>
      </w:r>
    </w:p>
    <w:p w14:paraId="713933B2" w14:textId="50CECE5E" w:rsidR="005B060B" w:rsidRDefault="005B060B" w:rsidP="00027674">
      <w:pPr>
        <w:rPr>
          <w:lang w:eastAsia="pl-PL"/>
        </w:rPr>
      </w:pPr>
      <w:r w:rsidRPr="004559E1">
        <w:rPr>
          <w:lang w:eastAsia="pl-PL"/>
        </w:rPr>
        <w:t xml:space="preserve">Planowany  na  2020  r.  docelowy  udział  energii  ze  źródeł  odnawialnych </w:t>
      </w:r>
      <w:r w:rsidR="006343E1">
        <w:rPr>
          <w:lang w:eastAsia="pl-PL"/>
        </w:rPr>
        <w:t xml:space="preserve"> </w:t>
      </w:r>
      <w:r w:rsidR="006343E1" w:rsidRPr="004559E1">
        <w:rPr>
          <w:lang w:eastAsia="pl-PL"/>
        </w:rPr>
        <w:t>w</w:t>
      </w:r>
      <w:r w:rsidR="006343E1">
        <w:rPr>
          <w:lang w:eastAsia="pl-PL"/>
        </w:rPr>
        <w:t> </w:t>
      </w:r>
      <w:r w:rsidRPr="004559E1">
        <w:rPr>
          <w:lang w:eastAsia="pl-PL"/>
        </w:rPr>
        <w:t xml:space="preserve"> końcowym  zużyciu  energii  brutto został osiągnięty</w:t>
      </w:r>
      <w:r w:rsidR="006343E1">
        <w:rPr>
          <w:lang w:eastAsia="pl-PL"/>
        </w:rPr>
        <w:t xml:space="preserve"> </w:t>
      </w:r>
      <w:r w:rsidR="006343E1" w:rsidRPr="004559E1">
        <w:rPr>
          <w:lang w:eastAsia="pl-PL"/>
        </w:rPr>
        <w:t>i</w:t>
      </w:r>
      <w:r w:rsidR="006343E1">
        <w:rPr>
          <w:lang w:eastAsia="pl-PL"/>
        </w:rPr>
        <w:t> </w:t>
      </w:r>
      <w:r w:rsidRPr="004559E1">
        <w:rPr>
          <w:lang w:eastAsia="pl-PL"/>
        </w:rPr>
        <w:t>przekroczony</w:t>
      </w:r>
      <w:r w:rsidR="006343E1">
        <w:rPr>
          <w:lang w:eastAsia="pl-PL"/>
        </w:rPr>
        <w:t xml:space="preserve"> </w:t>
      </w:r>
      <w:r w:rsidR="006343E1" w:rsidRPr="004559E1">
        <w:rPr>
          <w:lang w:eastAsia="pl-PL"/>
        </w:rPr>
        <w:t>w</w:t>
      </w:r>
      <w:r w:rsidR="006343E1">
        <w:rPr>
          <w:lang w:eastAsia="pl-PL"/>
        </w:rPr>
        <w:t> </w:t>
      </w:r>
      <w:r w:rsidRPr="004559E1">
        <w:rPr>
          <w:lang w:eastAsia="pl-PL"/>
        </w:rPr>
        <w:t>2018 r. przez 12 krajów, m.in. Czechy, Finlandię, Litwę</w:t>
      </w:r>
      <w:r w:rsidR="006343E1">
        <w:rPr>
          <w:lang w:eastAsia="pl-PL"/>
        </w:rPr>
        <w:t xml:space="preserve"> </w:t>
      </w:r>
      <w:r w:rsidR="006343E1" w:rsidRPr="004559E1">
        <w:rPr>
          <w:lang w:eastAsia="pl-PL"/>
        </w:rPr>
        <w:t>i</w:t>
      </w:r>
      <w:r w:rsidR="006343E1">
        <w:rPr>
          <w:lang w:eastAsia="pl-PL"/>
        </w:rPr>
        <w:t> </w:t>
      </w:r>
      <w:r w:rsidRPr="004559E1">
        <w:rPr>
          <w:lang w:eastAsia="pl-PL"/>
        </w:rPr>
        <w:t>Włochy, które osiągnęły ten cel już</w:t>
      </w:r>
      <w:r w:rsidR="006343E1">
        <w:rPr>
          <w:lang w:eastAsia="pl-PL"/>
        </w:rPr>
        <w:t xml:space="preserve"> </w:t>
      </w:r>
      <w:r w:rsidR="006343E1" w:rsidRPr="004559E1">
        <w:rPr>
          <w:lang w:eastAsia="pl-PL"/>
        </w:rPr>
        <w:t>w</w:t>
      </w:r>
      <w:r w:rsidR="006343E1">
        <w:rPr>
          <w:lang w:eastAsia="pl-PL"/>
        </w:rPr>
        <w:t> </w:t>
      </w:r>
      <w:r w:rsidRPr="004559E1">
        <w:rPr>
          <w:lang w:eastAsia="pl-PL"/>
        </w:rPr>
        <w:t>2015 r. Wśród pozostałych 16 krajów, które</w:t>
      </w:r>
      <w:r w:rsidR="006343E1">
        <w:rPr>
          <w:lang w:eastAsia="pl-PL"/>
        </w:rPr>
        <w:t xml:space="preserve"> </w:t>
      </w:r>
      <w:r w:rsidR="006343E1" w:rsidRPr="004559E1">
        <w:rPr>
          <w:lang w:eastAsia="pl-PL"/>
        </w:rPr>
        <w:t>w</w:t>
      </w:r>
      <w:r w:rsidR="006343E1">
        <w:rPr>
          <w:lang w:eastAsia="pl-PL"/>
        </w:rPr>
        <w:t> </w:t>
      </w:r>
      <w:r>
        <w:rPr>
          <w:lang w:eastAsia="pl-PL"/>
        </w:rPr>
        <w:t>2018 r. jeszcze nie zrealizowa</w:t>
      </w:r>
      <w:r w:rsidRPr="004559E1">
        <w:rPr>
          <w:lang w:eastAsia="pl-PL"/>
        </w:rPr>
        <w:t xml:space="preserve">ły  docelowego  udziału  OZE </w:t>
      </w:r>
      <w:r w:rsidR="006343E1">
        <w:rPr>
          <w:lang w:eastAsia="pl-PL"/>
        </w:rPr>
        <w:t xml:space="preserve"> </w:t>
      </w:r>
      <w:r w:rsidR="006343E1" w:rsidRPr="004559E1">
        <w:rPr>
          <w:lang w:eastAsia="pl-PL"/>
        </w:rPr>
        <w:t>w</w:t>
      </w:r>
      <w:r w:rsidR="006343E1">
        <w:rPr>
          <w:lang w:eastAsia="pl-PL"/>
        </w:rPr>
        <w:t> </w:t>
      </w:r>
      <w:r w:rsidRPr="004559E1">
        <w:rPr>
          <w:lang w:eastAsia="pl-PL"/>
        </w:rPr>
        <w:t xml:space="preserve"> końcowym  zużyciu  energii  brutto  (przewidzianym  na  2020  r.) </w:t>
      </w:r>
      <w:r>
        <w:rPr>
          <w:lang w:eastAsia="pl-PL"/>
        </w:rPr>
        <w:t>były</w:t>
      </w:r>
      <w:r w:rsidRPr="004559E1">
        <w:rPr>
          <w:lang w:eastAsia="pl-PL"/>
        </w:rPr>
        <w:t xml:space="preserve">  Polska</w:t>
      </w:r>
      <w:r>
        <w:rPr>
          <w:lang w:eastAsia="pl-PL"/>
        </w:rPr>
        <w:t xml:space="preserve"> </w:t>
      </w:r>
      <w:r w:rsidRPr="004559E1">
        <w:rPr>
          <w:lang w:eastAsia="pl-PL"/>
        </w:rPr>
        <w:t>(do osiągnięcia celu brak</w:t>
      </w:r>
      <w:r>
        <w:rPr>
          <w:lang w:eastAsia="pl-PL"/>
        </w:rPr>
        <w:t xml:space="preserve">owało </w:t>
      </w:r>
      <w:r w:rsidRPr="004559E1">
        <w:rPr>
          <w:lang w:eastAsia="pl-PL"/>
        </w:rPr>
        <w:t>3,5 p</w:t>
      </w:r>
      <w:r w:rsidR="002627DC">
        <w:rPr>
          <w:lang w:eastAsia="pl-PL"/>
        </w:rPr>
        <w:t>kt.</w:t>
      </w:r>
      <w:r w:rsidRPr="004559E1">
        <w:rPr>
          <w:lang w:eastAsia="pl-PL"/>
        </w:rPr>
        <w:t xml:space="preserve"> proc.), Francja (6,4 p</w:t>
      </w:r>
      <w:r w:rsidR="002627DC">
        <w:rPr>
          <w:lang w:eastAsia="pl-PL"/>
        </w:rPr>
        <w:t>kt</w:t>
      </w:r>
      <w:r w:rsidRPr="004559E1">
        <w:rPr>
          <w:lang w:eastAsia="pl-PL"/>
        </w:rPr>
        <w:t>. proc.)</w:t>
      </w:r>
      <w:r w:rsidR="006343E1">
        <w:rPr>
          <w:lang w:eastAsia="pl-PL"/>
        </w:rPr>
        <w:t xml:space="preserve"> </w:t>
      </w:r>
      <w:r w:rsidR="006343E1" w:rsidRPr="004559E1">
        <w:rPr>
          <w:lang w:eastAsia="pl-PL"/>
        </w:rPr>
        <w:t>i</w:t>
      </w:r>
      <w:r w:rsidR="006343E1">
        <w:rPr>
          <w:lang w:eastAsia="pl-PL"/>
        </w:rPr>
        <w:t> </w:t>
      </w:r>
      <w:r w:rsidRPr="004559E1">
        <w:rPr>
          <w:lang w:eastAsia="pl-PL"/>
        </w:rPr>
        <w:t>Holandia (6,6 p</w:t>
      </w:r>
      <w:r w:rsidR="002627DC">
        <w:rPr>
          <w:lang w:eastAsia="pl-PL"/>
        </w:rPr>
        <w:t>kt</w:t>
      </w:r>
      <w:r w:rsidRPr="004559E1">
        <w:rPr>
          <w:lang w:eastAsia="pl-PL"/>
        </w:rPr>
        <w:t>. proc.).</w:t>
      </w:r>
    </w:p>
    <w:p w14:paraId="3A811A04" w14:textId="4455FED1" w:rsidR="005B060B" w:rsidRPr="00254AB9" w:rsidRDefault="005B060B" w:rsidP="00027674">
      <w:pPr>
        <w:rPr>
          <w:lang w:eastAsia="pl-PL"/>
        </w:rPr>
      </w:pPr>
      <w:r w:rsidRPr="00D317E7">
        <w:rPr>
          <w:lang w:eastAsia="pl-PL"/>
        </w:rPr>
        <w:t>Wskaźnik udziału energii ze źródeł odnawialnych</w:t>
      </w:r>
      <w:r w:rsidR="006343E1">
        <w:rPr>
          <w:lang w:eastAsia="pl-PL"/>
        </w:rPr>
        <w:t xml:space="preserve"> </w:t>
      </w:r>
      <w:r w:rsidR="006343E1" w:rsidRPr="00D317E7">
        <w:rPr>
          <w:lang w:eastAsia="pl-PL"/>
        </w:rPr>
        <w:t>w</w:t>
      </w:r>
      <w:r w:rsidR="006343E1">
        <w:rPr>
          <w:lang w:eastAsia="pl-PL"/>
        </w:rPr>
        <w:t> </w:t>
      </w:r>
      <w:r w:rsidRPr="00D317E7">
        <w:rPr>
          <w:lang w:eastAsia="pl-PL"/>
        </w:rPr>
        <w:t>końcowym zużyciu energii brutto</w:t>
      </w:r>
      <w:r w:rsidR="006343E1">
        <w:rPr>
          <w:lang w:eastAsia="pl-PL"/>
        </w:rPr>
        <w:t xml:space="preserve"> </w:t>
      </w:r>
      <w:r w:rsidR="006343E1" w:rsidRPr="00D317E7">
        <w:rPr>
          <w:lang w:eastAsia="pl-PL"/>
        </w:rPr>
        <w:t>w</w:t>
      </w:r>
      <w:r w:rsidR="006343E1">
        <w:rPr>
          <w:lang w:eastAsia="pl-PL"/>
        </w:rPr>
        <w:t> </w:t>
      </w:r>
      <w:r w:rsidRPr="00D317E7">
        <w:rPr>
          <w:lang w:eastAsia="pl-PL"/>
        </w:rPr>
        <w:t>2019 r. wyniósł</w:t>
      </w:r>
      <w:r w:rsidR="006343E1">
        <w:rPr>
          <w:lang w:eastAsia="pl-PL"/>
        </w:rPr>
        <w:t xml:space="preserve"> </w:t>
      </w:r>
      <w:r w:rsidR="006343E1" w:rsidRPr="00D317E7">
        <w:rPr>
          <w:lang w:eastAsia="pl-PL"/>
        </w:rPr>
        <w:t>w</w:t>
      </w:r>
      <w:r w:rsidR="006343E1">
        <w:rPr>
          <w:lang w:eastAsia="pl-PL"/>
        </w:rPr>
        <w:t> </w:t>
      </w:r>
      <w:r w:rsidRPr="00D317E7">
        <w:rPr>
          <w:lang w:eastAsia="pl-PL"/>
        </w:rPr>
        <w:t>Polsce 12,</w:t>
      </w:r>
      <w:r>
        <w:rPr>
          <w:lang w:eastAsia="pl-PL"/>
        </w:rPr>
        <w:t>2</w:t>
      </w:r>
      <w:r w:rsidRPr="00D317E7">
        <w:rPr>
          <w:lang w:eastAsia="pl-PL"/>
        </w:rPr>
        <w:t>%</w:t>
      </w:r>
      <w:r w:rsidR="006343E1">
        <w:rPr>
          <w:lang w:eastAsia="pl-PL"/>
        </w:rPr>
        <w:t xml:space="preserve"> </w:t>
      </w:r>
      <w:r w:rsidR="006343E1" w:rsidRPr="00D317E7">
        <w:rPr>
          <w:lang w:eastAsia="pl-PL"/>
        </w:rPr>
        <w:t>i</w:t>
      </w:r>
      <w:r w:rsidR="006343E1">
        <w:rPr>
          <w:lang w:eastAsia="pl-PL"/>
        </w:rPr>
        <w:t> </w:t>
      </w:r>
      <w:r w:rsidRPr="00D317E7">
        <w:rPr>
          <w:lang w:eastAsia="pl-PL"/>
        </w:rPr>
        <w:t>wzrósł</w:t>
      </w:r>
      <w:r w:rsidR="006343E1">
        <w:rPr>
          <w:lang w:eastAsia="pl-PL"/>
        </w:rPr>
        <w:t xml:space="preserve"> </w:t>
      </w:r>
      <w:r w:rsidR="006343E1" w:rsidRPr="00D317E7">
        <w:rPr>
          <w:lang w:eastAsia="pl-PL"/>
        </w:rPr>
        <w:t>o</w:t>
      </w:r>
      <w:r w:rsidR="006343E1">
        <w:rPr>
          <w:lang w:eastAsia="pl-PL"/>
        </w:rPr>
        <w:t> </w:t>
      </w:r>
      <w:r w:rsidRPr="00D317E7">
        <w:rPr>
          <w:lang w:eastAsia="pl-PL"/>
        </w:rPr>
        <w:t>4,45 p</w:t>
      </w:r>
      <w:r w:rsidR="002627DC">
        <w:rPr>
          <w:lang w:eastAsia="pl-PL"/>
        </w:rPr>
        <w:t>kt</w:t>
      </w:r>
      <w:r w:rsidRPr="00D317E7">
        <w:rPr>
          <w:lang w:eastAsia="pl-PL"/>
        </w:rPr>
        <w:t>. proc.</w:t>
      </w:r>
      <w:r w:rsidR="006343E1">
        <w:rPr>
          <w:lang w:eastAsia="pl-PL"/>
        </w:rPr>
        <w:t xml:space="preserve"> </w:t>
      </w:r>
      <w:r w:rsidR="006343E1" w:rsidRPr="00D317E7">
        <w:rPr>
          <w:lang w:eastAsia="pl-PL"/>
        </w:rPr>
        <w:t>w</w:t>
      </w:r>
      <w:r w:rsidR="006343E1">
        <w:rPr>
          <w:lang w:eastAsia="pl-PL"/>
        </w:rPr>
        <w:t> </w:t>
      </w:r>
      <w:r w:rsidRPr="00D317E7">
        <w:rPr>
          <w:lang w:eastAsia="pl-PL"/>
        </w:rPr>
        <w:t>porównaniu</w:t>
      </w:r>
      <w:r w:rsidR="006343E1">
        <w:rPr>
          <w:lang w:eastAsia="pl-PL"/>
        </w:rPr>
        <w:t xml:space="preserve"> </w:t>
      </w:r>
      <w:r w:rsidR="006343E1" w:rsidRPr="00D317E7">
        <w:rPr>
          <w:lang w:eastAsia="pl-PL"/>
        </w:rPr>
        <w:t>z</w:t>
      </w:r>
      <w:r w:rsidR="006343E1">
        <w:rPr>
          <w:lang w:eastAsia="pl-PL"/>
        </w:rPr>
        <w:t> </w:t>
      </w:r>
      <w:r w:rsidRPr="00D317E7">
        <w:rPr>
          <w:lang w:eastAsia="pl-PL"/>
        </w:rPr>
        <w:t>2008 r.</w:t>
      </w:r>
      <w:r>
        <w:rPr>
          <w:lang w:eastAsia="pl-PL"/>
        </w:rPr>
        <w:t xml:space="preserve"> (do osiągnięcia celu brakowało 2,8 p</w:t>
      </w:r>
      <w:r w:rsidR="002627DC">
        <w:rPr>
          <w:lang w:eastAsia="pl-PL"/>
        </w:rPr>
        <w:t>kt</w:t>
      </w:r>
      <w:r>
        <w:rPr>
          <w:lang w:eastAsia="pl-PL"/>
        </w:rPr>
        <w:t>.</w:t>
      </w:r>
      <w:r w:rsidR="002627DC">
        <w:rPr>
          <w:lang w:eastAsia="pl-PL"/>
        </w:rPr>
        <w:t xml:space="preserve"> </w:t>
      </w:r>
      <w:r>
        <w:rPr>
          <w:lang w:eastAsia="pl-PL"/>
        </w:rPr>
        <w:t xml:space="preserve">proc.). </w:t>
      </w:r>
      <w:r w:rsidRPr="00D317E7">
        <w:rPr>
          <w:lang w:eastAsia="pl-PL"/>
        </w:rPr>
        <w:t>Średnioroczne tempo wzrostu udziału energii ze źródeł odnawialnych</w:t>
      </w:r>
      <w:r w:rsidR="006343E1">
        <w:rPr>
          <w:lang w:eastAsia="pl-PL"/>
        </w:rPr>
        <w:t xml:space="preserve"> </w:t>
      </w:r>
      <w:r w:rsidR="006343E1" w:rsidRPr="00D317E7">
        <w:rPr>
          <w:lang w:eastAsia="pl-PL"/>
        </w:rPr>
        <w:t>w</w:t>
      </w:r>
      <w:r w:rsidR="006343E1">
        <w:rPr>
          <w:lang w:eastAsia="pl-PL"/>
        </w:rPr>
        <w:t> </w:t>
      </w:r>
      <w:r w:rsidRPr="00D317E7">
        <w:rPr>
          <w:lang w:eastAsia="pl-PL"/>
        </w:rPr>
        <w:t>końcowym zużyciu energii brutto</w:t>
      </w:r>
      <w:r w:rsidR="006343E1">
        <w:rPr>
          <w:lang w:eastAsia="pl-PL"/>
        </w:rPr>
        <w:t xml:space="preserve"> </w:t>
      </w:r>
      <w:r w:rsidR="006343E1" w:rsidRPr="00D317E7">
        <w:rPr>
          <w:lang w:eastAsia="pl-PL"/>
        </w:rPr>
        <w:t>w</w:t>
      </w:r>
      <w:r w:rsidR="006343E1">
        <w:rPr>
          <w:lang w:eastAsia="pl-PL"/>
        </w:rPr>
        <w:t> </w:t>
      </w:r>
      <w:r w:rsidRPr="00D317E7">
        <w:rPr>
          <w:lang w:eastAsia="pl-PL"/>
        </w:rPr>
        <w:t>latach 2008–2019 wyniosło 4,2%</w:t>
      </w:r>
    </w:p>
    <w:p w14:paraId="05CFEA17" w14:textId="4D91658C" w:rsidR="005B060B" w:rsidRDefault="005B060B" w:rsidP="00027674">
      <w:pPr>
        <w:pStyle w:val="Nagwek4"/>
      </w:pPr>
      <w:r w:rsidRPr="00254AB9">
        <w:t xml:space="preserve">Wykres </w:t>
      </w:r>
      <w:r w:rsidR="001C3C76">
        <w:t>30</w:t>
      </w:r>
      <w:r w:rsidRPr="00254AB9">
        <w:t>. Udział energii ze źródeł odnawialnych</w:t>
      </w:r>
      <w:r w:rsidR="006343E1">
        <w:t xml:space="preserve"> </w:t>
      </w:r>
      <w:r w:rsidR="006343E1" w:rsidRPr="00254AB9">
        <w:t>w</w:t>
      </w:r>
      <w:r w:rsidR="006343E1">
        <w:t> </w:t>
      </w:r>
      <w:r w:rsidRPr="00254AB9">
        <w:t>końcowym zużyciu energii brutto (%)</w:t>
      </w:r>
    </w:p>
    <w:p w14:paraId="145437A5" w14:textId="77777777" w:rsidR="005B060B" w:rsidRDefault="005B060B" w:rsidP="005B060B">
      <w:pPr>
        <w:spacing w:after="0" w:line="240" w:lineRule="auto"/>
      </w:pPr>
      <w:r>
        <w:rPr>
          <w:noProof/>
          <w:lang w:eastAsia="pl-PL"/>
        </w:rPr>
        <w:drawing>
          <wp:inline distT="0" distB="0" distL="0" distR="0" wp14:anchorId="080361AE" wp14:editId="381D2C08">
            <wp:extent cx="4285476" cy="2092147"/>
            <wp:effectExtent l="0" t="0" r="1270" b="3810"/>
            <wp:docPr id="471" name="Wykres 47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7DE76CC2" w14:textId="2F6894F4" w:rsidR="005B060B" w:rsidRPr="00224F7C" w:rsidRDefault="005B060B" w:rsidP="00DC728E">
      <w:pPr>
        <w:pStyle w:val="Bezodstpw"/>
        <w:rPr>
          <w:rFonts w:cs="Calibri"/>
          <w:b/>
        </w:rPr>
      </w:pPr>
      <w:r w:rsidRPr="00224F7C">
        <w:t xml:space="preserve">Źródło: Opracowanie </w:t>
      </w:r>
      <w:r w:rsidR="003A56DA">
        <w:t>MRiT</w:t>
      </w:r>
      <w:r w:rsidRPr="00224F7C">
        <w:t xml:space="preserve"> na podstawie danych GUS</w:t>
      </w:r>
    </w:p>
    <w:p w14:paraId="32445B0B" w14:textId="5A271E38" w:rsidR="005B060B" w:rsidRPr="00254AB9" w:rsidRDefault="005B060B" w:rsidP="00027674">
      <w:r w:rsidRPr="00254AB9">
        <w:t>Wskaźnik emisji gazów cieplarnianych na jednostkę zużytej energii informuje</w:t>
      </w:r>
      <w:r w:rsidR="006343E1">
        <w:t xml:space="preserve"> </w:t>
      </w:r>
      <w:r w:rsidR="006343E1" w:rsidRPr="00254AB9">
        <w:t>o</w:t>
      </w:r>
      <w:r w:rsidR="006343E1">
        <w:t> </w:t>
      </w:r>
      <w:r w:rsidRPr="00254AB9">
        <w:t>wpływie sektora energii na środowisko. Zużycie paliw kopalnych jest głównym źródłem emisji dwutlenku węgla (CO</w:t>
      </w:r>
      <w:r w:rsidRPr="00254AB9">
        <w:rPr>
          <w:vertAlign w:val="subscript"/>
        </w:rPr>
        <w:t>2</w:t>
      </w:r>
      <w:r w:rsidRPr="00254AB9">
        <w:t xml:space="preserve">). W związku z zapotrzebowaniem na energię źródło to jest siłą napędową emisji gazów cieplarnianych. </w:t>
      </w:r>
    </w:p>
    <w:p w14:paraId="0365858C" w14:textId="29BF326C" w:rsidR="005B060B" w:rsidRPr="00254AB9" w:rsidRDefault="005B060B" w:rsidP="00027674">
      <w:r w:rsidRPr="00254AB9">
        <w:t>Przejście na niskoemisyjne paliwa jest ważnym środkiem do osiągnięcia celów zrównoważonego rozwoju. Wskaźnik ten</w:t>
      </w:r>
      <w:r w:rsidR="006343E1">
        <w:t xml:space="preserve"> </w:t>
      </w:r>
      <w:r w:rsidR="006343E1" w:rsidRPr="00254AB9">
        <w:t>w</w:t>
      </w:r>
      <w:r w:rsidR="006343E1">
        <w:t> </w:t>
      </w:r>
      <w:r w:rsidRPr="00254AB9">
        <w:t>Polsce systematycznie maleje, ale jest nadal wyższy niż średnia U</w:t>
      </w:r>
      <w:r w:rsidR="002627DC">
        <w:t xml:space="preserve">nii </w:t>
      </w:r>
      <w:r w:rsidRPr="00254AB9">
        <w:t>E</w:t>
      </w:r>
      <w:r w:rsidR="002627DC">
        <w:t>uropejskiej</w:t>
      </w:r>
      <w:r w:rsidRPr="00254AB9">
        <w:t>.</w:t>
      </w:r>
    </w:p>
    <w:p w14:paraId="682B5CA2" w14:textId="170485CC" w:rsidR="005B060B" w:rsidRPr="00254AB9" w:rsidRDefault="005B060B" w:rsidP="00CB07D4">
      <w:pPr>
        <w:pStyle w:val="Nagwek4"/>
        <w:ind w:left="993" w:hanging="993"/>
        <w:rPr>
          <w:rFonts w:eastAsia="Times New Roman"/>
          <w:lang w:eastAsia="pl-PL"/>
        </w:rPr>
      </w:pPr>
      <w:r w:rsidRPr="00254AB9">
        <w:lastRenderedPageBreak/>
        <w:t xml:space="preserve">Wykres </w:t>
      </w:r>
      <w:r w:rsidR="001C3C76">
        <w:t>31</w:t>
      </w:r>
      <w:r w:rsidRPr="00254AB9">
        <w:t>.</w:t>
      </w:r>
      <w:r w:rsidRPr="00254AB9">
        <w:rPr>
          <w:rFonts w:eastAsia="Times New Roman"/>
          <w:lang w:eastAsia="pl-PL"/>
        </w:rPr>
        <w:t xml:space="preserve"> Emisja gazów cieplarnianych na jednostkę zużytej energii</w:t>
      </w:r>
      <w:r w:rsidR="006343E1">
        <w:rPr>
          <w:rFonts w:eastAsia="Times New Roman"/>
          <w:lang w:eastAsia="pl-PL"/>
        </w:rPr>
        <w:t xml:space="preserve"> </w:t>
      </w:r>
      <w:r w:rsidR="006343E1" w:rsidRPr="00254AB9">
        <w:rPr>
          <w:rFonts w:eastAsia="Times New Roman"/>
          <w:lang w:eastAsia="pl-PL"/>
        </w:rPr>
        <w:t>w</w:t>
      </w:r>
      <w:r w:rsidR="006343E1">
        <w:rPr>
          <w:rFonts w:eastAsia="Times New Roman"/>
          <w:lang w:eastAsia="pl-PL"/>
        </w:rPr>
        <w:t> </w:t>
      </w:r>
      <w:r w:rsidRPr="00254AB9">
        <w:rPr>
          <w:rFonts w:eastAsia="Times New Roman"/>
          <w:lang w:eastAsia="pl-PL"/>
        </w:rPr>
        <w:t>Polsce na</w:t>
      </w:r>
      <w:r>
        <w:rPr>
          <w:rFonts w:eastAsia="Times New Roman"/>
          <w:lang w:eastAsia="pl-PL"/>
        </w:rPr>
        <w:t xml:space="preserve"> </w:t>
      </w:r>
      <w:r w:rsidRPr="00254AB9">
        <w:rPr>
          <w:rFonts w:eastAsia="Times New Roman"/>
          <w:lang w:eastAsia="pl-PL"/>
        </w:rPr>
        <w:t>tle</w:t>
      </w:r>
      <w:r>
        <w:rPr>
          <w:rFonts w:eastAsia="Times New Roman"/>
          <w:lang w:eastAsia="pl-PL"/>
        </w:rPr>
        <w:t xml:space="preserve"> wybranych</w:t>
      </w:r>
      <w:r w:rsidRPr="00254AB9">
        <w:rPr>
          <w:rFonts w:eastAsia="Times New Roman"/>
          <w:lang w:eastAsia="pl-PL"/>
        </w:rPr>
        <w:t xml:space="preserve"> krajów UE (</w:t>
      </w:r>
      <w:r w:rsidR="00A732F3">
        <w:rPr>
          <w:rFonts w:eastAsia="Times New Roman"/>
          <w:lang w:eastAsia="pl-PL"/>
        </w:rPr>
        <w:t xml:space="preserve">wartość dla </w:t>
      </w:r>
      <w:r>
        <w:rPr>
          <w:rFonts w:eastAsia="Times New Roman"/>
          <w:lang w:eastAsia="pl-PL"/>
        </w:rPr>
        <w:t>2000 r</w:t>
      </w:r>
      <w:r w:rsidRPr="002627DC">
        <w:rPr>
          <w:rFonts w:eastAsia="Times New Roman"/>
          <w:lang w:eastAsia="pl-PL"/>
        </w:rPr>
        <w:t>.</w:t>
      </w:r>
      <w:r w:rsidR="002627DC" w:rsidRPr="002627DC">
        <w:rPr>
          <w:rFonts w:eastAsia="Times New Roman"/>
          <w:lang w:eastAsia="pl-PL"/>
        </w:rPr>
        <w:t xml:space="preserve"> </w:t>
      </w:r>
      <w:r w:rsidRPr="002627DC">
        <w:rPr>
          <w:rFonts w:eastAsia="Times New Roman"/>
          <w:lang w:eastAsia="pl-PL"/>
        </w:rPr>
        <w:t>=</w:t>
      </w:r>
      <w:r w:rsidR="002627DC" w:rsidRPr="002627DC">
        <w:rPr>
          <w:rFonts w:eastAsia="Times New Roman"/>
          <w:lang w:eastAsia="pl-PL"/>
        </w:rPr>
        <w:t xml:space="preserve"> </w:t>
      </w:r>
      <w:r w:rsidRPr="00A732F3">
        <w:t>100</w:t>
      </w:r>
      <w:r w:rsidRPr="00254AB9">
        <w:rPr>
          <w:rFonts w:eastAsia="Times New Roman"/>
          <w:lang w:eastAsia="pl-PL"/>
        </w:rPr>
        <w:t xml:space="preserve">) </w:t>
      </w:r>
    </w:p>
    <w:p w14:paraId="628DB3A7" w14:textId="77777777" w:rsidR="005B060B" w:rsidRPr="00254AB9" w:rsidRDefault="005B060B" w:rsidP="005B060B">
      <w:pPr>
        <w:pStyle w:val="NormalnyWeb"/>
        <w:spacing w:before="0" w:beforeAutospacing="0" w:after="0" w:afterAutospacing="0"/>
        <w:rPr>
          <w:rFonts w:ascii="Calibri" w:hAnsi="Calibri" w:cs="Calibri"/>
          <w:i/>
          <w:sz w:val="21"/>
          <w:szCs w:val="21"/>
        </w:rPr>
      </w:pPr>
      <w:r>
        <w:rPr>
          <w:noProof/>
        </w:rPr>
        <w:drawing>
          <wp:inline distT="0" distB="0" distL="0" distR="0" wp14:anchorId="5F616594" wp14:editId="3682BA8E">
            <wp:extent cx="4402862" cy="2145933"/>
            <wp:effectExtent l="0" t="0" r="17145" b="26035"/>
            <wp:docPr id="334" name="Wykres 334"/>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0F8E8C56" w14:textId="77777777" w:rsidR="00DC0BA5" w:rsidRDefault="00DC0BA5" w:rsidP="005B060B">
      <w:pPr>
        <w:pStyle w:val="Bezodstpw"/>
      </w:pPr>
    </w:p>
    <w:p w14:paraId="7131F0B8" w14:textId="2283F409" w:rsidR="005B060B" w:rsidRPr="00254AB9" w:rsidRDefault="005B060B" w:rsidP="005B060B">
      <w:pPr>
        <w:pStyle w:val="Bezodstpw"/>
      </w:pPr>
      <w:r w:rsidRPr="002647FB">
        <w:t>Źródło</w:t>
      </w:r>
      <w:r w:rsidRPr="00254AB9">
        <w:t xml:space="preserve">: Opracowanie </w:t>
      </w:r>
      <w:r w:rsidR="003A56DA">
        <w:t>MRiT</w:t>
      </w:r>
      <w:r w:rsidRPr="00254AB9">
        <w:t xml:space="preserve"> na podstawie danych Eurostat</w:t>
      </w:r>
    </w:p>
    <w:p w14:paraId="23ECC7FE" w14:textId="77777777" w:rsidR="005B060B" w:rsidRPr="002647FB" w:rsidRDefault="005B060B" w:rsidP="005B060B">
      <w:pPr>
        <w:pStyle w:val="Nagwek2"/>
      </w:pPr>
      <w:bookmarkStart w:id="46" w:name="_Toc511921198"/>
      <w:bookmarkStart w:id="47" w:name="_Toc517448467"/>
      <w:bookmarkStart w:id="48" w:name="_Toc31808499"/>
      <w:bookmarkStart w:id="49" w:name="_Toc106968782"/>
      <w:r w:rsidRPr="002647FB">
        <w:t>Ekoinnowacje</w:t>
      </w:r>
      <w:bookmarkEnd w:id="46"/>
      <w:bookmarkEnd w:id="47"/>
      <w:bookmarkEnd w:id="48"/>
      <w:bookmarkEnd w:id="49"/>
    </w:p>
    <w:p w14:paraId="4DC12C92" w14:textId="24BAA0D1" w:rsidR="005B060B" w:rsidRDefault="005B060B" w:rsidP="005B060B">
      <w:r w:rsidRPr="00254AB9">
        <w:t>Wpływ na wzrost efektywności wykorzystania zasobów naturalnych</w:t>
      </w:r>
      <w:r w:rsidR="006343E1">
        <w:t xml:space="preserve"> </w:t>
      </w:r>
      <w:r w:rsidR="006343E1" w:rsidRPr="00254AB9">
        <w:t>i</w:t>
      </w:r>
      <w:r w:rsidR="006343E1">
        <w:t> </w:t>
      </w:r>
      <w:r w:rsidRPr="00254AB9">
        <w:t>surowców mają bez wątpienia ekoinnowacje, które ograniczając szkodliwy wpływ procesów gospodarczych na środowisko</w:t>
      </w:r>
      <w:r w:rsidR="002627DC">
        <w:t>,</w:t>
      </w:r>
      <w:r w:rsidRPr="00254AB9">
        <w:t xml:space="preserve"> wpływają na rozwój gospodarczy poprzez m.in. redukcję kosztów. Wskaźnik ekoinnowacyjności jest średnią nieważoną 16 wskaźników częściowych odniesionych do średniej U</w:t>
      </w:r>
      <w:r w:rsidR="002627DC">
        <w:t xml:space="preserve">nii </w:t>
      </w:r>
      <w:r w:rsidRPr="00254AB9">
        <w:t>E</w:t>
      </w:r>
      <w:r w:rsidR="002627DC">
        <w:t>uropejskiej</w:t>
      </w:r>
      <w:r w:rsidRPr="00254AB9">
        <w:t>.</w:t>
      </w:r>
      <w:r w:rsidR="006343E1">
        <w:t xml:space="preserve"> </w:t>
      </w:r>
      <w:r w:rsidR="006343E1" w:rsidRPr="00254AB9">
        <w:t>W</w:t>
      </w:r>
      <w:r w:rsidR="006343E1">
        <w:t> </w:t>
      </w:r>
      <w:r w:rsidRPr="00254AB9">
        <w:t>201</w:t>
      </w:r>
      <w:r>
        <w:t>8</w:t>
      </w:r>
      <w:r w:rsidRPr="00254AB9">
        <w:t xml:space="preserve"> r. Polska osiągnęła poziom </w:t>
      </w:r>
      <w:r>
        <w:t>59 punktów</w:t>
      </w:r>
      <w:r w:rsidRPr="00254AB9">
        <w:t>, co stanowi zaledwie połowę wielkości wskaźnika dla Niemiec (1</w:t>
      </w:r>
      <w:r>
        <w:t>37</w:t>
      </w:r>
      <w:r w:rsidRPr="00254AB9">
        <w:t>). Wzrost ekoinnowacyjności stanowi wyzwanie dla Polski</w:t>
      </w:r>
      <w:r w:rsidR="006343E1">
        <w:t xml:space="preserve"> </w:t>
      </w:r>
      <w:r w:rsidR="006343E1" w:rsidRPr="00254AB9">
        <w:t>w</w:t>
      </w:r>
      <w:r w:rsidR="006343E1">
        <w:t> </w:t>
      </w:r>
      <w:r w:rsidRPr="00254AB9">
        <w:t>kontekście wzmocnienia naszej pozycji konkurencyjnej oraz rozwoju.</w:t>
      </w:r>
    </w:p>
    <w:p w14:paraId="06D7B9F4" w14:textId="088C390A" w:rsidR="005B060B" w:rsidRPr="00254AB9" w:rsidRDefault="005B060B" w:rsidP="00027674">
      <w:pPr>
        <w:pStyle w:val="Nagwek4"/>
      </w:pPr>
      <w:r w:rsidRPr="00254AB9">
        <w:t>Wykres</w:t>
      </w:r>
      <w:r>
        <w:t xml:space="preserve"> </w:t>
      </w:r>
      <w:r w:rsidR="00027674">
        <w:t>3</w:t>
      </w:r>
      <w:r w:rsidR="001C3C76">
        <w:t>2</w:t>
      </w:r>
      <w:r w:rsidRPr="00254AB9">
        <w:t xml:space="preserve">. Wskaźnik ekoinnowacyjności – Polska na tle krajów UE </w:t>
      </w:r>
      <w:r>
        <w:t xml:space="preserve"> (</w:t>
      </w:r>
      <w:r w:rsidR="00A732F3">
        <w:t xml:space="preserve">średnia </w:t>
      </w:r>
      <w:r>
        <w:t>UE</w:t>
      </w:r>
      <w:r w:rsidR="00D26533">
        <w:t xml:space="preserve"> </w:t>
      </w:r>
      <w:r>
        <w:t>=</w:t>
      </w:r>
      <w:r w:rsidR="00D26533">
        <w:t xml:space="preserve"> </w:t>
      </w:r>
      <w:r>
        <w:t>100)</w:t>
      </w:r>
    </w:p>
    <w:p w14:paraId="1D05821C" w14:textId="77777777" w:rsidR="005B060B" w:rsidRPr="00254AB9" w:rsidRDefault="005B060B" w:rsidP="005B060B">
      <w:pPr>
        <w:spacing w:after="0" w:line="240" w:lineRule="auto"/>
        <w:rPr>
          <w:rFonts w:cs="Calibri"/>
          <w:color w:val="FF0000"/>
          <w:sz w:val="21"/>
          <w:szCs w:val="21"/>
        </w:rPr>
      </w:pPr>
      <w:r>
        <w:rPr>
          <w:noProof/>
          <w:lang w:eastAsia="pl-PL"/>
        </w:rPr>
        <w:drawing>
          <wp:inline distT="0" distB="0" distL="0" distR="0" wp14:anchorId="503BA09E" wp14:editId="1A8DAEBC">
            <wp:extent cx="4572000" cy="2743200"/>
            <wp:effectExtent l="0" t="0" r="19050" b="19050"/>
            <wp:docPr id="335" name="Wykres 335"/>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4DC57D2C" w14:textId="77777777" w:rsidR="00183D4A" w:rsidRDefault="00183D4A" w:rsidP="00027674">
      <w:pPr>
        <w:pStyle w:val="Bezodstpw"/>
      </w:pPr>
    </w:p>
    <w:p w14:paraId="775D360C" w14:textId="1A1FEF24" w:rsidR="005B060B" w:rsidRPr="00254AB9" w:rsidRDefault="005B060B" w:rsidP="00027674">
      <w:pPr>
        <w:pStyle w:val="Bezodstpw"/>
      </w:pPr>
      <w:r w:rsidRPr="00254AB9">
        <w:t xml:space="preserve">Źródło: Opracowanie </w:t>
      </w:r>
      <w:r w:rsidR="003A56DA">
        <w:t>MRiT</w:t>
      </w:r>
      <w:r w:rsidRPr="00254AB9">
        <w:t xml:space="preserve"> na </w:t>
      </w:r>
      <w:r w:rsidRPr="00027674">
        <w:t>podstawie</w:t>
      </w:r>
      <w:r w:rsidRPr="00254AB9">
        <w:t xml:space="preserve"> danych Eurostat</w:t>
      </w:r>
    </w:p>
    <w:p w14:paraId="4DEF6E4F" w14:textId="043B438F" w:rsidR="005B060B" w:rsidRPr="00254AB9" w:rsidRDefault="005B060B" w:rsidP="005B060B">
      <w:r w:rsidRPr="00254AB9">
        <w:t xml:space="preserve">Podstawowe zadania stawiane technologiom proekologicznym </w:t>
      </w:r>
      <w:r w:rsidR="00E67FB2" w:rsidRPr="00254AB9">
        <w:t xml:space="preserve">są </w:t>
      </w:r>
      <w:r w:rsidRPr="00254AB9">
        <w:t xml:space="preserve">związane </w:t>
      </w:r>
      <w:r w:rsidR="006343E1" w:rsidRPr="00254AB9">
        <w:t>z</w:t>
      </w:r>
      <w:r w:rsidR="006343E1">
        <w:t> </w:t>
      </w:r>
      <w:r w:rsidRPr="00254AB9">
        <w:t>rozwojem nowatorskich energo-</w:t>
      </w:r>
      <w:r w:rsidR="006343E1">
        <w:t xml:space="preserve"> </w:t>
      </w:r>
      <w:r w:rsidR="006343E1" w:rsidRPr="00254AB9">
        <w:t>i</w:t>
      </w:r>
      <w:r w:rsidR="006343E1">
        <w:t> </w:t>
      </w:r>
      <w:r w:rsidRPr="00254AB9">
        <w:t>materiałooszczędnych technologii wytwarzania, wykorzystujących</w:t>
      </w:r>
      <w:r w:rsidR="006343E1">
        <w:t xml:space="preserve"> </w:t>
      </w:r>
      <w:r w:rsidR="006343E1" w:rsidRPr="00254AB9">
        <w:t>w</w:t>
      </w:r>
      <w:r w:rsidR="006343E1">
        <w:t> </w:t>
      </w:r>
      <w:r w:rsidRPr="00254AB9">
        <w:t>szczególności surowce odnawialne. Prowadzone działania muszą być zgodne</w:t>
      </w:r>
      <w:r w:rsidR="006343E1">
        <w:t xml:space="preserve"> </w:t>
      </w:r>
      <w:r w:rsidR="006343E1" w:rsidRPr="00254AB9">
        <w:t>z</w:t>
      </w:r>
      <w:r w:rsidR="006343E1">
        <w:t> </w:t>
      </w:r>
      <w:r w:rsidRPr="00254AB9">
        <w:t>zasadą 3R (</w:t>
      </w:r>
      <w:r w:rsidRPr="00CB07D4">
        <w:rPr>
          <w:i/>
        </w:rPr>
        <w:t>reduce</w:t>
      </w:r>
      <w:r w:rsidRPr="00254AB9">
        <w:t xml:space="preserve"> </w:t>
      </w:r>
      <w:r w:rsidR="00E67FB2">
        <w:rPr>
          <w:rFonts w:ascii="Times New Roman" w:hAnsi="Times New Roman" w:cs="Times New Roman"/>
        </w:rPr>
        <w:t>–</w:t>
      </w:r>
      <w:r w:rsidRPr="00254AB9">
        <w:t xml:space="preserve"> </w:t>
      </w:r>
      <w:r w:rsidRPr="00CB07D4">
        <w:rPr>
          <w:i/>
        </w:rPr>
        <w:t>reuse</w:t>
      </w:r>
      <w:r w:rsidRPr="00254AB9">
        <w:t xml:space="preserve"> </w:t>
      </w:r>
      <w:r w:rsidR="00E67FB2">
        <w:rPr>
          <w:rFonts w:ascii="Times New Roman" w:hAnsi="Times New Roman" w:cs="Times New Roman"/>
        </w:rPr>
        <w:t>–</w:t>
      </w:r>
      <w:r w:rsidRPr="00254AB9">
        <w:t xml:space="preserve"> </w:t>
      </w:r>
      <w:r w:rsidRPr="00CB07D4">
        <w:rPr>
          <w:i/>
        </w:rPr>
        <w:t>recycle</w:t>
      </w:r>
      <w:r w:rsidRPr="00254AB9">
        <w:t>), mającą na celu zredukowanie ilości powstających odpadów przemysłowych,</w:t>
      </w:r>
      <w:r w:rsidR="006343E1">
        <w:t xml:space="preserve"> </w:t>
      </w:r>
      <w:r w:rsidR="006343E1" w:rsidRPr="00254AB9">
        <w:t>w</w:t>
      </w:r>
      <w:r w:rsidR="006343E1">
        <w:t> </w:t>
      </w:r>
      <w:r w:rsidRPr="00254AB9">
        <w:t>tym zabezpieczenie</w:t>
      </w:r>
      <w:r w:rsidR="006343E1">
        <w:t xml:space="preserve"> </w:t>
      </w:r>
      <w:r w:rsidR="006343E1" w:rsidRPr="00254AB9">
        <w:t>i</w:t>
      </w:r>
      <w:r w:rsidR="006343E1">
        <w:t> </w:t>
      </w:r>
      <w:r w:rsidRPr="00254AB9">
        <w:t>zagospodarowanie już powstałych,</w:t>
      </w:r>
      <w:r w:rsidR="006343E1">
        <w:t xml:space="preserve"> </w:t>
      </w:r>
      <w:r w:rsidR="006343E1" w:rsidRPr="00254AB9">
        <w:t>a</w:t>
      </w:r>
      <w:r w:rsidR="006343E1">
        <w:t> </w:t>
      </w:r>
      <w:r w:rsidRPr="00254AB9">
        <w:t>także odzysk surowców zawartych</w:t>
      </w:r>
      <w:r w:rsidR="006343E1">
        <w:t xml:space="preserve"> </w:t>
      </w:r>
      <w:r w:rsidR="006343E1" w:rsidRPr="00254AB9">
        <w:t>w</w:t>
      </w:r>
      <w:r w:rsidR="006343E1">
        <w:t> </w:t>
      </w:r>
      <w:r w:rsidRPr="00254AB9">
        <w:t xml:space="preserve">odpadach, powstałych podczas procesów wytwórczych oraz konsumpcyjnych. </w:t>
      </w:r>
      <w:r w:rsidRPr="00254AB9">
        <w:lastRenderedPageBreak/>
        <w:t>Istotne jest to</w:t>
      </w:r>
      <w:r w:rsidR="00E67FB2">
        <w:t>,</w:t>
      </w:r>
      <w:r w:rsidRPr="00254AB9">
        <w:t xml:space="preserve"> aby użytkowanie projektowanych,</w:t>
      </w:r>
      <w:r w:rsidR="006343E1">
        <w:t xml:space="preserve"> </w:t>
      </w:r>
      <w:r w:rsidR="006343E1" w:rsidRPr="00254AB9">
        <w:t>a</w:t>
      </w:r>
      <w:r w:rsidR="006343E1">
        <w:t> </w:t>
      </w:r>
      <w:r w:rsidRPr="00254AB9">
        <w:t>potem produkowanych wyrobów miało jak najmniejsze oddziaływanie na środowisko, aby produkty można było łatwo naprawiać</w:t>
      </w:r>
      <w:r w:rsidR="006343E1">
        <w:t xml:space="preserve"> </w:t>
      </w:r>
      <w:r w:rsidR="006343E1" w:rsidRPr="00254AB9">
        <w:t>i</w:t>
      </w:r>
      <w:r w:rsidR="006343E1">
        <w:t> </w:t>
      </w:r>
      <w:r w:rsidRPr="00254AB9">
        <w:t>ulepszać. Natomiast jeżeli już produkt stanie się odpad</w:t>
      </w:r>
      <w:r w:rsidR="00664BA2">
        <w:t>ami</w:t>
      </w:r>
      <w:r w:rsidRPr="00254AB9">
        <w:t xml:space="preserve">, powinien być łatwo </w:t>
      </w:r>
      <w:r>
        <w:t>poddawany odzyskowi,</w:t>
      </w:r>
      <w:r w:rsidR="006343E1">
        <w:t xml:space="preserve"> w </w:t>
      </w:r>
      <w:r>
        <w:t>szczególności recyklingowi</w:t>
      </w:r>
      <w:r w:rsidRPr="00254AB9">
        <w:t>,</w:t>
      </w:r>
      <w:r w:rsidR="006343E1">
        <w:t xml:space="preserve"> </w:t>
      </w:r>
      <w:r w:rsidR="006343E1" w:rsidRPr="00254AB9">
        <w:t>z</w:t>
      </w:r>
      <w:r w:rsidR="006343E1">
        <w:t> </w:t>
      </w:r>
      <w:r w:rsidRPr="00254AB9">
        <w:t xml:space="preserve">możliwością </w:t>
      </w:r>
      <w:r>
        <w:t>pozyskania</w:t>
      </w:r>
      <w:r w:rsidRPr="00254AB9">
        <w:t xml:space="preserve"> dobrej jakości surowców wtórnych do ponownej produkcji.</w:t>
      </w:r>
    </w:p>
    <w:p w14:paraId="7567A197" w14:textId="19648862" w:rsidR="005B060B" w:rsidRPr="00254AB9" w:rsidRDefault="005B060B" w:rsidP="005B060B">
      <w:r w:rsidRPr="00254AB9">
        <w:t>W tym kontekście warto wspomnieć</w:t>
      </w:r>
      <w:r w:rsidR="006343E1">
        <w:t xml:space="preserve"> </w:t>
      </w:r>
      <w:r w:rsidR="006343E1" w:rsidRPr="00254AB9">
        <w:t>o</w:t>
      </w:r>
      <w:r w:rsidR="006343E1">
        <w:t> </w:t>
      </w:r>
      <w:r w:rsidRPr="00254AB9">
        <w:t>p</w:t>
      </w:r>
      <w:r w:rsidRPr="00670C47">
        <w:t>olityce zielonych zamówień publicznych, polegającej na włączeniu wymagań ekologicznych do procedur związanych z udzielaniem zamówień. Jest ona jednym z najskuteczniejszych narzędzi wpływających na zmniejszenie obciążenia dla środowiska. Uwzględnianie kwestii środowiskowych w procesie przetargowym może stać się czynnikiem mobilizującym przedsiębiorców do wytwarzania towarów i usług, wykorzystujących procesy ograniczające negatywne oddziaływanie na środowisko naturalne. Celem takiego działania jest zmiana obecnych niekorzystnych wzorców produkcji i konsumpcji na sprzyjające realizacji zasad zrównoważonego rozwoju. Zielone zamówienia publiczne</w:t>
      </w:r>
      <w:r w:rsidR="00E67FB2">
        <w:t xml:space="preserve"> (ZZP)</w:t>
      </w:r>
      <w:r w:rsidRPr="00670C47">
        <w:t xml:space="preserve"> to te, w których podmioty publiczne włączają kryteria i/lub wymagania ekologiczne do procesu zakupów (procedur udzielania zamówień publicznych). ZZP są elementem polityki służącej poszukiwaniu rozwiązań minimalizujących negatywny wpływ wyrobów/usług na środowisko oraz uwzględniających cały cykl życia produktów, a poprzez to wpływają na rozwój i upowszechnienie technologii środowiskowych. </w:t>
      </w:r>
    </w:p>
    <w:p w14:paraId="23AF1658" w14:textId="77777777" w:rsidR="005B060B" w:rsidRPr="00254AB9" w:rsidRDefault="005B060B" w:rsidP="005B060B">
      <w:pPr>
        <w:pStyle w:val="Nagwek2"/>
      </w:pPr>
      <w:bookmarkStart w:id="50" w:name="_Toc511921199"/>
      <w:bookmarkStart w:id="51" w:name="_Toc517448468"/>
      <w:bookmarkStart w:id="52" w:name="_Toc31808500"/>
      <w:bookmarkStart w:id="53" w:name="_Toc106968783"/>
      <w:r w:rsidRPr="00254AB9">
        <w:t>Ekoprojektowanie (</w:t>
      </w:r>
      <w:r w:rsidRPr="00CB07D4">
        <w:rPr>
          <w:i/>
        </w:rPr>
        <w:t>ekodesign</w:t>
      </w:r>
      <w:r w:rsidRPr="00254AB9">
        <w:t>)</w:t>
      </w:r>
      <w:bookmarkEnd w:id="50"/>
      <w:bookmarkEnd w:id="51"/>
      <w:bookmarkEnd w:id="52"/>
      <w:bookmarkEnd w:id="53"/>
    </w:p>
    <w:p w14:paraId="0EF8E472" w14:textId="1CD2D405" w:rsidR="005B060B" w:rsidRPr="00254AB9" w:rsidRDefault="005B060B" w:rsidP="005B060B">
      <w:r w:rsidRPr="00254AB9">
        <w:t>Wszystkie produkty mają wpływ na środowisko naturalne</w:t>
      </w:r>
      <w:r w:rsidR="006343E1">
        <w:t xml:space="preserve"> </w:t>
      </w:r>
      <w:r w:rsidR="006343E1" w:rsidRPr="00254AB9">
        <w:t>w</w:t>
      </w:r>
      <w:r w:rsidR="006343E1">
        <w:t> </w:t>
      </w:r>
      <w:r w:rsidRPr="00254AB9">
        <w:t>czasie wszystkich etapów ich cyklu życia, tj. od wykorzystania surowców</w:t>
      </w:r>
      <w:r w:rsidR="006343E1">
        <w:t xml:space="preserve"> </w:t>
      </w:r>
      <w:r w:rsidR="006343E1" w:rsidRPr="00254AB9">
        <w:t>i</w:t>
      </w:r>
      <w:r w:rsidR="006343E1">
        <w:t> </w:t>
      </w:r>
      <w:r w:rsidRPr="00254AB9">
        <w:t xml:space="preserve">zasobów naturalnych, poprzez produkcję, pakowanie, transport, użytkowanie, </w:t>
      </w:r>
      <w:r>
        <w:t>odzysk</w:t>
      </w:r>
      <w:r w:rsidR="006343E1">
        <w:t xml:space="preserve"> i </w:t>
      </w:r>
      <w:r>
        <w:t>recykling</w:t>
      </w:r>
      <w:r w:rsidRPr="00254AB9">
        <w:t xml:space="preserve"> do ostatecznego unieszkodliwiania tych produktów. Ponad 80% wpływu na środowisko mają decyzje podejmowane już na etapie projektowania produktów. </w:t>
      </w:r>
    </w:p>
    <w:p w14:paraId="7D609EE9" w14:textId="7A98F620" w:rsidR="005B060B" w:rsidRPr="00254AB9" w:rsidRDefault="005B060B" w:rsidP="005B060B">
      <w:r w:rsidRPr="00254AB9">
        <w:t>Ekoprojektowanie polega na identyfikowaniu aspektów środowiskowych związanych</w:t>
      </w:r>
      <w:r w:rsidR="006343E1">
        <w:t xml:space="preserve"> </w:t>
      </w:r>
      <w:r w:rsidR="006343E1" w:rsidRPr="00254AB9">
        <w:t>z</w:t>
      </w:r>
      <w:r w:rsidR="006343E1">
        <w:t> </w:t>
      </w:r>
      <w:r w:rsidRPr="00254AB9">
        <w:t>produktem</w:t>
      </w:r>
      <w:r w:rsidR="006343E1">
        <w:t xml:space="preserve"> </w:t>
      </w:r>
      <w:r w:rsidR="006343E1" w:rsidRPr="00254AB9">
        <w:t>i</w:t>
      </w:r>
      <w:r w:rsidR="006343E1">
        <w:t> </w:t>
      </w:r>
      <w:r w:rsidRPr="00254AB9">
        <w:t>włączaniu ich do procesu projektowania już na wczesnym etapie rozwoju tego produktu.</w:t>
      </w:r>
      <w:r w:rsidR="006343E1">
        <w:t xml:space="preserve"> </w:t>
      </w:r>
      <w:r w:rsidR="006343E1" w:rsidRPr="00254AB9">
        <w:t>W</w:t>
      </w:r>
      <w:r w:rsidR="006343E1">
        <w:t> </w:t>
      </w:r>
      <w:r w:rsidRPr="00254AB9">
        <w:t>tradycyjnym projektowaniu kluczową rolę pełnią takie aspekty, jak: funkcja, bezpieczeństwo, ergonomika, wytrzymałość, jakość czy koszty. Ekoprojektowanie natomiast wprowadza dodatkowe kryterium, jakim jest ocena danego produktu</w:t>
      </w:r>
      <w:r w:rsidR="006343E1">
        <w:t xml:space="preserve"> </w:t>
      </w:r>
      <w:r w:rsidR="006343E1" w:rsidRPr="00254AB9">
        <w:t>z</w:t>
      </w:r>
      <w:r w:rsidR="006343E1">
        <w:t> </w:t>
      </w:r>
      <w:r w:rsidRPr="00254AB9">
        <w:t xml:space="preserve">punku widzenia jego oddziaływania na środowisko. </w:t>
      </w:r>
    </w:p>
    <w:p w14:paraId="7EBD4501" w14:textId="3DEED3CB" w:rsidR="005B060B" w:rsidRPr="00254AB9" w:rsidRDefault="005B060B" w:rsidP="005B060B">
      <w:r w:rsidRPr="00254AB9">
        <w:t xml:space="preserve">Tradycyjne podejście do projektowania koncentruje się na produkcie finalnym. Idea ekoprojektowania ujmuje natomiast jego pełny cykl życia, począwszy od fazy koncepcyjnej aż do </w:t>
      </w:r>
      <w:r>
        <w:t>unieszkodliwienia</w:t>
      </w:r>
      <w:r w:rsidRPr="00254AB9">
        <w:t xml:space="preserve"> po utracie właściwości funkcjonalnych. Kryterium minimalizacji oddziaływania wyrobu na środowisko jest tu rozważane</w:t>
      </w:r>
      <w:r w:rsidR="006343E1">
        <w:t xml:space="preserve"> </w:t>
      </w:r>
      <w:r w:rsidR="006343E1" w:rsidRPr="00254AB9">
        <w:t>w</w:t>
      </w:r>
      <w:r w:rsidR="006343E1">
        <w:t> </w:t>
      </w:r>
      <w:r w:rsidRPr="00254AB9">
        <w:t>wielu aspektach,</w:t>
      </w:r>
      <w:r w:rsidR="006343E1">
        <w:t xml:space="preserve"> </w:t>
      </w:r>
      <w:r w:rsidR="006343E1" w:rsidRPr="00254AB9">
        <w:t>z</w:t>
      </w:r>
      <w:r w:rsidR="006343E1">
        <w:t> </w:t>
      </w:r>
      <w:r w:rsidRPr="00254AB9">
        <w:t>których najważniejsze stanowią energia</w:t>
      </w:r>
      <w:r w:rsidR="006343E1">
        <w:t xml:space="preserve"> </w:t>
      </w:r>
      <w:r w:rsidR="006343E1" w:rsidRPr="00254AB9">
        <w:t>i</w:t>
      </w:r>
      <w:r w:rsidR="006343E1">
        <w:t> </w:t>
      </w:r>
      <w:r w:rsidRPr="00254AB9">
        <w:t xml:space="preserve">materiały. </w:t>
      </w:r>
    </w:p>
    <w:p w14:paraId="3E0D3B03" w14:textId="5749413E" w:rsidR="005B060B" w:rsidRPr="00254AB9" w:rsidRDefault="005B060B" w:rsidP="005B060B">
      <w:r w:rsidRPr="00254AB9">
        <w:t>W celu poprawy efektywności energetycznej oraz zmniejszenia oddziaływania na środowisko produktów,</w:t>
      </w:r>
      <w:r w:rsidR="006343E1">
        <w:t xml:space="preserve"> </w:t>
      </w:r>
      <w:r w:rsidR="006343E1" w:rsidRPr="00254AB9">
        <w:t>w</w:t>
      </w:r>
      <w:r w:rsidR="006343E1">
        <w:t> </w:t>
      </w:r>
      <w:r w:rsidRPr="00254AB9">
        <w:t>tym urządzeń do użytku domowego oraz stosowanych</w:t>
      </w:r>
      <w:r w:rsidR="006343E1">
        <w:t xml:space="preserve"> </w:t>
      </w:r>
      <w:r w:rsidR="006343E1" w:rsidRPr="00254AB9">
        <w:t>w</w:t>
      </w:r>
      <w:r w:rsidR="006343E1">
        <w:t> </w:t>
      </w:r>
      <w:r w:rsidRPr="00254AB9">
        <w:t>sektorach usług</w:t>
      </w:r>
      <w:r w:rsidR="006343E1">
        <w:t xml:space="preserve"> </w:t>
      </w:r>
      <w:r w:rsidR="006343E1" w:rsidRPr="00254AB9">
        <w:t>i</w:t>
      </w:r>
      <w:r w:rsidR="006343E1">
        <w:t> </w:t>
      </w:r>
      <w:r w:rsidRPr="00254AB9">
        <w:t>przemysłu</w:t>
      </w:r>
      <w:r w:rsidR="00E67FB2">
        <w:t>,</w:t>
      </w:r>
      <w:r w:rsidRPr="00254AB9">
        <w:t xml:space="preserve"> wydano dyrektywę ramową 2005/32/WE ustanawiającą ogólne zasady ustalania wymogów dotyczących ekoprojektu dla produktów wykorzystujących energię, którą zmieniono dyrektywą 2009/125/WE ustanawiającą ogólne zasady ustalania wymogów dotyczących ekoprojektu dla produktów związanych</w:t>
      </w:r>
      <w:r w:rsidR="006343E1">
        <w:t xml:space="preserve"> </w:t>
      </w:r>
      <w:r w:rsidR="006343E1" w:rsidRPr="00254AB9">
        <w:t>z</w:t>
      </w:r>
      <w:r w:rsidR="006343E1">
        <w:t> </w:t>
      </w:r>
      <w:r w:rsidRPr="00254AB9">
        <w:t>energią.</w:t>
      </w:r>
    </w:p>
    <w:p w14:paraId="1C9DC17A" w14:textId="62D1108E" w:rsidR="005B060B" w:rsidRPr="00254AB9" w:rsidRDefault="005B060B" w:rsidP="005B060B">
      <w:pPr>
        <w:rPr>
          <w:lang w:eastAsia="pl-PL"/>
        </w:rPr>
      </w:pPr>
      <w:r w:rsidRPr="00254AB9">
        <w:rPr>
          <w:lang w:eastAsia="pl-PL"/>
        </w:rPr>
        <w:t xml:space="preserve">Według </w:t>
      </w:r>
      <w:r w:rsidR="00E67FB2">
        <w:rPr>
          <w:lang w:eastAsia="pl-PL"/>
        </w:rPr>
        <w:t>d</w:t>
      </w:r>
      <w:r w:rsidRPr="00254AB9">
        <w:rPr>
          <w:lang w:eastAsia="pl-PL"/>
        </w:rPr>
        <w:t xml:space="preserve">yrektywy Parlamentu </w:t>
      </w:r>
      <w:r w:rsidRPr="00254AB9">
        <w:t>Europejskiego</w:t>
      </w:r>
      <w:r w:rsidR="006343E1">
        <w:t xml:space="preserve"> </w:t>
      </w:r>
      <w:r w:rsidR="006343E1" w:rsidRPr="00254AB9">
        <w:t>i</w:t>
      </w:r>
      <w:r w:rsidR="006343E1">
        <w:t> </w:t>
      </w:r>
      <w:r w:rsidRPr="00254AB9">
        <w:t>Rady 2009/125/WE</w:t>
      </w:r>
      <w:r w:rsidRPr="00254AB9">
        <w:rPr>
          <w:lang w:eastAsia="pl-PL"/>
        </w:rPr>
        <w:t xml:space="preserve"> ekoprojekt oznacza włączenie wymagań środowiskowych do projektu produktu</w:t>
      </w:r>
      <w:r w:rsidR="006343E1">
        <w:rPr>
          <w:lang w:eastAsia="pl-PL"/>
        </w:rPr>
        <w:t xml:space="preserve"> </w:t>
      </w:r>
      <w:r w:rsidR="006343E1" w:rsidRPr="00254AB9">
        <w:rPr>
          <w:lang w:eastAsia="pl-PL"/>
        </w:rPr>
        <w:t>w</w:t>
      </w:r>
      <w:r w:rsidR="006343E1">
        <w:rPr>
          <w:lang w:eastAsia="pl-PL"/>
        </w:rPr>
        <w:t> </w:t>
      </w:r>
      <w:r w:rsidRPr="00254AB9">
        <w:rPr>
          <w:lang w:eastAsia="pl-PL"/>
        </w:rPr>
        <w:t>celu poprawy wpływu tego produktu na środowisko</w:t>
      </w:r>
      <w:r w:rsidR="006343E1">
        <w:rPr>
          <w:lang w:eastAsia="pl-PL"/>
        </w:rPr>
        <w:t xml:space="preserve"> </w:t>
      </w:r>
      <w:r w:rsidR="006343E1" w:rsidRPr="00254AB9">
        <w:rPr>
          <w:lang w:eastAsia="pl-PL"/>
        </w:rPr>
        <w:t>w</w:t>
      </w:r>
      <w:r w:rsidR="006343E1">
        <w:rPr>
          <w:lang w:eastAsia="pl-PL"/>
        </w:rPr>
        <w:t> </w:t>
      </w:r>
      <w:r w:rsidRPr="00254AB9">
        <w:rPr>
          <w:lang w:eastAsia="pl-PL"/>
        </w:rPr>
        <w:t>całym jego cyklu życia. Wymaganiami ww. dyrektyw są objęci nie tylko producenci HVAC (inżynieria sanitarna), ale również zakłady produkcyjne oraz użytkownicy systemów. Dyrektywa obejmuje urządzenia, które wyprodukowano</w:t>
      </w:r>
      <w:r w:rsidR="006343E1">
        <w:rPr>
          <w:lang w:eastAsia="pl-PL"/>
        </w:rPr>
        <w:t xml:space="preserve"> </w:t>
      </w:r>
      <w:r w:rsidR="006343E1" w:rsidRPr="00254AB9">
        <w:rPr>
          <w:lang w:eastAsia="pl-PL"/>
        </w:rPr>
        <w:t>w</w:t>
      </w:r>
      <w:r w:rsidR="006343E1">
        <w:rPr>
          <w:lang w:eastAsia="pl-PL"/>
        </w:rPr>
        <w:t> </w:t>
      </w:r>
      <w:r w:rsidRPr="00254AB9">
        <w:rPr>
          <w:lang w:eastAsia="pl-PL"/>
        </w:rPr>
        <w:t>Europejskiej Strefie Ekonomicznej oraz importowane</w:t>
      </w:r>
      <w:r w:rsidR="006343E1">
        <w:rPr>
          <w:lang w:eastAsia="pl-PL"/>
        </w:rPr>
        <w:t xml:space="preserve"> </w:t>
      </w:r>
      <w:r w:rsidR="006343E1" w:rsidRPr="00254AB9">
        <w:rPr>
          <w:lang w:eastAsia="pl-PL"/>
        </w:rPr>
        <w:t>z</w:t>
      </w:r>
      <w:r w:rsidR="006343E1">
        <w:rPr>
          <w:lang w:eastAsia="pl-PL"/>
        </w:rPr>
        <w:t> </w:t>
      </w:r>
      <w:r w:rsidRPr="00254AB9">
        <w:rPr>
          <w:lang w:eastAsia="pl-PL"/>
        </w:rPr>
        <w:t xml:space="preserve">innych krajów. </w:t>
      </w:r>
    </w:p>
    <w:p w14:paraId="6B14218F" w14:textId="6A9783A4" w:rsidR="005B060B" w:rsidRPr="00254AB9" w:rsidRDefault="005B060B" w:rsidP="005B060B">
      <w:r w:rsidRPr="00254AB9">
        <w:t>Komisja Europejska opracowała rozporządzenia wykonawcze do ww. dyrektyw zawierające wymagania dotyczące poszczególnych grup urządzeń. Rozporządzenia te są bezpośrednio stosowane we wszystkich państwach członkowskich U</w:t>
      </w:r>
      <w:r w:rsidR="00E67FB2">
        <w:t xml:space="preserve">nii </w:t>
      </w:r>
      <w:r w:rsidRPr="00254AB9">
        <w:t>E</w:t>
      </w:r>
      <w:r w:rsidR="00E67FB2">
        <w:t>uropejskiej</w:t>
      </w:r>
      <w:r w:rsidRPr="00254AB9">
        <w:t xml:space="preserve"> od dnia ich wejścia</w:t>
      </w:r>
      <w:r w:rsidR="006343E1">
        <w:t xml:space="preserve"> </w:t>
      </w:r>
      <w:r w:rsidR="006343E1" w:rsidRPr="00254AB9">
        <w:t>w</w:t>
      </w:r>
      <w:r w:rsidR="006343E1">
        <w:t> </w:t>
      </w:r>
      <w:r w:rsidRPr="00254AB9">
        <w:t>życie.</w:t>
      </w:r>
    </w:p>
    <w:p w14:paraId="7E586CA6" w14:textId="14F9111E" w:rsidR="005B060B" w:rsidRPr="002647FB" w:rsidRDefault="005B060B" w:rsidP="005B060B">
      <w:r w:rsidRPr="002647FB">
        <w:t xml:space="preserve">Rozporządzenia już obowiązujące dotyczą: </w:t>
      </w:r>
      <w:r w:rsidRPr="00670C47">
        <w:t>komputerów</w:t>
      </w:r>
      <w:r w:rsidR="006343E1">
        <w:t xml:space="preserve"> </w:t>
      </w:r>
      <w:r w:rsidR="006343E1" w:rsidRPr="00670C47">
        <w:t>i</w:t>
      </w:r>
      <w:r w:rsidR="006343E1">
        <w:t> </w:t>
      </w:r>
      <w:r w:rsidRPr="00670C47">
        <w:t>serwerów</w:t>
      </w:r>
      <w:r w:rsidR="00E67FB2">
        <w:t>,</w:t>
      </w:r>
      <w:r w:rsidRPr="00670C47">
        <w:t xml:space="preserve"> kotłów na paliwa stałe</w:t>
      </w:r>
      <w:r w:rsidR="00E67FB2">
        <w:t>,</w:t>
      </w:r>
      <w:r w:rsidRPr="00670C47">
        <w:t xml:space="preserve"> lodówek</w:t>
      </w:r>
      <w:r w:rsidR="006343E1">
        <w:t xml:space="preserve"> </w:t>
      </w:r>
      <w:r w:rsidR="006343E1" w:rsidRPr="00670C47">
        <w:t>i</w:t>
      </w:r>
      <w:r w:rsidR="006343E1">
        <w:t> </w:t>
      </w:r>
      <w:r w:rsidRPr="00670C47">
        <w:t>szaf chłodniczych</w:t>
      </w:r>
      <w:r w:rsidR="00E67FB2">
        <w:t>,</w:t>
      </w:r>
      <w:r w:rsidRPr="00670C47">
        <w:t xml:space="preserve"> miejscowych ogrzewaczy pomieszczeń</w:t>
      </w:r>
      <w:r w:rsidR="00E67FB2">
        <w:t>,</w:t>
      </w:r>
      <w:r w:rsidRPr="00670C47">
        <w:t xml:space="preserve"> odkurzaczy</w:t>
      </w:r>
      <w:r w:rsidR="00E67FB2">
        <w:t>,</w:t>
      </w:r>
      <w:r w:rsidRPr="00670C47">
        <w:t xml:space="preserve"> ogrzewaczy pomieszczeń</w:t>
      </w:r>
      <w:r w:rsidR="006343E1">
        <w:t xml:space="preserve"> </w:t>
      </w:r>
      <w:r w:rsidR="006343E1" w:rsidRPr="00670C47">
        <w:t>i</w:t>
      </w:r>
      <w:r w:rsidR="006343E1">
        <w:t> </w:t>
      </w:r>
      <w:r w:rsidRPr="00670C47">
        <w:t xml:space="preserve">podgrzewaczy </w:t>
      </w:r>
      <w:r w:rsidRPr="00670C47">
        <w:lastRenderedPageBreak/>
        <w:t>wody</w:t>
      </w:r>
      <w:r w:rsidR="00E67FB2">
        <w:t>,</w:t>
      </w:r>
      <w:r w:rsidRPr="00670C47">
        <w:t xml:space="preserve"> oświetlenia</w:t>
      </w:r>
      <w:r w:rsidR="00E67FB2">
        <w:t>,</w:t>
      </w:r>
      <w:r w:rsidRPr="00670C47">
        <w:t xml:space="preserve"> piekarników, płyt grzejnych</w:t>
      </w:r>
      <w:r w:rsidR="006343E1">
        <w:t xml:space="preserve"> </w:t>
      </w:r>
      <w:r w:rsidR="006343E1" w:rsidRPr="00670C47">
        <w:t>i</w:t>
      </w:r>
      <w:r w:rsidR="006343E1">
        <w:t> </w:t>
      </w:r>
      <w:r w:rsidRPr="00670C47">
        <w:t>okapów nadkuchennych</w:t>
      </w:r>
      <w:r w:rsidR="00E67FB2">
        <w:t>,</w:t>
      </w:r>
      <w:r w:rsidRPr="00670C47">
        <w:t xml:space="preserve"> pomp</w:t>
      </w:r>
      <w:r w:rsidR="00E67FB2">
        <w:t>,</w:t>
      </w:r>
      <w:r w:rsidRPr="00670C47">
        <w:t xml:space="preserve"> pralek</w:t>
      </w:r>
      <w:r w:rsidR="00E67FB2">
        <w:t>,</w:t>
      </w:r>
      <w:r w:rsidRPr="00670C47">
        <w:t xml:space="preserve"> produktów do ogrzewania</w:t>
      </w:r>
      <w:r w:rsidR="006343E1">
        <w:t xml:space="preserve"> </w:t>
      </w:r>
      <w:r w:rsidR="006343E1" w:rsidRPr="00670C47">
        <w:t>i</w:t>
      </w:r>
      <w:r w:rsidR="006343E1">
        <w:t> </w:t>
      </w:r>
      <w:r w:rsidRPr="00670C47">
        <w:t>chłodzenia powietrznego</w:t>
      </w:r>
      <w:r w:rsidR="00E67FB2">
        <w:t>,</w:t>
      </w:r>
      <w:r w:rsidRPr="00670C47">
        <w:t xml:space="preserve"> </w:t>
      </w:r>
      <w:r w:rsidR="00E67FB2">
        <w:t>s</w:t>
      </w:r>
      <w:r w:rsidRPr="00670C47">
        <w:t>et-top boksów</w:t>
      </w:r>
      <w:r w:rsidR="00E67FB2">
        <w:t>,</w:t>
      </w:r>
      <w:r w:rsidRPr="00670C47">
        <w:t xml:space="preserve"> silników elektrycznych</w:t>
      </w:r>
      <w:r w:rsidR="00E67FB2">
        <w:t>,</w:t>
      </w:r>
      <w:r w:rsidRPr="00670C47">
        <w:t xml:space="preserve"> suszarek bębnowych</w:t>
      </w:r>
      <w:r w:rsidR="00E67FB2">
        <w:t>,</w:t>
      </w:r>
      <w:r w:rsidRPr="00670C47">
        <w:t xml:space="preserve"> telewizorów</w:t>
      </w:r>
      <w:r w:rsidR="00E67FB2">
        <w:t>,</w:t>
      </w:r>
      <w:r w:rsidRPr="00670C47">
        <w:t xml:space="preserve"> transformatorów</w:t>
      </w:r>
      <w:r w:rsidR="00E67FB2">
        <w:t>,</w:t>
      </w:r>
      <w:r w:rsidRPr="00670C47">
        <w:t xml:space="preserve"> trybów czuwania</w:t>
      </w:r>
      <w:r w:rsidR="00E67FB2">
        <w:t>,</w:t>
      </w:r>
      <w:r w:rsidRPr="00670C47">
        <w:t xml:space="preserve"> wentylatorów</w:t>
      </w:r>
      <w:r w:rsidR="006343E1">
        <w:t xml:space="preserve"> </w:t>
      </w:r>
      <w:r w:rsidR="006343E1" w:rsidRPr="00670C47">
        <w:t>i</w:t>
      </w:r>
      <w:r w:rsidR="006343E1">
        <w:t> </w:t>
      </w:r>
      <w:r w:rsidRPr="00670C47">
        <w:t>klimatyzatorów oraz systemów wentylacyjnych</w:t>
      </w:r>
      <w:r w:rsidR="00E67FB2">
        <w:t>,</w:t>
      </w:r>
      <w:r w:rsidRPr="00670C47">
        <w:t xml:space="preserve"> zasilaczy</w:t>
      </w:r>
      <w:r w:rsidR="00E67FB2">
        <w:t>,</w:t>
      </w:r>
      <w:r w:rsidRPr="00670C47">
        <w:t xml:space="preserve"> zmywarek</w:t>
      </w:r>
      <w:r w:rsidR="00E67FB2">
        <w:t>,</w:t>
      </w:r>
      <w:r w:rsidRPr="00670C47">
        <w:t xml:space="preserve"> </w:t>
      </w:r>
      <w:r w:rsidRPr="002647FB">
        <w:t>dopuszczalnego odchylenia</w:t>
      </w:r>
      <w:r w:rsidR="006343E1">
        <w:t xml:space="preserve"> </w:t>
      </w:r>
      <w:r w:rsidR="006343E1" w:rsidRPr="002647FB">
        <w:t>w</w:t>
      </w:r>
      <w:r w:rsidR="006343E1">
        <w:t> </w:t>
      </w:r>
      <w:r w:rsidRPr="002647FB">
        <w:t>procedurach weryfikacji.</w:t>
      </w:r>
    </w:p>
    <w:p w14:paraId="214D0655" w14:textId="22E4A63F" w:rsidR="005B060B" w:rsidRPr="00254AB9" w:rsidRDefault="005B060B" w:rsidP="005B060B">
      <w:r w:rsidRPr="00254AB9">
        <w:t>Ekoprojektowanie można wykorzystywać</w:t>
      </w:r>
      <w:r w:rsidR="006343E1">
        <w:t xml:space="preserve"> </w:t>
      </w:r>
      <w:r w:rsidR="006343E1" w:rsidRPr="00254AB9">
        <w:t>w</w:t>
      </w:r>
      <w:r w:rsidR="006343E1">
        <w:t> </w:t>
      </w:r>
      <w:r w:rsidRPr="00254AB9">
        <w:t>projektowaniu nowych, jak również</w:t>
      </w:r>
      <w:r w:rsidR="006343E1">
        <w:t xml:space="preserve"> </w:t>
      </w:r>
      <w:r w:rsidR="006343E1" w:rsidRPr="00254AB9">
        <w:t>w</w:t>
      </w:r>
      <w:r w:rsidR="006343E1">
        <w:t> </w:t>
      </w:r>
      <w:r w:rsidRPr="00254AB9">
        <w:t>doskonaleniu istniejących już produktów, usług czy procesów. Aspekty środowiskowe powinny być analizowane</w:t>
      </w:r>
      <w:r w:rsidR="006343E1">
        <w:t xml:space="preserve"> </w:t>
      </w:r>
      <w:r w:rsidR="006343E1" w:rsidRPr="00254AB9">
        <w:t>i</w:t>
      </w:r>
      <w:r w:rsidR="006343E1">
        <w:t> </w:t>
      </w:r>
      <w:r w:rsidRPr="00254AB9">
        <w:t>włączane do projektowania</w:t>
      </w:r>
      <w:r w:rsidR="006343E1">
        <w:t xml:space="preserve"> </w:t>
      </w:r>
      <w:r w:rsidR="006343E1" w:rsidRPr="00254AB9">
        <w:t>i</w:t>
      </w:r>
      <w:r w:rsidR="006343E1">
        <w:t> </w:t>
      </w:r>
      <w:r w:rsidRPr="00254AB9">
        <w:t xml:space="preserve">rozwoju produktu. </w:t>
      </w:r>
      <w:r w:rsidR="004B406D" w:rsidRPr="00C14918">
        <w:rPr>
          <w:szCs w:val="20"/>
        </w:rPr>
        <w:t xml:space="preserve">Celem podejmowanych działań jest obniżenie negatywnego oddziaływania na środowisko na każdym etapie cyklu życia – począwszy od wydobycia pierwotnych surowców, poprzez produkcję, transport, użytkowanie, aż do końcowego </w:t>
      </w:r>
      <w:r w:rsidR="004B406D" w:rsidRPr="004B406D">
        <w:rPr>
          <w:szCs w:val="20"/>
        </w:rPr>
        <w:t>zagospodarowania – przygotowania do ponownego użycia, recyklingu lub innego procesu odzysku a w ostateczności, przy braku innych możliwości – unieszkodliwiania</w:t>
      </w:r>
      <w:r w:rsidRPr="00254AB9">
        <w:t>.</w:t>
      </w:r>
      <w:r w:rsidR="006343E1">
        <w:t xml:space="preserve"> </w:t>
      </w:r>
      <w:r w:rsidR="006343E1" w:rsidRPr="00254AB9">
        <w:t>W</w:t>
      </w:r>
      <w:r w:rsidR="006343E1">
        <w:t> </w:t>
      </w:r>
      <w:r w:rsidRPr="00254AB9">
        <w:t>związku</w:t>
      </w:r>
      <w:r w:rsidR="006343E1">
        <w:t xml:space="preserve"> </w:t>
      </w:r>
      <w:r w:rsidR="006343E1" w:rsidRPr="00254AB9">
        <w:t>z</w:t>
      </w:r>
      <w:r w:rsidR="006343E1">
        <w:t> </w:t>
      </w:r>
      <w:r w:rsidRPr="00254AB9">
        <w:t>czym, koncepcja ta może zostać wykorzystana</w:t>
      </w:r>
      <w:r w:rsidR="006343E1">
        <w:t xml:space="preserve"> </w:t>
      </w:r>
      <w:r w:rsidR="006343E1" w:rsidRPr="00254AB9">
        <w:t>w</w:t>
      </w:r>
      <w:r w:rsidR="006343E1">
        <w:t> </w:t>
      </w:r>
      <w:r w:rsidRPr="00254AB9">
        <w:t>każdej branży. Kryteria środowiskowe powinny zostać włączone zarówno na etapie wyboru surowców</w:t>
      </w:r>
      <w:r w:rsidR="006343E1">
        <w:t xml:space="preserve"> </w:t>
      </w:r>
      <w:r w:rsidR="006343E1" w:rsidRPr="00254AB9">
        <w:t>i</w:t>
      </w:r>
      <w:r w:rsidR="006343E1">
        <w:t> </w:t>
      </w:r>
      <w:r w:rsidRPr="00254AB9">
        <w:t>materiałów wykorzystywanych do produkcji, jak również samych procesów wytwarzania (zrównoważona produkcja). Produkty należy zaprojektować</w:t>
      </w:r>
      <w:r w:rsidR="006343E1">
        <w:t xml:space="preserve"> </w:t>
      </w:r>
      <w:r w:rsidR="006343E1" w:rsidRPr="00254AB9">
        <w:t>w</w:t>
      </w:r>
      <w:r w:rsidR="006343E1">
        <w:t> </w:t>
      </w:r>
      <w:r w:rsidRPr="00254AB9">
        <w:t xml:space="preserve">taki sposób, aby nadawały się do </w:t>
      </w:r>
      <w:r>
        <w:t xml:space="preserve">odzysku lub </w:t>
      </w:r>
      <w:r w:rsidRPr="00254AB9">
        <w:t>recyklingu, dzięki czemu łatwiejsze</w:t>
      </w:r>
      <w:r w:rsidR="006343E1">
        <w:t xml:space="preserve"> </w:t>
      </w:r>
      <w:r w:rsidR="006343E1" w:rsidRPr="00254AB9">
        <w:t>i</w:t>
      </w:r>
      <w:r w:rsidR="006343E1">
        <w:t> </w:t>
      </w:r>
      <w:r w:rsidRPr="00254AB9">
        <w:t>mniej kosztowne staje się gospodarowanie odpadami.</w:t>
      </w:r>
    </w:p>
    <w:p w14:paraId="48CBDC88" w14:textId="38CA8B04" w:rsidR="00FD62DE" w:rsidRPr="00FD62DE" w:rsidRDefault="00FD62DE" w:rsidP="00FD62DE">
      <w:r w:rsidRPr="00FD62DE">
        <w:t>Rozwojowi ekoprojektowania sprzyja wprowadzenie wielu rozwiązań w sferze legislacyjnej i organizacyjno</w:t>
      </w:r>
      <w:r w:rsidR="00E67FB2">
        <w:t>-</w:t>
      </w:r>
      <w:r w:rsidR="00E44B3A">
        <w:br/>
        <w:t>-</w:t>
      </w:r>
      <w:r w:rsidRPr="00FD62DE">
        <w:t xml:space="preserve">technicznej. Do najbardziej istotnych należy zaliczyć: </w:t>
      </w:r>
    </w:p>
    <w:p w14:paraId="4FD82F1D" w14:textId="3B21F26C" w:rsidR="00FD62DE" w:rsidRPr="00FD62DE" w:rsidRDefault="00FD62DE" w:rsidP="00CB07D4">
      <w:pPr>
        <w:ind w:left="142" w:hanging="142"/>
      </w:pPr>
      <w:r w:rsidRPr="00FD62DE">
        <w:t>1) system ekozarządzania i audytu (EMAS)</w:t>
      </w:r>
      <w:r w:rsidR="00560F04">
        <w:t>;</w:t>
      </w:r>
      <w:r w:rsidRPr="00FD62DE">
        <w:t xml:space="preserve"> </w:t>
      </w:r>
      <w:r w:rsidR="00560F04">
        <w:t>o</w:t>
      </w:r>
      <w:r w:rsidRPr="00FD62DE">
        <w:t>rganizacja (przedsiębiorstwo prowadzące działalność produkcyjną lub usługową, organ administracji publicznej i samorządowej, instytucja pożytku publicznego), która chce zarejestrować się w systemie EMAS musi wdrożyć system zarządzania środowiskowego zgodnie z wymogami rozporządzenia EMAS (Parlamentu Europejskiego i Rady (WE) nr 1221/2009 w sprawie dobrowolnego udziału organizacji w systemie ekozarządzania i audytu we Wspólnocie (EMAS))</w:t>
      </w:r>
      <w:r w:rsidR="00560F04">
        <w:t>;</w:t>
      </w:r>
      <w:r w:rsidRPr="00FD62DE">
        <w:t xml:space="preserve"> </w:t>
      </w:r>
      <w:r w:rsidR="00560F04">
        <w:t>s</w:t>
      </w:r>
      <w:r w:rsidRPr="00FD62DE">
        <w:t xml:space="preserve">ystem zarządzania środowiskowego jest narzędziem umożliwiającym organizacji: </w:t>
      </w:r>
    </w:p>
    <w:p w14:paraId="33943FFB" w14:textId="2DDF936D" w:rsidR="00FD62DE" w:rsidRPr="00FD62DE" w:rsidRDefault="00FD62DE" w:rsidP="00FD62DE">
      <w:pPr>
        <w:pStyle w:val="Akapitzlist"/>
        <w:numPr>
          <w:ilvl w:val="0"/>
          <w:numId w:val="25"/>
        </w:numPr>
      </w:pPr>
      <w:r w:rsidRPr="00FD62DE">
        <w:t>identyfikowanie i nadzorowanie wpływu działań, wyrobów i usług organizacji na środowisko</w:t>
      </w:r>
      <w:r w:rsidR="00560F04">
        <w:t>,</w:t>
      </w:r>
      <w:r w:rsidRPr="00FD62DE">
        <w:t xml:space="preserve"> </w:t>
      </w:r>
    </w:p>
    <w:p w14:paraId="59674EDB" w14:textId="26751266" w:rsidR="00FD62DE" w:rsidRPr="00FD62DE" w:rsidRDefault="00FD62DE" w:rsidP="00FD62DE">
      <w:pPr>
        <w:pStyle w:val="Akapitzlist"/>
        <w:numPr>
          <w:ilvl w:val="0"/>
          <w:numId w:val="25"/>
        </w:numPr>
      </w:pPr>
      <w:r w:rsidRPr="00FD62DE">
        <w:t>doskonalenie środowiskowych efektów działalności</w:t>
      </w:r>
      <w:r w:rsidR="00560F04">
        <w:t>,</w:t>
      </w:r>
    </w:p>
    <w:p w14:paraId="6B491D1E" w14:textId="6F046E7C" w:rsidR="00FD62DE" w:rsidRPr="00FD62DE" w:rsidRDefault="00FD62DE" w:rsidP="00FD62DE">
      <w:pPr>
        <w:pStyle w:val="Akapitzlist"/>
        <w:numPr>
          <w:ilvl w:val="0"/>
          <w:numId w:val="25"/>
        </w:numPr>
      </w:pPr>
      <w:r w:rsidRPr="00FD62DE">
        <w:t>wdrożenie systematycznego podejścia do ustalania  celów środowiskowych, ich osiągnięcia i wykazania, że zostały osiągnięte;</w:t>
      </w:r>
    </w:p>
    <w:p w14:paraId="630DFF81" w14:textId="4D998EE4" w:rsidR="00FD62DE" w:rsidRPr="00FD62DE" w:rsidRDefault="00FD62DE" w:rsidP="00CB07D4">
      <w:pPr>
        <w:ind w:left="284" w:hanging="284"/>
      </w:pPr>
      <w:r w:rsidRPr="00FD62DE">
        <w:t>2) ekologiczne projektowanie cyklu życia wyrobu ELCD (</w:t>
      </w:r>
      <w:r w:rsidR="00560F04">
        <w:rPr>
          <w:i/>
        </w:rPr>
        <w:t>e</w:t>
      </w:r>
      <w:r w:rsidRPr="00CB07D4">
        <w:rPr>
          <w:i/>
        </w:rPr>
        <w:t xml:space="preserve">nvironmental </w:t>
      </w:r>
      <w:r w:rsidR="00560F04">
        <w:rPr>
          <w:i/>
        </w:rPr>
        <w:t>l</w:t>
      </w:r>
      <w:r w:rsidRPr="00CB07D4">
        <w:rPr>
          <w:i/>
        </w:rPr>
        <w:t xml:space="preserve">ife </w:t>
      </w:r>
      <w:r w:rsidR="00560F04">
        <w:rPr>
          <w:i/>
        </w:rPr>
        <w:t>c</w:t>
      </w:r>
      <w:r w:rsidRPr="00CB07D4">
        <w:rPr>
          <w:i/>
        </w:rPr>
        <w:t xml:space="preserve">ycle </w:t>
      </w:r>
      <w:r w:rsidR="00560F04">
        <w:rPr>
          <w:i/>
        </w:rPr>
        <w:t>d</w:t>
      </w:r>
      <w:r w:rsidRPr="00CB07D4">
        <w:rPr>
          <w:i/>
        </w:rPr>
        <w:t>esign</w:t>
      </w:r>
      <w:r w:rsidRPr="00FD62DE">
        <w:t>). ELCD prezentuje kompleksowe podejście do problemu projektowania, uwzględniające pełny cykl życia wyrobu, na podstawie rozszerzonego zakresu pojęciowego definiowania jakości</w:t>
      </w:r>
      <w:r w:rsidR="00560F04">
        <w:t>;</w:t>
      </w:r>
    </w:p>
    <w:p w14:paraId="1AB8A35F" w14:textId="76F6AB26" w:rsidR="00FD62DE" w:rsidRPr="00FD62DE" w:rsidRDefault="00FD62DE" w:rsidP="00CB07D4">
      <w:pPr>
        <w:ind w:left="284" w:hanging="284"/>
      </w:pPr>
      <w:r w:rsidRPr="00FD62DE">
        <w:t xml:space="preserve">3) </w:t>
      </w:r>
      <w:r w:rsidR="00560F04">
        <w:t xml:space="preserve"> </w:t>
      </w:r>
      <w:r w:rsidRPr="00FD62DE">
        <w:t>pakiet norm serii ISO</w:t>
      </w:r>
      <w:r>
        <w:t xml:space="preserve"> </w:t>
      </w:r>
      <w:r w:rsidRPr="00FD62DE">
        <w:t>14000</w:t>
      </w:r>
      <w:r w:rsidR="00560F04">
        <w:t>;</w:t>
      </w:r>
      <w:r w:rsidRPr="00FD62DE">
        <w:t xml:space="preserve"> </w:t>
      </w:r>
      <w:r w:rsidR="00560F04">
        <w:t>n</w:t>
      </w:r>
      <w:r w:rsidRPr="00FD62DE">
        <w:t>ormy serii ISO 14000 prezentują strategiczne podejście do spraw środowiskowych i obejmują wszystkie zagadnienia istotne z punktu widzenia zarządzania środowiskowego</w:t>
      </w:r>
      <w:r w:rsidR="00560F04">
        <w:t>;</w:t>
      </w:r>
      <w:r w:rsidRPr="00FD62DE">
        <w:t xml:space="preserve"> </w:t>
      </w:r>
      <w:r w:rsidR="00560F04">
        <w:t>s</w:t>
      </w:r>
      <w:r w:rsidRPr="00FD62DE">
        <w:t>eria norm ISO</w:t>
      </w:r>
      <w:r w:rsidR="00560F04">
        <w:t> </w:t>
      </w:r>
      <w:r w:rsidRPr="00FD62DE">
        <w:t>14000 oprócz norm dotyczących systemów zarządzania środowiskowego</w:t>
      </w:r>
      <w:r>
        <w:t xml:space="preserve"> </w:t>
      </w:r>
      <w:r w:rsidRPr="00FD62DE">
        <w:t xml:space="preserve">obejmuje dokumenty m.in. z zakresu: </w:t>
      </w:r>
    </w:p>
    <w:p w14:paraId="386045B5" w14:textId="1E627A8B" w:rsidR="00FD62DE" w:rsidRPr="00FD62DE" w:rsidRDefault="00FD62DE" w:rsidP="00FD62DE">
      <w:pPr>
        <w:pStyle w:val="Akapitzlist"/>
        <w:numPr>
          <w:ilvl w:val="0"/>
          <w:numId w:val="24"/>
        </w:numPr>
      </w:pPr>
      <w:r w:rsidRPr="00FD62DE">
        <w:t>etykietowania środowiskowego,</w:t>
      </w:r>
    </w:p>
    <w:p w14:paraId="605F148F" w14:textId="24C67574" w:rsidR="00FD62DE" w:rsidRPr="00FD62DE" w:rsidRDefault="00FD62DE" w:rsidP="00FD62DE">
      <w:pPr>
        <w:pStyle w:val="Akapitzlist"/>
        <w:numPr>
          <w:ilvl w:val="0"/>
          <w:numId w:val="24"/>
        </w:numPr>
      </w:pPr>
      <w:r w:rsidRPr="00FD62DE">
        <w:t>oceny cyklu życia,</w:t>
      </w:r>
    </w:p>
    <w:p w14:paraId="3AA489B1" w14:textId="6AC7A262" w:rsidR="00FD62DE" w:rsidRPr="00FD62DE" w:rsidRDefault="00FD62DE" w:rsidP="00FD62DE">
      <w:pPr>
        <w:pStyle w:val="Akapitzlist"/>
        <w:numPr>
          <w:ilvl w:val="0"/>
          <w:numId w:val="24"/>
        </w:numPr>
      </w:pPr>
      <w:r w:rsidRPr="00FD62DE">
        <w:t>aspektów środowiskowych w projektowaniu i rozwoju wyrobów,</w:t>
      </w:r>
    </w:p>
    <w:p w14:paraId="554319AD" w14:textId="3F41186D" w:rsidR="00FD62DE" w:rsidRPr="00FD62DE" w:rsidRDefault="00FD62DE" w:rsidP="00FD62DE">
      <w:pPr>
        <w:pStyle w:val="Akapitzlist"/>
        <w:numPr>
          <w:ilvl w:val="0"/>
          <w:numId w:val="24"/>
        </w:numPr>
      </w:pPr>
      <w:r w:rsidRPr="00FD62DE">
        <w:t>komunikacji środowiskowej,</w:t>
      </w:r>
    </w:p>
    <w:p w14:paraId="0A3CDB8A" w14:textId="217E4DDB" w:rsidR="00FD62DE" w:rsidRPr="00FD62DE" w:rsidRDefault="00FD62DE" w:rsidP="00FD62DE">
      <w:pPr>
        <w:pStyle w:val="Akapitzlist"/>
        <w:numPr>
          <w:ilvl w:val="0"/>
          <w:numId w:val="24"/>
        </w:numPr>
      </w:pPr>
      <w:r w:rsidRPr="00FD62DE">
        <w:t>gazów cieplarnianych i zagadnień związanych ze zmianami klimatu,</w:t>
      </w:r>
    </w:p>
    <w:p w14:paraId="5BBF00DE" w14:textId="7393DEA6" w:rsidR="00FD62DE" w:rsidRPr="00FD62DE" w:rsidRDefault="00FD62DE" w:rsidP="00FD62DE">
      <w:pPr>
        <w:pStyle w:val="Akapitzlist"/>
        <w:numPr>
          <w:ilvl w:val="0"/>
          <w:numId w:val="24"/>
        </w:numPr>
      </w:pPr>
      <w:r w:rsidRPr="00FD62DE">
        <w:t>śladu wodnego i węglowego,</w:t>
      </w:r>
    </w:p>
    <w:p w14:paraId="49912648" w14:textId="49871437" w:rsidR="00FD62DE" w:rsidRPr="00FD62DE" w:rsidRDefault="00FD62DE" w:rsidP="00FD62DE">
      <w:pPr>
        <w:pStyle w:val="Akapitzlist"/>
        <w:numPr>
          <w:ilvl w:val="0"/>
          <w:numId w:val="24"/>
        </w:numPr>
      </w:pPr>
      <w:r w:rsidRPr="00FD62DE">
        <w:t>kosztów środowiskowych.</w:t>
      </w:r>
    </w:p>
    <w:p w14:paraId="79DC1120" w14:textId="3D0216C8" w:rsidR="00FD62DE" w:rsidRPr="00FD62DE" w:rsidRDefault="00FD62DE" w:rsidP="00FD62DE">
      <w:r w:rsidRPr="00FD62DE">
        <w:t>W zestawieniu liczby organizacji zarejestrowanych w systemie EMAS w U</w:t>
      </w:r>
      <w:r w:rsidR="00560F04">
        <w:t xml:space="preserve">nii </w:t>
      </w:r>
      <w:r w:rsidRPr="00FD62DE">
        <w:t>E</w:t>
      </w:r>
      <w:r w:rsidR="00560F04">
        <w:t>uropejskiej</w:t>
      </w:r>
      <w:r w:rsidRPr="00FD62DE">
        <w:t xml:space="preserve"> Polska zajmuje 6</w:t>
      </w:r>
      <w:r w:rsidR="00A732F3">
        <w:t>.</w:t>
      </w:r>
      <w:r w:rsidRPr="00FD62DE">
        <w:t xml:space="preserve"> miejsce wśród wszystkich państw członkowskich. Nie ma natomiast ogólnoeuropejskiego rejestru organizacji </w:t>
      </w:r>
      <w:r w:rsidR="00560F04">
        <w:t xml:space="preserve">mających </w:t>
      </w:r>
      <w:r w:rsidR="00A732F3">
        <w:t>standardy zarządzania środowiskowego</w:t>
      </w:r>
      <w:r w:rsidRPr="00FD62DE">
        <w:t xml:space="preserve"> opart</w:t>
      </w:r>
      <w:r w:rsidR="00A732F3">
        <w:t>e</w:t>
      </w:r>
      <w:r w:rsidRPr="00FD62DE">
        <w:t xml:space="preserve"> </w:t>
      </w:r>
      <w:r w:rsidR="00560F04">
        <w:t>na</w:t>
      </w:r>
      <w:r w:rsidRPr="00FD62DE">
        <w:t xml:space="preserve"> norm</w:t>
      </w:r>
      <w:r w:rsidR="00560F04">
        <w:t>ie</w:t>
      </w:r>
      <w:r w:rsidRPr="00FD62DE">
        <w:t xml:space="preserve"> ISO14001, stąd też liczba organizacji zarejestrowanych w systemie EMAS nie jest miarodajnym wskaźnikiem stopnia odpowiedzialności organizacji za stan</w:t>
      </w:r>
      <w:r w:rsidR="00560F04">
        <w:t xml:space="preserve"> </w:t>
      </w:r>
      <w:r w:rsidRPr="00FD62DE">
        <w:t>środowiska.</w:t>
      </w:r>
    </w:p>
    <w:p w14:paraId="35900B98" w14:textId="722111D9" w:rsidR="00560F04" w:rsidRPr="00A732F3" w:rsidRDefault="00FD62DE" w:rsidP="00A732F3">
      <w:r w:rsidRPr="00A732F3">
        <w:lastRenderedPageBreak/>
        <w:t>Należy zauważyć, że istniejące sformalizowane systemy zarządzania środowiskowego są instrumentami dobrowolnymi. Aby zachęcić organizacje do ich wdrażania (co wiąże się dla nich z kosztami weryfikacji i</w:t>
      </w:r>
      <w:r w:rsidR="0053714B" w:rsidRPr="00A732F3">
        <w:t> </w:t>
      </w:r>
      <w:r w:rsidRPr="00A732F3">
        <w:t>ew</w:t>
      </w:r>
      <w:r w:rsidR="00560F04" w:rsidRPr="00A732F3">
        <w:t>entualnych</w:t>
      </w:r>
      <w:r w:rsidRPr="00A732F3">
        <w:t xml:space="preserve"> konsultacji), </w:t>
      </w:r>
      <w:r w:rsidR="00560F04" w:rsidRPr="00A732F3">
        <w:t xml:space="preserve">są </w:t>
      </w:r>
      <w:r w:rsidRPr="00A732F3">
        <w:t>potrzebne ulgi regulacyjne i stosowne uregulowania prawne</w:t>
      </w:r>
      <w:r w:rsidR="00560F04" w:rsidRPr="00A732F3">
        <w:t xml:space="preserve">. </w:t>
      </w:r>
    </w:p>
    <w:p w14:paraId="70240802" w14:textId="7109B2BD" w:rsidR="005B060B" w:rsidRPr="00254AB9" w:rsidRDefault="005B060B" w:rsidP="005B060B">
      <w:pPr>
        <w:pStyle w:val="Nagwek2"/>
      </w:pPr>
      <w:bookmarkStart w:id="54" w:name="_Toc106968784"/>
      <w:r w:rsidRPr="00254AB9">
        <w:t>Dostęp</w:t>
      </w:r>
      <w:bookmarkStart w:id="55" w:name="_Toc511921200"/>
      <w:bookmarkStart w:id="56" w:name="_Toc517448469"/>
      <w:bookmarkStart w:id="57" w:name="_Toc31808501"/>
      <w:r w:rsidRPr="00254AB9">
        <w:t xml:space="preserve"> do surowców</w:t>
      </w:r>
      <w:bookmarkEnd w:id="55"/>
      <w:r w:rsidRPr="00254AB9">
        <w:t xml:space="preserve"> dla gospodarki</w:t>
      </w:r>
      <w:bookmarkEnd w:id="54"/>
      <w:bookmarkEnd w:id="56"/>
      <w:bookmarkEnd w:id="57"/>
    </w:p>
    <w:p w14:paraId="31542DD0" w14:textId="1E2EDAD3" w:rsidR="005B060B" w:rsidRPr="00254AB9" w:rsidRDefault="005B060B" w:rsidP="005B060B">
      <w:pPr>
        <w:rPr>
          <w:lang w:eastAsia="pl-PL"/>
        </w:rPr>
      </w:pPr>
      <w:r w:rsidRPr="00254AB9">
        <w:t>Surowce mineralne są jednym</w:t>
      </w:r>
      <w:r w:rsidR="006343E1">
        <w:t xml:space="preserve"> </w:t>
      </w:r>
      <w:r w:rsidR="006343E1" w:rsidRPr="00254AB9">
        <w:t>z</w:t>
      </w:r>
      <w:r w:rsidR="006343E1">
        <w:t> </w:t>
      </w:r>
      <w:r w:rsidRPr="00254AB9">
        <w:t>podstawowych czynników produkcji</w:t>
      </w:r>
      <w:r w:rsidR="006343E1">
        <w:t xml:space="preserve"> </w:t>
      </w:r>
      <w:r w:rsidR="006343E1" w:rsidRPr="00254AB9">
        <w:t>w</w:t>
      </w:r>
      <w:r w:rsidR="006343E1">
        <w:t> </w:t>
      </w:r>
      <w:r w:rsidRPr="00254AB9">
        <w:t xml:space="preserve">gospodarce. </w:t>
      </w:r>
      <w:r w:rsidRPr="00254AB9">
        <w:rPr>
          <w:lang w:eastAsia="pl-PL"/>
        </w:rPr>
        <w:t>Rozwój elektromobilności, magazynowania energii oraz elektronicznych urządzeń mobilnych wymaga dużych ilości minerałów ziem rzadkich. Przykładowo, niezbędnym materiałem do wysokowydajnych akumulatorów energii jest kobalt. Jest on również używany do produkcji stopów stosowanych</w:t>
      </w:r>
      <w:r w:rsidR="006343E1">
        <w:rPr>
          <w:lang w:eastAsia="pl-PL"/>
        </w:rPr>
        <w:t xml:space="preserve"> </w:t>
      </w:r>
      <w:r w:rsidR="006343E1" w:rsidRPr="00254AB9">
        <w:rPr>
          <w:lang w:eastAsia="pl-PL"/>
        </w:rPr>
        <w:t>w</w:t>
      </w:r>
      <w:r w:rsidR="006343E1">
        <w:rPr>
          <w:lang w:eastAsia="pl-PL"/>
        </w:rPr>
        <w:t> </w:t>
      </w:r>
      <w:r w:rsidRPr="00254AB9">
        <w:rPr>
          <w:lang w:eastAsia="pl-PL"/>
        </w:rPr>
        <w:t>silnikach lotniczych. Jednak prawie wszystkie środki finansowe na nowe kopalnie kobaltu pochodzą od chińskich inwestorów</w:t>
      </w:r>
      <w:r w:rsidR="006343E1">
        <w:rPr>
          <w:lang w:eastAsia="pl-PL"/>
        </w:rPr>
        <w:t xml:space="preserve"> </w:t>
      </w:r>
      <w:r w:rsidR="006343E1" w:rsidRPr="00254AB9">
        <w:rPr>
          <w:lang w:eastAsia="pl-PL"/>
        </w:rPr>
        <w:t>i</w:t>
      </w:r>
      <w:r w:rsidR="006343E1">
        <w:rPr>
          <w:lang w:eastAsia="pl-PL"/>
        </w:rPr>
        <w:t> </w:t>
      </w:r>
      <w:r w:rsidRPr="00254AB9">
        <w:rPr>
          <w:lang w:eastAsia="pl-PL"/>
        </w:rPr>
        <w:t>kredytodawców. Tylko niewielka część dostaw kobaltu jest produktem ubocznym</w:t>
      </w:r>
      <w:r w:rsidR="006343E1">
        <w:rPr>
          <w:lang w:eastAsia="pl-PL"/>
        </w:rPr>
        <w:t xml:space="preserve"> </w:t>
      </w:r>
      <w:r w:rsidR="006343E1" w:rsidRPr="00254AB9">
        <w:rPr>
          <w:lang w:eastAsia="pl-PL"/>
        </w:rPr>
        <w:t>z</w:t>
      </w:r>
      <w:r w:rsidR="006343E1">
        <w:rPr>
          <w:lang w:eastAsia="pl-PL"/>
        </w:rPr>
        <w:t> </w:t>
      </w:r>
      <w:r w:rsidRPr="00254AB9">
        <w:rPr>
          <w:lang w:eastAsia="pl-PL"/>
        </w:rPr>
        <w:t>kopalni niklu</w:t>
      </w:r>
      <w:r w:rsidR="006343E1">
        <w:rPr>
          <w:lang w:eastAsia="pl-PL"/>
        </w:rPr>
        <w:t xml:space="preserve"> </w:t>
      </w:r>
      <w:r w:rsidR="006343E1" w:rsidRPr="00254AB9">
        <w:rPr>
          <w:lang w:eastAsia="pl-PL"/>
        </w:rPr>
        <w:t>i</w:t>
      </w:r>
      <w:r w:rsidR="006343E1">
        <w:rPr>
          <w:lang w:eastAsia="pl-PL"/>
        </w:rPr>
        <w:t> </w:t>
      </w:r>
      <w:r w:rsidRPr="00254AB9">
        <w:rPr>
          <w:lang w:eastAsia="pl-PL"/>
        </w:rPr>
        <w:t>miedzi rozsianych po całym świecie.</w:t>
      </w:r>
    </w:p>
    <w:p w14:paraId="056E4C6C" w14:textId="22147971" w:rsidR="005B060B" w:rsidRPr="00254AB9" w:rsidRDefault="005B060B" w:rsidP="005B060B">
      <w:pPr>
        <w:rPr>
          <w:lang w:eastAsia="pl-PL"/>
        </w:rPr>
      </w:pPr>
      <w:r w:rsidRPr="00254AB9">
        <w:rPr>
          <w:lang w:eastAsia="pl-PL"/>
        </w:rPr>
        <w:t>Generalnie wzrost zielonych</w:t>
      </w:r>
      <w:r w:rsidR="006343E1">
        <w:rPr>
          <w:lang w:eastAsia="pl-PL"/>
        </w:rPr>
        <w:t xml:space="preserve"> </w:t>
      </w:r>
      <w:r w:rsidR="006343E1" w:rsidRPr="00254AB9">
        <w:rPr>
          <w:lang w:eastAsia="pl-PL"/>
        </w:rPr>
        <w:t>i</w:t>
      </w:r>
      <w:r w:rsidR="006343E1">
        <w:rPr>
          <w:lang w:eastAsia="pl-PL"/>
        </w:rPr>
        <w:t> </w:t>
      </w:r>
      <w:r w:rsidRPr="00254AB9">
        <w:rPr>
          <w:lang w:eastAsia="pl-PL"/>
        </w:rPr>
        <w:t>niskoemisyjnych technologii energetycznych prowadzi do znacznego wzrostu zapotrzebowania na takie minerały</w:t>
      </w:r>
      <w:r w:rsidR="006343E1">
        <w:rPr>
          <w:lang w:eastAsia="pl-PL"/>
        </w:rPr>
        <w:t xml:space="preserve"> </w:t>
      </w:r>
      <w:r w:rsidR="006343E1" w:rsidRPr="00254AB9">
        <w:rPr>
          <w:lang w:eastAsia="pl-PL"/>
        </w:rPr>
        <w:t>i</w:t>
      </w:r>
      <w:r w:rsidR="006343E1">
        <w:rPr>
          <w:lang w:eastAsia="pl-PL"/>
        </w:rPr>
        <w:t> </w:t>
      </w:r>
      <w:r w:rsidRPr="00254AB9">
        <w:rPr>
          <w:lang w:eastAsia="pl-PL"/>
        </w:rPr>
        <w:t>metale</w:t>
      </w:r>
      <w:r w:rsidR="00F24991" w:rsidRPr="0053714B">
        <w:rPr>
          <w:lang w:eastAsia="pl-PL"/>
        </w:rPr>
        <w:t>,</w:t>
      </w:r>
      <w:r w:rsidRPr="00254AB9">
        <w:rPr>
          <w:lang w:eastAsia="pl-PL"/>
        </w:rPr>
        <w:t xml:space="preserve"> jak</w:t>
      </w:r>
      <w:r w:rsidR="00F24991" w:rsidRPr="0053714B">
        <w:rPr>
          <w:lang w:eastAsia="pl-PL"/>
        </w:rPr>
        <w:t>:</w:t>
      </w:r>
      <w:r w:rsidRPr="00254AB9">
        <w:rPr>
          <w:lang w:eastAsia="pl-PL"/>
        </w:rPr>
        <w:t xml:space="preserve"> aluminium, miedź, ołów, lit, mangan, nikiel, srebro, stal</w:t>
      </w:r>
      <w:r w:rsidR="006343E1">
        <w:rPr>
          <w:lang w:eastAsia="pl-PL"/>
        </w:rPr>
        <w:t xml:space="preserve"> </w:t>
      </w:r>
      <w:r w:rsidR="006343E1" w:rsidRPr="00254AB9">
        <w:rPr>
          <w:lang w:eastAsia="pl-PL"/>
        </w:rPr>
        <w:t>i</w:t>
      </w:r>
      <w:r w:rsidR="006343E1">
        <w:rPr>
          <w:lang w:eastAsia="pl-PL"/>
        </w:rPr>
        <w:t> </w:t>
      </w:r>
      <w:r w:rsidRPr="00254AB9">
        <w:rPr>
          <w:lang w:eastAsia="pl-PL"/>
        </w:rPr>
        <w:t>cynk oraz inne pierwiastki ziem rzadkich.</w:t>
      </w:r>
    </w:p>
    <w:p w14:paraId="73768620" w14:textId="2EE7C0F2" w:rsidR="005B060B" w:rsidRPr="00254AB9" w:rsidRDefault="005B060B" w:rsidP="005B060B">
      <w:r w:rsidRPr="00254AB9">
        <w:rPr>
          <w:rFonts w:eastAsia="Times New Roman"/>
          <w:lang w:eastAsia="pl-PL"/>
        </w:rPr>
        <w:t>Zapewnienie bezpieczeństwa dostaw jest wyzwaniem dla polityki surowcowej państwa.</w:t>
      </w:r>
      <w:r w:rsidR="006343E1">
        <w:rPr>
          <w:rFonts w:eastAsia="Times New Roman"/>
          <w:lang w:eastAsia="pl-PL"/>
        </w:rPr>
        <w:t xml:space="preserve"> </w:t>
      </w:r>
      <w:r w:rsidR="006343E1" w:rsidRPr="00254AB9">
        <w:rPr>
          <w:rFonts w:eastAsia="Times New Roman"/>
          <w:lang w:eastAsia="pl-PL"/>
        </w:rPr>
        <w:t>W</w:t>
      </w:r>
      <w:r w:rsidR="006343E1">
        <w:rPr>
          <w:rFonts w:eastAsia="Times New Roman"/>
          <w:lang w:eastAsia="pl-PL"/>
        </w:rPr>
        <w:t> </w:t>
      </w:r>
      <w:r w:rsidRPr="00254AB9">
        <w:t>Polsce już</w:t>
      </w:r>
      <w:r w:rsidR="006343E1">
        <w:t xml:space="preserve"> </w:t>
      </w:r>
      <w:r w:rsidR="006343E1" w:rsidRPr="00254AB9">
        <w:t>w</w:t>
      </w:r>
      <w:r w:rsidR="006343E1">
        <w:t> </w:t>
      </w:r>
      <w:r w:rsidRPr="00254AB9">
        <w:t>2015 r. podjęto działania</w:t>
      </w:r>
      <w:r w:rsidR="006343E1">
        <w:t xml:space="preserve"> </w:t>
      </w:r>
      <w:r w:rsidR="006343E1" w:rsidRPr="00254AB9">
        <w:t>w</w:t>
      </w:r>
      <w:r w:rsidR="006343E1">
        <w:t> </w:t>
      </w:r>
      <w:r w:rsidRPr="00254AB9">
        <w:t>kierunku ustalenia, które</w:t>
      </w:r>
      <w:r w:rsidR="006343E1">
        <w:t xml:space="preserve"> </w:t>
      </w:r>
      <w:r w:rsidR="006343E1" w:rsidRPr="00254AB9">
        <w:t>z</w:t>
      </w:r>
      <w:r w:rsidR="006343E1">
        <w:t> </w:t>
      </w:r>
      <w:r w:rsidRPr="00254AB9">
        <w:t>nieenergetycznych surowców mineralnych mają kluczowe znaczenie dla przemysłu oraz</w:t>
      </w:r>
      <w:r w:rsidR="006343E1">
        <w:t xml:space="preserve"> </w:t>
      </w:r>
      <w:r w:rsidR="006343E1" w:rsidRPr="00254AB9">
        <w:t>w</w:t>
      </w:r>
      <w:r w:rsidR="006343E1">
        <w:t> </w:t>
      </w:r>
      <w:r w:rsidRPr="00254AB9">
        <w:t>jakim stopniu ich zasoby</w:t>
      </w:r>
      <w:r w:rsidR="006343E1">
        <w:t xml:space="preserve"> </w:t>
      </w:r>
      <w:r w:rsidR="006343E1" w:rsidRPr="00254AB9">
        <w:t>i</w:t>
      </w:r>
      <w:r w:rsidR="006343E1">
        <w:t> </w:t>
      </w:r>
      <w:r w:rsidRPr="00254AB9">
        <w:t>produkcja pokrywają zapotrzebowanie. Wiedza</w:t>
      </w:r>
      <w:r w:rsidR="006343E1">
        <w:t xml:space="preserve"> </w:t>
      </w:r>
      <w:r w:rsidR="006343E1" w:rsidRPr="00254AB9">
        <w:t>o</w:t>
      </w:r>
      <w:r w:rsidR="006343E1">
        <w:t> </w:t>
      </w:r>
      <w:r w:rsidRPr="00254AB9">
        <w:t>wielkości zapotrzebowania na surowce jest szczególnie istotna</w:t>
      </w:r>
      <w:r w:rsidR="006343E1">
        <w:t xml:space="preserve"> </w:t>
      </w:r>
      <w:r w:rsidR="006343E1" w:rsidRPr="00254AB9">
        <w:t>w</w:t>
      </w:r>
      <w:r w:rsidR="006343E1">
        <w:t> </w:t>
      </w:r>
      <w:r w:rsidRPr="00254AB9">
        <w:t>sytuacji ograniczonych możliwości zaspokojenia potrzeb</w:t>
      </w:r>
      <w:r w:rsidR="006343E1">
        <w:t xml:space="preserve"> </w:t>
      </w:r>
      <w:r w:rsidR="006343E1" w:rsidRPr="00254AB9">
        <w:t>z</w:t>
      </w:r>
      <w:r w:rsidR="006343E1">
        <w:t> </w:t>
      </w:r>
      <w:r w:rsidRPr="00254AB9">
        <w:t>własnych źródeł (pierwotnych lub wtórnych)</w:t>
      </w:r>
      <w:r w:rsidR="006343E1">
        <w:t xml:space="preserve"> </w:t>
      </w:r>
      <w:r w:rsidR="006343E1" w:rsidRPr="00254AB9">
        <w:t>i</w:t>
      </w:r>
      <w:r w:rsidR="006343E1">
        <w:t> </w:t>
      </w:r>
      <w:r w:rsidRPr="00254AB9">
        <w:t>konieczności korzystania</w:t>
      </w:r>
      <w:r w:rsidR="006343E1">
        <w:t xml:space="preserve"> </w:t>
      </w:r>
      <w:r w:rsidR="006343E1" w:rsidRPr="00254AB9">
        <w:t>z</w:t>
      </w:r>
      <w:r w:rsidR="006343E1">
        <w:t> </w:t>
      </w:r>
      <w:r w:rsidRPr="00254AB9">
        <w:t xml:space="preserve">importu, co przy monopolistycznej polityce niektórych producentów </w:t>
      </w:r>
      <w:r w:rsidR="00F24991" w:rsidRPr="00254AB9">
        <w:t xml:space="preserve">może </w:t>
      </w:r>
      <w:r w:rsidRPr="00254AB9">
        <w:t>powodować istotne zakłócenia gospodarcze. Opracowanie dotyczyło jednak wyłącznie wybranych działów przemysłu,</w:t>
      </w:r>
      <w:r w:rsidR="006343E1">
        <w:t xml:space="preserve"> </w:t>
      </w:r>
      <w:r w:rsidR="006343E1" w:rsidRPr="00254AB9">
        <w:t>a</w:t>
      </w:r>
      <w:r w:rsidR="006343E1">
        <w:t> </w:t>
      </w:r>
      <w:r w:rsidRPr="00254AB9">
        <w:t>nie całej gospodarki (obejmującej nie tylko cały przemysł, ale również usługi</w:t>
      </w:r>
      <w:r w:rsidR="006343E1">
        <w:t xml:space="preserve"> </w:t>
      </w:r>
      <w:r w:rsidR="006343E1" w:rsidRPr="00254AB9">
        <w:t>i</w:t>
      </w:r>
      <w:r w:rsidR="006343E1">
        <w:t> </w:t>
      </w:r>
      <w:r w:rsidRPr="00254AB9">
        <w:t>rolnictwo). Dodatkowo podczas prac nad nim zidentyfikowano potrzebę wykonania pogłębionych analiz</w:t>
      </w:r>
      <w:r w:rsidR="006343E1">
        <w:t xml:space="preserve"> </w:t>
      </w:r>
      <w:r w:rsidR="006343E1" w:rsidRPr="00254AB9">
        <w:t>i</w:t>
      </w:r>
      <w:r w:rsidR="006343E1">
        <w:t> </w:t>
      </w:r>
      <w:r w:rsidRPr="00254AB9">
        <w:t>weryfikacji dotyczącej jednoznacznego definiowania zużycia.</w:t>
      </w:r>
      <w:r w:rsidR="006343E1">
        <w:t xml:space="preserve"> </w:t>
      </w:r>
      <w:r w:rsidR="006343E1" w:rsidRPr="00254AB9">
        <w:t>W</w:t>
      </w:r>
      <w:r w:rsidR="006343E1">
        <w:t> </w:t>
      </w:r>
      <w:r w:rsidRPr="00254AB9">
        <w:t>niektórych źródłach podaje się pojęcie zużycia pozornego, pod którym rozumie się różnicę wartości podaży (tj. produkcji</w:t>
      </w:r>
      <w:r w:rsidR="006343E1">
        <w:t xml:space="preserve"> </w:t>
      </w:r>
      <w:r w:rsidR="006343E1" w:rsidRPr="00254AB9">
        <w:t>i</w:t>
      </w:r>
      <w:r w:rsidR="006343E1">
        <w:t> </w:t>
      </w:r>
      <w:r w:rsidRPr="00254AB9">
        <w:t>importu) oraz eksportu, bez uwzględniania różnic</w:t>
      </w:r>
      <w:r w:rsidR="006343E1">
        <w:t xml:space="preserve"> </w:t>
      </w:r>
      <w:r w:rsidR="006343E1" w:rsidRPr="00254AB9">
        <w:t>w</w:t>
      </w:r>
      <w:r w:rsidR="006343E1">
        <w:t> </w:t>
      </w:r>
      <w:r w:rsidRPr="00254AB9">
        <w:t>stanach magazynowych (zmian zapasów). Wykorzystywanie terminu zużycia pozornego jako miary zapotrzebowania wynika</w:t>
      </w:r>
      <w:r w:rsidR="006343E1">
        <w:t xml:space="preserve"> </w:t>
      </w:r>
      <w:r w:rsidR="006343E1" w:rsidRPr="00254AB9">
        <w:t>z</w:t>
      </w:r>
      <w:r w:rsidR="006343E1">
        <w:t> </w:t>
      </w:r>
      <w:r w:rsidRPr="00254AB9">
        <w:t>braku dostępu do informacji statystycznych (np.</w:t>
      </w:r>
      <w:r w:rsidR="006343E1">
        <w:t xml:space="preserve"> </w:t>
      </w:r>
      <w:r w:rsidR="006343E1" w:rsidRPr="00254AB9">
        <w:t>z</w:t>
      </w:r>
      <w:r w:rsidR="006343E1">
        <w:t> </w:t>
      </w:r>
      <w:r w:rsidRPr="00254AB9">
        <w:t>GUS) dotyczących zmian zapasów oraz poziomu strat.</w:t>
      </w:r>
      <w:r w:rsidR="006343E1">
        <w:t xml:space="preserve"> </w:t>
      </w:r>
      <w:r w:rsidR="006343E1" w:rsidRPr="00254AB9">
        <w:t>Z</w:t>
      </w:r>
      <w:r w:rsidR="006343E1">
        <w:t> </w:t>
      </w:r>
      <w:r w:rsidRPr="00254AB9">
        <w:t>reguły wielkość zużycia pozornego nieznacznie odbiega od poziomu konsumpcji rzeczywistej. Jednak</w:t>
      </w:r>
      <w:r w:rsidR="006343E1">
        <w:t xml:space="preserve"> </w:t>
      </w:r>
      <w:r w:rsidR="006343E1" w:rsidRPr="00254AB9">
        <w:t>w</w:t>
      </w:r>
      <w:r w:rsidR="006343E1">
        <w:t> </w:t>
      </w:r>
      <w:r w:rsidRPr="00254AB9">
        <w:t>przypadku niektórych metali rzadkich</w:t>
      </w:r>
      <w:r w:rsidR="006343E1">
        <w:t xml:space="preserve"> </w:t>
      </w:r>
      <w:r w:rsidR="006343E1" w:rsidRPr="00254AB9">
        <w:t>i</w:t>
      </w:r>
      <w:r w:rsidR="006343E1">
        <w:t> </w:t>
      </w:r>
      <w:r w:rsidRPr="00254AB9">
        <w:t>szlachetnych może ona</w:t>
      </w:r>
      <w:r w:rsidR="006343E1">
        <w:t xml:space="preserve"> </w:t>
      </w:r>
      <w:r w:rsidR="006343E1" w:rsidRPr="00254AB9">
        <w:t>w</w:t>
      </w:r>
      <w:r w:rsidR="006343E1">
        <w:t> </w:t>
      </w:r>
      <w:r w:rsidRPr="00254AB9">
        <w:t>istotny sposób odbiegać od faktycznego poziomu wskutek nielegalnego importu (przemytu) lub wykorzystywania zapasów. Zasadnicze znaczenie</w:t>
      </w:r>
      <w:r w:rsidR="006343E1">
        <w:t xml:space="preserve"> </w:t>
      </w:r>
      <w:r w:rsidR="006343E1" w:rsidRPr="00254AB9">
        <w:t>w</w:t>
      </w:r>
      <w:r w:rsidR="006343E1">
        <w:t> </w:t>
      </w:r>
      <w:r w:rsidRPr="00254AB9">
        <w:t>identyfikacji zapotrzebowania na surowce</w:t>
      </w:r>
      <w:r w:rsidR="006343E1">
        <w:t xml:space="preserve"> </w:t>
      </w:r>
      <w:r w:rsidR="006343E1" w:rsidRPr="00254AB9">
        <w:t>w</w:t>
      </w:r>
      <w:r w:rsidR="006343E1">
        <w:t> </w:t>
      </w:r>
      <w:r w:rsidRPr="00254AB9">
        <w:t xml:space="preserve">gospodarce ma fakt, </w:t>
      </w:r>
      <w:r w:rsidR="00A550F1">
        <w:t>że</w:t>
      </w:r>
      <w:r w:rsidRPr="00254AB9">
        <w:t xml:space="preserve"> dany surowiec może być </w:t>
      </w:r>
      <w:r w:rsidR="00A550F1" w:rsidRPr="00254AB9">
        <w:t xml:space="preserve">zużywany </w:t>
      </w:r>
      <w:r w:rsidRPr="00254AB9">
        <w:t>także</w:t>
      </w:r>
      <w:r w:rsidR="006343E1">
        <w:t xml:space="preserve"> </w:t>
      </w:r>
      <w:r w:rsidR="006343E1" w:rsidRPr="00254AB9">
        <w:t>w</w:t>
      </w:r>
      <w:r w:rsidR="006343E1">
        <w:t> </w:t>
      </w:r>
      <w:r w:rsidRPr="00254AB9">
        <w:t>importowanych półproduktach lub podzespołach (częściach), które</w:t>
      </w:r>
      <w:r w:rsidR="006343E1">
        <w:t xml:space="preserve"> </w:t>
      </w:r>
      <w:r w:rsidRPr="00254AB9">
        <w:t>są montowane</w:t>
      </w:r>
      <w:r w:rsidR="00A550F1" w:rsidRPr="00A550F1">
        <w:t xml:space="preserve"> </w:t>
      </w:r>
      <w:r w:rsidR="00A550F1" w:rsidRPr="00254AB9">
        <w:t>w</w:t>
      </w:r>
      <w:r w:rsidR="00A550F1">
        <w:t> </w:t>
      </w:r>
      <w:r w:rsidR="00A550F1" w:rsidRPr="00254AB9">
        <w:t>polskich zakładach</w:t>
      </w:r>
      <w:r w:rsidRPr="00254AB9">
        <w:t>, bez wykazywania</w:t>
      </w:r>
      <w:r w:rsidR="006343E1">
        <w:t xml:space="preserve"> </w:t>
      </w:r>
      <w:r w:rsidRPr="00254AB9">
        <w:t>tego zużycia</w:t>
      </w:r>
      <w:r w:rsidR="00A550F1" w:rsidRPr="00A550F1">
        <w:t xml:space="preserve"> </w:t>
      </w:r>
      <w:r w:rsidR="00A550F1" w:rsidRPr="00254AB9">
        <w:t>w</w:t>
      </w:r>
      <w:r w:rsidR="00A550F1">
        <w:t> </w:t>
      </w:r>
      <w:r w:rsidR="00A550F1" w:rsidRPr="00254AB9">
        <w:t>statystykach</w:t>
      </w:r>
      <w:r w:rsidRPr="00254AB9">
        <w:t>. Statystyki nie uwzględniają też stanu zapasów</w:t>
      </w:r>
      <w:r w:rsidR="006343E1">
        <w:t xml:space="preserve"> </w:t>
      </w:r>
      <w:r w:rsidR="006343E1" w:rsidRPr="00254AB9">
        <w:t>i</w:t>
      </w:r>
      <w:r w:rsidR="006343E1">
        <w:t> </w:t>
      </w:r>
      <w:r w:rsidRPr="00254AB9">
        <w:t>ich ruchu, co uwidacznia się niekiedy</w:t>
      </w:r>
      <w:r w:rsidR="006343E1">
        <w:t xml:space="preserve"> </w:t>
      </w:r>
      <w:r w:rsidR="006343E1" w:rsidRPr="00254AB9">
        <w:t>w</w:t>
      </w:r>
      <w:r w:rsidR="006343E1">
        <w:t> </w:t>
      </w:r>
      <w:r w:rsidRPr="00254AB9">
        <w:t>ujemnych wartościach zużycia. Co więcej</w:t>
      </w:r>
      <w:r w:rsidR="006343E1">
        <w:t xml:space="preserve"> </w:t>
      </w:r>
      <w:r w:rsidR="006343E1" w:rsidRPr="00254AB9">
        <w:t>w</w:t>
      </w:r>
      <w:r w:rsidR="006343E1">
        <w:t> </w:t>
      </w:r>
      <w:r w:rsidRPr="00254AB9">
        <w:t>polskich statystykach nie odnotowuje się też</w:t>
      </w:r>
      <w:r w:rsidR="006343E1">
        <w:t xml:space="preserve"> </w:t>
      </w:r>
      <w:r w:rsidR="006343E1" w:rsidRPr="00254AB9">
        <w:t>w</w:t>
      </w:r>
      <w:r w:rsidR="006343E1">
        <w:t> </w:t>
      </w:r>
      <w:r w:rsidRPr="00254AB9">
        <w:t>dużej części przypadków zużycia surowców mineralnych</w:t>
      </w:r>
      <w:r w:rsidR="006343E1">
        <w:t xml:space="preserve"> </w:t>
      </w:r>
      <w:r w:rsidR="006343E1" w:rsidRPr="00254AB9">
        <w:t>w</w:t>
      </w:r>
      <w:r w:rsidR="006343E1">
        <w:t> </w:t>
      </w:r>
      <w:r w:rsidRPr="00254AB9">
        <w:t xml:space="preserve">wytwarzaniu poszczególnych produktów finalnych. </w:t>
      </w:r>
    </w:p>
    <w:p w14:paraId="250470FD" w14:textId="7793EFA4" w:rsidR="005B060B" w:rsidRPr="00254AB9" w:rsidRDefault="005B060B" w:rsidP="005B060B">
      <w:r w:rsidRPr="00254AB9">
        <w:t>Ponadto brak jest</w:t>
      </w:r>
      <w:r w:rsidR="006343E1">
        <w:t xml:space="preserve"> </w:t>
      </w:r>
      <w:r w:rsidR="006343E1" w:rsidRPr="00254AB9">
        <w:t>w</w:t>
      </w:r>
      <w:r w:rsidR="006343E1">
        <w:t> </w:t>
      </w:r>
      <w:r w:rsidRPr="00254AB9">
        <w:t>Polsce ocen dostępu do surowców wtórnych odzyskiwanych</w:t>
      </w:r>
      <w:r w:rsidR="006343E1">
        <w:t xml:space="preserve"> </w:t>
      </w:r>
      <w:r w:rsidR="006343E1" w:rsidRPr="00254AB9">
        <w:t>z</w:t>
      </w:r>
      <w:r w:rsidR="006343E1">
        <w:t> </w:t>
      </w:r>
      <w:r w:rsidRPr="00254AB9">
        <w:t>różnego typu odpadów. Ich ewidencja oraz inwentaryzacja odzyskiwanych surowców mineralnych wymaga</w:t>
      </w:r>
      <w:r w:rsidR="00A550F1">
        <w:t>ją</w:t>
      </w:r>
      <w:r w:rsidRPr="00254AB9">
        <w:t xml:space="preserve"> dodatkowych regulacji prawnych. Krajowe statystyki, dotyczące </w:t>
      </w:r>
      <w:r>
        <w:t>odzysku</w:t>
      </w:r>
      <w:r w:rsidR="006343E1">
        <w:t xml:space="preserve"> i </w:t>
      </w:r>
      <w:r w:rsidRPr="00254AB9">
        <w:t>recyklingu, uwzględniają najczęściej surowce pochodzące tylko</w:t>
      </w:r>
      <w:r w:rsidR="006343E1">
        <w:t xml:space="preserve"> </w:t>
      </w:r>
      <w:r w:rsidR="006343E1" w:rsidRPr="00254AB9">
        <w:t>z</w:t>
      </w:r>
      <w:r w:rsidR="006343E1">
        <w:t> </w:t>
      </w:r>
      <w:r w:rsidRPr="00254AB9">
        <w:t>systemów gminnych,</w:t>
      </w:r>
      <w:r w:rsidR="006343E1">
        <w:t> </w:t>
      </w:r>
      <w:r w:rsidRPr="00254AB9">
        <w:t>nie ma</w:t>
      </w:r>
      <w:r w:rsidR="006343E1">
        <w:t xml:space="preserve"> </w:t>
      </w:r>
      <w:r w:rsidR="006343E1" w:rsidRPr="00254AB9">
        <w:t>w</w:t>
      </w:r>
      <w:r w:rsidR="006343E1">
        <w:t> </w:t>
      </w:r>
      <w:r w:rsidRPr="00254AB9">
        <w:t>nich danych nt. ilości odpadów odebranych od mieszkańców przez punkty skupu.</w:t>
      </w:r>
      <w:r w:rsidR="006343E1">
        <w:t xml:space="preserve"> </w:t>
      </w:r>
      <w:r w:rsidR="006343E1" w:rsidRPr="00254AB9">
        <w:t>W</w:t>
      </w:r>
      <w:r w:rsidR="006343E1">
        <w:t> </w:t>
      </w:r>
      <w:r w:rsidRPr="00254AB9">
        <w:t>związku</w:t>
      </w:r>
      <w:r w:rsidR="006343E1">
        <w:t xml:space="preserve"> </w:t>
      </w:r>
      <w:r w:rsidR="006343E1" w:rsidRPr="00254AB9">
        <w:t>z</w:t>
      </w:r>
      <w:r w:rsidR="006343E1">
        <w:t> </w:t>
      </w:r>
      <w:r w:rsidRPr="00254AB9">
        <w:t>tym ilości odzyskiwanych</w:t>
      </w:r>
      <w:r w:rsidR="006343E1">
        <w:t xml:space="preserve"> </w:t>
      </w:r>
      <w:r w:rsidR="006343E1" w:rsidRPr="00254AB9">
        <w:t>z</w:t>
      </w:r>
      <w:r w:rsidR="006343E1">
        <w:t> </w:t>
      </w:r>
      <w:r w:rsidRPr="00254AB9">
        <w:t>nich rzeczywiście surowców są</w:t>
      </w:r>
      <w:r w:rsidR="006343E1">
        <w:t xml:space="preserve"> </w:t>
      </w:r>
      <w:r w:rsidR="006343E1" w:rsidRPr="00254AB9">
        <w:t>w</w:t>
      </w:r>
      <w:r w:rsidR="006343E1">
        <w:t> </w:t>
      </w:r>
      <w:r w:rsidRPr="00254AB9">
        <w:t>ten sposób zaniżane lub brak ich</w:t>
      </w:r>
      <w:r w:rsidR="006343E1">
        <w:t xml:space="preserve"> </w:t>
      </w:r>
      <w:r w:rsidR="006343E1" w:rsidRPr="00254AB9">
        <w:t>w</w:t>
      </w:r>
      <w:r w:rsidR="006343E1">
        <w:t> </w:t>
      </w:r>
      <w:r w:rsidRPr="00254AB9">
        <w:t>ogóle. Tymczasem różnego typu odpady (np. sprzętu elektronicznego, samochodów wycofanych</w:t>
      </w:r>
      <w:r w:rsidR="006343E1">
        <w:t xml:space="preserve"> </w:t>
      </w:r>
      <w:r w:rsidR="006343E1" w:rsidRPr="00254AB9">
        <w:t>z</w:t>
      </w:r>
      <w:r w:rsidR="006343E1">
        <w:t> </w:t>
      </w:r>
      <w:r w:rsidRPr="00254AB9">
        <w:t>eksploatacji, opakowań aluminiowych) mogą dostarczać cennych surowców wtórnych (takich jak gal, german, ren, tal itp.), poszukiwanych</w:t>
      </w:r>
      <w:r w:rsidR="006343E1">
        <w:t xml:space="preserve"> </w:t>
      </w:r>
      <w:r w:rsidR="006343E1" w:rsidRPr="00254AB9">
        <w:t>i</w:t>
      </w:r>
      <w:r w:rsidR="006343E1">
        <w:t> </w:t>
      </w:r>
      <w:r w:rsidRPr="00254AB9">
        <w:t>wykorzystywanych przede wszystkim</w:t>
      </w:r>
      <w:r w:rsidR="006343E1">
        <w:t xml:space="preserve"> </w:t>
      </w:r>
      <w:r w:rsidR="006343E1" w:rsidRPr="00254AB9">
        <w:t>w</w:t>
      </w:r>
      <w:r w:rsidR="006343E1">
        <w:t> </w:t>
      </w:r>
      <w:r w:rsidRPr="00254AB9">
        <w:t xml:space="preserve">działach przemysłu high-tech. Pojawiają się także nowe surowce lub ich kompozyty, które stanowią substytuty dla stosowanych dotychczas surowców naturalnych (np. perowskit, grafen). Obecnie </w:t>
      </w:r>
      <w:r w:rsidRPr="007B428A">
        <w:t>około 35%</w:t>
      </w:r>
      <w:r w:rsidRPr="000C5EEF">
        <w:t xml:space="preserve"> </w:t>
      </w:r>
      <w:r w:rsidRPr="00254AB9">
        <w:t>produkcji metali na świecie pochodzi</w:t>
      </w:r>
      <w:r w:rsidR="006343E1">
        <w:t xml:space="preserve"> </w:t>
      </w:r>
      <w:r w:rsidR="006343E1" w:rsidRPr="00254AB9">
        <w:t>z</w:t>
      </w:r>
      <w:r w:rsidR="006343E1">
        <w:t> </w:t>
      </w:r>
      <w:r w:rsidRPr="00254AB9">
        <w:t>recyklingu.</w:t>
      </w:r>
    </w:p>
    <w:p w14:paraId="366F5B06" w14:textId="1ECC1EF7" w:rsidR="005B060B" w:rsidRPr="00254AB9" w:rsidRDefault="005B060B" w:rsidP="005B060B">
      <w:r w:rsidRPr="00254AB9">
        <w:t xml:space="preserve">W ramach rachunków ekonomicznych środowiska </w:t>
      </w:r>
      <w:r>
        <w:t xml:space="preserve">GUS </w:t>
      </w:r>
      <w:r w:rsidRPr="00254AB9">
        <w:t xml:space="preserve">prowadzi coroczne ogólnogospodarcze rachunki przepływów materialnych, które oznaczają zestawienia wkładów materialnych do gospodarki narodowej, zmian </w:t>
      </w:r>
      <w:r w:rsidRPr="00254AB9">
        <w:lastRenderedPageBreak/>
        <w:t>poziomu zapasów materialnych</w:t>
      </w:r>
      <w:r w:rsidR="006343E1">
        <w:t xml:space="preserve"> </w:t>
      </w:r>
      <w:r w:rsidR="006343E1" w:rsidRPr="00254AB9">
        <w:t>w</w:t>
      </w:r>
      <w:r w:rsidR="006343E1">
        <w:t> </w:t>
      </w:r>
      <w:r w:rsidRPr="00254AB9">
        <w:t>gospodarce oraz wypływów materialnych do innych gospodarek lub środowiska. Przepływy materialne między gospodarką narodową</w:t>
      </w:r>
      <w:r w:rsidR="006343E1">
        <w:t xml:space="preserve"> </w:t>
      </w:r>
      <w:r w:rsidR="006343E1" w:rsidRPr="00254AB9">
        <w:t>a</w:t>
      </w:r>
      <w:r w:rsidR="006343E1">
        <w:t> </w:t>
      </w:r>
      <w:r w:rsidRPr="00254AB9">
        <w:t>jej środowiskiem naturalnym obejmują pozyskiwanie materiałów, tj. surowców, materiałów nieprzetworzonych lub pierwotnych, ze środowiska naturalnego oraz uwalnianie materiałów (zwanych często pozostałościami) do tego środowiska. Przepływy materialne między gospodarką narodową</w:t>
      </w:r>
      <w:r w:rsidR="006343E1">
        <w:t xml:space="preserve"> </w:t>
      </w:r>
      <w:r w:rsidR="006343E1" w:rsidRPr="00254AB9">
        <w:t>a</w:t>
      </w:r>
      <w:r w:rsidR="006343E1">
        <w:t> </w:t>
      </w:r>
      <w:r w:rsidRPr="00254AB9">
        <w:t>innymi gospodarkami obejmują przywóz</w:t>
      </w:r>
      <w:r w:rsidR="006343E1">
        <w:t xml:space="preserve"> </w:t>
      </w:r>
      <w:r w:rsidR="006343E1" w:rsidRPr="00254AB9">
        <w:t>i</w:t>
      </w:r>
      <w:r w:rsidR="006343E1">
        <w:t> </w:t>
      </w:r>
      <w:r w:rsidRPr="00254AB9">
        <w:t>wywóz. Rachunki przepływów materialnych są spójne</w:t>
      </w:r>
      <w:r w:rsidR="006343E1">
        <w:t xml:space="preserve"> </w:t>
      </w:r>
      <w:r w:rsidR="006343E1" w:rsidRPr="00254AB9">
        <w:t>z</w:t>
      </w:r>
      <w:r w:rsidR="006343E1">
        <w:t> </w:t>
      </w:r>
      <w:r w:rsidRPr="00254AB9">
        <w:t>zasadami systemu rachunków narodowych. Rejestrowane są</w:t>
      </w:r>
      <w:r w:rsidR="006343E1">
        <w:t xml:space="preserve"> </w:t>
      </w:r>
      <w:r w:rsidR="006343E1" w:rsidRPr="00254AB9">
        <w:t>w</w:t>
      </w:r>
      <w:r w:rsidR="006343E1">
        <w:t> </w:t>
      </w:r>
      <w:r w:rsidRPr="00254AB9">
        <w:t>nich przepływy materialne związane</w:t>
      </w:r>
      <w:r w:rsidR="006343E1">
        <w:t xml:space="preserve"> </w:t>
      </w:r>
      <w:r w:rsidR="006343E1" w:rsidRPr="00254AB9">
        <w:t>z</w:t>
      </w:r>
      <w:r w:rsidR="006343E1">
        <w:t> </w:t>
      </w:r>
      <w:r w:rsidRPr="00254AB9">
        <w:t xml:space="preserve">działalnością wszystkich jednostek krajowych gospodarki narodowej. </w:t>
      </w:r>
    </w:p>
    <w:p w14:paraId="6903C919" w14:textId="2480463E" w:rsidR="005B060B" w:rsidRDefault="005B060B" w:rsidP="00027674">
      <w:pPr>
        <w:pStyle w:val="Nagwek4"/>
      </w:pPr>
      <w:r w:rsidRPr="00254AB9">
        <w:t xml:space="preserve">Tabela </w:t>
      </w:r>
      <w:r w:rsidR="00311B4A">
        <w:t>3</w:t>
      </w:r>
      <w:r w:rsidRPr="00254AB9">
        <w:t xml:space="preserve">. </w:t>
      </w:r>
      <w:r w:rsidR="008D091E" w:rsidRPr="00254AB9">
        <w:t>Pozytywn</w:t>
      </w:r>
      <w:r w:rsidR="006B0143">
        <w:t>a</w:t>
      </w:r>
      <w:r w:rsidR="008D091E" w:rsidRPr="00254AB9">
        <w:t xml:space="preserve"> zmian</w:t>
      </w:r>
      <w:r w:rsidR="006B0143">
        <w:t>a</w:t>
      </w:r>
      <w:r w:rsidR="008D091E" w:rsidRPr="00254AB9">
        <w:t xml:space="preserve"> strukturaln</w:t>
      </w:r>
      <w:r w:rsidR="006B0143">
        <w:t>a</w:t>
      </w:r>
      <w:r w:rsidRPr="008D091E">
        <w:rPr>
          <w:color w:val="auto"/>
        </w:rPr>
        <w:t xml:space="preserve"> </w:t>
      </w:r>
      <w:r w:rsidRPr="00A7367E">
        <w:t>(1000 ton metrycznych)</w:t>
      </w:r>
    </w:p>
    <w:tbl>
      <w:tblPr>
        <w:tblStyle w:val="Tabela-Siatka"/>
        <w:tblW w:w="0" w:type="auto"/>
        <w:tblLook w:val="04A0" w:firstRow="1" w:lastRow="0" w:firstColumn="1" w:lastColumn="0" w:noHBand="0" w:noVBand="1"/>
      </w:tblPr>
      <w:tblGrid>
        <w:gridCol w:w="2518"/>
        <w:gridCol w:w="992"/>
        <w:gridCol w:w="851"/>
        <w:gridCol w:w="992"/>
        <w:gridCol w:w="851"/>
        <w:gridCol w:w="1134"/>
        <w:gridCol w:w="862"/>
        <w:gridCol w:w="862"/>
      </w:tblGrid>
      <w:tr w:rsidR="005B060B" w:rsidRPr="007360FD" w14:paraId="6D08488F" w14:textId="77777777" w:rsidTr="003224F9">
        <w:trPr>
          <w:trHeight w:val="138"/>
        </w:trPr>
        <w:tc>
          <w:tcPr>
            <w:tcW w:w="2518" w:type="dxa"/>
            <w:noWrap/>
            <w:hideMark/>
          </w:tcPr>
          <w:p w14:paraId="5146AEB4" w14:textId="77777777" w:rsidR="005B060B" w:rsidRPr="007360FD" w:rsidRDefault="005B060B" w:rsidP="003224F9">
            <w:pPr>
              <w:spacing w:before="0" w:after="0" w:line="240" w:lineRule="auto"/>
              <w:jc w:val="center"/>
              <w:rPr>
                <w:rFonts w:cs="Calibri"/>
                <w:sz w:val="21"/>
                <w:szCs w:val="21"/>
              </w:rPr>
            </w:pPr>
            <w:r w:rsidRPr="007360FD">
              <w:rPr>
                <w:rFonts w:cs="Calibri"/>
                <w:sz w:val="21"/>
                <w:szCs w:val="21"/>
              </w:rPr>
              <w:t>Wyszczególnienie</w:t>
            </w:r>
          </w:p>
        </w:tc>
        <w:tc>
          <w:tcPr>
            <w:tcW w:w="992" w:type="dxa"/>
            <w:noWrap/>
            <w:hideMark/>
          </w:tcPr>
          <w:p w14:paraId="1FA91B71" w14:textId="77777777" w:rsidR="005B060B" w:rsidRPr="007360FD" w:rsidRDefault="005B060B" w:rsidP="003224F9">
            <w:pPr>
              <w:spacing w:before="0" w:after="0" w:line="240" w:lineRule="auto"/>
              <w:jc w:val="center"/>
              <w:rPr>
                <w:rFonts w:cs="Calibri"/>
                <w:sz w:val="21"/>
                <w:szCs w:val="21"/>
              </w:rPr>
            </w:pPr>
            <w:r w:rsidRPr="007360FD">
              <w:rPr>
                <w:rFonts w:cs="Calibri"/>
                <w:sz w:val="21"/>
                <w:szCs w:val="21"/>
              </w:rPr>
              <w:t>2012</w:t>
            </w:r>
          </w:p>
        </w:tc>
        <w:tc>
          <w:tcPr>
            <w:tcW w:w="851" w:type="dxa"/>
            <w:noWrap/>
            <w:hideMark/>
          </w:tcPr>
          <w:p w14:paraId="358E6EAE" w14:textId="77777777" w:rsidR="005B060B" w:rsidRPr="007360FD" w:rsidRDefault="005B060B" w:rsidP="003224F9">
            <w:pPr>
              <w:spacing w:before="0" w:after="0" w:line="240" w:lineRule="auto"/>
              <w:jc w:val="center"/>
              <w:rPr>
                <w:rFonts w:cs="Calibri"/>
                <w:sz w:val="21"/>
                <w:szCs w:val="21"/>
              </w:rPr>
            </w:pPr>
            <w:r w:rsidRPr="007360FD">
              <w:rPr>
                <w:rFonts w:cs="Calibri"/>
                <w:sz w:val="21"/>
                <w:szCs w:val="21"/>
              </w:rPr>
              <w:t>2013</w:t>
            </w:r>
          </w:p>
        </w:tc>
        <w:tc>
          <w:tcPr>
            <w:tcW w:w="992" w:type="dxa"/>
            <w:noWrap/>
            <w:hideMark/>
          </w:tcPr>
          <w:p w14:paraId="3438DEA1" w14:textId="77777777" w:rsidR="005B060B" w:rsidRPr="007360FD" w:rsidRDefault="005B060B" w:rsidP="003224F9">
            <w:pPr>
              <w:spacing w:before="0" w:after="0" w:line="240" w:lineRule="auto"/>
              <w:jc w:val="center"/>
              <w:rPr>
                <w:rFonts w:cs="Calibri"/>
                <w:sz w:val="21"/>
                <w:szCs w:val="21"/>
              </w:rPr>
            </w:pPr>
            <w:r w:rsidRPr="007360FD">
              <w:rPr>
                <w:rFonts w:cs="Calibri"/>
                <w:sz w:val="21"/>
                <w:szCs w:val="21"/>
              </w:rPr>
              <w:t>2014</w:t>
            </w:r>
          </w:p>
        </w:tc>
        <w:tc>
          <w:tcPr>
            <w:tcW w:w="851" w:type="dxa"/>
            <w:noWrap/>
            <w:hideMark/>
          </w:tcPr>
          <w:p w14:paraId="04C1A307" w14:textId="77777777" w:rsidR="005B060B" w:rsidRPr="007360FD" w:rsidRDefault="005B060B" w:rsidP="003224F9">
            <w:pPr>
              <w:spacing w:before="0" w:after="0" w:line="240" w:lineRule="auto"/>
              <w:jc w:val="center"/>
              <w:rPr>
                <w:rFonts w:cs="Calibri"/>
                <w:sz w:val="21"/>
                <w:szCs w:val="21"/>
              </w:rPr>
            </w:pPr>
            <w:r w:rsidRPr="007360FD">
              <w:rPr>
                <w:rFonts w:cs="Calibri"/>
                <w:sz w:val="21"/>
                <w:szCs w:val="21"/>
              </w:rPr>
              <w:t>2015</w:t>
            </w:r>
          </w:p>
        </w:tc>
        <w:tc>
          <w:tcPr>
            <w:tcW w:w="1134" w:type="dxa"/>
            <w:noWrap/>
            <w:hideMark/>
          </w:tcPr>
          <w:p w14:paraId="13980389" w14:textId="77777777" w:rsidR="005B060B" w:rsidRPr="00103394" w:rsidRDefault="005B060B" w:rsidP="003224F9">
            <w:pPr>
              <w:spacing w:before="0" w:after="0" w:line="240" w:lineRule="auto"/>
              <w:jc w:val="center"/>
              <w:rPr>
                <w:rFonts w:cs="Calibri"/>
                <w:color w:val="FF0000"/>
                <w:sz w:val="21"/>
                <w:szCs w:val="21"/>
              </w:rPr>
            </w:pPr>
            <w:r w:rsidRPr="00103394">
              <w:rPr>
                <w:rFonts w:cs="Calibri"/>
                <w:color w:val="FF0000"/>
                <w:sz w:val="21"/>
                <w:szCs w:val="21"/>
              </w:rPr>
              <w:t>2016</w:t>
            </w:r>
          </w:p>
        </w:tc>
        <w:tc>
          <w:tcPr>
            <w:tcW w:w="975" w:type="dxa"/>
          </w:tcPr>
          <w:p w14:paraId="49CC56E4" w14:textId="77777777" w:rsidR="005B060B" w:rsidRPr="00103394" w:rsidRDefault="005B060B" w:rsidP="003224F9">
            <w:pPr>
              <w:spacing w:before="0" w:after="0" w:line="240" w:lineRule="auto"/>
              <w:jc w:val="center"/>
              <w:rPr>
                <w:rFonts w:cs="Calibri"/>
                <w:color w:val="FF0000"/>
                <w:sz w:val="21"/>
                <w:szCs w:val="21"/>
              </w:rPr>
            </w:pPr>
            <w:r w:rsidRPr="00103394">
              <w:rPr>
                <w:rFonts w:cs="Calibri"/>
                <w:color w:val="FF0000"/>
                <w:sz w:val="21"/>
                <w:szCs w:val="21"/>
              </w:rPr>
              <w:t>2017</w:t>
            </w:r>
          </w:p>
        </w:tc>
        <w:tc>
          <w:tcPr>
            <w:tcW w:w="975" w:type="dxa"/>
          </w:tcPr>
          <w:p w14:paraId="3F2E448A" w14:textId="77777777" w:rsidR="005B060B" w:rsidRPr="00103394" w:rsidRDefault="005B060B" w:rsidP="003224F9">
            <w:pPr>
              <w:spacing w:before="0" w:after="0" w:line="240" w:lineRule="auto"/>
              <w:jc w:val="center"/>
              <w:rPr>
                <w:rFonts w:cs="Calibri"/>
                <w:color w:val="FF0000"/>
                <w:sz w:val="21"/>
                <w:szCs w:val="21"/>
              </w:rPr>
            </w:pPr>
            <w:r w:rsidRPr="00103394">
              <w:rPr>
                <w:rFonts w:cs="Calibri"/>
                <w:color w:val="FF0000"/>
                <w:sz w:val="21"/>
                <w:szCs w:val="21"/>
              </w:rPr>
              <w:t>2018</w:t>
            </w:r>
          </w:p>
        </w:tc>
      </w:tr>
      <w:tr w:rsidR="005B060B" w:rsidRPr="007360FD" w14:paraId="36A3A271" w14:textId="77777777" w:rsidTr="003224F9">
        <w:trPr>
          <w:trHeight w:val="170"/>
        </w:trPr>
        <w:tc>
          <w:tcPr>
            <w:tcW w:w="2518" w:type="dxa"/>
            <w:hideMark/>
          </w:tcPr>
          <w:p w14:paraId="71D47B66" w14:textId="77777777" w:rsidR="005B060B" w:rsidRPr="007360FD" w:rsidRDefault="005B060B" w:rsidP="003224F9">
            <w:pPr>
              <w:spacing w:before="0" w:after="0" w:line="240" w:lineRule="auto"/>
              <w:jc w:val="left"/>
              <w:rPr>
                <w:rFonts w:cs="Calibri"/>
                <w:bCs/>
                <w:sz w:val="21"/>
                <w:szCs w:val="21"/>
              </w:rPr>
            </w:pPr>
            <w:r w:rsidRPr="007360FD">
              <w:rPr>
                <w:rFonts w:cs="Calibri"/>
                <w:bCs/>
                <w:sz w:val="21"/>
                <w:szCs w:val="21"/>
              </w:rPr>
              <w:t xml:space="preserve">1.  </w:t>
            </w:r>
            <w:r>
              <w:rPr>
                <w:rFonts w:cs="Calibri"/>
                <w:bCs/>
                <w:sz w:val="21"/>
                <w:szCs w:val="21"/>
              </w:rPr>
              <w:t>Pozyskanie k</w:t>
            </w:r>
            <w:r w:rsidRPr="007360FD">
              <w:rPr>
                <w:rFonts w:cs="Calibri"/>
                <w:bCs/>
                <w:sz w:val="21"/>
                <w:szCs w:val="21"/>
              </w:rPr>
              <w:t xml:space="preserve">rajowe </w:t>
            </w:r>
          </w:p>
        </w:tc>
        <w:tc>
          <w:tcPr>
            <w:tcW w:w="992" w:type="dxa"/>
            <w:noWrap/>
            <w:vAlign w:val="bottom"/>
            <w:hideMark/>
          </w:tcPr>
          <w:p w14:paraId="7F8EF628" w14:textId="77777777" w:rsidR="005B060B" w:rsidRPr="007360FD" w:rsidRDefault="005B060B" w:rsidP="003224F9">
            <w:pPr>
              <w:spacing w:before="0" w:after="0" w:line="240" w:lineRule="auto"/>
              <w:jc w:val="right"/>
              <w:rPr>
                <w:rFonts w:cs="Calibri"/>
                <w:bCs/>
                <w:sz w:val="21"/>
                <w:szCs w:val="21"/>
              </w:rPr>
            </w:pPr>
            <w:r w:rsidRPr="007360FD">
              <w:rPr>
                <w:rFonts w:cs="Calibri"/>
                <w:bCs/>
                <w:sz w:val="21"/>
                <w:szCs w:val="21"/>
              </w:rPr>
              <w:t>658 159</w:t>
            </w:r>
          </w:p>
        </w:tc>
        <w:tc>
          <w:tcPr>
            <w:tcW w:w="851" w:type="dxa"/>
            <w:noWrap/>
            <w:vAlign w:val="bottom"/>
            <w:hideMark/>
          </w:tcPr>
          <w:p w14:paraId="2A865159" w14:textId="77777777" w:rsidR="005B060B" w:rsidRPr="007360FD" w:rsidRDefault="005B060B" w:rsidP="003224F9">
            <w:pPr>
              <w:spacing w:before="0" w:after="0" w:line="240" w:lineRule="auto"/>
              <w:jc w:val="right"/>
              <w:rPr>
                <w:rFonts w:cs="Calibri"/>
                <w:bCs/>
                <w:sz w:val="21"/>
                <w:szCs w:val="21"/>
              </w:rPr>
            </w:pPr>
            <w:r w:rsidRPr="007360FD">
              <w:rPr>
                <w:rFonts w:cs="Calibri"/>
                <w:bCs/>
                <w:sz w:val="21"/>
                <w:szCs w:val="21"/>
              </w:rPr>
              <w:t>635 945</w:t>
            </w:r>
          </w:p>
        </w:tc>
        <w:tc>
          <w:tcPr>
            <w:tcW w:w="992" w:type="dxa"/>
            <w:noWrap/>
            <w:vAlign w:val="bottom"/>
            <w:hideMark/>
          </w:tcPr>
          <w:p w14:paraId="7DEB7DB3" w14:textId="77777777" w:rsidR="005B060B" w:rsidRPr="007360FD" w:rsidRDefault="005B060B" w:rsidP="003224F9">
            <w:pPr>
              <w:spacing w:before="0" w:after="0" w:line="240" w:lineRule="auto"/>
              <w:jc w:val="right"/>
              <w:rPr>
                <w:rFonts w:cs="Calibri"/>
                <w:bCs/>
                <w:sz w:val="21"/>
                <w:szCs w:val="21"/>
              </w:rPr>
            </w:pPr>
            <w:r w:rsidRPr="007360FD">
              <w:rPr>
                <w:rFonts w:cs="Calibri"/>
                <w:bCs/>
                <w:sz w:val="21"/>
                <w:szCs w:val="21"/>
              </w:rPr>
              <w:t>629 889</w:t>
            </w:r>
          </w:p>
        </w:tc>
        <w:tc>
          <w:tcPr>
            <w:tcW w:w="851" w:type="dxa"/>
            <w:noWrap/>
            <w:vAlign w:val="bottom"/>
            <w:hideMark/>
          </w:tcPr>
          <w:p w14:paraId="4E4228F9" w14:textId="77777777" w:rsidR="005B060B" w:rsidRPr="007360FD" w:rsidRDefault="005B060B" w:rsidP="003224F9">
            <w:pPr>
              <w:spacing w:before="0" w:after="0" w:line="240" w:lineRule="auto"/>
              <w:jc w:val="right"/>
              <w:rPr>
                <w:rFonts w:cs="Calibri"/>
                <w:bCs/>
                <w:sz w:val="21"/>
                <w:szCs w:val="21"/>
              </w:rPr>
            </w:pPr>
            <w:r w:rsidRPr="007360FD">
              <w:rPr>
                <w:rFonts w:cs="Calibri"/>
                <w:bCs/>
                <w:sz w:val="21"/>
                <w:szCs w:val="21"/>
              </w:rPr>
              <w:t>627 196</w:t>
            </w:r>
          </w:p>
        </w:tc>
        <w:tc>
          <w:tcPr>
            <w:tcW w:w="1134" w:type="dxa"/>
            <w:noWrap/>
            <w:vAlign w:val="bottom"/>
            <w:hideMark/>
          </w:tcPr>
          <w:p w14:paraId="5B2AB67E" w14:textId="77777777" w:rsidR="005B060B" w:rsidRPr="00103394" w:rsidRDefault="005B060B" w:rsidP="003224F9">
            <w:pPr>
              <w:spacing w:before="0" w:after="0" w:line="240" w:lineRule="auto"/>
              <w:jc w:val="right"/>
              <w:rPr>
                <w:rFonts w:cs="Calibri"/>
                <w:bCs/>
                <w:color w:val="FF0000"/>
                <w:sz w:val="21"/>
                <w:szCs w:val="21"/>
              </w:rPr>
            </w:pPr>
            <w:r w:rsidRPr="00103394">
              <w:rPr>
                <w:color w:val="FF0000"/>
                <w:sz w:val="21"/>
                <w:szCs w:val="21"/>
              </w:rPr>
              <w:t>645 405</w:t>
            </w:r>
          </w:p>
        </w:tc>
        <w:tc>
          <w:tcPr>
            <w:tcW w:w="975" w:type="dxa"/>
            <w:vAlign w:val="bottom"/>
          </w:tcPr>
          <w:p w14:paraId="10A7D80B" w14:textId="77777777" w:rsidR="005B060B" w:rsidRPr="00103394" w:rsidRDefault="005B060B" w:rsidP="003224F9">
            <w:pPr>
              <w:spacing w:before="0" w:after="0" w:line="240" w:lineRule="auto"/>
              <w:jc w:val="right"/>
              <w:rPr>
                <w:rFonts w:cs="Calibri"/>
                <w:bCs/>
                <w:color w:val="FF0000"/>
                <w:sz w:val="21"/>
                <w:szCs w:val="21"/>
              </w:rPr>
            </w:pPr>
            <w:r w:rsidRPr="00103394">
              <w:rPr>
                <w:color w:val="FF0000"/>
                <w:sz w:val="21"/>
                <w:szCs w:val="21"/>
              </w:rPr>
              <w:t>674 409</w:t>
            </w:r>
          </w:p>
        </w:tc>
        <w:tc>
          <w:tcPr>
            <w:tcW w:w="975" w:type="dxa"/>
            <w:vAlign w:val="bottom"/>
          </w:tcPr>
          <w:p w14:paraId="1217D06D" w14:textId="77777777" w:rsidR="005B060B" w:rsidRPr="00103394" w:rsidRDefault="005B060B" w:rsidP="003224F9">
            <w:pPr>
              <w:spacing w:before="0" w:after="0" w:line="240" w:lineRule="auto"/>
              <w:jc w:val="right"/>
              <w:rPr>
                <w:rFonts w:cs="Calibri"/>
                <w:bCs/>
                <w:color w:val="FF0000"/>
                <w:sz w:val="21"/>
                <w:szCs w:val="21"/>
              </w:rPr>
            </w:pPr>
            <w:r w:rsidRPr="00103394">
              <w:rPr>
                <w:color w:val="FF0000"/>
                <w:sz w:val="21"/>
                <w:szCs w:val="21"/>
              </w:rPr>
              <w:t>687 087</w:t>
            </w:r>
          </w:p>
        </w:tc>
      </w:tr>
      <w:tr w:rsidR="005B060B" w:rsidRPr="007360FD" w14:paraId="66AD7549" w14:textId="77777777" w:rsidTr="003224F9">
        <w:trPr>
          <w:trHeight w:val="234"/>
        </w:trPr>
        <w:tc>
          <w:tcPr>
            <w:tcW w:w="2518" w:type="dxa"/>
            <w:hideMark/>
          </w:tcPr>
          <w:p w14:paraId="3E9B8F69" w14:textId="77777777" w:rsidR="005B060B" w:rsidRPr="007360FD" w:rsidRDefault="005B060B" w:rsidP="003224F9">
            <w:pPr>
              <w:spacing w:before="0" w:after="0" w:line="240" w:lineRule="auto"/>
              <w:jc w:val="left"/>
              <w:rPr>
                <w:rFonts w:cs="Calibri"/>
                <w:bCs/>
                <w:sz w:val="21"/>
                <w:szCs w:val="21"/>
              </w:rPr>
            </w:pPr>
            <w:r w:rsidRPr="007360FD">
              <w:rPr>
                <w:rFonts w:cs="Calibri"/>
                <w:bCs/>
                <w:sz w:val="21"/>
                <w:szCs w:val="21"/>
              </w:rPr>
              <w:t>2.  Import</w:t>
            </w:r>
          </w:p>
        </w:tc>
        <w:tc>
          <w:tcPr>
            <w:tcW w:w="992" w:type="dxa"/>
            <w:noWrap/>
            <w:vAlign w:val="bottom"/>
            <w:hideMark/>
          </w:tcPr>
          <w:p w14:paraId="70D9781F" w14:textId="77777777" w:rsidR="005B060B" w:rsidRPr="007360FD" w:rsidRDefault="005B060B" w:rsidP="003224F9">
            <w:pPr>
              <w:spacing w:before="0" w:after="0" w:line="240" w:lineRule="auto"/>
              <w:jc w:val="right"/>
              <w:rPr>
                <w:rFonts w:cs="Calibri"/>
                <w:bCs/>
                <w:sz w:val="21"/>
                <w:szCs w:val="21"/>
              </w:rPr>
            </w:pPr>
            <w:r w:rsidRPr="007360FD">
              <w:rPr>
                <w:rFonts w:cs="Calibri"/>
                <w:bCs/>
                <w:sz w:val="21"/>
                <w:szCs w:val="21"/>
              </w:rPr>
              <w:t>121 777</w:t>
            </w:r>
          </w:p>
        </w:tc>
        <w:tc>
          <w:tcPr>
            <w:tcW w:w="851" w:type="dxa"/>
            <w:noWrap/>
            <w:vAlign w:val="bottom"/>
            <w:hideMark/>
          </w:tcPr>
          <w:p w14:paraId="61E23A51" w14:textId="77777777" w:rsidR="005B060B" w:rsidRPr="007360FD" w:rsidRDefault="005B060B" w:rsidP="003224F9">
            <w:pPr>
              <w:spacing w:before="0" w:after="0" w:line="240" w:lineRule="auto"/>
              <w:jc w:val="right"/>
              <w:rPr>
                <w:rFonts w:cs="Calibri"/>
                <w:bCs/>
                <w:sz w:val="21"/>
                <w:szCs w:val="21"/>
              </w:rPr>
            </w:pPr>
            <w:r w:rsidRPr="007360FD">
              <w:rPr>
                <w:rFonts w:cs="Calibri"/>
                <w:bCs/>
                <w:sz w:val="21"/>
                <w:szCs w:val="21"/>
              </w:rPr>
              <w:t>116 731</w:t>
            </w:r>
          </w:p>
        </w:tc>
        <w:tc>
          <w:tcPr>
            <w:tcW w:w="992" w:type="dxa"/>
            <w:noWrap/>
            <w:vAlign w:val="bottom"/>
            <w:hideMark/>
          </w:tcPr>
          <w:p w14:paraId="3EE41569" w14:textId="77777777" w:rsidR="005B060B" w:rsidRPr="007360FD" w:rsidRDefault="005B060B" w:rsidP="003224F9">
            <w:pPr>
              <w:spacing w:before="0" w:after="0" w:line="240" w:lineRule="auto"/>
              <w:jc w:val="right"/>
              <w:rPr>
                <w:rFonts w:cs="Calibri"/>
                <w:bCs/>
                <w:sz w:val="21"/>
                <w:szCs w:val="21"/>
              </w:rPr>
            </w:pPr>
            <w:r w:rsidRPr="007360FD">
              <w:rPr>
                <w:rFonts w:cs="Calibri"/>
                <w:bCs/>
                <w:sz w:val="21"/>
                <w:szCs w:val="21"/>
              </w:rPr>
              <w:t>124 451</w:t>
            </w:r>
          </w:p>
        </w:tc>
        <w:tc>
          <w:tcPr>
            <w:tcW w:w="851" w:type="dxa"/>
            <w:noWrap/>
            <w:vAlign w:val="bottom"/>
            <w:hideMark/>
          </w:tcPr>
          <w:p w14:paraId="4F162AC5" w14:textId="77777777" w:rsidR="005B060B" w:rsidRPr="007360FD" w:rsidRDefault="005B060B" w:rsidP="003224F9">
            <w:pPr>
              <w:spacing w:before="0" w:after="0" w:line="240" w:lineRule="auto"/>
              <w:jc w:val="right"/>
              <w:rPr>
                <w:rFonts w:cs="Calibri"/>
                <w:bCs/>
                <w:sz w:val="21"/>
                <w:szCs w:val="21"/>
              </w:rPr>
            </w:pPr>
            <w:r w:rsidRPr="007360FD">
              <w:rPr>
                <w:rFonts w:cs="Calibri"/>
                <w:bCs/>
                <w:sz w:val="21"/>
                <w:szCs w:val="21"/>
              </w:rPr>
              <w:t>130 485</w:t>
            </w:r>
          </w:p>
        </w:tc>
        <w:tc>
          <w:tcPr>
            <w:tcW w:w="1134" w:type="dxa"/>
            <w:noWrap/>
            <w:vAlign w:val="bottom"/>
            <w:hideMark/>
          </w:tcPr>
          <w:p w14:paraId="2073A84D" w14:textId="77777777" w:rsidR="005B060B" w:rsidRPr="00103394" w:rsidRDefault="005B060B" w:rsidP="003224F9">
            <w:pPr>
              <w:spacing w:before="0" w:after="0" w:line="240" w:lineRule="auto"/>
              <w:jc w:val="right"/>
              <w:rPr>
                <w:rFonts w:cs="Calibri"/>
                <w:bCs/>
                <w:color w:val="FF0000"/>
                <w:sz w:val="21"/>
                <w:szCs w:val="21"/>
              </w:rPr>
            </w:pPr>
            <w:r w:rsidRPr="00103394">
              <w:rPr>
                <w:color w:val="FF0000"/>
                <w:sz w:val="21"/>
                <w:szCs w:val="21"/>
              </w:rPr>
              <w:t>133 315</w:t>
            </w:r>
          </w:p>
        </w:tc>
        <w:tc>
          <w:tcPr>
            <w:tcW w:w="975" w:type="dxa"/>
            <w:vAlign w:val="bottom"/>
          </w:tcPr>
          <w:p w14:paraId="100C588F" w14:textId="77777777" w:rsidR="005B060B" w:rsidRPr="00103394" w:rsidRDefault="005B060B" w:rsidP="003224F9">
            <w:pPr>
              <w:spacing w:before="0" w:after="0" w:line="240" w:lineRule="auto"/>
              <w:jc w:val="right"/>
              <w:rPr>
                <w:rFonts w:cs="Calibri"/>
                <w:bCs/>
                <w:color w:val="FF0000"/>
                <w:sz w:val="21"/>
                <w:szCs w:val="21"/>
              </w:rPr>
            </w:pPr>
            <w:r w:rsidRPr="00103394">
              <w:rPr>
                <w:color w:val="FF0000"/>
                <w:sz w:val="21"/>
                <w:szCs w:val="21"/>
              </w:rPr>
              <w:t>143 423</w:t>
            </w:r>
          </w:p>
        </w:tc>
        <w:tc>
          <w:tcPr>
            <w:tcW w:w="975" w:type="dxa"/>
            <w:vAlign w:val="bottom"/>
          </w:tcPr>
          <w:p w14:paraId="44AE1D79" w14:textId="77777777" w:rsidR="005B060B" w:rsidRPr="00103394" w:rsidRDefault="005B060B" w:rsidP="003224F9">
            <w:pPr>
              <w:spacing w:before="0" w:after="0" w:line="240" w:lineRule="auto"/>
              <w:jc w:val="right"/>
              <w:rPr>
                <w:rFonts w:cs="Calibri"/>
                <w:bCs/>
                <w:color w:val="FF0000"/>
                <w:sz w:val="21"/>
                <w:szCs w:val="21"/>
              </w:rPr>
            </w:pPr>
            <w:r w:rsidRPr="00103394">
              <w:rPr>
                <w:color w:val="FF0000"/>
                <w:sz w:val="21"/>
                <w:szCs w:val="21"/>
              </w:rPr>
              <w:t>158 283</w:t>
            </w:r>
          </w:p>
        </w:tc>
      </w:tr>
      <w:tr w:rsidR="005B060B" w:rsidRPr="007360FD" w14:paraId="5B2138C8" w14:textId="77777777" w:rsidTr="003224F9">
        <w:trPr>
          <w:trHeight w:val="124"/>
        </w:trPr>
        <w:tc>
          <w:tcPr>
            <w:tcW w:w="2518" w:type="dxa"/>
            <w:hideMark/>
          </w:tcPr>
          <w:p w14:paraId="2779528E" w14:textId="47239B9F" w:rsidR="005B060B" w:rsidRPr="007360FD" w:rsidRDefault="005B060B" w:rsidP="003224F9">
            <w:pPr>
              <w:spacing w:before="0" w:after="0" w:line="240" w:lineRule="auto"/>
              <w:jc w:val="left"/>
              <w:rPr>
                <w:rFonts w:cs="Calibri"/>
                <w:bCs/>
                <w:sz w:val="21"/>
                <w:szCs w:val="21"/>
              </w:rPr>
            </w:pPr>
            <w:r w:rsidRPr="007360FD">
              <w:rPr>
                <w:rFonts w:cs="Calibri"/>
                <w:bCs/>
                <w:sz w:val="21"/>
                <w:szCs w:val="21"/>
              </w:rPr>
              <w:t>3.  E</w:t>
            </w:r>
            <w:r w:rsidR="00DC3EBC">
              <w:rPr>
                <w:rFonts w:cs="Calibri"/>
                <w:bCs/>
                <w:sz w:val="21"/>
                <w:szCs w:val="21"/>
              </w:rPr>
              <w:t>ks</w:t>
            </w:r>
            <w:r w:rsidRPr="007360FD">
              <w:rPr>
                <w:rFonts w:cs="Calibri"/>
                <w:bCs/>
                <w:sz w:val="21"/>
                <w:szCs w:val="21"/>
              </w:rPr>
              <w:t>port</w:t>
            </w:r>
          </w:p>
        </w:tc>
        <w:tc>
          <w:tcPr>
            <w:tcW w:w="992" w:type="dxa"/>
            <w:noWrap/>
            <w:vAlign w:val="bottom"/>
            <w:hideMark/>
          </w:tcPr>
          <w:p w14:paraId="7460CDAD" w14:textId="77777777" w:rsidR="005B060B" w:rsidRPr="007360FD" w:rsidRDefault="005B060B" w:rsidP="003224F9">
            <w:pPr>
              <w:spacing w:before="0" w:after="0" w:line="240" w:lineRule="auto"/>
              <w:jc w:val="right"/>
              <w:rPr>
                <w:rFonts w:cs="Calibri"/>
                <w:bCs/>
                <w:sz w:val="21"/>
                <w:szCs w:val="21"/>
              </w:rPr>
            </w:pPr>
            <w:r w:rsidRPr="007360FD">
              <w:rPr>
                <w:rFonts w:cs="Calibri"/>
                <w:bCs/>
                <w:sz w:val="21"/>
                <w:szCs w:val="21"/>
              </w:rPr>
              <w:t>84 582</w:t>
            </w:r>
          </w:p>
        </w:tc>
        <w:tc>
          <w:tcPr>
            <w:tcW w:w="851" w:type="dxa"/>
            <w:noWrap/>
            <w:vAlign w:val="bottom"/>
            <w:hideMark/>
          </w:tcPr>
          <w:p w14:paraId="40BF599D" w14:textId="77777777" w:rsidR="005B060B" w:rsidRPr="007360FD" w:rsidRDefault="005B060B" w:rsidP="003224F9">
            <w:pPr>
              <w:spacing w:before="0" w:after="0" w:line="240" w:lineRule="auto"/>
              <w:jc w:val="right"/>
              <w:rPr>
                <w:rFonts w:cs="Calibri"/>
                <w:bCs/>
                <w:sz w:val="21"/>
                <w:szCs w:val="21"/>
              </w:rPr>
            </w:pPr>
            <w:r w:rsidRPr="007360FD">
              <w:rPr>
                <w:rFonts w:cs="Calibri"/>
                <w:bCs/>
                <w:sz w:val="21"/>
                <w:szCs w:val="21"/>
              </w:rPr>
              <w:t>95 655</w:t>
            </w:r>
          </w:p>
        </w:tc>
        <w:tc>
          <w:tcPr>
            <w:tcW w:w="992" w:type="dxa"/>
            <w:noWrap/>
            <w:vAlign w:val="bottom"/>
            <w:hideMark/>
          </w:tcPr>
          <w:p w14:paraId="07DDA7F1" w14:textId="77777777" w:rsidR="005B060B" w:rsidRPr="007360FD" w:rsidRDefault="005B060B" w:rsidP="003224F9">
            <w:pPr>
              <w:spacing w:before="0" w:after="0" w:line="240" w:lineRule="auto"/>
              <w:jc w:val="right"/>
              <w:rPr>
                <w:rFonts w:cs="Calibri"/>
                <w:bCs/>
                <w:sz w:val="21"/>
                <w:szCs w:val="21"/>
              </w:rPr>
            </w:pPr>
            <w:r w:rsidRPr="007360FD">
              <w:rPr>
                <w:rFonts w:cs="Calibri"/>
                <w:bCs/>
                <w:sz w:val="21"/>
                <w:szCs w:val="21"/>
              </w:rPr>
              <w:t>99 954</w:t>
            </w:r>
          </w:p>
        </w:tc>
        <w:tc>
          <w:tcPr>
            <w:tcW w:w="851" w:type="dxa"/>
            <w:noWrap/>
            <w:vAlign w:val="bottom"/>
            <w:hideMark/>
          </w:tcPr>
          <w:p w14:paraId="5D807C1A" w14:textId="77777777" w:rsidR="005B060B" w:rsidRPr="007360FD" w:rsidRDefault="005B060B" w:rsidP="003224F9">
            <w:pPr>
              <w:spacing w:before="0" w:after="0" w:line="240" w:lineRule="auto"/>
              <w:jc w:val="right"/>
              <w:rPr>
                <w:rFonts w:cs="Calibri"/>
                <w:bCs/>
                <w:sz w:val="21"/>
                <w:szCs w:val="21"/>
              </w:rPr>
            </w:pPr>
            <w:r w:rsidRPr="007360FD">
              <w:rPr>
                <w:rFonts w:cs="Calibri"/>
                <w:bCs/>
                <w:sz w:val="21"/>
                <w:szCs w:val="21"/>
              </w:rPr>
              <w:t>114 516</w:t>
            </w:r>
          </w:p>
        </w:tc>
        <w:tc>
          <w:tcPr>
            <w:tcW w:w="1134" w:type="dxa"/>
            <w:noWrap/>
            <w:vAlign w:val="bottom"/>
            <w:hideMark/>
          </w:tcPr>
          <w:p w14:paraId="2525CA16" w14:textId="77777777" w:rsidR="005B060B" w:rsidRPr="00103394" w:rsidRDefault="005B060B" w:rsidP="003224F9">
            <w:pPr>
              <w:spacing w:before="0" w:after="0" w:line="240" w:lineRule="auto"/>
              <w:jc w:val="right"/>
              <w:rPr>
                <w:rFonts w:cs="Calibri"/>
                <w:bCs/>
                <w:color w:val="FF0000"/>
                <w:sz w:val="21"/>
                <w:szCs w:val="21"/>
              </w:rPr>
            </w:pPr>
            <w:r w:rsidRPr="00103394">
              <w:rPr>
                <w:color w:val="FF0000"/>
                <w:sz w:val="21"/>
                <w:szCs w:val="21"/>
              </w:rPr>
              <w:t>106 827</w:t>
            </w:r>
          </w:p>
        </w:tc>
        <w:tc>
          <w:tcPr>
            <w:tcW w:w="975" w:type="dxa"/>
            <w:vAlign w:val="bottom"/>
          </w:tcPr>
          <w:p w14:paraId="35C68343" w14:textId="77777777" w:rsidR="005B060B" w:rsidRPr="00103394" w:rsidRDefault="005B060B" w:rsidP="003224F9">
            <w:pPr>
              <w:spacing w:before="0" w:after="0" w:line="240" w:lineRule="auto"/>
              <w:jc w:val="right"/>
              <w:rPr>
                <w:rFonts w:cs="Calibri"/>
                <w:bCs/>
                <w:color w:val="FF0000"/>
                <w:sz w:val="21"/>
                <w:szCs w:val="21"/>
              </w:rPr>
            </w:pPr>
            <w:r w:rsidRPr="00103394">
              <w:rPr>
                <w:color w:val="FF0000"/>
                <w:sz w:val="21"/>
                <w:szCs w:val="21"/>
              </w:rPr>
              <w:t>107 401</w:t>
            </w:r>
          </w:p>
        </w:tc>
        <w:tc>
          <w:tcPr>
            <w:tcW w:w="975" w:type="dxa"/>
            <w:vAlign w:val="bottom"/>
          </w:tcPr>
          <w:p w14:paraId="1BA66FF1" w14:textId="77777777" w:rsidR="005B060B" w:rsidRPr="00103394" w:rsidRDefault="005B060B" w:rsidP="003224F9">
            <w:pPr>
              <w:spacing w:before="0" w:after="0" w:line="240" w:lineRule="auto"/>
              <w:jc w:val="right"/>
              <w:rPr>
                <w:rFonts w:cs="Calibri"/>
                <w:bCs/>
                <w:color w:val="FF0000"/>
                <w:sz w:val="21"/>
                <w:szCs w:val="21"/>
              </w:rPr>
            </w:pPr>
            <w:r w:rsidRPr="00103394">
              <w:rPr>
                <w:color w:val="FF0000"/>
                <w:sz w:val="21"/>
                <w:szCs w:val="21"/>
              </w:rPr>
              <w:t>110 769</w:t>
            </w:r>
          </w:p>
        </w:tc>
      </w:tr>
      <w:tr w:rsidR="005B060B" w:rsidRPr="007360FD" w14:paraId="481533A7" w14:textId="77777777" w:rsidTr="003224F9">
        <w:trPr>
          <w:trHeight w:val="439"/>
        </w:trPr>
        <w:tc>
          <w:tcPr>
            <w:tcW w:w="2518" w:type="dxa"/>
            <w:hideMark/>
          </w:tcPr>
          <w:p w14:paraId="248C2E65" w14:textId="6731E423" w:rsidR="005B060B" w:rsidRPr="007360FD" w:rsidRDefault="005B060B" w:rsidP="003224F9">
            <w:pPr>
              <w:spacing w:before="0" w:after="0" w:line="240" w:lineRule="auto"/>
              <w:jc w:val="left"/>
              <w:rPr>
                <w:rFonts w:cs="Calibri"/>
                <w:bCs/>
                <w:sz w:val="21"/>
                <w:szCs w:val="21"/>
              </w:rPr>
            </w:pPr>
            <w:r w:rsidRPr="007360FD">
              <w:rPr>
                <w:rFonts w:cs="Calibri"/>
                <w:bCs/>
                <w:sz w:val="21"/>
                <w:szCs w:val="21"/>
              </w:rPr>
              <w:t>5.  Krajowa konsumpcja materialna (DMC)</w:t>
            </w:r>
            <w:r w:rsidRPr="007360FD">
              <w:rPr>
                <w:rFonts w:cs="Calibri"/>
                <w:bCs/>
                <w:sz w:val="21"/>
                <w:szCs w:val="21"/>
              </w:rPr>
              <w:br/>
              <w:t xml:space="preserve">DMC = DE + Import </w:t>
            </w:r>
            <w:r w:rsidR="006B0143">
              <w:rPr>
                <w:rFonts w:ascii="Times New Roman" w:hAnsi="Times New Roman" w:cs="Times New Roman"/>
                <w:bCs/>
                <w:sz w:val="21"/>
                <w:szCs w:val="21"/>
              </w:rPr>
              <w:t>–</w:t>
            </w:r>
            <w:r w:rsidRPr="007360FD">
              <w:rPr>
                <w:rFonts w:cs="Calibri"/>
                <w:bCs/>
                <w:sz w:val="21"/>
                <w:szCs w:val="21"/>
              </w:rPr>
              <w:t xml:space="preserve"> E</w:t>
            </w:r>
            <w:r w:rsidR="00DC3EBC">
              <w:rPr>
                <w:rFonts w:cs="Calibri"/>
                <w:bCs/>
                <w:sz w:val="21"/>
                <w:szCs w:val="21"/>
              </w:rPr>
              <w:t>ks</w:t>
            </w:r>
            <w:r w:rsidRPr="007360FD">
              <w:rPr>
                <w:rFonts w:cs="Calibri"/>
                <w:bCs/>
                <w:sz w:val="21"/>
                <w:szCs w:val="21"/>
              </w:rPr>
              <w:t>port</w:t>
            </w:r>
          </w:p>
        </w:tc>
        <w:tc>
          <w:tcPr>
            <w:tcW w:w="992" w:type="dxa"/>
            <w:noWrap/>
            <w:vAlign w:val="bottom"/>
            <w:hideMark/>
          </w:tcPr>
          <w:p w14:paraId="30DC9516" w14:textId="77777777" w:rsidR="005B060B" w:rsidRPr="007360FD" w:rsidRDefault="005B060B" w:rsidP="003224F9">
            <w:pPr>
              <w:spacing w:before="0" w:after="0" w:line="240" w:lineRule="auto"/>
              <w:jc w:val="right"/>
              <w:rPr>
                <w:rFonts w:cs="Calibri"/>
                <w:bCs/>
                <w:sz w:val="21"/>
                <w:szCs w:val="21"/>
              </w:rPr>
            </w:pPr>
            <w:r w:rsidRPr="007360FD">
              <w:rPr>
                <w:rFonts w:cs="Calibri"/>
                <w:bCs/>
                <w:sz w:val="21"/>
                <w:szCs w:val="21"/>
              </w:rPr>
              <w:t>695 354</w:t>
            </w:r>
          </w:p>
        </w:tc>
        <w:tc>
          <w:tcPr>
            <w:tcW w:w="851" w:type="dxa"/>
            <w:noWrap/>
            <w:vAlign w:val="bottom"/>
            <w:hideMark/>
          </w:tcPr>
          <w:p w14:paraId="19502FE8" w14:textId="77777777" w:rsidR="005B060B" w:rsidRPr="007360FD" w:rsidRDefault="005B060B" w:rsidP="003224F9">
            <w:pPr>
              <w:spacing w:before="0" w:after="0" w:line="240" w:lineRule="auto"/>
              <w:jc w:val="right"/>
              <w:rPr>
                <w:rFonts w:cs="Calibri"/>
                <w:bCs/>
                <w:sz w:val="21"/>
                <w:szCs w:val="21"/>
              </w:rPr>
            </w:pPr>
            <w:r w:rsidRPr="007360FD">
              <w:rPr>
                <w:rFonts w:cs="Calibri"/>
                <w:bCs/>
                <w:sz w:val="21"/>
                <w:szCs w:val="21"/>
              </w:rPr>
              <w:t>657 021</w:t>
            </w:r>
          </w:p>
        </w:tc>
        <w:tc>
          <w:tcPr>
            <w:tcW w:w="992" w:type="dxa"/>
            <w:noWrap/>
            <w:vAlign w:val="bottom"/>
            <w:hideMark/>
          </w:tcPr>
          <w:p w14:paraId="344A92A0" w14:textId="77777777" w:rsidR="005B060B" w:rsidRPr="007360FD" w:rsidRDefault="005B060B" w:rsidP="003224F9">
            <w:pPr>
              <w:spacing w:before="0" w:after="0" w:line="240" w:lineRule="auto"/>
              <w:jc w:val="right"/>
              <w:rPr>
                <w:rFonts w:cs="Calibri"/>
                <w:bCs/>
                <w:sz w:val="21"/>
                <w:szCs w:val="21"/>
              </w:rPr>
            </w:pPr>
            <w:r w:rsidRPr="007360FD">
              <w:rPr>
                <w:rFonts w:cs="Calibri"/>
                <w:bCs/>
                <w:sz w:val="21"/>
                <w:szCs w:val="21"/>
              </w:rPr>
              <w:t>654 385</w:t>
            </w:r>
          </w:p>
        </w:tc>
        <w:tc>
          <w:tcPr>
            <w:tcW w:w="851" w:type="dxa"/>
            <w:noWrap/>
            <w:vAlign w:val="bottom"/>
            <w:hideMark/>
          </w:tcPr>
          <w:p w14:paraId="2BE7D892" w14:textId="77777777" w:rsidR="005B060B" w:rsidRPr="007360FD" w:rsidRDefault="005B060B" w:rsidP="003224F9">
            <w:pPr>
              <w:spacing w:before="0" w:after="0" w:line="240" w:lineRule="auto"/>
              <w:jc w:val="right"/>
              <w:rPr>
                <w:rFonts w:cs="Calibri"/>
                <w:bCs/>
                <w:sz w:val="21"/>
                <w:szCs w:val="21"/>
              </w:rPr>
            </w:pPr>
            <w:r w:rsidRPr="007360FD">
              <w:rPr>
                <w:rFonts w:cs="Calibri"/>
                <w:bCs/>
                <w:sz w:val="21"/>
                <w:szCs w:val="21"/>
              </w:rPr>
              <w:t>643 165</w:t>
            </w:r>
          </w:p>
        </w:tc>
        <w:tc>
          <w:tcPr>
            <w:tcW w:w="1134" w:type="dxa"/>
            <w:noWrap/>
            <w:vAlign w:val="bottom"/>
            <w:hideMark/>
          </w:tcPr>
          <w:p w14:paraId="786C27B6" w14:textId="77777777" w:rsidR="005B060B" w:rsidRPr="00103394" w:rsidRDefault="005B060B" w:rsidP="003224F9">
            <w:pPr>
              <w:spacing w:before="0" w:after="0" w:line="240" w:lineRule="auto"/>
              <w:jc w:val="right"/>
              <w:rPr>
                <w:rFonts w:cs="Calibri"/>
                <w:bCs/>
                <w:color w:val="FF0000"/>
                <w:sz w:val="21"/>
                <w:szCs w:val="21"/>
              </w:rPr>
            </w:pPr>
            <w:r w:rsidRPr="00103394">
              <w:rPr>
                <w:color w:val="FF0000"/>
                <w:sz w:val="21"/>
                <w:szCs w:val="21"/>
              </w:rPr>
              <w:t>671 894</w:t>
            </w:r>
          </w:p>
        </w:tc>
        <w:tc>
          <w:tcPr>
            <w:tcW w:w="975" w:type="dxa"/>
            <w:vAlign w:val="bottom"/>
          </w:tcPr>
          <w:p w14:paraId="683C66AD" w14:textId="77777777" w:rsidR="005B060B" w:rsidRPr="00103394" w:rsidRDefault="005B060B" w:rsidP="003224F9">
            <w:pPr>
              <w:spacing w:before="0" w:after="0" w:line="240" w:lineRule="auto"/>
              <w:jc w:val="right"/>
              <w:rPr>
                <w:rFonts w:cs="Calibri"/>
                <w:bCs/>
                <w:color w:val="FF0000"/>
                <w:sz w:val="21"/>
                <w:szCs w:val="21"/>
              </w:rPr>
            </w:pPr>
            <w:r w:rsidRPr="00103394">
              <w:rPr>
                <w:color w:val="FF0000"/>
                <w:sz w:val="21"/>
                <w:szCs w:val="21"/>
              </w:rPr>
              <w:t>710 431</w:t>
            </w:r>
          </w:p>
        </w:tc>
        <w:tc>
          <w:tcPr>
            <w:tcW w:w="975" w:type="dxa"/>
            <w:vAlign w:val="bottom"/>
          </w:tcPr>
          <w:p w14:paraId="703BFAE6" w14:textId="77777777" w:rsidR="005B060B" w:rsidRPr="00103394" w:rsidRDefault="005B060B" w:rsidP="003224F9">
            <w:pPr>
              <w:spacing w:before="0" w:after="0" w:line="240" w:lineRule="auto"/>
              <w:jc w:val="right"/>
              <w:rPr>
                <w:rFonts w:cs="Calibri"/>
                <w:bCs/>
                <w:color w:val="FF0000"/>
                <w:sz w:val="21"/>
                <w:szCs w:val="21"/>
              </w:rPr>
            </w:pPr>
            <w:r w:rsidRPr="00103394">
              <w:rPr>
                <w:color w:val="FF0000"/>
                <w:sz w:val="21"/>
                <w:szCs w:val="21"/>
              </w:rPr>
              <w:t>734 601</w:t>
            </w:r>
          </w:p>
        </w:tc>
      </w:tr>
      <w:tr w:rsidR="005B060B" w:rsidRPr="007360FD" w14:paraId="64471734" w14:textId="77777777" w:rsidTr="003224F9">
        <w:trPr>
          <w:trHeight w:val="375"/>
        </w:trPr>
        <w:tc>
          <w:tcPr>
            <w:tcW w:w="2518" w:type="dxa"/>
            <w:hideMark/>
          </w:tcPr>
          <w:p w14:paraId="706B6F4C" w14:textId="0009F9BF" w:rsidR="005B060B" w:rsidRPr="007360FD" w:rsidRDefault="005B060B" w:rsidP="003224F9">
            <w:pPr>
              <w:spacing w:before="0" w:after="0" w:line="240" w:lineRule="auto"/>
              <w:jc w:val="left"/>
              <w:rPr>
                <w:rFonts w:cs="Calibri"/>
                <w:bCs/>
                <w:sz w:val="21"/>
                <w:szCs w:val="21"/>
              </w:rPr>
            </w:pPr>
            <w:r w:rsidRPr="007360FD">
              <w:rPr>
                <w:rFonts w:cs="Calibri"/>
                <w:bCs/>
                <w:sz w:val="21"/>
                <w:szCs w:val="21"/>
              </w:rPr>
              <w:t>6.  Fizyczny bilans handlowy (PTB)</w:t>
            </w:r>
            <w:r w:rsidRPr="007360FD">
              <w:rPr>
                <w:rFonts w:cs="Calibri"/>
                <w:bCs/>
                <w:sz w:val="21"/>
                <w:szCs w:val="21"/>
              </w:rPr>
              <w:br/>
              <w:t xml:space="preserve">PTB = Import </w:t>
            </w:r>
            <w:r w:rsidR="006B0143">
              <w:rPr>
                <w:rFonts w:ascii="Times New Roman" w:hAnsi="Times New Roman" w:cs="Times New Roman"/>
                <w:bCs/>
                <w:sz w:val="21"/>
                <w:szCs w:val="21"/>
              </w:rPr>
              <w:t>–</w:t>
            </w:r>
            <w:r w:rsidRPr="007360FD">
              <w:rPr>
                <w:rFonts w:cs="Calibri"/>
                <w:bCs/>
                <w:sz w:val="21"/>
                <w:szCs w:val="21"/>
              </w:rPr>
              <w:t xml:space="preserve"> Eksport </w:t>
            </w:r>
          </w:p>
        </w:tc>
        <w:tc>
          <w:tcPr>
            <w:tcW w:w="992" w:type="dxa"/>
            <w:noWrap/>
            <w:vAlign w:val="bottom"/>
            <w:hideMark/>
          </w:tcPr>
          <w:p w14:paraId="6499AA72" w14:textId="77777777" w:rsidR="005B060B" w:rsidRPr="007360FD" w:rsidRDefault="005B060B" w:rsidP="003224F9">
            <w:pPr>
              <w:spacing w:before="0" w:after="0" w:line="240" w:lineRule="auto"/>
              <w:jc w:val="right"/>
              <w:rPr>
                <w:rFonts w:cs="Calibri"/>
                <w:bCs/>
                <w:sz w:val="21"/>
                <w:szCs w:val="21"/>
              </w:rPr>
            </w:pPr>
            <w:r w:rsidRPr="007360FD">
              <w:rPr>
                <w:rFonts w:cs="Calibri"/>
                <w:bCs/>
                <w:sz w:val="21"/>
                <w:szCs w:val="21"/>
              </w:rPr>
              <w:t>37 195</w:t>
            </w:r>
          </w:p>
        </w:tc>
        <w:tc>
          <w:tcPr>
            <w:tcW w:w="851" w:type="dxa"/>
            <w:noWrap/>
            <w:vAlign w:val="bottom"/>
            <w:hideMark/>
          </w:tcPr>
          <w:p w14:paraId="762CD0B8" w14:textId="77777777" w:rsidR="005B060B" w:rsidRPr="007360FD" w:rsidRDefault="005B060B" w:rsidP="003224F9">
            <w:pPr>
              <w:spacing w:before="0" w:after="0" w:line="240" w:lineRule="auto"/>
              <w:jc w:val="right"/>
              <w:rPr>
                <w:rFonts w:cs="Calibri"/>
                <w:bCs/>
                <w:sz w:val="21"/>
                <w:szCs w:val="21"/>
              </w:rPr>
            </w:pPr>
            <w:r w:rsidRPr="007360FD">
              <w:rPr>
                <w:rFonts w:cs="Calibri"/>
                <w:bCs/>
                <w:sz w:val="21"/>
                <w:szCs w:val="21"/>
              </w:rPr>
              <w:t>21 076</w:t>
            </w:r>
          </w:p>
        </w:tc>
        <w:tc>
          <w:tcPr>
            <w:tcW w:w="992" w:type="dxa"/>
            <w:noWrap/>
            <w:vAlign w:val="bottom"/>
            <w:hideMark/>
          </w:tcPr>
          <w:p w14:paraId="305025F8" w14:textId="77777777" w:rsidR="005B060B" w:rsidRPr="007360FD" w:rsidRDefault="005B060B" w:rsidP="003224F9">
            <w:pPr>
              <w:spacing w:before="0" w:after="0" w:line="240" w:lineRule="auto"/>
              <w:jc w:val="right"/>
              <w:rPr>
                <w:rFonts w:cs="Calibri"/>
                <w:bCs/>
                <w:sz w:val="21"/>
                <w:szCs w:val="21"/>
              </w:rPr>
            </w:pPr>
            <w:r w:rsidRPr="007360FD">
              <w:rPr>
                <w:rFonts w:cs="Calibri"/>
                <w:bCs/>
                <w:sz w:val="21"/>
                <w:szCs w:val="21"/>
              </w:rPr>
              <w:t>24 497</w:t>
            </w:r>
          </w:p>
        </w:tc>
        <w:tc>
          <w:tcPr>
            <w:tcW w:w="851" w:type="dxa"/>
            <w:noWrap/>
            <w:vAlign w:val="bottom"/>
            <w:hideMark/>
          </w:tcPr>
          <w:p w14:paraId="0DCD7024" w14:textId="77777777" w:rsidR="005B060B" w:rsidRPr="007360FD" w:rsidRDefault="005B060B" w:rsidP="003224F9">
            <w:pPr>
              <w:spacing w:before="0" w:after="0" w:line="240" w:lineRule="auto"/>
              <w:jc w:val="right"/>
              <w:rPr>
                <w:rFonts w:cs="Calibri"/>
                <w:bCs/>
                <w:sz w:val="21"/>
                <w:szCs w:val="21"/>
              </w:rPr>
            </w:pPr>
            <w:r w:rsidRPr="007360FD">
              <w:rPr>
                <w:rFonts w:cs="Calibri"/>
                <w:bCs/>
                <w:sz w:val="21"/>
                <w:szCs w:val="21"/>
              </w:rPr>
              <w:t>15 969</w:t>
            </w:r>
          </w:p>
        </w:tc>
        <w:tc>
          <w:tcPr>
            <w:tcW w:w="1134" w:type="dxa"/>
            <w:noWrap/>
            <w:vAlign w:val="bottom"/>
            <w:hideMark/>
          </w:tcPr>
          <w:p w14:paraId="1D53CEC6" w14:textId="77777777" w:rsidR="005B060B" w:rsidRPr="00103394" w:rsidRDefault="005B060B" w:rsidP="003224F9">
            <w:pPr>
              <w:spacing w:before="0" w:after="0" w:line="240" w:lineRule="auto"/>
              <w:jc w:val="right"/>
              <w:rPr>
                <w:rFonts w:cs="Calibri"/>
                <w:bCs/>
                <w:color w:val="FF0000"/>
                <w:sz w:val="21"/>
                <w:szCs w:val="21"/>
              </w:rPr>
            </w:pPr>
            <w:r w:rsidRPr="00103394">
              <w:rPr>
                <w:color w:val="FF0000"/>
                <w:sz w:val="21"/>
                <w:szCs w:val="21"/>
              </w:rPr>
              <w:t>26 488</w:t>
            </w:r>
          </w:p>
        </w:tc>
        <w:tc>
          <w:tcPr>
            <w:tcW w:w="975" w:type="dxa"/>
            <w:vAlign w:val="bottom"/>
          </w:tcPr>
          <w:p w14:paraId="33305686" w14:textId="77777777" w:rsidR="005B060B" w:rsidRPr="00103394" w:rsidRDefault="005B060B" w:rsidP="003224F9">
            <w:pPr>
              <w:spacing w:before="0" w:after="0" w:line="240" w:lineRule="auto"/>
              <w:jc w:val="right"/>
              <w:rPr>
                <w:rFonts w:cs="Calibri"/>
                <w:bCs/>
                <w:color w:val="FF0000"/>
                <w:sz w:val="21"/>
                <w:szCs w:val="21"/>
              </w:rPr>
            </w:pPr>
            <w:r w:rsidRPr="00103394">
              <w:rPr>
                <w:color w:val="FF0000"/>
                <w:sz w:val="21"/>
                <w:szCs w:val="21"/>
              </w:rPr>
              <w:t>36 022</w:t>
            </w:r>
          </w:p>
        </w:tc>
        <w:tc>
          <w:tcPr>
            <w:tcW w:w="975" w:type="dxa"/>
            <w:vAlign w:val="bottom"/>
          </w:tcPr>
          <w:p w14:paraId="60742F4A" w14:textId="77777777" w:rsidR="005B060B" w:rsidRPr="00103394" w:rsidRDefault="005B060B" w:rsidP="003224F9">
            <w:pPr>
              <w:spacing w:before="0" w:after="0" w:line="240" w:lineRule="auto"/>
              <w:jc w:val="right"/>
              <w:rPr>
                <w:rFonts w:cs="Calibri"/>
                <w:bCs/>
                <w:color w:val="FF0000"/>
                <w:sz w:val="21"/>
                <w:szCs w:val="21"/>
              </w:rPr>
            </w:pPr>
            <w:r w:rsidRPr="00103394">
              <w:rPr>
                <w:color w:val="FF0000"/>
                <w:sz w:val="21"/>
                <w:szCs w:val="21"/>
              </w:rPr>
              <w:t>47 514</w:t>
            </w:r>
          </w:p>
        </w:tc>
      </w:tr>
    </w:tbl>
    <w:p w14:paraId="40235B59" w14:textId="77777777" w:rsidR="00183D4A" w:rsidRDefault="00183D4A" w:rsidP="005B060B">
      <w:pPr>
        <w:pStyle w:val="Bezodstpw"/>
      </w:pPr>
    </w:p>
    <w:p w14:paraId="16520042" w14:textId="45F124B0" w:rsidR="005B060B" w:rsidRPr="00254AB9" w:rsidRDefault="005B060B" w:rsidP="005B060B">
      <w:pPr>
        <w:pStyle w:val="Bezodstpw"/>
      </w:pPr>
      <w:r w:rsidRPr="00254AB9">
        <w:t xml:space="preserve">Źródło: </w:t>
      </w:r>
      <w:r>
        <w:t xml:space="preserve">GUS, </w:t>
      </w:r>
      <w:r w:rsidR="0048506E">
        <w:t>Ekonomiczne aspekty ochrony środowiska</w:t>
      </w:r>
    </w:p>
    <w:p w14:paraId="75147088" w14:textId="1B246A62" w:rsidR="00ED7916" w:rsidRDefault="00ED7916">
      <w:pPr>
        <w:spacing w:before="0" w:after="0" w:line="240" w:lineRule="auto"/>
        <w:jc w:val="left"/>
        <w:rPr>
          <w:rFonts w:eastAsia="Times New Roman" w:cs="Times New Roman"/>
          <w:b/>
          <w:bCs/>
          <w:color w:val="4F81BD"/>
          <w:szCs w:val="26"/>
          <w:lang w:val="en-GB"/>
        </w:rPr>
      </w:pPr>
      <w:bookmarkStart w:id="58" w:name="_Toc517448470"/>
      <w:bookmarkStart w:id="59" w:name="_Toc31808502"/>
    </w:p>
    <w:p w14:paraId="5D754AEE" w14:textId="7EFAC2E9" w:rsidR="005B060B" w:rsidRPr="00CB7686" w:rsidRDefault="005B060B" w:rsidP="005B060B">
      <w:pPr>
        <w:pStyle w:val="Nagwek2"/>
        <w:rPr>
          <w:lang w:val="en-GB"/>
        </w:rPr>
      </w:pPr>
      <w:bookmarkStart w:id="60" w:name="_Toc106968785"/>
      <w:r w:rsidRPr="00CB7686">
        <w:rPr>
          <w:lang w:val="en-GB"/>
        </w:rPr>
        <w:t>Literatura</w:t>
      </w:r>
      <w:bookmarkEnd w:id="58"/>
      <w:bookmarkEnd w:id="59"/>
      <w:bookmarkEnd w:id="60"/>
    </w:p>
    <w:p w14:paraId="3D6BFC25" w14:textId="77777777" w:rsidR="00A30C03" w:rsidRDefault="00A30C03" w:rsidP="005B060B">
      <w:pPr>
        <w:spacing w:after="0" w:line="240" w:lineRule="auto"/>
        <w:rPr>
          <w:rFonts w:cs="Calibri"/>
          <w:sz w:val="21"/>
          <w:szCs w:val="21"/>
          <w:lang w:val="en-GB"/>
        </w:rPr>
      </w:pPr>
      <w:r w:rsidRPr="00A30C03">
        <w:rPr>
          <w:rFonts w:cs="Calibri"/>
          <w:sz w:val="21"/>
          <w:szCs w:val="21"/>
          <w:lang w:val="en-GB"/>
        </w:rPr>
        <w:t xml:space="preserve">World Energy </w:t>
      </w:r>
      <w:r>
        <w:rPr>
          <w:rFonts w:cs="Calibri"/>
          <w:sz w:val="21"/>
          <w:szCs w:val="21"/>
          <w:lang w:val="en-GB"/>
        </w:rPr>
        <w:t xml:space="preserve">Outlook, </w:t>
      </w:r>
      <w:r w:rsidR="0052077D" w:rsidRPr="00A30C03">
        <w:rPr>
          <w:rFonts w:cs="Calibri"/>
          <w:sz w:val="21"/>
          <w:szCs w:val="21"/>
          <w:lang w:val="en-GB"/>
        </w:rPr>
        <w:t>IEA</w:t>
      </w:r>
      <w:r>
        <w:rPr>
          <w:rFonts w:cs="Calibri"/>
          <w:sz w:val="21"/>
          <w:szCs w:val="21"/>
          <w:lang w:val="en-GB"/>
        </w:rPr>
        <w:t>,</w:t>
      </w:r>
      <w:r w:rsidR="0052077D" w:rsidRPr="00A30C03">
        <w:rPr>
          <w:rFonts w:cs="Calibri"/>
          <w:sz w:val="21"/>
          <w:szCs w:val="21"/>
          <w:lang w:val="en-GB"/>
        </w:rPr>
        <w:t xml:space="preserve"> 2015</w:t>
      </w:r>
      <w:r w:rsidR="006B0143" w:rsidRPr="00A30C03">
        <w:rPr>
          <w:rFonts w:cs="Calibri"/>
          <w:sz w:val="21"/>
          <w:szCs w:val="21"/>
          <w:lang w:val="en-GB"/>
        </w:rPr>
        <w:t xml:space="preserve"> </w:t>
      </w:r>
    </w:p>
    <w:p w14:paraId="013FA465" w14:textId="72B4E5E3" w:rsidR="005B060B" w:rsidRPr="00A30C03" w:rsidRDefault="005B060B" w:rsidP="005B060B">
      <w:pPr>
        <w:spacing w:after="0" w:line="240" w:lineRule="auto"/>
        <w:rPr>
          <w:rFonts w:cs="Calibri"/>
          <w:sz w:val="21"/>
          <w:szCs w:val="21"/>
          <w:lang w:val="en-GB"/>
        </w:rPr>
      </w:pPr>
      <w:r w:rsidRPr="00A30C03">
        <w:rPr>
          <w:rFonts w:cs="Calibri"/>
          <w:sz w:val="21"/>
          <w:szCs w:val="21"/>
          <w:lang w:val="en-GB"/>
        </w:rPr>
        <w:t>https://webstore.iea.org/statistics-data</w:t>
      </w:r>
    </w:p>
    <w:p w14:paraId="019273E9" w14:textId="430270D4" w:rsidR="005B060B" w:rsidRDefault="005B060B" w:rsidP="005B060B">
      <w:pPr>
        <w:spacing w:after="0" w:line="240" w:lineRule="auto"/>
        <w:rPr>
          <w:rFonts w:cs="Calibri"/>
          <w:sz w:val="21"/>
          <w:szCs w:val="21"/>
          <w:lang w:val="en-GB"/>
        </w:rPr>
      </w:pPr>
      <w:r w:rsidRPr="006365AA">
        <w:rPr>
          <w:rFonts w:cs="Calibri"/>
          <w:sz w:val="21"/>
          <w:szCs w:val="21"/>
          <w:lang w:val="en-GB"/>
        </w:rPr>
        <w:t xml:space="preserve">Visualising </w:t>
      </w:r>
      <w:r w:rsidR="006B0143">
        <w:rPr>
          <w:rFonts w:cs="Calibri"/>
          <w:sz w:val="21"/>
          <w:szCs w:val="21"/>
          <w:lang w:val="en-GB"/>
        </w:rPr>
        <w:t>R</w:t>
      </w:r>
      <w:r w:rsidRPr="006365AA">
        <w:rPr>
          <w:rFonts w:cs="Calibri"/>
          <w:sz w:val="21"/>
          <w:szCs w:val="21"/>
          <w:lang w:val="en-GB"/>
        </w:rPr>
        <w:t xml:space="preserve">esource </w:t>
      </w:r>
      <w:r w:rsidR="006B0143">
        <w:rPr>
          <w:rFonts w:cs="Calibri"/>
          <w:sz w:val="21"/>
          <w:szCs w:val="21"/>
          <w:lang w:val="en-GB"/>
        </w:rPr>
        <w:t>E</w:t>
      </w:r>
      <w:r w:rsidRPr="006365AA">
        <w:rPr>
          <w:rFonts w:cs="Calibri"/>
          <w:sz w:val="21"/>
          <w:szCs w:val="21"/>
          <w:lang w:val="en-GB"/>
        </w:rPr>
        <w:t xml:space="preserve">fficiency: </w:t>
      </w:r>
      <w:r w:rsidR="006B0143">
        <w:rPr>
          <w:rFonts w:cs="Calibri"/>
          <w:sz w:val="21"/>
          <w:szCs w:val="21"/>
          <w:lang w:val="en-GB"/>
        </w:rPr>
        <w:t>E</w:t>
      </w:r>
      <w:r w:rsidRPr="006365AA">
        <w:rPr>
          <w:rFonts w:cs="Calibri"/>
          <w:sz w:val="21"/>
          <w:szCs w:val="21"/>
          <w:lang w:val="en-GB"/>
        </w:rPr>
        <w:t>nergy-</w:t>
      </w:r>
      <w:r w:rsidR="006B0143">
        <w:rPr>
          <w:rFonts w:cs="Calibri"/>
          <w:sz w:val="21"/>
          <w:szCs w:val="21"/>
          <w:lang w:val="en-GB"/>
        </w:rPr>
        <w:t>I</w:t>
      </w:r>
      <w:r w:rsidRPr="006365AA">
        <w:rPr>
          <w:rFonts w:cs="Calibri"/>
          <w:sz w:val="21"/>
          <w:szCs w:val="21"/>
          <w:lang w:val="en-GB"/>
        </w:rPr>
        <w:t xml:space="preserve">ntensive </w:t>
      </w:r>
      <w:r w:rsidR="006B0143">
        <w:rPr>
          <w:rFonts w:cs="Calibri"/>
          <w:sz w:val="21"/>
          <w:szCs w:val="21"/>
          <w:lang w:val="en-GB"/>
        </w:rPr>
        <w:t>I</w:t>
      </w:r>
      <w:r w:rsidRPr="006365AA">
        <w:rPr>
          <w:rFonts w:cs="Calibri"/>
          <w:sz w:val="21"/>
          <w:szCs w:val="21"/>
          <w:lang w:val="en-GB"/>
        </w:rPr>
        <w:t xml:space="preserve">ndustry in Poland, </w:t>
      </w:r>
      <w:r w:rsidR="006B0143" w:rsidRPr="006365AA">
        <w:rPr>
          <w:rFonts w:cs="Calibri"/>
          <w:sz w:val="21"/>
          <w:szCs w:val="21"/>
          <w:lang w:val="en-GB"/>
        </w:rPr>
        <w:t xml:space="preserve">Emerson and University of </w:t>
      </w:r>
      <w:r w:rsidRPr="006365AA">
        <w:rPr>
          <w:rFonts w:cs="Calibri"/>
          <w:sz w:val="21"/>
          <w:szCs w:val="21"/>
          <w:lang w:val="en-GB"/>
        </w:rPr>
        <w:t>Cambridge</w:t>
      </w:r>
      <w:r w:rsidR="006B0143">
        <w:rPr>
          <w:rFonts w:cs="Calibri"/>
          <w:sz w:val="21"/>
          <w:szCs w:val="21"/>
          <w:lang w:val="en-GB"/>
        </w:rPr>
        <w:t>,</w:t>
      </w:r>
      <w:r w:rsidR="006B0143" w:rsidRPr="006365AA">
        <w:rPr>
          <w:rFonts w:cs="Calibri"/>
          <w:sz w:val="21"/>
          <w:szCs w:val="21"/>
          <w:lang w:val="en-GB"/>
        </w:rPr>
        <w:t xml:space="preserve"> </w:t>
      </w:r>
      <w:r w:rsidRPr="006365AA">
        <w:rPr>
          <w:rFonts w:cs="Calibri"/>
          <w:sz w:val="21"/>
          <w:szCs w:val="21"/>
          <w:lang w:val="en-GB"/>
        </w:rPr>
        <w:t>Cambridge</w:t>
      </w:r>
      <w:r w:rsidR="006B0143">
        <w:rPr>
          <w:rFonts w:cs="Calibri"/>
          <w:sz w:val="21"/>
          <w:szCs w:val="21"/>
          <w:lang w:val="en-GB"/>
        </w:rPr>
        <w:t xml:space="preserve">, </w:t>
      </w:r>
      <w:r w:rsidR="006B0143" w:rsidRPr="006365AA">
        <w:rPr>
          <w:rFonts w:cs="Calibri"/>
          <w:sz w:val="21"/>
          <w:szCs w:val="21"/>
          <w:lang w:val="en-GB"/>
        </w:rPr>
        <w:t>2018</w:t>
      </w:r>
      <w:r w:rsidRPr="006365AA">
        <w:rPr>
          <w:rFonts w:cs="Calibri"/>
          <w:sz w:val="21"/>
          <w:szCs w:val="21"/>
          <w:lang w:val="en-GB"/>
        </w:rPr>
        <w:t xml:space="preserve"> </w:t>
      </w:r>
    </w:p>
    <w:p w14:paraId="6A75747B" w14:textId="6EF14706" w:rsidR="005B060B" w:rsidRDefault="005B060B" w:rsidP="005B060B">
      <w:pPr>
        <w:spacing w:after="0" w:line="240" w:lineRule="auto"/>
        <w:rPr>
          <w:rFonts w:cs="Calibri"/>
          <w:sz w:val="21"/>
          <w:szCs w:val="21"/>
          <w:lang w:val="en-GB"/>
        </w:rPr>
      </w:pPr>
      <w:r w:rsidRPr="00A30C03">
        <w:rPr>
          <w:rFonts w:cs="Calibri"/>
          <w:sz w:val="21"/>
          <w:szCs w:val="21"/>
          <w:lang w:val="en-GB"/>
        </w:rPr>
        <w:t>https://ec.europa.eu/eurostat/web/sdi/main-tables</w:t>
      </w:r>
    </w:p>
    <w:p w14:paraId="74E5C5FB" w14:textId="4FAF4A0F" w:rsidR="005B060B" w:rsidRPr="00A862D0" w:rsidRDefault="005B060B" w:rsidP="005B060B">
      <w:pPr>
        <w:spacing w:after="0" w:line="240" w:lineRule="auto"/>
        <w:rPr>
          <w:rFonts w:cs="Calibri"/>
          <w:sz w:val="21"/>
          <w:szCs w:val="21"/>
        </w:rPr>
      </w:pPr>
      <w:r w:rsidRPr="00A862D0">
        <w:rPr>
          <w:rFonts w:cs="Calibri"/>
          <w:sz w:val="21"/>
          <w:szCs w:val="21"/>
        </w:rPr>
        <w:t xml:space="preserve">Ochrona środowiska 2020, </w:t>
      </w:r>
      <w:r w:rsidR="006B0143" w:rsidRPr="00A862D0">
        <w:rPr>
          <w:rFonts w:cs="Calibri"/>
          <w:sz w:val="21"/>
          <w:szCs w:val="21"/>
        </w:rPr>
        <w:t>GUS</w:t>
      </w:r>
      <w:r w:rsidR="006B0143">
        <w:rPr>
          <w:rFonts w:cs="Calibri"/>
          <w:sz w:val="21"/>
          <w:szCs w:val="21"/>
        </w:rPr>
        <w:t>,</w:t>
      </w:r>
      <w:r w:rsidR="006B0143" w:rsidRPr="00A862D0">
        <w:rPr>
          <w:rFonts w:cs="Calibri"/>
          <w:sz w:val="21"/>
          <w:szCs w:val="21"/>
        </w:rPr>
        <w:t xml:space="preserve"> </w:t>
      </w:r>
      <w:r w:rsidRPr="00A862D0">
        <w:rPr>
          <w:rFonts w:cs="Calibri"/>
          <w:sz w:val="21"/>
          <w:szCs w:val="21"/>
        </w:rPr>
        <w:t>Warszawa 2020</w:t>
      </w:r>
    </w:p>
    <w:p w14:paraId="2DE91CA1" w14:textId="77777777" w:rsidR="005B060B" w:rsidRPr="00A862D0" w:rsidRDefault="005B060B" w:rsidP="005B060B">
      <w:pPr>
        <w:spacing w:after="0" w:line="240" w:lineRule="auto"/>
        <w:rPr>
          <w:rFonts w:cs="Calibri"/>
          <w:sz w:val="21"/>
          <w:szCs w:val="21"/>
        </w:rPr>
      </w:pPr>
      <w:r w:rsidRPr="00A862D0">
        <w:rPr>
          <w:rFonts w:cs="Calibri"/>
          <w:sz w:val="21"/>
          <w:szCs w:val="21"/>
        </w:rPr>
        <w:t>https://stat.gov.pl/obszary-tematyczne/srodowisko-energia/srodowisko/ochrona-srodowiska-2020,1,21.html</w:t>
      </w:r>
    </w:p>
    <w:p w14:paraId="62FC1C6F" w14:textId="12B90183" w:rsidR="005B060B" w:rsidRPr="00A862D0" w:rsidRDefault="005B060B" w:rsidP="005B060B">
      <w:pPr>
        <w:spacing w:after="0" w:line="240" w:lineRule="auto"/>
        <w:rPr>
          <w:rFonts w:cs="Calibri"/>
          <w:sz w:val="21"/>
          <w:szCs w:val="21"/>
        </w:rPr>
      </w:pPr>
      <w:r w:rsidRPr="00A862D0">
        <w:rPr>
          <w:rFonts w:cs="Calibri"/>
          <w:sz w:val="21"/>
          <w:szCs w:val="21"/>
        </w:rPr>
        <w:t>Gospodarka materiałowa</w:t>
      </w:r>
      <w:r w:rsidR="006343E1">
        <w:rPr>
          <w:rFonts w:cs="Calibri"/>
          <w:sz w:val="21"/>
          <w:szCs w:val="21"/>
        </w:rPr>
        <w:t xml:space="preserve"> </w:t>
      </w:r>
      <w:r w:rsidR="006343E1" w:rsidRPr="00A862D0">
        <w:rPr>
          <w:rFonts w:cs="Calibri"/>
          <w:sz w:val="21"/>
          <w:szCs w:val="21"/>
        </w:rPr>
        <w:t>w</w:t>
      </w:r>
      <w:r w:rsidR="006343E1">
        <w:rPr>
          <w:rFonts w:cs="Calibri"/>
          <w:sz w:val="21"/>
          <w:szCs w:val="21"/>
        </w:rPr>
        <w:t> </w:t>
      </w:r>
      <w:r w:rsidRPr="00A862D0">
        <w:rPr>
          <w:rFonts w:cs="Calibri"/>
          <w:sz w:val="21"/>
          <w:szCs w:val="21"/>
        </w:rPr>
        <w:t xml:space="preserve">2019 r., </w:t>
      </w:r>
      <w:r w:rsidR="006B0143" w:rsidRPr="00A862D0">
        <w:rPr>
          <w:rFonts w:cs="Calibri"/>
          <w:sz w:val="21"/>
          <w:szCs w:val="21"/>
        </w:rPr>
        <w:t>GUS</w:t>
      </w:r>
      <w:r w:rsidR="006B0143">
        <w:rPr>
          <w:rFonts w:cs="Calibri"/>
          <w:sz w:val="21"/>
          <w:szCs w:val="21"/>
        </w:rPr>
        <w:t>,</w:t>
      </w:r>
      <w:r w:rsidR="006B0143" w:rsidRPr="00A862D0">
        <w:rPr>
          <w:rFonts w:cs="Calibri"/>
          <w:sz w:val="21"/>
          <w:szCs w:val="21"/>
        </w:rPr>
        <w:t xml:space="preserve"> </w:t>
      </w:r>
      <w:r w:rsidRPr="00A862D0">
        <w:rPr>
          <w:rFonts w:cs="Calibri"/>
          <w:sz w:val="21"/>
          <w:szCs w:val="21"/>
        </w:rPr>
        <w:t>Warszawa 2020</w:t>
      </w:r>
    </w:p>
    <w:p w14:paraId="7CDBC741" w14:textId="30A16265" w:rsidR="005B060B" w:rsidRPr="00A862D0" w:rsidRDefault="005B060B" w:rsidP="005B060B">
      <w:pPr>
        <w:spacing w:after="0" w:line="240" w:lineRule="auto"/>
        <w:rPr>
          <w:rFonts w:cs="Calibri"/>
          <w:sz w:val="21"/>
          <w:szCs w:val="21"/>
        </w:rPr>
      </w:pPr>
      <w:r w:rsidRPr="00A30C03">
        <w:rPr>
          <w:rFonts w:cs="Calibri"/>
          <w:sz w:val="21"/>
          <w:szCs w:val="21"/>
        </w:rPr>
        <w:t>https://stat.gov.pl/obszary-tematyczne/przemysl-budownictwo-srodki-trwale/przemysl/gospodarka-materialowa-w-2019-roku,6,15.html</w:t>
      </w:r>
    </w:p>
    <w:p w14:paraId="16780F43" w14:textId="77777777" w:rsidR="005B060B" w:rsidRPr="00A862D0" w:rsidRDefault="005B060B" w:rsidP="005B060B">
      <w:pPr>
        <w:spacing w:after="0" w:line="240" w:lineRule="auto"/>
        <w:rPr>
          <w:rFonts w:cs="Calibri"/>
          <w:sz w:val="21"/>
          <w:szCs w:val="21"/>
        </w:rPr>
      </w:pPr>
      <w:r w:rsidRPr="00A862D0">
        <w:rPr>
          <w:rFonts w:cs="Calibri"/>
          <w:sz w:val="21"/>
          <w:szCs w:val="21"/>
        </w:rPr>
        <w:t>https://stat.gov.pl/obszary-tematyczne/srodowisko-energia/energia/energia-2020-folder,1,8.html</w:t>
      </w:r>
    </w:p>
    <w:p w14:paraId="16EE408E" w14:textId="5E7BACD2" w:rsidR="005B060B" w:rsidRPr="00A862D0" w:rsidRDefault="005B060B" w:rsidP="005B060B">
      <w:pPr>
        <w:spacing w:after="0" w:line="240" w:lineRule="auto"/>
        <w:rPr>
          <w:rFonts w:cs="Calibri"/>
          <w:sz w:val="21"/>
          <w:szCs w:val="21"/>
        </w:rPr>
      </w:pPr>
      <w:r w:rsidRPr="00A862D0">
        <w:rPr>
          <w:rFonts w:cs="Calibri"/>
          <w:sz w:val="21"/>
          <w:szCs w:val="21"/>
        </w:rPr>
        <w:t>Energia ze źródeł odnawialnych</w:t>
      </w:r>
      <w:r w:rsidR="006343E1">
        <w:rPr>
          <w:rFonts w:cs="Calibri"/>
          <w:sz w:val="21"/>
          <w:szCs w:val="21"/>
        </w:rPr>
        <w:t xml:space="preserve"> </w:t>
      </w:r>
      <w:r w:rsidR="006343E1" w:rsidRPr="00A862D0">
        <w:rPr>
          <w:rFonts w:cs="Calibri"/>
          <w:sz w:val="21"/>
          <w:szCs w:val="21"/>
        </w:rPr>
        <w:t>w</w:t>
      </w:r>
      <w:r w:rsidR="006343E1">
        <w:rPr>
          <w:rFonts w:cs="Calibri"/>
          <w:sz w:val="21"/>
          <w:szCs w:val="21"/>
        </w:rPr>
        <w:t> </w:t>
      </w:r>
      <w:r w:rsidRPr="00A862D0">
        <w:rPr>
          <w:rFonts w:cs="Calibri"/>
          <w:sz w:val="21"/>
          <w:szCs w:val="21"/>
        </w:rPr>
        <w:t xml:space="preserve">2019 r., </w:t>
      </w:r>
      <w:r w:rsidR="006B0143" w:rsidRPr="00A862D0">
        <w:rPr>
          <w:rFonts w:cs="Calibri"/>
          <w:sz w:val="21"/>
          <w:szCs w:val="21"/>
        </w:rPr>
        <w:t>GUS</w:t>
      </w:r>
      <w:r w:rsidR="006B0143">
        <w:rPr>
          <w:rFonts w:cs="Calibri"/>
          <w:sz w:val="21"/>
          <w:szCs w:val="21"/>
        </w:rPr>
        <w:t>,</w:t>
      </w:r>
      <w:r w:rsidR="006B0143" w:rsidRPr="00A862D0">
        <w:rPr>
          <w:rFonts w:cs="Calibri"/>
          <w:sz w:val="21"/>
          <w:szCs w:val="21"/>
        </w:rPr>
        <w:t xml:space="preserve"> </w:t>
      </w:r>
      <w:r w:rsidRPr="00A862D0">
        <w:rPr>
          <w:rFonts w:cs="Calibri"/>
          <w:sz w:val="21"/>
          <w:szCs w:val="21"/>
        </w:rPr>
        <w:t>Warszawa 2020</w:t>
      </w:r>
    </w:p>
    <w:p w14:paraId="69A64DFC" w14:textId="5FD7F4E0" w:rsidR="006B0143" w:rsidRDefault="005B060B" w:rsidP="005B060B">
      <w:pPr>
        <w:spacing w:after="0" w:line="240" w:lineRule="auto"/>
        <w:rPr>
          <w:rFonts w:cs="Calibri"/>
          <w:sz w:val="21"/>
          <w:szCs w:val="21"/>
        </w:rPr>
      </w:pPr>
      <w:r w:rsidRPr="00A862D0">
        <w:rPr>
          <w:rFonts w:cs="Calibri"/>
          <w:sz w:val="21"/>
          <w:szCs w:val="21"/>
        </w:rPr>
        <w:t>KOBIZE</w:t>
      </w:r>
      <w:r w:rsidR="006B0143">
        <w:rPr>
          <w:rFonts w:cs="Calibri"/>
          <w:sz w:val="21"/>
          <w:szCs w:val="21"/>
        </w:rPr>
        <w:t> </w:t>
      </w:r>
      <w:r w:rsidRPr="00A862D0">
        <w:rPr>
          <w:rFonts w:cs="Calibri"/>
          <w:sz w:val="21"/>
          <w:szCs w:val="21"/>
        </w:rPr>
        <w:t>https://www.kobize.pl/uploads/materialy/materialy_do_pobrania/krajowa_inwentaryzacja_emisji/NIR_2020_</w:t>
      </w:r>
    </w:p>
    <w:p w14:paraId="4D2F3870" w14:textId="77777777" w:rsidR="005B060B" w:rsidRPr="00CB07D4" w:rsidRDefault="006B0143" w:rsidP="005B060B">
      <w:pPr>
        <w:spacing w:after="0" w:line="240" w:lineRule="auto"/>
        <w:rPr>
          <w:sz w:val="21"/>
          <w:lang w:val="en-US"/>
        </w:rPr>
      </w:pPr>
      <w:r w:rsidRPr="00CB07D4">
        <w:rPr>
          <w:rFonts w:cs="Calibri"/>
          <w:sz w:val="21"/>
          <w:szCs w:val="21"/>
          <w:lang w:val="en-US"/>
        </w:rPr>
        <w:t>raport</w:t>
      </w:r>
      <w:r w:rsidR="005B060B" w:rsidRPr="00CB07D4">
        <w:rPr>
          <w:sz w:val="21"/>
          <w:lang w:val="en-US"/>
        </w:rPr>
        <w:t>_syntetyczny_PL.pdf</w:t>
      </w:r>
    </w:p>
    <w:p w14:paraId="33EE8400" w14:textId="77777777" w:rsidR="00A30C03" w:rsidRDefault="005B060B" w:rsidP="005B060B">
      <w:pPr>
        <w:spacing w:after="0" w:line="240" w:lineRule="auto"/>
        <w:rPr>
          <w:rFonts w:cs="Calibri"/>
          <w:sz w:val="21"/>
          <w:szCs w:val="21"/>
          <w:lang w:val="en-US"/>
        </w:rPr>
      </w:pPr>
      <w:r w:rsidRPr="00664BA2">
        <w:rPr>
          <w:rFonts w:cs="Calibri"/>
          <w:sz w:val="21"/>
          <w:szCs w:val="21"/>
          <w:lang w:val="en-US"/>
        </w:rPr>
        <w:t xml:space="preserve">IEA (2020), Energy Efficiency 2020, IEA, Paris </w:t>
      </w:r>
    </w:p>
    <w:p w14:paraId="27950B03" w14:textId="604AD16F" w:rsidR="005B060B" w:rsidRPr="00664BA2" w:rsidRDefault="005B060B" w:rsidP="005B060B">
      <w:pPr>
        <w:spacing w:after="0" w:line="240" w:lineRule="auto"/>
        <w:rPr>
          <w:rFonts w:cs="Calibri"/>
          <w:sz w:val="21"/>
          <w:szCs w:val="21"/>
          <w:lang w:val="en-US"/>
        </w:rPr>
      </w:pPr>
      <w:r w:rsidRPr="00A30C03">
        <w:rPr>
          <w:rFonts w:cs="Calibri"/>
          <w:sz w:val="21"/>
          <w:szCs w:val="21"/>
          <w:lang w:val="en-US"/>
        </w:rPr>
        <w:t>https://www.iea.org/reports/energy-efficiency-2020</w:t>
      </w:r>
    </w:p>
    <w:p w14:paraId="1BD44244" w14:textId="7ADA0FBC" w:rsidR="005B060B" w:rsidRPr="00A862D0" w:rsidRDefault="005B060B" w:rsidP="005B060B">
      <w:pPr>
        <w:spacing w:after="0" w:line="240" w:lineRule="auto"/>
        <w:rPr>
          <w:rFonts w:cs="Calibri"/>
          <w:sz w:val="21"/>
          <w:szCs w:val="21"/>
        </w:rPr>
      </w:pPr>
      <w:r w:rsidRPr="00A862D0">
        <w:rPr>
          <w:rFonts w:cs="Calibri"/>
          <w:sz w:val="21"/>
          <w:szCs w:val="21"/>
        </w:rPr>
        <w:t xml:space="preserve">Ekonomiczne aspekty ochrony środowiska 2020, </w:t>
      </w:r>
      <w:r w:rsidR="006B0143" w:rsidRPr="00A862D0">
        <w:rPr>
          <w:rFonts w:cs="Calibri"/>
          <w:sz w:val="21"/>
          <w:szCs w:val="21"/>
        </w:rPr>
        <w:t>GUS</w:t>
      </w:r>
      <w:r w:rsidR="006B0143">
        <w:rPr>
          <w:rFonts w:cs="Calibri"/>
          <w:sz w:val="21"/>
          <w:szCs w:val="21"/>
        </w:rPr>
        <w:t>,</w:t>
      </w:r>
      <w:r w:rsidR="006B0143" w:rsidRPr="00A862D0">
        <w:rPr>
          <w:rFonts w:cs="Calibri"/>
          <w:sz w:val="21"/>
          <w:szCs w:val="21"/>
        </w:rPr>
        <w:t xml:space="preserve"> </w:t>
      </w:r>
      <w:r w:rsidRPr="00A862D0">
        <w:rPr>
          <w:rFonts w:cs="Calibri"/>
          <w:sz w:val="21"/>
          <w:szCs w:val="21"/>
        </w:rPr>
        <w:t>Warszawa 2020</w:t>
      </w:r>
    </w:p>
    <w:p w14:paraId="05F7747B" w14:textId="5B0BC0F7" w:rsidR="00302496" w:rsidRPr="00A862D0" w:rsidRDefault="0048506E" w:rsidP="005B060B">
      <w:pPr>
        <w:spacing w:after="0" w:line="240" w:lineRule="auto"/>
        <w:rPr>
          <w:rFonts w:cs="Calibri"/>
          <w:sz w:val="21"/>
          <w:szCs w:val="21"/>
        </w:rPr>
      </w:pPr>
      <w:r w:rsidRPr="0052077D">
        <w:rPr>
          <w:rFonts w:cs="Calibri"/>
          <w:sz w:val="21"/>
          <w:szCs w:val="21"/>
        </w:rPr>
        <w:t>https://stat.gov.pl/obszary-tematyczne/srodowisko-energia/srodowisko/ekonomiczne-aspekty-ochrony-srodowiska-2020,14,2.html</w:t>
      </w:r>
    </w:p>
    <w:p w14:paraId="5C04330A" w14:textId="7B882FEF" w:rsidR="0069452A" w:rsidRPr="00254AB9" w:rsidRDefault="0069452A" w:rsidP="00EA60A4">
      <w:pPr>
        <w:pStyle w:val="Nagwek1"/>
        <w:pageBreakBefore/>
        <w:numPr>
          <w:ilvl w:val="0"/>
          <w:numId w:val="1"/>
        </w:numPr>
        <w:spacing w:before="0" w:line="240" w:lineRule="auto"/>
        <w:rPr>
          <w:rFonts w:ascii="Calibri" w:hAnsi="Calibri" w:cs="Calibri"/>
          <w:sz w:val="32"/>
          <w:szCs w:val="32"/>
        </w:rPr>
      </w:pPr>
      <w:bookmarkStart w:id="61" w:name="_Toc31808503"/>
      <w:bookmarkStart w:id="62" w:name="_Toc106968786"/>
      <w:r w:rsidRPr="00254AB9">
        <w:rPr>
          <w:rFonts w:ascii="Calibri" w:hAnsi="Calibri" w:cs="Calibri"/>
          <w:sz w:val="32"/>
          <w:szCs w:val="32"/>
        </w:rPr>
        <w:lastRenderedPageBreak/>
        <w:t>Kompetencje – umiejętności</w:t>
      </w:r>
      <w:bookmarkEnd w:id="33"/>
      <w:bookmarkEnd w:id="61"/>
      <w:bookmarkEnd w:id="62"/>
    </w:p>
    <w:p w14:paraId="591898D1" w14:textId="77777777" w:rsidR="00D53CBC" w:rsidRPr="00254AB9" w:rsidRDefault="00D53CBC" w:rsidP="00D53CBC">
      <w:r w:rsidRPr="00254AB9">
        <w:t>Kompetencje i umiejętności należą do kluczowych czynników wpływających na poziom życia społeczno-</w:t>
      </w:r>
      <w:r w:rsidR="006B0143">
        <w:br/>
        <w:t>-</w:t>
      </w:r>
      <w:r w:rsidRPr="00254AB9">
        <w:t>gospodarczego. Bez odpowiedniego inwestowania w umiejętności wzrasta grupa osób, którym grozi wykluczenie społeczne, a postęp technologiczny nie przekłada się na wzrost gospodarczy. Ponadto</w:t>
      </w:r>
      <w:r>
        <w:t xml:space="preserve"> rozwój gospodarczy,</w:t>
      </w:r>
      <w:r w:rsidRPr="00254AB9">
        <w:t xml:space="preserve"> globalizacja, postęp technologiczny, cyfryzacja, niekorzystne zmiany demograficzne (starzejące się społeczeństwo) wywołują dynamiczne zmiany wpływające na rynek pracy, co przekłada się na zmieniające się zapotrzebowanie na umiejętności, jak również kompetencje.</w:t>
      </w:r>
    </w:p>
    <w:p w14:paraId="1FAB6724" w14:textId="77777777" w:rsidR="00D53CBC" w:rsidRDefault="00D53CBC" w:rsidP="00D53CBC">
      <w:r w:rsidRPr="00532AAD">
        <w:t xml:space="preserve">Powszechnym </w:t>
      </w:r>
      <w:r>
        <w:t>wyzwaniem</w:t>
      </w:r>
      <w:r w:rsidRPr="00D33A15">
        <w:t xml:space="preserve"> </w:t>
      </w:r>
      <w:r>
        <w:t xml:space="preserve">dla </w:t>
      </w:r>
      <w:r w:rsidRPr="0071522C">
        <w:t>systemów edukacji</w:t>
      </w:r>
      <w:r>
        <w:t xml:space="preserve">, w tym </w:t>
      </w:r>
      <w:r w:rsidR="006B0143">
        <w:t xml:space="preserve">dla </w:t>
      </w:r>
      <w:r>
        <w:t>systemu edukacji w Polsce</w:t>
      </w:r>
      <w:r w:rsidR="006B0143">
        <w:t>,</w:t>
      </w:r>
      <w:r w:rsidRPr="00532AAD">
        <w:t xml:space="preserve"> jest dopasowanie </w:t>
      </w:r>
      <w:r>
        <w:t xml:space="preserve">ich </w:t>
      </w:r>
      <w:r w:rsidRPr="00532AAD">
        <w:t xml:space="preserve"> do potrzeb aktualnego i prognozowanego na przyszłość stanu rynku pracy. </w:t>
      </w:r>
      <w:r>
        <w:t>Brak takiego dopasowania może tworzyć</w:t>
      </w:r>
      <w:r w:rsidRPr="0071522C">
        <w:t xml:space="preserve"> </w:t>
      </w:r>
      <w:r w:rsidRPr="00532AAD">
        <w:t>barier</w:t>
      </w:r>
      <w:r>
        <w:t>ę</w:t>
      </w:r>
      <w:r w:rsidRPr="00532AAD">
        <w:t xml:space="preserve"> dla ewolucji struktury wytwarzania dóbr i usług w kierunku umożliwiającym trwały wzrost gospodarczy. Obok konkretnych umiejętności zawodowych wsparcia wymagają </w:t>
      </w:r>
      <w:r>
        <w:t xml:space="preserve">umiejętności </w:t>
      </w:r>
      <w:r w:rsidRPr="00532AAD">
        <w:t>ogólne</w:t>
      </w:r>
      <w:r>
        <w:t xml:space="preserve"> i</w:t>
      </w:r>
      <w:r w:rsidRPr="00532AAD">
        <w:t xml:space="preserve"> postawy istotne dla funkcjonowania w życiu społecznym i gospodarczym, takie jak</w:t>
      </w:r>
      <w:r w:rsidR="001B3E79">
        <w:t>:</w:t>
      </w:r>
      <w:r w:rsidRPr="00532AAD">
        <w:t xml:space="preserve"> komunikatywność, kreatywność, umiejętność uczenia się czy umiejętność współpracy, które należy kształcić na każdym etapie edukacji od najwcześniejszych lat. </w:t>
      </w:r>
    </w:p>
    <w:p w14:paraId="0DA0820F" w14:textId="46C2C6C1" w:rsidR="00D53CBC" w:rsidRDefault="00D53CBC" w:rsidP="00D53CBC">
      <w:r>
        <w:t>Na dotychczas obserwowane</w:t>
      </w:r>
      <w:r w:rsidRPr="00532AAD">
        <w:t xml:space="preserve"> niedostatki w zakresie jakości kapitału ludzkiego w Polsce </w:t>
      </w:r>
      <w:r>
        <w:t>mogły mieć wpływ</w:t>
      </w:r>
      <w:r w:rsidRPr="00532AAD">
        <w:t xml:space="preserve"> m.in. bariery w obszarze edukacji, takie jak niedomagania w systemie kształcenia i awansu zawodowego nauczycieli oraz niewystarczająca intensywność współpracy na praktycznie wszystkich szczeblach (np. uczelnie</w:t>
      </w:r>
      <w:r w:rsidR="001B3E79">
        <w:t xml:space="preserve"> </w:t>
      </w:r>
      <w:r w:rsidR="001B3E79">
        <w:rPr>
          <w:rFonts w:ascii="Times New Roman" w:hAnsi="Times New Roman" w:cs="Times New Roman"/>
        </w:rPr>
        <w:t xml:space="preserve">– </w:t>
      </w:r>
      <w:r w:rsidRPr="00532AAD">
        <w:t>uczelnie, uczelnie</w:t>
      </w:r>
      <w:r w:rsidR="001B3E79">
        <w:t xml:space="preserve"> </w:t>
      </w:r>
      <w:r w:rsidR="001B3E79">
        <w:rPr>
          <w:rFonts w:ascii="Times New Roman" w:hAnsi="Times New Roman" w:cs="Times New Roman"/>
        </w:rPr>
        <w:t xml:space="preserve">– </w:t>
      </w:r>
      <w:r w:rsidRPr="00532AAD">
        <w:t>szkoły, uczelnie</w:t>
      </w:r>
      <w:r w:rsidR="001B3E79">
        <w:t xml:space="preserve"> </w:t>
      </w:r>
      <w:r w:rsidR="001B3E79">
        <w:rPr>
          <w:rFonts w:ascii="Times New Roman" w:hAnsi="Times New Roman" w:cs="Times New Roman"/>
        </w:rPr>
        <w:t xml:space="preserve">– </w:t>
      </w:r>
      <w:r w:rsidRPr="00532AAD">
        <w:t>firmy, szkoły</w:t>
      </w:r>
      <w:r w:rsidR="001B3E79">
        <w:t xml:space="preserve"> </w:t>
      </w:r>
      <w:r w:rsidR="001B3E79">
        <w:rPr>
          <w:rFonts w:ascii="Times New Roman" w:hAnsi="Times New Roman" w:cs="Times New Roman"/>
        </w:rPr>
        <w:t xml:space="preserve">– </w:t>
      </w:r>
      <w:r w:rsidRPr="00532AAD">
        <w:t>firmy).</w:t>
      </w:r>
      <w:r w:rsidRPr="00254AB9">
        <w:t xml:space="preserve"> Dodatkowe problemy pojawiają się również na lokalnych czy też regionalnych rynkach pracy, </w:t>
      </w:r>
      <w:r w:rsidR="001B3E79">
        <w:t>na których</w:t>
      </w:r>
      <w:r>
        <w:t xml:space="preserve"> istnieje</w:t>
      </w:r>
      <w:r w:rsidRPr="00254AB9">
        <w:t xml:space="preserve"> problem niedopasowania podaży i popytu </w:t>
      </w:r>
      <w:r>
        <w:t>na umiejętności</w:t>
      </w:r>
      <w:r w:rsidRPr="00254AB9">
        <w:t>.</w:t>
      </w:r>
    </w:p>
    <w:p w14:paraId="61AA32D8" w14:textId="699BDAE2" w:rsidR="00D53CBC" w:rsidRPr="00254AB9" w:rsidRDefault="00D53CBC" w:rsidP="00D53CBC">
      <w:r>
        <w:t xml:space="preserve">Przyjęta przez </w:t>
      </w:r>
      <w:r w:rsidR="0053714B">
        <w:t>r</w:t>
      </w:r>
      <w:r>
        <w:t>ząd R</w:t>
      </w:r>
      <w:r w:rsidR="001B3E79">
        <w:t xml:space="preserve">zeczypospolitej </w:t>
      </w:r>
      <w:r>
        <w:t>P</w:t>
      </w:r>
      <w:r w:rsidR="001B3E79">
        <w:t>olskiej</w:t>
      </w:r>
      <w:r>
        <w:t xml:space="preserve"> </w:t>
      </w:r>
      <w:r w:rsidRPr="00CB07D4">
        <w:rPr>
          <w:i/>
        </w:rPr>
        <w:t xml:space="preserve">Strategia na </w:t>
      </w:r>
      <w:r w:rsidR="0053714B" w:rsidRPr="00CB07D4">
        <w:rPr>
          <w:i/>
        </w:rPr>
        <w:t>r</w:t>
      </w:r>
      <w:r w:rsidRPr="00CB07D4">
        <w:rPr>
          <w:i/>
        </w:rPr>
        <w:t xml:space="preserve">zecz </w:t>
      </w:r>
      <w:r w:rsidR="0008591A" w:rsidRPr="00CB07D4">
        <w:rPr>
          <w:i/>
        </w:rPr>
        <w:t>O</w:t>
      </w:r>
      <w:r w:rsidRPr="00CB07D4">
        <w:rPr>
          <w:i/>
        </w:rPr>
        <w:t xml:space="preserve">dpowiedzialnego </w:t>
      </w:r>
      <w:r w:rsidR="0008591A" w:rsidRPr="00CB07D4">
        <w:rPr>
          <w:i/>
        </w:rPr>
        <w:t>R</w:t>
      </w:r>
      <w:r w:rsidRPr="00CB07D4">
        <w:rPr>
          <w:i/>
        </w:rPr>
        <w:t>ozwoju</w:t>
      </w:r>
      <w:r>
        <w:t xml:space="preserve"> wskazuje na konieczność dopasowania systemu kształcenia zawodowego do potrzeb nowoczesnej gospodarki. Obserwowany w ostatnich latach rozwój polskiej gospodarki oraz zmiany zachodzące na rynku pracy wzmacniają popyt na wysoko kwalifikowaną kadrę. Wyzwaniom tym musi sprostać kształcenie zawodowe, które obok szkolnictwa wyższego ma największy wpływ na przygotowanie nowoczesnych kadr dla polskiej gospodarki. Wdrażana od września 2019 r. reforma kształcenia zawodowego ma na celu odbudowę prestiżu kształcenia zawodowego w Polsce poprzez poprawę jakości i efektywności kształcenia w szkołach i placówkach. Wprowadzone zmiany</w:t>
      </w:r>
      <w:r w:rsidRPr="00BC2478">
        <w:t xml:space="preserve"> </w:t>
      </w:r>
      <w:r>
        <w:t>uwzględniają włączanie wszystkich kluczowych partnerów kształcenia zawodowego w działania służące systematycznemu dostosowywaniu tego kształcenia do potrzeb rynku pracy, wychodzą naprzeciw oczekiwaniom środowiska pracodawców. Z punktu widzenia pracodawców zmiany te zapewniają konkretne instrumenty służące powiązaniu edukacji z rynkiem pracy.</w:t>
      </w:r>
    </w:p>
    <w:p w14:paraId="596D678D" w14:textId="11942FD0" w:rsidR="00D53CBC" w:rsidRPr="00254AB9" w:rsidRDefault="00D53CBC" w:rsidP="00D53CBC">
      <w:r w:rsidRPr="00254AB9">
        <w:t>Dynamicznie zmieniające się uwarunkowania oraz konieczność sprostania dylematom rozwoju rodzą nowe wyzwania</w:t>
      </w:r>
      <w:r w:rsidR="001B3E79">
        <w:t>,</w:t>
      </w:r>
      <w:r w:rsidRPr="00254AB9">
        <w:t xml:space="preserve"> jakim muszą sprostać polska nauka i szkolnictwo wyższe. Współpraca szkół i uczelni z rynkiem pracy pozostawia wiele do życzenia. Zarówno na płaszczyźnie kształcenia (niewielki udział kadry z praktyki w dydaktyce), </w:t>
      </w:r>
      <w:r w:rsidR="001B3E79">
        <w:t xml:space="preserve">jak i </w:t>
      </w:r>
      <w:r w:rsidRPr="00254AB9">
        <w:t>wspólnych przed</w:t>
      </w:r>
      <w:r w:rsidRPr="00254AB9">
        <w:softHyphen/>
        <w:t xml:space="preserve">sięwzięć badawczych (często łatwiejsze i szybsze jest realizowanie badań we własnym zakresie niż zlecenie ich placówce badawczej uczelni) i przepływu informacji (m.in. o zapotrzebowaniu na kwalifikacje i na temat kwalifikacji zatrudnionych absolwentów szkół i uczelni). Kluczowe jest zatem wydobywanie potencjału wiedzy, umiejętności i kreatywności, która pozwala na realizację aspiracji zawodowych, umożliwia adaptację do ciągle pojawiających się zmian w gospodarce oraz jest niezbędna dla tworzenia nowych, innowacyjnych rozwiązań. </w:t>
      </w:r>
    </w:p>
    <w:p w14:paraId="089F6C26" w14:textId="00C2AE17" w:rsidR="008E15C9" w:rsidRPr="00D53CBC" w:rsidRDefault="00D53CBC" w:rsidP="008E15C9">
      <w:r w:rsidRPr="005773E0">
        <w:t>Mimo ż</w:t>
      </w:r>
      <w:r w:rsidR="00AA0030">
        <w:t>e</w:t>
      </w:r>
      <w:r w:rsidRPr="005773E0">
        <w:t xml:space="preserve"> odsetek osób w wieku 18</w:t>
      </w:r>
      <w:r w:rsidR="001B3E79">
        <w:rPr>
          <w:rFonts w:ascii="Times New Roman" w:hAnsi="Times New Roman" w:cs="Times New Roman"/>
        </w:rPr>
        <w:t>–</w:t>
      </w:r>
      <w:r w:rsidRPr="005773E0">
        <w:t xml:space="preserve">24 lata z niskim wykształceniem i niekontynuujących nauki systematycznie się obniża w ostatnich latach </w:t>
      </w:r>
      <w:r w:rsidR="001B3E79">
        <w:rPr>
          <w:rFonts w:ascii="Times New Roman" w:hAnsi="Times New Roman" w:cs="Times New Roman"/>
        </w:rPr>
        <w:t>–</w:t>
      </w:r>
      <w:r w:rsidR="001B3E79">
        <w:t xml:space="preserve"> </w:t>
      </w:r>
      <w:r w:rsidRPr="005773E0">
        <w:t>w 201</w:t>
      </w:r>
      <w:r>
        <w:t>8</w:t>
      </w:r>
      <w:r w:rsidRPr="005773E0">
        <w:t xml:space="preserve"> </w:t>
      </w:r>
      <w:r w:rsidR="001B3E79">
        <w:t>r.</w:t>
      </w:r>
      <w:r w:rsidRPr="005773E0">
        <w:t xml:space="preserve"> wynosił </w:t>
      </w:r>
      <w:r>
        <w:t>4,8</w:t>
      </w:r>
      <w:r w:rsidRPr="005773E0">
        <w:t>% (w UE – 10,6%)</w:t>
      </w:r>
      <w:r w:rsidR="00AA0030">
        <w:t>,</w:t>
      </w:r>
      <w:r w:rsidRPr="00254AB9">
        <w:t xml:space="preserve"> to nadal konieczna jest poprawa jakości kształcenia na wszystkich jego etapach. W polskiej edukacji należałoby</w:t>
      </w:r>
      <w:r w:rsidRPr="00254AB9">
        <w:rPr>
          <w:b/>
        </w:rPr>
        <w:t xml:space="preserve"> postawić na rozwój jakościowy</w:t>
      </w:r>
      <w:r w:rsidRPr="00254AB9">
        <w:t>, a nie tylko ilościowy – najlepsze polskie uczelnie (mimo że odsetek osób</w:t>
      </w:r>
      <w:r>
        <w:t xml:space="preserve"> w wieku 30-34</w:t>
      </w:r>
      <w:r w:rsidRPr="00254AB9">
        <w:t xml:space="preserve"> z wykształceniem wyższym – 45,</w:t>
      </w:r>
      <w:r>
        <w:t>7</w:t>
      </w:r>
      <w:r w:rsidRPr="00254AB9">
        <w:t>% w 201</w:t>
      </w:r>
      <w:r>
        <w:t>8</w:t>
      </w:r>
      <w:r w:rsidRPr="00254AB9">
        <w:t xml:space="preserve"> r. w stosunku do  40</w:t>
      </w:r>
      <w:r>
        <w:t>,7</w:t>
      </w:r>
      <w:r w:rsidRPr="00254AB9">
        <w:t>% średniej dla U</w:t>
      </w:r>
      <w:r w:rsidR="00AA0030">
        <w:t xml:space="preserve">nii </w:t>
      </w:r>
      <w:r w:rsidRPr="00254AB9">
        <w:t>E</w:t>
      </w:r>
      <w:r w:rsidR="00AA0030">
        <w:t>uropejskiej</w:t>
      </w:r>
      <w:r w:rsidRPr="00254AB9">
        <w:t xml:space="preserve"> – jest imponujący) mieszczą się zaledwie w piątej setce  listy szanghajskiej – prestiżowego rankingu najlepszych uczelni na świecie. </w:t>
      </w:r>
      <w:r w:rsidR="008E15C9">
        <w:rPr>
          <w:rFonts w:cs="Calibri"/>
          <w:sz w:val="21"/>
          <w:szCs w:val="21"/>
        </w:rPr>
        <w:br w:type="page"/>
      </w:r>
    </w:p>
    <w:p w14:paraId="67049092" w14:textId="2C0A77A2" w:rsidR="008E15C9" w:rsidRDefault="008E15C9" w:rsidP="00CB07D4">
      <w:pPr>
        <w:pStyle w:val="Nagwek4"/>
        <w:ind w:left="1134" w:hanging="1134"/>
      </w:pPr>
      <w:r>
        <w:lastRenderedPageBreak/>
        <w:t xml:space="preserve">Wykres </w:t>
      </w:r>
      <w:r w:rsidR="001C3C76">
        <w:rPr>
          <w:noProof/>
        </w:rPr>
        <w:t>33</w:t>
      </w:r>
      <w:r>
        <w:t>. Odsetek osób</w:t>
      </w:r>
      <w:r w:rsidR="006343E1">
        <w:t xml:space="preserve"> z </w:t>
      </w:r>
      <w:r>
        <w:t>wyższym wykształceniem</w:t>
      </w:r>
      <w:r w:rsidR="006343E1">
        <w:t xml:space="preserve"> w </w:t>
      </w:r>
      <w:r>
        <w:t>wieku 30</w:t>
      </w:r>
      <w:r w:rsidR="00AA0030">
        <w:rPr>
          <w:rFonts w:ascii="Times New Roman" w:hAnsi="Times New Roman" w:cs="Times New Roman"/>
        </w:rPr>
        <w:t>–</w:t>
      </w:r>
      <w:r>
        <w:t>34 lat oraz odsetek osób</w:t>
      </w:r>
      <w:r w:rsidR="006343E1">
        <w:t xml:space="preserve"> z </w:t>
      </w:r>
      <w:r>
        <w:t xml:space="preserve">niskim </w:t>
      </w:r>
      <w:r w:rsidR="00AA0030">
        <w:t xml:space="preserve"> </w:t>
      </w:r>
      <w:r>
        <w:t>wykształceniem</w:t>
      </w:r>
      <w:r w:rsidR="006343E1">
        <w:t xml:space="preserve"> i </w:t>
      </w:r>
      <w:r>
        <w:t>niekontynuujących nauki</w:t>
      </w:r>
      <w:r w:rsidR="006343E1">
        <w:t xml:space="preserve"> w </w:t>
      </w:r>
      <w:r>
        <w:t>wieku 18</w:t>
      </w:r>
      <w:r w:rsidR="00AA0030">
        <w:rPr>
          <w:rFonts w:ascii="Times New Roman" w:hAnsi="Times New Roman" w:cs="Times New Roman"/>
        </w:rPr>
        <w:t>–</w:t>
      </w:r>
      <w:r>
        <w:t>24 lat (%)</w:t>
      </w:r>
    </w:p>
    <w:p w14:paraId="352B15AB" w14:textId="08B98026" w:rsidR="008E15C9" w:rsidRDefault="008E15C9" w:rsidP="008E15C9">
      <w:pPr>
        <w:spacing w:after="0" w:line="240" w:lineRule="auto"/>
        <w:rPr>
          <w:rFonts w:cs="Calibri"/>
          <w:i/>
          <w:sz w:val="21"/>
          <w:szCs w:val="21"/>
        </w:rPr>
      </w:pPr>
      <w:r>
        <w:rPr>
          <w:rFonts w:cs="Calibri"/>
          <w:i/>
          <w:noProof/>
          <w:sz w:val="21"/>
          <w:szCs w:val="21"/>
          <w:lang w:eastAsia="pl-PL"/>
        </w:rPr>
        <w:drawing>
          <wp:inline distT="0" distB="0" distL="0" distR="0" wp14:anchorId="5CD2C623" wp14:editId="78CA6CB6">
            <wp:extent cx="4552950" cy="2657475"/>
            <wp:effectExtent l="0" t="0" r="0" b="9525"/>
            <wp:docPr id="84" name="Obraz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552950" cy="2657475"/>
                    </a:xfrm>
                    <a:prstGeom prst="rect">
                      <a:avLst/>
                    </a:prstGeom>
                    <a:noFill/>
                    <a:ln>
                      <a:noFill/>
                    </a:ln>
                  </pic:spPr>
                </pic:pic>
              </a:graphicData>
            </a:graphic>
          </wp:inline>
        </w:drawing>
      </w:r>
    </w:p>
    <w:p w14:paraId="7651EDF9" w14:textId="77777777" w:rsidR="00183D4A" w:rsidRDefault="00183D4A" w:rsidP="00027674">
      <w:pPr>
        <w:pStyle w:val="Bezodstpw"/>
      </w:pPr>
    </w:p>
    <w:p w14:paraId="50EB18C9" w14:textId="3E0C0412" w:rsidR="008E15C9" w:rsidRDefault="008E15C9" w:rsidP="00027674">
      <w:pPr>
        <w:pStyle w:val="Bezodstpw"/>
      </w:pPr>
      <w:r>
        <w:t xml:space="preserve">Źródło: Opracowanie </w:t>
      </w:r>
      <w:r w:rsidR="003A56DA">
        <w:t>MRiT</w:t>
      </w:r>
      <w:r>
        <w:t xml:space="preserve"> na podstawie danych Eurostat</w:t>
      </w:r>
    </w:p>
    <w:p w14:paraId="3324A0FE" w14:textId="4EF52643" w:rsidR="00D26533" w:rsidRDefault="008E15C9" w:rsidP="008E15C9">
      <w:r>
        <w:t>Polska przeżyła boom szkolnictwa wyższego, ale wciąż istnieje znaczny potencjał do podniesienia jakości kształcenia</w:t>
      </w:r>
      <w:r w:rsidR="006343E1">
        <w:t xml:space="preserve"> i </w:t>
      </w:r>
      <w:r>
        <w:t>dostosowania programów do potrzeb teraźniejszego</w:t>
      </w:r>
      <w:r w:rsidR="006343E1">
        <w:t xml:space="preserve"> i </w:t>
      </w:r>
      <w:r w:rsidR="00ED7916">
        <w:t>przyszłego rynku pracy.</w:t>
      </w:r>
    </w:p>
    <w:p w14:paraId="5EE45731" w14:textId="0EFB238F" w:rsidR="008E15C9" w:rsidRDefault="008E15C9" w:rsidP="00027674">
      <w:pPr>
        <w:pStyle w:val="Nagwek4"/>
      </w:pPr>
      <w:r>
        <w:t xml:space="preserve">Wykres </w:t>
      </w:r>
      <w:r w:rsidR="001C3C76">
        <w:rPr>
          <w:noProof/>
        </w:rPr>
        <w:t>34</w:t>
      </w:r>
      <w:r>
        <w:t>. Odsetek osób</w:t>
      </w:r>
      <w:r w:rsidR="006343E1">
        <w:t xml:space="preserve"> w </w:t>
      </w:r>
      <w:r>
        <w:t>wieku 30</w:t>
      </w:r>
      <w:r w:rsidR="00AA0030">
        <w:rPr>
          <w:rFonts w:ascii="Times New Roman" w:hAnsi="Times New Roman" w:cs="Times New Roman"/>
        </w:rPr>
        <w:t>–</w:t>
      </w:r>
      <w:r>
        <w:t>34 lat</w:t>
      </w:r>
      <w:r w:rsidR="006343E1">
        <w:t xml:space="preserve"> z </w:t>
      </w:r>
      <w:r>
        <w:t>wyższym wykształceniem</w:t>
      </w:r>
      <w:r w:rsidR="006343E1">
        <w:t xml:space="preserve"> w </w:t>
      </w:r>
      <w:r>
        <w:t>2019 r.</w:t>
      </w:r>
    </w:p>
    <w:p w14:paraId="78F1DC85" w14:textId="6DD07549" w:rsidR="008E15C9" w:rsidRDefault="008E15C9" w:rsidP="008E15C9">
      <w:pPr>
        <w:spacing w:after="0" w:line="240" w:lineRule="auto"/>
        <w:rPr>
          <w:rFonts w:cs="Calibri"/>
          <w:b/>
          <w:sz w:val="21"/>
          <w:szCs w:val="21"/>
        </w:rPr>
      </w:pPr>
      <w:r>
        <w:rPr>
          <w:rFonts w:cs="Calibri"/>
          <w:b/>
          <w:noProof/>
          <w:sz w:val="21"/>
          <w:szCs w:val="21"/>
          <w:lang w:eastAsia="pl-PL"/>
        </w:rPr>
        <w:drawing>
          <wp:inline distT="0" distB="0" distL="0" distR="0" wp14:anchorId="1D08279A" wp14:editId="1BA6ECA0">
            <wp:extent cx="5724525" cy="2400300"/>
            <wp:effectExtent l="0" t="0" r="9525" b="0"/>
            <wp:docPr id="83" name="Obraz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24525" cy="2400300"/>
                    </a:xfrm>
                    <a:prstGeom prst="rect">
                      <a:avLst/>
                    </a:prstGeom>
                    <a:noFill/>
                    <a:ln>
                      <a:noFill/>
                    </a:ln>
                  </pic:spPr>
                </pic:pic>
              </a:graphicData>
            </a:graphic>
          </wp:inline>
        </w:drawing>
      </w:r>
    </w:p>
    <w:p w14:paraId="43D24FF3" w14:textId="77777777" w:rsidR="00183D4A" w:rsidRDefault="00183D4A" w:rsidP="00027674">
      <w:pPr>
        <w:pStyle w:val="Bezodstpw"/>
      </w:pPr>
    </w:p>
    <w:p w14:paraId="046EFE9D" w14:textId="634B80F5" w:rsidR="008E15C9" w:rsidRDefault="008E15C9" w:rsidP="00027674">
      <w:pPr>
        <w:pStyle w:val="Bezodstpw"/>
      </w:pPr>
      <w:r>
        <w:t xml:space="preserve">Źródło: Opracowanie </w:t>
      </w:r>
      <w:r w:rsidRPr="00027674">
        <w:t>MRiPS</w:t>
      </w:r>
      <w:r>
        <w:t xml:space="preserve"> na podstawie danych Eurostat</w:t>
      </w:r>
    </w:p>
    <w:p w14:paraId="312A859B" w14:textId="4EDF113F" w:rsidR="008E15C9" w:rsidRDefault="008E15C9" w:rsidP="00027674">
      <w:r>
        <w:t>Wykres</w:t>
      </w:r>
      <w:r>
        <w:rPr>
          <w:b/>
        </w:rPr>
        <w:t xml:space="preserve"> </w:t>
      </w:r>
      <w:r>
        <w:t>3</w:t>
      </w:r>
      <w:r w:rsidR="001C3C76">
        <w:t>4</w:t>
      </w:r>
      <w:r>
        <w:rPr>
          <w:b/>
        </w:rPr>
        <w:t xml:space="preserve">.  </w:t>
      </w:r>
      <w:r>
        <w:t>przedstawia wydatki na szkolnictwo wyższe jako % PKB</w:t>
      </w:r>
      <w:r w:rsidR="006343E1">
        <w:t xml:space="preserve"> w </w:t>
      </w:r>
      <w:r>
        <w:t>2018 r.</w:t>
      </w:r>
      <w:r w:rsidR="006343E1">
        <w:t xml:space="preserve"> </w:t>
      </w:r>
      <w:r w:rsidR="00AA0030">
        <w:t>W</w:t>
      </w:r>
      <w:r w:rsidR="006343E1">
        <w:t> </w:t>
      </w:r>
      <w:r>
        <w:t>Polsce wskaźnik ten wyniósł  1,2%, najwięcej na szkolnictwo wyższe wydatkowano</w:t>
      </w:r>
      <w:r w:rsidR="006343E1">
        <w:t xml:space="preserve"> w </w:t>
      </w:r>
      <w:r>
        <w:t>Finlandii 1,7%,</w:t>
      </w:r>
      <w:r w:rsidR="006343E1">
        <w:t xml:space="preserve"> a </w:t>
      </w:r>
      <w:r>
        <w:t>najmniej we Włoszech, Irlandii</w:t>
      </w:r>
      <w:r w:rsidR="006343E1">
        <w:t xml:space="preserve"> i </w:t>
      </w:r>
      <w:r>
        <w:t>Lu</w:t>
      </w:r>
      <w:r w:rsidR="00AA0030">
        <w:t>ks</w:t>
      </w:r>
      <w:r>
        <w:t>emburgu odpowiednio 0,3%, 0,5% oraz 0,5% PKB. Zwiększenie funduszy na szkolnictwo wyższe</w:t>
      </w:r>
      <w:r w:rsidR="006343E1">
        <w:t xml:space="preserve"> i </w:t>
      </w:r>
      <w:r>
        <w:t>naukę powinno być powiązane</w:t>
      </w:r>
      <w:r w:rsidR="006343E1">
        <w:t xml:space="preserve"> z </w:t>
      </w:r>
      <w:r>
        <w:t>poprawą jego efektywności</w:t>
      </w:r>
      <w:r w:rsidR="006343E1">
        <w:t xml:space="preserve"> i </w:t>
      </w:r>
      <w:r>
        <w:t>dostosowaniem do potrzeb pracodawców.</w:t>
      </w:r>
    </w:p>
    <w:p w14:paraId="47546A78" w14:textId="77777777" w:rsidR="008E15C9" w:rsidRDefault="008E15C9" w:rsidP="008E15C9">
      <w:pPr>
        <w:rPr>
          <w:rFonts w:cs="Calibri"/>
          <w:b/>
          <w:sz w:val="21"/>
          <w:szCs w:val="21"/>
        </w:rPr>
      </w:pPr>
      <w:r>
        <w:rPr>
          <w:rFonts w:cs="Calibri"/>
          <w:b/>
          <w:sz w:val="21"/>
          <w:szCs w:val="21"/>
        </w:rPr>
        <w:br w:type="page"/>
      </w:r>
    </w:p>
    <w:p w14:paraId="0C854B4C" w14:textId="0C79118C" w:rsidR="008E15C9" w:rsidRDefault="008E15C9" w:rsidP="00027674">
      <w:pPr>
        <w:pStyle w:val="Nagwek4"/>
      </w:pPr>
      <w:r>
        <w:lastRenderedPageBreak/>
        <w:t xml:space="preserve">Wykres </w:t>
      </w:r>
      <w:r w:rsidR="00C8306C">
        <w:rPr>
          <w:noProof/>
        </w:rPr>
        <w:fldChar w:fldCharType="begin"/>
      </w:r>
      <w:r w:rsidR="00C8306C">
        <w:rPr>
          <w:noProof/>
        </w:rPr>
        <w:instrText xml:space="preserve"> SEQ Rysunek \* ARABIC </w:instrText>
      </w:r>
      <w:r w:rsidR="00C8306C">
        <w:rPr>
          <w:noProof/>
        </w:rPr>
        <w:fldChar w:fldCharType="separate"/>
      </w:r>
      <w:r>
        <w:rPr>
          <w:noProof/>
        </w:rPr>
        <w:t>3</w:t>
      </w:r>
      <w:r w:rsidR="00C8306C">
        <w:rPr>
          <w:noProof/>
        </w:rPr>
        <w:fldChar w:fldCharType="end"/>
      </w:r>
      <w:r w:rsidR="001C3C76">
        <w:rPr>
          <w:noProof/>
        </w:rPr>
        <w:t>5</w:t>
      </w:r>
      <w:r>
        <w:t>. Wydatki na szkolnictwo wyższe jako % PKB</w:t>
      </w:r>
      <w:r w:rsidR="006343E1">
        <w:t xml:space="preserve"> w </w:t>
      </w:r>
      <w:r>
        <w:t>2018 r.</w:t>
      </w:r>
    </w:p>
    <w:p w14:paraId="70A663F2" w14:textId="0BB89BC0" w:rsidR="008E15C9" w:rsidRDefault="008E15C9" w:rsidP="008E15C9">
      <w:pPr>
        <w:pStyle w:val="Bezodstpw"/>
      </w:pPr>
      <w:bookmarkStart w:id="63" w:name="_1584962709"/>
      <w:bookmarkEnd w:id="63"/>
      <w:r>
        <w:rPr>
          <w:noProof/>
          <w:lang w:eastAsia="pl-PL"/>
        </w:rPr>
        <w:drawing>
          <wp:inline distT="0" distB="0" distL="0" distR="0" wp14:anchorId="5CE3EE39" wp14:editId="73A7E993">
            <wp:extent cx="5657850" cy="2571750"/>
            <wp:effectExtent l="0" t="0" r="0" b="0"/>
            <wp:docPr id="82" name="Obraz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57850" cy="2571750"/>
                    </a:xfrm>
                    <a:prstGeom prst="rect">
                      <a:avLst/>
                    </a:prstGeom>
                    <a:noFill/>
                    <a:ln>
                      <a:noFill/>
                    </a:ln>
                  </pic:spPr>
                </pic:pic>
              </a:graphicData>
            </a:graphic>
          </wp:inline>
        </w:drawing>
      </w:r>
    </w:p>
    <w:p w14:paraId="724107BA" w14:textId="77777777" w:rsidR="00183D4A" w:rsidRDefault="00183D4A" w:rsidP="008E15C9">
      <w:pPr>
        <w:pStyle w:val="Bezodstpw"/>
      </w:pPr>
    </w:p>
    <w:p w14:paraId="3A5523BD" w14:textId="6E35BDE2" w:rsidR="008E15C9" w:rsidRDefault="008E15C9" w:rsidP="008E15C9">
      <w:pPr>
        <w:pStyle w:val="Bezodstpw"/>
      </w:pPr>
      <w:r>
        <w:t>Źródło:</w:t>
      </w:r>
      <w:r>
        <w:rPr>
          <w:rFonts w:eastAsia="Times New Roman"/>
        </w:rPr>
        <w:t xml:space="preserve"> </w:t>
      </w:r>
      <w:r>
        <w:t xml:space="preserve">Opracowanie </w:t>
      </w:r>
      <w:r w:rsidR="003A56DA">
        <w:rPr>
          <w:rFonts w:eastAsia="Times New Roman"/>
        </w:rPr>
        <w:t>MRiT</w:t>
      </w:r>
      <w:r>
        <w:rPr>
          <w:rFonts w:eastAsia="Times New Roman"/>
        </w:rPr>
        <w:t xml:space="preserve"> na podstawie</w:t>
      </w:r>
      <w:r w:rsidR="00027674">
        <w:rPr>
          <w:rFonts w:eastAsia="Times New Roman"/>
        </w:rPr>
        <w:t xml:space="preserve"> </w:t>
      </w:r>
      <w:r>
        <w:rPr>
          <w:rFonts w:eastAsia="Times New Roman"/>
        </w:rPr>
        <w:t>Eurostat</w:t>
      </w:r>
    </w:p>
    <w:p w14:paraId="40B66DEE" w14:textId="461BDC32" w:rsidR="00D53CBC" w:rsidRDefault="00D53CBC" w:rsidP="00D53CBC">
      <w:r w:rsidRPr="00B40BA7">
        <w:t xml:space="preserve">Mimo że poziom wykształcenia młodszych osób wzrósł i jakość podaży pracy tym samym </w:t>
      </w:r>
      <w:r w:rsidR="00AA0030" w:rsidRPr="00B40BA7">
        <w:t xml:space="preserve">się </w:t>
      </w:r>
      <w:r w:rsidRPr="00B40BA7">
        <w:t xml:space="preserve">poprawiła, to umiejętności zawodowe potencjalnych pracowników </w:t>
      </w:r>
      <w:r>
        <w:t xml:space="preserve">w ostatnich latach </w:t>
      </w:r>
      <w:r w:rsidRPr="00B40BA7">
        <w:t>nie nadąża</w:t>
      </w:r>
      <w:r>
        <w:t>ły</w:t>
      </w:r>
      <w:r w:rsidRPr="00B40BA7">
        <w:t xml:space="preserve"> za popytem. Pracodawcy poszuk</w:t>
      </w:r>
      <w:r>
        <w:t>iwali</w:t>
      </w:r>
      <w:r w:rsidRPr="00B40BA7">
        <w:t xml:space="preserve"> osób z umiejętnościami, których młodzi pracownicy nie </w:t>
      </w:r>
      <w:r>
        <w:t>byli</w:t>
      </w:r>
      <w:r w:rsidRPr="00B40BA7">
        <w:t xml:space="preserve"> w stanie im </w:t>
      </w:r>
      <w:r w:rsidR="00AA0030">
        <w:t>za</w:t>
      </w:r>
      <w:r w:rsidRPr="00B40BA7">
        <w:t xml:space="preserve">oferować. Przyczyną tego zjawiska jest przede wszystkim niedopasowanie struktury i </w:t>
      </w:r>
      <w:r>
        <w:t>organizacji</w:t>
      </w:r>
      <w:r w:rsidRPr="00B40BA7">
        <w:t xml:space="preserve"> </w:t>
      </w:r>
      <w:r>
        <w:t xml:space="preserve">dotychczasowego systemu </w:t>
      </w:r>
      <w:r w:rsidRPr="00B40BA7">
        <w:t xml:space="preserve">kształcenia zawodowego do potrzeb rynku pracy, w tym zwłaszcza zbyt słabo </w:t>
      </w:r>
      <w:r>
        <w:t>upowszechnione</w:t>
      </w:r>
      <w:r w:rsidRPr="00B40BA7">
        <w:t xml:space="preserve"> uczenie się praktyczne w</w:t>
      </w:r>
      <w:r>
        <w:t> </w:t>
      </w:r>
      <w:r w:rsidRPr="00B40BA7">
        <w:t>miejscu pracy. Szersze stosowanie uczenia się praktycznego</w:t>
      </w:r>
      <w:r>
        <w:t>, które jest jednym z priorytetów obecnie wdrażanej reformy kształcenia zawodowego,</w:t>
      </w:r>
      <w:r w:rsidRPr="00B40BA7">
        <w:t xml:space="preserve"> wymaga większego zaangażowania pracodawców, a istotną barierą dla tego zaangażowania </w:t>
      </w:r>
      <w:r>
        <w:t>mo</w:t>
      </w:r>
      <w:r w:rsidR="00AA0030">
        <w:t>gą</w:t>
      </w:r>
      <w:r>
        <w:t xml:space="preserve"> być</w:t>
      </w:r>
      <w:r w:rsidRPr="00B40BA7">
        <w:t xml:space="preserve"> mała skala i mała produktywność dużej części przedsiębiorstw. </w:t>
      </w:r>
    </w:p>
    <w:p w14:paraId="31A41FEC" w14:textId="0318F636" w:rsidR="00D53CBC" w:rsidRPr="00E17D66" w:rsidRDefault="00D53CBC" w:rsidP="00D53CBC">
      <w:pPr>
        <w:pStyle w:val="Tekstkomentarza"/>
      </w:pPr>
      <w:r w:rsidRPr="00E17D66">
        <w:rPr>
          <w:sz w:val="22"/>
          <w:szCs w:val="22"/>
        </w:rPr>
        <w:t xml:space="preserve">Gwarancją dobrego przygotowania absolwentów </w:t>
      </w:r>
      <w:r w:rsidR="00AA0030">
        <w:rPr>
          <w:sz w:val="22"/>
          <w:szCs w:val="22"/>
        </w:rPr>
        <w:t>na</w:t>
      </w:r>
      <w:r w:rsidRPr="00E17D66">
        <w:rPr>
          <w:sz w:val="22"/>
          <w:szCs w:val="22"/>
        </w:rPr>
        <w:t xml:space="preserve"> ryn</w:t>
      </w:r>
      <w:r w:rsidR="00AA0030">
        <w:rPr>
          <w:sz w:val="22"/>
          <w:szCs w:val="22"/>
        </w:rPr>
        <w:t>ek</w:t>
      </w:r>
      <w:r w:rsidRPr="00E17D66">
        <w:rPr>
          <w:sz w:val="22"/>
          <w:szCs w:val="22"/>
        </w:rPr>
        <w:t xml:space="preserve"> pracy, a także późniejszej właściwej adaptacji pracowników do potrzeb zmieniającej się gospodarki zarówno w wymiarze ogólnym, jak i regionalnym jest także aktywny udział pracodawców w tworzeniu programów kształcenia zawodowego.</w:t>
      </w:r>
      <w:r>
        <w:rPr>
          <w:sz w:val="22"/>
          <w:szCs w:val="22"/>
        </w:rPr>
        <w:t xml:space="preserve"> Współtworzenie programów nauczania jest jedną z możliwych form obowiązkowej współpracy szkół prowadzących kształcenie zawodowe z pracodawcami wprowadzonej w ramach zmian w kształceniu zawodowym wdrażanych od września 2019 r.</w:t>
      </w:r>
      <w:r w:rsidRPr="00E17D66">
        <w:rPr>
          <w:sz w:val="22"/>
          <w:szCs w:val="22"/>
        </w:rPr>
        <w:t xml:space="preserve"> </w:t>
      </w:r>
    </w:p>
    <w:p w14:paraId="0069801F" w14:textId="7357D08D" w:rsidR="00D53CBC" w:rsidRPr="00B40BA7" w:rsidRDefault="00D53CBC" w:rsidP="00D53CBC">
      <w:pPr>
        <w:rPr>
          <w:rFonts w:eastAsia="Times New Roman"/>
          <w:lang w:eastAsia="pl-PL"/>
        </w:rPr>
      </w:pPr>
      <w:r>
        <w:t>Stojące przed Polską wyzwania z</w:t>
      </w:r>
      <w:r w:rsidRPr="00B40BA7">
        <w:t>najduj</w:t>
      </w:r>
      <w:r>
        <w:t>ą</w:t>
      </w:r>
      <w:r w:rsidRPr="00B40BA7">
        <w:t xml:space="preserve"> potwierdzenie również w analizach Komisji Europejskiej i w </w:t>
      </w:r>
      <w:r w:rsidR="0053714B">
        <w:t>z</w:t>
      </w:r>
      <w:r w:rsidRPr="00B40BA7">
        <w:t>aleceniach formułowanych d</w:t>
      </w:r>
      <w:r w:rsidR="002946FB">
        <w:t>la</w:t>
      </w:r>
      <w:r w:rsidRPr="00B40BA7">
        <w:t xml:space="preserve"> Polski w ramach </w:t>
      </w:r>
      <w:r w:rsidRPr="00CB07D4">
        <w:rPr>
          <w:i/>
        </w:rPr>
        <w:t xml:space="preserve">Semestru </w:t>
      </w:r>
      <w:r w:rsidR="0053714B" w:rsidRPr="00CB07D4">
        <w:rPr>
          <w:i/>
        </w:rPr>
        <w:t>E</w:t>
      </w:r>
      <w:r w:rsidRPr="00CB07D4">
        <w:rPr>
          <w:i/>
        </w:rPr>
        <w:t>uropejskiego</w:t>
      </w:r>
      <w:r w:rsidRPr="00B40BA7">
        <w:t xml:space="preserve"> (EC, 2017). W ostatnim Sprawozdaniu krajowym  Polska 2019 (EC, 2019) wskazano </w:t>
      </w:r>
      <w:r w:rsidRPr="00B40BA7">
        <w:rPr>
          <w:rFonts w:eastAsia="Times New Roman"/>
          <w:lang w:eastAsia="pl-PL"/>
        </w:rPr>
        <w:t>co prawda dwa mocne punkty systemu edukacji w Polsce (wysoki odsetek absolwentów szkół wyższych i dobre umiejętności podstawowe absolwentów gimnazjów), ale zastrzeżenia budzą jakość szkolnictwa wyższego, umiejętności nauczycieli i rozwój umiejętności przekrojowych. Niezadowalający na</w:t>
      </w:r>
      <w:r>
        <w:rPr>
          <w:rFonts w:eastAsia="Times New Roman"/>
          <w:lang w:eastAsia="pl-PL"/>
        </w:rPr>
        <w:t> </w:t>
      </w:r>
      <w:r w:rsidRPr="00B40BA7">
        <w:rPr>
          <w:rFonts w:eastAsia="Times New Roman"/>
          <w:lang w:eastAsia="pl-PL"/>
        </w:rPr>
        <w:t>tle nowoczesnych gospodarek jest poziom umiejętności podstawowych osób dorosłych w Polsce, zwłaszcza w</w:t>
      </w:r>
      <w:r>
        <w:rPr>
          <w:rFonts w:eastAsia="Times New Roman"/>
          <w:lang w:eastAsia="pl-PL"/>
        </w:rPr>
        <w:t> </w:t>
      </w:r>
      <w:r w:rsidRPr="00B40BA7">
        <w:rPr>
          <w:rFonts w:eastAsia="Times New Roman"/>
          <w:lang w:eastAsia="pl-PL"/>
        </w:rPr>
        <w:t xml:space="preserve">wieku odpowiadającym drugiej części typowej kariery zawodowej (w tym dotyczy to nie tylko znacznej części pracowników, ale także pracodawców). Wskazują na to wyniki badania OECD/PIAAC oraz europejskiego badania społeczeństwa informacyjnego. </w:t>
      </w:r>
    </w:p>
    <w:p w14:paraId="6A64E180" w14:textId="1B6A1A17" w:rsidR="00D53CBC" w:rsidRPr="00B40BA7" w:rsidRDefault="00D53CBC" w:rsidP="00D53CBC">
      <w:pPr>
        <w:rPr>
          <w:rFonts w:eastAsia="Times New Roman"/>
          <w:lang w:eastAsia="pl-PL"/>
        </w:rPr>
      </w:pPr>
      <w:r w:rsidRPr="00B40BA7">
        <w:rPr>
          <w:rFonts w:eastAsia="Times New Roman"/>
          <w:lang w:eastAsia="pl-PL"/>
        </w:rPr>
        <w:t>Umiejętności podstawowe tworzą fundament dla uczenia się przez całe życie i radzenia sobie w różnych sytuacjach. Należ</w:t>
      </w:r>
      <w:r w:rsidR="002946FB">
        <w:rPr>
          <w:rFonts w:eastAsia="Times New Roman"/>
          <w:lang w:eastAsia="pl-PL"/>
        </w:rPr>
        <w:t>ą</w:t>
      </w:r>
      <w:r w:rsidRPr="00B40BA7">
        <w:rPr>
          <w:rFonts w:eastAsia="Times New Roman"/>
          <w:lang w:eastAsia="pl-PL"/>
        </w:rPr>
        <w:t xml:space="preserve"> do nich rozumienie, używanie i tworzenie różnego rodzaju informacji (</w:t>
      </w:r>
      <w:r w:rsidRPr="00B40BA7">
        <w:rPr>
          <w:rFonts w:eastAsia="Times New Roman"/>
          <w:i/>
          <w:lang w:eastAsia="pl-PL"/>
        </w:rPr>
        <w:t>literacy</w:t>
      </w:r>
      <w:r w:rsidRPr="00B40BA7">
        <w:rPr>
          <w:rFonts w:eastAsia="Times New Roman"/>
          <w:lang w:eastAsia="pl-PL"/>
        </w:rPr>
        <w:t>), prowadzenie różnego rodzaju kalkulacji (</w:t>
      </w:r>
      <w:r w:rsidRPr="00B40BA7">
        <w:rPr>
          <w:rFonts w:eastAsia="Times New Roman"/>
          <w:i/>
          <w:lang w:eastAsia="pl-PL"/>
        </w:rPr>
        <w:t>numeracy</w:t>
      </w:r>
      <w:r w:rsidRPr="00B40BA7">
        <w:rPr>
          <w:rFonts w:eastAsia="Times New Roman"/>
          <w:lang w:eastAsia="pl-PL"/>
        </w:rPr>
        <w:t xml:space="preserve">), a także umiejętności cyfrowe. Ubytki w tym zakresie rzutują na uniwersalne umiejętności przekrojowe (np. przedsiębiorczość, zdolność stałego uczenia się, zarządzanie czasem, współpracę w zespole, radzenie sobie z niepewnością i złożonością) oraz specjalistyczne umiejętności zawodowe. </w:t>
      </w:r>
    </w:p>
    <w:p w14:paraId="3B2BED34" w14:textId="7F01E293" w:rsidR="00D53CBC" w:rsidRPr="00B40BA7" w:rsidRDefault="00D53CBC" w:rsidP="00D53CBC">
      <w:pPr>
        <w:rPr>
          <w:rFonts w:eastAsia="Times New Roman"/>
          <w:lang w:eastAsia="pl-PL"/>
        </w:rPr>
      </w:pPr>
      <w:r>
        <w:rPr>
          <w:rFonts w:eastAsia="Times New Roman"/>
          <w:lang w:eastAsia="pl-PL"/>
        </w:rPr>
        <w:t xml:space="preserve">Poziom umiejętności podstawowych osób dorosłych w krajach </w:t>
      </w:r>
      <w:r w:rsidR="002946FB">
        <w:rPr>
          <w:rFonts w:eastAsia="Times New Roman"/>
          <w:lang w:eastAsia="pl-PL"/>
        </w:rPr>
        <w:t>rozwiniętych gospodarczo</w:t>
      </w:r>
      <w:r>
        <w:rPr>
          <w:rFonts w:eastAsia="Times New Roman"/>
          <w:lang w:eastAsia="pl-PL"/>
        </w:rPr>
        <w:t xml:space="preserve"> </w:t>
      </w:r>
      <w:r w:rsidR="002946FB">
        <w:rPr>
          <w:rFonts w:eastAsia="Times New Roman"/>
          <w:lang w:eastAsia="pl-PL"/>
        </w:rPr>
        <w:t xml:space="preserve">jest </w:t>
      </w:r>
      <w:r>
        <w:rPr>
          <w:rFonts w:eastAsia="Times New Roman"/>
          <w:lang w:eastAsia="pl-PL"/>
        </w:rPr>
        <w:t xml:space="preserve">monitorowany </w:t>
      </w:r>
      <w:r>
        <w:rPr>
          <w:rFonts w:eastAsia="Times New Roman"/>
          <w:lang w:eastAsia="pl-PL"/>
        </w:rPr>
        <w:br/>
        <w:t xml:space="preserve">w badaniu OECD/PIAAAC. Niski poziom tych umiejętności </w:t>
      </w:r>
      <w:r w:rsidR="002946FB">
        <w:rPr>
          <w:rFonts w:eastAsia="Times New Roman"/>
          <w:lang w:eastAsia="pl-PL"/>
        </w:rPr>
        <w:t xml:space="preserve">jest </w:t>
      </w:r>
      <w:r>
        <w:rPr>
          <w:rFonts w:eastAsia="Times New Roman"/>
          <w:lang w:eastAsia="pl-PL"/>
        </w:rPr>
        <w:t>definiowany jako poziom 1 i poniżej w 5</w:t>
      </w:r>
      <w:r w:rsidR="002946FB">
        <w:rPr>
          <w:rFonts w:eastAsia="Times New Roman"/>
          <w:lang w:eastAsia="pl-PL"/>
        </w:rPr>
        <w:t>-</w:t>
      </w:r>
      <w:r>
        <w:rPr>
          <w:rFonts w:eastAsia="Times New Roman"/>
          <w:lang w:eastAsia="pl-PL"/>
        </w:rPr>
        <w:lastRenderedPageBreak/>
        <w:t xml:space="preserve">stopniowej skali biegłości. Taki poziom wskazuje na zagrożenie pozycji osób na rynku pracy oraz ich aktywnego uczestnictwa w społeczeństwie. Według badania </w:t>
      </w:r>
      <w:r w:rsidRPr="00B40BA7">
        <w:rPr>
          <w:rFonts w:eastAsia="Times New Roman"/>
          <w:lang w:eastAsia="pl-PL"/>
        </w:rPr>
        <w:t>PIAAC (2012) 18,8% osób w wieku 16</w:t>
      </w:r>
      <w:r w:rsidR="002946FB">
        <w:rPr>
          <w:rFonts w:ascii="Times New Roman" w:eastAsia="Times New Roman" w:hAnsi="Times New Roman" w:cs="Times New Roman"/>
          <w:lang w:eastAsia="pl-PL"/>
        </w:rPr>
        <w:t>–</w:t>
      </w:r>
      <w:r w:rsidRPr="00B40BA7">
        <w:rPr>
          <w:rFonts w:eastAsia="Times New Roman"/>
          <w:lang w:eastAsia="pl-PL"/>
        </w:rPr>
        <w:t>65 lat w Polsce cechuje nisk</w:t>
      </w:r>
      <w:r>
        <w:rPr>
          <w:rFonts w:eastAsia="Times New Roman"/>
          <w:lang w:eastAsia="pl-PL"/>
        </w:rPr>
        <w:t>a umiejętność rozumienia informacji</w:t>
      </w:r>
      <w:r w:rsidRPr="00B40BA7">
        <w:rPr>
          <w:rFonts w:eastAsia="Times New Roman"/>
          <w:lang w:eastAsia="pl-PL"/>
        </w:rPr>
        <w:t xml:space="preserve"> i używania </w:t>
      </w:r>
      <w:r w:rsidR="00A30C03">
        <w:rPr>
          <w:rFonts w:eastAsia="Times New Roman"/>
          <w:lang w:eastAsia="pl-PL"/>
        </w:rPr>
        <w:t>ich</w:t>
      </w:r>
      <w:r w:rsidRPr="00B40BA7">
        <w:rPr>
          <w:rFonts w:eastAsia="Times New Roman"/>
          <w:lang w:eastAsia="pl-PL"/>
        </w:rPr>
        <w:t xml:space="preserve"> w różnych sytuacjach, przy czym średnia dla OECD wynosi 19,7%, ale w Japonii </w:t>
      </w:r>
      <w:r>
        <w:rPr>
          <w:rFonts w:eastAsia="Times New Roman"/>
          <w:lang w:eastAsia="pl-PL"/>
        </w:rPr>
        <w:t xml:space="preserve">taki odsetek wynosi </w:t>
      </w:r>
      <w:r w:rsidRPr="00B40BA7">
        <w:rPr>
          <w:rFonts w:eastAsia="Times New Roman"/>
          <w:lang w:eastAsia="pl-PL"/>
        </w:rPr>
        <w:t>tylko 4,9%. Cecha ta jest silnie uzależniona od wieku – w Polsce dotyczy 10,1% osób w wieku 16</w:t>
      </w:r>
      <w:r w:rsidR="002946FB">
        <w:rPr>
          <w:rFonts w:ascii="Times New Roman" w:eastAsia="Times New Roman" w:hAnsi="Times New Roman" w:cs="Times New Roman"/>
          <w:lang w:eastAsia="pl-PL"/>
        </w:rPr>
        <w:t>–</w:t>
      </w:r>
      <w:r w:rsidRPr="00B40BA7">
        <w:rPr>
          <w:rFonts w:eastAsia="Times New Roman"/>
          <w:lang w:eastAsia="pl-PL"/>
        </w:rPr>
        <w:t>24 lat (OECD – 14,0%, w Japonii poniżej 2%) oraz 27,9% osób w wieku 55</w:t>
      </w:r>
      <w:r w:rsidR="002946FB">
        <w:rPr>
          <w:rFonts w:ascii="Times New Roman" w:eastAsia="Times New Roman" w:hAnsi="Times New Roman" w:cs="Times New Roman"/>
          <w:lang w:eastAsia="pl-PL"/>
        </w:rPr>
        <w:t>–</w:t>
      </w:r>
      <w:r w:rsidRPr="00B40BA7">
        <w:rPr>
          <w:rFonts w:eastAsia="Times New Roman"/>
          <w:lang w:eastAsia="pl-PL"/>
        </w:rPr>
        <w:t xml:space="preserve">65 lat (OECD – 29,1%, w Japonii 12,3%). W Polsce </w:t>
      </w:r>
      <w:r>
        <w:rPr>
          <w:rFonts w:eastAsia="Times New Roman"/>
          <w:lang w:eastAsia="pl-PL"/>
        </w:rPr>
        <w:t>23,5% osób w wieku 16</w:t>
      </w:r>
      <w:r w:rsidR="002946FB">
        <w:rPr>
          <w:rFonts w:ascii="Times New Roman" w:eastAsia="Times New Roman" w:hAnsi="Times New Roman" w:cs="Times New Roman"/>
          <w:lang w:eastAsia="pl-PL"/>
        </w:rPr>
        <w:t>–</w:t>
      </w:r>
      <w:r>
        <w:rPr>
          <w:rFonts w:eastAsia="Times New Roman"/>
          <w:lang w:eastAsia="pl-PL"/>
        </w:rPr>
        <w:t xml:space="preserve">65 lat </w:t>
      </w:r>
      <w:r w:rsidRPr="00B40BA7">
        <w:rPr>
          <w:rFonts w:eastAsia="Times New Roman"/>
          <w:lang w:eastAsia="pl-PL"/>
        </w:rPr>
        <w:t>cechuje niska umiejętność prowadzenia różnego rodzaju kalkulacji, przy czym średnia dla OECD wynosi również 23,5%, jednak w Japonii tylko 8,1%. Cecha ta dotyczy 16,8% osób w wieku 16</w:t>
      </w:r>
      <w:r w:rsidR="002946FB">
        <w:rPr>
          <w:rFonts w:ascii="Times New Roman" w:eastAsia="Times New Roman" w:hAnsi="Times New Roman" w:cs="Times New Roman"/>
          <w:lang w:eastAsia="pl-PL"/>
        </w:rPr>
        <w:t>–</w:t>
      </w:r>
      <w:r w:rsidRPr="00B40BA7">
        <w:rPr>
          <w:rFonts w:eastAsia="Times New Roman"/>
          <w:lang w:eastAsia="pl-PL"/>
        </w:rPr>
        <w:t xml:space="preserve">24 lat (OECD </w:t>
      </w:r>
      <w:r w:rsidR="002946FB">
        <w:rPr>
          <w:rFonts w:ascii="Times New Roman" w:eastAsia="Times New Roman" w:hAnsi="Times New Roman" w:cs="Times New Roman"/>
          <w:lang w:eastAsia="pl-PL"/>
        </w:rPr>
        <w:t>–</w:t>
      </w:r>
      <w:r w:rsidRPr="00B40BA7">
        <w:rPr>
          <w:rFonts w:eastAsia="Times New Roman"/>
          <w:lang w:eastAsia="pl-PL"/>
        </w:rPr>
        <w:t xml:space="preserve"> 20,0%, w Japonii – 8,6%) oraz 33,7% osób w wieku 55</w:t>
      </w:r>
      <w:r w:rsidR="002946FB">
        <w:rPr>
          <w:rFonts w:ascii="Times New Roman" w:eastAsia="Times New Roman" w:hAnsi="Times New Roman" w:cs="Times New Roman"/>
          <w:lang w:eastAsia="pl-PL"/>
        </w:rPr>
        <w:t>–</w:t>
      </w:r>
      <w:r w:rsidRPr="00B40BA7">
        <w:rPr>
          <w:rFonts w:eastAsia="Times New Roman"/>
          <w:lang w:eastAsia="pl-PL"/>
        </w:rPr>
        <w:t>65 lat (OECD – 32,8%, w Japonii 14,7%). Według europejskiego badania społeczeństwa informacyjnego (2019) odsetek osób w wieku 16</w:t>
      </w:r>
      <w:r w:rsidR="002946FB">
        <w:rPr>
          <w:rFonts w:ascii="Times New Roman" w:eastAsia="Times New Roman" w:hAnsi="Times New Roman" w:cs="Times New Roman"/>
          <w:lang w:eastAsia="pl-PL"/>
        </w:rPr>
        <w:t>–</w:t>
      </w:r>
      <w:r w:rsidRPr="00B40BA7">
        <w:rPr>
          <w:rFonts w:eastAsia="Times New Roman"/>
          <w:lang w:eastAsia="pl-PL"/>
        </w:rPr>
        <w:t>74 lat w Polsce niemających co najmniej podstawowych umiejętności cyfrowych wynosi 56% wobec 44% w U</w:t>
      </w:r>
      <w:r w:rsidR="002946FB">
        <w:rPr>
          <w:rFonts w:eastAsia="Times New Roman"/>
          <w:lang w:eastAsia="pl-PL"/>
        </w:rPr>
        <w:t xml:space="preserve">nii </w:t>
      </w:r>
      <w:r w:rsidRPr="00B40BA7">
        <w:rPr>
          <w:rFonts w:eastAsia="Times New Roman"/>
          <w:lang w:eastAsia="pl-PL"/>
        </w:rPr>
        <w:t>E</w:t>
      </w:r>
      <w:r w:rsidR="002946FB">
        <w:rPr>
          <w:rFonts w:eastAsia="Times New Roman"/>
          <w:lang w:eastAsia="pl-PL"/>
        </w:rPr>
        <w:t>uropejskiej</w:t>
      </w:r>
      <w:r w:rsidRPr="00B40BA7">
        <w:rPr>
          <w:rFonts w:eastAsia="Times New Roman"/>
          <w:lang w:eastAsia="pl-PL"/>
        </w:rPr>
        <w:t xml:space="preserve"> i 21% w Niderlandach. Ta cecha jest również silnie skorelowane z wiekiem – w Polsce dotyczy 20% osób w wieku 16</w:t>
      </w:r>
      <w:r w:rsidR="002946FB">
        <w:rPr>
          <w:rFonts w:ascii="Times New Roman" w:eastAsia="Times New Roman" w:hAnsi="Times New Roman" w:cs="Times New Roman"/>
          <w:lang w:eastAsia="pl-PL"/>
        </w:rPr>
        <w:t>–</w:t>
      </w:r>
      <w:r w:rsidRPr="00B40BA7">
        <w:rPr>
          <w:rFonts w:eastAsia="Times New Roman"/>
          <w:lang w:eastAsia="pl-PL"/>
        </w:rPr>
        <w:t>24 lat (podobnie jak w U</w:t>
      </w:r>
      <w:r w:rsidR="002946FB">
        <w:rPr>
          <w:rFonts w:eastAsia="Times New Roman"/>
          <w:lang w:eastAsia="pl-PL"/>
        </w:rPr>
        <w:t xml:space="preserve">nii </w:t>
      </w:r>
      <w:r w:rsidRPr="00B40BA7">
        <w:rPr>
          <w:rFonts w:eastAsia="Times New Roman"/>
          <w:lang w:eastAsia="pl-PL"/>
        </w:rPr>
        <w:t>E</w:t>
      </w:r>
      <w:r w:rsidR="002946FB">
        <w:rPr>
          <w:rFonts w:eastAsia="Times New Roman"/>
          <w:lang w:eastAsia="pl-PL"/>
        </w:rPr>
        <w:t>uropejskiej</w:t>
      </w:r>
      <w:r w:rsidRPr="00B40BA7">
        <w:rPr>
          <w:rFonts w:eastAsia="Times New Roman"/>
          <w:lang w:eastAsia="pl-PL"/>
        </w:rPr>
        <w:t>, jednak tylko przy 3% w Chorwacji i 7% w Niderlandach) oraz 84% osób w wieku 55</w:t>
      </w:r>
      <w:r w:rsidR="002946FB">
        <w:rPr>
          <w:rFonts w:ascii="Times New Roman" w:eastAsia="Times New Roman" w:hAnsi="Times New Roman" w:cs="Times New Roman"/>
          <w:lang w:eastAsia="pl-PL"/>
        </w:rPr>
        <w:t>–</w:t>
      </w:r>
      <w:r w:rsidRPr="00B40BA7">
        <w:rPr>
          <w:rFonts w:eastAsia="Times New Roman"/>
          <w:lang w:eastAsia="pl-PL"/>
        </w:rPr>
        <w:t>74 lat (w U</w:t>
      </w:r>
      <w:r w:rsidR="002946FB">
        <w:rPr>
          <w:rFonts w:eastAsia="Times New Roman"/>
          <w:lang w:eastAsia="pl-PL"/>
        </w:rPr>
        <w:t xml:space="preserve">nii </w:t>
      </w:r>
      <w:r w:rsidRPr="00B40BA7">
        <w:rPr>
          <w:rFonts w:eastAsia="Times New Roman"/>
          <w:lang w:eastAsia="pl-PL"/>
        </w:rPr>
        <w:t>E</w:t>
      </w:r>
      <w:r w:rsidR="002946FB">
        <w:rPr>
          <w:rFonts w:eastAsia="Times New Roman"/>
          <w:lang w:eastAsia="pl-PL"/>
        </w:rPr>
        <w:t>uropejskiej</w:t>
      </w:r>
      <w:r w:rsidRPr="00B40BA7">
        <w:rPr>
          <w:rFonts w:eastAsia="Times New Roman"/>
          <w:lang w:eastAsia="pl-PL"/>
        </w:rPr>
        <w:t xml:space="preserve"> – 67% i 36% w Niderlandach).  </w:t>
      </w:r>
    </w:p>
    <w:p w14:paraId="1F37B5DD" w14:textId="52F8EF54" w:rsidR="00D53CBC" w:rsidRPr="00B40BA7" w:rsidRDefault="00D53CBC" w:rsidP="00D53CBC">
      <w:pPr>
        <w:rPr>
          <w:bCs/>
        </w:rPr>
      </w:pPr>
      <w:r w:rsidRPr="00B40BA7">
        <w:t>Z uwagi na wysokie tempo rozwoju technologii umiejętność adaptac</w:t>
      </w:r>
      <w:r w:rsidR="002946FB">
        <w:t>ji</w:t>
      </w:r>
      <w:r w:rsidRPr="00B40BA7">
        <w:t xml:space="preserve"> pracowników jest rzeczą niezbędną w ciągu całego życia zawodowego. Krytycznego znaczenia w tym aspekcie nabiera stały rozwój umiejętności uniwersalnych (podstawowych i przekrojowych) oraz specjalistycznych umiejętności zawodowych</w:t>
      </w:r>
      <w:r w:rsidRPr="00B40BA7">
        <w:rPr>
          <w:bCs/>
        </w:rPr>
        <w:t xml:space="preserve"> w wieku dorosłym</w:t>
      </w:r>
      <w:r>
        <w:rPr>
          <w:bCs/>
        </w:rPr>
        <w:t xml:space="preserve">, także </w:t>
      </w:r>
      <w:r w:rsidRPr="00B40BA7">
        <w:rPr>
          <w:bCs/>
        </w:rPr>
        <w:t>po ukończeniu tradycyjnych ścieżek edukacji formalnej, czyli od ok. 20</w:t>
      </w:r>
      <w:r w:rsidR="002946FB">
        <w:rPr>
          <w:rFonts w:ascii="Times New Roman" w:hAnsi="Times New Roman" w:cs="Times New Roman"/>
          <w:bCs/>
        </w:rPr>
        <w:t>–</w:t>
      </w:r>
      <w:r w:rsidRPr="00B40BA7">
        <w:rPr>
          <w:bCs/>
        </w:rPr>
        <w:t xml:space="preserve">25 roku życia. </w:t>
      </w:r>
    </w:p>
    <w:p w14:paraId="3748AE2F" w14:textId="065E1911" w:rsidR="00D53CBC" w:rsidRDefault="00D53CBC" w:rsidP="00D53CBC">
      <w:r w:rsidRPr="00B40BA7">
        <w:rPr>
          <w:bCs/>
        </w:rPr>
        <w:t xml:space="preserve">W programach UE i OECD na rzecz uczenia się dorosłych uznaje się za nie osoby, które ukończyły cykle inicjalnego kształcenia w szkołach i </w:t>
      </w:r>
      <w:r w:rsidR="002946FB">
        <w:rPr>
          <w:bCs/>
        </w:rPr>
        <w:t xml:space="preserve">na </w:t>
      </w:r>
      <w:r w:rsidRPr="00B40BA7">
        <w:rPr>
          <w:bCs/>
        </w:rPr>
        <w:t xml:space="preserve">uczelniach przed wejściem na rynek pracy niezależnie </w:t>
      </w:r>
      <w:r w:rsidR="002946FB">
        <w:rPr>
          <w:bCs/>
        </w:rPr>
        <w:t xml:space="preserve">od tego, </w:t>
      </w:r>
      <w:r w:rsidRPr="00B40BA7">
        <w:rPr>
          <w:bCs/>
        </w:rPr>
        <w:t>jak długo takie kształcenie trwało. W międzynarodowej statystyce edukacyjnej za osoby dorosłe uznaje się osoby od 25</w:t>
      </w:r>
      <w:r w:rsidR="00A30C03">
        <w:rPr>
          <w:bCs/>
        </w:rPr>
        <w:t>.</w:t>
      </w:r>
      <w:r w:rsidRPr="00B40BA7">
        <w:rPr>
          <w:bCs/>
        </w:rPr>
        <w:t xml:space="preserve"> roku życia</w:t>
      </w:r>
      <w:r w:rsidRPr="00B40BA7">
        <w:t>. Mniej więcej od tego czasu głównym miejscem zorganizowanego instytucjonalnie uczenia się dorosłych przestaje być otoczenie podobne do szkoły i uczelni, a staj</w:t>
      </w:r>
      <w:r w:rsidR="000F2209">
        <w:t>ą</w:t>
      </w:r>
      <w:r w:rsidRPr="00B40BA7">
        <w:t xml:space="preserve"> się miejsce pracy oraz miejsca r</w:t>
      </w:r>
      <w:r w:rsidR="000F2209">
        <w:t>ó</w:t>
      </w:r>
      <w:r w:rsidRPr="00B40BA7">
        <w:t>żnego rodzaju zorganizowanej aktywności (społecznej, kulturalnej, obywatelskiej, czasu wolnego itp.).</w:t>
      </w:r>
      <w:r>
        <w:t xml:space="preserve"> </w:t>
      </w:r>
    </w:p>
    <w:p w14:paraId="7A4F252D" w14:textId="743A0699" w:rsidR="00D53CBC" w:rsidRDefault="00D53CBC" w:rsidP="00D53CBC">
      <w:r>
        <w:t>Dystans Polski do czołowych gospodarek w uczestnictwie dorosłych w wieku 25</w:t>
      </w:r>
      <w:r w:rsidR="000F2209">
        <w:rPr>
          <w:rFonts w:ascii="Times New Roman" w:hAnsi="Times New Roman" w:cs="Times New Roman"/>
        </w:rPr>
        <w:t>–</w:t>
      </w:r>
      <w:r>
        <w:t xml:space="preserve">64 lat w edukacji (kształceniu i szkoleniu) </w:t>
      </w:r>
      <w:r w:rsidR="000F2209">
        <w:t xml:space="preserve">jest </w:t>
      </w:r>
      <w:r>
        <w:t xml:space="preserve">widoczny przede wszystkim w uczestnictwie w edukacji innej niż formalna (tzw. edukacji pozaformalnej </w:t>
      </w:r>
      <w:r w:rsidR="000F2209">
        <w:rPr>
          <w:rFonts w:ascii="Times New Roman" w:hAnsi="Times New Roman" w:cs="Times New Roman"/>
        </w:rPr>
        <w:t>–</w:t>
      </w:r>
      <w:r>
        <w:t xml:space="preserve"> organizowanej poza programami kształcenia w systemach oświaty i szkolnictwa wyższego). </w:t>
      </w:r>
      <w:r w:rsidRPr="00856C24">
        <w:t>Uczestnictwo dorosłych w edukacji formalnej jest stosunkowo niskie zarówno w U</w:t>
      </w:r>
      <w:r w:rsidR="000F2209">
        <w:t xml:space="preserve">nii </w:t>
      </w:r>
      <w:r w:rsidRPr="00856C24">
        <w:t>E</w:t>
      </w:r>
      <w:r w:rsidR="000F2209">
        <w:t>uropejskiej,</w:t>
      </w:r>
      <w:r w:rsidRPr="00856C24">
        <w:t xml:space="preserve"> jak i w Polsce</w:t>
      </w:r>
      <w:r>
        <w:t xml:space="preserve">. Według badania z najdłuższą tradycją i prowadzonego bez przerw, tj. </w:t>
      </w:r>
      <w:r w:rsidRPr="00CB07D4">
        <w:rPr>
          <w:i/>
        </w:rPr>
        <w:t>Labour Force Survey</w:t>
      </w:r>
      <w:r>
        <w:t xml:space="preserve"> (w Polsce znanego jako </w:t>
      </w:r>
      <w:r w:rsidRPr="00CB07D4">
        <w:rPr>
          <w:i/>
        </w:rPr>
        <w:t xml:space="preserve">Badanie </w:t>
      </w:r>
      <w:r w:rsidR="00A30C03">
        <w:rPr>
          <w:i/>
        </w:rPr>
        <w:t>aktywności e</w:t>
      </w:r>
      <w:r w:rsidRPr="00CB07D4">
        <w:rPr>
          <w:i/>
        </w:rPr>
        <w:t xml:space="preserve">konomicznej </w:t>
      </w:r>
      <w:r w:rsidR="00A30C03">
        <w:rPr>
          <w:i/>
        </w:rPr>
        <w:t>l</w:t>
      </w:r>
      <w:r w:rsidRPr="00CB07D4">
        <w:rPr>
          <w:i/>
        </w:rPr>
        <w:t>udności</w:t>
      </w:r>
      <w:r>
        <w:t>)</w:t>
      </w:r>
      <w:r w:rsidR="000F2209">
        <w:t>,</w:t>
      </w:r>
      <w:r>
        <w:t xml:space="preserve"> uczestnictwo dorosłych w edukacji formalnej w U</w:t>
      </w:r>
      <w:r w:rsidR="000F2209">
        <w:t xml:space="preserve">nii </w:t>
      </w:r>
      <w:r>
        <w:t>E</w:t>
      </w:r>
      <w:r w:rsidR="000F2209">
        <w:t>uropejskiej</w:t>
      </w:r>
      <w:r>
        <w:t xml:space="preserve"> utrzymuje się w ostatnich dwóch dekadach na poziomie około 3% (wynik jest niski, gdyż dotyczy uczestnictwa w okresie 4 tygodni przed badaniem). W badaniu </w:t>
      </w:r>
      <w:r w:rsidRPr="00CB07D4">
        <w:rPr>
          <w:i/>
        </w:rPr>
        <w:t>Adult Education Survey</w:t>
      </w:r>
      <w:r>
        <w:t>, prowadzonym w cyklu 5-letnim i poświęconym wyłącznie uczeniu się dorosłych w okresie 12 miesięcy przed badaniem, uczestnictwo to spadło w U</w:t>
      </w:r>
      <w:r w:rsidR="000F2209">
        <w:t xml:space="preserve">nii </w:t>
      </w:r>
      <w:r>
        <w:t>E</w:t>
      </w:r>
      <w:r w:rsidR="000F2209">
        <w:t>uropejskiej</w:t>
      </w:r>
      <w:r>
        <w:t xml:space="preserve"> z 6,6% w 2007 r. do 5,8% w roku 2016. W Polsce uczestnictwo dorosłych w edukacji formalnej w </w:t>
      </w:r>
      <w:r w:rsidR="000F2209">
        <w:t>po</w:t>
      </w:r>
      <w:r>
        <w:t>wyżej wymienionym  mierniku z odniesieniem 4-tygodniowym przez wiele lat wynosiło podobnie jak w U</w:t>
      </w:r>
      <w:r w:rsidR="000F2209">
        <w:t xml:space="preserve">nii </w:t>
      </w:r>
      <w:r>
        <w:t>E</w:t>
      </w:r>
      <w:r w:rsidR="000F2209">
        <w:t>uropejskiej</w:t>
      </w:r>
      <w:r>
        <w:t xml:space="preserve"> około 3%. Paradoksalnie, mimo znacznego upowszechnienia wykształcenia wyższego, poziom ten zaczął się obniżać w mijającej dekadzie i w 2018 </w:t>
      </w:r>
      <w:r w:rsidR="000F2209">
        <w:t>r.</w:t>
      </w:r>
      <w:r>
        <w:t xml:space="preserve"> osiągnął 1,5%. W badaniu z odniesieniem 12-miesięcznym uczestnictwo dorosłych w Polsce w edukacji formalnej spadło z 5,5% w 2007 </w:t>
      </w:r>
      <w:r w:rsidR="000F2209">
        <w:t>r.</w:t>
      </w:r>
      <w:r>
        <w:t xml:space="preserve"> do 4,4% w 2016</w:t>
      </w:r>
      <w:r w:rsidR="000F2209">
        <w:t xml:space="preserve"> r</w:t>
      </w:r>
      <w:r>
        <w:t xml:space="preserve">. Decydującą różnicę widać jednak w uczestnictwie w edukacji pozaformalnej. W badaniu LFS z odniesieniem </w:t>
      </w:r>
      <w:r w:rsidR="000F2209">
        <w:br/>
      </w:r>
      <w:r>
        <w:t>4</w:t>
      </w:r>
      <w:r w:rsidR="000F2209">
        <w:t>-</w:t>
      </w:r>
      <w:r>
        <w:t>tygodniowym uczestnictwo to wynosiło w U</w:t>
      </w:r>
      <w:r w:rsidR="000F2209">
        <w:t xml:space="preserve">nii </w:t>
      </w:r>
      <w:r>
        <w:t>E</w:t>
      </w:r>
      <w:r w:rsidR="000F2209">
        <w:t>uropejskiej</w:t>
      </w:r>
      <w:r>
        <w:t xml:space="preserve"> w 2018</w:t>
      </w:r>
      <w:r w:rsidR="000F2209">
        <w:t xml:space="preserve"> r.</w:t>
      </w:r>
      <w:r>
        <w:t xml:space="preserve"> – 8,5%, a w Polsce 4,4% (przy czym wynik ten został osiągnięty po zmianach metodologicznych w kwestionariuszach uwydatniających respondentom więcej przykładów edukacji pozaformalnej </w:t>
      </w:r>
      <w:r w:rsidR="000F2209">
        <w:rPr>
          <w:rFonts w:ascii="Times New Roman" w:hAnsi="Times New Roman" w:cs="Times New Roman"/>
        </w:rPr>
        <w:t>–</w:t>
      </w:r>
      <w:r>
        <w:t xml:space="preserve"> przed tymi zmianami uczestnictwo to utrzymywało się dłużej na poziomie ok.</w:t>
      </w:r>
      <w:r w:rsidR="0053714B">
        <w:t> </w:t>
      </w:r>
      <w:r>
        <w:t>2%). W badaniu z odniesieniem 12-miesięcznym różnica poziomu uczestnictwa jest również wyraźna – 42,6% w U</w:t>
      </w:r>
      <w:r w:rsidR="000F2209">
        <w:t xml:space="preserve">nii </w:t>
      </w:r>
      <w:r>
        <w:t>E</w:t>
      </w:r>
      <w:r w:rsidR="000F2209">
        <w:t>uropejskiej</w:t>
      </w:r>
      <w:r>
        <w:t xml:space="preserve"> w 2016 </w:t>
      </w:r>
      <w:r w:rsidR="000F2209">
        <w:t>r.</w:t>
      </w:r>
      <w:r>
        <w:t xml:space="preserve"> i 22,9% w Polsce. </w:t>
      </w:r>
    </w:p>
    <w:p w14:paraId="495222F6" w14:textId="6D384504" w:rsidR="00D53CBC" w:rsidRDefault="00D53CBC" w:rsidP="00D53CBC">
      <w:r>
        <w:t>Na potrzebę rozdzielenia specyfiki badania uczestnictwa dorosłych od 25</w:t>
      </w:r>
      <w:r w:rsidR="00A30C03">
        <w:t>.</w:t>
      </w:r>
      <w:r>
        <w:t xml:space="preserve"> roku życia w edukacji formalnej </w:t>
      </w:r>
      <w:r>
        <w:br/>
        <w:t>i pozaformalnej zwrócili uwagę eksperci z Uniwersytetu Jagiellońskiego projektujący ogólnokrajowe badanie Bilans Kapitału Ludzkiego (koordynowane przez PARP). W pierwszym cyklu tego badania w latach 2010</w:t>
      </w:r>
      <w:r w:rsidR="00F62A40">
        <w:rPr>
          <w:rFonts w:ascii="Times New Roman" w:hAnsi="Times New Roman" w:cs="Times New Roman"/>
        </w:rPr>
        <w:t>–</w:t>
      </w:r>
      <w:r>
        <w:t xml:space="preserve">2014 </w:t>
      </w:r>
      <w:r>
        <w:lastRenderedPageBreak/>
        <w:t>mniejszy nacisk kładziono na specyfikę i zróżnicowanie przejawów edukacji pozaformalnej trudnych do klasyfikowania i</w:t>
      </w:r>
      <w:r w:rsidR="0053714B">
        <w:t> </w:t>
      </w:r>
      <w:r>
        <w:t xml:space="preserve">statystycznego monitorowania. Dotyczyło to zwłaszcza przejawów edukacji silnie powiązanej z praktyką (a nie tylko z przekazywaniem wiedzy w sposób podobny jak w klasie szkolnej lub na wykładzie na uczelni). Od drugiego cyklu tego badania realizowanego od 2017 </w:t>
      </w:r>
      <w:r w:rsidR="00F62A40">
        <w:t>r.</w:t>
      </w:r>
      <w:r>
        <w:t xml:space="preserve"> badacze unikali skojarzeń zróżnicowanych przejawów edukacji pozaformalnej z wzorami znanymi z edukacji formalnej (w tym np. unikali wyrazu „kształcenie” w odniesieniu do opisu uczestnictwa w edukacji innej niż formalna, dając większą swobodę respondentom w określaniu różnych sposobów na rozwijanie swoich umiejętności (kompetencji)</w:t>
      </w:r>
      <w:r w:rsidR="00F62A40">
        <w:t>)</w:t>
      </w:r>
      <w:r>
        <w:t>. Takie podejście całkowicie zmieniło wyniki badań. W pierwszej edycji głównym wnioskiem było</w:t>
      </w:r>
      <w:r w:rsidR="00F62A40">
        <w:t xml:space="preserve"> to</w:t>
      </w:r>
      <w:r>
        <w:t xml:space="preserve">, że większość osób dorosłych w Polsce nie uczestniczy w kształceniu i szkoleniu (kojarzonych silnie z edukacją w trybie szkolnym) i nie widzi takiej potrzeby. W drugiej edycji, na podstawie badania empirycznego, </w:t>
      </w:r>
      <w:r w:rsidR="00F62A40">
        <w:t xml:space="preserve">została </w:t>
      </w:r>
      <w:r>
        <w:t>sformułowana teza, że większość dorosłych osób w Polsce uczy się i widzi taką potrzebę, choć niekoniecznie w formach przypominających szkołę (w tym ponad 50% w mierniku z odniesieniem 12-miesiecznym i ponad 20% w mierniku z odniesieniem 4-tygodniowym).</w:t>
      </w:r>
    </w:p>
    <w:p w14:paraId="6F141BB2" w14:textId="7B245A55" w:rsidR="00D53CBC" w:rsidRDefault="00D53CBC" w:rsidP="00D53CBC">
      <w:r>
        <w:t xml:space="preserve">Powyższe wskazuje na to, </w:t>
      </w:r>
      <w:r w:rsidR="00F62A40">
        <w:t>że</w:t>
      </w:r>
      <w:r>
        <w:t xml:space="preserve"> aby skutecznie zwiększać uczestnictwo dorosłych w Polsce w kształceniu i szkoleniu, zwłaszcza po zakończeniu tradycyjnych ścieżek edukacji formalnej, należy rozumieć je szerzej</w:t>
      </w:r>
      <w:r w:rsidR="00F62A40">
        <w:t xml:space="preserve"> </w:t>
      </w:r>
      <w:r w:rsidR="00F62A40">
        <w:rPr>
          <w:rFonts w:ascii="Times New Roman" w:hAnsi="Times New Roman" w:cs="Times New Roman"/>
        </w:rPr>
        <w:t>–</w:t>
      </w:r>
      <w:r>
        <w:t xml:space="preserve"> </w:t>
      </w:r>
      <w:r w:rsidR="00F62A40">
        <w:t>n</w:t>
      </w:r>
      <w:r>
        <w:t>ie tylko jako powtarzające wzory wykładów znanych ze szkół i uczelni, ale przede wszystkim jako bardzo zróżnicowany i wciąż zmieniający się proces nabywania umiejętności realizowany w różny sposób i w różnych miejscach. W tym szczególnie ważne jest odkrywanie nabywania umiejętności przez praktykę. Jednym z najważniejszych miejsc uczenia się dorosłych po zakończeniu tradycyjnych cyklów edukacji formalnej jest praca zawodowa, zwłaszcza na wymagającym stanowisku. Innymi miejscami są aktywności na rzecz rozwoju różnych społeczności i wspólnot oraz na rzecz różnych zainteresowań. W takiej perspektywie jednym z najważniejszych wyzwań dla uczenia się dorosłych w Polsce jest uczenie się pracowników małych firm, w tym zwłaszcza mikrofirm zatrudniających znaczną część pracowników (coraz silniej podkreśla to np. OECD w ostatnich przeglądach gospodarczych Polski).</w:t>
      </w:r>
    </w:p>
    <w:p w14:paraId="71775DD1" w14:textId="1FB240FA" w:rsidR="00D53CBC" w:rsidRPr="00254AB9" w:rsidRDefault="00D53CBC" w:rsidP="00D53CBC">
      <w:bookmarkStart w:id="64" w:name="_MON_1584959418"/>
      <w:bookmarkEnd w:id="64"/>
      <w:r w:rsidRPr="00B40BA7">
        <w:t>Rozwój nie polega już na kumulowaniu wiedzy, lecz na zdobywaniu umiejętności, które pracownik rzeczywiście będzie mógł wykorzystać w praktyce. Z badania Deloitte wynika, że liderzy rynkowi starają się zaspokoić tę potrzebę, inwestując w nowe narzędzia, które umożliwiają pracownikom kształcenie się nie tylko w pracy, ale i w życiu prywatnym. Jednak tylko zaledwie 5</w:t>
      </w:r>
      <w:r w:rsidR="00F62A40">
        <w:t>%</w:t>
      </w:r>
      <w:r w:rsidRPr="00B40BA7">
        <w:t xml:space="preserve"> </w:t>
      </w:r>
      <w:r w:rsidR="00F62A40">
        <w:t>p</w:t>
      </w:r>
      <w:r w:rsidRPr="00B40BA7">
        <w:t>racowników w Polsce (10</w:t>
      </w:r>
      <w:r w:rsidR="00F62A40">
        <w:t>%</w:t>
      </w:r>
      <w:r w:rsidRPr="00B40BA7">
        <w:t xml:space="preserve"> globalnie) uważa, że firmy</w:t>
      </w:r>
      <w:r w:rsidR="00F62A40">
        <w:t>,</w:t>
      </w:r>
      <w:r w:rsidRPr="00B40BA7">
        <w:t xml:space="preserve"> w których pracują</w:t>
      </w:r>
      <w:r w:rsidR="00F62A40">
        <w:t>,</w:t>
      </w:r>
      <w:r w:rsidRPr="00B40BA7">
        <w:t xml:space="preserve"> są gotowe do podjęcia tego tematu (Deloitte 2019).</w:t>
      </w:r>
      <w:r w:rsidRPr="00C904F2">
        <w:t xml:space="preserve"> </w:t>
      </w:r>
    </w:p>
    <w:p w14:paraId="0B57192F" w14:textId="1C7F196A" w:rsidR="00D53CBC" w:rsidRPr="00254AB9" w:rsidRDefault="00D53CBC" w:rsidP="00D53CBC">
      <w:r w:rsidRPr="00254AB9">
        <w:t xml:space="preserve">Istotną kwestią dla pracodawców poszukujących pracowników jest znajomość języków obcych. Zgodnie z wynikami badania </w:t>
      </w:r>
      <w:r w:rsidRPr="0073175B">
        <w:rPr>
          <w:i/>
        </w:rPr>
        <w:t>Kształcenie Dorosłych w 2016 r.</w:t>
      </w:r>
      <w:r w:rsidRPr="0073175B">
        <w:t xml:space="preserve"> (GUS, 2018) ponad dwie trzecie badanej populacji osób w wieku 18</w:t>
      </w:r>
      <w:r w:rsidR="00F62A40">
        <w:rPr>
          <w:rFonts w:ascii="Times New Roman" w:hAnsi="Times New Roman" w:cs="Times New Roman"/>
        </w:rPr>
        <w:t>–</w:t>
      </w:r>
      <w:r w:rsidRPr="0073175B">
        <w:t xml:space="preserve">69 lat deklarowało znajomość jakiegokolwiek języka obcego, spośród których najliczniejszą grupę stanowiły osoby umiejące posługiwać się tylko jednym językiem (44,7% ogółu badanej populacji). Przeważająca część </w:t>
      </w:r>
      <w:r w:rsidR="00F62A40" w:rsidRPr="0073175B">
        <w:t>osób</w:t>
      </w:r>
      <w:r w:rsidRPr="0073175B">
        <w:t xml:space="preserve"> deklarujących posługiwanie się jednym językiem obcym (66,5%) opanowała go na poziomie podstawowym. Obok dużej liczby osób nieposługujących się żadnym językiem obcym (prawie jedna trzecia ankietowanych) 57,4% obywateli znających język obcy określało swoje umiejętności językowe na poziomie zaledwie podstawowym. Niecałe 30% całej badanej populacji oceniało posiadane kompetencje w zakresie języków obcych na poziomie co najmniej średnim, którego osiągnięcie wydaje się być dzisiaj niezbędne, aby sprostać wymogom współczesnej gospodarki opartej na wiedzy (GUS, 2018).</w:t>
      </w:r>
    </w:p>
    <w:p w14:paraId="2E45341B" w14:textId="77777777" w:rsidR="008E15C9" w:rsidRDefault="008E15C9" w:rsidP="008E15C9">
      <w:pPr>
        <w:rPr>
          <w:rFonts w:eastAsia="Arial" w:cs="Calibri"/>
          <w:sz w:val="21"/>
          <w:szCs w:val="21"/>
        </w:rPr>
      </w:pPr>
      <w:r>
        <w:rPr>
          <w:rFonts w:eastAsia="Arial" w:cs="Calibri"/>
          <w:sz w:val="21"/>
          <w:szCs w:val="21"/>
        </w:rPr>
        <w:br w:type="page"/>
      </w:r>
    </w:p>
    <w:p w14:paraId="2FECB08C" w14:textId="4DFD5855" w:rsidR="008E15C9" w:rsidRDefault="008E15C9" w:rsidP="00027674">
      <w:pPr>
        <w:pStyle w:val="Nagwek4"/>
        <w:rPr>
          <w:rFonts w:eastAsia="Arial"/>
        </w:rPr>
      </w:pPr>
      <w:r>
        <w:rPr>
          <w:bCs/>
        </w:rPr>
        <w:lastRenderedPageBreak/>
        <w:t xml:space="preserve">Tabela </w:t>
      </w:r>
      <w:r w:rsidR="00311B4A">
        <w:rPr>
          <w:bCs/>
        </w:rPr>
        <w:t>4</w:t>
      </w:r>
      <w:r>
        <w:t xml:space="preserve">. </w:t>
      </w:r>
      <w:r>
        <w:rPr>
          <w:rFonts w:eastAsia="Arial"/>
        </w:rPr>
        <w:t>Znajomość języków obcych</w:t>
      </w:r>
      <w:r w:rsidR="006343E1">
        <w:rPr>
          <w:rFonts w:eastAsia="Arial"/>
        </w:rPr>
        <w:t xml:space="preserve"> w </w:t>
      </w:r>
      <w:r>
        <w:rPr>
          <w:rFonts w:eastAsia="Arial"/>
        </w:rPr>
        <w:t>2016 r.</w:t>
      </w:r>
    </w:p>
    <w:tbl>
      <w:tblPr>
        <w:tblW w:w="8882" w:type="dxa"/>
        <w:tblInd w:w="55" w:type="dxa"/>
        <w:tblCellMar>
          <w:left w:w="70" w:type="dxa"/>
          <w:right w:w="70" w:type="dxa"/>
        </w:tblCellMar>
        <w:tblLook w:val="04A0" w:firstRow="1" w:lastRow="0" w:firstColumn="1" w:lastColumn="0" w:noHBand="0" w:noVBand="1"/>
      </w:tblPr>
      <w:tblGrid>
        <w:gridCol w:w="2701"/>
        <w:gridCol w:w="1236"/>
        <w:gridCol w:w="1236"/>
        <w:gridCol w:w="1236"/>
        <w:gridCol w:w="1236"/>
        <w:gridCol w:w="1237"/>
      </w:tblGrid>
      <w:tr w:rsidR="008E15C9" w14:paraId="0A1688A8" w14:textId="77777777" w:rsidTr="00DC728E">
        <w:trPr>
          <w:trHeight w:val="404"/>
        </w:trPr>
        <w:tc>
          <w:tcPr>
            <w:tcW w:w="2701" w:type="dxa"/>
            <w:vMerge w:val="restart"/>
            <w:tcBorders>
              <w:top w:val="single" w:sz="4" w:space="0" w:color="auto"/>
              <w:left w:val="single" w:sz="4" w:space="0" w:color="auto"/>
              <w:bottom w:val="single" w:sz="4" w:space="0" w:color="auto"/>
              <w:right w:val="single" w:sz="4" w:space="0" w:color="auto"/>
            </w:tcBorders>
            <w:vAlign w:val="center"/>
            <w:hideMark/>
          </w:tcPr>
          <w:p w14:paraId="263DC24D" w14:textId="77777777" w:rsidR="008E15C9" w:rsidRDefault="008E15C9" w:rsidP="00DC728E">
            <w:pPr>
              <w:spacing w:before="0" w:after="0"/>
              <w:jc w:val="center"/>
              <w:rPr>
                <w:rFonts w:eastAsia="Times New Roman" w:cs="Calibri"/>
                <w:b/>
                <w:bCs/>
                <w:sz w:val="21"/>
                <w:szCs w:val="21"/>
                <w:lang w:eastAsia="pl-PL"/>
              </w:rPr>
            </w:pPr>
            <w:r>
              <w:rPr>
                <w:rFonts w:eastAsia="Times New Roman" w:cs="Calibri"/>
                <w:b/>
                <w:bCs/>
                <w:sz w:val="21"/>
                <w:szCs w:val="21"/>
                <w:lang w:eastAsia="pl-PL"/>
              </w:rPr>
              <w:t>WYSZCZEGÓLNIENIE</w:t>
            </w:r>
          </w:p>
        </w:tc>
        <w:tc>
          <w:tcPr>
            <w:tcW w:w="1236" w:type="dxa"/>
            <w:tcBorders>
              <w:top w:val="single" w:sz="4" w:space="0" w:color="auto"/>
              <w:left w:val="nil"/>
              <w:bottom w:val="single" w:sz="4" w:space="0" w:color="auto"/>
              <w:right w:val="single" w:sz="4" w:space="0" w:color="auto"/>
            </w:tcBorders>
            <w:vAlign w:val="center"/>
            <w:hideMark/>
          </w:tcPr>
          <w:p w14:paraId="2A53DCD7" w14:textId="77777777" w:rsidR="008E15C9" w:rsidRDefault="008E15C9" w:rsidP="00DC728E">
            <w:pPr>
              <w:spacing w:before="0" w:after="0"/>
              <w:jc w:val="center"/>
              <w:rPr>
                <w:rFonts w:eastAsia="Times New Roman" w:cs="Calibri"/>
                <w:b/>
                <w:bCs/>
                <w:sz w:val="21"/>
                <w:szCs w:val="21"/>
                <w:lang w:eastAsia="pl-PL"/>
              </w:rPr>
            </w:pPr>
            <w:r>
              <w:rPr>
                <w:rFonts w:eastAsia="Times New Roman" w:cs="Calibri"/>
                <w:b/>
                <w:bCs/>
                <w:sz w:val="21"/>
                <w:szCs w:val="21"/>
                <w:lang w:eastAsia="pl-PL"/>
              </w:rPr>
              <w:t>Ogółem</w:t>
            </w:r>
          </w:p>
        </w:tc>
        <w:tc>
          <w:tcPr>
            <w:tcW w:w="1236" w:type="dxa"/>
            <w:tcBorders>
              <w:top w:val="single" w:sz="4" w:space="0" w:color="auto"/>
              <w:left w:val="nil"/>
              <w:bottom w:val="single" w:sz="4" w:space="0" w:color="auto"/>
              <w:right w:val="single" w:sz="4" w:space="0" w:color="auto"/>
            </w:tcBorders>
            <w:vAlign w:val="center"/>
            <w:hideMark/>
          </w:tcPr>
          <w:p w14:paraId="6E4BE7EA" w14:textId="77777777" w:rsidR="008E15C9" w:rsidRDefault="008E15C9" w:rsidP="00DC728E">
            <w:pPr>
              <w:spacing w:before="0" w:after="0"/>
              <w:jc w:val="center"/>
              <w:rPr>
                <w:rFonts w:eastAsia="Times New Roman" w:cs="Calibri"/>
                <w:b/>
                <w:bCs/>
                <w:sz w:val="21"/>
                <w:szCs w:val="21"/>
                <w:lang w:eastAsia="pl-PL"/>
              </w:rPr>
            </w:pPr>
            <w:r>
              <w:rPr>
                <w:rFonts w:eastAsia="Times New Roman" w:cs="Calibri"/>
                <w:b/>
                <w:bCs/>
                <w:sz w:val="21"/>
                <w:szCs w:val="21"/>
                <w:lang w:eastAsia="pl-PL"/>
              </w:rPr>
              <w:t>Mężczyźni</w:t>
            </w:r>
          </w:p>
        </w:tc>
        <w:tc>
          <w:tcPr>
            <w:tcW w:w="1236" w:type="dxa"/>
            <w:tcBorders>
              <w:top w:val="single" w:sz="4" w:space="0" w:color="auto"/>
              <w:left w:val="nil"/>
              <w:bottom w:val="single" w:sz="4" w:space="0" w:color="auto"/>
              <w:right w:val="single" w:sz="4" w:space="0" w:color="auto"/>
            </w:tcBorders>
            <w:vAlign w:val="center"/>
            <w:hideMark/>
          </w:tcPr>
          <w:p w14:paraId="710CE49B" w14:textId="77777777" w:rsidR="008E15C9" w:rsidRDefault="008E15C9" w:rsidP="00DC728E">
            <w:pPr>
              <w:spacing w:before="0" w:after="0"/>
              <w:jc w:val="center"/>
              <w:rPr>
                <w:rFonts w:eastAsia="Times New Roman" w:cs="Calibri"/>
                <w:b/>
                <w:bCs/>
                <w:sz w:val="21"/>
                <w:szCs w:val="21"/>
                <w:lang w:eastAsia="pl-PL"/>
              </w:rPr>
            </w:pPr>
            <w:r>
              <w:rPr>
                <w:rFonts w:eastAsia="Times New Roman" w:cs="Calibri"/>
                <w:b/>
                <w:bCs/>
                <w:sz w:val="21"/>
                <w:szCs w:val="21"/>
                <w:lang w:eastAsia="pl-PL"/>
              </w:rPr>
              <w:t>Kobiety</w:t>
            </w:r>
          </w:p>
        </w:tc>
        <w:tc>
          <w:tcPr>
            <w:tcW w:w="1236" w:type="dxa"/>
            <w:tcBorders>
              <w:top w:val="single" w:sz="4" w:space="0" w:color="auto"/>
              <w:left w:val="nil"/>
              <w:bottom w:val="single" w:sz="4" w:space="0" w:color="auto"/>
              <w:right w:val="single" w:sz="4" w:space="0" w:color="auto"/>
            </w:tcBorders>
            <w:vAlign w:val="center"/>
            <w:hideMark/>
          </w:tcPr>
          <w:p w14:paraId="16AAFE08" w14:textId="77777777" w:rsidR="008E15C9" w:rsidRDefault="008E15C9" w:rsidP="00DC728E">
            <w:pPr>
              <w:spacing w:before="0" w:after="0"/>
              <w:jc w:val="center"/>
              <w:rPr>
                <w:rFonts w:eastAsia="Times New Roman" w:cs="Calibri"/>
                <w:b/>
                <w:bCs/>
                <w:sz w:val="21"/>
                <w:szCs w:val="21"/>
                <w:lang w:eastAsia="pl-PL"/>
              </w:rPr>
            </w:pPr>
            <w:r>
              <w:rPr>
                <w:rFonts w:eastAsia="Times New Roman" w:cs="Calibri"/>
                <w:b/>
                <w:bCs/>
                <w:sz w:val="21"/>
                <w:szCs w:val="21"/>
                <w:lang w:eastAsia="pl-PL"/>
              </w:rPr>
              <w:t>Miasto</w:t>
            </w:r>
          </w:p>
        </w:tc>
        <w:tc>
          <w:tcPr>
            <w:tcW w:w="1237" w:type="dxa"/>
            <w:tcBorders>
              <w:top w:val="single" w:sz="4" w:space="0" w:color="auto"/>
              <w:left w:val="nil"/>
              <w:bottom w:val="single" w:sz="4" w:space="0" w:color="auto"/>
              <w:right w:val="single" w:sz="4" w:space="0" w:color="auto"/>
            </w:tcBorders>
            <w:vAlign w:val="center"/>
            <w:hideMark/>
          </w:tcPr>
          <w:p w14:paraId="38E025CA" w14:textId="77777777" w:rsidR="008E15C9" w:rsidRDefault="008E15C9" w:rsidP="00DC728E">
            <w:pPr>
              <w:spacing w:before="0" w:after="0"/>
              <w:jc w:val="center"/>
              <w:rPr>
                <w:rFonts w:eastAsia="Times New Roman" w:cs="Calibri"/>
                <w:b/>
                <w:bCs/>
                <w:sz w:val="21"/>
                <w:szCs w:val="21"/>
                <w:lang w:eastAsia="pl-PL"/>
              </w:rPr>
            </w:pPr>
            <w:r>
              <w:rPr>
                <w:rFonts w:eastAsia="Times New Roman" w:cs="Calibri"/>
                <w:b/>
                <w:bCs/>
                <w:sz w:val="21"/>
                <w:szCs w:val="21"/>
                <w:lang w:eastAsia="pl-PL"/>
              </w:rPr>
              <w:t>Wieś</w:t>
            </w:r>
          </w:p>
        </w:tc>
      </w:tr>
      <w:tr w:rsidR="008E15C9" w14:paraId="6729F03B" w14:textId="77777777" w:rsidTr="00DC728E">
        <w:trPr>
          <w:trHeight w:val="299"/>
        </w:trPr>
        <w:tc>
          <w:tcPr>
            <w:tcW w:w="2701" w:type="dxa"/>
            <w:vMerge/>
            <w:tcBorders>
              <w:top w:val="single" w:sz="4" w:space="0" w:color="auto"/>
              <w:left w:val="single" w:sz="4" w:space="0" w:color="auto"/>
              <w:bottom w:val="single" w:sz="4" w:space="0" w:color="auto"/>
              <w:right w:val="single" w:sz="4" w:space="0" w:color="auto"/>
            </w:tcBorders>
            <w:vAlign w:val="center"/>
            <w:hideMark/>
          </w:tcPr>
          <w:p w14:paraId="1D855971" w14:textId="77777777" w:rsidR="008E15C9" w:rsidRDefault="008E15C9" w:rsidP="00DC728E">
            <w:pPr>
              <w:spacing w:before="0" w:after="0"/>
              <w:jc w:val="left"/>
              <w:rPr>
                <w:rFonts w:eastAsia="Times New Roman" w:cs="Calibri"/>
                <w:b/>
                <w:bCs/>
                <w:sz w:val="21"/>
                <w:szCs w:val="21"/>
                <w:lang w:eastAsia="pl-PL"/>
              </w:rPr>
            </w:pPr>
          </w:p>
        </w:tc>
        <w:tc>
          <w:tcPr>
            <w:tcW w:w="6181" w:type="dxa"/>
            <w:gridSpan w:val="5"/>
            <w:tcBorders>
              <w:top w:val="single" w:sz="4" w:space="0" w:color="auto"/>
              <w:left w:val="nil"/>
              <w:bottom w:val="single" w:sz="4" w:space="0" w:color="auto"/>
              <w:right w:val="single" w:sz="4" w:space="0" w:color="auto"/>
            </w:tcBorders>
            <w:vAlign w:val="center"/>
            <w:hideMark/>
          </w:tcPr>
          <w:p w14:paraId="1FC517AC" w14:textId="77777777" w:rsidR="008E15C9" w:rsidRDefault="008E15C9" w:rsidP="00DC728E">
            <w:pPr>
              <w:spacing w:before="0" w:after="0"/>
              <w:jc w:val="center"/>
              <w:rPr>
                <w:rFonts w:eastAsia="Times New Roman" w:cs="Calibri"/>
                <w:b/>
                <w:bCs/>
                <w:sz w:val="21"/>
                <w:szCs w:val="21"/>
                <w:lang w:eastAsia="pl-PL"/>
              </w:rPr>
            </w:pPr>
            <w:r>
              <w:rPr>
                <w:rFonts w:eastAsia="Times New Roman" w:cs="Calibri"/>
                <w:b/>
                <w:bCs/>
                <w:sz w:val="21"/>
                <w:szCs w:val="21"/>
                <w:lang w:eastAsia="pl-PL"/>
              </w:rPr>
              <w:t>w %</w:t>
            </w:r>
          </w:p>
        </w:tc>
      </w:tr>
      <w:tr w:rsidR="008E15C9" w14:paraId="54606F98" w14:textId="77777777" w:rsidTr="00DC728E">
        <w:trPr>
          <w:trHeight w:val="428"/>
        </w:trPr>
        <w:tc>
          <w:tcPr>
            <w:tcW w:w="2701" w:type="dxa"/>
            <w:tcBorders>
              <w:top w:val="nil"/>
              <w:left w:val="single" w:sz="4" w:space="0" w:color="auto"/>
              <w:bottom w:val="single" w:sz="4" w:space="0" w:color="auto"/>
              <w:right w:val="single" w:sz="4" w:space="0" w:color="auto"/>
            </w:tcBorders>
            <w:vAlign w:val="center"/>
            <w:hideMark/>
          </w:tcPr>
          <w:p w14:paraId="4EF203F7" w14:textId="77777777" w:rsidR="008E15C9" w:rsidRDefault="008E15C9" w:rsidP="00DC728E">
            <w:pPr>
              <w:spacing w:before="0" w:after="0"/>
              <w:rPr>
                <w:rFonts w:eastAsia="Times New Roman" w:cs="Calibri"/>
                <w:sz w:val="21"/>
                <w:szCs w:val="21"/>
                <w:lang w:eastAsia="pl-PL"/>
              </w:rPr>
            </w:pPr>
            <w:r>
              <w:rPr>
                <w:rFonts w:eastAsia="Times New Roman" w:cs="Calibri"/>
                <w:sz w:val="21"/>
                <w:szCs w:val="21"/>
                <w:lang w:eastAsia="pl-PL"/>
              </w:rPr>
              <w:t>Osoby znające języki obce</w:t>
            </w:r>
          </w:p>
        </w:tc>
        <w:tc>
          <w:tcPr>
            <w:tcW w:w="1236" w:type="dxa"/>
            <w:tcBorders>
              <w:top w:val="nil"/>
              <w:left w:val="nil"/>
              <w:bottom w:val="single" w:sz="4" w:space="0" w:color="auto"/>
              <w:right w:val="single" w:sz="4" w:space="0" w:color="auto"/>
            </w:tcBorders>
            <w:vAlign w:val="center"/>
            <w:hideMark/>
          </w:tcPr>
          <w:p w14:paraId="358EF03A"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67,6</w:t>
            </w:r>
          </w:p>
        </w:tc>
        <w:tc>
          <w:tcPr>
            <w:tcW w:w="1236" w:type="dxa"/>
            <w:tcBorders>
              <w:top w:val="nil"/>
              <w:left w:val="nil"/>
              <w:bottom w:val="single" w:sz="4" w:space="0" w:color="auto"/>
              <w:right w:val="single" w:sz="4" w:space="0" w:color="auto"/>
            </w:tcBorders>
            <w:vAlign w:val="center"/>
            <w:hideMark/>
          </w:tcPr>
          <w:p w14:paraId="47A29E36"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65,6</w:t>
            </w:r>
          </w:p>
        </w:tc>
        <w:tc>
          <w:tcPr>
            <w:tcW w:w="1236" w:type="dxa"/>
            <w:tcBorders>
              <w:top w:val="nil"/>
              <w:left w:val="nil"/>
              <w:bottom w:val="single" w:sz="4" w:space="0" w:color="auto"/>
              <w:right w:val="single" w:sz="4" w:space="0" w:color="auto"/>
            </w:tcBorders>
            <w:vAlign w:val="center"/>
            <w:hideMark/>
          </w:tcPr>
          <w:p w14:paraId="449C5FD9"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69,5</w:t>
            </w:r>
          </w:p>
        </w:tc>
        <w:tc>
          <w:tcPr>
            <w:tcW w:w="1236" w:type="dxa"/>
            <w:tcBorders>
              <w:top w:val="nil"/>
              <w:left w:val="nil"/>
              <w:bottom w:val="single" w:sz="4" w:space="0" w:color="auto"/>
              <w:right w:val="single" w:sz="4" w:space="0" w:color="auto"/>
            </w:tcBorders>
            <w:vAlign w:val="center"/>
            <w:hideMark/>
          </w:tcPr>
          <w:p w14:paraId="3E15E6B1"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73,4</w:t>
            </w:r>
          </w:p>
        </w:tc>
        <w:tc>
          <w:tcPr>
            <w:tcW w:w="1237" w:type="dxa"/>
            <w:tcBorders>
              <w:top w:val="nil"/>
              <w:left w:val="nil"/>
              <w:bottom w:val="single" w:sz="4" w:space="0" w:color="auto"/>
              <w:right w:val="single" w:sz="4" w:space="0" w:color="auto"/>
            </w:tcBorders>
            <w:vAlign w:val="center"/>
            <w:hideMark/>
          </w:tcPr>
          <w:p w14:paraId="693FEC7D"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60,1</w:t>
            </w:r>
          </w:p>
        </w:tc>
      </w:tr>
      <w:tr w:rsidR="008E15C9" w14:paraId="1EB62984" w14:textId="77777777" w:rsidTr="00DC728E">
        <w:trPr>
          <w:trHeight w:val="405"/>
        </w:trPr>
        <w:tc>
          <w:tcPr>
            <w:tcW w:w="2701" w:type="dxa"/>
            <w:tcBorders>
              <w:top w:val="nil"/>
              <w:left w:val="single" w:sz="4" w:space="0" w:color="auto"/>
              <w:bottom w:val="single" w:sz="4" w:space="0" w:color="auto"/>
              <w:right w:val="single" w:sz="4" w:space="0" w:color="auto"/>
            </w:tcBorders>
            <w:vAlign w:val="center"/>
            <w:hideMark/>
          </w:tcPr>
          <w:p w14:paraId="12A6018C" w14:textId="77777777" w:rsidR="008E15C9" w:rsidRDefault="008E15C9" w:rsidP="00DC728E">
            <w:pPr>
              <w:spacing w:before="0" w:after="0"/>
              <w:rPr>
                <w:rFonts w:eastAsia="Times New Roman" w:cs="Calibri"/>
                <w:sz w:val="21"/>
                <w:szCs w:val="21"/>
                <w:lang w:eastAsia="pl-PL"/>
              </w:rPr>
            </w:pPr>
            <w:r>
              <w:rPr>
                <w:rFonts w:eastAsia="Times New Roman" w:cs="Calibri"/>
                <w:sz w:val="21"/>
                <w:szCs w:val="21"/>
                <w:lang w:eastAsia="pl-PL"/>
              </w:rPr>
              <w:t>Osoby znające jeden język obcy</w:t>
            </w:r>
          </w:p>
        </w:tc>
        <w:tc>
          <w:tcPr>
            <w:tcW w:w="1236" w:type="dxa"/>
            <w:tcBorders>
              <w:top w:val="nil"/>
              <w:left w:val="nil"/>
              <w:bottom w:val="single" w:sz="4" w:space="0" w:color="auto"/>
              <w:right w:val="single" w:sz="4" w:space="0" w:color="auto"/>
            </w:tcBorders>
            <w:vAlign w:val="center"/>
            <w:hideMark/>
          </w:tcPr>
          <w:p w14:paraId="05961DD9"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44,7</w:t>
            </w:r>
          </w:p>
        </w:tc>
        <w:tc>
          <w:tcPr>
            <w:tcW w:w="1236" w:type="dxa"/>
            <w:tcBorders>
              <w:top w:val="nil"/>
              <w:left w:val="nil"/>
              <w:bottom w:val="single" w:sz="4" w:space="0" w:color="auto"/>
              <w:right w:val="single" w:sz="4" w:space="0" w:color="auto"/>
            </w:tcBorders>
            <w:vAlign w:val="center"/>
            <w:hideMark/>
          </w:tcPr>
          <w:p w14:paraId="6B03B3F8"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44,4</w:t>
            </w:r>
          </w:p>
        </w:tc>
        <w:tc>
          <w:tcPr>
            <w:tcW w:w="1236" w:type="dxa"/>
            <w:tcBorders>
              <w:top w:val="nil"/>
              <w:left w:val="nil"/>
              <w:bottom w:val="single" w:sz="4" w:space="0" w:color="auto"/>
              <w:right w:val="single" w:sz="4" w:space="0" w:color="auto"/>
            </w:tcBorders>
            <w:vAlign w:val="center"/>
            <w:hideMark/>
          </w:tcPr>
          <w:p w14:paraId="081C1C65"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45</w:t>
            </w:r>
          </w:p>
        </w:tc>
        <w:tc>
          <w:tcPr>
            <w:tcW w:w="1236" w:type="dxa"/>
            <w:tcBorders>
              <w:top w:val="nil"/>
              <w:left w:val="nil"/>
              <w:bottom w:val="single" w:sz="4" w:space="0" w:color="auto"/>
              <w:right w:val="single" w:sz="4" w:space="0" w:color="auto"/>
            </w:tcBorders>
            <w:vAlign w:val="center"/>
            <w:hideMark/>
          </w:tcPr>
          <w:p w14:paraId="397A065D"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46,4</w:t>
            </w:r>
          </w:p>
        </w:tc>
        <w:tc>
          <w:tcPr>
            <w:tcW w:w="1237" w:type="dxa"/>
            <w:tcBorders>
              <w:top w:val="nil"/>
              <w:left w:val="nil"/>
              <w:bottom w:val="single" w:sz="4" w:space="0" w:color="auto"/>
              <w:right w:val="single" w:sz="4" w:space="0" w:color="auto"/>
            </w:tcBorders>
            <w:vAlign w:val="center"/>
            <w:hideMark/>
          </w:tcPr>
          <w:p w14:paraId="1952F60E"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42,6</w:t>
            </w:r>
          </w:p>
        </w:tc>
      </w:tr>
      <w:tr w:rsidR="008E15C9" w:rsidRPr="008E15C9" w14:paraId="59C146B3" w14:textId="77777777" w:rsidTr="00DC728E">
        <w:trPr>
          <w:trHeight w:val="540"/>
        </w:trPr>
        <w:tc>
          <w:tcPr>
            <w:tcW w:w="2701" w:type="dxa"/>
            <w:tcBorders>
              <w:top w:val="nil"/>
              <w:left w:val="single" w:sz="4" w:space="0" w:color="auto"/>
              <w:bottom w:val="single" w:sz="4" w:space="0" w:color="auto"/>
              <w:right w:val="single" w:sz="4" w:space="0" w:color="auto"/>
            </w:tcBorders>
            <w:vAlign w:val="center"/>
            <w:hideMark/>
          </w:tcPr>
          <w:p w14:paraId="4D6369CB" w14:textId="77777777" w:rsidR="008E15C9" w:rsidRDefault="008E15C9" w:rsidP="00DC728E">
            <w:pPr>
              <w:spacing w:before="0" w:after="0"/>
              <w:jc w:val="right"/>
              <w:rPr>
                <w:rFonts w:eastAsia="Times New Roman" w:cs="Calibri"/>
                <w:sz w:val="21"/>
                <w:szCs w:val="21"/>
                <w:lang w:eastAsia="pl-PL"/>
              </w:rPr>
            </w:pPr>
            <w:r>
              <w:rPr>
                <w:rFonts w:eastAsia="Times New Roman" w:cs="Calibri"/>
                <w:sz w:val="21"/>
                <w:szCs w:val="21"/>
                <w:lang w:eastAsia="pl-PL"/>
              </w:rPr>
              <w:t>w tym oceniające jego znajomość na poziomie:</w:t>
            </w:r>
          </w:p>
        </w:tc>
        <w:tc>
          <w:tcPr>
            <w:tcW w:w="1236" w:type="dxa"/>
            <w:tcBorders>
              <w:top w:val="nil"/>
              <w:left w:val="nil"/>
              <w:bottom w:val="single" w:sz="4" w:space="0" w:color="auto"/>
              <w:right w:val="single" w:sz="4" w:space="0" w:color="auto"/>
            </w:tcBorders>
            <w:vAlign w:val="center"/>
            <w:hideMark/>
          </w:tcPr>
          <w:p w14:paraId="79DE7D77"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 </w:t>
            </w:r>
          </w:p>
        </w:tc>
        <w:tc>
          <w:tcPr>
            <w:tcW w:w="1236" w:type="dxa"/>
            <w:tcBorders>
              <w:top w:val="nil"/>
              <w:left w:val="nil"/>
              <w:bottom w:val="single" w:sz="4" w:space="0" w:color="auto"/>
              <w:right w:val="single" w:sz="4" w:space="0" w:color="auto"/>
            </w:tcBorders>
            <w:vAlign w:val="center"/>
            <w:hideMark/>
          </w:tcPr>
          <w:p w14:paraId="67802D92"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 </w:t>
            </w:r>
          </w:p>
        </w:tc>
        <w:tc>
          <w:tcPr>
            <w:tcW w:w="1236" w:type="dxa"/>
            <w:tcBorders>
              <w:top w:val="nil"/>
              <w:left w:val="nil"/>
              <w:bottom w:val="single" w:sz="4" w:space="0" w:color="auto"/>
              <w:right w:val="single" w:sz="4" w:space="0" w:color="auto"/>
            </w:tcBorders>
            <w:vAlign w:val="center"/>
            <w:hideMark/>
          </w:tcPr>
          <w:p w14:paraId="3B61373F"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 </w:t>
            </w:r>
          </w:p>
        </w:tc>
        <w:tc>
          <w:tcPr>
            <w:tcW w:w="1236" w:type="dxa"/>
            <w:tcBorders>
              <w:top w:val="nil"/>
              <w:left w:val="nil"/>
              <w:bottom w:val="single" w:sz="4" w:space="0" w:color="auto"/>
              <w:right w:val="single" w:sz="4" w:space="0" w:color="auto"/>
            </w:tcBorders>
            <w:vAlign w:val="center"/>
            <w:hideMark/>
          </w:tcPr>
          <w:p w14:paraId="1B91335F"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 </w:t>
            </w:r>
          </w:p>
        </w:tc>
        <w:tc>
          <w:tcPr>
            <w:tcW w:w="1237" w:type="dxa"/>
            <w:tcBorders>
              <w:top w:val="nil"/>
              <w:left w:val="nil"/>
              <w:bottom w:val="single" w:sz="4" w:space="0" w:color="auto"/>
              <w:right w:val="single" w:sz="4" w:space="0" w:color="auto"/>
            </w:tcBorders>
            <w:vAlign w:val="center"/>
            <w:hideMark/>
          </w:tcPr>
          <w:p w14:paraId="2C6C81EE"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 </w:t>
            </w:r>
          </w:p>
        </w:tc>
      </w:tr>
      <w:tr w:rsidR="008E15C9" w14:paraId="48972005" w14:textId="77777777" w:rsidTr="00DC728E">
        <w:trPr>
          <w:trHeight w:val="299"/>
        </w:trPr>
        <w:tc>
          <w:tcPr>
            <w:tcW w:w="2701" w:type="dxa"/>
            <w:tcBorders>
              <w:top w:val="nil"/>
              <w:left w:val="single" w:sz="4" w:space="0" w:color="auto"/>
              <w:bottom w:val="single" w:sz="4" w:space="0" w:color="auto"/>
              <w:right w:val="single" w:sz="4" w:space="0" w:color="auto"/>
            </w:tcBorders>
            <w:vAlign w:val="center"/>
            <w:hideMark/>
          </w:tcPr>
          <w:p w14:paraId="66C2268E" w14:textId="77777777" w:rsidR="008E15C9" w:rsidRDefault="008E15C9" w:rsidP="00DC728E">
            <w:pPr>
              <w:spacing w:before="0" w:after="0"/>
              <w:jc w:val="right"/>
              <w:rPr>
                <w:rFonts w:eastAsia="Times New Roman" w:cs="Calibri"/>
                <w:sz w:val="21"/>
                <w:szCs w:val="21"/>
                <w:lang w:eastAsia="pl-PL"/>
              </w:rPr>
            </w:pPr>
            <w:r>
              <w:rPr>
                <w:rFonts w:eastAsia="Times New Roman" w:cs="Calibri"/>
                <w:sz w:val="21"/>
                <w:szCs w:val="21"/>
                <w:lang w:eastAsia="pl-PL"/>
              </w:rPr>
              <w:t>podstawowym</w:t>
            </w:r>
          </w:p>
        </w:tc>
        <w:tc>
          <w:tcPr>
            <w:tcW w:w="1236" w:type="dxa"/>
            <w:tcBorders>
              <w:top w:val="nil"/>
              <w:left w:val="nil"/>
              <w:bottom w:val="single" w:sz="4" w:space="0" w:color="auto"/>
              <w:right w:val="single" w:sz="4" w:space="0" w:color="auto"/>
            </w:tcBorders>
            <w:vAlign w:val="center"/>
            <w:hideMark/>
          </w:tcPr>
          <w:p w14:paraId="414DF425"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66,5</w:t>
            </w:r>
          </w:p>
        </w:tc>
        <w:tc>
          <w:tcPr>
            <w:tcW w:w="1236" w:type="dxa"/>
            <w:tcBorders>
              <w:top w:val="nil"/>
              <w:left w:val="nil"/>
              <w:bottom w:val="single" w:sz="4" w:space="0" w:color="auto"/>
              <w:right w:val="single" w:sz="4" w:space="0" w:color="auto"/>
            </w:tcBorders>
            <w:vAlign w:val="center"/>
            <w:hideMark/>
          </w:tcPr>
          <w:p w14:paraId="669C121F"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66,1</w:t>
            </w:r>
          </w:p>
        </w:tc>
        <w:tc>
          <w:tcPr>
            <w:tcW w:w="1236" w:type="dxa"/>
            <w:tcBorders>
              <w:top w:val="nil"/>
              <w:left w:val="nil"/>
              <w:bottom w:val="single" w:sz="4" w:space="0" w:color="auto"/>
              <w:right w:val="single" w:sz="4" w:space="0" w:color="auto"/>
            </w:tcBorders>
            <w:vAlign w:val="center"/>
            <w:hideMark/>
          </w:tcPr>
          <w:p w14:paraId="0C701192"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66,9</w:t>
            </w:r>
          </w:p>
        </w:tc>
        <w:tc>
          <w:tcPr>
            <w:tcW w:w="1236" w:type="dxa"/>
            <w:tcBorders>
              <w:top w:val="nil"/>
              <w:left w:val="nil"/>
              <w:bottom w:val="single" w:sz="4" w:space="0" w:color="auto"/>
              <w:right w:val="single" w:sz="4" w:space="0" w:color="auto"/>
            </w:tcBorders>
            <w:vAlign w:val="center"/>
            <w:hideMark/>
          </w:tcPr>
          <w:p w14:paraId="425ECD81"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60,5</w:t>
            </w:r>
          </w:p>
        </w:tc>
        <w:tc>
          <w:tcPr>
            <w:tcW w:w="1237" w:type="dxa"/>
            <w:tcBorders>
              <w:top w:val="nil"/>
              <w:left w:val="nil"/>
              <w:bottom w:val="single" w:sz="4" w:space="0" w:color="auto"/>
              <w:right w:val="single" w:sz="4" w:space="0" w:color="auto"/>
            </w:tcBorders>
            <w:vAlign w:val="center"/>
            <w:hideMark/>
          </w:tcPr>
          <w:p w14:paraId="49FEA1EF"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74,8</w:t>
            </w:r>
          </w:p>
        </w:tc>
      </w:tr>
      <w:tr w:rsidR="008E15C9" w14:paraId="1A54FE32" w14:textId="77777777" w:rsidTr="00DC728E">
        <w:trPr>
          <w:trHeight w:val="299"/>
        </w:trPr>
        <w:tc>
          <w:tcPr>
            <w:tcW w:w="2701" w:type="dxa"/>
            <w:tcBorders>
              <w:top w:val="nil"/>
              <w:left w:val="single" w:sz="4" w:space="0" w:color="auto"/>
              <w:bottom w:val="single" w:sz="4" w:space="0" w:color="auto"/>
              <w:right w:val="single" w:sz="4" w:space="0" w:color="auto"/>
            </w:tcBorders>
            <w:vAlign w:val="center"/>
            <w:hideMark/>
          </w:tcPr>
          <w:p w14:paraId="68B4439E" w14:textId="77777777" w:rsidR="008E15C9" w:rsidRDefault="008E15C9" w:rsidP="00DC728E">
            <w:pPr>
              <w:spacing w:before="0" w:after="0"/>
              <w:jc w:val="right"/>
              <w:rPr>
                <w:rFonts w:eastAsia="Times New Roman" w:cs="Calibri"/>
                <w:sz w:val="21"/>
                <w:szCs w:val="21"/>
                <w:lang w:eastAsia="pl-PL"/>
              </w:rPr>
            </w:pPr>
            <w:r>
              <w:rPr>
                <w:rFonts w:eastAsia="Times New Roman" w:cs="Calibri"/>
                <w:sz w:val="21"/>
                <w:szCs w:val="21"/>
                <w:lang w:eastAsia="pl-PL"/>
              </w:rPr>
              <w:t>średnim</w:t>
            </w:r>
          </w:p>
        </w:tc>
        <w:tc>
          <w:tcPr>
            <w:tcW w:w="1236" w:type="dxa"/>
            <w:tcBorders>
              <w:top w:val="nil"/>
              <w:left w:val="nil"/>
              <w:bottom w:val="single" w:sz="4" w:space="0" w:color="auto"/>
              <w:right w:val="single" w:sz="4" w:space="0" w:color="auto"/>
            </w:tcBorders>
            <w:vAlign w:val="center"/>
            <w:hideMark/>
          </w:tcPr>
          <w:p w14:paraId="66930280"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23,6</w:t>
            </w:r>
          </w:p>
        </w:tc>
        <w:tc>
          <w:tcPr>
            <w:tcW w:w="1236" w:type="dxa"/>
            <w:tcBorders>
              <w:top w:val="nil"/>
              <w:left w:val="nil"/>
              <w:bottom w:val="single" w:sz="4" w:space="0" w:color="auto"/>
              <w:right w:val="single" w:sz="4" w:space="0" w:color="auto"/>
            </w:tcBorders>
            <w:vAlign w:val="center"/>
            <w:hideMark/>
          </w:tcPr>
          <w:p w14:paraId="30D3DD3D"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23,6</w:t>
            </w:r>
          </w:p>
        </w:tc>
        <w:tc>
          <w:tcPr>
            <w:tcW w:w="1236" w:type="dxa"/>
            <w:tcBorders>
              <w:top w:val="nil"/>
              <w:left w:val="nil"/>
              <w:bottom w:val="single" w:sz="4" w:space="0" w:color="auto"/>
              <w:right w:val="single" w:sz="4" w:space="0" w:color="auto"/>
            </w:tcBorders>
            <w:vAlign w:val="center"/>
            <w:hideMark/>
          </w:tcPr>
          <w:p w14:paraId="4ADB46D9"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23,6</w:t>
            </w:r>
          </w:p>
        </w:tc>
        <w:tc>
          <w:tcPr>
            <w:tcW w:w="1236" w:type="dxa"/>
            <w:tcBorders>
              <w:top w:val="nil"/>
              <w:left w:val="nil"/>
              <w:bottom w:val="single" w:sz="4" w:space="0" w:color="auto"/>
              <w:right w:val="single" w:sz="4" w:space="0" w:color="auto"/>
            </w:tcBorders>
            <w:vAlign w:val="center"/>
            <w:hideMark/>
          </w:tcPr>
          <w:p w14:paraId="5939DCEE"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27,5</w:t>
            </w:r>
          </w:p>
        </w:tc>
        <w:tc>
          <w:tcPr>
            <w:tcW w:w="1237" w:type="dxa"/>
            <w:tcBorders>
              <w:top w:val="nil"/>
              <w:left w:val="nil"/>
              <w:bottom w:val="single" w:sz="4" w:space="0" w:color="auto"/>
              <w:right w:val="single" w:sz="4" w:space="0" w:color="auto"/>
            </w:tcBorders>
            <w:vAlign w:val="center"/>
            <w:hideMark/>
          </w:tcPr>
          <w:p w14:paraId="1BDD7818"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18,2</w:t>
            </w:r>
          </w:p>
        </w:tc>
      </w:tr>
      <w:tr w:rsidR="008E15C9" w14:paraId="0E91B7D4" w14:textId="77777777" w:rsidTr="00DC728E">
        <w:trPr>
          <w:trHeight w:val="299"/>
        </w:trPr>
        <w:tc>
          <w:tcPr>
            <w:tcW w:w="2701" w:type="dxa"/>
            <w:tcBorders>
              <w:top w:val="nil"/>
              <w:left w:val="single" w:sz="4" w:space="0" w:color="auto"/>
              <w:bottom w:val="single" w:sz="4" w:space="0" w:color="auto"/>
              <w:right w:val="single" w:sz="4" w:space="0" w:color="auto"/>
            </w:tcBorders>
            <w:vAlign w:val="center"/>
            <w:hideMark/>
          </w:tcPr>
          <w:p w14:paraId="49A896F6" w14:textId="77777777" w:rsidR="008E15C9" w:rsidRDefault="008E15C9" w:rsidP="00DC728E">
            <w:pPr>
              <w:spacing w:before="0" w:after="0"/>
              <w:jc w:val="right"/>
              <w:rPr>
                <w:rFonts w:eastAsia="Times New Roman" w:cs="Calibri"/>
                <w:sz w:val="21"/>
                <w:szCs w:val="21"/>
                <w:lang w:eastAsia="pl-PL"/>
              </w:rPr>
            </w:pPr>
            <w:r>
              <w:rPr>
                <w:rFonts w:eastAsia="Times New Roman" w:cs="Calibri"/>
                <w:sz w:val="21"/>
                <w:szCs w:val="21"/>
                <w:lang w:eastAsia="pl-PL"/>
              </w:rPr>
              <w:t>zaawansowanym</w:t>
            </w:r>
          </w:p>
        </w:tc>
        <w:tc>
          <w:tcPr>
            <w:tcW w:w="1236" w:type="dxa"/>
            <w:tcBorders>
              <w:top w:val="nil"/>
              <w:left w:val="nil"/>
              <w:bottom w:val="single" w:sz="4" w:space="0" w:color="auto"/>
              <w:right w:val="single" w:sz="4" w:space="0" w:color="auto"/>
            </w:tcBorders>
            <w:vAlign w:val="center"/>
            <w:hideMark/>
          </w:tcPr>
          <w:p w14:paraId="63B42A31"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9,8</w:t>
            </w:r>
          </w:p>
        </w:tc>
        <w:tc>
          <w:tcPr>
            <w:tcW w:w="1236" w:type="dxa"/>
            <w:tcBorders>
              <w:top w:val="nil"/>
              <w:left w:val="nil"/>
              <w:bottom w:val="single" w:sz="4" w:space="0" w:color="auto"/>
              <w:right w:val="single" w:sz="4" w:space="0" w:color="auto"/>
            </w:tcBorders>
            <w:vAlign w:val="center"/>
            <w:hideMark/>
          </w:tcPr>
          <w:p w14:paraId="11C376F1"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10,3</w:t>
            </w:r>
          </w:p>
        </w:tc>
        <w:tc>
          <w:tcPr>
            <w:tcW w:w="1236" w:type="dxa"/>
            <w:tcBorders>
              <w:top w:val="nil"/>
              <w:left w:val="nil"/>
              <w:bottom w:val="single" w:sz="4" w:space="0" w:color="auto"/>
              <w:right w:val="single" w:sz="4" w:space="0" w:color="auto"/>
            </w:tcBorders>
            <w:vAlign w:val="center"/>
            <w:hideMark/>
          </w:tcPr>
          <w:p w14:paraId="12B6A690"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9,4</w:t>
            </w:r>
          </w:p>
        </w:tc>
        <w:tc>
          <w:tcPr>
            <w:tcW w:w="1236" w:type="dxa"/>
            <w:tcBorders>
              <w:top w:val="nil"/>
              <w:left w:val="nil"/>
              <w:bottom w:val="single" w:sz="4" w:space="0" w:color="auto"/>
              <w:right w:val="single" w:sz="4" w:space="0" w:color="auto"/>
            </w:tcBorders>
            <w:vAlign w:val="center"/>
            <w:hideMark/>
          </w:tcPr>
          <w:p w14:paraId="04209FD5"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11,9</w:t>
            </w:r>
          </w:p>
        </w:tc>
        <w:tc>
          <w:tcPr>
            <w:tcW w:w="1237" w:type="dxa"/>
            <w:tcBorders>
              <w:top w:val="nil"/>
              <w:left w:val="nil"/>
              <w:bottom w:val="single" w:sz="4" w:space="0" w:color="auto"/>
              <w:right w:val="single" w:sz="4" w:space="0" w:color="auto"/>
            </w:tcBorders>
            <w:vAlign w:val="center"/>
            <w:hideMark/>
          </w:tcPr>
          <w:p w14:paraId="72A066B9"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7</w:t>
            </w:r>
          </w:p>
        </w:tc>
      </w:tr>
      <w:tr w:rsidR="008E15C9" w14:paraId="0C47302C" w14:textId="77777777" w:rsidTr="00DC728E">
        <w:trPr>
          <w:trHeight w:val="620"/>
        </w:trPr>
        <w:tc>
          <w:tcPr>
            <w:tcW w:w="2701" w:type="dxa"/>
            <w:tcBorders>
              <w:top w:val="nil"/>
              <w:left w:val="single" w:sz="4" w:space="0" w:color="auto"/>
              <w:bottom w:val="single" w:sz="4" w:space="0" w:color="auto"/>
              <w:right w:val="single" w:sz="4" w:space="0" w:color="auto"/>
            </w:tcBorders>
            <w:vAlign w:val="center"/>
            <w:hideMark/>
          </w:tcPr>
          <w:p w14:paraId="0745F3CB" w14:textId="6EA5FF6E" w:rsidR="008E15C9" w:rsidRDefault="008E15C9" w:rsidP="00DC728E">
            <w:pPr>
              <w:spacing w:before="0" w:after="0"/>
              <w:rPr>
                <w:rFonts w:eastAsia="Times New Roman" w:cs="Calibri"/>
                <w:sz w:val="21"/>
                <w:szCs w:val="21"/>
                <w:lang w:eastAsia="pl-PL"/>
              </w:rPr>
            </w:pPr>
            <w:r>
              <w:rPr>
                <w:rFonts w:eastAsia="Times New Roman" w:cs="Calibri"/>
                <w:sz w:val="21"/>
                <w:szCs w:val="21"/>
                <w:lang w:eastAsia="pl-PL"/>
              </w:rPr>
              <w:t>Osoby znające dwa</w:t>
            </w:r>
            <w:r w:rsidR="006343E1">
              <w:rPr>
                <w:rFonts w:eastAsia="Times New Roman" w:cs="Calibri"/>
                <w:sz w:val="21"/>
                <w:szCs w:val="21"/>
                <w:lang w:eastAsia="pl-PL"/>
              </w:rPr>
              <w:t xml:space="preserve"> </w:t>
            </w:r>
            <w:r w:rsidR="00F62A40">
              <w:rPr>
                <w:rFonts w:eastAsia="Times New Roman" w:cs="Calibri"/>
                <w:sz w:val="21"/>
                <w:szCs w:val="21"/>
                <w:lang w:eastAsia="pl-PL"/>
              </w:rPr>
              <w:t xml:space="preserve">języki obce </w:t>
            </w:r>
            <w:r w:rsidR="006343E1">
              <w:rPr>
                <w:rFonts w:eastAsia="Times New Roman" w:cs="Calibri"/>
                <w:sz w:val="21"/>
                <w:szCs w:val="21"/>
                <w:lang w:eastAsia="pl-PL"/>
              </w:rPr>
              <w:t xml:space="preserve"> i </w:t>
            </w:r>
            <w:r>
              <w:rPr>
                <w:rFonts w:eastAsia="Times New Roman" w:cs="Calibri"/>
                <w:sz w:val="21"/>
                <w:szCs w:val="21"/>
                <w:lang w:eastAsia="pl-PL"/>
              </w:rPr>
              <w:t xml:space="preserve"> więcej języków obcych</w:t>
            </w:r>
          </w:p>
        </w:tc>
        <w:tc>
          <w:tcPr>
            <w:tcW w:w="1236" w:type="dxa"/>
            <w:tcBorders>
              <w:top w:val="nil"/>
              <w:left w:val="nil"/>
              <w:bottom w:val="single" w:sz="4" w:space="0" w:color="auto"/>
              <w:right w:val="single" w:sz="4" w:space="0" w:color="auto"/>
            </w:tcBorders>
            <w:vAlign w:val="center"/>
            <w:hideMark/>
          </w:tcPr>
          <w:p w14:paraId="21A679EE"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22,8</w:t>
            </w:r>
          </w:p>
        </w:tc>
        <w:tc>
          <w:tcPr>
            <w:tcW w:w="1236" w:type="dxa"/>
            <w:tcBorders>
              <w:top w:val="nil"/>
              <w:left w:val="nil"/>
              <w:bottom w:val="single" w:sz="4" w:space="0" w:color="auto"/>
              <w:right w:val="single" w:sz="4" w:space="0" w:color="auto"/>
            </w:tcBorders>
            <w:vAlign w:val="center"/>
            <w:hideMark/>
          </w:tcPr>
          <w:p w14:paraId="0AA0685F"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21,2</w:t>
            </w:r>
          </w:p>
        </w:tc>
        <w:tc>
          <w:tcPr>
            <w:tcW w:w="1236" w:type="dxa"/>
            <w:tcBorders>
              <w:top w:val="nil"/>
              <w:left w:val="nil"/>
              <w:bottom w:val="single" w:sz="4" w:space="0" w:color="auto"/>
              <w:right w:val="single" w:sz="4" w:space="0" w:color="auto"/>
            </w:tcBorders>
            <w:vAlign w:val="center"/>
            <w:hideMark/>
          </w:tcPr>
          <w:p w14:paraId="46D0ADDF"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24,5</w:t>
            </w:r>
          </w:p>
        </w:tc>
        <w:tc>
          <w:tcPr>
            <w:tcW w:w="1236" w:type="dxa"/>
            <w:tcBorders>
              <w:top w:val="nil"/>
              <w:left w:val="nil"/>
              <w:bottom w:val="single" w:sz="4" w:space="0" w:color="auto"/>
              <w:right w:val="single" w:sz="4" w:space="0" w:color="auto"/>
            </w:tcBorders>
            <w:vAlign w:val="center"/>
            <w:hideMark/>
          </w:tcPr>
          <w:p w14:paraId="4EAB280A"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27</w:t>
            </w:r>
          </w:p>
        </w:tc>
        <w:tc>
          <w:tcPr>
            <w:tcW w:w="1237" w:type="dxa"/>
            <w:tcBorders>
              <w:top w:val="nil"/>
              <w:left w:val="nil"/>
              <w:bottom w:val="single" w:sz="4" w:space="0" w:color="auto"/>
              <w:right w:val="single" w:sz="4" w:space="0" w:color="auto"/>
            </w:tcBorders>
            <w:vAlign w:val="center"/>
            <w:hideMark/>
          </w:tcPr>
          <w:p w14:paraId="172BF448"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17,5</w:t>
            </w:r>
          </w:p>
        </w:tc>
      </w:tr>
      <w:tr w:rsidR="008E15C9" w14:paraId="624E704E" w14:textId="77777777" w:rsidTr="00DC728E">
        <w:trPr>
          <w:trHeight w:val="575"/>
        </w:trPr>
        <w:tc>
          <w:tcPr>
            <w:tcW w:w="2701" w:type="dxa"/>
            <w:tcBorders>
              <w:top w:val="nil"/>
              <w:left w:val="single" w:sz="4" w:space="0" w:color="auto"/>
              <w:bottom w:val="single" w:sz="4" w:space="0" w:color="auto"/>
              <w:right w:val="single" w:sz="4" w:space="0" w:color="auto"/>
            </w:tcBorders>
            <w:vAlign w:val="center"/>
            <w:hideMark/>
          </w:tcPr>
          <w:p w14:paraId="220FBC70" w14:textId="77777777" w:rsidR="008E15C9" w:rsidRDefault="008E15C9" w:rsidP="00DC728E">
            <w:pPr>
              <w:spacing w:before="0" w:after="0"/>
              <w:rPr>
                <w:rFonts w:eastAsia="Times New Roman" w:cs="Calibri"/>
                <w:sz w:val="21"/>
                <w:szCs w:val="21"/>
                <w:lang w:eastAsia="pl-PL"/>
              </w:rPr>
            </w:pPr>
            <w:r>
              <w:rPr>
                <w:rFonts w:eastAsia="Times New Roman" w:cs="Calibri"/>
                <w:sz w:val="21"/>
                <w:szCs w:val="21"/>
                <w:lang w:eastAsia="pl-PL"/>
              </w:rPr>
              <w:t>Osoby nieznające żadnego języka obcego</w:t>
            </w:r>
          </w:p>
        </w:tc>
        <w:tc>
          <w:tcPr>
            <w:tcW w:w="1236" w:type="dxa"/>
            <w:tcBorders>
              <w:top w:val="nil"/>
              <w:left w:val="nil"/>
              <w:bottom w:val="single" w:sz="4" w:space="0" w:color="auto"/>
              <w:right w:val="single" w:sz="4" w:space="0" w:color="auto"/>
            </w:tcBorders>
            <w:vAlign w:val="center"/>
            <w:hideMark/>
          </w:tcPr>
          <w:p w14:paraId="50BCCDDB"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32,4</w:t>
            </w:r>
          </w:p>
        </w:tc>
        <w:tc>
          <w:tcPr>
            <w:tcW w:w="1236" w:type="dxa"/>
            <w:tcBorders>
              <w:top w:val="nil"/>
              <w:left w:val="nil"/>
              <w:bottom w:val="single" w:sz="4" w:space="0" w:color="auto"/>
              <w:right w:val="single" w:sz="4" w:space="0" w:color="auto"/>
            </w:tcBorders>
            <w:vAlign w:val="center"/>
            <w:hideMark/>
          </w:tcPr>
          <w:p w14:paraId="76323B19"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34,4</w:t>
            </w:r>
          </w:p>
        </w:tc>
        <w:tc>
          <w:tcPr>
            <w:tcW w:w="1236" w:type="dxa"/>
            <w:tcBorders>
              <w:top w:val="nil"/>
              <w:left w:val="nil"/>
              <w:bottom w:val="single" w:sz="4" w:space="0" w:color="auto"/>
              <w:right w:val="single" w:sz="4" w:space="0" w:color="auto"/>
            </w:tcBorders>
            <w:vAlign w:val="center"/>
            <w:hideMark/>
          </w:tcPr>
          <w:p w14:paraId="0012278C"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30,5</w:t>
            </w:r>
          </w:p>
        </w:tc>
        <w:tc>
          <w:tcPr>
            <w:tcW w:w="1236" w:type="dxa"/>
            <w:tcBorders>
              <w:top w:val="nil"/>
              <w:left w:val="nil"/>
              <w:bottom w:val="single" w:sz="4" w:space="0" w:color="auto"/>
              <w:right w:val="single" w:sz="4" w:space="0" w:color="auto"/>
            </w:tcBorders>
            <w:vAlign w:val="center"/>
            <w:hideMark/>
          </w:tcPr>
          <w:p w14:paraId="5383C3E8"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26,6</w:t>
            </w:r>
          </w:p>
        </w:tc>
        <w:tc>
          <w:tcPr>
            <w:tcW w:w="1237" w:type="dxa"/>
            <w:tcBorders>
              <w:top w:val="nil"/>
              <w:left w:val="nil"/>
              <w:bottom w:val="single" w:sz="4" w:space="0" w:color="auto"/>
              <w:right w:val="single" w:sz="4" w:space="0" w:color="auto"/>
            </w:tcBorders>
            <w:vAlign w:val="center"/>
            <w:hideMark/>
          </w:tcPr>
          <w:p w14:paraId="00FF6EE8" w14:textId="77777777" w:rsidR="008E15C9" w:rsidRDefault="008E15C9" w:rsidP="00DC728E">
            <w:pPr>
              <w:spacing w:before="0" w:after="0"/>
              <w:jc w:val="center"/>
              <w:rPr>
                <w:rFonts w:eastAsia="Times New Roman" w:cs="Calibri"/>
                <w:sz w:val="21"/>
                <w:szCs w:val="21"/>
                <w:lang w:eastAsia="pl-PL"/>
              </w:rPr>
            </w:pPr>
            <w:r>
              <w:rPr>
                <w:rFonts w:eastAsia="Times New Roman" w:cs="Calibri"/>
                <w:sz w:val="21"/>
                <w:szCs w:val="21"/>
                <w:lang w:eastAsia="pl-PL"/>
              </w:rPr>
              <w:t>39,9</w:t>
            </w:r>
          </w:p>
        </w:tc>
      </w:tr>
    </w:tbl>
    <w:p w14:paraId="0C301C30" w14:textId="77777777" w:rsidR="00D26533" w:rsidRDefault="00D26533" w:rsidP="008E15C9">
      <w:pPr>
        <w:pStyle w:val="Bezodstpw"/>
      </w:pPr>
    </w:p>
    <w:p w14:paraId="763738C0" w14:textId="52FEAFA1" w:rsidR="008E15C9" w:rsidRDefault="008E15C9" w:rsidP="008E15C9">
      <w:pPr>
        <w:pStyle w:val="Bezodstpw"/>
      </w:pPr>
      <w:r>
        <w:t xml:space="preserve">Źródło: Opracowanie </w:t>
      </w:r>
      <w:r w:rsidR="003A56DA">
        <w:t>MRiT</w:t>
      </w:r>
      <w:r>
        <w:t xml:space="preserve"> na podstawie danych GUS (2018)</w:t>
      </w:r>
    </w:p>
    <w:p w14:paraId="3F890FF1" w14:textId="71958670" w:rsidR="008E15C9" w:rsidRDefault="008E15C9" w:rsidP="008E15C9">
      <w:r>
        <w:t>Efektywni pracownicy muszą łączyć wiedzę dotyczącą specyficznego procesu produkcji</w:t>
      </w:r>
      <w:r w:rsidR="006343E1">
        <w:t xml:space="preserve"> z </w:t>
      </w:r>
      <w:r>
        <w:t>umiejętnościami</w:t>
      </w:r>
      <w:r w:rsidR="006343E1">
        <w:t xml:space="preserve"> z </w:t>
      </w:r>
      <w:r>
        <w:t>zakresu IT,</w:t>
      </w:r>
      <w:r w:rsidR="006343E1">
        <w:t xml:space="preserve"> w </w:t>
      </w:r>
      <w:r>
        <w:t>tym pod kątem wyzwań związanych</w:t>
      </w:r>
      <w:r w:rsidR="006343E1">
        <w:t xml:space="preserve"> z </w:t>
      </w:r>
      <w:r>
        <w:t xml:space="preserve">cyfrową transformacją przemysłu. System edukacji i rozwoju umiejętności powinien być na tyle elastyczny, aby pozwalał na szybkie reagowanie na zapotrzebowanie gospodarki na konkretne umiejętności. </w:t>
      </w:r>
    </w:p>
    <w:p w14:paraId="08356380" w14:textId="2593E461" w:rsidR="008E15C9" w:rsidRDefault="008E15C9" w:rsidP="008E15C9">
      <w:r>
        <w:t>Według Eurostatu</w:t>
      </w:r>
      <w:r w:rsidR="006343E1">
        <w:t xml:space="preserve"> w </w:t>
      </w:r>
      <w:r>
        <w:t>2019 r. 78% Polaków przynajmniej raz</w:t>
      </w:r>
      <w:r w:rsidR="006343E1">
        <w:t xml:space="preserve"> w </w:t>
      </w:r>
      <w:r>
        <w:t>tygodniu korzysta</w:t>
      </w:r>
      <w:r w:rsidR="006343E1">
        <w:t xml:space="preserve"> z </w:t>
      </w:r>
      <w:r>
        <w:t>Internetu, gd</w:t>
      </w:r>
      <w:r w:rsidR="00F62A40">
        <w:t>y</w:t>
      </w:r>
      <w:r>
        <w:t xml:space="preserve"> średnia dla całej U</w:t>
      </w:r>
      <w:r w:rsidR="00F62A40">
        <w:t xml:space="preserve">nii </w:t>
      </w:r>
      <w:r>
        <w:t>E</w:t>
      </w:r>
      <w:r w:rsidR="00F62A40">
        <w:t>uropejskiej</w:t>
      </w:r>
      <w:r>
        <w:t xml:space="preserve"> wynosi 85%. Mamy też jeden</w:t>
      </w:r>
      <w:r w:rsidR="006343E1">
        <w:t xml:space="preserve"> z </w:t>
      </w:r>
      <w:r>
        <w:t>najniższych wskaźników wykorzystania chmury obliczeniowej. Przykładowo tylko 21% Polaków</w:t>
      </w:r>
      <w:r w:rsidR="006343E1">
        <w:t xml:space="preserve"> w </w:t>
      </w:r>
      <w:r>
        <w:t>2019 r. zapisywało pliki</w:t>
      </w:r>
      <w:r w:rsidR="006343E1">
        <w:t xml:space="preserve"> w </w:t>
      </w:r>
      <w:r>
        <w:t>chmurze obliczeniowej, podczas gdy średnia dla U</w:t>
      </w:r>
      <w:r w:rsidR="00F62A40">
        <w:t xml:space="preserve">nii </w:t>
      </w:r>
      <w:r>
        <w:t>E</w:t>
      </w:r>
      <w:r w:rsidR="00F62A40">
        <w:t>uropejskiej</w:t>
      </w:r>
      <w:r>
        <w:t xml:space="preserve"> wynosi 34%. Inny przykład to wykorzystanie telefonu do łączenia się</w:t>
      </w:r>
      <w:r w:rsidR="006343E1">
        <w:t xml:space="preserve"> z </w:t>
      </w:r>
      <w:r w:rsidR="00F62A40">
        <w:t>I</w:t>
      </w:r>
      <w:r>
        <w:t>nternetem</w:t>
      </w:r>
      <w:r w:rsidR="002A5323">
        <w:t xml:space="preserve"> poza domem lub miejscem pracy</w:t>
      </w:r>
      <w:r>
        <w:t xml:space="preserve"> –</w:t>
      </w:r>
      <w:r w:rsidR="006343E1">
        <w:t xml:space="preserve"> z </w:t>
      </w:r>
      <w:r>
        <w:t>takiej możliwości</w:t>
      </w:r>
      <w:r w:rsidR="006343E1">
        <w:t xml:space="preserve"> w </w:t>
      </w:r>
      <w:r>
        <w:t>2018 r. korzystało 60% Polaków, co było niemal najniższym wskazaniem</w:t>
      </w:r>
      <w:r w:rsidR="006343E1">
        <w:t xml:space="preserve"> w </w:t>
      </w:r>
      <w:r>
        <w:t>U</w:t>
      </w:r>
      <w:r w:rsidR="00F62A40">
        <w:t xml:space="preserve">nii </w:t>
      </w:r>
      <w:r>
        <w:t>E</w:t>
      </w:r>
      <w:r w:rsidR="00F62A40">
        <w:t>uropejskiej</w:t>
      </w:r>
      <w:r>
        <w:t>, gdzie średnia wynosi 74%.</w:t>
      </w:r>
    </w:p>
    <w:p w14:paraId="0336DBE7" w14:textId="59EAD8C5" w:rsidR="008E15C9" w:rsidRDefault="008E15C9" w:rsidP="008E15C9">
      <w:pPr>
        <w:rPr>
          <w:rFonts w:eastAsia="Times New Roman"/>
        </w:rPr>
      </w:pPr>
      <w:r>
        <w:t>Jedną</w:t>
      </w:r>
      <w:r w:rsidR="006343E1">
        <w:t xml:space="preserve"> z </w:t>
      </w:r>
      <w:r>
        <w:t>kluczowych barier rozwoju firm, zwłaszcza</w:t>
      </w:r>
      <w:r w:rsidR="006343E1">
        <w:t xml:space="preserve"> z </w:t>
      </w:r>
      <w:r>
        <w:t>sektora MMŚP</w:t>
      </w:r>
      <w:r w:rsidR="00F62A40">
        <w:t>,</w:t>
      </w:r>
      <w:r>
        <w:t xml:space="preserve"> jest deficyt kompetencyjny personelu,</w:t>
      </w:r>
      <w:r w:rsidR="006343E1">
        <w:t xml:space="preserve"> w </w:t>
      </w:r>
      <w:r>
        <w:t>tym niewystarczające umiejętności zarządcze menedżerów. Zważywszy na kluczową rolę menedżerów</w:t>
      </w:r>
      <w:r w:rsidR="006343E1">
        <w:t xml:space="preserve"> w </w:t>
      </w:r>
      <w:r>
        <w:t>podnoszeniu produktywności</w:t>
      </w:r>
      <w:r w:rsidR="006343E1">
        <w:t xml:space="preserve"> i </w:t>
      </w:r>
      <w:r>
        <w:t>innowacyjności firm</w:t>
      </w:r>
      <w:r w:rsidR="00F62A40">
        <w:t>,</w:t>
      </w:r>
      <w:r>
        <w:t xml:space="preserve"> istotne jest wzmocnienie kompetencji menedżerskich</w:t>
      </w:r>
      <w:r w:rsidR="006343E1">
        <w:t xml:space="preserve"> w </w:t>
      </w:r>
      <w:r>
        <w:t>firmach przy uwzględnieniu dużych różnic możliwości</w:t>
      </w:r>
      <w:r w:rsidR="006343E1">
        <w:t xml:space="preserve"> i </w:t>
      </w:r>
      <w:r>
        <w:t>potrzeb firm</w:t>
      </w:r>
      <w:r w:rsidR="006343E1">
        <w:t xml:space="preserve"> w </w:t>
      </w:r>
      <w:r>
        <w:t xml:space="preserve">tym zakresie. </w:t>
      </w:r>
      <w:bookmarkStart w:id="65" w:name="_MON_1584971861"/>
      <w:bookmarkEnd w:id="65"/>
    </w:p>
    <w:p w14:paraId="6A9EDB72" w14:textId="5052001D" w:rsidR="008E15C9" w:rsidRDefault="008E15C9" w:rsidP="008E15C9">
      <w:pPr>
        <w:rPr>
          <w:rFonts w:eastAsia="Times New Roman"/>
          <w:lang w:eastAsia="pl-PL"/>
        </w:rPr>
      </w:pPr>
      <w:r>
        <w:rPr>
          <w:rFonts w:eastAsia="Times New Roman"/>
          <w:lang w:eastAsia="pl-PL"/>
        </w:rPr>
        <w:t>Budowanie nowoczesnych kadr dla polskiej gospodarki jest jednym ze strategicznych wyzwań zapisanych</w:t>
      </w:r>
      <w:r w:rsidR="006343E1">
        <w:rPr>
          <w:rFonts w:eastAsia="Times New Roman"/>
          <w:lang w:eastAsia="pl-PL"/>
        </w:rPr>
        <w:t xml:space="preserve"> w </w:t>
      </w:r>
      <w:r w:rsidRPr="00CB07D4">
        <w:rPr>
          <w:i/>
        </w:rPr>
        <w:t>Strategii na rzecz Odpowiedzialnego Rozwoju</w:t>
      </w:r>
      <w:r>
        <w:rPr>
          <w:rFonts w:eastAsia="Times New Roman"/>
          <w:lang w:eastAsia="pl-PL"/>
        </w:rPr>
        <w:t>. Strategia, zgodnie</w:t>
      </w:r>
      <w:r w:rsidR="006343E1">
        <w:rPr>
          <w:rFonts w:eastAsia="Times New Roman"/>
          <w:lang w:eastAsia="pl-PL"/>
        </w:rPr>
        <w:t xml:space="preserve"> z </w:t>
      </w:r>
      <w:r>
        <w:rPr>
          <w:rFonts w:eastAsia="Times New Roman"/>
          <w:lang w:eastAsia="pl-PL"/>
        </w:rPr>
        <w:t>oczekiwaniami przedsiębiorców, wskazuje na potrzebę skonstruowania nowego modelu współpracy szkolnictwa</w:t>
      </w:r>
      <w:r w:rsidR="006343E1">
        <w:rPr>
          <w:rFonts w:eastAsia="Times New Roman"/>
          <w:lang w:eastAsia="pl-PL"/>
        </w:rPr>
        <w:t xml:space="preserve"> z </w:t>
      </w:r>
      <w:r>
        <w:rPr>
          <w:rFonts w:eastAsia="Times New Roman"/>
          <w:lang w:eastAsia="pl-PL"/>
        </w:rPr>
        <w:t>gospodarką – m.in. poprzez włączenie do systemu kształcenia praktyk zawodowych</w:t>
      </w:r>
      <w:r w:rsidR="006343E1">
        <w:rPr>
          <w:rFonts w:eastAsia="Times New Roman"/>
          <w:lang w:eastAsia="pl-PL"/>
        </w:rPr>
        <w:t xml:space="preserve"> w </w:t>
      </w:r>
      <w:r>
        <w:rPr>
          <w:rFonts w:eastAsia="Times New Roman"/>
          <w:lang w:eastAsia="pl-PL"/>
        </w:rPr>
        <w:t>przedsiębiorstwach czy aktywny udział przemysłu</w:t>
      </w:r>
      <w:r w:rsidR="006343E1">
        <w:rPr>
          <w:rFonts w:eastAsia="Times New Roman"/>
          <w:lang w:eastAsia="pl-PL"/>
        </w:rPr>
        <w:t xml:space="preserve"> w </w:t>
      </w:r>
      <w:r>
        <w:rPr>
          <w:rFonts w:eastAsia="Times New Roman"/>
          <w:lang w:eastAsia="pl-PL"/>
        </w:rPr>
        <w:t>przygotowaniu programów nauczania. Istotną rolę</w:t>
      </w:r>
      <w:r w:rsidR="006343E1">
        <w:rPr>
          <w:rFonts w:eastAsia="Times New Roman"/>
          <w:lang w:eastAsia="pl-PL"/>
        </w:rPr>
        <w:t xml:space="preserve"> w </w:t>
      </w:r>
      <w:r>
        <w:rPr>
          <w:rFonts w:eastAsia="Times New Roman"/>
          <w:lang w:eastAsia="pl-PL"/>
        </w:rPr>
        <w:t>konstruowaniu modelu współpracy szkolnictwa</w:t>
      </w:r>
      <w:r w:rsidR="006343E1">
        <w:rPr>
          <w:rFonts w:eastAsia="Times New Roman"/>
          <w:lang w:eastAsia="pl-PL"/>
        </w:rPr>
        <w:t xml:space="preserve"> z </w:t>
      </w:r>
      <w:r>
        <w:rPr>
          <w:rFonts w:eastAsia="Times New Roman"/>
          <w:lang w:eastAsia="pl-PL"/>
        </w:rPr>
        <w:t>przedsiębiorcami odgrywa system rad ds. kompetencji. System składa się</w:t>
      </w:r>
      <w:r w:rsidR="006343E1">
        <w:rPr>
          <w:rFonts w:eastAsia="Times New Roman"/>
          <w:lang w:eastAsia="pl-PL"/>
        </w:rPr>
        <w:t xml:space="preserve"> z </w:t>
      </w:r>
      <w:r>
        <w:rPr>
          <w:rFonts w:eastAsia="Times New Roman"/>
          <w:lang w:eastAsia="pl-PL"/>
        </w:rPr>
        <w:t xml:space="preserve">trzech elementów: </w:t>
      </w:r>
      <w:r w:rsidR="0053714B">
        <w:rPr>
          <w:rFonts w:eastAsia="Times New Roman"/>
          <w:lang w:eastAsia="pl-PL"/>
        </w:rPr>
        <w:t>s</w:t>
      </w:r>
      <w:r w:rsidRPr="0053714B">
        <w:rPr>
          <w:rFonts w:eastAsia="Times New Roman"/>
          <w:lang w:eastAsia="pl-PL"/>
        </w:rPr>
        <w:t xml:space="preserve">ektorowych </w:t>
      </w:r>
      <w:r w:rsidR="0053714B">
        <w:rPr>
          <w:rFonts w:eastAsia="Times New Roman"/>
          <w:lang w:eastAsia="pl-PL"/>
        </w:rPr>
        <w:t>r</w:t>
      </w:r>
      <w:r>
        <w:rPr>
          <w:rFonts w:eastAsia="Times New Roman"/>
          <w:lang w:eastAsia="pl-PL"/>
        </w:rPr>
        <w:t xml:space="preserve">ad ds. </w:t>
      </w:r>
      <w:r w:rsidR="0053714B">
        <w:rPr>
          <w:rFonts w:eastAsia="Times New Roman"/>
          <w:lang w:eastAsia="pl-PL"/>
        </w:rPr>
        <w:t>k</w:t>
      </w:r>
      <w:r w:rsidRPr="0053714B">
        <w:rPr>
          <w:rFonts w:eastAsia="Times New Roman"/>
          <w:lang w:eastAsia="pl-PL"/>
        </w:rPr>
        <w:t xml:space="preserve">ompetencji, </w:t>
      </w:r>
      <w:r w:rsidR="00EF0DD3">
        <w:rPr>
          <w:rFonts w:eastAsia="Times New Roman"/>
          <w:lang w:eastAsia="pl-PL"/>
        </w:rPr>
        <w:t>r</w:t>
      </w:r>
      <w:r w:rsidRPr="0053714B">
        <w:rPr>
          <w:rFonts w:eastAsia="Times New Roman"/>
          <w:lang w:eastAsia="pl-PL"/>
        </w:rPr>
        <w:t xml:space="preserve">ady </w:t>
      </w:r>
      <w:r w:rsidR="00EF0DD3">
        <w:rPr>
          <w:rFonts w:eastAsia="Times New Roman"/>
          <w:lang w:eastAsia="pl-PL"/>
        </w:rPr>
        <w:t>p</w:t>
      </w:r>
      <w:r>
        <w:rPr>
          <w:rFonts w:eastAsia="Times New Roman"/>
          <w:lang w:eastAsia="pl-PL"/>
        </w:rPr>
        <w:t xml:space="preserve">rogramowej oraz </w:t>
      </w:r>
      <w:r w:rsidRPr="00CB07D4">
        <w:rPr>
          <w:i/>
        </w:rPr>
        <w:t>Bilansu Kapitału Ludzkiego</w:t>
      </w:r>
      <w:r w:rsidR="003E5A74">
        <w:rPr>
          <w:rFonts w:eastAsia="Times New Roman"/>
          <w:lang w:eastAsia="pl-PL"/>
        </w:rPr>
        <w:t>,</w:t>
      </w:r>
      <w:r>
        <w:rPr>
          <w:rFonts w:eastAsia="Times New Roman"/>
          <w:lang w:eastAsia="pl-PL"/>
        </w:rPr>
        <w:t xml:space="preserve"> czyli badania dopasowania kompetencyjnego podaży</w:t>
      </w:r>
      <w:r w:rsidR="006343E1">
        <w:rPr>
          <w:rFonts w:eastAsia="Times New Roman"/>
          <w:lang w:eastAsia="pl-PL"/>
        </w:rPr>
        <w:t xml:space="preserve"> i </w:t>
      </w:r>
      <w:r>
        <w:rPr>
          <w:rFonts w:eastAsia="Times New Roman"/>
          <w:lang w:eastAsia="pl-PL"/>
        </w:rPr>
        <w:t>popytu na rynku pracy.</w:t>
      </w:r>
    </w:p>
    <w:p w14:paraId="6B559CE6" w14:textId="7D1E70BC" w:rsidR="008E15C9" w:rsidRDefault="008E15C9" w:rsidP="008E15C9">
      <w:r>
        <w:t>Ponadto nie można zapomnieć</w:t>
      </w:r>
      <w:r w:rsidR="006343E1">
        <w:t xml:space="preserve"> o </w:t>
      </w:r>
      <w:r>
        <w:t>skali migracji zarobkowych Polaków oraz</w:t>
      </w:r>
      <w:r w:rsidR="006343E1">
        <w:t xml:space="preserve"> o </w:t>
      </w:r>
      <w:r>
        <w:t>tym</w:t>
      </w:r>
      <w:r w:rsidR="00477C54">
        <w:t>, że </w:t>
      </w:r>
      <w:r>
        <w:t>Polska</w:t>
      </w:r>
      <w:r w:rsidR="003E5A74">
        <w:t>,</w:t>
      </w:r>
      <w:r>
        <w:t xml:space="preserve"> jak cała U</w:t>
      </w:r>
      <w:r w:rsidR="003E5A74">
        <w:t xml:space="preserve">nia </w:t>
      </w:r>
      <w:r>
        <w:t>E</w:t>
      </w:r>
      <w:r w:rsidR="003E5A74">
        <w:t>uropejska</w:t>
      </w:r>
      <w:r>
        <w:t xml:space="preserve">, napotyka problemy </w:t>
      </w:r>
      <w:r w:rsidR="003E5A74">
        <w:t xml:space="preserve">wynikające z </w:t>
      </w:r>
      <w:r>
        <w:t xml:space="preserve">niekorzystnych przemian demograficznych. Według </w:t>
      </w:r>
      <w:r w:rsidR="002A5323">
        <w:t>prognoz</w:t>
      </w:r>
      <w:r>
        <w:t xml:space="preserve"> GUS do 2040 r. populacja Polaków zmniejszy się</w:t>
      </w:r>
      <w:r w:rsidR="006343E1">
        <w:t xml:space="preserve"> z </w:t>
      </w:r>
      <w:r>
        <w:t>obecnych prawie 38 mln do około 35</w:t>
      </w:r>
      <w:r w:rsidR="002A5323">
        <w:t>,7</w:t>
      </w:r>
      <w:r>
        <w:t xml:space="preserve"> mln. Spadek populacji ma być widoczny głównie</w:t>
      </w:r>
      <w:r w:rsidR="006343E1">
        <w:t xml:space="preserve"> w </w:t>
      </w:r>
      <w:r>
        <w:t>dużych miastach, podczas gdy liczba ludności zamieszkującej wsie będzie utrzymywać się na poziomie około 15 mln. Dane GUS pokazują też, jak szybko starzeje się polskie społeczeństwo.</w:t>
      </w:r>
      <w:r w:rsidR="006343E1">
        <w:t xml:space="preserve"> W </w:t>
      </w:r>
      <w:r>
        <w:t>1950 r. mediana wieku Polaków wynosiła około 25 lat, tymczasem</w:t>
      </w:r>
      <w:r w:rsidR="006343E1">
        <w:t xml:space="preserve"> w </w:t>
      </w:r>
      <w:r>
        <w:t>2016 r. sięgała już 40 lat. GUS przewiduje</w:t>
      </w:r>
      <w:r w:rsidR="00477C54">
        <w:t xml:space="preserve">, </w:t>
      </w:r>
      <w:r w:rsidR="00477C54">
        <w:lastRenderedPageBreak/>
        <w:t>że </w:t>
      </w:r>
      <w:r>
        <w:t>proces starzenia się polskiego społeczeństwa będzie nadal postępował</w:t>
      </w:r>
      <w:r w:rsidR="006343E1">
        <w:t xml:space="preserve"> i </w:t>
      </w:r>
      <w:r>
        <w:t>w 2040 r. mediana wieku przekroczy 50 lat.</w:t>
      </w:r>
      <w:r w:rsidR="006343E1">
        <w:t xml:space="preserve"> W </w:t>
      </w:r>
      <w:r>
        <w:t>efekcie tych zmian zmniejszy się liczba osób</w:t>
      </w:r>
      <w:r w:rsidR="006343E1">
        <w:t xml:space="preserve"> w </w:t>
      </w:r>
      <w:r>
        <w:t>wieku produkcyjnym,</w:t>
      </w:r>
      <w:r w:rsidR="006343E1">
        <w:t xml:space="preserve"> a </w:t>
      </w:r>
      <w:r>
        <w:t xml:space="preserve">liczba </w:t>
      </w:r>
      <w:r w:rsidR="002A5323">
        <w:t>osób w wieku emerytalnym (poprodukcyjnym)</w:t>
      </w:r>
      <w:r>
        <w:t xml:space="preserve"> znacznie wzrośnie (</w:t>
      </w:r>
      <w:r w:rsidRPr="00CB07D4">
        <w:rPr>
          <w:i/>
        </w:rPr>
        <w:t xml:space="preserve">Atlas </w:t>
      </w:r>
      <w:r w:rsidR="00EF0DD3" w:rsidRPr="00CB07D4">
        <w:rPr>
          <w:i/>
        </w:rPr>
        <w:t>d</w:t>
      </w:r>
      <w:r w:rsidRPr="00CB07D4">
        <w:rPr>
          <w:i/>
        </w:rPr>
        <w:t>emograficzny</w:t>
      </w:r>
      <w:r w:rsidR="00EF0DD3" w:rsidRPr="00CB07D4">
        <w:rPr>
          <w:i/>
        </w:rPr>
        <w:t xml:space="preserve"> Polski</w:t>
      </w:r>
      <w:r>
        <w:t>, GUS</w:t>
      </w:r>
      <w:r w:rsidR="00EF0DD3">
        <w:t>,</w:t>
      </w:r>
      <w:r>
        <w:t xml:space="preserve"> 2017).</w:t>
      </w:r>
    </w:p>
    <w:p w14:paraId="4E711765" w14:textId="77777777" w:rsidR="008E15C9" w:rsidRDefault="008E15C9" w:rsidP="008E15C9">
      <w:pPr>
        <w:pStyle w:val="Nagwek2"/>
      </w:pPr>
      <w:bookmarkStart w:id="66" w:name="_Toc517448448"/>
      <w:bookmarkStart w:id="67" w:name="_Toc31808504"/>
      <w:bookmarkStart w:id="68" w:name="_Toc106968787"/>
      <w:r>
        <w:t>Literatura</w:t>
      </w:r>
      <w:bookmarkEnd w:id="66"/>
      <w:bookmarkEnd w:id="67"/>
      <w:bookmarkEnd w:id="68"/>
    </w:p>
    <w:p w14:paraId="639B50A3" w14:textId="13D7DF6D" w:rsidR="008E15C9" w:rsidRDefault="008E15C9" w:rsidP="008E15C9">
      <w:pPr>
        <w:spacing w:after="0" w:line="240" w:lineRule="auto"/>
        <w:rPr>
          <w:rFonts w:cs="Calibri"/>
          <w:sz w:val="21"/>
          <w:szCs w:val="21"/>
        </w:rPr>
      </w:pPr>
      <w:r w:rsidRPr="00CB07D4">
        <w:rPr>
          <w:i/>
          <w:sz w:val="21"/>
        </w:rPr>
        <w:t xml:space="preserve">Atlas </w:t>
      </w:r>
      <w:r w:rsidR="00EF0DD3" w:rsidRPr="00CB07D4">
        <w:rPr>
          <w:rFonts w:cs="Calibri"/>
          <w:i/>
          <w:sz w:val="21"/>
          <w:szCs w:val="21"/>
        </w:rPr>
        <w:t>d</w:t>
      </w:r>
      <w:r w:rsidRPr="00CB07D4">
        <w:rPr>
          <w:i/>
          <w:sz w:val="21"/>
        </w:rPr>
        <w:t>emograficzny Polski</w:t>
      </w:r>
      <w:r>
        <w:rPr>
          <w:rFonts w:cs="Calibri"/>
          <w:sz w:val="21"/>
          <w:szCs w:val="21"/>
        </w:rPr>
        <w:t>, GUS</w:t>
      </w:r>
      <w:r w:rsidR="003E5A74">
        <w:rPr>
          <w:rFonts w:cs="Calibri"/>
          <w:sz w:val="21"/>
          <w:szCs w:val="21"/>
        </w:rPr>
        <w:t>,</w:t>
      </w:r>
      <w:r>
        <w:rPr>
          <w:rFonts w:cs="Calibri"/>
          <w:sz w:val="21"/>
          <w:szCs w:val="21"/>
        </w:rPr>
        <w:t xml:space="preserve"> 2017</w:t>
      </w:r>
    </w:p>
    <w:p w14:paraId="587159FA" w14:textId="56D0408B" w:rsidR="008E15C9" w:rsidRDefault="008E15C9" w:rsidP="008E15C9">
      <w:pPr>
        <w:spacing w:after="0" w:line="240" w:lineRule="auto"/>
        <w:rPr>
          <w:rFonts w:cs="Calibri"/>
          <w:sz w:val="21"/>
          <w:szCs w:val="21"/>
        </w:rPr>
      </w:pPr>
      <w:r w:rsidRPr="00F86FAA">
        <w:rPr>
          <w:rFonts w:cs="Calibri"/>
          <w:sz w:val="21"/>
          <w:szCs w:val="21"/>
        </w:rPr>
        <w:t>https://stat.gov.pl/obszary-tematyczne/inne-opracowania/inne-opracowania-zbiorcze/atlas-demograficzny-polski,28,1.html</w:t>
      </w:r>
    </w:p>
    <w:p w14:paraId="0F95A0B8" w14:textId="6E63E4D4" w:rsidR="008E15C9" w:rsidRPr="00F86FAA" w:rsidRDefault="00F86FAA" w:rsidP="008E15C9">
      <w:pPr>
        <w:spacing w:after="0" w:line="240" w:lineRule="auto"/>
        <w:rPr>
          <w:rStyle w:val="Pogrubienie"/>
          <w:b w:val="0"/>
          <w:lang w:val="en-GB"/>
        </w:rPr>
      </w:pPr>
      <w:r>
        <w:rPr>
          <w:rStyle w:val="Pogrubienie"/>
          <w:b w:val="0"/>
          <w:sz w:val="21"/>
          <w:szCs w:val="21"/>
          <w:lang w:val="en-GB"/>
        </w:rPr>
        <w:t>Komisja Europejska</w:t>
      </w:r>
      <w:r w:rsidR="003E5A74" w:rsidRPr="00F86FAA">
        <w:rPr>
          <w:rStyle w:val="Pogrubienie"/>
          <w:b w:val="0"/>
          <w:sz w:val="21"/>
          <w:szCs w:val="21"/>
          <w:lang w:val="en-GB"/>
        </w:rPr>
        <w:t>,</w:t>
      </w:r>
      <w:r w:rsidR="008E15C9" w:rsidRPr="00F86FAA">
        <w:rPr>
          <w:rStyle w:val="Pogrubienie"/>
          <w:b w:val="0"/>
          <w:sz w:val="21"/>
          <w:szCs w:val="21"/>
          <w:lang w:val="en-GB"/>
        </w:rPr>
        <w:t xml:space="preserve"> </w:t>
      </w:r>
      <w:r w:rsidR="008E15C9" w:rsidRPr="00F86FAA">
        <w:rPr>
          <w:rStyle w:val="Pogrubienie"/>
          <w:b w:val="0"/>
          <w:sz w:val="21"/>
          <w:szCs w:val="21"/>
          <w:lang w:val="en-US"/>
        </w:rPr>
        <w:t xml:space="preserve">Council Recommendation of 11 July 2017 on the 2017 National Reform Programme of Poland and </w:t>
      </w:r>
      <w:r w:rsidR="003E5A74" w:rsidRPr="00F86FAA">
        <w:rPr>
          <w:rStyle w:val="Pogrubienie"/>
          <w:b w:val="0"/>
          <w:sz w:val="21"/>
          <w:szCs w:val="21"/>
          <w:lang w:val="en-US"/>
        </w:rPr>
        <w:t>D</w:t>
      </w:r>
      <w:r w:rsidR="008E15C9" w:rsidRPr="00F86FAA">
        <w:rPr>
          <w:rStyle w:val="Pogrubienie"/>
          <w:b w:val="0"/>
          <w:sz w:val="21"/>
          <w:szCs w:val="21"/>
          <w:lang w:val="en-US"/>
        </w:rPr>
        <w:t xml:space="preserve">elivering a Council </w:t>
      </w:r>
      <w:r w:rsidR="003E5A74" w:rsidRPr="00F86FAA">
        <w:rPr>
          <w:rStyle w:val="Pogrubienie"/>
          <w:b w:val="0"/>
          <w:sz w:val="21"/>
          <w:szCs w:val="21"/>
          <w:lang w:val="en-US"/>
        </w:rPr>
        <w:t>O</w:t>
      </w:r>
      <w:r w:rsidR="008E15C9" w:rsidRPr="00F86FAA">
        <w:rPr>
          <w:rStyle w:val="Pogrubienie"/>
          <w:b w:val="0"/>
          <w:sz w:val="21"/>
          <w:szCs w:val="21"/>
          <w:lang w:val="en-US"/>
        </w:rPr>
        <w:t>pinion on the 2017 Convergence Programme of Poland</w:t>
      </w:r>
      <w:r>
        <w:rPr>
          <w:rStyle w:val="Pogrubienie"/>
          <w:b w:val="0"/>
          <w:sz w:val="21"/>
          <w:szCs w:val="21"/>
          <w:lang w:val="en-US"/>
        </w:rPr>
        <w:t>, 2017</w:t>
      </w:r>
    </w:p>
    <w:p w14:paraId="7A435E99" w14:textId="205C1A5D" w:rsidR="008E15C9" w:rsidRPr="008E15C9" w:rsidRDefault="008E15C9" w:rsidP="008E15C9">
      <w:pPr>
        <w:spacing w:after="0" w:line="240" w:lineRule="auto"/>
        <w:rPr>
          <w:rStyle w:val="Hipercze"/>
          <w:rFonts w:cs="Calibri"/>
          <w:lang w:val="en-GB"/>
        </w:rPr>
      </w:pPr>
      <w:r w:rsidRPr="00F86FAA">
        <w:rPr>
          <w:rFonts w:cs="Calibri"/>
          <w:sz w:val="21"/>
          <w:szCs w:val="21"/>
          <w:lang w:val="en-GB"/>
        </w:rPr>
        <w:t>https://eur-lex.europa.eu/legal-content/EN/TXT/?uri=CELEX%3A32017H0809%2820%29</w:t>
      </w:r>
    </w:p>
    <w:p w14:paraId="059116C9" w14:textId="2304F188" w:rsidR="008E15C9" w:rsidRDefault="00F86FAA" w:rsidP="008E15C9">
      <w:pPr>
        <w:spacing w:after="0" w:line="240" w:lineRule="auto"/>
        <w:rPr>
          <w:lang w:val="en-US"/>
        </w:rPr>
      </w:pPr>
      <w:r>
        <w:rPr>
          <w:rFonts w:cs="Calibri"/>
          <w:sz w:val="21"/>
          <w:szCs w:val="21"/>
          <w:lang w:val="en-US"/>
        </w:rPr>
        <w:t xml:space="preserve">Commission Staff Working Document </w:t>
      </w:r>
      <w:r w:rsidR="008E15C9">
        <w:rPr>
          <w:rFonts w:cs="Calibri"/>
          <w:sz w:val="21"/>
          <w:szCs w:val="21"/>
          <w:lang w:val="en-US"/>
        </w:rPr>
        <w:t xml:space="preserve">Country Report Poland </w:t>
      </w:r>
      <w:r>
        <w:rPr>
          <w:rFonts w:cs="Calibri"/>
          <w:sz w:val="21"/>
          <w:szCs w:val="21"/>
          <w:lang w:val="en-US"/>
        </w:rPr>
        <w:t xml:space="preserve">2020 </w:t>
      </w:r>
      <w:r w:rsidR="008E15C9">
        <w:rPr>
          <w:rFonts w:cs="Calibri"/>
          <w:sz w:val="21"/>
          <w:szCs w:val="21"/>
          <w:lang w:val="en-US"/>
        </w:rPr>
        <w:t xml:space="preserve">Accompanying </w:t>
      </w:r>
      <w:r>
        <w:rPr>
          <w:rFonts w:cs="Calibri"/>
          <w:sz w:val="21"/>
          <w:szCs w:val="21"/>
          <w:lang w:val="en-US"/>
        </w:rPr>
        <w:t xml:space="preserve">The Document Communication From The Commission To The European Parliament, The European Council, The Council, The European Central Bank And The </w:t>
      </w:r>
      <w:r w:rsidRPr="00EF0DD3">
        <w:rPr>
          <w:rFonts w:cs="Calibri"/>
          <w:sz w:val="21"/>
          <w:szCs w:val="21"/>
          <w:lang w:val="en-US"/>
        </w:rPr>
        <w:t>Eurogroup</w:t>
      </w:r>
      <w:r>
        <w:rPr>
          <w:rFonts w:cs="Calibri"/>
          <w:sz w:val="21"/>
          <w:szCs w:val="21"/>
          <w:lang w:val="en-US"/>
        </w:rPr>
        <w:t xml:space="preserve"> </w:t>
      </w:r>
      <w:r w:rsidRPr="00EF0DD3">
        <w:rPr>
          <w:rFonts w:cs="Calibri"/>
          <w:sz w:val="21"/>
          <w:szCs w:val="21"/>
          <w:lang w:val="en-US"/>
        </w:rPr>
        <w:t>2020</w:t>
      </w:r>
      <w:r>
        <w:rPr>
          <w:rFonts w:cs="Calibri"/>
          <w:sz w:val="21"/>
          <w:szCs w:val="21"/>
          <w:lang w:val="en-US"/>
        </w:rPr>
        <w:t xml:space="preserve"> </w:t>
      </w:r>
      <w:r w:rsidR="008E15C9">
        <w:rPr>
          <w:rFonts w:cs="Calibri"/>
          <w:sz w:val="21"/>
          <w:szCs w:val="21"/>
          <w:lang w:val="en-US"/>
        </w:rPr>
        <w:t xml:space="preserve">European Semester: Assessment of progress on structural reforms, prevention and correction of macroeconomic imbalances, and results of in-depth reviews under Regulation (EU) No 1176/2011 </w:t>
      </w:r>
    </w:p>
    <w:p w14:paraId="2A23D298" w14:textId="36D72D3C" w:rsidR="008E15C9" w:rsidRDefault="008E15C9" w:rsidP="008E15C9">
      <w:pPr>
        <w:spacing w:after="0" w:line="240" w:lineRule="auto"/>
        <w:rPr>
          <w:lang w:val="en-GB"/>
        </w:rPr>
      </w:pPr>
      <w:r w:rsidRPr="00F86FAA">
        <w:rPr>
          <w:lang w:val="en-GB"/>
        </w:rPr>
        <w:t>https://ec.europa.eu/info/sites/info/files/file_import/2019-european-semester-country-report-poland_en.pdf</w:t>
      </w:r>
    </w:p>
    <w:p w14:paraId="3B52E630" w14:textId="4716FBC7" w:rsidR="008E15C9" w:rsidRDefault="008E15C9" w:rsidP="008E15C9">
      <w:pPr>
        <w:spacing w:after="0" w:line="240" w:lineRule="auto"/>
        <w:rPr>
          <w:rFonts w:cs="Calibri"/>
          <w:sz w:val="21"/>
          <w:szCs w:val="21"/>
        </w:rPr>
      </w:pPr>
      <w:r>
        <w:rPr>
          <w:rFonts w:cs="Calibri"/>
          <w:i/>
          <w:sz w:val="21"/>
          <w:szCs w:val="21"/>
        </w:rPr>
        <w:t>Społeczeństwo informacyjne</w:t>
      </w:r>
      <w:r w:rsidR="006343E1">
        <w:rPr>
          <w:rFonts w:cs="Calibri"/>
          <w:i/>
          <w:sz w:val="21"/>
          <w:szCs w:val="21"/>
        </w:rPr>
        <w:t xml:space="preserve"> w </w:t>
      </w:r>
      <w:r>
        <w:rPr>
          <w:rFonts w:cs="Calibri"/>
          <w:i/>
          <w:sz w:val="21"/>
          <w:szCs w:val="21"/>
        </w:rPr>
        <w:t>Polsce. Wyniki badań statystycznych</w:t>
      </w:r>
      <w:r w:rsidR="006343E1">
        <w:rPr>
          <w:rFonts w:cs="Calibri"/>
          <w:i/>
          <w:sz w:val="21"/>
          <w:szCs w:val="21"/>
        </w:rPr>
        <w:t xml:space="preserve"> z </w:t>
      </w:r>
      <w:r>
        <w:rPr>
          <w:rFonts w:cs="Calibri"/>
          <w:i/>
          <w:sz w:val="21"/>
          <w:szCs w:val="21"/>
        </w:rPr>
        <w:t>lat 2013-2017</w:t>
      </w:r>
      <w:r w:rsidR="003E5A74">
        <w:rPr>
          <w:rFonts w:cs="Calibri"/>
          <w:sz w:val="21"/>
          <w:szCs w:val="21"/>
        </w:rPr>
        <w:t>,</w:t>
      </w:r>
      <w:r w:rsidR="003E5A74" w:rsidRPr="003E5A74">
        <w:rPr>
          <w:rFonts w:cs="Calibri"/>
          <w:sz w:val="21"/>
          <w:szCs w:val="21"/>
        </w:rPr>
        <w:t xml:space="preserve"> </w:t>
      </w:r>
      <w:r w:rsidR="003E5A74" w:rsidRPr="008E15C9">
        <w:rPr>
          <w:rFonts w:cs="Calibri"/>
          <w:sz w:val="21"/>
          <w:szCs w:val="21"/>
        </w:rPr>
        <w:t>GUS</w:t>
      </w:r>
      <w:r w:rsidR="003E5A74">
        <w:rPr>
          <w:rFonts w:cs="Calibri"/>
          <w:sz w:val="21"/>
          <w:szCs w:val="21"/>
        </w:rPr>
        <w:t>, 2017</w:t>
      </w:r>
    </w:p>
    <w:p w14:paraId="76559886" w14:textId="2D7D36A6" w:rsidR="008E15C9" w:rsidRDefault="008E15C9" w:rsidP="008E15C9">
      <w:pPr>
        <w:spacing w:after="0" w:line="240" w:lineRule="auto"/>
        <w:rPr>
          <w:rStyle w:val="Hipercze"/>
        </w:rPr>
      </w:pPr>
      <w:r w:rsidRPr="00F86FAA">
        <w:rPr>
          <w:rFonts w:cs="Calibri"/>
          <w:sz w:val="21"/>
          <w:szCs w:val="21"/>
        </w:rPr>
        <w:t>http://stat.gov.pl/obszary-tematyczne/nauka-i-technika-spoleczenstwo-informacyjne/spoleczenstwo-informacyjne/spoleczenstwo-informacyjne-w-polsce-wyniki-badan-statystycznych-z-lat-2013-2017,1,11.html</w:t>
      </w:r>
    </w:p>
    <w:p w14:paraId="4CC94BC2" w14:textId="285B1450" w:rsidR="008E15C9" w:rsidRDefault="008E15C9" w:rsidP="008E15C9">
      <w:pPr>
        <w:spacing w:after="0" w:line="240" w:lineRule="auto"/>
      </w:pPr>
      <w:r>
        <w:rPr>
          <w:rFonts w:cs="Calibri"/>
          <w:i/>
          <w:sz w:val="21"/>
          <w:szCs w:val="21"/>
        </w:rPr>
        <w:t>Polska</w:t>
      </w:r>
      <w:r w:rsidR="006343E1">
        <w:rPr>
          <w:rFonts w:cs="Calibri"/>
          <w:i/>
          <w:sz w:val="21"/>
          <w:szCs w:val="21"/>
        </w:rPr>
        <w:t xml:space="preserve"> w </w:t>
      </w:r>
      <w:r>
        <w:rPr>
          <w:rFonts w:cs="Calibri"/>
          <w:i/>
          <w:sz w:val="21"/>
          <w:szCs w:val="21"/>
        </w:rPr>
        <w:t>Unii Europejskiej</w:t>
      </w:r>
      <w:r>
        <w:rPr>
          <w:rFonts w:cs="Calibri"/>
          <w:sz w:val="21"/>
          <w:szCs w:val="21"/>
        </w:rPr>
        <w:t xml:space="preserve">, </w:t>
      </w:r>
      <w:r w:rsidR="003E5A74">
        <w:rPr>
          <w:rFonts w:cs="Calibri"/>
          <w:sz w:val="21"/>
          <w:szCs w:val="21"/>
        </w:rPr>
        <w:t xml:space="preserve">GUS, </w:t>
      </w:r>
      <w:r>
        <w:rPr>
          <w:rFonts w:cs="Calibri"/>
          <w:sz w:val="21"/>
          <w:szCs w:val="21"/>
        </w:rPr>
        <w:t>Warszawa</w:t>
      </w:r>
      <w:r w:rsidR="003E5A74">
        <w:rPr>
          <w:rFonts w:cs="Calibri"/>
          <w:sz w:val="21"/>
          <w:szCs w:val="21"/>
        </w:rPr>
        <w:t>, 2020</w:t>
      </w:r>
    </w:p>
    <w:p w14:paraId="616C2DB6" w14:textId="675A1EA1" w:rsidR="008E15C9" w:rsidRDefault="003E5A74" w:rsidP="00CB07D4">
      <w:pPr>
        <w:spacing w:after="0" w:line="240" w:lineRule="auto"/>
        <w:jc w:val="left"/>
        <w:rPr>
          <w:sz w:val="21"/>
          <w:szCs w:val="21"/>
        </w:rPr>
      </w:pPr>
      <w:r>
        <w:rPr>
          <w:i/>
          <w:sz w:val="21"/>
          <w:szCs w:val="21"/>
        </w:rPr>
        <w:t>Kształcenie dorosłych w 2016 r.</w:t>
      </w:r>
      <w:r w:rsidR="00D26533">
        <w:rPr>
          <w:sz w:val="21"/>
          <w:szCs w:val="21"/>
        </w:rPr>
        <w:t>, GUS,</w:t>
      </w:r>
      <w:r>
        <w:rPr>
          <w:sz w:val="21"/>
          <w:szCs w:val="21"/>
        </w:rPr>
        <w:t xml:space="preserve"> Gdańsk, 2018</w:t>
      </w:r>
      <w:r>
        <w:rPr>
          <w:rStyle w:val="Hipercze"/>
          <w:rFonts w:cs="Calibri"/>
          <w:sz w:val="21"/>
          <w:szCs w:val="21"/>
        </w:rPr>
        <w:t xml:space="preserve"> </w:t>
      </w:r>
    </w:p>
    <w:p w14:paraId="0E228FF6" w14:textId="004EBA9F" w:rsidR="008E15C9" w:rsidRDefault="008E15C9" w:rsidP="008E15C9">
      <w:pPr>
        <w:spacing w:after="0" w:line="240" w:lineRule="auto"/>
        <w:rPr>
          <w:rFonts w:cs="Calibri"/>
          <w:sz w:val="21"/>
          <w:szCs w:val="21"/>
        </w:rPr>
      </w:pPr>
      <w:r w:rsidRPr="00F86FAA">
        <w:rPr>
          <w:rFonts w:cs="Calibri"/>
          <w:sz w:val="21"/>
          <w:szCs w:val="21"/>
        </w:rPr>
        <w:t>https://stat.gov.pl/obszary-tematyczne/edukacja/edukacja/ksztalcenie-doroslych-w-2016-roku,14,1.html</w:t>
      </w:r>
    </w:p>
    <w:p w14:paraId="5EF998F9" w14:textId="0B0C8847" w:rsidR="008E15C9" w:rsidRDefault="008E15C9" w:rsidP="008E15C9">
      <w:pPr>
        <w:spacing w:after="0" w:line="240" w:lineRule="auto"/>
        <w:rPr>
          <w:sz w:val="21"/>
          <w:szCs w:val="21"/>
        </w:rPr>
      </w:pPr>
      <w:r>
        <w:rPr>
          <w:i/>
          <w:sz w:val="21"/>
          <w:szCs w:val="21"/>
        </w:rPr>
        <w:t>Zintegrowana Strategia Umiejętności 2030 (część ogólna)</w:t>
      </w:r>
      <w:r>
        <w:rPr>
          <w:sz w:val="21"/>
          <w:szCs w:val="21"/>
        </w:rPr>
        <w:t xml:space="preserve">, </w:t>
      </w:r>
      <w:r w:rsidR="003E5A74">
        <w:rPr>
          <w:sz w:val="21"/>
          <w:szCs w:val="21"/>
        </w:rPr>
        <w:t xml:space="preserve">MEN, </w:t>
      </w:r>
      <w:r>
        <w:rPr>
          <w:sz w:val="21"/>
          <w:szCs w:val="21"/>
        </w:rPr>
        <w:t>Warszawa</w:t>
      </w:r>
      <w:r w:rsidR="003E5A74">
        <w:rPr>
          <w:sz w:val="21"/>
          <w:szCs w:val="21"/>
        </w:rPr>
        <w:t>, 2019</w:t>
      </w:r>
    </w:p>
    <w:p w14:paraId="286E62AC" w14:textId="4BB43637" w:rsidR="008E15C9" w:rsidRDefault="008E15C9" w:rsidP="008E15C9">
      <w:pPr>
        <w:spacing w:after="0" w:line="240" w:lineRule="auto"/>
        <w:rPr>
          <w:sz w:val="21"/>
          <w:szCs w:val="21"/>
        </w:rPr>
      </w:pPr>
      <w:r>
        <w:rPr>
          <w:sz w:val="21"/>
          <w:szCs w:val="21"/>
        </w:rPr>
        <w:t>https://efs.men.gov.pl/zintegrowana-strategia-umiejetnosci-2030-czesc-ogolna/</w:t>
      </w:r>
    </w:p>
    <w:p w14:paraId="2DCC2EA3" w14:textId="5C9E684D" w:rsidR="008E15C9" w:rsidRDefault="008E15C9" w:rsidP="008E15C9">
      <w:pPr>
        <w:spacing w:after="0" w:line="240" w:lineRule="auto"/>
        <w:rPr>
          <w:sz w:val="21"/>
          <w:szCs w:val="21"/>
        </w:rPr>
      </w:pPr>
      <w:r>
        <w:rPr>
          <w:i/>
          <w:sz w:val="21"/>
          <w:szCs w:val="21"/>
        </w:rPr>
        <w:t>Barometr zawodów</w:t>
      </w:r>
      <w:r w:rsidR="003E5A74">
        <w:rPr>
          <w:i/>
          <w:sz w:val="21"/>
          <w:szCs w:val="21"/>
        </w:rPr>
        <w:t>,</w:t>
      </w:r>
      <w:r>
        <w:rPr>
          <w:i/>
          <w:sz w:val="21"/>
          <w:szCs w:val="21"/>
        </w:rPr>
        <w:t xml:space="preserve"> 2020</w:t>
      </w:r>
      <w:r>
        <w:rPr>
          <w:sz w:val="21"/>
          <w:szCs w:val="21"/>
        </w:rPr>
        <w:t xml:space="preserve">, Kraków. </w:t>
      </w:r>
    </w:p>
    <w:p w14:paraId="0D25E801" w14:textId="09853D49" w:rsidR="008E15C9" w:rsidRDefault="008E15C9" w:rsidP="008E15C9">
      <w:pPr>
        <w:spacing w:after="0" w:line="240" w:lineRule="auto"/>
        <w:rPr>
          <w:sz w:val="21"/>
          <w:szCs w:val="21"/>
        </w:rPr>
      </w:pPr>
      <w:r w:rsidRPr="00F86FAA">
        <w:rPr>
          <w:sz w:val="21"/>
          <w:szCs w:val="21"/>
        </w:rPr>
        <w:t>https://barometrzawodow.pl//forecast-card-zip/2020/report/raport_ogolnopolski_2020.pdf</w:t>
      </w:r>
      <w:r>
        <w:rPr>
          <w:rStyle w:val="Hipercze"/>
          <w:sz w:val="21"/>
          <w:szCs w:val="21"/>
        </w:rPr>
        <w:t xml:space="preserve"> </w:t>
      </w:r>
    </w:p>
    <w:p w14:paraId="0242181A" w14:textId="509A9624" w:rsidR="008E15C9" w:rsidRDefault="008E15C9" w:rsidP="008E15C9">
      <w:pPr>
        <w:spacing w:after="0" w:line="240" w:lineRule="auto"/>
        <w:rPr>
          <w:rFonts w:cs="Calibri"/>
          <w:sz w:val="21"/>
          <w:szCs w:val="21"/>
          <w:lang w:val="en-GB"/>
        </w:rPr>
      </w:pPr>
      <w:r>
        <w:rPr>
          <w:rFonts w:cs="Calibri"/>
          <w:i/>
          <w:sz w:val="21"/>
          <w:szCs w:val="21"/>
          <w:lang w:val="en-GB"/>
        </w:rPr>
        <w:t>Skills Matter: Further Results from the Survey of Adult Skills</w:t>
      </w:r>
      <w:r>
        <w:rPr>
          <w:rFonts w:cs="Calibri"/>
          <w:sz w:val="21"/>
          <w:szCs w:val="21"/>
          <w:lang w:val="en-GB"/>
        </w:rPr>
        <w:t xml:space="preserve">, </w:t>
      </w:r>
      <w:r w:rsidR="003E5A74">
        <w:rPr>
          <w:rFonts w:cs="Calibri"/>
          <w:sz w:val="21"/>
          <w:szCs w:val="21"/>
          <w:lang w:val="en-GB"/>
        </w:rPr>
        <w:t>OECD,</w:t>
      </w:r>
      <w:r>
        <w:rPr>
          <w:rFonts w:cs="Calibri"/>
          <w:sz w:val="21"/>
          <w:szCs w:val="21"/>
          <w:lang w:val="en-GB"/>
        </w:rPr>
        <w:t xml:space="preserve"> Paris</w:t>
      </w:r>
      <w:r w:rsidR="003E5A74">
        <w:rPr>
          <w:rFonts w:cs="Calibri"/>
          <w:sz w:val="21"/>
          <w:szCs w:val="21"/>
          <w:lang w:val="en-GB"/>
        </w:rPr>
        <w:t>, 2016</w:t>
      </w:r>
    </w:p>
    <w:p w14:paraId="3CA35797" w14:textId="51367213" w:rsidR="008E15C9" w:rsidRDefault="008E15C9" w:rsidP="008E15C9">
      <w:pPr>
        <w:spacing w:after="0" w:line="240" w:lineRule="auto"/>
        <w:rPr>
          <w:rFonts w:cs="Calibri"/>
          <w:sz w:val="21"/>
          <w:szCs w:val="21"/>
          <w:lang w:val="en-GB"/>
        </w:rPr>
      </w:pPr>
      <w:r w:rsidRPr="00F86FAA">
        <w:rPr>
          <w:rFonts w:cs="Calibri"/>
          <w:sz w:val="21"/>
          <w:szCs w:val="21"/>
          <w:lang w:val="en-GB"/>
        </w:rPr>
        <w:t>http://www.oecd.org/skills/skills-matter-9789264258051-en.htm</w:t>
      </w:r>
    </w:p>
    <w:p w14:paraId="616413E6" w14:textId="71D0A405" w:rsidR="008E15C9" w:rsidRDefault="008E15C9" w:rsidP="008E15C9">
      <w:pPr>
        <w:spacing w:after="0" w:line="240" w:lineRule="auto"/>
        <w:rPr>
          <w:rFonts w:cs="Calibri"/>
          <w:sz w:val="21"/>
          <w:szCs w:val="21"/>
          <w:lang w:val="en-GB"/>
        </w:rPr>
      </w:pPr>
      <w:r>
        <w:rPr>
          <w:rFonts w:cs="Calibri"/>
          <w:i/>
          <w:sz w:val="21"/>
          <w:szCs w:val="21"/>
          <w:lang w:val="en-GB"/>
        </w:rPr>
        <w:t>OECD Education at</w:t>
      </w:r>
      <w:r w:rsidR="006343E1">
        <w:rPr>
          <w:rFonts w:cs="Calibri"/>
          <w:i/>
          <w:sz w:val="21"/>
          <w:szCs w:val="21"/>
          <w:lang w:val="en-GB"/>
        </w:rPr>
        <w:t xml:space="preserve"> a </w:t>
      </w:r>
      <w:r>
        <w:rPr>
          <w:rFonts w:cs="Calibri"/>
          <w:i/>
          <w:sz w:val="21"/>
          <w:szCs w:val="21"/>
          <w:lang w:val="en-GB"/>
        </w:rPr>
        <w:t>Glance 2017 (database)</w:t>
      </w:r>
      <w:r w:rsidR="003E5A74">
        <w:rPr>
          <w:rFonts w:cs="Calibri"/>
          <w:sz w:val="21"/>
          <w:szCs w:val="21"/>
          <w:lang w:val="en-GB"/>
        </w:rPr>
        <w:t>,</w:t>
      </w:r>
      <w:r w:rsidR="003E5A74" w:rsidRPr="003E5A74">
        <w:rPr>
          <w:rFonts w:cs="Calibri"/>
          <w:sz w:val="21"/>
          <w:szCs w:val="21"/>
          <w:lang w:val="en-GB"/>
        </w:rPr>
        <w:t xml:space="preserve"> </w:t>
      </w:r>
      <w:r w:rsidR="003E5A74">
        <w:rPr>
          <w:rFonts w:cs="Calibri"/>
          <w:sz w:val="21"/>
          <w:szCs w:val="21"/>
          <w:lang w:val="en-GB"/>
        </w:rPr>
        <w:t>OECD, 2017</w:t>
      </w:r>
    </w:p>
    <w:p w14:paraId="575C3971" w14:textId="4749A12C" w:rsidR="008E15C9" w:rsidRDefault="008E15C9" w:rsidP="008E15C9">
      <w:pPr>
        <w:spacing w:after="0" w:line="240" w:lineRule="auto"/>
        <w:rPr>
          <w:rFonts w:cs="Calibri"/>
          <w:sz w:val="21"/>
          <w:szCs w:val="21"/>
          <w:lang w:val="en-GB"/>
        </w:rPr>
      </w:pPr>
      <w:r w:rsidRPr="00F86FAA">
        <w:rPr>
          <w:rFonts w:cs="Calibri"/>
          <w:sz w:val="21"/>
          <w:szCs w:val="21"/>
          <w:lang w:val="en-GB"/>
        </w:rPr>
        <w:t>http://www.oecd.org/education/education-at-a-glance-19991487.htm</w:t>
      </w:r>
    </w:p>
    <w:p w14:paraId="08148A8E" w14:textId="06AE75F2" w:rsidR="008E15C9" w:rsidRDefault="008E15C9" w:rsidP="008E15C9">
      <w:pPr>
        <w:spacing w:after="0" w:line="240" w:lineRule="auto"/>
        <w:rPr>
          <w:rFonts w:cs="Calibri"/>
          <w:sz w:val="21"/>
          <w:szCs w:val="21"/>
          <w:lang w:val="en-GB"/>
        </w:rPr>
      </w:pPr>
      <w:r>
        <w:rPr>
          <w:rFonts w:cs="Calibri"/>
          <w:i/>
          <w:sz w:val="21"/>
          <w:szCs w:val="21"/>
          <w:lang w:val="en-GB"/>
        </w:rPr>
        <w:t>OECD Economic Surveys: Poland 2018</w:t>
      </w:r>
      <w:r>
        <w:rPr>
          <w:rFonts w:cs="Calibri"/>
          <w:sz w:val="21"/>
          <w:szCs w:val="21"/>
          <w:lang w:val="en-GB"/>
        </w:rPr>
        <w:t xml:space="preserve">, </w:t>
      </w:r>
      <w:r w:rsidR="003E5A74">
        <w:rPr>
          <w:rFonts w:cs="Calibri"/>
          <w:sz w:val="21"/>
          <w:szCs w:val="21"/>
          <w:lang w:val="en-GB"/>
        </w:rPr>
        <w:t xml:space="preserve">OECD, </w:t>
      </w:r>
      <w:r>
        <w:rPr>
          <w:rFonts w:cs="Calibri"/>
          <w:sz w:val="21"/>
          <w:szCs w:val="21"/>
          <w:lang w:val="en-GB"/>
        </w:rPr>
        <w:t>Paris</w:t>
      </w:r>
      <w:r w:rsidR="003E5A74">
        <w:rPr>
          <w:rFonts w:cs="Calibri"/>
          <w:sz w:val="21"/>
          <w:szCs w:val="21"/>
          <w:lang w:val="en-GB"/>
        </w:rPr>
        <w:t>, 2018</w:t>
      </w:r>
    </w:p>
    <w:p w14:paraId="17142FA6" w14:textId="45E5DAE3" w:rsidR="008E15C9" w:rsidRDefault="008E15C9" w:rsidP="008E15C9">
      <w:pPr>
        <w:spacing w:after="0" w:line="240" w:lineRule="auto"/>
        <w:rPr>
          <w:rFonts w:cs="Calibri"/>
          <w:sz w:val="21"/>
          <w:szCs w:val="21"/>
          <w:lang w:val="en-GB"/>
        </w:rPr>
      </w:pPr>
      <w:r w:rsidRPr="00F86FAA">
        <w:rPr>
          <w:lang w:val="en-GB"/>
        </w:rPr>
        <w:t>http://www.oecd.org/eco/surveys/economic-survey-poland.htm</w:t>
      </w:r>
    </w:p>
    <w:p w14:paraId="7C74A068" w14:textId="6DEF7FCE" w:rsidR="008E15C9" w:rsidRPr="00CB07D4" w:rsidRDefault="008E15C9" w:rsidP="008E15C9">
      <w:pPr>
        <w:rPr>
          <w:b/>
        </w:rPr>
      </w:pPr>
      <w:r w:rsidRPr="00CB07D4">
        <w:rPr>
          <w:i/>
        </w:rPr>
        <w:t>Raport: Trendy HR 2019 | Polska</w:t>
      </w:r>
      <w:r w:rsidR="003E5A74" w:rsidRPr="00CB07D4">
        <w:rPr>
          <w:bCs/>
        </w:rPr>
        <w:t>,</w:t>
      </w:r>
      <w:r w:rsidR="003E5A74" w:rsidRPr="00CB07D4">
        <w:rPr>
          <w:bCs/>
          <w:i/>
        </w:rPr>
        <w:t xml:space="preserve"> </w:t>
      </w:r>
      <w:r w:rsidR="003E5A74" w:rsidRPr="00CB07D4">
        <w:t>Delloite</w:t>
      </w:r>
      <w:r w:rsidR="003E5A74">
        <w:t>,</w:t>
      </w:r>
      <w:r w:rsidR="003E5A74" w:rsidRPr="003E5A74">
        <w:t xml:space="preserve"> </w:t>
      </w:r>
      <w:r w:rsidR="003E5A74" w:rsidRPr="00CB07D4">
        <w:t>2019</w:t>
      </w:r>
    </w:p>
    <w:p w14:paraId="213AC353" w14:textId="77777777" w:rsidR="008E15C9" w:rsidRPr="00CB07D4" w:rsidRDefault="008E15C9" w:rsidP="008E15C9">
      <w:r w:rsidRPr="00CB07D4">
        <w:t>https://www2.deloitte.com/pl/pl/pages/press-releases/articles/human-capital-trends-2019.html</w:t>
      </w:r>
    </w:p>
    <w:p w14:paraId="2826DD7A" w14:textId="6663FF46" w:rsidR="008E15C9" w:rsidRPr="00CB07D4" w:rsidRDefault="008E15C9" w:rsidP="008E15C9"/>
    <w:p w14:paraId="4E06F14A" w14:textId="33081CBE" w:rsidR="0069452A" w:rsidRPr="00CB07D4" w:rsidRDefault="0069452A" w:rsidP="0069452A"/>
    <w:p w14:paraId="7B63819D" w14:textId="77777777" w:rsidR="000B3CE9" w:rsidRPr="00254AB9" w:rsidRDefault="00651AA9" w:rsidP="00EA60A4">
      <w:pPr>
        <w:pStyle w:val="Nagwek1"/>
        <w:pageBreakBefore/>
        <w:numPr>
          <w:ilvl w:val="0"/>
          <w:numId w:val="1"/>
        </w:numPr>
        <w:spacing w:before="0" w:line="240" w:lineRule="auto"/>
        <w:ind w:left="714" w:hanging="357"/>
        <w:rPr>
          <w:rFonts w:ascii="Calibri" w:hAnsi="Calibri" w:cs="Calibri"/>
          <w:sz w:val="32"/>
          <w:szCs w:val="32"/>
        </w:rPr>
      </w:pPr>
      <w:bookmarkStart w:id="69" w:name="_Toc31808505"/>
      <w:bookmarkStart w:id="70" w:name="_Toc106968788"/>
      <w:r w:rsidRPr="00254AB9">
        <w:rPr>
          <w:rFonts w:ascii="Calibri" w:hAnsi="Calibri" w:cs="Calibri"/>
          <w:sz w:val="32"/>
          <w:szCs w:val="32"/>
        </w:rPr>
        <w:lastRenderedPageBreak/>
        <w:t>Działalność przedsiębiorstw</w:t>
      </w:r>
      <w:bookmarkEnd w:id="69"/>
      <w:bookmarkEnd w:id="70"/>
    </w:p>
    <w:p w14:paraId="33706D28" w14:textId="77777777" w:rsidR="000B3CE9" w:rsidRPr="003D6D53" w:rsidRDefault="00651AA9" w:rsidP="003D6D53">
      <w:pPr>
        <w:pStyle w:val="Nagwek2"/>
      </w:pPr>
      <w:bookmarkStart w:id="71" w:name="_Toc31808506"/>
      <w:bookmarkStart w:id="72" w:name="_Toc106968789"/>
      <w:r w:rsidRPr="003D6D53">
        <w:t>Podstawowe informacje statystyczne</w:t>
      </w:r>
      <w:bookmarkEnd w:id="71"/>
      <w:bookmarkEnd w:id="72"/>
    </w:p>
    <w:p w14:paraId="7B185A97" w14:textId="5E92DAA3" w:rsidR="00651AA9" w:rsidRDefault="000B3650" w:rsidP="002647FB">
      <w:r>
        <w:t>W</w:t>
      </w:r>
      <w:r w:rsidR="00651AA9">
        <w:t xml:space="preserve"> 2016 r.</w:t>
      </w:r>
      <w:r w:rsidR="006343E1">
        <w:t xml:space="preserve"> w </w:t>
      </w:r>
      <w:r w:rsidR="00651AA9">
        <w:t>Polsce działało ponad 2 mln aktywnych przedsiębiorstw niefinansowych,</w:t>
      </w:r>
      <w:r w:rsidR="006343E1">
        <w:t xml:space="preserve"> z </w:t>
      </w:r>
      <w:r w:rsidR="00651AA9">
        <w:t>czego 99,8% stanowi</w:t>
      </w:r>
      <w:r w:rsidR="003535D3">
        <w:t>ł</w:t>
      </w:r>
      <w:r w:rsidR="00651AA9">
        <w:t xml:space="preserve"> – podobnie jak średnio</w:t>
      </w:r>
      <w:r w:rsidR="006343E1">
        <w:t xml:space="preserve"> w </w:t>
      </w:r>
      <w:r w:rsidR="00651AA9">
        <w:t>U</w:t>
      </w:r>
      <w:r w:rsidR="003E5A74">
        <w:t>nii Europejskiej</w:t>
      </w:r>
      <w:r w:rsidR="00651AA9">
        <w:t xml:space="preserve"> – sektor MŚP. </w:t>
      </w:r>
    </w:p>
    <w:p w14:paraId="7058427F" w14:textId="2F1E090F" w:rsidR="00A7637E" w:rsidRDefault="00A7637E" w:rsidP="00CB07D4">
      <w:pPr>
        <w:pStyle w:val="Nagwek4"/>
        <w:ind w:left="851" w:hanging="851"/>
      </w:pPr>
      <w:r w:rsidRPr="006365AA">
        <w:t xml:space="preserve">Tabela </w:t>
      </w:r>
      <w:r w:rsidR="00311B4A">
        <w:rPr>
          <w:noProof/>
        </w:rPr>
        <w:t>5</w:t>
      </w:r>
      <w:r w:rsidRPr="006365AA">
        <w:t>. MŚP na tle dużych firm pod względem wybranych kategorii ekonomiczno-finansowych</w:t>
      </w:r>
      <w:r w:rsidR="006343E1">
        <w:t xml:space="preserve"> </w:t>
      </w:r>
      <w:r w:rsidR="006343E1" w:rsidRPr="002D719B">
        <w:t>w</w:t>
      </w:r>
      <w:r w:rsidR="006343E1">
        <w:t> </w:t>
      </w:r>
      <w:r w:rsidR="00F02BC1" w:rsidRPr="002D719B">
        <w:t xml:space="preserve">latach </w:t>
      </w:r>
      <w:r w:rsidR="003E5A74">
        <w:br/>
      </w:r>
      <w:r w:rsidR="00F02BC1" w:rsidRPr="002D719B">
        <w:t>20</w:t>
      </w:r>
      <w:r w:rsidR="002C5546">
        <w:t>16</w:t>
      </w:r>
      <w:r w:rsidR="003E5A74">
        <w:rPr>
          <w:rFonts w:ascii="Times New Roman" w:hAnsi="Times New Roman" w:cs="Times New Roman"/>
        </w:rPr>
        <w:t>–</w:t>
      </w:r>
      <w:r w:rsidR="002C5546">
        <w:t>2018</w:t>
      </w:r>
      <w:r w:rsidR="006315A1">
        <w:t xml:space="preserve"> </w:t>
      </w:r>
    </w:p>
    <w:tbl>
      <w:tblPr>
        <w:tblW w:w="9378" w:type="dxa"/>
        <w:tblInd w:w="38" w:type="dxa"/>
        <w:tblLook w:val="04A0" w:firstRow="1" w:lastRow="0" w:firstColumn="1" w:lastColumn="0" w:noHBand="0" w:noVBand="1"/>
      </w:tblPr>
      <w:tblGrid>
        <w:gridCol w:w="3047"/>
        <w:gridCol w:w="1134"/>
        <w:gridCol w:w="1134"/>
        <w:gridCol w:w="1134"/>
        <w:gridCol w:w="992"/>
        <w:gridCol w:w="851"/>
        <w:gridCol w:w="850"/>
        <w:gridCol w:w="236"/>
      </w:tblGrid>
      <w:tr w:rsidR="004B562E" w:rsidRPr="002C5546" w14:paraId="1B985391" w14:textId="77777777" w:rsidTr="00A862D0">
        <w:trPr>
          <w:gridAfter w:val="1"/>
          <w:wAfter w:w="236" w:type="dxa"/>
          <w:trHeight w:val="495"/>
        </w:trPr>
        <w:tc>
          <w:tcPr>
            <w:tcW w:w="3047"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000000" w:fill="365F91"/>
            <w:vAlign w:val="center"/>
            <w:hideMark/>
          </w:tcPr>
          <w:p w14:paraId="64AA60F9" w14:textId="77777777" w:rsidR="002C5546" w:rsidRPr="00A862D0" w:rsidRDefault="002C5546" w:rsidP="002C5546">
            <w:pPr>
              <w:spacing w:before="0" w:after="0" w:line="240" w:lineRule="auto"/>
              <w:jc w:val="center"/>
              <w:rPr>
                <w:rFonts w:eastAsia="Times New Roman" w:cs="Calibri"/>
                <w:color w:val="FFFFFF"/>
                <w:sz w:val="18"/>
                <w:szCs w:val="18"/>
              </w:rPr>
            </w:pPr>
            <w:r w:rsidRPr="00A862D0">
              <w:rPr>
                <w:rFonts w:eastAsia="Times New Roman" w:cs="Calibri"/>
                <w:color w:val="FFFFFF"/>
                <w:sz w:val="18"/>
                <w:szCs w:val="18"/>
              </w:rPr>
              <w:t> </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365F91"/>
            <w:vAlign w:val="center"/>
            <w:hideMark/>
          </w:tcPr>
          <w:p w14:paraId="77572E55" w14:textId="77777777" w:rsidR="002C5546" w:rsidRPr="002C5546" w:rsidRDefault="002C5546" w:rsidP="002C5546">
            <w:pPr>
              <w:spacing w:before="0" w:after="0" w:line="240" w:lineRule="auto"/>
              <w:jc w:val="center"/>
              <w:rPr>
                <w:rFonts w:eastAsia="Times New Roman" w:cs="Calibri"/>
                <w:b/>
                <w:bCs/>
                <w:color w:val="FFFFFF"/>
                <w:sz w:val="18"/>
                <w:szCs w:val="18"/>
                <w:lang w:val="en-US"/>
              </w:rPr>
            </w:pPr>
            <w:r w:rsidRPr="002C5546">
              <w:rPr>
                <w:rFonts w:eastAsia="Times New Roman" w:cs="Calibri"/>
                <w:b/>
                <w:bCs/>
                <w:color w:val="FFFFFF"/>
                <w:sz w:val="18"/>
                <w:szCs w:val="18"/>
                <w:lang w:val="en-US"/>
              </w:rPr>
              <w:t>2016</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365F91"/>
            <w:vAlign w:val="center"/>
            <w:hideMark/>
          </w:tcPr>
          <w:p w14:paraId="66997913" w14:textId="77777777" w:rsidR="002C5546" w:rsidRPr="002C5546" w:rsidRDefault="002C5546" w:rsidP="002C5546">
            <w:pPr>
              <w:spacing w:before="0" w:after="0" w:line="240" w:lineRule="auto"/>
              <w:jc w:val="center"/>
              <w:rPr>
                <w:rFonts w:eastAsia="Times New Roman" w:cs="Calibri"/>
                <w:b/>
                <w:bCs/>
                <w:color w:val="FFFFFF"/>
                <w:sz w:val="18"/>
                <w:szCs w:val="18"/>
                <w:lang w:val="en-US"/>
              </w:rPr>
            </w:pPr>
            <w:r w:rsidRPr="002C5546">
              <w:rPr>
                <w:rFonts w:eastAsia="Times New Roman" w:cs="Calibri"/>
                <w:b/>
                <w:bCs/>
                <w:color w:val="FFFFFF"/>
                <w:sz w:val="18"/>
                <w:szCs w:val="18"/>
                <w:lang w:val="en-US"/>
              </w:rPr>
              <w:t>2017</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365F91"/>
            <w:vAlign w:val="center"/>
            <w:hideMark/>
          </w:tcPr>
          <w:p w14:paraId="28C6B408" w14:textId="77777777" w:rsidR="002C5546" w:rsidRPr="002C5546" w:rsidRDefault="002C5546" w:rsidP="002C5546">
            <w:pPr>
              <w:spacing w:before="0" w:after="0" w:line="240" w:lineRule="auto"/>
              <w:jc w:val="center"/>
              <w:rPr>
                <w:rFonts w:eastAsia="Times New Roman" w:cs="Calibri"/>
                <w:b/>
                <w:bCs/>
                <w:color w:val="FFFFFF"/>
                <w:sz w:val="18"/>
                <w:szCs w:val="18"/>
                <w:lang w:val="en-US"/>
              </w:rPr>
            </w:pPr>
            <w:r w:rsidRPr="002C5546">
              <w:rPr>
                <w:rFonts w:eastAsia="Times New Roman" w:cs="Calibri"/>
                <w:b/>
                <w:bCs/>
                <w:color w:val="FFFFFF"/>
                <w:sz w:val="18"/>
                <w:szCs w:val="18"/>
                <w:lang w:val="en-US"/>
              </w:rPr>
              <w:t>2018</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365F91"/>
            <w:vAlign w:val="center"/>
            <w:hideMark/>
          </w:tcPr>
          <w:p w14:paraId="69F5607C" w14:textId="77777777" w:rsidR="002C5546" w:rsidRPr="002C5546" w:rsidRDefault="002C5546" w:rsidP="002C5546">
            <w:pPr>
              <w:spacing w:before="0" w:after="0" w:line="240" w:lineRule="auto"/>
              <w:jc w:val="center"/>
              <w:rPr>
                <w:rFonts w:eastAsia="Times New Roman" w:cs="Calibri"/>
                <w:b/>
                <w:bCs/>
                <w:color w:val="FFFFFF"/>
                <w:sz w:val="18"/>
                <w:szCs w:val="18"/>
                <w:lang w:val="en-US"/>
              </w:rPr>
            </w:pPr>
            <w:r w:rsidRPr="002C5546">
              <w:rPr>
                <w:rFonts w:eastAsia="Times New Roman" w:cs="Calibri"/>
                <w:b/>
                <w:bCs/>
                <w:color w:val="FFFFFF"/>
                <w:sz w:val="18"/>
                <w:szCs w:val="18"/>
                <w:lang w:val="en-US"/>
              </w:rPr>
              <w:t>Dynamika 2018/2017</w:t>
            </w:r>
          </w:p>
        </w:tc>
        <w:tc>
          <w:tcPr>
            <w:tcW w:w="1701" w:type="dxa"/>
            <w:gridSpan w:val="2"/>
            <w:tcBorders>
              <w:top w:val="single" w:sz="4" w:space="0" w:color="auto"/>
              <w:left w:val="nil"/>
              <w:bottom w:val="single" w:sz="4" w:space="0" w:color="auto"/>
              <w:right w:val="single" w:sz="4" w:space="0" w:color="auto"/>
            </w:tcBorders>
            <w:shd w:val="clear" w:color="000000" w:fill="365F91"/>
            <w:vAlign w:val="center"/>
            <w:hideMark/>
          </w:tcPr>
          <w:p w14:paraId="05835D20" w14:textId="77777777" w:rsidR="002C5546" w:rsidRPr="002C5546" w:rsidRDefault="002C5546" w:rsidP="002C5546">
            <w:pPr>
              <w:spacing w:before="0" w:after="0" w:line="240" w:lineRule="auto"/>
              <w:jc w:val="center"/>
              <w:rPr>
                <w:rFonts w:eastAsia="Times New Roman" w:cs="Calibri"/>
                <w:b/>
                <w:bCs/>
                <w:color w:val="FFFFFF"/>
                <w:sz w:val="18"/>
                <w:szCs w:val="18"/>
                <w:lang w:val="en-US"/>
              </w:rPr>
            </w:pPr>
            <w:r w:rsidRPr="002C5546">
              <w:rPr>
                <w:rFonts w:eastAsia="Times New Roman" w:cs="Calibri"/>
                <w:b/>
                <w:bCs/>
                <w:color w:val="FFFFFF"/>
                <w:sz w:val="18"/>
                <w:szCs w:val="18"/>
                <w:lang w:val="en-US"/>
              </w:rPr>
              <w:t>Struktura</w:t>
            </w:r>
          </w:p>
        </w:tc>
      </w:tr>
      <w:tr w:rsidR="004B562E" w:rsidRPr="002C5546" w14:paraId="0C3563D9" w14:textId="77777777" w:rsidTr="00A862D0">
        <w:trPr>
          <w:gridAfter w:val="1"/>
          <w:wAfter w:w="236" w:type="dxa"/>
          <w:trHeight w:val="300"/>
        </w:trPr>
        <w:tc>
          <w:tcPr>
            <w:tcW w:w="3047" w:type="dxa"/>
            <w:vMerge/>
            <w:tcBorders>
              <w:top w:val="single" w:sz="4" w:space="0" w:color="auto"/>
              <w:left w:val="single" w:sz="4" w:space="0" w:color="auto"/>
              <w:bottom w:val="single" w:sz="4" w:space="0" w:color="auto"/>
              <w:right w:val="single" w:sz="4" w:space="0" w:color="auto"/>
            </w:tcBorders>
            <w:vAlign w:val="center"/>
            <w:hideMark/>
          </w:tcPr>
          <w:p w14:paraId="3DCAAB55" w14:textId="77777777" w:rsidR="002C5546" w:rsidRPr="002C5546" w:rsidRDefault="002C5546" w:rsidP="002C5546">
            <w:pPr>
              <w:spacing w:before="0" w:after="0" w:line="240" w:lineRule="auto"/>
              <w:jc w:val="left"/>
              <w:rPr>
                <w:rFonts w:eastAsia="Times New Roman" w:cs="Calibri"/>
                <w:color w:val="FFFFFF"/>
                <w:sz w:val="18"/>
                <w:szCs w:val="18"/>
                <w:lang w:val="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31BA490" w14:textId="77777777" w:rsidR="002C5546" w:rsidRPr="002C5546" w:rsidRDefault="002C5546" w:rsidP="002C5546">
            <w:pPr>
              <w:spacing w:before="0" w:after="0" w:line="240" w:lineRule="auto"/>
              <w:jc w:val="left"/>
              <w:rPr>
                <w:rFonts w:eastAsia="Times New Roman" w:cs="Calibri"/>
                <w:b/>
                <w:bCs/>
                <w:color w:val="FFFFFF"/>
                <w:sz w:val="18"/>
                <w:szCs w:val="18"/>
                <w:lang w:val="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684E321" w14:textId="77777777" w:rsidR="002C5546" w:rsidRPr="002C5546" w:rsidRDefault="002C5546" w:rsidP="002C5546">
            <w:pPr>
              <w:spacing w:before="0" w:after="0" w:line="240" w:lineRule="auto"/>
              <w:jc w:val="left"/>
              <w:rPr>
                <w:rFonts w:eastAsia="Times New Roman" w:cs="Calibri"/>
                <w:b/>
                <w:bCs/>
                <w:color w:val="FFFFFF"/>
                <w:sz w:val="18"/>
                <w:szCs w:val="18"/>
                <w:lang w:val="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30A5961" w14:textId="77777777" w:rsidR="002C5546" w:rsidRPr="002C5546" w:rsidRDefault="002C5546" w:rsidP="002C5546">
            <w:pPr>
              <w:spacing w:before="0" w:after="0" w:line="240" w:lineRule="auto"/>
              <w:jc w:val="left"/>
              <w:rPr>
                <w:rFonts w:eastAsia="Times New Roman" w:cs="Calibri"/>
                <w:b/>
                <w:bCs/>
                <w:color w:val="FFFFFF"/>
                <w:sz w:val="18"/>
                <w:szCs w:val="18"/>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F13C9C3" w14:textId="77777777" w:rsidR="002C5546" w:rsidRPr="002C5546" w:rsidRDefault="002C5546" w:rsidP="002C5546">
            <w:pPr>
              <w:spacing w:before="0" w:after="0" w:line="240" w:lineRule="auto"/>
              <w:jc w:val="left"/>
              <w:rPr>
                <w:rFonts w:eastAsia="Times New Roman" w:cs="Calibri"/>
                <w:b/>
                <w:bCs/>
                <w:color w:val="FFFFFF"/>
                <w:sz w:val="18"/>
                <w:szCs w:val="18"/>
                <w:lang w:val="en-US"/>
              </w:rPr>
            </w:pPr>
          </w:p>
        </w:tc>
        <w:tc>
          <w:tcPr>
            <w:tcW w:w="851" w:type="dxa"/>
            <w:tcBorders>
              <w:top w:val="nil"/>
              <w:left w:val="nil"/>
              <w:bottom w:val="single" w:sz="4" w:space="0" w:color="auto"/>
              <w:right w:val="single" w:sz="4" w:space="0" w:color="auto"/>
            </w:tcBorders>
            <w:shd w:val="clear" w:color="000000" w:fill="365F91"/>
            <w:vAlign w:val="center"/>
            <w:hideMark/>
          </w:tcPr>
          <w:p w14:paraId="55300A6A" w14:textId="77777777" w:rsidR="002C5546" w:rsidRPr="002C5546" w:rsidRDefault="002C5546" w:rsidP="002C5546">
            <w:pPr>
              <w:spacing w:before="0" w:after="0" w:line="240" w:lineRule="auto"/>
              <w:jc w:val="center"/>
              <w:rPr>
                <w:rFonts w:eastAsia="Times New Roman" w:cs="Calibri"/>
                <w:b/>
                <w:bCs/>
                <w:color w:val="FFFFFF"/>
                <w:sz w:val="18"/>
                <w:szCs w:val="18"/>
                <w:lang w:val="en-US"/>
              </w:rPr>
            </w:pPr>
            <w:r w:rsidRPr="002C5546">
              <w:rPr>
                <w:rFonts w:eastAsia="Times New Roman" w:cs="Calibri"/>
                <w:b/>
                <w:bCs/>
                <w:color w:val="FFFFFF"/>
                <w:sz w:val="18"/>
                <w:szCs w:val="18"/>
                <w:lang w:val="en-US"/>
              </w:rPr>
              <w:t>2016</w:t>
            </w:r>
          </w:p>
        </w:tc>
        <w:tc>
          <w:tcPr>
            <w:tcW w:w="850" w:type="dxa"/>
            <w:tcBorders>
              <w:top w:val="nil"/>
              <w:left w:val="nil"/>
              <w:bottom w:val="single" w:sz="4" w:space="0" w:color="auto"/>
              <w:right w:val="single" w:sz="4" w:space="0" w:color="auto"/>
            </w:tcBorders>
            <w:shd w:val="clear" w:color="000000" w:fill="365F91"/>
            <w:vAlign w:val="center"/>
            <w:hideMark/>
          </w:tcPr>
          <w:p w14:paraId="2F0C76C6" w14:textId="77777777" w:rsidR="002C5546" w:rsidRPr="002C5546" w:rsidRDefault="002C5546" w:rsidP="002C5546">
            <w:pPr>
              <w:spacing w:before="0" w:after="0" w:line="240" w:lineRule="auto"/>
              <w:jc w:val="center"/>
              <w:rPr>
                <w:rFonts w:eastAsia="Times New Roman" w:cs="Calibri"/>
                <w:b/>
                <w:bCs/>
                <w:color w:val="FFFFFF"/>
                <w:sz w:val="18"/>
                <w:szCs w:val="18"/>
                <w:lang w:val="en-US"/>
              </w:rPr>
            </w:pPr>
            <w:r w:rsidRPr="002C5546">
              <w:rPr>
                <w:rFonts w:eastAsia="Times New Roman" w:cs="Calibri"/>
                <w:b/>
                <w:bCs/>
                <w:color w:val="FFFFFF"/>
                <w:sz w:val="18"/>
                <w:szCs w:val="18"/>
                <w:lang w:val="en-US"/>
              </w:rPr>
              <w:t>2018</w:t>
            </w:r>
          </w:p>
        </w:tc>
      </w:tr>
      <w:tr w:rsidR="00A862D0" w:rsidRPr="002C5546" w14:paraId="49B990D2" w14:textId="77777777" w:rsidTr="00A862D0">
        <w:trPr>
          <w:gridAfter w:val="1"/>
          <w:wAfter w:w="236" w:type="dxa"/>
          <w:trHeight w:val="765"/>
        </w:trPr>
        <w:tc>
          <w:tcPr>
            <w:tcW w:w="3047" w:type="dxa"/>
            <w:vMerge w:val="restart"/>
            <w:tcBorders>
              <w:top w:val="nil"/>
              <w:left w:val="single" w:sz="4" w:space="0" w:color="auto"/>
              <w:bottom w:val="single" w:sz="4" w:space="0" w:color="auto"/>
              <w:right w:val="single" w:sz="4" w:space="0" w:color="auto"/>
            </w:tcBorders>
            <w:shd w:val="clear" w:color="000000" w:fill="D9D9D9"/>
            <w:vAlign w:val="center"/>
            <w:hideMark/>
          </w:tcPr>
          <w:p w14:paraId="77442E1B" w14:textId="340D54FD" w:rsidR="002C5546" w:rsidRPr="00A862D0" w:rsidRDefault="002C5546" w:rsidP="00CB07D4">
            <w:pPr>
              <w:spacing w:before="0" w:after="0" w:line="240" w:lineRule="auto"/>
              <w:ind w:right="147"/>
              <w:jc w:val="center"/>
              <w:rPr>
                <w:rFonts w:eastAsia="Times New Roman" w:cs="Calibri"/>
                <w:b/>
                <w:bCs/>
                <w:color w:val="000000"/>
                <w:sz w:val="18"/>
                <w:szCs w:val="18"/>
              </w:rPr>
            </w:pPr>
            <w:r w:rsidRPr="00A862D0">
              <w:rPr>
                <w:rFonts w:eastAsia="Times New Roman" w:cs="Calibri"/>
                <w:b/>
                <w:bCs/>
                <w:color w:val="000000"/>
                <w:sz w:val="18"/>
                <w:szCs w:val="18"/>
              </w:rPr>
              <w:t xml:space="preserve">Liczba firm aktywnych </w:t>
            </w:r>
            <w:r w:rsidRPr="00A862D0">
              <w:rPr>
                <w:rFonts w:eastAsia="Times New Roman" w:cs="Calibri"/>
                <w:color w:val="000000"/>
                <w:sz w:val="18"/>
                <w:szCs w:val="18"/>
              </w:rPr>
              <w:t>ogółem,</w:t>
            </w:r>
            <w:r w:rsidR="006343E1">
              <w:rPr>
                <w:rFonts w:eastAsia="Times New Roman" w:cs="Calibri"/>
                <w:color w:val="000000"/>
                <w:sz w:val="18"/>
                <w:szCs w:val="18"/>
              </w:rPr>
              <w:t xml:space="preserve"> </w:t>
            </w:r>
            <w:r w:rsidR="006343E1" w:rsidRPr="00A862D0">
              <w:rPr>
                <w:rFonts w:eastAsia="Times New Roman" w:cs="Calibri"/>
                <w:color w:val="000000"/>
                <w:sz w:val="18"/>
                <w:szCs w:val="18"/>
              </w:rPr>
              <w:t>w</w:t>
            </w:r>
            <w:r w:rsidR="006343E1">
              <w:rPr>
                <w:rFonts w:eastAsia="Times New Roman" w:cs="Calibri"/>
                <w:color w:val="000000"/>
                <w:sz w:val="18"/>
                <w:szCs w:val="18"/>
              </w:rPr>
              <w:t> </w:t>
            </w:r>
            <w:r w:rsidRPr="00A862D0">
              <w:rPr>
                <w:rFonts w:eastAsia="Times New Roman" w:cs="Calibri"/>
                <w:color w:val="000000"/>
                <w:sz w:val="18"/>
                <w:szCs w:val="18"/>
              </w:rPr>
              <w:t>tym:</w:t>
            </w:r>
          </w:p>
        </w:tc>
        <w:tc>
          <w:tcPr>
            <w:tcW w:w="1134" w:type="dxa"/>
            <w:vMerge w:val="restart"/>
            <w:tcBorders>
              <w:top w:val="nil"/>
              <w:left w:val="single" w:sz="4" w:space="0" w:color="auto"/>
              <w:bottom w:val="single" w:sz="4" w:space="0" w:color="auto"/>
              <w:right w:val="single" w:sz="4" w:space="0" w:color="auto"/>
            </w:tcBorders>
            <w:shd w:val="clear" w:color="000000" w:fill="D9D9D9"/>
            <w:vAlign w:val="center"/>
            <w:hideMark/>
          </w:tcPr>
          <w:p w14:paraId="0DA9BD72" w14:textId="77777777" w:rsidR="002C5546" w:rsidRPr="002C5546" w:rsidRDefault="002C5546" w:rsidP="002C5546">
            <w:pPr>
              <w:spacing w:before="0" w:after="0" w:line="240" w:lineRule="auto"/>
              <w:jc w:val="right"/>
              <w:rPr>
                <w:rFonts w:eastAsia="Times New Roman" w:cs="Calibri"/>
                <w:b/>
                <w:bCs/>
                <w:color w:val="000000"/>
                <w:sz w:val="18"/>
                <w:szCs w:val="18"/>
                <w:lang w:val="en-US"/>
              </w:rPr>
            </w:pPr>
            <w:r w:rsidRPr="002C5546">
              <w:rPr>
                <w:rFonts w:eastAsia="Times New Roman" w:cs="Calibri"/>
                <w:b/>
                <w:bCs/>
                <w:color w:val="000000"/>
                <w:sz w:val="18"/>
                <w:szCs w:val="18"/>
                <w:lang w:val="en-US"/>
              </w:rPr>
              <w:t>2,013,364</w:t>
            </w:r>
          </w:p>
        </w:tc>
        <w:tc>
          <w:tcPr>
            <w:tcW w:w="1134" w:type="dxa"/>
            <w:vMerge w:val="restart"/>
            <w:tcBorders>
              <w:top w:val="nil"/>
              <w:left w:val="single" w:sz="4" w:space="0" w:color="auto"/>
              <w:bottom w:val="single" w:sz="4" w:space="0" w:color="auto"/>
              <w:right w:val="single" w:sz="4" w:space="0" w:color="auto"/>
            </w:tcBorders>
            <w:shd w:val="clear" w:color="000000" w:fill="D9D9D9"/>
            <w:vAlign w:val="center"/>
            <w:hideMark/>
          </w:tcPr>
          <w:p w14:paraId="43D566CD" w14:textId="77777777" w:rsidR="002C5546" w:rsidRPr="002C5546" w:rsidRDefault="002C5546" w:rsidP="002C5546">
            <w:pPr>
              <w:spacing w:before="0" w:after="0" w:line="240" w:lineRule="auto"/>
              <w:jc w:val="right"/>
              <w:rPr>
                <w:rFonts w:eastAsia="Times New Roman" w:cs="Calibri"/>
                <w:b/>
                <w:bCs/>
                <w:color w:val="000000"/>
                <w:sz w:val="18"/>
                <w:szCs w:val="18"/>
                <w:lang w:val="en-US"/>
              </w:rPr>
            </w:pPr>
            <w:r w:rsidRPr="002C5546">
              <w:rPr>
                <w:rFonts w:eastAsia="Times New Roman" w:cs="Calibri"/>
                <w:b/>
                <w:bCs/>
                <w:color w:val="000000"/>
                <w:sz w:val="18"/>
                <w:szCs w:val="18"/>
                <w:lang w:val="en-US"/>
              </w:rPr>
              <w:t>2,077,027</w:t>
            </w:r>
          </w:p>
        </w:tc>
        <w:tc>
          <w:tcPr>
            <w:tcW w:w="1134"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6CD59CA3" w14:textId="77777777" w:rsidR="002C5546" w:rsidRPr="002C5546" w:rsidRDefault="002C5546" w:rsidP="002C5546">
            <w:pPr>
              <w:spacing w:before="0" w:after="0" w:line="240" w:lineRule="auto"/>
              <w:jc w:val="right"/>
              <w:rPr>
                <w:rFonts w:eastAsia="Times New Roman" w:cs="Calibri"/>
                <w:b/>
                <w:bCs/>
                <w:color w:val="000000"/>
                <w:sz w:val="18"/>
                <w:szCs w:val="18"/>
                <w:lang w:val="en-US"/>
              </w:rPr>
            </w:pPr>
            <w:r w:rsidRPr="002C5546">
              <w:rPr>
                <w:rFonts w:eastAsia="Times New Roman" w:cs="Calibri"/>
                <w:b/>
                <w:bCs/>
                <w:color w:val="000000"/>
                <w:sz w:val="18"/>
                <w:szCs w:val="18"/>
                <w:lang w:val="en-US"/>
              </w:rPr>
              <w:t>2,150,228</w:t>
            </w:r>
            <w:r w:rsidR="00557757">
              <w:rPr>
                <w:rFonts w:eastAsia="Times New Roman" w:cs="Calibri"/>
                <w:b/>
                <w:bCs/>
                <w:color w:val="000000"/>
                <w:sz w:val="18"/>
                <w:szCs w:val="18"/>
                <w:lang w:val="en-US"/>
              </w:rPr>
              <w:t xml:space="preserve"> </w:t>
            </w:r>
          </w:p>
        </w:tc>
        <w:tc>
          <w:tcPr>
            <w:tcW w:w="992" w:type="dxa"/>
            <w:vMerge w:val="restart"/>
            <w:tcBorders>
              <w:top w:val="nil"/>
              <w:left w:val="single" w:sz="4" w:space="0" w:color="auto"/>
              <w:bottom w:val="single" w:sz="4" w:space="0" w:color="auto"/>
              <w:right w:val="single" w:sz="4" w:space="0" w:color="auto"/>
            </w:tcBorders>
            <w:shd w:val="clear" w:color="000000" w:fill="D9D9D9"/>
            <w:vAlign w:val="center"/>
            <w:hideMark/>
          </w:tcPr>
          <w:p w14:paraId="59E71512" w14:textId="77777777" w:rsidR="002C5546" w:rsidRPr="002C5546" w:rsidRDefault="002C5546" w:rsidP="002C5546">
            <w:pPr>
              <w:spacing w:before="0" w:after="0" w:line="240" w:lineRule="auto"/>
              <w:jc w:val="right"/>
              <w:rPr>
                <w:rFonts w:eastAsia="Times New Roman" w:cs="Calibri"/>
                <w:b/>
                <w:bCs/>
                <w:color w:val="000000"/>
                <w:sz w:val="18"/>
                <w:szCs w:val="18"/>
                <w:lang w:val="en-US"/>
              </w:rPr>
            </w:pPr>
            <w:r w:rsidRPr="002C5546">
              <w:rPr>
                <w:rFonts w:eastAsia="Times New Roman" w:cs="Calibri"/>
                <w:b/>
                <w:bCs/>
                <w:color w:val="000000"/>
                <w:sz w:val="18"/>
                <w:szCs w:val="18"/>
                <w:lang w:val="en-US"/>
              </w:rPr>
              <w:t>103.52</w:t>
            </w:r>
          </w:p>
        </w:tc>
        <w:tc>
          <w:tcPr>
            <w:tcW w:w="851" w:type="dxa"/>
            <w:vMerge w:val="restart"/>
            <w:tcBorders>
              <w:top w:val="nil"/>
              <w:left w:val="single" w:sz="4" w:space="0" w:color="auto"/>
              <w:bottom w:val="single" w:sz="4" w:space="0" w:color="auto"/>
              <w:right w:val="single" w:sz="4" w:space="0" w:color="auto"/>
            </w:tcBorders>
            <w:shd w:val="clear" w:color="000000" w:fill="D9D9D9"/>
            <w:vAlign w:val="center"/>
            <w:hideMark/>
          </w:tcPr>
          <w:p w14:paraId="1120371F"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100%</w:t>
            </w:r>
          </w:p>
        </w:tc>
        <w:tc>
          <w:tcPr>
            <w:tcW w:w="850" w:type="dxa"/>
            <w:vMerge w:val="restart"/>
            <w:tcBorders>
              <w:top w:val="nil"/>
              <w:left w:val="single" w:sz="4" w:space="0" w:color="auto"/>
              <w:bottom w:val="single" w:sz="4" w:space="0" w:color="auto"/>
              <w:right w:val="single" w:sz="4" w:space="0" w:color="auto"/>
            </w:tcBorders>
            <w:shd w:val="clear" w:color="000000" w:fill="D9D9D9"/>
            <w:vAlign w:val="center"/>
            <w:hideMark/>
          </w:tcPr>
          <w:p w14:paraId="1BEF631A"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100%</w:t>
            </w:r>
          </w:p>
        </w:tc>
      </w:tr>
      <w:tr w:rsidR="004B562E" w:rsidRPr="002C5546" w14:paraId="0D40E4B4" w14:textId="77777777" w:rsidTr="00A862D0">
        <w:trPr>
          <w:trHeight w:val="300"/>
        </w:trPr>
        <w:tc>
          <w:tcPr>
            <w:tcW w:w="3047" w:type="dxa"/>
            <w:vMerge/>
            <w:tcBorders>
              <w:top w:val="nil"/>
              <w:left w:val="single" w:sz="4" w:space="0" w:color="auto"/>
              <w:bottom w:val="single" w:sz="4" w:space="0" w:color="auto"/>
              <w:right w:val="single" w:sz="4" w:space="0" w:color="auto"/>
            </w:tcBorders>
            <w:vAlign w:val="center"/>
            <w:hideMark/>
          </w:tcPr>
          <w:p w14:paraId="6EF5A0DA" w14:textId="77777777" w:rsidR="002C5546" w:rsidRPr="002C5546" w:rsidRDefault="002C5546" w:rsidP="002C5546">
            <w:pPr>
              <w:spacing w:before="0" w:after="0" w:line="240" w:lineRule="auto"/>
              <w:jc w:val="left"/>
              <w:rPr>
                <w:rFonts w:eastAsia="Times New Roman" w:cs="Calibri"/>
                <w:b/>
                <w:bCs/>
                <w:color w:val="000000"/>
                <w:sz w:val="18"/>
                <w:szCs w:val="18"/>
                <w:lang w:val="en-US"/>
              </w:rPr>
            </w:pPr>
          </w:p>
        </w:tc>
        <w:tc>
          <w:tcPr>
            <w:tcW w:w="1134" w:type="dxa"/>
            <w:vMerge/>
            <w:tcBorders>
              <w:top w:val="nil"/>
              <w:left w:val="single" w:sz="4" w:space="0" w:color="auto"/>
              <w:bottom w:val="single" w:sz="4" w:space="0" w:color="auto"/>
              <w:right w:val="single" w:sz="4" w:space="0" w:color="auto"/>
            </w:tcBorders>
            <w:vAlign w:val="center"/>
            <w:hideMark/>
          </w:tcPr>
          <w:p w14:paraId="6028BFDB" w14:textId="77777777" w:rsidR="002C5546" w:rsidRPr="002C5546" w:rsidRDefault="002C5546" w:rsidP="002C5546">
            <w:pPr>
              <w:spacing w:before="0" w:after="0" w:line="240" w:lineRule="auto"/>
              <w:jc w:val="left"/>
              <w:rPr>
                <w:rFonts w:eastAsia="Times New Roman" w:cs="Calibri"/>
                <w:b/>
                <w:bCs/>
                <w:color w:val="000000"/>
                <w:sz w:val="18"/>
                <w:szCs w:val="18"/>
                <w:lang w:val="en-US"/>
              </w:rPr>
            </w:pPr>
          </w:p>
        </w:tc>
        <w:tc>
          <w:tcPr>
            <w:tcW w:w="1134" w:type="dxa"/>
            <w:vMerge/>
            <w:tcBorders>
              <w:top w:val="nil"/>
              <w:left w:val="single" w:sz="4" w:space="0" w:color="auto"/>
              <w:bottom w:val="single" w:sz="4" w:space="0" w:color="auto"/>
              <w:right w:val="single" w:sz="4" w:space="0" w:color="auto"/>
            </w:tcBorders>
            <w:vAlign w:val="center"/>
            <w:hideMark/>
          </w:tcPr>
          <w:p w14:paraId="16552DB8" w14:textId="77777777" w:rsidR="002C5546" w:rsidRPr="002C5546" w:rsidRDefault="002C5546" w:rsidP="002C5546">
            <w:pPr>
              <w:spacing w:before="0" w:after="0" w:line="240" w:lineRule="auto"/>
              <w:jc w:val="left"/>
              <w:rPr>
                <w:rFonts w:eastAsia="Times New Roman" w:cs="Calibri"/>
                <w:b/>
                <w:bCs/>
                <w:color w:val="000000"/>
                <w:sz w:val="18"/>
                <w:szCs w:val="18"/>
                <w:lang w:val="en-US"/>
              </w:rPr>
            </w:pPr>
          </w:p>
        </w:tc>
        <w:tc>
          <w:tcPr>
            <w:tcW w:w="1134" w:type="dxa"/>
            <w:vMerge/>
            <w:tcBorders>
              <w:top w:val="nil"/>
              <w:left w:val="single" w:sz="4" w:space="0" w:color="auto"/>
              <w:bottom w:val="single" w:sz="4" w:space="0" w:color="000000"/>
              <w:right w:val="single" w:sz="4" w:space="0" w:color="auto"/>
            </w:tcBorders>
            <w:vAlign w:val="center"/>
            <w:hideMark/>
          </w:tcPr>
          <w:p w14:paraId="5CC7BAAB" w14:textId="77777777" w:rsidR="002C5546" w:rsidRPr="002C5546" w:rsidRDefault="002C5546" w:rsidP="002C5546">
            <w:pPr>
              <w:spacing w:before="0" w:after="0" w:line="240" w:lineRule="auto"/>
              <w:jc w:val="left"/>
              <w:rPr>
                <w:rFonts w:eastAsia="Times New Roman" w:cs="Calibri"/>
                <w:b/>
                <w:bCs/>
                <w:color w:val="000000"/>
                <w:sz w:val="18"/>
                <w:szCs w:val="18"/>
                <w:lang w:val="en-US"/>
              </w:rPr>
            </w:pPr>
          </w:p>
        </w:tc>
        <w:tc>
          <w:tcPr>
            <w:tcW w:w="992" w:type="dxa"/>
            <w:vMerge/>
            <w:tcBorders>
              <w:top w:val="nil"/>
              <w:left w:val="single" w:sz="4" w:space="0" w:color="auto"/>
              <w:bottom w:val="single" w:sz="4" w:space="0" w:color="auto"/>
              <w:right w:val="single" w:sz="4" w:space="0" w:color="auto"/>
            </w:tcBorders>
            <w:vAlign w:val="center"/>
            <w:hideMark/>
          </w:tcPr>
          <w:p w14:paraId="75510F41" w14:textId="77777777" w:rsidR="002C5546" w:rsidRPr="002C5546" w:rsidRDefault="002C5546" w:rsidP="002C5546">
            <w:pPr>
              <w:spacing w:before="0" w:after="0" w:line="240" w:lineRule="auto"/>
              <w:jc w:val="left"/>
              <w:rPr>
                <w:rFonts w:eastAsia="Times New Roman" w:cs="Calibri"/>
                <w:b/>
                <w:bCs/>
                <w:color w:val="000000"/>
                <w:sz w:val="18"/>
                <w:szCs w:val="18"/>
                <w:lang w:val="en-US"/>
              </w:rPr>
            </w:pPr>
          </w:p>
        </w:tc>
        <w:tc>
          <w:tcPr>
            <w:tcW w:w="851" w:type="dxa"/>
            <w:vMerge/>
            <w:tcBorders>
              <w:top w:val="nil"/>
              <w:left w:val="single" w:sz="4" w:space="0" w:color="auto"/>
              <w:bottom w:val="single" w:sz="4" w:space="0" w:color="auto"/>
              <w:right w:val="single" w:sz="4" w:space="0" w:color="auto"/>
            </w:tcBorders>
            <w:vAlign w:val="center"/>
            <w:hideMark/>
          </w:tcPr>
          <w:p w14:paraId="41C32859" w14:textId="77777777" w:rsidR="002C5546" w:rsidRPr="002C5546" w:rsidRDefault="002C5546" w:rsidP="002C5546">
            <w:pPr>
              <w:spacing w:before="0" w:after="0" w:line="240" w:lineRule="auto"/>
              <w:jc w:val="left"/>
              <w:rPr>
                <w:rFonts w:eastAsia="Times New Roman" w:cs="Calibri"/>
                <w:color w:val="000000"/>
                <w:sz w:val="18"/>
                <w:szCs w:val="18"/>
                <w:lang w:val="en-US"/>
              </w:rPr>
            </w:pPr>
          </w:p>
        </w:tc>
        <w:tc>
          <w:tcPr>
            <w:tcW w:w="850" w:type="dxa"/>
            <w:vMerge/>
            <w:tcBorders>
              <w:top w:val="nil"/>
              <w:left w:val="single" w:sz="4" w:space="0" w:color="auto"/>
              <w:bottom w:val="single" w:sz="4" w:space="0" w:color="auto"/>
              <w:right w:val="single" w:sz="4" w:space="0" w:color="auto"/>
            </w:tcBorders>
            <w:vAlign w:val="center"/>
            <w:hideMark/>
          </w:tcPr>
          <w:p w14:paraId="76EFC25C" w14:textId="77777777" w:rsidR="002C5546" w:rsidRPr="002C5546" w:rsidRDefault="002C5546" w:rsidP="002C5546">
            <w:pPr>
              <w:spacing w:before="0" w:after="0" w:line="240" w:lineRule="auto"/>
              <w:jc w:val="left"/>
              <w:rPr>
                <w:rFonts w:eastAsia="Times New Roman" w:cs="Calibri"/>
                <w:color w:val="000000"/>
                <w:sz w:val="18"/>
                <w:szCs w:val="18"/>
                <w:lang w:val="en-US"/>
              </w:rPr>
            </w:pPr>
          </w:p>
        </w:tc>
        <w:tc>
          <w:tcPr>
            <w:tcW w:w="236" w:type="dxa"/>
            <w:tcBorders>
              <w:top w:val="nil"/>
              <w:left w:val="nil"/>
              <w:bottom w:val="nil"/>
              <w:right w:val="nil"/>
            </w:tcBorders>
            <w:shd w:val="clear" w:color="auto" w:fill="auto"/>
            <w:noWrap/>
            <w:vAlign w:val="bottom"/>
            <w:hideMark/>
          </w:tcPr>
          <w:p w14:paraId="67003011" w14:textId="77777777" w:rsidR="002C5546" w:rsidRPr="002C5546" w:rsidRDefault="002C5546" w:rsidP="002C5546">
            <w:pPr>
              <w:spacing w:before="0" w:after="0" w:line="240" w:lineRule="auto"/>
              <w:jc w:val="right"/>
              <w:rPr>
                <w:rFonts w:eastAsia="Times New Roman" w:cs="Calibri"/>
                <w:color w:val="000000"/>
                <w:sz w:val="18"/>
                <w:szCs w:val="18"/>
                <w:lang w:val="en-US"/>
              </w:rPr>
            </w:pPr>
          </w:p>
        </w:tc>
      </w:tr>
      <w:tr w:rsidR="004B562E" w:rsidRPr="002C5546" w14:paraId="334DC1CF" w14:textId="77777777" w:rsidTr="00A862D0">
        <w:trPr>
          <w:trHeight w:val="300"/>
        </w:trPr>
        <w:tc>
          <w:tcPr>
            <w:tcW w:w="3047" w:type="dxa"/>
            <w:tcBorders>
              <w:top w:val="nil"/>
              <w:left w:val="single" w:sz="4" w:space="0" w:color="auto"/>
              <w:bottom w:val="single" w:sz="4" w:space="0" w:color="auto"/>
              <w:right w:val="single" w:sz="4" w:space="0" w:color="auto"/>
            </w:tcBorders>
            <w:shd w:val="clear" w:color="auto" w:fill="auto"/>
            <w:vAlign w:val="center"/>
            <w:hideMark/>
          </w:tcPr>
          <w:p w14:paraId="0D928FC8"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mikro</w:t>
            </w:r>
          </w:p>
        </w:tc>
        <w:tc>
          <w:tcPr>
            <w:tcW w:w="1134" w:type="dxa"/>
            <w:tcBorders>
              <w:top w:val="nil"/>
              <w:left w:val="nil"/>
              <w:bottom w:val="single" w:sz="4" w:space="0" w:color="auto"/>
              <w:right w:val="single" w:sz="4" w:space="0" w:color="auto"/>
            </w:tcBorders>
            <w:shd w:val="clear" w:color="auto" w:fill="auto"/>
            <w:vAlign w:val="center"/>
            <w:hideMark/>
          </w:tcPr>
          <w:p w14:paraId="4AA29C96"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1,937,250</w:t>
            </w:r>
          </w:p>
        </w:tc>
        <w:tc>
          <w:tcPr>
            <w:tcW w:w="1134" w:type="dxa"/>
            <w:tcBorders>
              <w:top w:val="nil"/>
              <w:left w:val="nil"/>
              <w:bottom w:val="single" w:sz="4" w:space="0" w:color="auto"/>
              <w:right w:val="single" w:sz="4" w:space="0" w:color="auto"/>
            </w:tcBorders>
            <w:shd w:val="clear" w:color="auto" w:fill="auto"/>
            <w:noWrap/>
            <w:vAlign w:val="center"/>
            <w:hideMark/>
          </w:tcPr>
          <w:p w14:paraId="5B5DF16B"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2,004,288</w:t>
            </w:r>
          </w:p>
        </w:tc>
        <w:tc>
          <w:tcPr>
            <w:tcW w:w="1134" w:type="dxa"/>
            <w:tcBorders>
              <w:top w:val="nil"/>
              <w:left w:val="nil"/>
              <w:bottom w:val="single" w:sz="4" w:space="0" w:color="auto"/>
              <w:right w:val="single" w:sz="4" w:space="0" w:color="auto"/>
            </w:tcBorders>
            <w:shd w:val="clear" w:color="auto" w:fill="auto"/>
            <w:noWrap/>
            <w:vAlign w:val="bottom"/>
            <w:hideMark/>
          </w:tcPr>
          <w:p w14:paraId="3E038849"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2,078,742</w:t>
            </w:r>
          </w:p>
        </w:tc>
        <w:tc>
          <w:tcPr>
            <w:tcW w:w="992" w:type="dxa"/>
            <w:tcBorders>
              <w:top w:val="nil"/>
              <w:left w:val="nil"/>
              <w:bottom w:val="single" w:sz="4" w:space="0" w:color="auto"/>
              <w:right w:val="single" w:sz="4" w:space="0" w:color="auto"/>
            </w:tcBorders>
            <w:shd w:val="clear" w:color="auto" w:fill="auto"/>
            <w:vAlign w:val="center"/>
            <w:hideMark/>
          </w:tcPr>
          <w:p w14:paraId="2890405F"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103.71</w:t>
            </w:r>
          </w:p>
        </w:tc>
        <w:tc>
          <w:tcPr>
            <w:tcW w:w="851" w:type="dxa"/>
            <w:tcBorders>
              <w:top w:val="nil"/>
              <w:left w:val="nil"/>
              <w:bottom w:val="single" w:sz="4" w:space="0" w:color="auto"/>
              <w:right w:val="single" w:sz="4" w:space="0" w:color="auto"/>
            </w:tcBorders>
            <w:shd w:val="clear" w:color="auto" w:fill="auto"/>
            <w:vAlign w:val="center"/>
            <w:hideMark/>
          </w:tcPr>
          <w:p w14:paraId="41024CE9"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96.2%</w:t>
            </w:r>
          </w:p>
        </w:tc>
        <w:tc>
          <w:tcPr>
            <w:tcW w:w="850" w:type="dxa"/>
            <w:tcBorders>
              <w:top w:val="nil"/>
              <w:left w:val="nil"/>
              <w:bottom w:val="single" w:sz="4" w:space="0" w:color="auto"/>
              <w:right w:val="single" w:sz="4" w:space="0" w:color="auto"/>
            </w:tcBorders>
            <w:shd w:val="clear" w:color="auto" w:fill="auto"/>
            <w:vAlign w:val="center"/>
            <w:hideMark/>
          </w:tcPr>
          <w:p w14:paraId="104D5CAA"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96.7%</w:t>
            </w:r>
          </w:p>
        </w:tc>
        <w:tc>
          <w:tcPr>
            <w:tcW w:w="236" w:type="dxa"/>
            <w:vAlign w:val="center"/>
            <w:hideMark/>
          </w:tcPr>
          <w:p w14:paraId="02E8AD52" w14:textId="77777777" w:rsidR="002C5546" w:rsidRPr="002C5546" w:rsidRDefault="002C5546" w:rsidP="002C5546">
            <w:pPr>
              <w:spacing w:before="0" w:after="0" w:line="240" w:lineRule="auto"/>
              <w:jc w:val="left"/>
              <w:rPr>
                <w:rFonts w:ascii="Times New Roman" w:eastAsia="Times New Roman" w:hAnsi="Times New Roman" w:cs="Times New Roman"/>
                <w:color w:val="auto"/>
                <w:sz w:val="20"/>
                <w:szCs w:val="20"/>
                <w:lang w:val="en-US"/>
              </w:rPr>
            </w:pPr>
          </w:p>
        </w:tc>
      </w:tr>
      <w:tr w:rsidR="004B562E" w:rsidRPr="002C5546" w14:paraId="4B4C7CDA" w14:textId="77777777" w:rsidTr="00A862D0">
        <w:trPr>
          <w:trHeight w:val="300"/>
        </w:trPr>
        <w:tc>
          <w:tcPr>
            <w:tcW w:w="3047" w:type="dxa"/>
            <w:tcBorders>
              <w:top w:val="nil"/>
              <w:left w:val="single" w:sz="4" w:space="0" w:color="auto"/>
              <w:bottom w:val="single" w:sz="4" w:space="0" w:color="auto"/>
              <w:right w:val="single" w:sz="4" w:space="0" w:color="auto"/>
            </w:tcBorders>
            <w:shd w:val="clear" w:color="auto" w:fill="auto"/>
            <w:vAlign w:val="center"/>
            <w:hideMark/>
          </w:tcPr>
          <w:p w14:paraId="491103AF"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małe</w:t>
            </w:r>
          </w:p>
        </w:tc>
        <w:tc>
          <w:tcPr>
            <w:tcW w:w="1134" w:type="dxa"/>
            <w:tcBorders>
              <w:top w:val="nil"/>
              <w:left w:val="nil"/>
              <w:bottom w:val="single" w:sz="4" w:space="0" w:color="auto"/>
              <w:right w:val="single" w:sz="4" w:space="0" w:color="auto"/>
            </w:tcBorders>
            <w:shd w:val="clear" w:color="auto" w:fill="auto"/>
            <w:vAlign w:val="center"/>
            <w:hideMark/>
          </w:tcPr>
          <w:p w14:paraId="2CC7271E"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57,198</w:t>
            </w:r>
          </w:p>
        </w:tc>
        <w:tc>
          <w:tcPr>
            <w:tcW w:w="1134" w:type="dxa"/>
            <w:tcBorders>
              <w:top w:val="nil"/>
              <w:left w:val="nil"/>
              <w:bottom w:val="single" w:sz="4" w:space="0" w:color="auto"/>
              <w:right w:val="single" w:sz="4" w:space="0" w:color="auto"/>
            </w:tcBorders>
            <w:shd w:val="clear" w:color="auto" w:fill="auto"/>
            <w:noWrap/>
            <w:vAlign w:val="center"/>
            <w:hideMark/>
          </w:tcPr>
          <w:p w14:paraId="6F347BDE"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53,763</w:t>
            </w:r>
          </w:p>
        </w:tc>
        <w:tc>
          <w:tcPr>
            <w:tcW w:w="1134" w:type="dxa"/>
            <w:tcBorders>
              <w:top w:val="nil"/>
              <w:left w:val="nil"/>
              <w:bottom w:val="single" w:sz="4" w:space="0" w:color="auto"/>
              <w:right w:val="single" w:sz="4" w:space="0" w:color="auto"/>
            </w:tcBorders>
            <w:shd w:val="clear" w:color="auto" w:fill="auto"/>
            <w:noWrap/>
            <w:vAlign w:val="bottom"/>
            <w:hideMark/>
          </w:tcPr>
          <w:p w14:paraId="4B80E8E9"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52,662</w:t>
            </w:r>
          </w:p>
        </w:tc>
        <w:tc>
          <w:tcPr>
            <w:tcW w:w="992" w:type="dxa"/>
            <w:tcBorders>
              <w:top w:val="nil"/>
              <w:left w:val="nil"/>
              <w:bottom w:val="single" w:sz="4" w:space="0" w:color="auto"/>
              <w:right w:val="single" w:sz="4" w:space="0" w:color="auto"/>
            </w:tcBorders>
            <w:shd w:val="clear" w:color="auto" w:fill="auto"/>
            <w:vAlign w:val="center"/>
            <w:hideMark/>
          </w:tcPr>
          <w:p w14:paraId="2B7416D3"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97.95</w:t>
            </w:r>
          </w:p>
        </w:tc>
        <w:tc>
          <w:tcPr>
            <w:tcW w:w="851" w:type="dxa"/>
            <w:tcBorders>
              <w:top w:val="nil"/>
              <w:left w:val="nil"/>
              <w:bottom w:val="single" w:sz="4" w:space="0" w:color="auto"/>
              <w:right w:val="single" w:sz="4" w:space="0" w:color="auto"/>
            </w:tcBorders>
            <w:shd w:val="clear" w:color="auto" w:fill="auto"/>
            <w:vAlign w:val="center"/>
            <w:hideMark/>
          </w:tcPr>
          <w:p w14:paraId="1F9C70E0"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2.8%</w:t>
            </w:r>
          </w:p>
        </w:tc>
        <w:tc>
          <w:tcPr>
            <w:tcW w:w="850" w:type="dxa"/>
            <w:tcBorders>
              <w:top w:val="nil"/>
              <w:left w:val="nil"/>
              <w:bottom w:val="single" w:sz="4" w:space="0" w:color="auto"/>
              <w:right w:val="single" w:sz="4" w:space="0" w:color="auto"/>
            </w:tcBorders>
            <w:shd w:val="clear" w:color="auto" w:fill="auto"/>
            <w:vAlign w:val="center"/>
            <w:hideMark/>
          </w:tcPr>
          <w:p w14:paraId="4FA2FB25"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2.4%</w:t>
            </w:r>
          </w:p>
        </w:tc>
        <w:tc>
          <w:tcPr>
            <w:tcW w:w="236" w:type="dxa"/>
            <w:vAlign w:val="center"/>
            <w:hideMark/>
          </w:tcPr>
          <w:p w14:paraId="3A899601" w14:textId="77777777" w:rsidR="002C5546" w:rsidRPr="002C5546" w:rsidRDefault="002C5546" w:rsidP="002C5546">
            <w:pPr>
              <w:spacing w:before="0" w:after="0" w:line="240" w:lineRule="auto"/>
              <w:jc w:val="left"/>
              <w:rPr>
                <w:rFonts w:ascii="Times New Roman" w:eastAsia="Times New Roman" w:hAnsi="Times New Roman" w:cs="Times New Roman"/>
                <w:color w:val="auto"/>
                <w:sz w:val="20"/>
                <w:szCs w:val="20"/>
                <w:lang w:val="en-US"/>
              </w:rPr>
            </w:pPr>
          </w:p>
        </w:tc>
      </w:tr>
      <w:tr w:rsidR="004B562E" w:rsidRPr="002C5546" w14:paraId="7F2E7381" w14:textId="77777777" w:rsidTr="00A862D0">
        <w:trPr>
          <w:trHeight w:val="300"/>
        </w:trPr>
        <w:tc>
          <w:tcPr>
            <w:tcW w:w="3047" w:type="dxa"/>
            <w:tcBorders>
              <w:top w:val="nil"/>
              <w:left w:val="single" w:sz="4" w:space="0" w:color="auto"/>
              <w:bottom w:val="single" w:sz="4" w:space="0" w:color="auto"/>
              <w:right w:val="single" w:sz="4" w:space="0" w:color="auto"/>
            </w:tcBorders>
            <w:shd w:val="clear" w:color="auto" w:fill="auto"/>
            <w:vAlign w:val="center"/>
            <w:hideMark/>
          </w:tcPr>
          <w:p w14:paraId="505EA4E4"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średnie</w:t>
            </w:r>
          </w:p>
        </w:tc>
        <w:tc>
          <w:tcPr>
            <w:tcW w:w="1134" w:type="dxa"/>
            <w:tcBorders>
              <w:top w:val="nil"/>
              <w:left w:val="nil"/>
              <w:bottom w:val="single" w:sz="4" w:space="0" w:color="auto"/>
              <w:right w:val="single" w:sz="4" w:space="0" w:color="auto"/>
            </w:tcBorders>
            <w:shd w:val="clear" w:color="auto" w:fill="auto"/>
            <w:vAlign w:val="center"/>
            <w:hideMark/>
          </w:tcPr>
          <w:p w14:paraId="59E895AB"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15,351</w:t>
            </w:r>
          </w:p>
        </w:tc>
        <w:tc>
          <w:tcPr>
            <w:tcW w:w="1134" w:type="dxa"/>
            <w:tcBorders>
              <w:top w:val="nil"/>
              <w:left w:val="nil"/>
              <w:bottom w:val="single" w:sz="4" w:space="0" w:color="auto"/>
              <w:right w:val="single" w:sz="4" w:space="0" w:color="auto"/>
            </w:tcBorders>
            <w:shd w:val="clear" w:color="auto" w:fill="auto"/>
            <w:noWrap/>
            <w:vAlign w:val="center"/>
            <w:hideMark/>
          </w:tcPr>
          <w:p w14:paraId="4AC2AEF7"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15,335</w:t>
            </w:r>
          </w:p>
        </w:tc>
        <w:tc>
          <w:tcPr>
            <w:tcW w:w="1134" w:type="dxa"/>
            <w:tcBorders>
              <w:top w:val="nil"/>
              <w:left w:val="nil"/>
              <w:bottom w:val="single" w:sz="4" w:space="0" w:color="auto"/>
              <w:right w:val="single" w:sz="4" w:space="0" w:color="auto"/>
            </w:tcBorders>
            <w:shd w:val="clear" w:color="auto" w:fill="auto"/>
            <w:noWrap/>
            <w:vAlign w:val="bottom"/>
            <w:hideMark/>
          </w:tcPr>
          <w:p w14:paraId="29BF1E83"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15,210</w:t>
            </w:r>
          </w:p>
        </w:tc>
        <w:tc>
          <w:tcPr>
            <w:tcW w:w="992" w:type="dxa"/>
            <w:tcBorders>
              <w:top w:val="nil"/>
              <w:left w:val="nil"/>
              <w:bottom w:val="single" w:sz="4" w:space="0" w:color="auto"/>
              <w:right w:val="single" w:sz="4" w:space="0" w:color="auto"/>
            </w:tcBorders>
            <w:shd w:val="clear" w:color="auto" w:fill="auto"/>
            <w:vAlign w:val="center"/>
            <w:hideMark/>
          </w:tcPr>
          <w:p w14:paraId="240246D5"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99.18</w:t>
            </w:r>
          </w:p>
        </w:tc>
        <w:tc>
          <w:tcPr>
            <w:tcW w:w="851" w:type="dxa"/>
            <w:tcBorders>
              <w:top w:val="nil"/>
              <w:left w:val="nil"/>
              <w:bottom w:val="single" w:sz="4" w:space="0" w:color="auto"/>
              <w:right w:val="single" w:sz="4" w:space="0" w:color="auto"/>
            </w:tcBorders>
            <w:shd w:val="clear" w:color="auto" w:fill="auto"/>
            <w:vAlign w:val="center"/>
            <w:hideMark/>
          </w:tcPr>
          <w:p w14:paraId="0664188C"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0.8%</w:t>
            </w:r>
          </w:p>
        </w:tc>
        <w:tc>
          <w:tcPr>
            <w:tcW w:w="850" w:type="dxa"/>
            <w:tcBorders>
              <w:top w:val="nil"/>
              <w:left w:val="nil"/>
              <w:bottom w:val="single" w:sz="4" w:space="0" w:color="auto"/>
              <w:right w:val="single" w:sz="4" w:space="0" w:color="auto"/>
            </w:tcBorders>
            <w:shd w:val="clear" w:color="auto" w:fill="auto"/>
            <w:vAlign w:val="center"/>
            <w:hideMark/>
          </w:tcPr>
          <w:p w14:paraId="490E6B0E"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0.7%</w:t>
            </w:r>
          </w:p>
        </w:tc>
        <w:tc>
          <w:tcPr>
            <w:tcW w:w="236" w:type="dxa"/>
            <w:vAlign w:val="center"/>
            <w:hideMark/>
          </w:tcPr>
          <w:p w14:paraId="492DDAC4" w14:textId="77777777" w:rsidR="002C5546" w:rsidRPr="002C5546" w:rsidRDefault="002C5546" w:rsidP="002C5546">
            <w:pPr>
              <w:spacing w:before="0" w:after="0" w:line="240" w:lineRule="auto"/>
              <w:jc w:val="left"/>
              <w:rPr>
                <w:rFonts w:ascii="Times New Roman" w:eastAsia="Times New Roman" w:hAnsi="Times New Roman" w:cs="Times New Roman"/>
                <w:color w:val="auto"/>
                <w:sz w:val="20"/>
                <w:szCs w:val="20"/>
                <w:lang w:val="en-US"/>
              </w:rPr>
            </w:pPr>
          </w:p>
        </w:tc>
      </w:tr>
      <w:tr w:rsidR="004B562E" w:rsidRPr="002C5546" w14:paraId="4B250FB1" w14:textId="77777777" w:rsidTr="00A862D0">
        <w:trPr>
          <w:trHeight w:val="300"/>
        </w:trPr>
        <w:tc>
          <w:tcPr>
            <w:tcW w:w="3047" w:type="dxa"/>
            <w:tcBorders>
              <w:top w:val="nil"/>
              <w:left w:val="single" w:sz="4" w:space="0" w:color="auto"/>
              <w:bottom w:val="single" w:sz="4" w:space="0" w:color="auto"/>
              <w:right w:val="single" w:sz="4" w:space="0" w:color="auto"/>
            </w:tcBorders>
            <w:shd w:val="clear" w:color="auto" w:fill="auto"/>
            <w:vAlign w:val="center"/>
            <w:hideMark/>
          </w:tcPr>
          <w:p w14:paraId="3412280E"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duże</w:t>
            </w:r>
          </w:p>
        </w:tc>
        <w:tc>
          <w:tcPr>
            <w:tcW w:w="1134" w:type="dxa"/>
            <w:tcBorders>
              <w:top w:val="nil"/>
              <w:left w:val="nil"/>
              <w:bottom w:val="single" w:sz="4" w:space="0" w:color="auto"/>
              <w:right w:val="single" w:sz="4" w:space="0" w:color="auto"/>
            </w:tcBorders>
            <w:shd w:val="clear" w:color="auto" w:fill="auto"/>
            <w:vAlign w:val="center"/>
            <w:hideMark/>
          </w:tcPr>
          <w:p w14:paraId="3797753B"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3,565</w:t>
            </w:r>
          </w:p>
        </w:tc>
        <w:tc>
          <w:tcPr>
            <w:tcW w:w="1134" w:type="dxa"/>
            <w:tcBorders>
              <w:top w:val="nil"/>
              <w:left w:val="nil"/>
              <w:bottom w:val="single" w:sz="4" w:space="0" w:color="auto"/>
              <w:right w:val="single" w:sz="4" w:space="0" w:color="auto"/>
            </w:tcBorders>
            <w:shd w:val="clear" w:color="auto" w:fill="auto"/>
            <w:noWrap/>
            <w:vAlign w:val="center"/>
            <w:hideMark/>
          </w:tcPr>
          <w:p w14:paraId="48793199"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3,641</w:t>
            </w:r>
          </w:p>
        </w:tc>
        <w:tc>
          <w:tcPr>
            <w:tcW w:w="1134" w:type="dxa"/>
            <w:tcBorders>
              <w:top w:val="nil"/>
              <w:left w:val="nil"/>
              <w:bottom w:val="single" w:sz="4" w:space="0" w:color="auto"/>
              <w:right w:val="single" w:sz="4" w:space="0" w:color="auto"/>
            </w:tcBorders>
            <w:shd w:val="clear" w:color="auto" w:fill="auto"/>
            <w:noWrap/>
            <w:vAlign w:val="bottom"/>
            <w:hideMark/>
          </w:tcPr>
          <w:p w14:paraId="6C709A43"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3,674</w:t>
            </w:r>
          </w:p>
        </w:tc>
        <w:tc>
          <w:tcPr>
            <w:tcW w:w="992" w:type="dxa"/>
            <w:tcBorders>
              <w:top w:val="nil"/>
              <w:left w:val="nil"/>
              <w:bottom w:val="single" w:sz="4" w:space="0" w:color="auto"/>
              <w:right w:val="single" w:sz="4" w:space="0" w:color="auto"/>
            </w:tcBorders>
            <w:shd w:val="clear" w:color="auto" w:fill="auto"/>
            <w:vAlign w:val="center"/>
            <w:hideMark/>
          </w:tcPr>
          <w:p w14:paraId="36DAFAD2"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100.91</w:t>
            </w:r>
          </w:p>
        </w:tc>
        <w:tc>
          <w:tcPr>
            <w:tcW w:w="851" w:type="dxa"/>
            <w:tcBorders>
              <w:top w:val="nil"/>
              <w:left w:val="nil"/>
              <w:bottom w:val="single" w:sz="4" w:space="0" w:color="auto"/>
              <w:right w:val="single" w:sz="4" w:space="0" w:color="auto"/>
            </w:tcBorders>
            <w:shd w:val="clear" w:color="auto" w:fill="auto"/>
            <w:vAlign w:val="center"/>
            <w:hideMark/>
          </w:tcPr>
          <w:p w14:paraId="09D51525"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0.2%</w:t>
            </w:r>
          </w:p>
        </w:tc>
        <w:tc>
          <w:tcPr>
            <w:tcW w:w="850" w:type="dxa"/>
            <w:tcBorders>
              <w:top w:val="nil"/>
              <w:left w:val="nil"/>
              <w:bottom w:val="single" w:sz="4" w:space="0" w:color="auto"/>
              <w:right w:val="single" w:sz="4" w:space="0" w:color="auto"/>
            </w:tcBorders>
            <w:shd w:val="clear" w:color="auto" w:fill="auto"/>
            <w:vAlign w:val="center"/>
            <w:hideMark/>
          </w:tcPr>
          <w:p w14:paraId="4E98F186"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0.2%</w:t>
            </w:r>
          </w:p>
        </w:tc>
        <w:tc>
          <w:tcPr>
            <w:tcW w:w="236" w:type="dxa"/>
            <w:vAlign w:val="center"/>
            <w:hideMark/>
          </w:tcPr>
          <w:p w14:paraId="5C768DA6" w14:textId="77777777" w:rsidR="002C5546" w:rsidRPr="002C5546" w:rsidRDefault="002C5546" w:rsidP="002C5546">
            <w:pPr>
              <w:spacing w:before="0" w:after="0" w:line="240" w:lineRule="auto"/>
              <w:jc w:val="left"/>
              <w:rPr>
                <w:rFonts w:ascii="Times New Roman" w:eastAsia="Times New Roman" w:hAnsi="Times New Roman" w:cs="Times New Roman"/>
                <w:color w:val="auto"/>
                <w:sz w:val="20"/>
                <w:szCs w:val="20"/>
                <w:lang w:val="en-US"/>
              </w:rPr>
            </w:pPr>
          </w:p>
        </w:tc>
      </w:tr>
      <w:tr w:rsidR="004B562E" w:rsidRPr="002C5546" w14:paraId="158A2AA8" w14:textId="77777777" w:rsidTr="00A862D0">
        <w:trPr>
          <w:trHeight w:val="540"/>
        </w:trPr>
        <w:tc>
          <w:tcPr>
            <w:tcW w:w="3047" w:type="dxa"/>
            <w:tcBorders>
              <w:top w:val="nil"/>
              <w:left w:val="single" w:sz="4" w:space="0" w:color="auto"/>
              <w:bottom w:val="single" w:sz="4" w:space="0" w:color="auto"/>
              <w:right w:val="single" w:sz="4" w:space="0" w:color="auto"/>
            </w:tcBorders>
            <w:shd w:val="clear" w:color="auto" w:fill="auto"/>
            <w:vAlign w:val="center"/>
            <w:hideMark/>
          </w:tcPr>
          <w:p w14:paraId="67D7D2D7" w14:textId="77777777" w:rsidR="002C5546" w:rsidRPr="002C5546" w:rsidRDefault="002C5546" w:rsidP="002C5546">
            <w:pPr>
              <w:spacing w:before="0" w:after="0" w:line="240" w:lineRule="auto"/>
              <w:rPr>
                <w:rFonts w:eastAsia="Times New Roman" w:cs="Calibri"/>
                <w:i/>
                <w:iCs/>
                <w:color w:val="000000"/>
                <w:sz w:val="18"/>
                <w:szCs w:val="18"/>
                <w:lang w:val="en-US"/>
              </w:rPr>
            </w:pPr>
            <w:r w:rsidRPr="002C5546">
              <w:rPr>
                <w:rFonts w:eastAsia="Times New Roman" w:cs="Calibri"/>
                <w:i/>
                <w:iCs/>
                <w:color w:val="000000"/>
                <w:sz w:val="18"/>
                <w:szCs w:val="18"/>
                <w:lang w:val="en-US"/>
              </w:rPr>
              <w:t xml:space="preserve">w sektorze MŚP </w:t>
            </w:r>
          </w:p>
        </w:tc>
        <w:tc>
          <w:tcPr>
            <w:tcW w:w="1134" w:type="dxa"/>
            <w:tcBorders>
              <w:top w:val="nil"/>
              <w:left w:val="nil"/>
              <w:bottom w:val="single" w:sz="4" w:space="0" w:color="auto"/>
              <w:right w:val="single" w:sz="4" w:space="0" w:color="auto"/>
            </w:tcBorders>
            <w:shd w:val="clear" w:color="auto" w:fill="auto"/>
            <w:vAlign w:val="center"/>
            <w:hideMark/>
          </w:tcPr>
          <w:p w14:paraId="5DC05E44"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2,009,799</w:t>
            </w:r>
          </w:p>
        </w:tc>
        <w:tc>
          <w:tcPr>
            <w:tcW w:w="1134" w:type="dxa"/>
            <w:tcBorders>
              <w:top w:val="nil"/>
              <w:left w:val="nil"/>
              <w:bottom w:val="single" w:sz="4" w:space="0" w:color="auto"/>
              <w:right w:val="single" w:sz="4" w:space="0" w:color="auto"/>
            </w:tcBorders>
            <w:shd w:val="clear" w:color="auto" w:fill="auto"/>
            <w:vAlign w:val="center"/>
            <w:hideMark/>
          </w:tcPr>
          <w:p w14:paraId="37ED4094"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2,073,386</w:t>
            </w:r>
          </w:p>
        </w:tc>
        <w:tc>
          <w:tcPr>
            <w:tcW w:w="1134" w:type="dxa"/>
            <w:tcBorders>
              <w:top w:val="nil"/>
              <w:left w:val="nil"/>
              <w:bottom w:val="single" w:sz="4" w:space="0" w:color="auto"/>
              <w:right w:val="single" w:sz="4" w:space="0" w:color="auto"/>
            </w:tcBorders>
            <w:shd w:val="clear" w:color="auto" w:fill="auto"/>
            <w:vAlign w:val="center"/>
            <w:hideMark/>
          </w:tcPr>
          <w:p w14:paraId="23D33A7F"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2,146,614</w:t>
            </w:r>
          </w:p>
        </w:tc>
        <w:tc>
          <w:tcPr>
            <w:tcW w:w="992" w:type="dxa"/>
            <w:tcBorders>
              <w:top w:val="nil"/>
              <w:left w:val="nil"/>
              <w:bottom w:val="single" w:sz="4" w:space="0" w:color="auto"/>
              <w:right w:val="single" w:sz="4" w:space="0" w:color="auto"/>
            </w:tcBorders>
            <w:shd w:val="clear" w:color="auto" w:fill="auto"/>
            <w:vAlign w:val="center"/>
            <w:hideMark/>
          </w:tcPr>
          <w:p w14:paraId="7977CD9C"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103.53</w:t>
            </w:r>
          </w:p>
        </w:tc>
        <w:tc>
          <w:tcPr>
            <w:tcW w:w="851" w:type="dxa"/>
            <w:tcBorders>
              <w:top w:val="nil"/>
              <w:left w:val="nil"/>
              <w:bottom w:val="single" w:sz="4" w:space="0" w:color="auto"/>
              <w:right w:val="single" w:sz="4" w:space="0" w:color="auto"/>
            </w:tcBorders>
            <w:shd w:val="clear" w:color="auto" w:fill="auto"/>
            <w:vAlign w:val="center"/>
            <w:hideMark/>
          </w:tcPr>
          <w:p w14:paraId="0417D1B6"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99.8%</w:t>
            </w:r>
          </w:p>
        </w:tc>
        <w:tc>
          <w:tcPr>
            <w:tcW w:w="850" w:type="dxa"/>
            <w:tcBorders>
              <w:top w:val="nil"/>
              <w:left w:val="nil"/>
              <w:bottom w:val="single" w:sz="4" w:space="0" w:color="auto"/>
              <w:right w:val="single" w:sz="4" w:space="0" w:color="auto"/>
            </w:tcBorders>
            <w:shd w:val="clear" w:color="auto" w:fill="auto"/>
            <w:vAlign w:val="center"/>
            <w:hideMark/>
          </w:tcPr>
          <w:p w14:paraId="20D4E64C"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99.8%</w:t>
            </w:r>
          </w:p>
        </w:tc>
        <w:tc>
          <w:tcPr>
            <w:tcW w:w="236" w:type="dxa"/>
            <w:vAlign w:val="center"/>
            <w:hideMark/>
          </w:tcPr>
          <w:p w14:paraId="2293A769" w14:textId="77777777" w:rsidR="002C5546" w:rsidRPr="002C5546" w:rsidRDefault="002C5546" w:rsidP="002C5546">
            <w:pPr>
              <w:spacing w:before="0" w:after="0" w:line="240" w:lineRule="auto"/>
              <w:jc w:val="left"/>
              <w:rPr>
                <w:rFonts w:ascii="Times New Roman" w:eastAsia="Times New Roman" w:hAnsi="Times New Roman" w:cs="Times New Roman"/>
                <w:color w:val="auto"/>
                <w:sz w:val="20"/>
                <w:szCs w:val="20"/>
                <w:lang w:val="en-US"/>
              </w:rPr>
            </w:pPr>
          </w:p>
        </w:tc>
      </w:tr>
      <w:tr w:rsidR="004B562E" w:rsidRPr="002C5546" w14:paraId="2A454A14" w14:textId="77777777" w:rsidTr="00A862D0">
        <w:trPr>
          <w:trHeight w:val="1350"/>
        </w:trPr>
        <w:tc>
          <w:tcPr>
            <w:tcW w:w="3047" w:type="dxa"/>
            <w:tcBorders>
              <w:top w:val="nil"/>
              <w:left w:val="single" w:sz="4" w:space="0" w:color="auto"/>
              <w:bottom w:val="single" w:sz="4" w:space="0" w:color="auto"/>
              <w:right w:val="single" w:sz="4" w:space="0" w:color="auto"/>
            </w:tcBorders>
            <w:shd w:val="clear" w:color="000000" w:fill="D9D9D9"/>
            <w:vAlign w:val="center"/>
            <w:hideMark/>
          </w:tcPr>
          <w:p w14:paraId="70933BC1" w14:textId="09B4B747" w:rsidR="002C5546" w:rsidRPr="00A862D0" w:rsidRDefault="002C5546" w:rsidP="002C5546">
            <w:pPr>
              <w:spacing w:before="0" w:after="0" w:line="240" w:lineRule="auto"/>
              <w:rPr>
                <w:rFonts w:eastAsia="Times New Roman" w:cs="Calibri"/>
                <w:b/>
                <w:bCs/>
                <w:color w:val="000000"/>
                <w:sz w:val="18"/>
                <w:szCs w:val="18"/>
              </w:rPr>
            </w:pPr>
            <w:r w:rsidRPr="00A862D0">
              <w:rPr>
                <w:rFonts w:eastAsia="Times New Roman" w:cs="Calibri"/>
                <w:b/>
                <w:bCs/>
                <w:color w:val="000000"/>
                <w:sz w:val="18"/>
                <w:szCs w:val="18"/>
              </w:rPr>
              <w:t>Liczba pracujących</w:t>
            </w:r>
            <w:r w:rsidRPr="00A862D0">
              <w:rPr>
                <w:rFonts w:eastAsia="Times New Roman" w:cs="Calibri"/>
                <w:color w:val="000000"/>
                <w:sz w:val="18"/>
                <w:szCs w:val="18"/>
              </w:rPr>
              <w:t xml:space="preserve"> ogółem,</w:t>
            </w:r>
            <w:r w:rsidR="006343E1">
              <w:rPr>
                <w:rFonts w:eastAsia="Times New Roman" w:cs="Calibri"/>
                <w:color w:val="000000"/>
                <w:sz w:val="18"/>
                <w:szCs w:val="18"/>
              </w:rPr>
              <w:t xml:space="preserve"> </w:t>
            </w:r>
            <w:r w:rsidR="006343E1" w:rsidRPr="00A862D0">
              <w:rPr>
                <w:rFonts w:eastAsia="Times New Roman" w:cs="Calibri"/>
                <w:color w:val="000000"/>
                <w:sz w:val="18"/>
                <w:szCs w:val="18"/>
              </w:rPr>
              <w:t>w</w:t>
            </w:r>
            <w:r w:rsidR="006343E1">
              <w:rPr>
                <w:rFonts w:eastAsia="Times New Roman" w:cs="Calibri"/>
                <w:color w:val="000000"/>
                <w:sz w:val="18"/>
                <w:szCs w:val="18"/>
              </w:rPr>
              <w:t> </w:t>
            </w:r>
            <w:r w:rsidRPr="00A862D0">
              <w:rPr>
                <w:rFonts w:eastAsia="Times New Roman" w:cs="Calibri"/>
                <w:color w:val="000000"/>
                <w:sz w:val="18"/>
                <w:szCs w:val="18"/>
              </w:rPr>
              <w:t>tym</w:t>
            </w:r>
            <w:r w:rsidR="006343E1">
              <w:rPr>
                <w:rFonts w:eastAsia="Times New Roman" w:cs="Calibri"/>
                <w:color w:val="000000"/>
                <w:sz w:val="18"/>
                <w:szCs w:val="18"/>
              </w:rPr>
              <w:t xml:space="preserve"> </w:t>
            </w:r>
            <w:r w:rsidR="006343E1" w:rsidRPr="00A862D0">
              <w:rPr>
                <w:rFonts w:eastAsia="Times New Roman" w:cs="Calibri"/>
                <w:color w:val="000000"/>
                <w:sz w:val="18"/>
                <w:szCs w:val="18"/>
              </w:rPr>
              <w:t>w</w:t>
            </w:r>
            <w:r w:rsidR="006343E1">
              <w:rPr>
                <w:rFonts w:eastAsia="Times New Roman" w:cs="Calibri"/>
                <w:color w:val="000000"/>
                <w:sz w:val="18"/>
                <w:szCs w:val="18"/>
              </w:rPr>
              <w:t> </w:t>
            </w:r>
            <w:r w:rsidRPr="00A862D0">
              <w:rPr>
                <w:rFonts w:eastAsia="Times New Roman" w:cs="Calibri"/>
                <w:color w:val="000000"/>
                <w:sz w:val="18"/>
                <w:szCs w:val="18"/>
              </w:rPr>
              <w:t>firmach:</w:t>
            </w:r>
          </w:p>
        </w:tc>
        <w:tc>
          <w:tcPr>
            <w:tcW w:w="1134" w:type="dxa"/>
            <w:tcBorders>
              <w:top w:val="nil"/>
              <w:left w:val="nil"/>
              <w:bottom w:val="single" w:sz="4" w:space="0" w:color="auto"/>
              <w:right w:val="single" w:sz="4" w:space="0" w:color="auto"/>
            </w:tcBorders>
            <w:shd w:val="clear" w:color="000000" w:fill="D9D9D9"/>
            <w:vAlign w:val="center"/>
            <w:hideMark/>
          </w:tcPr>
          <w:p w14:paraId="5B685B50" w14:textId="77777777" w:rsidR="002C5546" w:rsidRPr="002C5546" w:rsidRDefault="002C5546" w:rsidP="002C5546">
            <w:pPr>
              <w:spacing w:before="0" w:after="0" w:line="240" w:lineRule="auto"/>
              <w:jc w:val="right"/>
              <w:rPr>
                <w:rFonts w:eastAsia="Times New Roman" w:cs="Calibri"/>
                <w:b/>
                <w:bCs/>
                <w:color w:val="000000"/>
                <w:sz w:val="18"/>
                <w:szCs w:val="18"/>
                <w:lang w:val="en-US"/>
              </w:rPr>
            </w:pPr>
            <w:r w:rsidRPr="002C5546">
              <w:rPr>
                <w:rFonts w:eastAsia="Times New Roman" w:cs="Calibri"/>
                <w:b/>
                <w:bCs/>
                <w:color w:val="000000"/>
                <w:sz w:val="18"/>
                <w:szCs w:val="18"/>
                <w:lang w:val="en-US"/>
              </w:rPr>
              <w:t>9,692,168</w:t>
            </w:r>
          </w:p>
        </w:tc>
        <w:tc>
          <w:tcPr>
            <w:tcW w:w="1134" w:type="dxa"/>
            <w:tcBorders>
              <w:top w:val="nil"/>
              <w:left w:val="nil"/>
              <w:bottom w:val="single" w:sz="4" w:space="0" w:color="auto"/>
              <w:right w:val="single" w:sz="4" w:space="0" w:color="auto"/>
            </w:tcBorders>
            <w:shd w:val="clear" w:color="000000" w:fill="D9D9D9"/>
            <w:noWrap/>
            <w:vAlign w:val="center"/>
            <w:hideMark/>
          </w:tcPr>
          <w:p w14:paraId="4D84042C" w14:textId="77777777" w:rsidR="002C5546" w:rsidRPr="002C5546" w:rsidRDefault="002C5546" w:rsidP="002C5546">
            <w:pPr>
              <w:spacing w:before="0" w:after="0" w:line="240" w:lineRule="auto"/>
              <w:jc w:val="right"/>
              <w:rPr>
                <w:rFonts w:eastAsia="Times New Roman" w:cs="Calibri"/>
                <w:b/>
                <w:bCs/>
                <w:color w:val="000000"/>
                <w:sz w:val="18"/>
                <w:szCs w:val="18"/>
                <w:lang w:val="en-US"/>
              </w:rPr>
            </w:pPr>
            <w:r w:rsidRPr="002C5546">
              <w:rPr>
                <w:rFonts w:eastAsia="Times New Roman" w:cs="Calibri"/>
                <w:b/>
                <w:bCs/>
                <w:color w:val="000000"/>
                <w:sz w:val="18"/>
                <w:szCs w:val="18"/>
                <w:lang w:val="en-US"/>
              </w:rPr>
              <w:t>9,860,278</w:t>
            </w:r>
          </w:p>
        </w:tc>
        <w:tc>
          <w:tcPr>
            <w:tcW w:w="1134" w:type="dxa"/>
            <w:tcBorders>
              <w:top w:val="nil"/>
              <w:left w:val="nil"/>
              <w:bottom w:val="single" w:sz="4" w:space="0" w:color="auto"/>
              <w:right w:val="single" w:sz="4" w:space="0" w:color="auto"/>
            </w:tcBorders>
            <w:shd w:val="clear" w:color="000000" w:fill="D9D9D9"/>
            <w:noWrap/>
            <w:vAlign w:val="center"/>
            <w:hideMark/>
          </w:tcPr>
          <w:p w14:paraId="5CA0EC57" w14:textId="77777777" w:rsidR="002C5546" w:rsidRPr="002C5546" w:rsidRDefault="002C5546" w:rsidP="002C5546">
            <w:pPr>
              <w:spacing w:before="0" w:after="0" w:line="240" w:lineRule="auto"/>
              <w:jc w:val="right"/>
              <w:rPr>
                <w:rFonts w:eastAsia="Times New Roman" w:cs="Calibri"/>
                <w:b/>
                <w:bCs/>
                <w:color w:val="000000"/>
                <w:sz w:val="18"/>
                <w:szCs w:val="18"/>
                <w:lang w:val="en-US"/>
              </w:rPr>
            </w:pPr>
            <w:r w:rsidRPr="002C5546">
              <w:rPr>
                <w:rFonts w:eastAsia="Times New Roman" w:cs="Calibri"/>
                <w:b/>
                <w:bCs/>
                <w:color w:val="000000"/>
                <w:sz w:val="18"/>
                <w:szCs w:val="18"/>
                <w:lang w:val="en-US"/>
              </w:rPr>
              <w:t>9,999,944</w:t>
            </w:r>
          </w:p>
        </w:tc>
        <w:tc>
          <w:tcPr>
            <w:tcW w:w="992" w:type="dxa"/>
            <w:tcBorders>
              <w:top w:val="nil"/>
              <w:left w:val="nil"/>
              <w:bottom w:val="single" w:sz="4" w:space="0" w:color="auto"/>
              <w:right w:val="single" w:sz="4" w:space="0" w:color="auto"/>
            </w:tcBorders>
            <w:shd w:val="clear" w:color="000000" w:fill="D9D9D9"/>
            <w:vAlign w:val="center"/>
            <w:hideMark/>
          </w:tcPr>
          <w:p w14:paraId="2497B613" w14:textId="77777777" w:rsidR="002C5546" w:rsidRPr="002C5546" w:rsidRDefault="002C5546" w:rsidP="002C5546">
            <w:pPr>
              <w:spacing w:before="0" w:after="0" w:line="240" w:lineRule="auto"/>
              <w:jc w:val="right"/>
              <w:rPr>
                <w:rFonts w:eastAsia="Times New Roman" w:cs="Calibri"/>
                <w:b/>
                <w:bCs/>
                <w:color w:val="000000"/>
                <w:sz w:val="18"/>
                <w:szCs w:val="18"/>
                <w:lang w:val="en-US"/>
              </w:rPr>
            </w:pPr>
            <w:r w:rsidRPr="002C5546">
              <w:rPr>
                <w:rFonts w:eastAsia="Times New Roman" w:cs="Calibri"/>
                <w:b/>
                <w:bCs/>
                <w:color w:val="000000"/>
                <w:sz w:val="18"/>
                <w:szCs w:val="18"/>
                <w:lang w:val="en-US"/>
              </w:rPr>
              <w:t>101.42</w:t>
            </w:r>
          </w:p>
        </w:tc>
        <w:tc>
          <w:tcPr>
            <w:tcW w:w="851" w:type="dxa"/>
            <w:tcBorders>
              <w:top w:val="nil"/>
              <w:left w:val="nil"/>
              <w:bottom w:val="single" w:sz="4" w:space="0" w:color="auto"/>
              <w:right w:val="single" w:sz="4" w:space="0" w:color="auto"/>
            </w:tcBorders>
            <w:shd w:val="clear" w:color="000000" w:fill="D9D9D9"/>
            <w:vAlign w:val="center"/>
            <w:hideMark/>
          </w:tcPr>
          <w:p w14:paraId="6B30C307"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100%</w:t>
            </w:r>
          </w:p>
        </w:tc>
        <w:tc>
          <w:tcPr>
            <w:tcW w:w="850" w:type="dxa"/>
            <w:tcBorders>
              <w:top w:val="nil"/>
              <w:left w:val="nil"/>
              <w:bottom w:val="single" w:sz="4" w:space="0" w:color="auto"/>
              <w:right w:val="single" w:sz="4" w:space="0" w:color="auto"/>
            </w:tcBorders>
            <w:shd w:val="clear" w:color="000000" w:fill="D9D9D9"/>
            <w:vAlign w:val="center"/>
            <w:hideMark/>
          </w:tcPr>
          <w:p w14:paraId="48B6D25D"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100%</w:t>
            </w:r>
          </w:p>
        </w:tc>
        <w:tc>
          <w:tcPr>
            <w:tcW w:w="236" w:type="dxa"/>
            <w:vAlign w:val="center"/>
            <w:hideMark/>
          </w:tcPr>
          <w:p w14:paraId="28B10624" w14:textId="77777777" w:rsidR="002C5546" w:rsidRPr="002C5546" w:rsidRDefault="002C5546" w:rsidP="002C5546">
            <w:pPr>
              <w:spacing w:before="0" w:after="0" w:line="240" w:lineRule="auto"/>
              <w:jc w:val="left"/>
              <w:rPr>
                <w:rFonts w:ascii="Times New Roman" w:eastAsia="Times New Roman" w:hAnsi="Times New Roman" w:cs="Times New Roman"/>
                <w:color w:val="auto"/>
                <w:sz w:val="20"/>
                <w:szCs w:val="20"/>
                <w:lang w:val="en-US"/>
              </w:rPr>
            </w:pPr>
          </w:p>
        </w:tc>
      </w:tr>
      <w:tr w:rsidR="004B562E" w:rsidRPr="002C5546" w14:paraId="19CD824E" w14:textId="77777777" w:rsidTr="00A862D0">
        <w:trPr>
          <w:trHeight w:val="300"/>
        </w:trPr>
        <w:tc>
          <w:tcPr>
            <w:tcW w:w="3047" w:type="dxa"/>
            <w:tcBorders>
              <w:top w:val="nil"/>
              <w:left w:val="single" w:sz="4" w:space="0" w:color="auto"/>
              <w:bottom w:val="single" w:sz="4" w:space="0" w:color="auto"/>
              <w:right w:val="single" w:sz="4" w:space="0" w:color="auto"/>
            </w:tcBorders>
            <w:shd w:val="clear" w:color="auto" w:fill="auto"/>
            <w:vAlign w:val="center"/>
            <w:hideMark/>
          </w:tcPr>
          <w:p w14:paraId="3F37A12E"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mikro</w:t>
            </w:r>
          </w:p>
        </w:tc>
        <w:tc>
          <w:tcPr>
            <w:tcW w:w="1134" w:type="dxa"/>
            <w:tcBorders>
              <w:top w:val="nil"/>
              <w:left w:val="nil"/>
              <w:bottom w:val="single" w:sz="4" w:space="0" w:color="auto"/>
              <w:right w:val="single" w:sz="4" w:space="0" w:color="auto"/>
            </w:tcBorders>
            <w:shd w:val="clear" w:color="auto" w:fill="auto"/>
            <w:vAlign w:val="center"/>
            <w:hideMark/>
          </w:tcPr>
          <w:p w14:paraId="542F393A"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3,861,975</w:t>
            </w:r>
          </w:p>
        </w:tc>
        <w:tc>
          <w:tcPr>
            <w:tcW w:w="1134" w:type="dxa"/>
            <w:tcBorders>
              <w:top w:val="nil"/>
              <w:left w:val="nil"/>
              <w:bottom w:val="single" w:sz="4" w:space="0" w:color="auto"/>
              <w:right w:val="single" w:sz="4" w:space="0" w:color="auto"/>
            </w:tcBorders>
            <w:shd w:val="clear" w:color="auto" w:fill="auto"/>
            <w:noWrap/>
            <w:vAlign w:val="center"/>
            <w:hideMark/>
          </w:tcPr>
          <w:p w14:paraId="32B345E8"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3,985,620</w:t>
            </w:r>
          </w:p>
        </w:tc>
        <w:tc>
          <w:tcPr>
            <w:tcW w:w="1134" w:type="dxa"/>
            <w:tcBorders>
              <w:top w:val="nil"/>
              <w:left w:val="nil"/>
              <w:bottom w:val="single" w:sz="4" w:space="0" w:color="auto"/>
              <w:right w:val="single" w:sz="4" w:space="0" w:color="auto"/>
            </w:tcBorders>
            <w:shd w:val="clear" w:color="auto" w:fill="auto"/>
            <w:noWrap/>
            <w:vAlign w:val="bottom"/>
            <w:hideMark/>
          </w:tcPr>
          <w:p w14:paraId="228D94F9"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4,075,325</w:t>
            </w:r>
          </w:p>
        </w:tc>
        <w:tc>
          <w:tcPr>
            <w:tcW w:w="992" w:type="dxa"/>
            <w:tcBorders>
              <w:top w:val="nil"/>
              <w:left w:val="nil"/>
              <w:bottom w:val="single" w:sz="4" w:space="0" w:color="auto"/>
              <w:right w:val="single" w:sz="4" w:space="0" w:color="auto"/>
            </w:tcBorders>
            <w:shd w:val="clear" w:color="auto" w:fill="auto"/>
            <w:vAlign w:val="center"/>
            <w:hideMark/>
          </w:tcPr>
          <w:p w14:paraId="2C98D712"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102.25</w:t>
            </w:r>
          </w:p>
        </w:tc>
        <w:tc>
          <w:tcPr>
            <w:tcW w:w="851" w:type="dxa"/>
            <w:tcBorders>
              <w:top w:val="nil"/>
              <w:left w:val="nil"/>
              <w:bottom w:val="single" w:sz="4" w:space="0" w:color="auto"/>
              <w:right w:val="single" w:sz="4" w:space="0" w:color="auto"/>
            </w:tcBorders>
            <w:shd w:val="clear" w:color="auto" w:fill="auto"/>
            <w:vAlign w:val="center"/>
            <w:hideMark/>
          </w:tcPr>
          <w:p w14:paraId="7E7F935E"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39.8%</w:t>
            </w:r>
          </w:p>
        </w:tc>
        <w:tc>
          <w:tcPr>
            <w:tcW w:w="850" w:type="dxa"/>
            <w:tcBorders>
              <w:top w:val="nil"/>
              <w:left w:val="nil"/>
              <w:bottom w:val="single" w:sz="4" w:space="0" w:color="auto"/>
              <w:right w:val="single" w:sz="4" w:space="0" w:color="auto"/>
            </w:tcBorders>
            <w:shd w:val="clear" w:color="auto" w:fill="auto"/>
            <w:vAlign w:val="center"/>
            <w:hideMark/>
          </w:tcPr>
          <w:p w14:paraId="7F458870"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40.8%</w:t>
            </w:r>
          </w:p>
        </w:tc>
        <w:tc>
          <w:tcPr>
            <w:tcW w:w="236" w:type="dxa"/>
            <w:vAlign w:val="center"/>
            <w:hideMark/>
          </w:tcPr>
          <w:p w14:paraId="2990244E" w14:textId="77777777" w:rsidR="002C5546" w:rsidRPr="002C5546" w:rsidRDefault="002C5546" w:rsidP="002C5546">
            <w:pPr>
              <w:spacing w:before="0" w:after="0" w:line="240" w:lineRule="auto"/>
              <w:jc w:val="left"/>
              <w:rPr>
                <w:rFonts w:ascii="Times New Roman" w:eastAsia="Times New Roman" w:hAnsi="Times New Roman" w:cs="Times New Roman"/>
                <w:color w:val="auto"/>
                <w:sz w:val="20"/>
                <w:szCs w:val="20"/>
                <w:lang w:val="en-US"/>
              </w:rPr>
            </w:pPr>
          </w:p>
        </w:tc>
      </w:tr>
      <w:tr w:rsidR="004B562E" w:rsidRPr="002C5546" w14:paraId="2FD0C7D2" w14:textId="77777777" w:rsidTr="00A862D0">
        <w:trPr>
          <w:trHeight w:val="300"/>
        </w:trPr>
        <w:tc>
          <w:tcPr>
            <w:tcW w:w="3047" w:type="dxa"/>
            <w:tcBorders>
              <w:top w:val="nil"/>
              <w:left w:val="single" w:sz="4" w:space="0" w:color="auto"/>
              <w:bottom w:val="single" w:sz="4" w:space="0" w:color="auto"/>
              <w:right w:val="single" w:sz="4" w:space="0" w:color="auto"/>
            </w:tcBorders>
            <w:shd w:val="clear" w:color="auto" w:fill="auto"/>
            <w:vAlign w:val="center"/>
            <w:hideMark/>
          </w:tcPr>
          <w:p w14:paraId="7C0CA620"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małych</w:t>
            </w:r>
          </w:p>
        </w:tc>
        <w:tc>
          <w:tcPr>
            <w:tcW w:w="1134" w:type="dxa"/>
            <w:tcBorders>
              <w:top w:val="nil"/>
              <w:left w:val="nil"/>
              <w:bottom w:val="single" w:sz="4" w:space="0" w:color="auto"/>
              <w:right w:val="single" w:sz="4" w:space="0" w:color="auto"/>
            </w:tcBorders>
            <w:shd w:val="clear" w:color="auto" w:fill="auto"/>
            <w:vAlign w:val="center"/>
            <w:hideMark/>
          </w:tcPr>
          <w:p w14:paraId="0C4E17E2"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1,185,069</w:t>
            </w:r>
          </w:p>
        </w:tc>
        <w:tc>
          <w:tcPr>
            <w:tcW w:w="1134" w:type="dxa"/>
            <w:tcBorders>
              <w:top w:val="nil"/>
              <w:left w:val="nil"/>
              <w:bottom w:val="single" w:sz="4" w:space="0" w:color="auto"/>
              <w:right w:val="single" w:sz="4" w:space="0" w:color="auto"/>
            </w:tcBorders>
            <w:shd w:val="clear" w:color="auto" w:fill="auto"/>
            <w:noWrap/>
            <w:vAlign w:val="center"/>
            <w:hideMark/>
          </w:tcPr>
          <w:p w14:paraId="2AF6EF20"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1,135,763</w:t>
            </w:r>
          </w:p>
        </w:tc>
        <w:tc>
          <w:tcPr>
            <w:tcW w:w="1134" w:type="dxa"/>
            <w:tcBorders>
              <w:top w:val="nil"/>
              <w:left w:val="nil"/>
              <w:bottom w:val="single" w:sz="4" w:space="0" w:color="auto"/>
              <w:right w:val="single" w:sz="4" w:space="0" w:color="auto"/>
            </w:tcBorders>
            <w:shd w:val="clear" w:color="auto" w:fill="auto"/>
            <w:noWrap/>
            <w:vAlign w:val="bottom"/>
            <w:hideMark/>
          </w:tcPr>
          <w:p w14:paraId="5E40770A"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1,116,514</w:t>
            </w:r>
          </w:p>
        </w:tc>
        <w:tc>
          <w:tcPr>
            <w:tcW w:w="992" w:type="dxa"/>
            <w:tcBorders>
              <w:top w:val="nil"/>
              <w:left w:val="nil"/>
              <w:bottom w:val="single" w:sz="4" w:space="0" w:color="auto"/>
              <w:right w:val="single" w:sz="4" w:space="0" w:color="auto"/>
            </w:tcBorders>
            <w:shd w:val="clear" w:color="auto" w:fill="auto"/>
            <w:vAlign w:val="center"/>
            <w:hideMark/>
          </w:tcPr>
          <w:p w14:paraId="6A23A15B"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98.31</w:t>
            </w:r>
          </w:p>
        </w:tc>
        <w:tc>
          <w:tcPr>
            <w:tcW w:w="851" w:type="dxa"/>
            <w:tcBorders>
              <w:top w:val="nil"/>
              <w:left w:val="nil"/>
              <w:bottom w:val="single" w:sz="4" w:space="0" w:color="auto"/>
              <w:right w:val="single" w:sz="4" w:space="0" w:color="auto"/>
            </w:tcBorders>
            <w:shd w:val="clear" w:color="auto" w:fill="auto"/>
            <w:vAlign w:val="center"/>
            <w:hideMark/>
          </w:tcPr>
          <w:p w14:paraId="73F22162"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12.2%</w:t>
            </w:r>
          </w:p>
        </w:tc>
        <w:tc>
          <w:tcPr>
            <w:tcW w:w="850" w:type="dxa"/>
            <w:tcBorders>
              <w:top w:val="nil"/>
              <w:left w:val="nil"/>
              <w:bottom w:val="single" w:sz="4" w:space="0" w:color="auto"/>
              <w:right w:val="single" w:sz="4" w:space="0" w:color="auto"/>
            </w:tcBorders>
            <w:shd w:val="clear" w:color="auto" w:fill="auto"/>
            <w:vAlign w:val="center"/>
            <w:hideMark/>
          </w:tcPr>
          <w:p w14:paraId="2AF79A13"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11.2%</w:t>
            </w:r>
          </w:p>
        </w:tc>
        <w:tc>
          <w:tcPr>
            <w:tcW w:w="236" w:type="dxa"/>
            <w:vAlign w:val="center"/>
            <w:hideMark/>
          </w:tcPr>
          <w:p w14:paraId="77DE8CE9" w14:textId="77777777" w:rsidR="002C5546" w:rsidRPr="002C5546" w:rsidRDefault="002C5546" w:rsidP="002C5546">
            <w:pPr>
              <w:spacing w:before="0" w:after="0" w:line="240" w:lineRule="auto"/>
              <w:jc w:val="left"/>
              <w:rPr>
                <w:rFonts w:ascii="Times New Roman" w:eastAsia="Times New Roman" w:hAnsi="Times New Roman" w:cs="Times New Roman"/>
                <w:color w:val="auto"/>
                <w:sz w:val="20"/>
                <w:szCs w:val="20"/>
                <w:lang w:val="en-US"/>
              </w:rPr>
            </w:pPr>
          </w:p>
        </w:tc>
      </w:tr>
      <w:tr w:rsidR="004B562E" w:rsidRPr="002C5546" w14:paraId="448906FE" w14:textId="77777777" w:rsidTr="00A862D0">
        <w:trPr>
          <w:trHeight w:val="300"/>
        </w:trPr>
        <w:tc>
          <w:tcPr>
            <w:tcW w:w="3047" w:type="dxa"/>
            <w:tcBorders>
              <w:top w:val="nil"/>
              <w:left w:val="single" w:sz="4" w:space="0" w:color="auto"/>
              <w:bottom w:val="single" w:sz="4" w:space="0" w:color="auto"/>
              <w:right w:val="single" w:sz="4" w:space="0" w:color="auto"/>
            </w:tcBorders>
            <w:shd w:val="clear" w:color="auto" w:fill="auto"/>
            <w:vAlign w:val="center"/>
            <w:hideMark/>
          </w:tcPr>
          <w:p w14:paraId="778EA2D2"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średnich</w:t>
            </w:r>
          </w:p>
        </w:tc>
        <w:tc>
          <w:tcPr>
            <w:tcW w:w="1134" w:type="dxa"/>
            <w:tcBorders>
              <w:top w:val="nil"/>
              <w:left w:val="nil"/>
              <w:bottom w:val="single" w:sz="4" w:space="0" w:color="auto"/>
              <w:right w:val="single" w:sz="4" w:space="0" w:color="auto"/>
            </w:tcBorders>
            <w:shd w:val="clear" w:color="auto" w:fill="auto"/>
            <w:vAlign w:val="center"/>
            <w:hideMark/>
          </w:tcPr>
          <w:p w14:paraId="360942D5"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1,615,484</w:t>
            </w:r>
          </w:p>
        </w:tc>
        <w:tc>
          <w:tcPr>
            <w:tcW w:w="1134" w:type="dxa"/>
            <w:tcBorders>
              <w:top w:val="nil"/>
              <w:left w:val="nil"/>
              <w:bottom w:val="single" w:sz="4" w:space="0" w:color="auto"/>
              <w:right w:val="single" w:sz="4" w:space="0" w:color="auto"/>
            </w:tcBorders>
            <w:shd w:val="clear" w:color="auto" w:fill="auto"/>
            <w:noWrap/>
            <w:vAlign w:val="center"/>
            <w:hideMark/>
          </w:tcPr>
          <w:p w14:paraId="1C55B8A0"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1,614,098</w:t>
            </w:r>
          </w:p>
        </w:tc>
        <w:tc>
          <w:tcPr>
            <w:tcW w:w="1134" w:type="dxa"/>
            <w:tcBorders>
              <w:top w:val="nil"/>
              <w:left w:val="nil"/>
              <w:bottom w:val="single" w:sz="4" w:space="0" w:color="auto"/>
              <w:right w:val="single" w:sz="4" w:space="0" w:color="auto"/>
            </w:tcBorders>
            <w:shd w:val="clear" w:color="auto" w:fill="auto"/>
            <w:noWrap/>
            <w:vAlign w:val="bottom"/>
            <w:hideMark/>
          </w:tcPr>
          <w:p w14:paraId="1F98A466"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1,612,608</w:t>
            </w:r>
          </w:p>
        </w:tc>
        <w:tc>
          <w:tcPr>
            <w:tcW w:w="992" w:type="dxa"/>
            <w:tcBorders>
              <w:top w:val="nil"/>
              <w:left w:val="nil"/>
              <w:bottom w:val="single" w:sz="4" w:space="0" w:color="auto"/>
              <w:right w:val="single" w:sz="4" w:space="0" w:color="auto"/>
            </w:tcBorders>
            <w:shd w:val="clear" w:color="auto" w:fill="auto"/>
            <w:vAlign w:val="center"/>
            <w:hideMark/>
          </w:tcPr>
          <w:p w14:paraId="3DE7A177"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99.91</w:t>
            </w:r>
          </w:p>
        </w:tc>
        <w:tc>
          <w:tcPr>
            <w:tcW w:w="851" w:type="dxa"/>
            <w:tcBorders>
              <w:top w:val="nil"/>
              <w:left w:val="nil"/>
              <w:bottom w:val="single" w:sz="4" w:space="0" w:color="auto"/>
              <w:right w:val="single" w:sz="4" w:space="0" w:color="auto"/>
            </w:tcBorders>
            <w:shd w:val="clear" w:color="auto" w:fill="auto"/>
            <w:vAlign w:val="center"/>
            <w:hideMark/>
          </w:tcPr>
          <w:p w14:paraId="7A2A25D9"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16.7%</w:t>
            </w:r>
          </w:p>
        </w:tc>
        <w:tc>
          <w:tcPr>
            <w:tcW w:w="850" w:type="dxa"/>
            <w:tcBorders>
              <w:top w:val="nil"/>
              <w:left w:val="nil"/>
              <w:bottom w:val="single" w:sz="4" w:space="0" w:color="auto"/>
              <w:right w:val="single" w:sz="4" w:space="0" w:color="auto"/>
            </w:tcBorders>
            <w:shd w:val="clear" w:color="auto" w:fill="auto"/>
            <w:vAlign w:val="center"/>
            <w:hideMark/>
          </w:tcPr>
          <w:p w14:paraId="3DFAEAF2"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16.1%</w:t>
            </w:r>
          </w:p>
        </w:tc>
        <w:tc>
          <w:tcPr>
            <w:tcW w:w="236" w:type="dxa"/>
            <w:vAlign w:val="center"/>
            <w:hideMark/>
          </w:tcPr>
          <w:p w14:paraId="5E141C28" w14:textId="77777777" w:rsidR="002C5546" w:rsidRPr="002C5546" w:rsidRDefault="002C5546" w:rsidP="002C5546">
            <w:pPr>
              <w:spacing w:before="0" w:after="0" w:line="240" w:lineRule="auto"/>
              <w:jc w:val="left"/>
              <w:rPr>
                <w:rFonts w:ascii="Times New Roman" w:eastAsia="Times New Roman" w:hAnsi="Times New Roman" w:cs="Times New Roman"/>
                <w:color w:val="auto"/>
                <w:sz w:val="20"/>
                <w:szCs w:val="20"/>
                <w:lang w:val="en-US"/>
              </w:rPr>
            </w:pPr>
          </w:p>
        </w:tc>
      </w:tr>
      <w:tr w:rsidR="004B562E" w:rsidRPr="002C5546" w14:paraId="3BAF6072" w14:textId="77777777" w:rsidTr="00A862D0">
        <w:trPr>
          <w:trHeight w:val="300"/>
        </w:trPr>
        <w:tc>
          <w:tcPr>
            <w:tcW w:w="3047" w:type="dxa"/>
            <w:tcBorders>
              <w:top w:val="nil"/>
              <w:left w:val="single" w:sz="4" w:space="0" w:color="auto"/>
              <w:bottom w:val="single" w:sz="4" w:space="0" w:color="auto"/>
              <w:right w:val="single" w:sz="4" w:space="0" w:color="auto"/>
            </w:tcBorders>
            <w:shd w:val="clear" w:color="auto" w:fill="auto"/>
            <w:vAlign w:val="center"/>
            <w:hideMark/>
          </w:tcPr>
          <w:p w14:paraId="57DE1DA8"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dużych</w:t>
            </w:r>
          </w:p>
        </w:tc>
        <w:tc>
          <w:tcPr>
            <w:tcW w:w="1134" w:type="dxa"/>
            <w:tcBorders>
              <w:top w:val="nil"/>
              <w:left w:val="nil"/>
              <w:bottom w:val="single" w:sz="4" w:space="0" w:color="auto"/>
              <w:right w:val="single" w:sz="4" w:space="0" w:color="auto"/>
            </w:tcBorders>
            <w:shd w:val="clear" w:color="auto" w:fill="auto"/>
            <w:vAlign w:val="center"/>
            <w:hideMark/>
          </w:tcPr>
          <w:p w14:paraId="7F2498A2"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3,029,640</w:t>
            </w:r>
          </w:p>
        </w:tc>
        <w:tc>
          <w:tcPr>
            <w:tcW w:w="1134" w:type="dxa"/>
            <w:tcBorders>
              <w:top w:val="nil"/>
              <w:left w:val="nil"/>
              <w:bottom w:val="single" w:sz="4" w:space="0" w:color="auto"/>
              <w:right w:val="single" w:sz="4" w:space="0" w:color="auto"/>
            </w:tcBorders>
            <w:shd w:val="clear" w:color="auto" w:fill="auto"/>
            <w:noWrap/>
            <w:vAlign w:val="center"/>
            <w:hideMark/>
          </w:tcPr>
          <w:p w14:paraId="3A00808E"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3,124,797</w:t>
            </w:r>
          </w:p>
        </w:tc>
        <w:tc>
          <w:tcPr>
            <w:tcW w:w="1134" w:type="dxa"/>
            <w:tcBorders>
              <w:top w:val="nil"/>
              <w:left w:val="nil"/>
              <w:bottom w:val="single" w:sz="4" w:space="0" w:color="auto"/>
              <w:right w:val="single" w:sz="4" w:space="0" w:color="auto"/>
            </w:tcBorders>
            <w:shd w:val="clear" w:color="auto" w:fill="auto"/>
            <w:noWrap/>
            <w:vAlign w:val="bottom"/>
            <w:hideMark/>
          </w:tcPr>
          <w:p w14:paraId="40508B3F"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3,195,497</w:t>
            </w:r>
          </w:p>
        </w:tc>
        <w:tc>
          <w:tcPr>
            <w:tcW w:w="992" w:type="dxa"/>
            <w:tcBorders>
              <w:top w:val="nil"/>
              <w:left w:val="nil"/>
              <w:bottom w:val="single" w:sz="4" w:space="0" w:color="auto"/>
              <w:right w:val="single" w:sz="4" w:space="0" w:color="auto"/>
            </w:tcBorders>
            <w:shd w:val="clear" w:color="auto" w:fill="auto"/>
            <w:vAlign w:val="center"/>
            <w:hideMark/>
          </w:tcPr>
          <w:p w14:paraId="6CFACA8C"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102.26</w:t>
            </w:r>
          </w:p>
        </w:tc>
        <w:tc>
          <w:tcPr>
            <w:tcW w:w="851" w:type="dxa"/>
            <w:tcBorders>
              <w:top w:val="nil"/>
              <w:left w:val="nil"/>
              <w:bottom w:val="single" w:sz="4" w:space="0" w:color="auto"/>
              <w:right w:val="single" w:sz="4" w:space="0" w:color="auto"/>
            </w:tcBorders>
            <w:shd w:val="clear" w:color="auto" w:fill="auto"/>
            <w:vAlign w:val="center"/>
            <w:hideMark/>
          </w:tcPr>
          <w:p w14:paraId="6C3954D1"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31.3%</w:t>
            </w:r>
          </w:p>
        </w:tc>
        <w:tc>
          <w:tcPr>
            <w:tcW w:w="850" w:type="dxa"/>
            <w:tcBorders>
              <w:top w:val="nil"/>
              <w:left w:val="nil"/>
              <w:bottom w:val="single" w:sz="4" w:space="0" w:color="auto"/>
              <w:right w:val="single" w:sz="4" w:space="0" w:color="auto"/>
            </w:tcBorders>
            <w:shd w:val="clear" w:color="auto" w:fill="auto"/>
            <w:vAlign w:val="center"/>
            <w:hideMark/>
          </w:tcPr>
          <w:p w14:paraId="6E77CEC8"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32.0%</w:t>
            </w:r>
          </w:p>
        </w:tc>
        <w:tc>
          <w:tcPr>
            <w:tcW w:w="236" w:type="dxa"/>
            <w:vAlign w:val="center"/>
            <w:hideMark/>
          </w:tcPr>
          <w:p w14:paraId="0544CE6A" w14:textId="77777777" w:rsidR="002C5546" w:rsidRPr="002C5546" w:rsidRDefault="002C5546" w:rsidP="002C5546">
            <w:pPr>
              <w:spacing w:before="0" w:after="0" w:line="240" w:lineRule="auto"/>
              <w:jc w:val="left"/>
              <w:rPr>
                <w:rFonts w:ascii="Times New Roman" w:eastAsia="Times New Roman" w:hAnsi="Times New Roman" w:cs="Times New Roman"/>
                <w:color w:val="auto"/>
                <w:sz w:val="20"/>
                <w:szCs w:val="20"/>
                <w:lang w:val="en-US"/>
              </w:rPr>
            </w:pPr>
          </w:p>
        </w:tc>
      </w:tr>
      <w:tr w:rsidR="004B562E" w:rsidRPr="002C5546" w14:paraId="257EAD83" w14:textId="77777777" w:rsidTr="00A862D0">
        <w:trPr>
          <w:trHeight w:val="540"/>
        </w:trPr>
        <w:tc>
          <w:tcPr>
            <w:tcW w:w="3047" w:type="dxa"/>
            <w:tcBorders>
              <w:top w:val="nil"/>
              <w:left w:val="single" w:sz="4" w:space="0" w:color="auto"/>
              <w:bottom w:val="single" w:sz="4" w:space="0" w:color="auto"/>
              <w:right w:val="single" w:sz="4" w:space="0" w:color="auto"/>
            </w:tcBorders>
            <w:shd w:val="clear" w:color="auto" w:fill="auto"/>
            <w:vAlign w:val="center"/>
            <w:hideMark/>
          </w:tcPr>
          <w:p w14:paraId="5213C822" w14:textId="77777777" w:rsidR="002C5546" w:rsidRPr="002C5546" w:rsidRDefault="002C5546" w:rsidP="002C5546">
            <w:pPr>
              <w:spacing w:before="0" w:after="0" w:line="240" w:lineRule="auto"/>
              <w:rPr>
                <w:rFonts w:eastAsia="Times New Roman" w:cs="Calibri"/>
                <w:i/>
                <w:iCs/>
                <w:color w:val="000000"/>
                <w:sz w:val="18"/>
                <w:szCs w:val="18"/>
                <w:lang w:val="en-US"/>
              </w:rPr>
            </w:pPr>
            <w:r w:rsidRPr="002C5546">
              <w:rPr>
                <w:rFonts w:eastAsia="Times New Roman" w:cs="Calibri"/>
                <w:i/>
                <w:iCs/>
                <w:color w:val="000000"/>
                <w:sz w:val="18"/>
                <w:szCs w:val="18"/>
                <w:lang w:val="en-US"/>
              </w:rPr>
              <w:t>w sektorze MŚP</w:t>
            </w:r>
          </w:p>
        </w:tc>
        <w:tc>
          <w:tcPr>
            <w:tcW w:w="1134" w:type="dxa"/>
            <w:tcBorders>
              <w:top w:val="nil"/>
              <w:left w:val="nil"/>
              <w:bottom w:val="single" w:sz="4" w:space="0" w:color="auto"/>
              <w:right w:val="single" w:sz="4" w:space="0" w:color="auto"/>
            </w:tcBorders>
            <w:shd w:val="clear" w:color="auto" w:fill="auto"/>
            <w:vAlign w:val="center"/>
            <w:hideMark/>
          </w:tcPr>
          <w:p w14:paraId="5BF1AE92"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6,662,528</w:t>
            </w:r>
          </w:p>
        </w:tc>
        <w:tc>
          <w:tcPr>
            <w:tcW w:w="1134" w:type="dxa"/>
            <w:tcBorders>
              <w:top w:val="nil"/>
              <w:left w:val="nil"/>
              <w:bottom w:val="single" w:sz="4" w:space="0" w:color="auto"/>
              <w:right w:val="single" w:sz="4" w:space="0" w:color="auto"/>
            </w:tcBorders>
            <w:shd w:val="clear" w:color="auto" w:fill="auto"/>
            <w:vAlign w:val="center"/>
            <w:hideMark/>
          </w:tcPr>
          <w:p w14:paraId="61C2F84B"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6,735,481</w:t>
            </w:r>
          </w:p>
        </w:tc>
        <w:tc>
          <w:tcPr>
            <w:tcW w:w="1134" w:type="dxa"/>
            <w:tcBorders>
              <w:top w:val="nil"/>
              <w:left w:val="nil"/>
              <w:bottom w:val="single" w:sz="4" w:space="0" w:color="auto"/>
              <w:right w:val="single" w:sz="4" w:space="0" w:color="auto"/>
            </w:tcBorders>
            <w:shd w:val="clear" w:color="auto" w:fill="auto"/>
            <w:vAlign w:val="center"/>
            <w:hideMark/>
          </w:tcPr>
          <w:p w14:paraId="0FBC4C9C"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6,804,447</w:t>
            </w:r>
          </w:p>
        </w:tc>
        <w:tc>
          <w:tcPr>
            <w:tcW w:w="992" w:type="dxa"/>
            <w:tcBorders>
              <w:top w:val="nil"/>
              <w:left w:val="nil"/>
              <w:bottom w:val="single" w:sz="4" w:space="0" w:color="auto"/>
              <w:right w:val="single" w:sz="4" w:space="0" w:color="auto"/>
            </w:tcBorders>
            <w:shd w:val="clear" w:color="auto" w:fill="auto"/>
            <w:vAlign w:val="center"/>
            <w:hideMark/>
          </w:tcPr>
          <w:p w14:paraId="45D3BDB6"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101.02</w:t>
            </w:r>
          </w:p>
        </w:tc>
        <w:tc>
          <w:tcPr>
            <w:tcW w:w="851" w:type="dxa"/>
            <w:tcBorders>
              <w:top w:val="nil"/>
              <w:left w:val="nil"/>
              <w:bottom w:val="single" w:sz="4" w:space="0" w:color="auto"/>
              <w:right w:val="single" w:sz="4" w:space="0" w:color="auto"/>
            </w:tcBorders>
            <w:shd w:val="clear" w:color="auto" w:fill="auto"/>
            <w:vAlign w:val="center"/>
            <w:hideMark/>
          </w:tcPr>
          <w:p w14:paraId="6721BC11"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68.7%</w:t>
            </w:r>
          </w:p>
        </w:tc>
        <w:tc>
          <w:tcPr>
            <w:tcW w:w="850" w:type="dxa"/>
            <w:tcBorders>
              <w:top w:val="nil"/>
              <w:left w:val="nil"/>
              <w:bottom w:val="single" w:sz="4" w:space="0" w:color="auto"/>
              <w:right w:val="single" w:sz="4" w:space="0" w:color="auto"/>
            </w:tcBorders>
            <w:shd w:val="clear" w:color="auto" w:fill="auto"/>
            <w:vAlign w:val="center"/>
            <w:hideMark/>
          </w:tcPr>
          <w:p w14:paraId="1438C6EC"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68.0%</w:t>
            </w:r>
          </w:p>
        </w:tc>
        <w:tc>
          <w:tcPr>
            <w:tcW w:w="236" w:type="dxa"/>
            <w:vAlign w:val="center"/>
            <w:hideMark/>
          </w:tcPr>
          <w:p w14:paraId="6134110B" w14:textId="77777777" w:rsidR="002C5546" w:rsidRPr="002C5546" w:rsidRDefault="002C5546" w:rsidP="002C5546">
            <w:pPr>
              <w:spacing w:before="0" w:after="0" w:line="240" w:lineRule="auto"/>
              <w:jc w:val="left"/>
              <w:rPr>
                <w:rFonts w:ascii="Times New Roman" w:eastAsia="Times New Roman" w:hAnsi="Times New Roman" w:cs="Times New Roman"/>
                <w:color w:val="auto"/>
                <w:sz w:val="20"/>
                <w:szCs w:val="20"/>
                <w:lang w:val="en-US"/>
              </w:rPr>
            </w:pPr>
          </w:p>
        </w:tc>
      </w:tr>
      <w:tr w:rsidR="004B562E" w:rsidRPr="002C5546" w14:paraId="0690CD3B" w14:textId="77777777" w:rsidTr="00A862D0">
        <w:trPr>
          <w:trHeight w:val="1350"/>
        </w:trPr>
        <w:tc>
          <w:tcPr>
            <w:tcW w:w="3047" w:type="dxa"/>
            <w:tcBorders>
              <w:top w:val="nil"/>
              <w:left w:val="single" w:sz="4" w:space="0" w:color="auto"/>
              <w:bottom w:val="single" w:sz="4" w:space="0" w:color="auto"/>
              <w:right w:val="single" w:sz="4" w:space="0" w:color="auto"/>
            </w:tcBorders>
            <w:shd w:val="clear" w:color="000000" w:fill="D9D9D9"/>
            <w:vAlign w:val="center"/>
            <w:hideMark/>
          </w:tcPr>
          <w:p w14:paraId="07D33E41" w14:textId="3DA9E8FE" w:rsidR="002C5546" w:rsidRPr="00A862D0" w:rsidRDefault="002C5546" w:rsidP="002C5546">
            <w:pPr>
              <w:spacing w:before="0" w:after="0" w:line="240" w:lineRule="auto"/>
              <w:rPr>
                <w:rFonts w:eastAsia="Times New Roman" w:cs="Calibri"/>
                <w:b/>
                <w:bCs/>
                <w:color w:val="000000"/>
                <w:sz w:val="18"/>
                <w:szCs w:val="18"/>
              </w:rPr>
            </w:pPr>
            <w:r w:rsidRPr="00A862D0">
              <w:rPr>
                <w:rFonts w:eastAsia="Times New Roman" w:cs="Calibri"/>
                <w:b/>
                <w:bCs/>
                <w:color w:val="000000"/>
                <w:sz w:val="18"/>
                <w:szCs w:val="18"/>
              </w:rPr>
              <w:t>Przychody</w:t>
            </w:r>
            <w:r w:rsidRPr="00A862D0">
              <w:rPr>
                <w:rFonts w:eastAsia="Times New Roman" w:cs="Calibri"/>
                <w:color w:val="000000"/>
                <w:sz w:val="18"/>
                <w:szCs w:val="18"/>
              </w:rPr>
              <w:t xml:space="preserve"> (w mln zł) ogółem,</w:t>
            </w:r>
            <w:r w:rsidR="006343E1">
              <w:rPr>
                <w:rFonts w:eastAsia="Times New Roman" w:cs="Calibri"/>
                <w:color w:val="000000"/>
                <w:sz w:val="18"/>
                <w:szCs w:val="18"/>
              </w:rPr>
              <w:t xml:space="preserve"> </w:t>
            </w:r>
            <w:r w:rsidR="006343E1" w:rsidRPr="00A862D0">
              <w:rPr>
                <w:rFonts w:eastAsia="Times New Roman" w:cs="Calibri"/>
                <w:color w:val="000000"/>
                <w:sz w:val="18"/>
                <w:szCs w:val="18"/>
              </w:rPr>
              <w:t>w</w:t>
            </w:r>
            <w:r w:rsidR="006343E1">
              <w:rPr>
                <w:rFonts w:eastAsia="Times New Roman" w:cs="Calibri"/>
                <w:color w:val="000000"/>
                <w:sz w:val="18"/>
                <w:szCs w:val="18"/>
              </w:rPr>
              <w:t> </w:t>
            </w:r>
            <w:r w:rsidRPr="00A862D0">
              <w:rPr>
                <w:rFonts w:eastAsia="Times New Roman" w:cs="Calibri"/>
                <w:color w:val="000000"/>
                <w:sz w:val="18"/>
                <w:szCs w:val="18"/>
              </w:rPr>
              <w:t>tym</w:t>
            </w:r>
            <w:r w:rsidR="006343E1">
              <w:rPr>
                <w:rFonts w:eastAsia="Times New Roman" w:cs="Calibri"/>
                <w:color w:val="000000"/>
                <w:sz w:val="18"/>
                <w:szCs w:val="18"/>
              </w:rPr>
              <w:t xml:space="preserve"> </w:t>
            </w:r>
            <w:r w:rsidR="006343E1" w:rsidRPr="00A862D0">
              <w:rPr>
                <w:rFonts w:eastAsia="Times New Roman" w:cs="Calibri"/>
                <w:color w:val="000000"/>
                <w:sz w:val="18"/>
                <w:szCs w:val="18"/>
              </w:rPr>
              <w:t>w</w:t>
            </w:r>
            <w:r w:rsidR="006343E1">
              <w:rPr>
                <w:rFonts w:eastAsia="Times New Roman" w:cs="Calibri"/>
                <w:color w:val="000000"/>
                <w:sz w:val="18"/>
                <w:szCs w:val="18"/>
              </w:rPr>
              <w:t> </w:t>
            </w:r>
            <w:r w:rsidRPr="00A862D0">
              <w:rPr>
                <w:rFonts w:eastAsia="Times New Roman" w:cs="Calibri"/>
                <w:color w:val="000000"/>
                <w:sz w:val="18"/>
                <w:szCs w:val="18"/>
              </w:rPr>
              <w:t>firmach:</w:t>
            </w:r>
          </w:p>
        </w:tc>
        <w:tc>
          <w:tcPr>
            <w:tcW w:w="1134" w:type="dxa"/>
            <w:tcBorders>
              <w:top w:val="nil"/>
              <w:left w:val="nil"/>
              <w:bottom w:val="single" w:sz="4" w:space="0" w:color="auto"/>
              <w:right w:val="single" w:sz="4" w:space="0" w:color="auto"/>
            </w:tcBorders>
            <w:shd w:val="clear" w:color="000000" w:fill="D9D9D9"/>
            <w:vAlign w:val="center"/>
            <w:hideMark/>
          </w:tcPr>
          <w:p w14:paraId="4E07F7EA" w14:textId="77777777" w:rsidR="002C5546" w:rsidRPr="002C5546" w:rsidRDefault="002C5546" w:rsidP="002C5546">
            <w:pPr>
              <w:spacing w:before="0" w:after="0" w:line="240" w:lineRule="auto"/>
              <w:jc w:val="right"/>
              <w:rPr>
                <w:rFonts w:eastAsia="Times New Roman" w:cs="Calibri"/>
                <w:b/>
                <w:bCs/>
                <w:color w:val="000000"/>
                <w:sz w:val="18"/>
                <w:szCs w:val="18"/>
                <w:lang w:val="en-US"/>
              </w:rPr>
            </w:pPr>
            <w:r w:rsidRPr="002C5546">
              <w:rPr>
                <w:rFonts w:eastAsia="Times New Roman" w:cs="Calibri"/>
                <w:b/>
                <w:bCs/>
                <w:color w:val="000000"/>
                <w:sz w:val="18"/>
                <w:szCs w:val="18"/>
                <w:lang w:val="en-US"/>
              </w:rPr>
              <w:t>4,227,390</w:t>
            </w:r>
          </w:p>
        </w:tc>
        <w:tc>
          <w:tcPr>
            <w:tcW w:w="1134" w:type="dxa"/>
            <w:tcBorders>
              <w:top w:val="nil"/>
              <w:left w:val="nil"/>
              <w:bottom w:val="single" w:sz="4" w:space="0" w:color="auto"/>
              <w:right w:val="single" w:sz="4" w:space="0" w:color="auto"/>
            </w:tcBorders>
            <w:shd w:val="clear" w:color="000000" w:fill="D9D9D9"/>
            <w:noWrap/>
            <w:vAlign w:val="center"/>
            <w:hideMark/>
          </w:tcPr>
          <w:p w14:paraId="22BE9D9B" w14:textId="77777777" w:rsidR="002C5546" w:rsidRPr="002C5546" w:rsidRDefault="002C5546" w:rsidP="002C5546">
            <w:pPr>
              <w:spacing w:before="0" w:after="0" w:line="240" w:lineRule="auto"/>
              <w:jc w:val="right"/>
              <w:rPr>
                <w:rFonts w:eastAsia="Times New Roman" w:cs="Calibri"/>
                <w:b/>
                <w:bCs/>
                <w:color w:val="000000"/>
                <w:sz w:val="18"/>
                <w:szCs w:val="18"/>
                <w:lang w:val="en-US"/>
              </w:rPr>
            </w:pPr>
            <w:r w:rsidRPr="002C5546">
              <w:rPr>
                <w:rFonts w:eastAsia="Times New Roman" w:cs="Calibri"/>
                <w:b/>
                <w:bCs/>
                <w:color w:val="000000"/>
                <w:sz w:val="18"/>
                <w:szCs w:val="18"/>
                <w:lang w:val="en-US"/>
              </w:rPr>
              <w:t>4,572,742</w:t>
            </w:r>
          </w:p>
        </w:tc>
        <w:tc>
          <w:tcPr>
            <w:tcW w:w="1134" w:type="dxa"/>
            <w:tcBorders>
              <w:top w:val="nil"/>
              <w:left w:val="nil"/>
              <w:bottom w:val="single" w:sz="4" w:space="0" w:color="auto"/>
              <w:right w:val="single" w:sz="4" w:space="0" w:color="auto"/>
            </w:tcBorders>
            <w:shd w:val="clear" w:color="000000" w:fill="D9D9D9"/>
            <w:noWrap/>
            <w:vAlign w:val="center"/>
            <w:hideMark/>
          </w:tcPr>
          <w:p w14:paraId="05B115BC" w14:textId="77777777" w:rsidR="002C5546" w:rsidRPr="002C5546" w:rsidRDefault="002C5546" w:rsidP="002C5546">
            <w:pPr>
              <w:spacing w:before="0" w:after="0" w:line="240" w:lineRule="auto"/>
              <w:jc w:val="right"/>
              <w:rPr>
                <w:rFonts w:eastAsia="Times New Roman" w:cs="Calibri"/>
                <w:b/>
                <w:bCs/>
                <w:color w:val="000000"/>
                <w:sz w:val="18"/>
                <w:szCs w:val="18"/>
                <w:lang w:val="en-US"/>
              </w:rPr>
            </w:pPr>
            <w:r w:rsidRPr="002C5546">
              <w:rPr>
                <w:rFonts w:eastAsia="Times New Roman" w:cs="Calibri"/>
                <w:b/>
                <w:bCs/>
                <w:color w:val="000000"/>
                <w:sz w:val="18"/>
                <w:szCs w:val="18"/>
                <w:lang w:val="en-US"/>
              </w:rPr>
              <w:t>4,955,737</w:t>
            </w:r>
          </w:p>
        </w:tc>
        <w:tc>
          <w:tcPr>
            <w:tcW w:w="992" w:type="dxa"/>
            <w:tcBorders>
              <w:top w:val="nil"/>
              <w:left w:val="nil"/>
              <w:bottom w:val="single" w:sz="4" w:space="0" w:color="auto"/>
              <w:right w:val="single" w:sz="4" w:space="0" w:color="auto"/>
            </w:tcBorders>
            <w:shd w:val="clear" w:color="000000" w:fill="D9D9D9"/>
            <w:vAlign w:val="center"/>
            <w:hideMark/>
          </w:tcPr>
          <w:p w14:paraId="759B7947" w14:textId="77777777" w:rsidR="002C5546" w:rsidRPr="002C5546" w:rsidRDefault="002C5546" w:rsidP="002C5546">
            <w:pPr>
              <w:spacing w:before="0" w:after="0" w:line="240" w:lineRule="auto"/>
              <w:jc w:val="right"/>
              <w:rPr>
                <w:rFonts w:eastAsia="Times New Roman" w:cs="Calibri"/>
                <w:b/>
                <w:bCs/>
                <w:color w:val="000000"/>
                <w:sz w:val="18"/>
                <w:szCs w:val="18"/>
                <w:lang w:val="en-US"/>
              </w:rPr>
            </w:pPr>
            <w:r w:rsidRPr="002C5546">
              <w:rPr>
                <w:rFonts w:eastAsia="Times New Roman" w:cs="Calibri"/>
                <w:b/>
                <w:bCs/>
                <w:color w:val="000000"/>
                <w:sz w:val="18"/>
                <w:szCs w:val="18"/>
                <w:lang w:val="en-US"/>
              </w:rPr>
              <w:t>108.38</w:t>
            </w:r>
          </w:p>
        </w:tc>
        <w:tc>
          <w:tcPr>
            <w:tcW w:w="851" w:type="dxa"/>
            <w:tcBorders>
              <w:top w:val="nil"/>
              <w:left w:val="nil"/>
              <w:bottom w:val="single" w:sz="4" w:space="0" w:color="auto"/>
              <w:right w:val="single" w:sz="4" w:space="0" w:color="auto"/>
            </w:tcBorders>
            <w:shd w:val="clear" w:color="000000" w:fill="D9D9D9"/>
            <w:vAlign w:val="center"/>
            <w:hideMark/>
          </w:tcPr>
          <w:p w14:paraId="68888A88"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100%</w:t>
            </w:r>
          </w:p>
        </w:tc>
        <w:tc>
          <w:tcPr>
            <w:tcW w:w="850" w:type="dxa"/>
            <w:tcBorders>
              <w:top w:val="nil"/>
              <w:left w:val="nil"/>
              <w:bottom w:val="single" w:sz="4" w:space="0" w:color="auto"/>
              <w:right w:val="single" w:sz="4" w:space="0" w:color="auto"/>
            </w:tcBorders>
            <w:shd w:val="clear" w:color="000000" w:fill="D9D9D9"/>
            <w:vAlign w:val="center"/>
            <w:hideMark/>
          </w:tcPr>
          <w:p w14:paraId="5937796B"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100%</w:t>
            </w:r>
          </w:p>
        </w:tc>
        <w:tc>
          <w:tcPr>
            <w:tcW w:w="236" w:type="dxa"/>
            <w:vAlign w:val="center"/>
            <w:hideMark/>
          </w:tcPr>
          <w:p w14:paraId="4039DAEF" w14:textId="77777777" w:rsidR="002C5546" w:rsidRPr="002C5546" w:rsidRDefault="002C5546" w:rsidP="002C5546">
            <w:pPr>
              <w:spacing w:before="0" w:after="0" w:line="240" w:lineRule="auto"/>
              <w:jc w:val="left"/>
              <w:rPr>
                <w:rFonts w:ascii="Times New Roman" w:eastAsia="Times New Roman" w:hAnsi="Times New Roman" w:cs="Times New Roman"/>
                <w:color w:val="auto"/>
                <w:sz w:val="20"/>
                <w:szCs w:val="20"/>
                <w:lang w:val="en-US"/>
              </w:rPr>
            </w:pPr>
          </w:p>
        </w:tc>
      </w:tr>
      <w:tr w:rsidR="004B562E" w:rsidRPr="002C5546" w14:paraId="5AE339E7" w14:textId="77777777" w:rsidTr="00A862D0">
        <w:trPr>
          <w:trHeight w:val="300"/>
        </w:trPr>
        <w:tc>
          <w:tcPr>
            <w:tcW w:w="3047" w:type="dxa"/>
            <w:tcBorders>
              <w:top w:val="nil"/>
              <w:left w:val="single" w:sz="4" w:space="0" w:color="auto"/>
              <w:bottom w:val="single" w:sz="4" w:space="0" w:color="auto"/>
              <w:right w:val="single" w:sz="4" w:space="0" w:color="auto"/>
            </w:tcBorders>
            <w:shd w:val="clear" w:color="auto" w:fill="auto"/>
            <w:vAlign w:val="center"/>
            <w:hideMark/>
          </w:tcPr>
          <w:p w14:paraId="7C1E1211"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mikro</w:t>
            </w:r>
          </w:p>
        </w:tc>
        <w:tc>
          <w:tcPr>
            <w:tcW w:w="1134" w:type="dxa"/>
            <w:tcBorders>
              <w:top w:val="nil"/>
              <w:left w:val="nil"/>
              <w:bottom w:val="single" w:sz="4" w:space="0" w:color="auto"/>
              <w:right w:val="single" w:sz="4" w:space="0" w:color="auto"/>
            </w:tcBorders>
            <w:shd w:val="clear" w:color="auto" w:fill="auto"/>
            <w:vAlign w:val="center"/>
            <w:hideMark/>
          </w:tcPr>
          <w:p w14:paraId="28A81AE0"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948,146</w:t>
            </w:r>
          </w:p>
        </w:tc>
        <w:tc>
          <w:tcPr>
            <w:tcW w:w="1134" w:type="dxa"/>
            <w:tcBorders>
              <w:top w:val="nil"/>
              <w:left w:val="nil"/>
              <w:bottom w:val="single" w:sz="4" w:space="0" w:color="auto"/>
              <w:right w:val="single" w:sz="4" w:space="0" w:color="auto"/>
            </w:tcBorders>
            <w:shd w:val="clear" w:color="auto" w:fill="auto"/>
            <w:noWrap/>
            <w:vAlign w:val="center"/>
            <w:hideMark/>
          </w:tcPr>
          <w:p w14:paraId="541BD139"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1,044,396</w:t>
            </w:r>
          </w:p>
        </w:tc>
        <w:tc>
          <w:tcPr>
            <w:tcW w:w="1134" w:type="dxa"/>
            <w:tcBorders>
              <w:top w:val="nil"/>
              <w:left w:val="nil"/>
              <w:bottom w:val="single" w:sz="4" w:space="0" w:color="auto"/>
              <w:right w:val="single" w:sz="4" w:space="0" w:color="auto"/>
            </w:tcBorders>
            <w:shd w:val="clear" w:color="auto" w:fill="auto"/>
            <w:noWrap/>
            <w:vAlign w:val="bottom"/>
            <w:hideMark/>
          </w:tcPr>
          <w:p w14:paraId="4A366D58"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1,176,320</w:t>
            </w:r>
          </w:p>
        </w:tc>
        <w:tc>
          <w:tcPr>
            <w:tcW w:w="992" w:type="dxa"/>
            <w:tcBorders>
              <w:top w:val="nil"/>
              <w:left w:val="nil"/>
              <w:bottom w:val="single" w:sz="4" w:space="0" w:color="auto"/>
              <w:right w:val="single" w:sz="4" w:space="0" w:color="auto"/>
            </w:tcBorders>
            <w:shd w:val="clear" w:color="auto" w:fill="auto"/>
            <w:vAlign w:val="center"/>
            <w:hideMark/>
          </w:tcPr>
          <w:p w14:paraId="250DA98E"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112.63</w:t>
            </w:r>
          </w:p>
        </w:tc>
        <w:tc>
          <w:tcPr>
            <w:tcW w:w="851" w:type="dxa"/>
            <w:tcBorders>
              <w:top w:val="nil"/>
              <w:left w:val="nil"/>
              <w:bottom w:val="single" w:sz="4" w:space="0" w:color="auto"/>
              <w:right w:val="single" w:sz="4" w:space="0" w:color="auto"/>
            </w:tcBorders>
            <w:shd w:val="clear" w:color="auto" w:fill="auto"/>
            <w:vAlign w:val="center"/>
            <w:hideMark/>
          </w:tcPr>
          <w:p w14:paraId="182E653C"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22.4%</w:t>
            </w:r>
          </w:p>
        </w:tc>
        <w:tc>
          <w:tcPr>
            <w:tcW w:w="850" w:type="dxa"/>
            <w:tcBorders>
              <w:top w:val="nil"/>
              <w:left w:val="nil"/>
              <w:bottom w:val="single" w:sz="4" w:space="0" w:color="auto"/>
              <w:right w:val="single" w:sz="4" w:space="0" w:color="auto"/>
            </w:tcBorders>
            <w:shd w:val="clear" w:color="auto" w:fill="auto"/>
            <w:vAlign w:val="center"/>
            <w:hideMark/>
          </w:tcPr>
          <w:p w14:paraId="46EE6E90"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23.7%</w:t>
            </w:r>
          </w:p>
        </w:tc>
        <w:tc>
          <w:tcPr>
            <w:tcW w:w="236" w:type="dxa"/>
            <w:vAlign w:val="center"/>
            <w:hideMark/>
          </w:tcPr>
          <w:p w14:paraId="441453E4" w14:textId="77777777" w:rsidR="002C5546" w:rsidRPr="002C5546" w:rsidRDefault="002C5546" w:rsidP="002C5546">
            <w:pPr>
              <w:spacing w:before="0" w:after="0" w:line="240" w:lineRule="auto"/>
              <w:jc w:val="left"/>
              <w:rPr>
                <w:rFonts w:ascii="Times New Roman" w:eastAsia="Times New Roman" w:hAnsi="Times New Roman" w:cs="Times New Roman"/>
                <w:color w:val="auto"/>
                <w:sz w:val="20"/>
                <w:szCs w:val="20"/>
                <w:lang w:val="en-US"/>
              </w:rPr>
            </w:pPr>
          </w:p>
        </w:tc>
      </w:tr>
      <w:tr w:rsidR="004B562E" w:rsidRPr="002C5546" w14:paraId="41B8B13E" w14:textId="77777777" w:rsidTr="00A862D0">
        <w:trPr>
          <w:trHeight w:val="300"/>
        </w:trPr>
        <w:tc>
          <w:tcPr>
            <w:tcW w:w="3047" w:type="dxa"/>
            <w:tcBorders>
              <w:top w:val="nil"/>
              <w:left w:val="single" w:sz="4" w:space="0" w:color="auto"/>
              <w:bottom w:val="single" w:sz="4" w:space="0" w:color="auto"/>
              <w:right w:val="single" w:sz="4" w:space="0" w:color="auto"/>
            </w:tcBorders>
            <w:shd w:val="clear" w:color="auto" w:fill="auto"/>
            <w:vAlign w:val="center"/>
            <w:hideMark/>
          </w:tcPr>
          <w:p w14:paraId="5A313838"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małych</w:t>
            </w:r>
          </w:p>
        </w:tc>
        <w:tc>
          <w:tcPr>
            <w:tcW w:w="1134" w:type="dxa"/>
            <w:tcBorders>
              <w:top w:val="nil"/>
              <w:left w:val="nil"/>
              <w:bottom w:val="single" w:sz="4" w:space="0" w:color="auto"/>
              <w:right w:val="single" w:sz="4" w:space="0" w:color="auto"/>
            </w:tcBorders>
            <w:shd w:val="clear" w:color="auto" w:fill="auto"/>
            <w:vAlign w:val="center"/>
            <w:hideMark/>
          </w:tcPr>
          <w:p w14:paraId="2D46AC5D"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574,529</w:t>
            </w:r>
          </w:p>
        </w:tc>
        <w:tc>
          <w:tcPr>
            <w:tcW w:w="1134" w:type="dxa"/>
            <w:tcBorders>
              <w:top w:val="nil"/>
              <w:left w:val="nil"/>
              <w:bottom w:val="single" w:sz="4" w:space="0" w:color="auto"/>
              <w:right w:val="single" w:sz="4" w:space="0" w:color="auto"/>
            </w:tcBorders>
            <w:shd w:val="clear" w:color="auto" w:fill="auto"/>
            <w:noWrap/>
            <w:vAlign w:val="center"/>
            <w:hideMark/>
          </w:tcPr>
          <w:p w14:paraId="0B4F3478"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597,914</w:t>
            </w:r>
          </w:p>
        </w:tc>
        <w:tc>
          <w:tcPr>
            <w:tcW w:w="1134" w:type="dxa"/>
            <w:tcBorders>
              <w:top w:val="nil"/>
              <w:left w:val="nil"/>
              <w:bottom w:val="single" w:sz="4" w:space="0" w:color="auto"/>
              <w:right w:val="single" w:sz="4" w:space="0" w:color="auto"/>
            </w:tcBorders>
            <w:shd w:val="clear" w:color="auto" w:fill="auto"/>
            <w:noWrap/>
            <w:vAlign w:val="bottom"/>
            <w:hideMark/>
          </w:tcPr>
          <w:p w14:paraId="789C9A69"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621,844</w:t>
            </w:r>
          </w:p>
        </w:tc>
        <w:tc>
          <w:tcPr>
            <w:tcW w:w="992" w:type="dxa"/>
            <w:tcBorders>
              <w:top w:val="nil"/>
              <w:left w:val="nil"/>
              <w:bottom w:val="single" w:sz="4" w:space="0" w:color="auto"/>
              <w:right w:val="single" w:sz="4" w:space="0" w:color="auto"/>
            </w:tcBorders>
            <w:shd w:val="clear" w:color="auto" w:fill="auto"/>
            <w:vAlign w:val="center"/>
            <w:hideMark/>
          </w:tcPr>
          <w:p w14:paraId="2ADC9E8A"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104.00</w:t>
            </w:r>
          </w:p>
        </w:tc>
        <w:tc>
          <w:tcPr>
            <w:tcW w:w="851" w:type="dxa"/>
            <w:tcBorders>
              <w:top w:val="nil"/>
              <w:left w:val="nil"/>
              <w:bottom w:val="single" w:sz="4" w:space="0" w:color="auto"/>
              <w:right w:val="single" w:sz="4" w:space="0" w:color="auto"/>
            </w:tcBorders>
            <w:shd w:val="clear" w:color="auto" w:fill="auto"/>
            <w:vAlign w:val="center"/>
            <w:hideMark/>
          </w:tcPr>
          <w:p w14:paraId="6CBAD94A"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13.6%</w:t>
            </w:r>
          </w:p>
        </w:tc>
        <w:tc>
          <w:tcPr>
            <w:tcW w:w="850" w:type="dxa"/>
            <w:tcBorders>
              <w:top w:val="nil"/>
              <w:left w:val="nil"/>
              <w:bottom w:val="single" w:sz="4" w:space="0" w:color="auto"/>
              <w:right w:val="single" w:sz="4" w:space="0" w:color="auto"/>
            </w:tcBorders>
            <w:shd w:val="clear" w:color="auto" w:fill="auto"/>
            <w:vAlign w:val="center"/>
            <w:hideMark/>
          </w:tcPr>
          <w:p w14:paraId="572EDED2"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12.5%</w:t>
            </w:r>
          </w:p>
        </w:tc>
        <w:tc>
          <w:tcPr>
            <w:tcW w:w="236" w:type="dxa"/>
            <w:vAlign w:val="center"/>
            <w:hideMark/>
          </w:tcPr>
          <w:p w14:paraId="3C2710B5" w14:textId="77777777" w:rsidR="002C5546" w:rsidRPr="002C5546" w:rsidRDefault="002C5546" w:rsidP="002C5546">
            <w:pPr>
              <w:spacing w:before="0" w:after="0" w:line="240" w:lineRule="auto"/>
              <w:jc w:val="left"/>
              <w:rPr>
                <w:rFonts w:ascii="Times New Roman" w:eastAsia="Times New Roman" w:hAnsi="Times New Roman" w:cs="Times New Roman"/>
                <w:color w:val="auto"/>
                <w:sz w:val="20"/>
                <w:szCs w:val="20"/>
                <w:lang w:val="en-US"/>
              </w:rPr>
            </w:pPr>
          </w:p>
        </w:tc>
      </w:tr>
      <w:tr w:rsidR="004B562E" w:rsidRPr="002C5546" w14:paraId="2DD4BD97" w14:textId="77777777" w:rsidTr="00A862D0">
        <w:trPr>
          <w:trHeight w:val="300"/>
        </w:trPr>
        <w:tc>
          <w:tcPr>
            <w:tcW w:w="3047" w:type="dxa"/>
            <w:tcBorders>
              <w:top w:val="nil"/>
              <w:left w:val="single" w:sz="4" w:space="0" w:color="auto"/>
              <w:bottom w:val="single" w:sz="4" w:space="0" w:color="auto"/>
              <w:right w:val="single" w:sz="4" w:space="0" w:color="auto"/>
            </w:tcBorders>
            <w:shd w:val="clear" w:color="auto" w:fill="auto"/>
            <w:vAlign w:val="center"/>
            <w:hideMark/>
          </w:tcPr>
          <w:p w14:paraId="657467EB"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średnich</w:t>
            </w:r>
          </w:p>
        </w:tc>
        <w:tc>
          <w:tcPr>
            <w:tcW w:w="1134" w:type="dxa"/>
            <w:tcBorders>
              <w:top w:val="nil"/>
              <w:left w:val="nil"/>
              <w:bottom w:val="single" w:sz="4" w:space="0" w:color="auto"/>
              <w:right w:val="single" w:sz="4" w:space="0" w:color="auto"/>
            </w:tcBorders>
            <w:shd w:val="clear" w:color="auto" w:fill="auto"/>
            <w:vAlign w:val="center"/>
            <w:hideMark/>
          </w:tcPr>
          <w:p w14:paraId="3DC39EC1"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818,661</w:t>
            </w:r>
          </w:p>
        </w:tc>
        <w:tc>
          <w:tcPr>
            <w:tcW w:w="1134" w:type="dxa"/>
            <w:tcBorders>
              <w:top w:val="nil"/>
              <w:left w:val="nil"/>
              <w:bottom w:val="single" w:sz="4" w:space="0" w:color="auto"/>
              <w:right w:val="single" w:sz="4" w:space="0" w:color="auto"/>
            </w:tcBorders>
            <w:shd w:val="clear" w:color="auto" w:fill="auto"/>
            <w:noWrap/>
            <w:vAlign w:val="center"/>
            <w:hideMark/>
          </w:tcPr>
          <w:p w14:paraId="14AE19AC"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861,657</w:t>
            </w:r>
          </w:p>
        </w:tc>
        <w:tc>
          <w:tcPr>
            <w:tcW w:w="1134" w:type="dxa"/>
            <w:tcBorders>
              <w:top w:val="nil"/>
              <w:left w:val="nil"/>
              <w:bottom w:val="single" w:sz="4" w:space="0" w:color="auto"/>
              <w:right w:val="single" w:sz="4" w:space="0" w:color="auto"/>
            </w:tcBorders>
            <w:shd w:val="clear" w:color="auto" w:fill="auto"/>
            <w:noWrap/>
            <w:vAlign w:val="bottom"/>
            <w:hideMark/>
          </w:tcPr>
          <w:p w14:paraId="761BA0DD"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930,234</w:t>
            </w:r>
          </w:p>
        </w:tc>
        <w:tc>
          <w:tcPr>
            <w:tcW w:w="992" w:type="dxa"/>
            <w:tcBorders>
              <w:top w:val="nil"/>
              <w:left w:val="nil"/>
              <w:bottom w:val="single" w:sz="4" w:space="0" w:color="auto"/>
              <w:right w:val="single" w:sz="4" w:space="0" w:color="auto"/>
            </w:tcBorders>
            <w:shd w:val="clear" w:color="auto" w:fill="auto"/>
            <w:vAlign w:val="center"/>
            <w:hideMark/>
          </w:tcPr>
          <w:p w14:paraId="1CF74622"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107.96</w:t>
            </w:r>
          </w:p>
        </w:tc>
        <w:tc>
          <w:tcPr>
            <w:tcW w:w="851" w:type="dxa"/>
            <w:tcBorders>
              <w:top w:val="nil"/>
              <w:left w:val="nil"/>
              <w:bottom w:val="single" w:sz="4" w:space="0" w:color="auto"/>
              <w:right w:val="single" w:sz="4" w:space="0" w:color="auto"/>
            </w:tcBorders>
            <w:shd w:val="clear" w:color="auto" w:fill="auto"/>
            <w:vAlign w:val="center"/>
            <w:hideMark/>
          </w:tcPr>
          <w:p w14:paraId="554A45F7"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19.4%</w:t>
            </w:r>
          </w:p>
        </w:tc>
        <w:tc>
          <w:tcPr>
            <w:tcW w:w="850" w:type="dxa"/>
            <w:tcBorders>
              <w:top w:val="nil"/>
              <w:left w:val="nil"/>
              <w:bottom w:val="single" w:sz="4" w:space="0" w:color="auto"/>
              <w:right w:val="single" w:sz="4" w:space="0" w:color="auto"/>
            </w:tcBorders>
            <w:shd w:val="clear" w:color="auto" w:fill="auto"/>
            <w:vAlign w:val="center"/>
            <w:hideMark/>
          </w:tcPr>
          <w:p w14:paraId="1D6AF6BD"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18.8%</w:t>
            </w:r>
          </w:p>
        </w:tc>
        <w:tc>
          <w:tcPr>
            <w:tcW w:w="236" w:type="dxa"/>
            <w:vAlign w:val="center"/>
            <w:hideMark/>
          </w:tcPr>
          <w:p w14:paraId="2B887A9E" w14:textId="77777777" w:rsidR="002C5546" w:rsidRPr="002C5546" w:rsidRDefault="002C5546" w:rsidP="002C5546">
            <w:pPr>
              <w:spacing w:before="0" w:after="0" w:line="240" w:lineRule="auto"/>
              <w:jc w:val="left"/>
              <w:rPr>
                <w:rFonts w:ascii="Times New Roman" w:eastAsia="Times New Roman" w:hAnsi="Times New Roman" w:cs="Times New Roman"/>
                <w:color w:val="auto"/>
                <w:sz w:val="20"/>
                <w:szCs w:val="20"/>
                <w:lang w:val="en-US"/>
              </w:rPr>
            </w:pPr>
          </w:p>
        </w:tc>
      </w:tr>
      <w:tr w:rsidR="004B562E" w:rsidRPr="002C5546" w14:paraId="1895E430" w14:textId="77777777" w:rsidTr="00A862D0">
        <w:trPr>
          <w:trHeight w:val="300"/>
        </w:trPr>
        <w:tc>
          <w:tcPr>
            <w:tcW w:w="3047" w:type="dxa"/>
            <w:tcBorders>
              <w:top w:val="nil"/>
              <w:left w:val="single" w:sz="4" w:space="0" w:color="auto"/>
              <w:bottom w:val="single" w:sz="4" w:space="0" w:color="auto"/>
              <w:right w:val="single" w:sz="4" w:space="0" w:color="auto"/>
            </w:tcBorders>
            <w:shd w:val="clear" w:color="auto" w:fill="auto"/>
            <w:vAlign w:val="center"/>
            <w:hideMark/>
          </w:tcPr>
          <w:p w14:paraId="557A1A8D"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dużych</w:t>
            </w:r>
          </w:p>
        </w:tc>
        <w:tc>
          <w:tcPr>
            <w:tcW w:w="1134" w:type="dxa"/>
            <w:tcBorders>
              <w:top w:val="nil"/>
              <w:left w:val="nil"/>
              <w:bottom w:val="single" w:sz="4" w:space="0" w:color="auto"/>
              <w:right w:val="single" w:sz="4" w:space="0" w:color="auto"/>
            </w:tcBorders>
            <w:shd w:val="clear" w:color="auto" w:fill="auto"/>
            <w:vAlign w:val="center"/>
            <w:hideMark/>
          </w:tcPr>
          <w:p w14:paraId="4859851D"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1,886,054</w:t>
            </w:r>
          </w:p>
        </w:tc>
        <w:tc>
          <w:tcPr>
            <w:tcW w:w="1134" w:type="dxa"/>
            <w:tcBorders>
              <w:top w:val="nil"/>
              <w:left w:val="nil"/>
              <w:bottom w:val="single" w:sz="4" w:space="0" w:color="auto"/>
              <w:right w:val="single" w:sz="4" w:space="0" w:color="auto"/>
            </w:tcBorders>
            <w:shd w:val="clear" w:color="auto" w:fill="auto"/>
            <w:noWrap/>
            <w:vAlign w:val="center"/>
            <w:hideMark/>
          </w:tcPr>
          <w:p w14:paraId="2D5486F9"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2,068,775</w:t>
            </w:r>
          </w:p>
        </w:tc>
        <w:tc>
          <w:tcPr>
            <w:tcW w:w="1134" w:type="dxa"/>
            <w:tcBorders>
              <w:top w:val="nil"/>
              <w:left w:val="nil"/>
              <w:bottom w:val="single" w:sz="4" w:space="0" w:color="auto"/>
              <w:right w:val="single" w:sz="4" w:space="0" w:color="auto"/>
            </w:tcBorders>
            <w:shd w:val="clear" w:color="auto" w:fill="auto"/>
            <w:noWrap/>
            <w:vAlign w:val="bottom"/>
            <w:hideMark/>
          </w:tcPr>
          <w:p w14:paraId="1ECAC557"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2,227,340</w:t>
            </w:r>
          </w:p>
        </w:tc>
        <w:tc>
          <w:tcPr>
            <w:tcW w:w="992" w:type="dxa"/>
            <w:tcBorders>
              <w:top w:val="nil"/>
              <w:left w:val="nil"/>
              <w:bottom w:val="single" w:sz="4" w:space="0" w:color="auto"/>
              <w:right w:val="single" w:sz="4" w:space="0" w:color="auto"/>
            </w:tcBorders>
            <w:shd w:val="clear" w:color="auto" w:fill="auto"/>
            <w:vAlign w:val="center"/>
            <w:hideMark/>
          </w:tcPr>
          <w:p w14:paraId="64016E00"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107.66</w:t>
            </w:r>
          </w:p>
        </w:tc>
        <w:tc>
          <w:tcPr>
            <w:tcW w:w="851" w:type="dxa"/>
            <w:tcBorders>
              <w:top w:val="nil"/>
              <w:left w:val="nil"/>
              <w:bottom w:val="single" w:sz="4" w:space="0" w:color="auto"/>
              <w:right w:val="single" w:sz="4" w:space="0" w:color="auto"/>
            </w:tcBorders>
            <w:shd w:val="clear" w:color="auto" w:fill="auto"/>
            <w:vAlign w:val="center"/>
            <w:hideMark/>
          </w:tcPr>
          <w:p w14:paraId="25E5D636"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44.6%</w:t>
            </w:r>
          </w:p>
        </w:tc>
        <w:tc>
          <w:tcPr>
            <w:tcW w:w="850" w:type="dxa"/>
            <w:tcBorders>
              <w:top w:val="nil"/>
              <w:left w:val="nil"/>
              <w:bottom w:val="single" w:sz="4" w:space="0" w:color="auto"/>
              <w:right w:val="single" w:sz="4" w:space="0" w:color="auto"/>
            </w:tcBorders>
            <w:shd w:val="clear" w:color="auto" w:fill="auto"/>
            <w:vAlign w:val="center"/>
            <w:hideMark/>
          </w:tcPr>
          <w:p w14:paraId="7D5791C8"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44.9%</w:t>
            </w:r>
          </w:p>
        </w:tc>
        <w:tc>
          <w:tcPr>
            <w:tcW w:w="236" w:type="dxa"/>
            <w:vAlign w:val="center"/>
            <w:hideMark/>
          </w:tcPr>
          <w:p w14:paraId="2380A064" w14:textId="77777777" w:rsidR="002C5546" w:rsidRPr="002C5546" w:rsidRDefault="002C5546" w:rsidP="002C5546">
            <w:pPr>
              <w:spacing w:before="0" w:after="0" w:line="240" w:lineRule="auto"/>
              <w:jc w:val="left"/>
              <w:rPr>
                <w:rFonts w:ascii="Times New Roman" w:eastAsia="Times New Roman" w:hAnsi="Times New Roman" w:cs="Times New Roman"/>
                <w:color w:val="auto"/>
                <w:sz w:val="20"/>
                <w:szCs w:val="20"/>
                <w:lang w:val="en-US"/>
              </w:rPr>
            </w:pPr>
          </w:p>
        </w:tc>
      </w:tr>
      <w:tr w:rsidR="004B562E" w:rsidRPr="002C5546" w14:paraId="628A5D92" w14:textId="77777777" w:rsidTr="00A862D0">
        <w:trPr>
          <w:trHeight w:val="540"/>
        </w:trPr>
        <w:tc>
          <w:tcPr>
            <w:tcW w:w="3047" w:type="dxa"/>
            <w:tcBorders>
              <w:top w:val="nil"/>
              <w:left w:val="single" w:sz="4" w:space="0" w:color="auto"/>
              <w:bottom w:val="single" w:sz="4" w:space="0" w:color="auto"/>
              <w:right w:val="single" w:sz="4" w:space="0" w:color="auto"/>
            </w:tcBorders>
            <w:shd w:val="clear" w:color="auto" w:fill="auto"/>
            <w:vAlign w:val="center"/>
            <w:hideMark/>
          </w:tcPr>
          <w:p w14:paraId="495FC055" w14:textId="77777777" w:rsidR="002C5546" w:rsidRPr="002C5546" w:rsidRDefault="002C5546" w:rsidP="002C5546">
            <w:pPr>
              <w:spacing w:before="0" w:after="0" w:line="240" w:lineRule="auto"/>
              <w:rPr>
                <w:rFonts w:eastAsia="Times New Roman" w:cs="Calibri"/>
                <w:i/>
                <w:iCs/>
                <w:color w:val="000000"/>
                <w:sz w:val="18"/>
                <w:szCs w:val="18"/>
                <w:lang w:val="en-US"/>
              </w:rPr>
            </w:pPr>
            <w:r w:rsidRPr="002C5546">
              <w:rPr>
                <w:rFonts w:eastAsia="Times New Roman" w:cs="Calibri"/>
                <w:i/>
                <w:iCs/>
                <w:color w:val="000000"/>
                <w:sz w:val="18"/>
                <w:szCs w:val="18"/>
                <w:lang w:val="en-US"/>
              </w:rPr>
              <w:t>w sektorze MŚP</w:t>
            </w:r>
          </w:p>
        </w:tc>
        <w:tc>
          <w:tcPr>
            <w:tcW w:w="1134" w:type="dxa"/>
            <w:tcBorders>
              <w:top w:val="nil"/>
              <w:left w:val="nil"/>
              <w:bottom w:val="single" w:sz="4" w:space="0" w:color="auto"/>
              <w:right w:val="single" w:sz="4" w:space="0" w:color="auto"/>
            </w:tcBorders>
            <w:shd w:val="clear" w:color="auto" w:fill="auto"/>
            <w:vAlign w:val="center"/>
            <w:hideMark/>
          </w:tcPr>
          <w:p w14:paraId="79624DE0"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2,341,336</w:t>
            </w:r>
          </w:p>
        </w:tc>
        <w:tc>
          <w:tcPr>
            <w:tcW w:w="1134" w:type="dxa"/>
            <w:tcBorders>
              <w:top w:val="nil"/>
              <w:left w:val="nil"/>
              <w:bottom w:val="single" w:sz="4" w:space="0" w:color="auto"/>
              <w:right w:val="single" w:sz="4" w:space="0" w:color="auto"/>
            </w:tcBorders>
            <w:shd w:val="clear" w:color="auto" w:fill="auto"/>
            <w:vAlign w:val="center"/>
            <w:hideMark/>
          </w:tcPr>
          <w:p w14:paraId="4B5271C7"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2,503,967</w:t>
            </w:r>
          </w:p>
        </w:tc>
        <w:tc>
          <w:tcPr>
            <w:tcW w:w="1134" w:type="dxa"/>
            <w:tcBorders>
              <w:top w:val="nil"/>
              <w:left w:val="nil"/>
              <w:bottom w:val="single" w:sz="4" w:space="0" w:color="auto"/>
              <w:right w:val="single" w:sz="4" w:space="0" w:color="auto"/>
            </w:tcBorders>
            <w:shd w:val="clear" w:color="auto" w:fill="auto"/>
            <w:vAlign w:val="center"/>
            <w:hideMark/>
          </w:tcPr>
          <w:p w14:paraId="34E3AC3F"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2,728,398</w:t>
            </w:r>
          </w:p>
        </w:tc>
        <w:tc>
          <w:tcPr>
            <w:tcW w:w="992" w:type="dxa"/>
            <w:tcBorders>
              <w:top w:val="nil"/>
              <w:left w:val="nil"/>
              <w:bottom w:val="single" w:sz="4" w:space="0" w:color="auto"/>
              <w:right w:val="single" w:sz="4" w:space="0" w:color="auto"/>
            </w:tcBorders>
            <w:shd w:val="clear" w:color="auto" w:fill="auto"/>
            <w:vAlign w:val="center"/>
            <w:hideMark/>
          </w:tcPr>
          <w:p w14:paraId="1D53B545"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108.96</w:t>
            </w:r>
          </w:p>
        </w:tc>
        <w:tc>
          <w:tcPr>
            <w:tcW w:w="851" w:type="dxa"/>
            <w:tcBorders>
              <w:top w:val="nil"/>
              <w:left w:val="nil"/>
              <w:bottom w:val="single" w:sz="4" w:space="0" w:color="auto"/>
              <w:right w:val="single" w:sz="4" w:space="0" w:color="auto"/>
            </w:tcBorders>
            <w:shd w:val="clear" w:color="auto" w:fill="auto"/>
            <w:vAlign w:val="center"/>
            <w:hideMark/>
          </w:tcPr>
          <w:p w14:paraId="2F5DDD60"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55.4%</w:t>
            </w:r>
          </w:p>
        </w:tc>
        <w:tc>
          <w:tcPr>
            <w:tcW w:w="850" w:type="dxa"/>
            <w:tcBorders>
              <w:top w:val="nil"/>
              <w:left w:val="nil"/>
              <w:bottom w:val="single" w:sz="4" w:space="0" w:color="auto"/>
              <w:right w:val="single" w:sz="4" w:space="0" w:color="auto"/>
            </w:tcBorders>
            <w:shd w:val="clear" w:color="auto" w:fill="auto"/>
            <w:vAlign w:val="center"/>
            <w:hideMark/>
          </w:tcPr>
          <w:p w14:paraId="3F028664"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55.1%</w:t>
            </w:r>
          </w:p>
        </w:tc>
        <w:tc>
          <w:tcPr>
            <w:tcW w:w="236" w:type="dxa"/>
            <w:vAlign w:val="center"/>
            <w:hideMark/>
          </w:tcPr>
          <w:p w14:paraId="5EEA6DFD" w14:textId="77777777" w:rsidR="002C5546" w:rsidRPr="002C5546" w:rsidRDefault="002C5546" w:rsidP="002C5546">
            <w:pPr>
              <w:spacing w:before="0" w:after="0" w:line="240" w:lineRule="auto"/>
              <w:jc w:val="left"/>
              <w:rPr>
                <w:rFonts w:ascii="Times New Roman" w:eastAsia="Times New Roman" w:hAnsi="Times New Roman" w:cs="Times New Roman"/>
                <w:color w:val="auto"/>
                <w:sz w:val="20"/>
                <w:szCs w:val="20"/>
                <w:lang w:val="en-US"/>
              </w:rPr>
            </w:pPr>
          </w:p>
        </w:tc>
      </w:tr>
      <w:tr w:rsidR="004B562E" w:rsidRPr="002C5546" w14:paraId="59FF6698" w14:textId="77777777" w:rsidTr="00A862D0">
        <w:trPr>
          <w:trHeight w:val="1350"/>
        </w:trPr>
        <w:tc>
          <w:tcPr>
            <w:tcW w:w="3047" w:type="dxa"/>
            <w:tcBorders>
              <w:top w:val="nil"/>
              <w:left w:val="single" w:sz="4" w:space="0" w:color="auto"/>
              <w:bottom w:val="single" w:sz="4" w:space="0" w:color="auto"/>
              <w:right w:val="single" w:sz="4" w:space="0" w:color="auto"/>
            </w:tcBorders>
            <w:shd w:val="clear" w:color="000000" w:fill="D9D9D9"/>
            <w:vAlign w:val="center"/>
            <w:hideMark/>
          </w:tcPr>
          <w:p w14:paraId="7134A1FF" w14:textId="429FC471" w:rsidR="002C5546" w:rsidRPr="00A862D0" w:rsidRDefault="002C5546" w:rsidP="002C5546">
            <w:pPr>
              <w:spacing w:before="0" w:after="0" w:line="240" w:lineRule="auto"/>
              <w:rPr>
                <w:rFonts w:eastAsia="Times New Roman" w:cs="Calibri"/>
                <w:b/>
                <w:bCs/>
                <w:color w:val="000000"/>
                <w:sz w:val="18"/>
                <w:szCs w:val="18"/>
              </w:rPr>
            </w:pPr>
            <w:r w:rsidRPr="00A862D0">
              <w:rPr>
                <w:rFonts w:eastAsia="Times New Roman" w:cs="Calibri"/>
                <w:b/>
                <w:bCs/>
                <w:color w:val="000000"/>
                <w:sz w:val="18"/>
                <w:szCs w:val="18"/>
              </w:rPr>
              <w:t>Nakłady inwestycyjne*</w:t>
            </w:r>
            <w:r w:rsidRPr="00A862D0">
              <w:rPr>
                <w:rFonts w:eastAsia="Times New Roman" w:cs="Calibri"/>
                <w:color w:val="000000"/>
                <w:sz w:val="18"/>
                <w:szCs w:val="18"/>
              </w:rPr>
              <w:t xml:space="preserve"> (w mln zł),</w:t>
            </w:r>
            <w:r w:rsidR="006343E1">
              <w:rPr>
                <w:rFonts w:eastAsia="Times New Roman" w:cs="Calibri"/>
                <w:color w:val="000000"/>
                <w:sz w:val="18"/>
                <w:szCs w:val="18"/>
              </w:rPr>
              <w:t xml:space="preserve"> </w:t>
            </w:r>
            <w:r w:rsidR="006343E1" w:rsidRPr="00A862D0">
              <w:rPr>
                <w:rFonts w:eastAsia="Times New Roman" w:cs="Calibri"/>
                <w:color w:val="000000"/>
                <w:sz w:val="18"/>
                <w:szCs w:val="18"/>
              </w:rPr>
              <w:t>w</w:t>
            </w:r>
            <w:r w:rsidR="006343E1">
              <w:rPr>
                <w:rFonts w:eastAsia="Times New Roman" w:cs="Calibri"/>
                <w:color w:val="000000"/>
                <w:sz w:val="18"/>
                <w:szCs w:val="18"/>
              </w:rPr>
              <w:t> </w:t>
            </w:r>
            <w:r w:rsidRPr="00A862D0">
              <w:rPr>
                <w:rFonts w:eastAsia="Times New Roman" w:cs="Calibri"/>
                <w:color w:val="000000"/>
                <w:sz w:val="18"/>
                <w:szCs w:val="18"/>
              </w:rPr>
              <w:t>tym</w:t>
            </w:r>
            <w:r w:rsidR="006343E1">
              <w:rPr>
                <w:rFonts w:eastAsia="Times New Roman" w:cs="Calibri"/>
                <w:color w:val="000000"/>
                <w:sz w:val="18"/>
                <w:szCs w:val="18"/>
              </w:rPr>
              <w:t xml:space="preserve"> </w:t>
            </w:r>
            <w:r w:rsidR="006343E1" w:rsidRPr="00A862D0">
              <w:rPr>
                <w:rFonts w:eastAsia="Times New Roman" w:cs="Calibri"/>
                <w:color w:val="000000"/>
                <w:sz w:val="18"/>
                <w:szCs w:val="18"/>
              </w:rPr>
              <w:t>w</w:t>
            </w:r>
            <w:r w:rsidR="006343E1">
              <w:rPr>
                <w:rFonts w:eastAsia="Times New Roman" w:cs="Calibri"/>
                <w:color w:val="000000"/>
                <w:sz w:val="18"/>
                <w:szCs w:val="18"/>
              </w:rPr>
              <w:t> </w:t>
            </w:r>
            <w:r w:rsidRPr="00A862D0">
              <w:rPr>
                <w:rFonts w:eastAsia="Times New Roman" w:cs="Calibri"/>
                <w:color w:val="000000"/>
                <w:sz w:val="18"/>
                <w:szCs w:val="18"/>
              </w:rPr>
              <w:t>firmach:</w:t>
            </w:r>
          </w:p>
        </w:tc>
        <w:tc>
          <w:tcPr>
            <w:tcW w:w="1134" w:type="dxa"/>
            <w:tcBorders>
              <w:top w:val="nil"/>
              <w:left w:val="nil"/>
              <w:bottom w:val="single" w:sz="4" w:space="0" w:color="auto"/>
              <w:right w:val="single" w:sz="4" w:space="0" w:color="auto"/>
            </w:tcBorders>
            <w:shd w:val="clear" w:color="000000" w:fill="D9D9D9"/>
            <w:vAlign w:val="center"/>
            <w:hideMark/>
          </w:tcPr>
          <w:p w14:paraId="0B37AC6D" w14:textId="77777777" w:rsidR="002C5546" w:rsidRPr="002C5546" w:rsidRDefault="002C5546" w:rsidP="002C5546">
            <w:pPr>
              <w:spacing w:before="0" w:after="0" w:line="240" w:lineRule="auto"/>
              <w:jc w:val="right"/>
              <w:rPr>
                <w:rFonts w:eastAsia="Times New Roman" w:cs="Calibri"/>
                <w:b/>
                <w:bCs/>
                <w:color w:val="000000"/>
                <w:sz w:val="18"/>
                <w:szCs w:val="18"/>
                <w:lang w:val="en-US"/>
              </w:rPr>
            </w:pPr>
            <w:r w:rsidRPr="002C5546">
              <w:rPr>
                <w:rFonts w:eastAsia="Times New Roman" w:cs="Calibri"/>
                <w:b/>
                <w:bCs/>
                <w:color w:val="000000"/>
                <w:sz w:val="18"/>
                <w:szCs w:val="18"/>
                <w:lang w:val="en-US"/>
              </w:rPr>
              <w:t>188,590</w:t>
            </w:r>
          </w:p>
        </w:tc>
        <w:tc>
          <w:tcPr>
            <w:tcW w:w="1134" w:type="dxa"/>
            <w:tcBorders>
              <w:top w:val="nil"/>
              <w:left w:val="nil"/>
              <w:bottom w:val="single" w:sz="4" w:space="0" w:color="auto"/>
              <w:right w:val="single" w:sz="4" w:space="0" w:color="auto"/>
            </w:tcBorders>
            <w:shd w:val="clear" w:color="000000" w:fill="D9D9D9"/>
            <w:noWrap/>
            <w:vAlign w:val="center"/>
            <w:hideMark/>
          </w:tcPr>
          <w:p w14:paraId="71DE7D94" w14:textId="77777777" w:rsidR="002C5546" w:rsidRPr="002C5546" w:rsidRDefault="002C5546" w:rsidP="002C5546">
            <w:pPr>
              <w:spacing w:before="0" w:after="0" w:line="240" w:lineRule="auto"/>
              <w:jc w:val="right"/>
              <w:rPr>
                <w:rFonts w:eastAsia="Times New Roman" w:cs="Calibri"/>
                <w:b/>
                <w:bCs/>
                <w:color w:val="000000"/>
                <w:sz w:val="18"/>
                <w:szCs w:val="18"/>
                <w:lang w:val="en-US"/>
              </w:rPr>
            </w:pPr>
            <w:r w:rsidRPr="002C5546">
              <w:rPr>
                <w:rFonts w:eastAsia="Times New Roman" w:cs="Calibri"/>
                <w:b/>
                <w:bCs/>
                <w:color w:val="000000"/>
                <w:sz w:val="18"/>
                <w:szCs w:val="18"/>
                <w:lang w:val="en-US"/>
              </w:rPr>
              <w:t>194,440</w:t>
            </w:r>
          </w:p>
        </w:tc>
        <w:tc>
          <w:tcPr>
            <w:tcW w:w="1134" w:type="dxa"/>
            <w:tcBorders>
              <w:top w:val="nil"/>
              <w:left w:val="nil"/>
              <w:bottom w:val="single" w:sz="4" w:space="0" w:color="auto"/>
              <w:right w:val="single" w:sz="4" w:space="0" w:color="auto"/>
            </w:tcBorders>
            <w:shd w:val="clear" w:color="000000" w:fill="D9D9D9"/>
            <w:noWrap/>
            <w:vAlign w:val="center"/>
            <w:hideMark/>
          </w:tcPr>
          <w:p w14:paraId="7F848881" w14:textId="77777777" w:rsidR="002C5546" w:rsidRPr="002C5546" w:rsidRDefault="002C5546" w:rsidP="002C5546">
            <w:pPr>
              <w:spacing w:before="0" w:after="0" w:line="240" w:lineRule="auto"/>
              <w:jc w:val="right"/>
              <w:rPr>
                <w:rFonts w:eastAsia="Times New Roman" w:cs="Calibri"/>
                <w:b/>
                <w:bCs/>
                <w:color w:val="000000"/>
                <w:sz w:val="18"/>
                <w:szCs w:val="18"/>
                <w:lang w:val="en-US"/>
              </w:rPr>
            </w:pPr>
            <w:r w:rsidRPr="002C5546">
              <w:rPr>
                <w:rFonts w:eastAsia="Times New Roman" w:cs="Calibri"/>
                <w:b/>
                <w:bCs/>
                <w:color w:val="000000"/>
                <w:sz w:val="18"/>
                <w:szCs w:val="18"/>
                <w:lang w:val="en-US"/>
              </w:rPr>
              <w:t>218,208</w:t>
            </w:r>
          </w:p>
        </w:tc>
        <w:tc>
          <w:tcPr>
            <w:tcW w:w="992" w:type="dxa"/>
            <w:tcBorders>
              <w:top w:val="nil"/>
              <w:left w:val="nil"/>
              <w:bottom w:val="single" w:sz="4" w:space="0" w:color="auto"/>
              <w:right w:val="single" w:sz="4" w:space="0" w:color="auto"/>
            </w:tcBorders>
            <w:shd w:val="clear" w:color="000000" w:fill="D9D9D9"/>
            <w:vAlign w:val="center"/>
            <w:hideMark/>
          </w:tcPr>
          <w:p w14:paraId="1A75B2E1" w14:textId="77777777" w:rsidR="002C5546" w:rsidRPr="002C5546" w:rsidRDefault="002C5546" w:rsidP="002C5546">
            <w:pPr>
              <w:spacing w:before="0" w:after="0" w:line="240" w:lineRule="auto"/>
              <w:jc w:val="right"/>
              <w:rPr>
                <w:rFonts w:eastAsia="Times New Roman" w:cs="Calibri"/>
                <w:b/>
                <w:bCs/>
                <w:color w:val="000000"/>
                <w:sz w:val="18"/>
                <w:szCs w:val="18"/>
                <w:lang w:val="en-US"/>
              </w:rPr>
            </w:pPr>
            <w:r w:rsidRPr="002C5546">
              <w:rPr>
                <w:rFonts w:eastAsia="Times New Roman" w:cs="Calibri"/>
                <w:b/>
                <w:bCs/>
                <w:color w:val="000000"/>
                <w:sz w:val="18"/>
                <w:szCs w:val="18"/>
                <w:lang w:val="en-US"/>
              </w:rPr>
              <w:t>112.22</w:t>
            </w:r>
          </w:p>
        </w:tc>
        <w:tc>
          <w:tcPr>
            <w:tcW w:w="851" w:type="dxa"/>
            <w:tcBorders>
              <w:top w:val="nil"/>
              <w:left w:val="nil"/>
              <w:bottom w:val="single" w:sz="4" w:space="0" w:color="auto"/>
              <w:right w:val="single" w:sz="4" w:space="0" w:color="auto"/>
            </w:tcBorders>
            <w:shd w:val="clear" w:color="000000" w:fill="D9D9D9"/>
            <w:vAlign w:val="center"/>
            <w:hideMark/>
          </w:tcPr>
          <w:p w14:paraId="305C1883"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100%</w:t>
            </w:r>
          </w:p>
        </w:tc>
        <w:tc>
          <w:tcPr>
            <w:tcW w:w="850" w:type="dxa"/>
            <w:tcBorders>
              <w:top w:val="nil"/>
              <w:left w:val="nil"/>
              <w:bottom w:val="single" w:sz="4" w:space="0" w:color="auto"/>
              <w:right w:val="single" w:sz="4" w:space="0" w:color="auto"/>
            </w:tcBorders>
            <w:shd w:val="clear" w:color="000000" w:fill="D9D9D9"/>
            <w:vAlign w:val="center"/>
            <w:hideMark/>
          </w:tcPr>
          <w:p w14:paraId="58252AF6"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100%</w:t>
            </w:r>
          </w:p>
        </w:tc>
        <w:tc>
          <w:tcPr>
            <w:tcW w:w="236" w:type="dxa"/>
            <w:vAlign w:val="center"/>
            <w:hideMark/>
          </w:tcPr>
          <w:p w14:paraId="24EE0340" w14:textId="77777777" w:rsidR="002C5546" w:rsidRPr="002C5546" w:rsidRDefault="002C5546" w:rsidP="002C5546">
            <w:pPr>
              <w:spacing w:before="0" w:after="0" w:line="240" w:lineRule="auto"/>
              <w:jc w:val="left"/>
              <w:rPr>
                <w:rFonts w:ascii="Times New Roman" w:eastAsia="Times New Roman" w:hAnsi="Times New Roman" w:cs="Times New Roman"/>
                <w:color w:val="auto"/>
                <w:sz w:val="20"/>
                <w:szCs w:val="20"/>
                <w:lang w:val="en-US"/>
              </w:rPr>
            </w:pPr>
          </w:p>
        </w:tc>
      </w:tr>
      <w:tr w:rsidR="004B562E" w:rsidRPr="002C5546" w14:paraId="45246766" w14:textId="77777777" w:rsidTr="00A862D0">
        <w:trPr>
          <w:trHeight w:val="300"/>
        </w:trPr>
        <w:tc>
          <w:tcPr>
            <w:tcW w:w="3047" w:type="dxa"/>
            <w:tcBorders>
              <w:top w:val="nil"/>
              <w:left w:val="single" w:sz="4" w:space="0" w:color="auto"/>
              <w:bottom w:val="single" w:sz="4" w:space="0" w:color="auto"/>
              <w:right w:val="single" w:sz="4" w:space="0" w:color="auto"/>
            </w:tcBorders>
            <w:shd w:val="clear" w:color="auto" w:fill="auto"/>
            <w:vAlign w:val="center"/>
            <w:hideMark/>
          </w:tcPr>
          <w:p w14:paraId="360FC5D6"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lastRenderedPageBreak/>
              <w:t>mikro</w:t>
            </w:r>
          </w:p>
        </w:tc>
        <w:tc>
          <w:tcPr>
            <w:tcW w:w="1134" w:type="dxa"/>
            <w:tcBorders>
              <w:top w:val="nil"/>
              <w:left w:val="nil"/>
              <w:bottom w:val="single" w:sz="4" w:space="0" w:color="auto"/>
              <w:right w:val="single" w:sz="4" w:space="0" w:color="auto"/>
            </w:tcBorders>
            <w:shd w:val="clear" w:color="auto" w:fill="auto"/>
            <w:vAlign w:val="center"/>
            <w:hideMark/>
          </w:tcPr>
          <w:p w14:paraId="16257CCF"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30,272</w:t>
            </w:r>
          </w:p>
        </w:tc>
        <w:tc>
          <w:tcPr>
            <w:tcW w:w="1134" w:type="dxa"/>
            <w:tcBorders>
              <w:top w:val="nil"/>
              <w:left w:val="nil"/>
              <w:bottom w:val="single" w:sz="4" w:space="0" w:color="auto"/>
              <w:right w:val="single" w:sz="4" w:space="0" w:color="auto"/>
            </w:tcBorders>
            <w:shd w:val="clear" w:color="auto" w:fill="auto"/>
            <w:noWrap/>
            <w:vAlign w:val="center"/>
            <w:hideMark/>
          </w:tcPr>
          <w:p w14:paraId="3731D16A"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34,336</w:t>
            </w:r>
          </w:p>
        </w:tc>
        <w:tc>
          <w:tcPr>
            <w:tcW w:w="1134" w:type="dxa"/>
            <w:tcBorders>
              <w:top w:val="nil"/>
              <w:left w:val="nil"/>
              <w:bottom w:val="single" w:sz="4" w:space="0" w:color="auto"/>
              <w:right w:val="single" w:sz="4" w:space="0" w:color="auto"/>
            </w:tcBorders>
            <w:shd w:val="clear" w:color="auto" w:fill="auto"/>
            <w:noWrap/>
            <w:vAlign w:val="center"/>
            <w:hideMark/>
          </w:tcPr>
          <w:p w14:paraId="0D3B9C8A"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38,754</w:t>
            </w:r>
          </w:p>
        </w:tc>
        <w:tc>
          <w:tcPr>
            <w:tcW w:w="992" w:type="dxa"/>
            <w:tcBorders>
              <w:top w:val="nil"/>
              <w:left w:val="nil"/>
              <w:bottom w:val="single" w:sz="4" w:space="0" w:color="auto"/>
              <w:right w:val="single" w:sz="4" w:space="0" w:color="auto"/>
            </w:tcBorders>
            <w:shd w:val="clear" w:color="auto" w:fill="auto"/>
            <w:vAlign w:val="center"/>
            <w:hideMark/>
          </w:tcPr>
          <w:p w14:paraId="42F1031E"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112.87</w:t>
            </w:r>
          </w:p>
        </w:tc>
        <w:tc>
          <w:tcPr>
            <w:tcW w:w="851" w:type="dxa"/>
            <w:tcBorders>
              <w:top w:val="nil"/>
              <w:left w:val="nil"/>
              <w:bottom w:val="single" w:sz="4" w:space="0" w:color="auto"/>
              <w:right w:val="single" w:sz="4" w:space="0" w:color="auto"/>
            </w:tcBorders>
            <w:shd w:val="clear" w:color="auto" w:fill="auto"/>
            <w:vAlign w:val="center"/>
            <w:hideMark/>
          </w:tcPr>
          <w:p w14:paraId="33117D73"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16.1%</w:t>
            </w:r>
          </w:p>
        </w:tc>
        <w:tc>
          <w:tcPr>
            <w:tcW w:w="850" w:type="dxa"/>
            <w:tcBorders>
              <w:top w:val="nil"/>
              <w:left w:val="nil"/>
              <w:bottom w:val="single" w:sz="4" w:space="0" w:color="auto"/>
              <w:right w:val="single" w:sz="4" w:space="0" w:color="auto"/>
            </w:tcBorders>
            <w:shd w:val="clear" w:color="auto" w:fill="auto"/>
            <w:vAlign w:val="center"/>
            <w:hideMark/>
          </w:tcPr>
          <w:p w14:paraId="41067FAA"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17.8%</w:t>
            </w:r>
          </w:p>
        </w:tc>
        <w:tc>
          <w:tcPr>
            <w:tcW w:w="236" w:type="dxa"/>
            <w:vAlign w:val="center"/>
            <w:hideMark/>
          </w:tcPr>
          <w:p w14:paraId="315C8343" w14:textId="77777777" w:rsidR="002C5546" w:rsidRPr="002C5546" w:rsidRDefault="002C5546" w:rsidP="002C5546">
            <w:pPr>
              <w:spacing w:before="0" w:after="0" w:line="240" w:lineRule="auto"/>
              <w:jc w:val="left"/>
              <w:rPr>
                <w:rFonts w:ascii="Times New Roman" w:eastAsia="Times New Roman" w:hAnsi="Times New Roman" w:cs="Times New Roman"/>
                <w:color w:val="auto"/>
                <w:sz w:val="20"/>
                <w:szCs w:val="20"/>
                <w:lang w:val="en-US"/>
              </w:rPr>
            </w:pPr>
          </w:p>
        </w:tc>
      </w:tr>
      <w:tr w:rsidR="004B562E" w:rsidRPr="002C5546" w14:paraId="1181C400" w14:textId="77777777" w:rsidTr="00A862D0">
        <w:trPr>
          <w:trHeight w:val="300"/>
        </w:trPr>
        <w:tc>
          <w:tcPr>
            <w:tcW w:w="3047" w:type="dxa"/>
            <w:tcBorders>
              <w:top w:val="nil"/>
              <w:left w:val="single" w:sz="4" w:space="0" w:color="auto"/>
              <w:bottom w:val="single" w:sz="4" w:space="0" w:color="auto"/>
              <w:right w:val="single" w:sz="4" w:space="0" w:color="auto"/>
            </w:tcBorders>
            <w:shd w:val="clear" w:color="auto" w:fill="auto"/>
            <w:vAlign w:val="center"/>
            <w:hideMark/>
          </w:tcPr>
          <w:p w14:paraId="209F8787"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małych</w:t>
            </w:r>
          </w:p>
        </w:tc>
        <w:tc>
          <w:tcPr>
            <w:tcW w:w="1134" w:type="dxa"/>
            <w:tcBorders>
              <w:top w:val="nil"/>
              <w:left w:val="nil"/>
              <w:bottom w:val="single" w:sz="4" w:space="0" w:color="auto"/>
              <w:right w:val="single" w:sz="4" w:space="0" w:color="auto"/>
            </w:tcBorders>
            <w:shd w:val="clear" w:color="auto" w:fill="auto"/>
            <w:vAlign w:val="center"/>
            <w:hideMark/>
          </w:tcPr>
          <w:p w14:paraId="231F06DC"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16,778</w:t>
            </w:r>
          </w:p>
        </w:tc>
        <w:tc>
          <w:tcPr>
            <w:tcW w:w="1134" w:type="dxa"/>
            <w:tcBorders>
              <w:top w:val="nil"/>
              <w:left w:val="nil"/>
              <w:bottom w:val="single" w:sz="4" w:space="0" w:color="auto"/>
              <w:right w:val="single" w:sz="4" w:space="0" w:color="auto"/>
            </w:tcBorders>
            <w:shd w:val="clear" w:color="auto" w:fill="auto"/>
            <w:noWrap/>
            <w:vAlign w:val="center"/>
            <w:hideMark/>
          </w:tcPr>
          <w:p w14:paraId="7856DDF7"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17,177</w:t>
            </w:r>
          </w:p>
        </w:tc>
        <w:tc>
          <w:tcPr>
            <w:tcW w:w="1134" w:type="dxa"/>
            <w:tcBorders>
              <w:top w:val="nil"/>
              <w:left w:val="nil"/>
              <w:bottom w:val="single" w:sz="4" w:space="0" w:color="auto"/>
              <w:right w:val="single" w:sz="4" w:space="0" w:color="auto"/>
            </w:tcBorders>
            <w:shd w:val="clear" w:color="auto" w:fill="auto"/>
            <w:noWrap/>
            <w:vAlign w:val="center"/>
            <w:hideMark/>
          </w:tcPr>
          <w:p w14:paraId="378E47D7"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19,132</w:t>
            </w:r>
          </w:p>
        </w:tc>
        <w:tc>
          <w:tcPr>
            <w:tcW w:w="992" w:type="dxa"/>
            <w:tcBorders>
              <w:top w:val="nil"/>
              <w:left w:val="nil"/>
              <w:bottom w:val="single" w:sz="4" w:space="0" w:color="auto"/>
              <w:right w:val="single" w:sz="4" w:space="0" w:color="auto"/>
            </w:tcBorders>
            <w:shd w:val="clear" w:color="auto" w:fill="auto"/>
            <w:vAlign w:val="center"/>
            <w:hideMark/>
          </w:tcPr>
          <w:p w14:paraId="6866C75D"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111.38</w:t>
            </w:r>
          </w:p>
        </w:tc>
        <w:tc>
          <w:tcPr>
            <w:tcW w:w="851" w:type="dxa"/>
            <w:tcBorders>
              <w:top w:val="nil"/>
              <w:left w:val="nil"/>
              <w:bottom w:val="single" w:sz="4" w:space="0" w:color="auto"/>
              <w:right w:val="single" w:sz="4" w:space="0" w:color="auto"/>
            </w:tcBorders>
            <w:shd w:val="clear" w:color="auto" w:fill="auto"/>
            <w:vAlign w:val="center"/>
            <w:hideMark/>
          </w:tcPr>
          <w:p w14:paraId="49FB26D5"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8.9%</w:t>
            </w:r>
          </w:p>
        </w:tc>
        <w:tc>
          <w:tcPr>
            <w:tcW w:w="850" w:type="dxa"/>
            <w:tcBorders>
              <w:top w:val="nil"/>
              <w:left w:val="nil"/>
              <w:bottom w:val="single" w:sz="4" w:space="0" w:color="auto"/>
              <w:right w:val="single" w:sz="4" w:space="0" w:color="auto"/>
            </w:tcBorders>
            <w:shd w:val="clear" w:color="auto" w:fill="auto"/>
            <w:vAlign w:val="center"/>
            <w:hideMark/>
          </w:tcPr>
          <w:p w14:paraId="430D905F"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8.8%</w:t>
            </w:r>
          </w:p>
        </w:tc>
        <w:tc>
          <w:tcPr>
            <w:tcW w:w="236" w:type="dxa"/>
            <w:vAlign w:val="center"/>
            <w:hideMark/>
          </w:tcPr>
          <w:p w14:paraId="7A6861ED" w14:textId="77777777" w:rsidR="002C5546" w:rsidRPr="002C5546" w:rsidRDefault="002C5546" w:rsidP="002C5546">
            <w:pPr>
              <w:spacing w:before="0" w:after="0" w:line="240" w:lineRule="auto"/>
              <w:jc w:val="left"/>
              <w:rPr>
                <w:rFonts w:ascii="Times New Roman" w:eastAsia="Times New Roman" w:hAnsi="Times New Roman" w:cs="Times New Roman"/>
                <w:color w:val="auto"/>
                <w:sz w:val="20"/>
                <w:szCs w:val="20"/>
                <w:lang w:val="en-US"/>
              </w:rPr>
            </w:pPr>
          </w:p>
        </w:tc>
      </w:tr>
      <w:tr w:rsidR="004B562E" w:rsidRPr="002C5546" w14:paraId="574D524C" w14:textId="77777777" w:rsidTr="00A862D0">
        <w:trPr>
          <w:trHeight w:val="300"/>
        </w:trPr>
        <w:tc>
          <w:tcPr>
            <w:tcW w:w="3047" w:type="dxa"/>
            <w:tcBorders>
              <w:top w:val="nil"/>
              <w:left w:val="single" w:sz="4" w:space="0" w:color="auto"/>
              <w:bottom w:val="single" w:sz="4" w:space="0" w:color="auto"/>
              <w:right w:val="single" w:sz="4" w:space="0" w:color="auto"/>
            </w:tcBorders>
            <w:shd w:val="clear" w:color="auto" w:fill="auto"/>
            <w:vAlign w:val="center"/>
            <w:hideMark/>
          </w:tcPr>
          <w:p w14:paraId="3A48F410"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średnich</w:t>
            </w:r>
          </w:p>
        </w:tc>
        <w:tc>
          <w:tcPr>
            <w:tcW w:w="1134" w:type="dxa"/>
            <w:tcBorders>
              <w:top w:val="nil"/>
              <w:left w:val="nil"/>
              <w:bottom w:val="single" w:sz="4" w:space="0" w:color="auto"/>
              <w:right w:val="single" w:sz="4" w:space="0" w:color="auto"/>
            </w:tcBorders>
            <w:shd w:val="clear" w:color="auto" w:fill="auto"/>
            <w:vAlign w:val="center"/>
            <w:hideMark/>
          </w:tcPr>
          <w:p w14:paraId="1BC7EF45"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35,540</w:t>
            </w:r>
          </w:p>
        </w:tc>
        <w:tc>
          <w:tcPr>
            <w:tcW w:w="1134" w:type="dxa"/>
            <w:tcBorders>
              <w:top w:val="nil"/>
              <w:left w:val="nil"/>
              <w:bottom w:val="single" w:sz="4" w:space="0" w:color="auto"/>
              <w:right w:val="single" w:sz="4" w:space="0" w:color="auto"/>
            </w:tcBorders>
            <w:shd w:val="clear" w:color="auto" w:fill="auto"/>
            <w:noWrap/>
            <w:vAlign w:val="center"/>
            <w:hideMark/>
          </w:tcPr>
          <w:p w14:paraId="6032DB4B"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38,530</w:t>
            </w:r>
          </w:p>
        </w:tc>
        <w:tc>
          <w:tcPr>
            <w:tcW w:w="1134" w:type="dxa"/>
            <w:tcBorders>
              <w:top w:val="nil"/>
              <w:left w:val="nil"/>
              <w:bottom w:val="single" w:sz="4" w:space="0" w:color="auto"/>
              <w:right w:val="single" w:sz="4" w:space="0" w:color="auto"/>
            </w:tcBorders>
            <w:shd w:val="clear" w:color="auto" w:fill="auto"/>
            <w:noWrap/>
            <w:vAlign w:val="center"/>
            <w:hideMark/>
          </w:tcPr>
          <w:p w14:paraId="1A13B30D"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41,587</w:t>
            </w:r>
          </w:p>
        </w:tc>
        <w:tc>
          <w:tcPr>
            <w:tcW w:w="992" w:type="dxa"/>
            <w:tcBorders>
              <w:top w:val="nil"/>
              <w:left w:val="nil"/>
              <w:bottom w:val="single" w:sz="4" w:space="0" w:color="auto"/>
              <w:right w:val="single" w:sz="4" w:space="0" w:color="auto"/>
            </w:tcBorders>
            <w:shd w:val="clear" w:color="auto" w:fill="auto"/>
            <w:vAlign w:val="center"/>
            <w:hideMark/>
          </w:tcPr>
          <w:p w14:paraId="00C8B54B"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107.93</w:t>
            </w:r>
          </w:p>
        </w:tc>
        <w:tc>
          <w:tcPr>
            <w:tcW w:w="851" w:type="dxa"/>
            <w:tcBorders>
              <w:top w:val="nil"/>
              <w:left w:val="nil"/>
              <w:bottom w:val="single" w:sz="4" w:space="0" w:color="auto"/>
              <w:right w:val="single" w:sz="4" w:space="0" w:color="auto"/>
            </w:tcBorders>
            <w:shd w:val="clear" w:color="auto" w:fill="auto"/>
            <w:vAlign w:val="center"/>
            <w:hideMark/>
          </w:tcPr>
          <w:p w14:paraId="2EDFC13C"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18.8%</w:t>
            </w:r>
          </w:p>
        </w:tc>
        <w:tc>
          <w:tcPr>
            <w:tcW w:w="850" w:type="dxa"/>
            <w:tcBorders>
              <w:top w:val="nil"/>
              <w:left w:val="nil"/>
              <w:bottom w:val="single" w:sz="4" w:space="0" w:color="auto"/>
              <w:right w:val="single" w:sz="4" w:space="0" w:color="auto"/>
            </w:tcBorders>
            <w:shd w:val="clear" w:color="auto" w:fill="auto"/>
            <w:vAlign w:val="center"/>
            <w:hideMark/>
          </w:tcPr>
          <w:p w14:paraId="5904DD1C"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19.1%</w:t>
            </w:r>
          </w:p>
        </w:tc>
        <w:tc>
          <w:tcPr>
            <w:tcW w:w="236" w:type="dxa"/>
            <w:vAlign w:val="center"/>
            <w:hideMark/>
          </w:tcPr>
          <w:p w14:paraId="2AA35700" w14:textId="77777777" w:rsidR="002C5546" w:rsidRPr="002C5546" w:rsidRDefault="002C5546" w:rsidP="002C5546">
            <w:pPr>
              <w:spacing w:before="0" w:after="0" w:line="240" w:lineRule="auto"/>
              <w:jc w:val="left"/>
              <w:rPr>
                <w:rFonts w:ascii="Times New Roman" w:eastAsia="Times New Roman" w:hAnsi="Times New Roman" w:cs="Times New Roman"/>
                <w:color w:val="auto"/>
                <w:sz w:val="20"/>
                <w:szCs w:val="20"/>
                <w:lang w:val="en-US"/>
              </w:rPr>
            </w:pPr>
          </w:p>
        </w:tc>
      </w:tr>
      <w:tr w:rsidR="004B562E" w:rsidRPr="002C5546" w14:paraId="4C3F813B" w14:textId="77777777" w:rsidTr="00A862D0">
        <w:trPr>
          <w:trHeight w:val="300"/>
        </w:trPr>
        <w:tc>
          <w:tcPr>
            <w:tcW w:w="3047" w:type="dxa"/>
            <w:tcBorders>
              <w:top w:val="nil"/>
              <w:left w:val="single" w:sz="4" w:space="0" w:color="auto"/>
              <w:bottom w:val="single" w:sz="4" w:space="0" w:color="auto"/>
              <w:right w:val="single" w:sz="4" w:space="0" w:color="auto"/>
            </w:tcBorders>
            <w:shd w:val="clear" w:color="auto" w:fill="auto"/>
            <w:vAlign w:val="center"/>
            <w:hideMark/>
          </w:tcPr>
          <w:p w14:paraId="4C5B0965"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dużych</w:t>
            </w:r>
          </w:p>
        </w:tc>
        <w:tc>
          <w:tcPr>
            <w:tcW w:w="1134" w:type="dxa"/>
            <w:tcBorders>
              <w:top w:val="nil"/>
              <w:left w:val="nil"/>
              <w:bottom w:val="single" w:sz="4" w:space="0" w:color="auto"/>
              <w:right w:val="single" w:sz="4" w:space="0" w:color="auto"/>
            </w:tcBorders>
            <w:shd w:val="clear" w:color="auto" w:fill="auto"/>
            <w:vAlign w:val="center"/>
            <w:hideMark/>
          </w:tcPr>
          <w:p w14:paraId="5B845516"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106,000</w:t>
            </w:r>
          </w:p>
        </w:tc>
        <w:tc>
          <w:tcPr>
            <w:tcW w:w="1134" w:type="dxa"/>
            <w:tcBorders>
              <w:top w:val="nil"/>
              <w:left w:val="nil"/>
              <w:bottom w:val="single" w:sz="4" w:space="0" w:color="auto"/>
              <w:right w:val="single" w:sz="4" w:space="0" w:color="auto"/>
            </w:tcBorders>
            <w:shd w:val="clear" w:color="auto" w:fill="auto"/>
            <w:noWrap/>
            <w:vAlign w:val="center"/>
            <w:hideMark/>
          </w:tcPr>
          <w:p w14:paraId="7EC10E52"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104,397</w:t>
            </w:r>
          </w:p>
        </w:tc>
        <w:tc>
          <w:tcPr>
            <w:tcW w:w="1134" w:type="dxa"/>
            <w:tcBorders>
              <w:top w:val="nil"/>
              <w:left w:val="nil"/>
              <w:bottom w:val="single" w:sz="4" w:space="0" w:color="auto"/>
              <w:right w:val="single" w:sz="4" w:space="0" w:color="auto"/>
            </w:tcBorders>
            <w:shd w:val="clear" w:color="auto" w:fill="auto"/>
            <w:noWrap/>
            <w:vAlign w:val="center"/>
            <w:hideMark/>
          </w:tcPr>
          <w:p w14:paraId="4F4F5E1E"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118,735</w:t>
            </w:r>
          </w:p>
        </w:tc>
        <w:tc>
          <w:tcPr>
            <w:tcW w:w="992" w:type="dxa"/>
            <w:tcBorders>
              <w:top w:val="nil"/>
              <w:left w:val="nil"/>
              <w:bottom w:val="single" w:sz="4" w:space="0" w:color="auto"/>
              <w:right w:val="single" w:sz="4" w:space="0" w:color="auto"/>
            </w:tcBorders>
            <w:shd w:val="clear" w:color="auto" w:fill="auto"/>
            <w:vAlign w:val="center"/>
            <w:hideMark/>
          </w:tcPr>
          <w:p w14:paraId="32DA8854"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113.73</w:t>
            </w:r>
          </w:p>
        </w:tc>
        <w:tc>
          <w:tcPr>
            <w:tcW w:w="851" w:type="dxa"/>
            <w:tcBorders>
              <w:top w:val="nil"/>
              <w:left w:val="nil"/>
              <w:bottom w:val="single" w:sz="4" w:space="0" w:color="auto"/>
              <w:right w:val="single" w:sz="4" w:space="0" w:color="auto"/>
            </w:tcBorders>
            <w:shd w:val="clear" w:color="auto" w:fill="auto"/>
            <w:vAlign w:val="center"/>
            <w:hideMark/>
          </w:tcPr>
          <w:p w14:paraId="04ACD9C8"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56.2%</w:t>
            </w:r>
          </w:p>
        </w:tc>
        <w:tc>
          <w:tcPr>
            <w:tcW w:w="850" w:type="dxa"/>
            <w:tcBorders>
              <w:top w:val="nil"/>
              <w:left w:val="nil"/>
              <w:bottom w:val="single" w:sz="4" w:space="0" w:color="auto"/>
              <w:right w:val="single" w:sz="4" w:space="0" w:color="auto"/>
            </w:tcBorders>
            <w:shd w:val="clear" w:color="auto" w:fill="auto"/>
            <w:vAlign w:val="center"/>
            <w:hideMark/>
          </w:tcPr>
          <w:p w14:paraId="762B8A45"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54.4%</w:t>
            </w:r>
          </w:p>
        </w:tc>
        <w:tc>
          <w:tcPr>
            <w:tcW w:w="236" w:type="dxa"/>
            <w:vAlign w:val="center"/>
            <w:hideMark/>
          </w:tcPr>
          <w:p w14:paraId="7F64773E" w14:textId="77777777" w:rsidR="002C5546" w:rsidRPr="002C5546" w:rsidRDefault="002C5546" w:rsidP="002C5546">
            <w:pPr>
              <w:spacing w:before="0" w:after="0" w:line="240" w:lineRule="auto"/>
              <w:jc w:val="left"/>
              <w:rPr>
                <w:rFonts w:ascii="Times New Roman" w:eastAsia="Times New Roman" w:hAnsi="Times New Roman" w:cs="Times New Roman"/>
                <w:color w:val="auto"/>
                <w:sz w:val="20"/>
                <w:szCs w:val="20"/>
                <w:lang w:val="en-US"/>
              </w:rPr>
            </w:pPr>
          </w:p>
        </w:tc>
      </w:tr>
      <w:tr w:rsidR="004B562E" w:rsidRPr="002C5546" w14:paraId="45E009C5" w14:textId="77777777" w:rsidTr="00A862D0">
        <w:trPr>
          <w:trHeight w:val="540"/>
        </w:trPr>
        <w:tc>
          <w:tcPr>
            <w:tcW w:w="3047" w:type="dxa"/>
            <w:tcBorders>
              <w:top w:val="nil"/>
              <w:left w:val="single" w:sz="4" w:space="0" w:color="auto"/>
              <w:bottom w:val="single" w:sz="4" w:space="0" w:color="auto"/>
              <w:right w:val="single" w:sz="4" w:space="0" w:color="auto"/>
            </w:tcBorders>
            <w:shd w:val="clear" w:color="auto" w:fill="auto"/>
            <w:vAlign w:val="center"/>
            <w:hideMark/>
          </w:tcPr>
          <w:p w14:paraId="3B4D8A14" w14:textId="77777777" w:rsidR="002C5546" w:rsidRPr="002C5546" w:rsidRDefault="002C5546" w:rsidP="002C5546">
            <w:pPr>
              <w:spacing w:before="0" w:after="0" w:line="240" w:lineRule="auto"/>
              <w:rPr>
                <w:rFonts w:eastAsia="Times New Roman" w:cs="Calibri"/>
                <w:i/>
                <w:iCs/>
                <w:color w:val="000000"/>
                <w:sz w:val="18"/>
                <w:szCs w:val="18"/>
                <w:lang w:val="en-US"/>
              </w:rPr>
            </w:pPr>
            <w:r w:rsidRPr="002C5546">
              <w:rPr>
                <w:rFonts w:eastAsia="Times New Roman" w:cs="Calibri"/>
                <w:i/>
                <w:iCs/>
                <w:color w:val="000000"/>
                <w:sz w:val="18"/>
                <w:szCs w:val="18"/>
                <w:lang w:val="en-US"/>
              </w:rPr>
              <w:t>w sektorze MŚP</w:t>
            </w:r>
          </w:p>
        </w:tc>
        <w:tc>
          <w:tcPr>
            <w:tcW w:w="1134" w:type="dxa"/>
            <w:tcBorders>
              <w:top w:val="nil"/>
              <w:left w:val="nil"/>
              <w:bottom w:val="single" w:sz="4" w:space="0" w:color="auto"/>
              <w:right w:val="single" w:sz="4" w:space="0" w:color="auto"/>
            </w:tcBorders>
            <w:shd w:val="clear" w:color="auto" w:fill="auto"/>
            <w:vAlign w:val="center"/>
            <w:hideMark/>
          </w:tcPr>
          <w:p w14:paraId="28B6EC58"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82,590</w:t>
            </w:r>
          </w:p>
        </w:tc>
        <w:tc>
          <w:tcPr>
            <w:tcW w:w="1134" w:type="dxa"/>
            <w:tcBorders>
              <w:top w:val="nil"/>
              <w:left w:val="nil"/>
              <w:bottom w:val="single" w:sz="4" w:space="0" w:color="auto"/>
              <w:right w:val="single" w:sz="4" w:space="0" w:color="auto"/>
            </w:tcBorders>
            <w:shd w:val="clear" w:color="auto" w:fill="auto"/>
            <w:vAlign w:val="center"/>
            <w:hideMark/>
          </w:tcPr>
          <w:p w14:paraId="0C95C5F6"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90,043</w:t>
            </w:r>
          </w:p>
        </w:tc>
        <w:tc>
          <w:tcPr>
            <w:tcW w:w="1134" w:type="dxa"/>
            <w:tcBorders>
              <w:top w:val="nil"/>
              <w:left w:val="nil"/>
              <w:bottom w:val="single" w:sz="4" w:space="0" w:color="auto"/>
              <w:right w:val="single" w:sz="4" w:space="0" w:color="auto"/>
            </w:tcBorders>
            <w:shd w:val="clear" w:color="auto" w:fill="auto"/>
            <w:vAlign w:val="center"/>
            <w:hideMark/>
          </w:tcPr>
          <w:p w14:paraId="68D8279C"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99,473</w:t>
            </w:r>
          </w:p>
        </w:tc>
        <w:tc>
          <w:tcPr>
            <w:tcW w:w="992" w:type="dxa"/>
            <w:tcBorders>
              <w:top w:val="nil"/>
              <w:left w:val="nil"/>
              <w:bottom w:val="single" w:sz="4" w:space="0" w:color="auto"/>
              <w:right w:val="single" w:sz="4" w:space="0" w:color="auto"/>
            </w:tcBorders>
            <w:shd w:val="clear" w:color="auto" w:fill="auto"/>
            <w:vAlign w:val="center"/>
            <w:hideMark/>
          </w:tcPr>
          <w:p w14:paraId="4774832F"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110.47</w:t>
            </w:r>
          </w:p>
        </w:tc>
        <w:tc>
          <w:tcPr>
            <w:tcW w:w="851" w:type="dxa"/>
            <w:tcBorders>
              <w:top w:val="nil"/>
              <w:left w:val="nil"/>
              <w:bottom w:val="single" w:sz="4" w:space="0" w:color="auto"/>
              <w:right w:val="single" w:sz="4" w:space="0" w:color="auto"/>
            </w:tcBorders>
            <w:shd w:val="clear" w:color="auto" w:fill="auto"/>
            <w:vAlign w:val="center"/>
            <w:hideMark/>
          </w:tcPr>
          <w:p w14:paraId="5BD9710C"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43.8%</w:t>
            </w:r>
          </w:p>
        </w:tc>
        <w:tc>
          <w:tcPr>
            <w:tcW w:w="850" w:type="dxa"/>
            <w:tcBorders>
              <w:top w:val="nil"/>
              <w:left w:val="nil"/>
              <w:bottom w:val="single" w:sz="4" w:space="0" w:color="auto"/>
              <w:right w:val="single" w:sz="4" w:space="0" w:color="auto"/>
            </w:tcBorders>
            <w:shd w:val="clear" w:color="auto" w:fill="auto"/>
            <w:vAlign w:val="center"/>
            <w:hideMark/>
          </w:tcPr>
          <w:p w14:paraId="3FD2C46F" w14:textId="77777777" w:rsidR="002C5546" w:rsidRPr="002C5546" w:rsidRDefault="002C5546" w:rsidP="002C5546">
            <w:pPr>
              <w:spacing w:before="0" w:after="0" w:line="240" w:lineRule="auto"/>
              <w:jc w:val="right"/>
              <w:rPr>
                <w:rFonts w:eastAsia="Times New Roman" w:cs="Calibri"/>
                <w:color w:val="000000"/>
                <w:sz w:val="18"/>
                <w:szCs w:val="18"/>
                <w:lang w:val="en-US"/>
              </w:rPr>
            </w:pPr>
            <w:r w:rsidRPr="002C5546">
              <w:rPr>
                <w:rFonts w:eastAsia="Times New Roman" w:cs="Calibri"/>
                <w:color w:val="000000"/>
                <w:sz w:val="18"/>
                <w:szCs w:val="18"/>
                <w:lang w:val="en-US"/>
              </w:rPr>
              <w:t>45.6%</w:t>
            </w:r>
          </w:p>
        </w:tc>
        <w:tc>
          <w:tcPr>
            <w:tcW w:w="236" w:type="dxa"/>
            <w:vAlign w:val="center"/>
            <w:hideMark/>
          </w:tcPr>
          <w:p w14:paraId="13C69F75" w14:textId="77777777" w:rsidR="002C5546" w:rsidRPr="002C5546" w:rsidRDefault="002C5546" w:rsidP="002C5546">
            <w:pPr>
              <w:spacing w:before="0" w:after="0" w:line="240" w:lineRule="auto"/>
              <w:jc w:val="left"/>
              <w:rPr>
                <w:rFonts w:ascii="Times New Roman" w:eastAsia="Times New Roman" w:hAnsi="Times New Roman" w:cs="Times New Roman"/>
                <w:color w:val="auto"/>
                <w:sz w:val="20"/>
                <w:szCs w:val="20"/>
                <w:lang w:val="en-US"/>
              </w:rPr>
            </w:pPr>
          </w:p>
        </w:tc>
      </w:tr>
    </w:tbl>
    <w:p w14:paraId="5434927E" w14:textId="573F87C2" w:rsidR="00651AA9" w:rsidRPr="008A2501" w:rsidRDefault="00651AA9" w:rsidP="002647FB">
      <w:pPr>
        <w:pStyle w:val="Bezodstpw"/>
        <w:spacing w:after="0"/>
      </w:pPr>
      <w:r w:rsidRPr="008A2501">
        <w:t>*</w:t>
      </w:r>
      <w:r w:rsidR="00B80054">
        <w:t xml:space="preserve"> W</w:t>
      </w:r>
      <w:r w:rsidRPr="008A2501">
        <w:t xml:space="preserve"> tym wydatki na zakup używanych środków trwałych</w:t>
      </w:r>
      <w:r w:rsidR="00B80054">
        <w:t>.</w:t>
      </w:r>
    </w:p>
    <w:p w14:paraId="7FE4D319" w14:textId="3B480986" w:rsidR="00651AA9" w:rsidRPr="008A2501" w:rsidRDefault="00651AA9" w:rsidP="002647FB">
      <w:pPr>
        <w:pStyle w:val="Bezodstpw"/>
      </w:pPr>
      <w:r w:rsidRPr="008A2501">
        <w:t xml:space="preserve">Źródło: </w:t>
      </w:r>
      <w:r w:rsidR="00E46A26">
        <w:t xml:space="preserve"> </w:t>
      </w:r>
      <w:r w:rsidR="00B822CB">
        <w:t xml:space="preserve">Opracowanie </w:t>
      </w:r>
      <w:r w:rsidR="003A56DA">
        <w:t>MRiT</w:t>
      </w:r>
      <w:r w:rsidR="003A5EA7">
        <w:t xml:space="preserve"> </w:t>
      </w:r>
      <w:r w:rsidR="00E46A26">
        <w:t xml:space="preserve">na podstawie danych </w:t>
      </w:r>
      <w:r w:rsidRPr="008A2501">
        <w:t>GUS</w:t>
      </w:r>
      <w:r w:rsidR="00E46A26">
        <w:t xml:space="preserve"> (20</w:t>
      </w:r>
      <w:r w:rsidR="002C5546">
        <w:t>20</w:t>
      </w:r>
      <w:r w:rsidR="00E46A26">
        <w:t>)</w:t>
      </w:r>
    </w:p>
    <w:p w14:paraId="0883526F" w14:textId="119845A8" w:rsidR="00322218" w:rsidRDefault="00B80054" w:rsidP="00322218">
      <w:r>
        <w:t>W a</w:t>
      </w:r>
      <w:r w:rsidR="00651AA9" w:rsidRPr="008A2501">
        <w:t>naliz</w:t>
      </w:r>
      <w:r>
        <w:t>ie</w:t>
      </w:r>
      <w:r w:rsidR="00651AA9" w:rsidRPr="008A2501">
        <w:t xml:space="preserve"> struktur</w:t>
      </w:r>
      <w:r>
        <w:t>y</w:t>
      </w:r>
      <w:r w:rsidR="00651AA9" w:rsidRPr="008A2501">
        <w:t xml:space="preserve"> wielkościow</w:t>
      </w:r>
      <w:r>
        <w:t>ej</w:t>
      </w:r>
      <w:r w:rsidR="00651AA9" w:rsidRPr="008A2501">
        <w:t xml:space="preserve"> krajowych przedsiębiorstw uwagę zwraca nieznaczna nadreprezentacja  firm mikro</w:t>
      </w:r>
      <w:r w:rsidR="006343E1">
        <w:t xml:space="preserve"> </w:t>
      </w:r>
      <w:r w:rsidR="006343E1" w:rsidRPr="008A2501">
        <w:t>w</w:t>
      </w:r>
      <w:r w:rsidR="006343E1">
        <w:t> </w:t>
      </w:r>
      <w:r w:rsidR="00651AA9" w:rsidRPr="008A2501">
        <w:t>stosunku do średniej unijnej (+2,</w:t>
      </w:r>
      <w:r w:rsidR="00EA13A9">
        <w:t>6</w:t>
      </w:r>
      <w:r w:rsidR="00651AA9" w:rsidRPr="008A2501">
        <w:t xml:space="preserve"> p</w:t>
      </w:r>
      <w:r>
        <w:t>kt</w:t>
      </w:r>
      <w:r w:rsidR="00651AA9" w:rsidRPr="008A2501">
        <w:t>.</w:t>
      </w:r>
      <w:r>
        <w:t xml:space="preserve"> </w:t>
      </w:r>
      <w:r w:rsidR="00651AA9" w:rsidRPr="008A2501">
        <w:t>p</w:t>
      </w:r>
      <w:r>
        <w:t>roc</w:t>
      </w:r>
      <w:r w:rsidR="00651AA9" w:rsidRPr="008A2501">
        <w:t>.) kosztem zmniejszonego udziału małych</w:t>
      </w:r>
      <w:r w:rsidRPr="00B80054">
        <w:t xml:space="preserve"> </w:t>
      </w:r>
      <w:r w:rsidRPr="008A2501">
        <w:t>firm</w:t>
      </w:r>
      <w:r w:rsidR="00651AA9" w:rsidRPr="008A2501">
        <w:t xml:space="preserve">.  </w:t>
      </w:r>
      <w:r w:rsidR="00EA13A9">
        <w:t>Polskie mikrofirmy charakteryzują się wyraźnie większym odsetkiem zatrudnionych niż średnio</w:t>
      </w:r>
      <w:r w:rsidR="006343E1">
        <w:t xml:space="preserve"> w </w:t>
      </w:r>
      <w:r w:rsidR="00EA13A9">
        <w:t>U</w:t>
      </w:r>
      <w:r>
        <w:t xml:space="preserve">nii </w:t>
      </w:r>
      <w:r w:rsidR="00EA13A9">
        <w:t>E</w:t>
      </w:r>
      <w:r>
        <w:t>uropejskiej</w:t>
      </w:r>
      <w:r w:rsidR="00EA13A9">
        <w:t>.</w:t>
      </w:r>
      <w:r w:rsidR="006343E1">
        <w:t xml:space="preserve"> Z </w:t>
      </w:r>
      <w:r w:rsidR="00EA13A9">
        <w:t>kolei</w:t>
      </w:r>
      <w:r w:rsidR="006343E1">
        <w:t xml:space="preserve"> w </w:t>
      </w:r>
      <w:r w:rsidR="00EA13A9">
        <w:t>przypadku małych</w:t>
      </w:r>
      <w:r w:rsidRPr="00B80054">
        <w:t xml:space="preserve"> </w:t>
      </w:r>
      <w:r>
        <w:t>firm</w:t>
      </w:r>
      <w:r w:rsidR="00EA13A9">
        <w:t xml:space="preserve"> występuje odwrotna (i silniejsza) dysproporcja.</w:t>
      </w:r>
      <w:r w:rsidR="006343E1">
        <w:t xml:space="preserve"> W </w:t>
      </w:r>
      <w:r w:rsidR="00EA13A9">
        <w:t xml:space="preserve">porównaniu do UE polski sektor MŚP ma niższy </w:t>
      </w:r>
      <w:r w:rsidR="00651AA9" w:rsidRPr="00C80FA8">
        <w:t>udział</w:t>
      </w:r>
      <w:r w:rsidR="006343E1">
        <w:t xml:space="preserve"> </w:t>
      </w:r>
      <w:r w:rsidR="006343E1" w:rsidRPr="00C80FA8">
        <w:t>w</w:t>
      </w:r>
      <w:r w:rsidR="006343E1">
        <w:t> </w:t>
      </w:r>
      <w:r w:rsidR="00651AA9" w:rsidRPr="008A2501">
        <w:t>wytwarzanej wartości dodanej</w:t>
      </w:r>
      <w:r w:rsidR="00EA13A9">
        <w:t xml:space="preserve"> (względem dużych firm)</w:t>
      </w:r>
      <w:r w:rsidR="00651AA9" w:rsidRPr="008A2501">
        <w:t xml:space="preserve">. </w:t>
      </w:r>
      <w:r w:rsidR="00EA13A9">
        <w:t xml:space="preserve">Warto jednak zwrócić uwagę na relatywną siłę </w:t>
      </w:r>
      <w:r w:rsidR="00651AA9" w:rsidRPr="008A2501">
        <w:t>średni</w:t>
      </w:r>
      <w:r w:rsidR="00EA13A9">
        <w:t>ch</w:t>
      </w:r>
      <w:r w:rsidR="00651AA9" w:rsidRPr="008A2501">
        <w:t xml:space="preserve"> polski</w:t>
      </w:r>
      <w:r w:rsidR="00EA13A9">
        <w:t>ch</w:t>
      </w:r>
      <w:r w:rsidR="00651AA9" w:rsidRPr="008A2501">
        <w:t xml:space="preserve"> przedsiębiorstw. Chociaż ich udział wśród aktywnych podmiotów jest identyczny jak</w:t>
      </w:r>
      <w:r w:rsidR="006343E1">
        <w:t xml:space="preserve"> </w:t>
      </w:r>
      <w:r w:rsidR="006343E1" w:rsidRPr="008A2501">
        <w:t>w</w:t>
      </w:r>
      <w:r w:rsidR="006343E1">
        <w:t> </w:t>
      </w:r>
      <w:r w:rsidR="00651AA9" w:rsidRPr="008A2501">
        <w:t>UE-28 (0,9%), to jednak ich rola jako pracodawców oraz twórców wartości dodanej jest ponadprzeciętna na tle średnich firm U</w:t>
      </w:r>
      <w:r>
        <w:t>nii</w:t>
      </w:r>
      <w:r w:rsidR="00651AA9" w:rsidRPr="008A2501">
        <w:t>E</w:t>
      </w:r>
      <w:r>
        <w:t>uropejskiej</w:t>
      </w:r>
      <w:r w:rsidR="00651AA9" w:rsidRPr="008A2501">
        <w:t>.</w:t>
      </w:r>
    </w:p>
    <w:p w14:paraId="30FE129D" w14:textId="0C901092" w:rsidR="00651AA9" w:rsidRPr="00A7637E" w:rsidRDefault="00A7637E" w:rsidP="00027674">
      <w:pPr>
        <w:pStyle w:val="Nagwek4"/>
      </w:pPr>
      <w:r w:rsidRPr="006365AA">
        <w:t xml:space="preserve">Tabela </w:t>
      </w:r>
      <w:r w:rsidR="00311B4A">
        <w:rPr>
          <w:noProof/>
        </w:rPr>
        <w:t>6</w:t>
      </w:r>
      <w:r w:rsidRPr="006365AA">
        <w:t xml:space="preserve">. </w:t>
      </w:r>
      <w:r w:rsidR="00651AA9" w:rsidRPr="00A7637E">
        <w:t>Struktura polskich firm na tle UE-28 (201</w:t>
      </w:r>
      <w:r w:rsidR="008E3612">
        <w:t>7</w:t>
      </w:r>
      <w:r w:rsidR="00651AA9" w:rsidRPr="00A7637E">
        <w:t>)</w:t>
      </w:r>
      <w:r w:rsidR="00557757">
        <w:t xml:space="preserve"> </w:t>
      </w:r>
    </w:p>
    <w:p w14:paraId="5ED56B98" w14:textId="77777777" w:rsidR="00F8351D" w:rsidRPr="00F8351D" w:rsidRDefault="00F8351D" w:rsidP="00CB07D4"/>
    <w:tbl>
      <w:tblPr>
        <w:tblW w:w="5456" w:type="dxa"/>
        <w:jc w:val="center"/>
        <w:tblLayout w:type="fixed"/>
        <w:tblCellMar>
          <w:left w:w="70" w:type="dxa"/>
          <w:right w:w="70" w:type="dxa"/>
        </w:tblCellMar>
        <w:tblLook w:val="04A0" w:firstRow="1" w:lastRow="0" w:firstColumn="1" w:lastColumn="0" w:noHBand="0" w:noVBand="1"/>
      </w:tblPr>
      <w:tblGrid>
        <w:gridCol w:w="1204"/>
        <w:gridCol w:w="709"/>
        <w:gridCol w:w="708"/>
        <w:gridCol w:w="709"/>
        <w:gridCol w:w="709"/>
        <w:gridCol w:w="709"/>
        <w:gridCol w:w="708"/>
      </w:tblGrid>
      <w:tr w:rsidR="00181A7D" w:rsidRPr="00254AB9" w14:paraId="3C01F242" w14:textId="77777777" w:rsidTr="006365AA">
        <w:trPr>
          <w:trHeight w:val="255"/>
          <w:jc w:val="center"/>
        </w:trPr>
        <w:tc>
          <w:tcPr>
            <w:tcW w:w="1204" w:type="dxa"/>
            <w:vMerge w:val="restart"/>
            <w:tcBorders>
              <w:top w:val="single" w:sz="4" w:space="0" w:color="auto"/>
              <w:left w:val="single" w:sz="4" w:space="0" w:color="auto"/>
              <w:bottom w:val="single" w:sz="4" w:space="0" w:color="000000"/>
              <w:right w:val="single" w:sz="4" w:space="0" w:color="auto"/>
            </w:tcBorders>
            <w:shd w:val="clear" w:color="auto" w:fill="365F91"/>
            <w:vAlign w:val="center"/>
            <w:hideMark/>
          </w:tcPr>
          <w:p w14:paraId="1E1CE3E9" w14:textId="77777777" w:rsidR="00651AA9" w:rsidRPr="008A2501" w:rsidRDefault="00651AA9" w:rsidP="00223352">
            <w:pPr>
              <w:spacing w:after="0" w:line="240" w:lineRule="auto"/>
              <w:jc w:val="center"/>
              <w:rPr>
                <w:rFonts w:eastAsia="Times New Roman" w:cs="Calibri"/>
                <w:b/>
                <w:color w:val="FFFFFF"/>
                <w:sz w:val="18"/>
                <w:szCs w:val="18"/>
                <w:lang w:eastAsia="pl-PL"/>
              </w:rPr>
            </w:pPr>
            <w:r w:rsidRPr="008A2501">
              <w:rPr>
                <w:rFonts w:eastAsia="Times New Roman" w:cs="Calibri"/>
                <w:b/>
                <w:color w:val="FFFFFF"/>
                <w:sz w:val="18"/>
                <w:szCs w:val="18"/>
                <w:lang w:eastAsia="pl-PL"/>
              </w:rPr>
              <w:t>Klasa wielkości</w:t>
            </w:r>
          </w:p>
        </w:tc>
        <w:tc>
          <w:tcPr>
            <w:tcW w:w="1417" w:type="dxa"/>
            <w:gridSpan w:val="2"/>
            <w:tcBorders>
              <w:top w:val="single" w:sz="4" w:space="0" w:color="auto"/>
              <w:left w:val="nil"/>
              <w:bottom w:val="single" w:sz="4" w:space="0" w:color="auto"/>
              <w:right w:val="single" w:sz="4" w:space="0" w:color="auto"/>
            </w:tcBorders>
            <w:shd w:val="clear" w:color="auto" w:fill="365F91"/>
            <w:vAlign w:val="center"/>
            <w:hideMark/>
          </w:tcPr>
          <w:p w14:paraId="55601113" w14:textId="77777777" w:rsidR="00651AA9" w:rsidRPr="008A2501" w:rsidRDefault="00651AA9" w:rsidP="00223352">
            <w:pPr>
              <w:spacing w:after="0" w:line="240" w:lineRule="auto"/>
              <w:jc w:val="center"/>
              <w:rPr>
                <w:rFonts w:eastAsia="Times New Roman" w:cs="Calibri"/>
                <w:b/>
                <w:color w:val="FFFFFF"/>
                <w:sz w:val="18"/>
                <w:szCs w:val="18"/>
                <w:lang w:eastAsia="pl-PL"/>
              </w:rPr>
            </w:pPr>
            <w:r w:rsidRPr="008A2501">
              <w:rPr>
                <w:rFonts w:eastAsia="Times New Roman" w:cs="Calibri"/>
                <w:b/>
                <w:color w:val="FFFFFF"/>
                <w:sz w:val="18"/>
                <w:szCs w:val="18"/>
                <w:lang w:eastAsia="pl-PL"/>
              </w:rPr>
              <w:t>Struktura podmiotów</w:t>
            </w:r>
          </w:p>
        </w:tc>
        <w:tc>
          <w:tcPr>
            <w:tcW w:w="1418" w:type="dxa"/>
            <w:gridSpan w:val="2"/>
            <w:tcBorders>
              <w:top w:val="single" w:sz="4" w:space="0" w:color="auto"/>
              <w:left w:val="nil"/>
              <w:bottom w:val="single" w:sz="4" w:space="0" w:color="auto"/>
              <w:right w:val="single" w:sz="4" w:space="0" w:color="auto"/>
            </w:tcBorders>
            <w:shd w:val="clear" w:color="auto" w:fill="365F91"/>
            <w:vAlign w:val="center"/>
            <w:hideMark/>
          </w:tcPr>
          <w:p w14:paraId="617BDEEA" w14:textId="77777777" w:rsidR="00651AA9" w:rsidRPr="008A2501" w:rsidRDefault="00651AA9" w:rsidP="00223352">
            <w:pPr>
              <w:spacing w:after="0" w:line="240" w:lineRule="auto"/>
              <w:jc w:val="center"/>
              <w:rPr>
                <w:rFonts w:eastAsia="Times New Roman" w:cs="Calibri"/>
                <w:b/>
                <w:color w:val="FFFFFF"/>
                <w:sz w:val="18"/>
                <w:szCs w:val="18"/>
                <w:lang w:eastAsia="pl-PL"/>
              </w:rPr>
            </w:pPr>
            <w:r w:rsidRPr="008A2501">
              <w:rPr>
                <w:rFonts w:eastAsia="Times New Roman" w:cs="Calibri"/>
                <w:b/>
                <w:color w:val="FFFFFF"/>
                <w:sz w:val="18"/>
                <w:szCs w:val="18"/>
                <w:lang w:eastAsia="pl-PL"/>
              </w:rPr>
              <w:t>Zatrudnienie</w:t>
            </w:r>
          </w:p>
        </w:tc>
        <w:tc>
          <w:tcPr>
            <w:tcW w:w="1417" w:type="dxa"/>
            <w:gridSpan w:val="2"/>
            <w:tcBorders>
              <w:top w:val="single" w:sz="4" w:space="0" w:color="auto"/>
              <w:left w:val="nil"/>
              <w:bottom w:val="single" w:sz="4" w:space="0" w:color="auto"/>
              <w:right w:val="single" w:sz="4" w:space="0" w:color="auto"/>
            </w:tcBorders>
            <w:shd w:val="clear" w:color="auto" w:fill="365F91"/>
            <w:vAlign w:val="center"/>
            <w:hideMark/>
          </w:tcPr>
          <w:p w14:paraId="6823AF1E" w14:textId="77777777" w:rsidR="00651AA9" w:rsidRPr="008A2501" w:rsidRDefault="00651AA9" w:rsidP="00223352">
            <w:pPr>
              <w:spacing w:after="0" w:line="240" w:lineRule="auto"/>
              <w:jc w:val="center"/>
              <w:rPr>
                <w:rFonts w:eastAsia="Times New Roman" w:cs="Calibri"/>
                <w:b/>
                <w:color w:val="FFFFFF"/>
                <w:sz w:val="18"/>
                <w:szCs w:val="18"/>
                <w:lang w:eastAsia="pl-PL"/>
              </w:rPr>
            </w:pPr>
            <w:r w:rsidRPr="008A2501">
              <w:rPr>
                <w:rFonts w:eastAsia="Times New Roman" w:cs="Calibri"/>
                <w:b/>
                <w:color w:val="FFFFFF"/>
                <w:sz w:val="18"/>
                <w:szCs w:val="18"/>
                <w:lang w:eastAsia="pl-PL"/>
              </w:rPr>
              <w:t>Wartość dodana</w:t>
            </w:r>
          </w:p>
        </w:tc>
      </w:tr>
      <w:tr w:rsidR="00181A7D" w:rsidRPr="00254AB9" w14:paraId="700F6E11" w14:textId="77777777" w:rsidTr="006365AA">
        <w:trPr>
          <w:trHeight w:val="255"/>
          <w:jc w:val="center"/>
        </w:trPr>
        <w:tc>
          <w:tcPr>
            <w:tcW w:w="1204" w:type="dxa"/>
            <w:vMerge/>
            <w:tcBorders>
              <w:top w:val="single" w:sz="4" w:space="0" w:color="auto"/>
              <w:left w:val="single" w:sz="4" w:space="0" w:color="auto"/>
              <w:bottom w:val="single" w:sz="4" w:space="0" w:color="000000"/>
              <w:right w:val="single" w:sz="4" w:space="0" w:color="auto"/>
            </w:tcBorders>
            <w:shd w:val="clear" w:color="auto" w:fill="365F91"/>
            <w:vAlign w:val="center"/>
            <w:hideMark/>
          </w:tcPr>
          <w:p w14:paraId="31B79815" w14:textId="77777777" w:rsidR="00651AA9" w:rsidRPr="008A2501" w:rsidRDefault="00651AA9" w:rsidP="00223352">
            <w:pPr>
              <w:spacing w:after="0" w:line="240" w:lineRule="auto"/>
              <w:rPr>
                <w:rFonts w:eastAsia="Times New Roman" w:cs="Calibri"/>
                <w:b/>
                <w:color w:val="FFFFFF"/>
                <w:sz w:val="18"/>
                <w:szCs w:val="18"/>
                <w:lang w:eastAsia="pl-PL"/>
              </w:rPr>
            </w:pPr>
          </w:p>
        </w:tc>
        <w:tc>
          <w:tcPr>
            <w:tcW w:w="709" w:type="dxa"/>
            <w:tcBorders>
              <w:top w:val="nil"/>
              <w:left w:val="nil"/>
              <w:bottom w:val="single" w:sz="4" w:space="0" w:color="auto"/>
              <w:right w:val="single" w:sz="4" w:space="0" w:color="auto"/>
            </w:tcBorders>
            <w:shd w:val="clear" w:color="auto" w:fill="365F91"/>
            <w:vAlign w:val="center"/>
            <w:hideMark/>
          </w:tcPr>
          <w:p w14:paraId="6B5229C1" w14:textId="77777777" w:rsidR="00651AA9" w:rsidRPr="008A2501" w:rsidRDefault="00651AA9" w:rsidP="00223352">
            <w:pPr>
              <w:spacing w:after="0" w:line="240" w:lineRule="auto"/>
              <w:jc w:val="center"/>
              <w:rPr>
                <w:rFonts w:eastAsia="Times New Roman" w:cs="Calibri"/>
                <w:b/>
                <w:color w:val="FFFFFF"/>
                <w:sz w:val="18"/>
                <w:szCs w:val="18"/>
                <w:lang w:eastAsia="pl-PL"/>
              </w:rPr>
            </w:pPr>
            <w:r w:rsidRPr="008A2501">
              <w:rPr>
                <w:rFonts w:eastAsia="Times New Roman" w:cs="Calibri"/>
                <w:b/>
                <w:color w:val="FFFFFF"/>
                <w:sz w:val="18"/>
                <w:szCs w:val="18"/>
                <w:lang w:eastAsia="pl-PL"/>
              </w:rPr>
              <w:t>Polska</w:t>
            </w:r>
          </w:p>
        </w:tc>
        <w:tc>
          <w:tcPr>
            <w:tcW w:w="708" w:type="dxa"/>
            <w:tcBorders>
              <w:top w:val="nil"/>
              <w:left w:val="nil"/>
              <w:bottom w:val="single" w:sz="4" w:space="0" w:color="auto"/>
              <w:right w:val="single" w:sz="4" w:space="0" w:color="auto"/>
            </w:tcBorders>
            <w:shd w:val="clear" w:color="auto" w:fill="365F91"/>
            <w:vAlign w:val="center"/>
            <w:hideMark/>
          </w:tcPr>
          <w:p w14:paraId="4A18BFEF" w14:textId="77777777" w:rsidR="00651AA9" w:rsidRPr="008A2501" w:rsidRDefault="00651AA9" w:rsidP="00223352">
            <w:pPr>
              <w:spacing w:after="0" w:line="240" w:lineRule="auto"/>
              <w:jc w:val="center"/>
              <w:rPr>
                <w:rFonts w:eastAsia="Times New Roman" w:cs="Calibri"/>
                <w:b/>
                <w:color w:val="FFFFFF"/>
                <w:sz w:val="18"/>
                <w:szCs w:val="18"/>
                <w:lang w:eastAsia="pl-PL"/>
              </w:rPr>
            </w:pPr>
            <w:r w:rsidRPr="008A2501">
              <w:rPr>
                <w:rFonts w:eastAsia="Times New Roman" w:cs="Calibri"/>
                <w:b/>
                <w:color w:val="FFFFFF"/>
                <w:sz w:val="18"/>
                <w:szCs w:val="18"/>
                <w:lang w:eastAsia="pl-PL"/>
              </w:rPr>
              <w:t>UE-28</w:t>
            </w:r>
          </w:p>
        </w:tc>
        <w:tc>
          <w:tcPr>
            <w:tcW w:w="709" w:type="dxa"/>
            <w:tcBorders>
              <w:top w:val="nil"/>
              <w:left w:val="nil"/>
              <w:bottom w:val="single" w:sz="4" w:space="0" w:color="auto"/>
              <w:right w:val="single" w:sz="4" w:space="0" w:color="auto"/>
            </w:tcBorders>
            <w:shd w:val="clear" w:color="auto" w:fill="365F91"/>
            <w:vAlign w:val="center"/>
            <w:hideMark/>
          </w:tcPr>
          <w:p w14:paraId="3288002D" w14:textId="77777777" w:rsidR="00651AA9" w:rsidRPr="008A2501" w:rsidRDefault="00651AA9" w:rsidP="00223352">
            <w:pPr>
              <w:spacing w:after="0" w:line="240" w:lineRule="auto"/>
              <w:jc w:val="center"/>
              <w:rPr>
                <w:rFonts w:eastAsia="Times New Roman" w:cs="Calibri"/>
                <w:b/>
                <w:color w:val="FFFFFF"/>
                <w:sz w:val="18"/>
                <w:szCs w:val="18"/>
                <w:lang w:eastAsia="pl-PL"/>
              </w:rPr>
            </w:pPr>
            <w:r w:rsidRPr="008A2501">
              <w:rPr>
                <w:rFonts w:eastAsia="Times New Roman" w:cs="Calibri"/>
                <w:b/>
                <w:color w:val="FFFFFF"/>
                <w:sz w:val="18"/>
                <w:szCs w:val="18"/>
                <w:lang w:eastAsia="pl-PL"/>
              </w:rPr>
              <w:t>Polska</w:t>
            </w:r>
          </w:p>
        </w:tc>
        <w:tc>
          <w:tcPr>
            <w:tcW w:w="709" w:type="dxa"/>
            <w:tcBorders>
              <w:top w:val="nil"/>
              <w:left w:val="nil"/>
              <w:bottom w:val="single" w:sz="4" w:space="0" w:color="auto"/>
              <w:right w:val="single" w:sz="4" w:space="0" w:color="auto"/>
            </w:tcBorders>
            <w:shd w:val="clear" w:color="auto" w:fill="365F91"/>
            <w:vAlign w:val="center"/>
            <w:hideMark/>
          </w:tcPr>
          <w:p w14:paraId="267B9BB6" w14:textId="77777777" w:rsidR="00651AA9" w:rsidRPr="008A2501" w:rsidRDefault="00651AA9" w:rsidP="00223352">
            <w:pPr>
              <w:spacing w:after="0" w:line="240" w:lineRule="auto"/>
              <w:jc w:val="center"/>
              <w:rPr>
                <w:rFonts w:eastAsia="Times New Roman" w:cs="Calibri"/>
                <w:b/>
                <w:color w:val="FFFFFF"/>
                <w:sz w:val="18"/>
                <w:szCs w:val="18"/>
                <w:lang w:eastAsia="pl-PL"/>
              </w:rPr>
            </w:pPr>
            <w:r w:rsidRPr="008A2501">
              <w:rPr>
                <w:rFonts w:eastAsia="Times New Roman" w:cs="Calibri"/>
                <w:b/>
                <w:color w:val="FFFFFF"/>
                <w:sz w:val="18"/>
                <w:szCs w:val="18"/>
                <w:lang w:eastAsia="pl-PL"/>
              </w:rPr>
              <w:t>UE-28</w:t>
            </w:r>
          </w:p>
        </w:tc>
        <w:tc>
          <w:tcPr>
            <w:tcW w:w="709" w:type="dxa"/>
            <w:tcBorders>
              <w:top w:val="nil"/>
              <w:left w:val="nil"/>
              <w:bottom w:val="single" w:sz="4" w:space="0" w:color="auto"/>
              <w:right w:val="single" w:sz="4" w:space="0" w:color="auto"/>
            </w:tcBorders>
            <w:shd w:val="clear" w:color="auto" w:fill="365F91"/>
            <w:vAlign w:val="center"/>
            <w:hideMark/>
          </w:tcPr>
          <w:p w14:paraId="6F115507" w14:textId="77777777" w:rsidR="00651AA9" w:rsidRPr="008A2501" w:rsidRDefault="00651AA9" w:rsidP="00223352">
            <w:pPr>
              <w:spacing w:after="0" w:line="240" w:lineRule="auto"/>
              <w:jc w:val="center"/>
              <w:rPr>
                <w:rFonts w:eastAsia="Times New Roman" w:cs="Calibri"/>
                <w:b/>
                <w:color w:val="FFFFFF"/>
                <w:sz w:val="18"/>
                <w:szCs w:val="18"/>
                <w:lang w:eastAsia="pl-PL"/>
              </w:rPr>
            </w:pPr>
            <w:r w:rsidRPr="008A2501">
              <w:rPr>
                <w:rFonts w:eastAsia="Times New Roman" w:cs="Calibri"/>
                <w:b/>
                <w:color w:val="FFFFFF"/>
                <w:sz w:val="18"/>
                <w:szCs w:val="18"/>
                <w:lang w:eastAsia="pl-PL"/>
              </w:rPr>
              <w:t>Polska</w:t>
            </w:r>
          </w:p>
        </w:tc>
        <w:tc>
          <w:tcPr>
            <w:tcW w:w="708" w:type="dxa"/>
            <w:tcBorders>
              <w:top w:val="nil"/>
              <w:left w:val="nil"/>
              <w:bottom w:val="single" w:sz="4" w:space="0" w:color="auto"/>
              <w:right w:val="single" w:sz="4" w:space="0" w:color="auto"/>
            </w:tcBorders>
            <w:shd w:val="clear" w:color="auto" w:fill="365F91"/>
            <w:vAlign w:val="center"/>
            <w:hideMark/>
          </w:tcPr>
          <w:p w14:paraId="06F7EB6D" w14:textId="77777777" w:rsidR="00651AA9" w:rsidRPr="008A2501" w:rsidRDefault="00651AA9" w:rsidP="00223352">
            <w:pPr>
              <w:spacing w:after="0" w:line="240" w:lineRule="auto"/>
              <w:jc w:val="center"/>
              <w:rPr>
                <w:rFonts w:eastAsia="Times New Roman" w:cs="Calibri"/>
                <w:b/>
                <w:color w:val="FFFFFF"/>
                <w:sz w:val="18"/>
                <w:szCs w:val="18"/>
                <w:lang w:eastAsia="pl-PL"/>
              </w:rPr>
            </w:pPr>
            <w:r w:rsidRPr="008A2501">
              <w:rPr>
                <w:rFonts w:eastAsia="Times New Roman" w:cs="Calibri"/>
                <w:b/>
                <w:color w:val="FFFFFF"/>
                <w:sz w:val="18"/>
                <w:szCs w:val="18"/>
                <w:lang w:eastAsia="pl-PL"/>
              </w:rPr>
              <w:t>UE-28</w:t>
            </w:r>
          </w:p>
        </w:tc>
      </w:tr>
      <w:tr w:rsidR="00181A7D" w:rsidRPr="00254AB9" w14:paraId="76579081" w14:textId="77777777" w:rsidTr="0054565D">
        <w:trPr>
          <w:trHeight w:val="255"/>
          <w:jc w:val="center"/>
        </w:trPr>
        <w:tc>
          <w:tcPr>
            <w:tcW w:w="1204" w:type="dxa"/>
            <w:tcBorders>
              <w:top w:val="nil"/>
              <w:left w:val="single" w:sz="4" w:space="0" w:color="auto"/>
              <w:bottom w:val="single" w:sz="4" w:space="0" w:color="auto"/>
              <w:right w:val="single" w:sz="4" w:space="0" w:color="auto"/>
            </w:tcBorders>
            <w:shd w:val="clear" w:color="000000" w:fill="FFFFFF"/>
            <w:noWrap/>
            <w:vAlign w:val="bottom"/>
            <w:hideMark/>
          </w:tcPr>
          <w:p w14:paraId="1AFE683B" w14:textId="77777777" w:rsidR="008E3612" w:rsidRPr="006011B3" w:rsidRDefault="008E3612" w:rsidP="00223352">
            <w:pPr>
              <w:spacing w:after="0" w:line="240" w:lineRule="auto"/>
              <w:rPr>
                <w:rFonts w:eastAsia="Times New Roman" w:cs="Calibri"/>
                <w:sz w:val="18"/>
                <w:szCs w:val="18"/>
                <w:lang w:eastAsia="pl-PL"/>
              </w:rPr>
            </w:pPr>
            <w:r w:rsidRPr="006011B3">
              <w:rPr>
                <w:rFonts w:eastAsia="Times New Roman" w:cs="Calibri"/>
                <w:sz w:val="18"/>
                <w:szCs w:val="18"/>
                <w:lang w:eastAsia="pl-PL"/>
              </w:rPr>
              <w:t>Mikro</w:t>
            </w:r>
          </w:p>
        </w:tc>
        <w:tc>
          <w:tcPr>
            <w:tcW w:w="709" w:type="dxa"/>
            <w:tcBorders>
              <w:top w:val="nil"/>
              <w:left w:val="nil"/>
              <w:bottom w:val="single" w:sz="4" w:space="0" w:color="auto"/>
              <w:right w:val="single" w:sz="4" w:space="0" w:color="auto"/>
            </w:tcBorders>
            <w:shd w:val="clear" w:color="000000" w:fill="FFFFFF"/>
            <w:noWrap/>
          </w:tcPr>
          <w:p w14:paraId="2CF16232" w14:textId="77777777" w:rsidR="008E3612" w:rsidRPr="006011B3" w:rsidRDefault="008E3612" w:rsidP="00223352">
            <w:pPr>
              <w:spacing w:after="0" w:line="240" w:lineRule="auto"/>
              <w:jc w:val="right"/>
              <w:rPr>
                <w:rFonts w:eastAsia="Times New Roman" w:cs="Calibri"/>
                <w:sz w:val="18"/>
                <w:szCs w:val="18"/>
                <w:lang w:eastAsia="pl-PL"/>
              </w:rPr>
            </w:pPr>
            <w:r>
              <w:rPr>
                <w:sz w:val="16"/>
                <w:szCs w:val="16"/>
              </w:rPr>
              <w:t xml:space="preserve">95.7 % </w:t>
            </w:r>
          </w:p>
        </w:tc>
        <w:tc>
          <w:tcPr>
            <w:tcW w:w="708" w:type="dxa"/>
            <w:tcBorders>
              <w:top w:val="nil"/>
              <w:left w:val="nil"/>
              <w:bottom w:val="single" w:sz="4" w:space="0" w:color="auto"/>
              <w:right w:val="single" w:sz="4" w:space="0" w:color="auto"/>
            </w:tcBorders>
            <w:shd w:val="clear" w:color="000000" w:fill="FFFFFF"/>
            <w:noWrap/>
          </w:tcPr>
          <w:p w14:paraId="4350EBEF" w14:textId="77777777" w:rsidR="008E3612" w:rsidRPr="006011B3" w:rsidRDefault="008E3612" w:rsidP="00223352">
            <w:pPr>
              <w:spacing w:after="0" w:line="240" w:lineRule="auto"/>
              <w:jc w:val="right"/>
              <w:rPr>
                <w:rFonts w:eastAsia="Times New Roman" w:cs="Calibri"/>
                <w:sz w:val="18"/>
                <w:szCs w:val="18"/>
                <w:lang w:eastAsia="pl-PL"/>
              </w:rPr>
            </w:pPr>
            <w:r>
              <w:rPr>
                <w:sz w:val="16"/>
                <w:szCs w:val="16"/>
              </w:rPr>
              <w:t xml:space="preserve">93.1 % </w:t>
            </w:r>
          </w:p>
        </w:tc>
        <w:tc>
          <w:tcPr>
            <w:tcW w:w="709" w:type="dxa"/>
            <w:tcBorders>
              <w:top w:val="nil"/>
              <w:left w:val="nil"/>
              <w:bottom w:val="single" w:sz="4" w:space="0" w:color="auto"/>
              <w:right w:val="single" w:sz="4" w:space="0" w:color="auto"/>
            </w:tcBorders>
            <w:shd w:val="clear" w:color="000000" w:fill="FFFFFF"/>
            <w:noWrap/>
            <w:hideMark/>
          </w:tcPr>
          <w:p w14:paraId="12780C83" w14:textId="77777777" w:rsidR="008E3612" w:rsidRPr="00254AB9" w:rsidRDefault="008E3612" w:rsidP="00223352">
            <w:pPr>
              <w:spacing w:after="0" w:line="240" w:lineRule="auto"/>
              <w:jc w:val="right"/>
              <w:rPr>
                <w:sz w:val="18"/>
              </w:rPr>
            </w:pPr>
            <w:r>
              <w:rPr>
                <w:sz w:val="16"/>
                <w:szCs w:val="16"/>
              </w:rPr>
              <w:t xml:space="preserve">37.8 % </w:t>
            </w:r>
          </w:p>
        </w:tc>
        <w:tc>
          <w:tcPr>
            <w:tcW w:w="709" w:type="dxa"/>
            <w:tcBorders>
              <w:top w:val="nil"/>
              <w:left w:val="nil"/>
              <w:bottom w:val="single" w:sz="4" w:space="0" w:color="auto"/>
              <w:right w:val="single" w:sz="4" w:space="0" w:color="auto"/>
            </w:tcBorders>
            <w:shd w:val="clear" w:color="000000" w:fill="FFFFFF"/>
            <w:noWrap/>
            <w:hideMark/>
          </w:tcPr>
          <w:p w14:paraId="2284CB84" w14:textId="77777777" w:rsidR="008E3612" w:rsidRPr="00254AB9" w:rsidRDefault="008E3612" w:rsidP="00223352">
            <w:pPr>
              <w:spacing w:after="0" w:line="240" w:lineRule="auto"/>
              <w:jc w:val="right"/>
              <w:rPr>
                <w:sz w:val="18"/>
              </w:rPr>
            </w:pPr>
            <w:r>
              <w:rPr>
                <w:i/>
                <w:iCs/>
                <w:sz w:val="16"/>
                <w:szCs w:val="16"/>
              </w:rPr>
              <w:t xml:space="preserve">29.4 % </w:t>
            </w:r>
          </w:p>
        </w:tc>
        <w:tc>
          <w:tcPr>
            <w:tcW w:w="709" w:type="dxa"/>
            <w:tcBorders>
              <w:top w:val="nil"/>
              <w:left w:val="nil"/>
              <w:bottom w:val="single" w:sz="4" w:space="0" w:color="auto"/>
              <w:right w:val="single" w:sz="4" w:space="0" w:color="auto"/>
            </w:tcBorders>
            <w:shd w:val="clear" w:color="000000" w:fill="FFFFFF"/>
            <w:noWrap/>
            <w:hideMark/>
          </w:tcPr>
          <w:p w14:paraId="5B805D32" w14:textId="77777777" w:rsidR="008E3612" w:rsidRPr="006011B3" w:rsidRDefault="008E3612" w:rsidP="00223352">
            <w:pPr>
              <w:spacing w:after="0" w:line="240" w:lineRule="auto"/>
              <w:jc w:val="right"/>
              <w:rPr>
                <w:rFonts w:eastAsia="Times New Roman" w:cs="Calibri"/>
                <w:sz w:val="18"/>
                <w:szCs w:val="18"/>
                <w:lang w:eastAsia="pl-PL"/>
              </w:rPr>
            </w:pPr>
            <w:r>
              <w:rPr>
                <w:sz w:val="16"/>
                <w:szCs w:val="16"/>
              </w:rPr>
              <w:t xml:space="preserve">16.5 % </w:t>
            </w:r>
          </w:p>
        </w:tc>
        <w:tc>
          <w:tcPr>
            <w:tcW w:w="708" w:type="dxa"/>
            <w:tcBorders>
              <w:top w:val="nil"/>
              <w:left w:val="nil"/>
              <w:bottom w:val="single" w:sz="4" w:space="0" w:color="auto"/>
              <w:right w:val="single" w:sz="4" w:space="0" w:color="auto"/>
            </w:tcBorders>
            <w:shd w:val="clear" w:color="000000" w:fill="FFFFFF"/>
            <w:noWrap/>
            <w:hideMark/>
          </w:tcPr>
          <w:p w14:paraId="668423A0" w14:textId="77777777" w:rsidR="008E3612" w:rsidRPr="006011B3" w:rsidRDefault="008E3612" w:rsidP="00223352">
            <w:pPr>
              <w:spacing w:after="0" w:line="240" w:lineRule="auto"/>
              <w:jc w:val="right"/>
              <w:rPr>
                <w:rFonts w:eastAsia="Times New Roman" w:cs="Calibri"/>
                <w:sz w:val="18"/>
                <w:szCs w:val="18"/>
                <w:lang w:eastAsia="pl-PL"/>
              </w:rPr>
            </w:pPr>
            <w:r>
              <w:rPr>
                <w:i/>
                <w:iCs/>
                <w:sz w:val="16"/>
                <w:szCs w:val="16"/>
              </w:rPr>
              <w:t xml:space="preserve">20.7 % </w:t>
            </w:r>
          </w:p>
        </w:tc>
      </w:tr>
      <w:tr w:rsidR="00181A7D" w:rsidRPr="00254AB9" w14:paraId="7C12FEF3" w14:textId="77777777" w:rsidTr="0054565D">
        <w:trPr>
          <w:trHeight w:val="255"/>
          <w:jc w:val="center"/>
        </w:trPr>
        <w:tc>
          <w:tcPr>
            <w:tcW w:w="1204" w:type="dxa"/>
            <w:tcBorders>
              <w:top w:val="nil"/>
              <w:left w:val="single" w:sz="4" w:space="0" w:color="auto"/>
              <w:bottom w:val="single" w:sz="4" w:space="0" w:color="auto"/>
              <w:right w:val="single" w:sz="4" w:space="0" w:color="auto"/>
            </w:tcBorders>
            <w:shd w:val="clear" w:color="000000" w:fill="FFFFFF"/>
            <w:noWrap/>
            <w:vAlign w:val="bottom"/>
            <w:hideMark/>
          </w:tcPr>
          <w:p w14:paraId="184FADD6" w14:textId="77777777" w:rsidR="008E3612" w:rsidRPr="006011B3" w:rsidRDefault="008E3612" w:rsidP="00223352">
            <w:pPr>
              <w:spacing w:after="0" w:line="240" w:lineRule="auto"/>
              <w:rPr>
                <w:rFonts w:eastAsia="Times New Roman" w:cs="Calibri"/>
                <w:sz w:val="18"/>
                <w:szCs w:val="18"/>
                <w:lang w:eastAsia="pl-PL"/>
              </w:rPr>
            </w:pPr>
            <w:r w:rsidRPr="006011B3">
              <w:rPr>
                <w:rFonts w:eastAsia="Times New Roman" w:cs="Calibri"/>
                <w:sz w:val="18"/>
                <w:szCs w:val="18"/>
                <w:lang w:eastAsia="pl-PL"/>
              </w:rPr>
              <w:t>Małe</w:t>
            </w:r>
          </w:p>
        </w:tc>
        <w:tc>
          <w:tcPr>
            <w:tcW w:w="709" w:type="dxa"/>
            <w:tcBorders>
              <w:top w:val="nil"/>
              <w:left w:val="nil"/>
              <w:bottom w:val="single" w:sz="4" w:space="0" w:color="auto"/>
              <w:right w:val="single" w:sz="4" w:space="0" w:color="auto"/>
            </w:tcBorders>
            <w:shd w:val="clear" w:color="000000" w:fill="FFFFFF"/>
            <w:noWrap/>
          </w:tcPr>
          <w:p w14:paraId="43CC9FB7" w14:textId="77777777" w:rsidR="008E3612" w:rsidRPr="006011B3" w:rsidRDefault="008E3612" w:rsidP="00223352">
            <w:pPr>
              <w:spacing w:after="0" w:line="240" w:lineRule="auto"/>
              <w:jc w:val="right"/>
              <w:rPr>
                <w:rFonts w:eastAsia="Times New Roman" w:cs="Calibri"/>
                <w:sz w:val="18"/>
                <w:szCs w:val="18"/>
                <w:lang w:eastAsia="pl-PL"/>
              </w:rPr>
            </w:pPr>
            <w:r>
              <w:rPr>
                <w:sz w:val="16"/>
                <w:szCs w:val="16"/>
              </w:rPr>
              <w:t xml:space="preserve">3.2 % </w:t>
            </w:r>
          </w:p>
        </w:tc>
        <w:tc>
          <w:tcPr>
            <w:tcW w:w="708" w:type="dxa"/>
            <w:tcBorders>
              <w:top w:val="nil"/>
              <w:left w:val="nil"/>
              <w:bottom w:val="single" w:sz="4" w:space="0" w:color="auto"/>
              <w:right w:val="single" w:sz="4" w:space="0" w:color="auto"/>
            </w:tcBorders>
            <w:shd w:val="clear" w:color="000000" w:fill="FFFFFF"/>
            <w:noWrap/>
          </w:tcPr>
          <w:p w14:paraId="1C18196E" w14:textId="77777777" w:rsidR="008E3612" w:rsidRPr="006011B3" w:rsidRDefault="008E3612" w:rsidP="00223352">
            <w:pPr>
              <w:spacing w:after="0" w:line="240" w:lineRule="auto"/>
              <w:jc w:val="right"/>
              <w:rPr>
                <w:rFonts w:eastAsia="Times New Roman" w:cs="Calibri"/>
                <w:sz w:val="18"/>
                <w:szCs w:val="18"/>
                <w:lang w:eastAsia="pl-PL"/>
              </w:rPr>
            </w:pPr>
            <w:r>
              <w:rPr>
                <w:sz w:val="16"/>
                <w:szCs w:val="16"/>
              </w:rPr>
              <w:t xml:space="preserve">5.8 % </w:t>
            </w:r>
          </w:p>
        </w:tc>
        <w:tc>
          <w:tcPr>
            <w:tcW w:w="709" w:type="dxa"/>
            <w:tcBorders>
              <w:top w:val="nil"/>
              <w:left w:val="nil"/>
              <w:bottom w:val="single" w:sz="4" w:space="0" w:color="auto"/>
              <w:right w:val="single" w:sz="4" w:space="0" w:color="auto"/>
            </w:tcBorders>
            <w:shd w:val="clear" w:color="000000" w:fill="FFFFFF"/>
            <w:noWrap/>
            <w:hideMark/>
          </w:tcPr>
          <w:p w14:paraId="639464A7" w14:textId="77777777" w:rsidR="008E3612" w:rsidRPr="00254AB9" w:rsidRDefault="008E3612" w:rsidP="00223352">
            <w:pPr>
              <w:spacing w:after="0" w:line="240" w:lineRule="auto"/>
              <w:jc w:val="right"/>
              <w:rPr>
                <w:sz w:val="18"/>
              </w:rPr>
            </w:pPr>
            <w:r>
              <w:rPr>
                <w:sz w:val="16"/>
                <w:szCs w:val="16"/>
              </w:rPr>
              <w:t xml:space="preserve">12.9 % </w:t>
            </w:r>
          </w:p>
        </w:tc>
        <w:tc>
          <w:tcPr>
            <w:tcW w:w="709" w:type="dxa"/>
            <w:tcBorders>
              <w:top w:val="nil"/>
              <w:left w:val="nil"/>
              <w:bottom w:val="single" w:sz="4" w:space="0" w:color="auto"/>
              <w:right w:val="single" w:sz="4" w:space="0" w:color="auto"/>
            </w:tcBorders>
            <w:shd w:val="clear" w:color="000000" w:fill="FFFFFF"/>
            <w:noWrap/>
            <w:hideMark/>
          </w:tcPr>
          <w:p w14:paraId="4EE656C0" w14:textId="77777777" w:rsidR="008E3612" w:rsidRPr="00254AB9" w:rsidRDefault="008E3612" w:rsidP="00223352">
            <w:pPr>
              <w:spacing w:after="0" w:line="240" w:lineRule="auto"/>
              <w:jc w:val="right"/>
              <w:rPr>
                <w:sz w:val="18"/>
              </w:rPr>
            </w:pPr>
            <w:r>
              <w:rPr>
                <w:i/>
                <w:iCs/>
                <w:sz w:val="16"/>
                <w:szCs w:val="16"/>
              </w:rPr>
              <w:t xml:space="preserve">20.0 % </w:t>
            </w:r>
          </w:p>
        </w:tc>
        <w:tc>
          <w:tcPr>
            <w:tcW w:w="709" w:type="dxa"/>
            <w:tcBorders>
              <w:top w:val="nil"/>
              <w:left w:val="nil"/>
              <w:bottom w:val="single" w:sz="4" w:space="0" w:color="auto"/>
              <w:right w:val="single" w:sz="4" w:space="0" w:color="auto"/>
            </w:tcBorders>
            <w:shd w:val="clear" w:color="000000" w:fill="FFFFFF"/>
            <w:noWrap/>
            <w:hideMark/>
          </w:tcPr>
          <w:p w14:paraId="759AD5CB" w14:textId="77777777" w:rsidR="008E3612" w:rsidRPr="006011B3" w:rsidRDefault="008E3612" w:rsidP="00223352">
            <w:pPr>
              <w:spacing w:after="0" w:line="240" w:lineRule="auto"/>
              <w:jc w:val="right"/>
              <w:rPr>
                <w:rFonts w:eastAsia="Times New Roman" w:cs="Calibri"/>
                <w:sz w:val="18"/>
                <w:szCs w:val="18"/>
                <w:lang w:eastAsia="pl-PL"/>
              </w:rPr>
            </w:pPr>
            <w:r>
              <w:rPr>
                <w:sz w:val="16"/>
                <w:szCs w:val="16"/>
              </w:rPr>
              <w:t xml:space="preserve">13.7 % </w:t>
            </w:r>
          </w:p>
        </w:tc>
        <w:tc>
          <w:tcPr>
            <w:tcW w:w="708" w:type="dxa"/>
            <w:tcBorders>
              <w:top w:val="nil"/>
              <w:left w:val="nil"/>
              <w:bottom w:val="single" w:sz="4" w:space="0" w:color="auto"/>
              <w:right w:val="single" w:sz="4" w:space="0" w:color="auto"/>
            </w:tcBorders>
            <w:shd w:val="clear" w:color="000000" w:fill="FFFFFF"/>
            <w:noWrap/>
            <w:hideMark/>
          </w:tcPr>
          <w:p w14:paraId="5008C8FA" w14:textId="77777777" w:rsidR="008E3612" w:rsidRPr="006011B3" w:rsidRDefault="008E3612" w:rsidP="00223352">
            <w:pPr>
              <w:spacing w:after="0" w:line="240" w:lineRule="auto"/>
              <w:jc w:val="right"/>
              <w:rPr>
                <w:rFonts w:eastAsia="Times New Roman" w:cs="Calibri"/>
                <w:sz w:val="18"/>
                <w:szCs w:val="18"/>
                <w:lang w:eastAsia="pl-PL"/>
              </w:rPr>
            </w:pPr>
            <w:r>
              <w:rPr>
                <w:i/>
                <w:iCs/>
                <w:sz w:val="16"/>
                <w:szCs w:val="16"/>
              </w:rPr>
              <w:t xml:space="preserve">17.8 % </w:t>
            </w:r>
          </w:p>
        </w:tc>
      </w:tr>
      <w:tr w:rsidR="00181A7D" w:rsidRPr="00254AB9" w14:paraId="1E93E8F2" w14:textId="77777777" w:rsidTr="0054565D">
        <w:trPr>
          <w:trHeight w:val="255"/>
          <w:jc w:val="center"/>
        </w:trPr>
        <w:tc>
          <w:tcPr>
            <w:tcW w:w="1204" w:type="dxa"/>
            <w:tcBorders>
              <w:top w:val="nil"/>
              <w:left w:val="single" w:sz="4" w:space="0" w:color="auto"/>
              <w:bottom w:val="single" w:sz="4" w:space="0" w:color="auto"/>
              <w:right w:val="single" w:sz="4" w:space="0" w:color="auto"/>
            </w:tcBorders>
            <w:shd w:val="clear" w:color="000000" w:fill="FFFFFF"/>
            <w:noWrap/>
            <w:vAlign w:val="bottom"/>
            <w:hideMark/>
          </w:tcPr>
          <w:p w14:paraId="7FCBB233" w14:textId="77777777" w:rsidR="008E3612" w:rsidRPr="006011B3" w:rsidRDefault="008E3612" w:rsidP="00223352">
            <w:pPr>
              <w:spacing w:after="0" w:line="240" w:lineRule="auto"/>
              <w:rPr>
                <w:rFonts w:eastAsia="Times New Roman" w:cs="Calibri"/>
                <w:sz w:val="18"/>
                <w:szCs w:val="18"/>
                <w:lang w:eastAsia="pl-PL"/>
              </w:rPr>
            </w:pPr>
            <w:r w:rsidRPr="006011B3">
              <w:rPr>
                <w:rFonts w:eastAsia="Times New Roman" w:cs="Calibri"/>
                <w:sz w:val="18"/>
                <w:szCs w:val="18"/>
                <w:lang w:eastAsia="pl-PL"/>
              </w:rPr>
              <w:t>Średnie</w:t>
            </w:r>
          </w:p>
        </w:tc>
        <w:tc>
          <w:tcPr>
            <w:tcW w:w="709" w:type="dxa"/>
            <w:tcBorders>
              <w:top w:val="nil"/>
              <w:left w:val="nil"/>
              <w:bottom w:val="single" w:sz="4" w:space="0" w:color="auto"/>
              <w:right w:val="single" w:sz="4" w:space="0" w:color="auto"/>
            </w:tcBorders>
            <w:shd w:val="clear" w:color="000000" w:fill="FFFFFF"/>
            <w:noWrap/>
          </w:tcPr>
          <w:p w14:paraId="44804D88" w14:textId="77777777" w:rsidR="008E3612" w:rsidRPr="006011B3" w:rsidRDefault="008E3612" w:rsidP="00223352">
            <w:pPr>
              <w:spacing w:after="0" w:line="240" w:lineRule="auto"/>
              <w:jc w:val="right"/>
              <w:rPr>
                <w:rFonts w:eastAsia="Times New Roman" w:cs="Calibri"/>
                <w:sz w:val="18"/>
                <w:szCs w:val="18"/>
                <w:lang w:eastAsia="pl-PL"/>
              </w:rPr>
            </w:pPr>
            <w:r>
              <w:rPr>
                <w:sz w:val="16"/>
                <w:szCs w:val="16"/>
              </w:rPr>
              <w:t xml:space="preserve">0.9 % </w:t>
            </w:r>
          </w:p>
        </w:tc>
        <w:tc>
          <w:tcPr>
            <w:tcW w:w="708" w:type="dxa"/>
            <w:tcBorders>
              <w:top w:val="nil"/>
              <w:left w:val="nil"/>
              <w:bottom w:val="single" w:sz="4" w:space="0" w:color="auto"/>
              <w:right w:val="single" w:sz="4" w:space="0" w:color="auto"/>
            </w:tcBorders>
            <w:shd w:val="clear" w:color="000000" w:fill="FFFFFF"/>
            <w:noWrap/>
          </w:tcPr>
          <w:p w14:paraId="092B2FC1" w14:textId="77777777" w:rsidR="008E3612" w:rsidRPr="006011B3" w:rsidRDefault="008E3612" w:rsidP="00223352">
            <w:pPr>
              <w:spacing w:after="0" w:line="240" w:lineRule="auto"/>
              <w:jc w:val="right"/>
              <w:rPr>
                <w:rFonts w:eastAsia="Times New Roman" w:cs="Calibri"/>
                <w:sz w:val="18"/>
                <w:szCs w:val="18"/>
                <w:lang w:eastAsia="pl-PL"/>
              </w:rPr>
            </w:pPr>
            <w:r>
              <w:rPr>
                <w:sz w:val="16"/>
                <w:szCs w:val="16"/>
              </w:rPr>
              <w:t xml:space="preserve">0.9 % </w:t>
            </w:r>
          </w:p>
        </w:tc>
        <w:tc>
          <w:tcPr>
            <w:tcW w:w="709" w:type="dxa"/>
            <w:tcBorders>
              <w:top w:val="nil"/>
              <w:left w:val="nil"/>
              <w:bottom w:val="single" w:sz="4" w:space="0" w:color="auto"/>
              <w:right w:val="single" w:sz="4" w:space="0" w:color="auto"/>
            </w:tcBorders>
            <w:shd w:val="clear" w:color="000000" w:fill="FFFFFF"/>
            <w:noWrap/>
            <w:hideMark/>
          </w:tcPr>
          <w:p w14:paraId="58D3AE51" w14:textId="77777777" w:rsidR="008E3612" w:rsidRPr="006011B3" w:rsidRDefault="008E3612" w:rsidP="00223352">
            <w:pPr>
              <w:spacing w:after="0" w:line="240" w:lineRule="auto"/>
              <w:jc w:val="right"/>
              <w:rPr>
                <w:rFonts w:eastAsia="Times New Roman" w:cs="Calibri"/>
                <w:sz w:val="18"/>
                <w:szCs w:val="18"/>
                <w:lang w:eastAsia="pl-PL"/>
              </w:rPr>
            </w:pPr>
            <w:r>
              <w:rPr>
                <w:sz w:val="16"/>
                <w:szCs w:val="16"/>
              </w:rPr>
              <w:t xml:space="preserve">17.4 % </w:t>
            </w:r>
          </w:p>
        </w:tc>
        <w:tc>
          <w:tcPr>
            <w:tcW w:w="709" w:type="dxa"/>
            <w:tcBorders>
              <w:top w:val="nil"/>
              <w:left w:val="nil"/>
              <w:bottom w:val="single" w:sz="4" w:space="0" w:color="auto"/>
              <w:right w:val="single" w:sz="4" w:space="0" w:color="auto"/>
            </w:tcBorders>
            <w:shd w:val="clear" w:color="000000" w:fill="FFFFFF"/>
            <w:noWrap/>
            <w:hideMark/>
          </w:tcPr>
          <w:p w14:paraId="4BD343E6" w14:textId="77777777" w:rsidR="008E3612" w:rsidRPr="006011B3" w:rsidRDefault="008E3612" w:rsidP="00223352">
            <w:pPr>
              <w:spacing w:after="0" w:line="240" w:lineRule="auto"/>
              <w:jc w:val="right"/>
              <w:rPr>
                <w:rFonts w:eastAsia="Times New Roman" w:cs="Calibri"/>
                <w:sz w:val="18"/>
                <w:szCs w:val="18"/>
                <w:lang w:eastAsia="pl-PL"/>
              </w:rPr>
            </w:pPr>
            <w:r>
              <w:rPr>
                <w:i/>
                <w:iCs/>
                <w:sz w:val="16"/>
                <w:szCs w:val="16"/>
              </w:rPr>
              <w:t xml:space="preserve">17.0 % </w:t>
            </w:r>
          </w:p>
        </w:tc>
        <w:tc>
          <w:tcPr>
            <w:tcW w:w="709" w:type="dxa"/>
            <w:tcBorders>
              <w:top w:val="nil"/>
              <w:left w:val="nil"/>
              <w:bottom w:val="single" w:sz="4" w:space="0" w:color="auto"/>
              <w:right w:val="single" w:sz="4" w:space="0" w:color="auto"/>
            </w:tcBorders>
            <w:shd w:val="clear" w:color="000000" w:fill="FFFFFF"/>
            <w:noWrap/>
            <w:hideMark/>
          </w:tcPr>
          <w:p w14:paraId="02E0ACAB" w14:textId="77777777" w:rsidR="008E3612" w:rsidRPr="006011B3" w:rsidRDefault="008E3612" w:rsidP="00223352">
            <w:pPr>
              <w:spacing w:after="0" w:line="240" w:lineRule="auto"/>
              <w:jc w:val="right"/>
              <w:rPr>
                <w:rFonts w:eastAsia="Times New Roman" w:cs="Calibri"/>
                <w:sz w:val="18"/>
                <w:szCs w:val="18"/>
                <w:lang w:eastAsia="pl-PL"/>
              </w:rPr>
            </w:pPr>
            <w:r>
              <w:rPr>
                <w:sz w:val="16"/>
                <w:szCs w:val="16"/>
              </w:rPr>
              <w:t xml:space="preserve">21.2 % </w:t>
            </w:r>
          </w:p>
        </w:tc>
        <w:tc>
          <w:tcPr>
            <w:tcW w:w="708" w:type="dxa"/>
            <w:tcBorders>
              <w:top w:val="nil"/>
              <w:left w:val="nil"/>
              <w:bottom w:val="single" w:sz="4" w:space="0" w:color="auto"/>
              <w:right w:val="single" w:sz="4" w:space="0" w:color="auto"/>
            </w:tcBorders>
            <w:shd w:val="clear" w:color="000000" w:fill="FFFFFF"/>
            <w:noWrap/>
            <w:hideMark/>
          </w:tcPr>
          <w:p w14:paraId="004CD4FF" w14:textId="77777777" w:rsidR="008E3612" w:rsidRPr="006011B3" w:rsidRDefault="008E3612" w:rsidP="00223352">
            <w:pPr>
              <w:spacing w:after="0" w:line="240" w:lineRule="auto"/>
              <w:jc w:val="right"/>
              <w:rPr>
                <w:rFonts w:eastAsia="Times New Roman" w:cs="Calibri"/>
                <w:sz w:val="18"/>
                <w:szCs w:val="18"/>
                <w:lang w:eastAsia="pl-PL"/>
              </w:rPr>
            </w:pPr>
            <w:r>
              <w:rPr>
                <w:i/>
                <w:iCs/>
                <w:sz w:val="16"/>
                <w:szCs w:val="16"/>
              </w:rPr>
              <w:t xml:space="preserve">18.3 % </w:t>
            </w:r>
          </w:p>
        </w:tc>
      </w:tr>
      <w:tr w:rsidR="00181A7D" w:rsidRPr="00254AB9" w14:paraId="39BC3B7B" w14:textId="77777777" w:rsidTr="0054565D">
        <w:trPr>
          <w:trHeight w:val="255"/>
          <w:jc w:val="center"/>
        </w:trPr>
        <w:tc>
          <w:tcPr>
            <w:tcW w:w="1204" w:type="dxa"/>
            <w:tcBorders>
              <w:top w:val="nil"/>
              <w:left w:val="single" w:sz="4" w:space="0" w:color="auto"/>
              <w:bottom w:val="single" w:sz="4" w:space="0" w:color="auto"/>
              <w:right w:val="single" w:sz="4" w:space="0" w:color="auto"/>
            </w:tcBorders>
            <w:shd w:val="clear" w:color="000000" w:fill="FFFFFF"/>
            <w:noWrap/>
            <w:vAlign w:val="bottom"/>
            <w:hideMark/>
          </w:tcPr>
          <w:p w14:paraId="2B5C6021" w14:textId="77777777" w:rsidR="008E3612" w:rsidRPr="006011B3" w:rsidRDefault="008E3612" w:rsidP="00223352">
            <w:pPr>
              <w:spacing w:after="0" w:line="240" w:lineRule="auto"/>
              <w:rPr>
                <w:rFonts w:eastAsia="Times New Roman" w:cs="Calibri"/>
                <w:b/>
                <w:bCs/>
                <w:sz w:val="18"/>
                <w:szCs w:val="18"/>
                <w:lang w:eastAsia="pl-PL"/>
              </w:rPr>
            </w:pPr>
            <w:r w:rsidRPr="006011B3">
              <w:rPr>
                <w:rFonts w:eastAsia="Times New Roman" w:cs="Calibri"/>
                <w:b/>
                <w:bCs/>
                <w:sz w:val="18"/>
                <w:szCs w:val="18"/>
                <w:lang w:eastAsia="pl-PL"/>
              </w:rPr>
              <w:t>Sektor MŚP</w:t>
            </w:r>
          </w:p>
        </w:tc>
        <w:tc>
          <w:tcPr>
            <w:tcW w:w="709" w:type="dxa"/>
            <w:tcBorders>
              <w:top w:val="nil"/>
              <w:left w:val="nil"/>
              <w:bottom w:val="single" w:sz="4" w:space="0" w:color="auto"/>
              <w:right w:val="single" w:sz="4" w:space="0" w:color="auto"/>
            </w:tcBorders>
            <w:shd w:val="clear" w:color="000000" w:fill="FFFFFF"/>
            <w:noWrap/>
          </w:tcPr>
          <w:p w14:paraId="11E0A1DD" w14:textId="77777777" w:rsidR="008E3612" w:rsidRPr="006011B3" w:rsidRDefault="008E3612" w:rsidP="00223352">
            <w:pPr>
              <w:spacing w:after="0" w:line="240" w:lineRule="auto"/>
              <w:jc w:val="right"/>
              <w:rPr>
                <w:rFonts w:eastAsia="Times New Roman" w:cs="Calibri"/>
                <w:b/>
                <w:bCs/>
                <w:sz w:val="18"/>
                <w:szCs w:val="18"/>
                <w:lang w:eastAsia="pl-PL"/>
              </w:rPr>
            </w:pPr>
            <w:r>
              <w:rPr>
                <w:b/>
                <w:bCs/>
                <w:sz w:val="16"/>
                <w:szCs w:val="16"/>
              </w:rPr>
              <w:t xml:space="preserve">99.8 % </w:t>
            </w:r>
          </w:p>
        </w:tc>
        <w:tc>
          <w:tcPr>
            <w:tcW w:w="708" w:type="dxa"/>
            <w:tcBorders>
              <w:top w:val="nil"/>
              <w:left w:val="nil"/>
              <w:bottom w:val="single" w:sz="4" w:space="0" w:color="auto"/>
              <w:right w:val="single" w:sz="4" w:space="0" w:color="auto"/>
            </w:tcBorders>
            <w:shd w:val="clear" w:color="000000" w:fill="FFFFFF"/>
            <w:noWrap/>
          </w:tcPr>
          <w:p w14:paraId="71AE66E3" w14:textId="77777777" w:rsidR="008E3612" w:rsidRPr="006011B3" w:rsidRDefault="008E3612" w:rsidP="00223352">
            <w:pPr>
              <w:spacing w:after="0" w:line="240" w:lineRule="auto"/>
              <w:jc w:val="right"/>
              <w:rPr>
                <w:rFonts w:eastAsia="Times New Roman" w:cs="Calibri"/>
                <w:b/>
                <w:bCs/>
                <w:sz w:val="18"/>
                <w:szCs w:val="18"/>
                <w:lang w:eastAsia="pl-PL"/>
              </w:rPr>
            </w:pPr>
            <w:r>
              <w:rPr>
                <w:b/>
                <w:bCs/>
                <w:sz w:val="16"/>
                <w:szCs w:val="16"/>
              </w:rPr>
              <w:t xml:space="preserve">99.8 % </w:t>
            </w:r>
          </w:p>
        </w:tc>
        <w:tc>
          <w:tcPr>
            <w:tcW w:w="709" w:type="dxa"/>
            <w:tcBorders>
              <w:top w:val="nil"/>
              <w:left w:val="nil"/>
              <w:bottom w:val="single" w:sz="4" w:space="0" w:color="auto"/>
              <w:right w:val="single" w:sz="4" w:space="0" w:color="auto"/>
            </w:tcBorders>
            <w:shd w:val="clear" w:color="000000" w:fill="FFFFFF"/>
            <w:noWrap/>
            <w:hideMark/>
          </w:tcPr>
          <w:p w14:paraId="4AADF6DE" w14:textId="77777777" w:rsidR="008E3612" w:rsidRPr="006011B3" w:rsidRDefault="008E3612" w:rsidP="00223352">
            <w:pPr>
              <w:spacing w:after="0" w:line="240" w:lineRule="auto"/>
              <w:jc w:val="right"/>
              <w:rPr>
                <w:rFonts w:eastAsia="Times New Roman" w:cs="Calibri"/>
                <w:b/>
                <w:bCs/>
                <w:sz w:val="18"/>
                <w:szCs w:val="18"/>
                <w:lang w:eastAsia="pl-PL"/>
              </w:rPr>
            </w:pPr>
            <w:r>
              <w:rPr>
                <w:b/>
                <w:bCs/>
                <w:sz w:val="16"/>
                <w:szCs w:val="16"/>
              </w:rPr>
              <w:t xml:space="preserve">68.1 % </w:t>
            </w:r>
          </w:p>
        </w:tc>
        <w:tc>
          <w:tcPr>
            <w:tcW w:w="709" w:type="dxa"/>
            <w:tcBorders>
              <w:top w:val="nil"/>
              <w:left w:val="nil"/>
              <w:bottom w:val="single" w:sz="4" w:space="0" w:color="auto"/>
              <w:right w:val="single" w:sz="4" w:space="0" w:color="auto"/>
            </w:tcBorders>
            <w:shd w:val="clear" w:color="000000" w:fill="FFFFFF"/>
            <w:noWrap/>
            <w:hideMark/>
          </w:tcPr>
          <w:p w14:paraId="0EE48BC7" w14:textId="77777777" w:rsidR="008E3612" w:rsidRPr="006011B3" w:rsidRDefault="008E3612" w:rsidP="00223352">
            <w:pPr>
              <w:spacing w:after="0" w:line="240" w:lineRule="auto"/>
              <w:jc w:val="right"/>
              <w:rPr>
                <w:rFonts w:eastAsia="Times New Roman" w:cs="Calibri"/>
                <w:b/>
                <w:bCs/>
                <w:sz w:val="18"/>
                <w:szCs w:val="18"/>
                <w:lang w:eastAsia="pl-PL"/>
              </w:rPr>
            </w:pPr>
            <w:r>
              <w:rPr>
                <w:b/>
                <w:bCs/>
                <w:i/>
                <w:iCs/>
                <w:sz w:val="16"/>
                <w:szCs w:val="16"/>
              </w:rPr>
              <w:t xml:space="preserve">66.4 % </w:t>
            </w:r>
          </w:p>
        </w:tc>
        <w:tc>
          <w:tcPr>
            <w:tcW w:w="709" w:type="dxa"/>
            <w:tcBorders>
              <w:top w:val="nil"/>
              <w:left w:val="nil"/>
              <w:bottom w:val="single" w:sz="4" w:space="0" w:color="auto"/>
              <w:right w:val="single" w:sz="4" w:space="0" w:color="auto"/>
            </w:tcBorders>
            <w:shd w:val="clear" w:color="000000" w:fill="FFFFFF"/>
            <w:noWrap/>
            <w:hideMark/>
          </w:tcPr>
          <w:p w14:paraId="70D2FEB2" w14:textId="77777777" w:rsidR="008E3612" w:rsidRPr="006011B3" w:rsidRDefault="008E3612" w:rsidP="00223352">
            <w:pPr>
              <w:spacing w:after="0" w:line="240" w:lineRule="auto"/>
              <w:jc w:val="right"/>
              <w:rPr>
                <w:rFonts w:eastAsia="Times New Roman" w:cs="Calibri"/>
                <w:b/>
                <w:bCs/>
                <w:sz w:val="18"/>
                <w:szCs w:val="18"/>
                <w:lang w:eastAsia="pl-PL"/>
              </w:rPr>
            </w:pPr>
            <w:r>
              <w:rPr>
                <w:b/>
                <w:bCs/>
                <w:sz w:val="16"/>
                <w:szCs w:val="16"/>
              </w:rPr>
              <w:t xml:space="preserve">51.4 % </w:t>
            </w:r>
          </w:p>
        </w:tc>
        <w:tc>
          <w:tcPr>
            <w:tcW w:w="708" w:type="dxa"/>
            <w:tcBorders>
              <w:top w:val="nil"/>
              <w:left w:val="nil"/>
              <w:bottom w:val="single" w:sz="4" w:space="0" w:color="auto"/>
              <w:right w:val="single" w:sz="4" w:space="0" w:color="auto"/>
            </w:tcBorders>
            <w:shd w:val="clear" w:color="000000" w:fill="FFFFFF"/>
            <w:noWrap/>
            <w:hideMark/>
          </w:tcPr>
          <w:p w14:paraId="6981F5B6" w14:textId="77777777" w:rsidR="008E3612" w:rsidRPr="006011B3" w:rsidRDefault="008E3612" w:rsidP="00223352">
            <w:pPr>
              <w:spacing w:after="0" w:line="240" w:lineRule="auto"/>
              <w:jc w:val="right"/>
              <w:rPr>
                <w:rFonts w:eastAsia="Times New Roman" w:cs="Calibri"/>
                <w:b/>
                <w:bCs/>
                <w:sz w:val="18"/>
                <w:szCs w:val="18"/>
                <w:lang w:eastAsia="pl-PL"/>
              </w:rPr>
            </w:pPr>
            <w:r>
              <w:rPr>
                <w:b/>
                <w:bCs/>
                <w:i/>
                <w:iCs/>
                <w:sz w:val="16"/>
                <w:szCs w:val="16"/>
              </w:rPr>
              <w:t xml:space="preserve">56.8 % </w:t>
            </w:r>
          </w:p>
        </w:tc>
      </w:tr>
      <w:tr w:rsidR="00181A7D" w:rsidRPr="00254AB9" w14:paraId="570EA9AD" w14:textId="77777777" w:rsidTr="0054565D">
        <w:trPr>
          <w:trHeight w:val="255"/>
          <w:jc w:val="center"/>
        </w:trPr>
        <w:tc>
          <w:tcPr>
            <w:tcW w:w="1204" w:type="dxa"/>
            <w:tcBorders>
              <w:top w:val="nil"/>
              <w:left w:val="single" w:sz="4" w:space="0" w:color="auto"/>
              <w:bottom w:val="single" w:sz="4" w:space="0" w:color="auto"/>
              <w:right w:val="single" w:sz="4" w:space="0" w:color="auto"/>
            </w:tcBorders>
            <w:shd w:val="clear" w:color="000000" w:fill="FFFFFF"/>
            <w:noWrap/>
            <w:vAlign w:val="bottom"/>
            <w:hideMark/>
          </w:tcPr>
          <w:p w14:paraId="0542BAE6" w14:textId="77777777" w:rsidR="008E3612" w:rsidRPr="006011B3" w:rsidRDefault="008E3612" w:rsidP="00223352">
            <w:pPr>
              <w:spacing w:after="0" w:line="240" w:lineRule="auto"/>
              <w:rPr>
                <w:rFonts w:eastAsia="Times New Roman" w:cs="Calibri"/>
                <w:sz w:val="18"/>
                <w:szCs w:val="18"/>
                <w:lang w:eastAsia="pl-PL"/>
              </w:rPr>
            </w:pPr>
            <w:r w:rsidRPr="006011B3">
              <w:rPr>
                <w:rFonts w:eastAsia="Times New Roman" w:cs="Calibri"/>
                <w:sz w:val="18"/>
                <w:szCs w:val="18"/>
                <w:lang w:eastAsia="pl-PL"/>
              </w:rPr>
              <w:t xml:space="preserve">Duże </w:t>
            </w:r>
          </w:p>
        </w:tc>
        <w:tc>
          <w:tcPr>
            <w:tcW w:w="709" w:type="dxa"/>
            <w:tcBorders>
              <w:top w:val="nil"/>
              <w:left w:val="nil"/>
              <w:bottom w:val="single" w:sz="4" w:space="0" w:color="auto"/>
              <w:right w:val="single" w:sz="4" w:space="0" w:color="auto"/>
            </w:tcBorders>
            <w:shd w:val="clear" w:color="000000" w:fill="FFFFFF"/>
            <w:noWrap/>
          </w:tcPr>
          <w:p w14:paraId="6C08BB88" w14:textId="77777777" w:rsidR="008E3612" w:rsidRPr="006011B3" w:rsidRDefault="008E3612" w:rsidP="00223352">
            <w:pPr>
              <w:spacing w:after="0" w:line="240" w:lineRule="auto"/>
              <w:jc w:val="right"/>
              <w:rPr>
                <w:rFonts w:eastAsia="Times New Roman" w:cs="Calibri"/>
                <w:sz w:val="18"/>
                <w:szCs w:val="18"/>
                <w:lang w:eastAsia="pl-PL"/>
              </w:rPr>
            </w:pPr>
            <w:r>
              <w:rPr>
                <w:sz w:val="16"/>
                <w:szCs w:val="16"/>
              </w:rPr>
              <w:t xml:space="preserve">0.2 % </w:t>
            </w:r>
          </w:p>
        </w:tc>
        <w:tc>
          <w:tcPr>
            <w:tcW w:w="708" w:type="dxa"/>
            <w:tcBorders>
              <w:top w:val="nil"/>
              <w:left w:val="nil"/>
              <w:bottom w:val="single" w:sz="4" w:space="0" w:color="auto"/>
              <w:right w:val="single" w:sz="4" w:space="0" w:color="auto"/>
            </w:tcBorders>
            <w:shd w:val="clear" w:color="000000" w:fill="FFFFFF"/>
            <w:noWrap/>
          </w:tcPr>
          <w:p w14:paraId="260F302B" w14:textId="77777777" w:rsidR="008E3612" w:rsidRPr="006011B3" w:rsidRDefault="008E3612" w:rsidP="00223352">
            <w:pPr>
              <w:spacing w:after="0" w:line="240" w:lineRule="auto"/>
              <w:jc w:val="right"/>
              <w:rPr>
                <w:rFonts w:eastAsia="Times New Roman" w:cs="Calibri"/>
                <w:sz w:val="18"/>
                <w:szCs w:val="18"/>
                <w:lang w:eastAsia="pl-PL"/>
              </w:rPr>
            </w:pPr>
            <w:r>
              <w:rPr>
                <w:sz w:val="16"/>
                <w:szCs w:val="16"/>
              </w:rPr>
              <w:t xml:space="preserve">0.2 % </w:t>
            </w:r>
          </w:p>
        </w:tc>
        <w:tc>
          <w:tcPr>
            <w:tcW w:w="709" w:type="dxa"/>
            <w:tcBorders>
              <w:top w:val="nil"/>
              <w:left w:val="nil"/>
              <w:bottom w:val="single" w:sz="4" w:space="0" w:color="auto"/>
              <w:right w:val="single" w:sz="4" w:space="0" w:color="auto"/>
            </w:tcBorders>
            <w:shd w:val="clear" w:color="000000" w:fill="FFFFFF"/>
            <w:noWrap/>
            <w:hideMark/>
          </w:tcPr>
          <w:p w14:paraId="2FB79A7E" w14:textId="77777777" w:rsidR="008E3612" w:rsidRPr="006011B3" w:rsidRDefault="008E3612" w:rsidP="00223352">
            <w:pPr>
              <w:spacing w:after="0" w:line="240" w:lineRule="auto"/>
              <w:jc w:val="right"/>
              <w:rPr>
                <w:rFonts w:eastAsia="Times New Roman" w:cs="Calibri"/>
                <w:sz w:val="18"/>
                <w:szCs w:val="18"/>
                <w:lang w:eastAsia="pl-PL"/>
              </w:rPr>
            </w:pPr>
            <w:r>
              <w:rPr>
                <w:sz w:val="16"/>
                <w:szCs w:val="16"/>
              </w:rPr>
              <w:t xml:space="preserve">31.9 % </w:t>
            </w:r>
          </w:p>
        </w:tc>
        <w:tc>
          <w:tcPr>
            <w:tcW w:w="709" w:type="dxa"/>
            <w:tcBorders>
              <w:top w:val="nil"/>
              <w:left w:val="nil"/>
              <w:bottom w:val="single" w:sz="4" w:space="0" w:color="auto"/>
              <w:right w:val="single" w:sz="4" w:space="0" w:color="auto"/>
            </w:tcBorders>
            <w:shd w:val="clear" w:color="000000" w:fill="FFFFFF"/>
            <w:noWrap/>
            <w:hideMark/>
          </w:tcPr>
          <w:p w14:paraId="31AEA872" w14:textId="77777777" w:rsidR="008E3612" w:rsidRPr="006011B3" w:rsidRDefault="008E3612" w:rsidP="00223352">
            <w:pPr>
              <w:spacing w:after="0" w:line="240" w:lineRule="auto"/>
              <w:jc w:val="right"/>
              <w:rPr>
                <w:rFonts w:eastAsia="Times New Roman" w:cs="Calibri"/>
                <w:sz w:val="18"/>
                <w:szCs w:val="18"/>
                <w:lang w:eastAsia="pl-PL"/>
              </w:rPr>
            </w:pPr>
            <w:r>
              <w:rPr>
                <w:i/>
                <w:iCs/>
                <w:sz w:val="16"/>
                <w:szCs w:val="16"/>
              </w:rPr>
              <w:t xml:space="preserve">33.6 % </w:t>
            </w:r>
          </w:p>
        </w:tc>
        <w:tc>
          <w:tcPr>
            <w:tcW w:w="709" w:type="dxa"/>
            <w:tcBorders>
              <w:top w:val="nil"/>
              <w:left w:val="nil"/>
              <w:bottom w:val="single" w:sz="4" w:space="0" w:color="auto"/>
              <w:right w:val="single" w:sz="4" w:space="0" w:color="auto"/>
            </w:tcBorders>
            <w:shd w:val="clear" w:color="000000" w:fill="FFFFFF"/>
            <w:noWrap/>
            <w:hideMark/>
          </w:tcPr>
          <w:p w14:paraId="1480DAA2" w14:textId="77777777" w:rsidR="008E3612" w:rsidRPr="006011B3" w:rsidRDefault="008E3612" w:rsidP="00223352">
            <w:pPr>
              <w:spacing w:after="0" w:line="240" w:lineRule="auto"/>
              <w:jc w:val="right"/>
              <w:rPr>
                <w:rFonts w:eastAsia="Times New Roman" w:cs="Calibri"/>
                <w:sz w:val="18"/>
                <w:szCs w:val="18"/>
                <w:lang w:eastAsia="pl-PL"/>
              </w:rPr>
            </w:pPr>
            <w:r>
              <w:rPr>
                <w:sz w:val="16"/>
                <w:szCs w:val="16"/>
              </w:rPr>
              <w:t xml:space="preserve">48.6 % </w:t>
            </w:r>
          </w:p>
        </w:tc>
        <w:tc>
          <w:tcPr>
            <w:tcW w:w="708" w:type="dxa"/>
            <w:tcBorders>
              <w:top w:val="nil"/>
              <w:left w:val="nil"/>
              <w:bottom w:val="single" w:sz="4" w:space="0" w:color="auto"/>
              <w:right w:val="single" w:sz="4" w:space="0" w:color="auto"/>
            </w:tcBorders>
            <w:shd w:val="clear" w:color="000000" w:fill="FFFFFF"/>
            <w:noWrap/>
            <w:hideMark/>
          </w:tcPr>
          <w:p w14:paraId="2E503BB0" w14:textId="77777777" w:rsidR="008E3612" w:rsidRPr="006011B3" w:rsidRDefault="008E3612" w:rsidP="00223352">
            <w:pPr>
              <w:spacing w:after="0" w:line="240" w:lineRule="auto"/>
              <w:jc w:val="right"/>
              <w:rPr>
                <w:rFonts w:eastAsia="Times New Roman" w:cs="Calibri"/>
                <w:sz w:val="18"/>
                <w:szCs w:val="18"/>
                <w:lang w:eastAsia="pl-PL"/>
              </w:rPr>
            </w:pPr>
            <w:r>
              <w:rPr>
                <w:i/>
                <w:iCs/>
                <w:sz w:val="16"/>
                <w:szCs w:val="16"/>
              </w:rPr>
              <w:t xml:space="preserve">43.2 % </w:t>
            </w:r>
          </w:p>
        </w:tc>
      </w:tr>
      <w:tr w:rsidR="00181A7D" w:rsidRPr="00254AB9" w14:paraId="77349726" w14:textId="77777777" w:rsidTr="0054565D">
        <w:trPr>
          <w:trHeight w:val="255"/>
          <w:jc w:val="center"/>
        </w:trPr>
        <w:tc>
          <w:tcPr>
            <w:tcW w:w="1204" w:type="dxa"/>
            <w:tcBorders>
              <w:top w:val="nil"/>
              <w:left w:val="single" w:sz="4" w:space="0" w:color="auto"/>
              <w:bottom w:val="single" w:sz="4" w:space="0" w:color="auto"/>
              <w:right w:val="single" w:sz="4" w:space="0" w:color="auto"/>
            </w:tcBorders>
            <w:shd w:val="clear" w:color="000000" w:fill="FFFFFF"/>
            <w:noWrap/>
            <w:vAlign w:val="bottom"/>
            <w:hideMark/>
          </w:tcPr>
          <w:p w14:paraId="68902A69" w14:textId="77777777" w:rsidR="008E3612" w:rsidRPr="006011B3" w:rsidRDefault="008E3612" w:rsidP="00223352">
            <w:pPr>
              <w:spacing w:after="0" w:line="240" w:lineRule="auto"/>
              <w:rPr>
                <w:rFonts w:eastAsia="Times New Roman" w:cs="Calibri"/>
                <w:sz w:val="18"/>
                <w:szCs w:val="18"/>
                <w:lang w:eastAsia="pl-PL"/>
              </w:rPr>
            </w:pPr>
            <w:r w:rsidRPr="006011B3">
              <w:rPr>
                <w:rFonts w:eastAsia="Times New Roman" w:cs="Calibri"/>
                <w:sz w:val="18"/>
                <w:szCs w:val="18"/>
                <w:lang w:eastAsia="pl-PL"/>
              </w:rPr>
              <w:t>Razem</w:t>
            </w:r>
          </w:p>
        </w:tc>
        <w:tc>
          <w:tcPr>
            <w:tcW w:w="709" w:type="dxa"/>
            <w:tcBorders>
              <w:top w:val="nil"/>
              <w:left w:val="nil"/>
              <w:bottom w:val="single" w:sz="4" w:space="0" w:color="auto"/>
              <w:right w:val="single" w:sz="4" w:space="0" w:color="auto"/>
            </w:tcBorders>
            <w:shd w:val="clear" w:color="000000" w:fill="FFFFFF"/>
            <w:noWrap/>
          </w:tcPr>
          <w:p w14:paraId="7DB7F2CE" w14:textId="77777777" w:rsidR="008E3612" w:rsidRPr="006011B3" w:rsidRDefault="008E3612" w:rsidP="00223352">
            <w:pPr>
              <w:spacing w:after="0" w:line="240" w:lineRule="auto"/>
              <w:jc w:val="right"/>
              <w:rPr>
                <w:rFonts w:eastAsia="Times New Roman" w:cs="Calibri"/>
                <w:sz w:val="18"/>
                <w:szCs w:val="18"/>
                <w:lang w:eastAsia="pl-PL"/>
              </w:rPr>
            </w:pPr>
            <w:r>
              <w:rPr>
                <w:b/>
                <w:bCs/>
                <w:sz w:val="16"/>
                <w:szCs w:val="16"/>
              </w:rPr>
              <w:t xml:space="preserve">100.0 % </w:t>
            </w:r>
          </w:p>
        </w:tc>
        <w:tc>
          <w:tcPr>
            <w:tcW w:w="708" w:type="dxa"/>
            <w:tcBorders>
              <w:top w:val="nil"/>
              <w:left w:val="nil"/>
              <w:bottom w:val="single" w:sz="4" w:space="0" w:color="auto"/>
              <w:right w:val="single" w:sz="4" w:space="0" w:color="auto"/>
            </w:tcBorders>
            <w:shd w:val="clear" w:color="000000" w:fill="FFFFFF"/>
            <w:noWrap/>
          </w:tcPr>
          <w:p w14:paraId="14EAC1EC" w14:textId="77777777" w:rsidR="008E3612" w:rsidRPr="006011B3" w:rsidRDefault="008E3612" w:rsidP="00223352">
            <w:pPr>
              <w:spacing w:after="0" w:line="240" w:lineRule="auto"/>
              <w:jc w:val="right"/>
              <w:rPr>
                <w:rFonts w:eastAsia="Times New Roman" w:cs="Calibri"/>
                <w:sz w:val="18"/>
                <w:szCs w:val="18"/>
                <w:lang w:eastAsia="pl-PL"/>
              </w:rPr>
            </w:pPr>
            <w:r>
              <w:rPr>
                <w:b/>
                <w:bCs/>
                <w:sz w:val="16"/>
                <w:szCs w:val="16"/>
              </w:rPr>
              <w:t xml:space="preserve">100.0 % </w:t>
            </w:r>
          </w:p>
        </w:tc>
        <w:tc>
          <w:tcPr>
            <w:tcW w:w="709" w:type="dxa"/>
            <w:tcBorders>
              <w:top w:val="nil"/>
              <w:left w:val="nil"/>
              <w:bottom w:val="single" w:sz="4" w:space="0" w:color="auto"/>
              <w:right w:val="single" w:sz="4" w:space="0" w:color="auto"/>
            </w:tcBorders>
            <w:shd w:val="clear" w:color="000000" w:fill="FFFFFF"/>
            <w:noWrap/>
            <w:hideMark/>
          </w:tcPr>
          <w:p w14:paraId="0D1E4298" w14:textId="77777777" w:rsidR="008E3612" w:rsidRPr="006011B3" w:rsidRDefault="008E3612" w:rsidP="00223352">
            <w:pPr>
              <w:spacing w:after="0" w:line="240" w:lineRule="auto"/>
              <w:jc w:val="right"/>
              <w:rPr>
                <w:rFonts w:eastAsia="Times New Roman" w:cs="Calibri"/>
                <w:sz w:val="18"/>
                <w:szCs w:val="18"/>
                <w:lang w:eastAsia="pl-PL"/>
              </w:rPr>
            </w:pPr>
            <w:r>
              <w:rPr>
                <w:b/>
                <w:bCs/>
                <w:sz w:val="16"/>
                <w:szCs w:val="16"/>
              </w:rPr>
              <w:t xml:space="preserve">100.0 % </w:t>
            </w:r>
          </w:p>
        </w:tc>
        <w:tc>
          <w:tcPr>
            <w:tcW w:w="709" w:type="dxa"/>
            <w:tcBorders>
              <w:top w:val="nil"/>
              <w:left w:val="nil"/>
              <w:bottom w:val="single" w:sz="4" w:space="0" w:color="auto"/>
              <w:right w:val="single" w:sz="4" w:space="0" w:color="auto"/>
            </w:tcBorders>
            <w:shd w:val="clear" w:color="000000" w:fill="FFFFFF"/>
            <w:noWrap/>
            <w:hideMark/>
          </w:tcPr>
          <w:p w14:paraId="5CED7C1C" w14:textId="77777777" w:rsidR="008E3612" w:rsidRPr="006011B3" w:rsidRDefault="008E3612" w:rsidP="00223352">
            <w:pPr>
              <w:spacing w:after="0" w:line="240" w:lineRule="auto"/>
              <w:jc w:val="right"/>
              <w:rPr>
                <w:rFonts w:eastAsia="Times New Roman" w:cs="Calibri"/>
                <w:sz w:val="18"/>
                <w:szCs w:val="18"/>
                <w:lang w:eastAsia="pl-PL"/>
              </w:rPr>
            </w:pPr>
            <w:r>
              <w:rPr>
                <w:b/>
                <w:bCs/>
                <w:i/>
                <w:iCs/>
                <w:sz w:val="16"/>
                <w:szCs w:val="16"/>
              </w:rPr>
              <w:t xml:space="preserve">100.0 % </w:t>
            </w:r>
          </w:p>
        </w:tc>
        <w:tc>
          <w:tcPr>
            <w:tcW w:w="709" w:type="dxa"/>
            <w:tcBorders>
              <w:top w:val="nil"/>
              <w:left w:val="nil"/>
              <w:bottom w:val="single" w:sz="4" w:space="0" w:color="auto"/>
              <w:right w:val="single" w:sz="4" w:space="0" w:color="auto"/>
            </w:tcBorders>
            <w:shd w:val="clear" w:color="000000" w:fill="FFFFFF"/>
            <w:noWrap/>
            <w:hideMark/>
          </w:tcPr>
          <w:p w14:paraId="1DBF3589" w14:textId="77777777" w:rsidR="008E3612" w:rsidRPr="006011B3" w:rsidRDefault="008E3612" w:rsidP="00223352">
            <w:pPr>
              <w:spacing w:after="0" w:line="240" w:lineRule="auto"/>
              <w:jc w:val="right"/>
              <w:rPr>
                <w:rFonts w:eastAsia="Times New Roman" w:cs="Calibri"/>
                <w:sz w:val="18"/>
                <w:szCs w:val="18"/>
                <w:lang w:eastAsia="pl-PL"/>
              </w:rPr>
            </w:pPr>
            <w:r>
              <w:rPr>
                <w:b/>
                <w:bCs/>
                <w:sz w:val="16"/>
                <w:szCs w:val="16"/>
              </w:rPr>
              <w:t xml:space="preserve">100.0 % </w:t>
            </w:r>
          </w:p>
        </w:tc>
        <w:tc>
          <w:tcPr>
            <w:tcW w:w="708" w:type="dxa"/>
            <w:tcBorders>
              <w:top w:val="nil"/>
              <w:left w:val="nil"/>
              <w:bottom w:val="single" w:sz="4" w:space="0" w:color="auto"/>
              <w:right w:val="single" w:sz="4" w:space="0" w:color="auto"/>
            </w:tcBorders>
            <w:shd w:val="clear" w:color="000000" w:fill="FFFFFF"/>
            <w:noWrap/>
            <w:hideMark/>
          </w:tcPr>
          <w:p w14:paraId="4B7589CF" w14:textId="77777777" w:rsidR="008E3612" w:rsidRPr="006011B3" w:rsidRDefault="008E3612" w:rsidP="00223352">
            <w:pPr>
              <w:spacing w:after="0" w:line="240" w:lineRule="auto"/>
              <w:jc w:val="right"/>
              <w:rPr>
                <w:rFonts w:eastAsia="Times New Roman" w:cs="Calibri"/>
                <w:sz w:val="18"/>
                <w:szCs w:val="18"/>
                <w:lang w:eastAsia="pl-PL"/>
              </w:rPr>
            </w:pPr>
            <w:r>
              <w:rPr>
                <w:b/>
                <w:bCs/>
                <w:i/>
                <w:iCs/>
                <w:sz w:val="16"/>
                <w:szCs w:val="16"/>
              </w:rPr>
              <w:t xml:space="preserve">100.0 % </w:t>
            </w:r>
          </w:p>
        </w:tc>
      </w:tr>
    </w:tbl>
    <w:p w14:paraId="3C8D7F89" w14:textId="77777777" w:rsidR="00F8351D" w:rsidRDefault="00F8351D" w:rsidP="002647FB">
      <w:pPr>
        <w:pStyle w:val="Bezodstpw"/>
        <w:spacing w:after="0"/>
      </w:pPr>
    </w:p>
    <w:p w14:paraId="37977B8D" w14:textId="0759DE19" w:rsidR="00651AA9" w:rsidRPr="006365AA" w:rsidRDefault="00651AA9" w:rsidP="00CB07D4">
      <w:pPr>
        <w:pStyle w:val="Bezodstpw"/>
        <w:spacing w:after="0"/>
        <w:ind w:left="567" w:hanging="567"/>
      </w:pPr>
      <w:r w:rsidRPr="006365AA">
        <w:t xml:space="preserve">Źródło: </w:t>
      </w:r>
      <w:r w:rsidR="00B822CB" w:rsidRPr="00254AB9">
        <w:rPr>
          <w:rFonts w:cs="Calibri"/>
        </w:rPr>
        <w:t xml:space="preserve">Opracowanie </w:t>
      </w:r>
      <w:r w:rsidR="003A56DA">
        <w:t>MRiT</w:t>
      </w:r>
      <w:r w:rsidR="003A5EA7">
        <w:t xml:space="preserve"> </w:t>
      </w:r>
      <w:r w:rsidR="008E2457" w:rsidRPr="006365AA">
        <w:t xml:space="preserve">na podstawie </w:t>
      </w:r>
      <w:r w:rsidR="008E3612">
        <w:t>publikacji</w:t>
      </w:r>
      <w:r w:rsidR="008E3612" w:rsidRPr="006365AA">
        <w:t xml:space="preserve"> </w:t>
      </w:r>
      <w:r w:rsidR="008E2457" w:rsidRPr="006365AA">
        <w:t>K</w:t>
      </w:r>
      <w:r w:rsidR="00B80054">
        <w:t xml:space="preserve">omisji </w:t>
      </w:r>
      <w:r w:rsidR="008E2457" w:rsidRPr="006365AA">
        <w:t>E</w:t>
      </w:r>
      <w:r w:rsidR="00B80054">
        <w:t>uropejskiej</w:t>
      </w:r>
      <w:r w:rsidR="008E3612">
        <w:t xml:space="preserve"> (szacunki DIW Econ za 2017 na podst</w:t>
      </w:r>
      <w:r w:rsidR="00B80054">
        <w:t>awie</w:t>
      </w:r>
      <w:r w:rsidR="00A30C03">
        <w:t xml:space="preserve"> danych Eurostat za </w:t>
      </w:r>
      <w:r w:rsidR="008E3612">
        <w:t>l</w:t>
      </w:r>
      <w:r w:rsidR="00A30C03">
        <w:t>ata</w:t>
      </w:r>
      <w:r w:rsidR="00B80054">
        <w:t> </w:t>
      </w:r>
      <w:r w:rsidR="008E3612">
        <w:t>2008</w:t>
      </w:r>
      <w:r w:rsidR="00B80054">
        <w:rPr>
          <w:rFonts w:ascii="Times New Roman" w:hAnsi="Times New Roman" w:cs="Times New Roman"/>
        </w:rPr>
        <w:t>–</w:t>
      </w:r>
      <w:r w:rsidR="008E3612">
        <w:t>2015)</w:t>
      </w:r>
      <w:r w:rsidR="008E2457" w:rsidRPr="006365AA">
        <w:t xml:space="preserve"> (201</w:t>
      </w:r>
      <w:r w:rsidR="008E3612">
        <w:t>8</w:t>
      </w:r>
      <w:r w:rsidR="008E2457" w:rsidRPr="006365AA">
        <w:t>)</w:t>
      </w:r>
    </w:p>
    <w:p w14:paraId="496B95AE" w14:textId="1F44D1D8" w:rsidR="00651AA9" w:rsidRDefault="00651AA9" w:rsidP="002647FB">
      <w:pPr>
        <w:pStyle w:val="Bezodstpw"/>
      </w:pPr>
      <w:r w:rsidRPr="008A2501">
        <w:t>Dane dotyczą porównywalnej (w skali UE-28) zbiorowości przedsiębiorstw, stąd nieco różnią się od danych GUS</w:t>
      </w:r>
      <w:r w:rsidR="006343E1">
        <w:t xml:space="preserve"> </w:t>
      </w:r>
      <w:r w:rsidR="006343E1" w:rsidRPr="008A2501">
        <w:t>z</w:t>
      </w:r>
      <w:r w:rsidR="006343E1">
        <w:t> </w:t>
      </w:r>
      <w:r w:rsidRPr="008A2501">
        <w:t xml:space="preserve">publikacji </w:t>
      </w:r>
      <w:r w:rsidR="00B80054">
        <w:t>„</w:t>
      </w:r>
      <w:r w:rsidRPr="008A2501">
        <w:t>Działalność przedsiębiorstw niefinansowych</w:t>
      </w:r>
      <w:r w:rsidR="00B80054">
        <w:t>”</w:t>
      </w:r>
      <w:r w:rsidRPr="008A2501">
        <w:t>.</w:t>
      </w:r>
    </w:p>
    <w:p w14:paraId="3F5A1CA9" w14:textId="1C2C09B7" w:rsidR="00651AA9" w:rsidRPr="00254AB9" w:rsidRDefault="00651AA9" w:rsidP="002647FB">
      <w:pPr>
        <w:pStyle w:val="Nagwek2"/>
      </w:pPr>
      <w:bookmarkStart w:id="73" w:name="_Toc31808507"/>
      <w:bookmarkStart w:id="74" w:name="_Toc106968790"/>
      <w:r w:rsidRPr="00254AB9">
        <w:t>Bari</w:t>
      </w:r>
      <w:r w:rsidR="003D6D53">
        <w:t>e</w:t>
      </w:r>
      <w:r w:rsidRPr="00254AB9">
        <w:t>ry</w:t>
      </w:r>
      <w:r w:rsidR="006343E1">
        <w:t xml:space="preserve"> </w:t>
      </w:r>
      <w:r w:rsidR="006343E1" w:rsidRPr="00254AB9">
        <w:t>w</w:t>
      </w:r>
      <w:r w:rsidR="006343E1">
        <w:t> </w:t>
      </w:r>
      <w:r w:rsidRPr="002647FB">
        <w:t>działalności</w:t>
      </w:r>
      <w:r w:rsidRPr="00254AB9">
        <w:t xml:space="preserve"> gospodarczej</w:t>
      </w:r>
      <w:bookmarkEnd w:id="73"/>
      <w:bookmarkEnd w:id="74"/>
    </w:p>
    <w:p w14:paraId="7F0A612C" w14:textId="6387E8A7" w:rsidR="00217DAC" w:rsidRPr="00254AB9" w:rsidRDefault="003144E2" w:rsidP="002647FB">
      <w:r w:rsidRPr="00254AB9">
        <w:t>Na przestrzeni czasu postrzeganie barier prowadzenia działalności ewoluuje, niemniej uwarunkowania prawne prowadzenia działalności (choć zróżnicowane</w:t>
      </w:r>
      <w:r w:rsidR="006343E1">
        <w:t xml:space="preserve"> </w:t>
      </w:r>
      <w:r w:rsidR="006343E1" w:rsidRPr="00254AB9">
        <w:t>w</w:t>
      </w:r>
      <w:r w:rsidR="006343E1">
        <w:t> </w:t>
      </w:r>
      <w:r w:rsidRPr="00254AB9">
        <w:t>zależności od obszaru</w:t>
      </w:r>
      <w:r w:rsidR="0073246F">
        <w:t>,</w:t>
      </w:r>
      <w:r w:rsidRPr="00254AB9">
        <w:t xml:space="preserve"> którego dotyczą) pozostają </w:t>
      </w:r>
      <w:r w:rsidR="00217DAC" w:rsidRPr="00254AB9">
        <w:t>jednym</w:t>
      </w:r>
      <w:r w:rsidR="006343E1">
        <w:t xml:space="preserve"> </w:t>
      </w:r>
      <w:r w:rsidR="006343E1" w:rsidRPr="00254AB9">
        <w:t>z</w:t>
      </w:r>
      <w:r w:rsidR="006343E1">
        <w:t> </w:t>
      </w:r>
      <w:r w:rsidR="00217DAC" w:rsidRPr="00254AB9">
        <w:t xml:space="preserve">najczęściej wskazywanych czynników utrudniających </w:t>
      </w:r>
      <w:r w:rsidRPr="00254AB9">
        <w:t>prowadzeni</w:t>
      </w:r>
      <w:r w:rsidR="00217DAC" w:rsidRPr="00254AB9">
        <w:t>e</w:t>
      </w:r>
      <w:r w:rsidRPr="00254AB9">
        <w:t xml:space="preserve"> działalności. </w:t>
      </w:r>
      <w:r w:rsidR="00217DAC" w:rsidRPr="00254AB9">
        <w:t>Chodzi nie tylko</w:t>
      </w:r>
      <w:r w:rsidR="006343E1">
        <w:t xml:space="preserve"> </w:t>
      </w:r>
      <w:r w:rsidR="006343E1" w:rsidRPr="00254AB9">
        <w:t>o</w:t>
      </w:r>
      <w:r w:rsidR="006343E1">
        <w:t> </w:t>
      </w:r>
      <w:r w:rsidR="00217DAC" w:rsidRPr="00254AB9">
        <w:t>obciążenia administracyjne wynikające</w:t>
      </w:r>
      <w:r w:rsidR="006343E1">
        <w:t xml:space="preserve"> </w:t>
      </w:r>
      <w:r w:rsidR="006343E1" w:rsidRPr="00254AB9">
        <w:t>z</w:t>
      </w:r>
      <w:r w:rsidR="006343E1">
        <w:t> </w:t>
      </w:r>
      <w:r w:rsidRPr="00254AB9">
        <w:t xml:space="preserve">przepisów, ale również </w:t>
      </w:r>
      <w:r w:rsidR="00217DAC" w:rsidRPr="00254AB9">
        <w:t xml:space="preserve">sam </w:t>
      </w:r>
      <w:r w:rsidRPr="00254AB9">
        <w:t xml:space="preserve">system stanowienia prawa, </w:t>
      </w:r>
      <w:r w:rsidR="00217DAC" w:rsidRPr="00254AB9">
        <w:t>który</w:t>
      </w:r>
      <w:r w:rsidR="006343E1">
        <w:t xml:space="preserve"> </w:t>
      </w:r>
      <w:r w:rsidR="006343E1" w:rsidRPr="00254AB9">
        <w:t>w</w:t>
      </w:r>
      <w:r w:rsidR="006343E1">
        <w:t> </w:t>
      </w:r>
      <w:r w:rsidR="00217DAC" w:rsidRPr="00254AB9">
        <w:t>niedostateczny sposób zapobiega inflacji prawa,</w:t>
      </w:r>
      <w:r w:rsidR="006343E1">
        <w:t xml:space="preserve"> </w:t>
      </w:r>
      <w:r w:rsidR="006343E1" w:rsidRPr="00254AB9">
        <w:t>w</w:t>
      </w:r>
      <w:r w:rsidR="006343E1">
        <w:t> </w:t>
      </w:r>
      <w:r w:rsidR="00217DAC" w:rsidRPr="00254AB9">
        <w:t>postaci np. częstych nowelizacji przepisów. Brak stabilności prawa</w:t>
      </w:r>
      <w:r w:rsidR="006343E1">
        <w:t xml:space="preserve"> </w:t>
      </w:r>
      <w:r w:rsidR="006343E1" w:rsidRPr="00254AB9">
        <w:t>i</w:t>
      </w:r>
      <w:r w:rsidR="006343E1">
        <w:t> </w:t>
      </w:r>
      <w:r w:rsidR="00217DAC" w:rsidRPr="00254AB9">
        <w:t xml:space="preserve">jego skomplikowanie skutkuje </w:t>
      </w:r>
      <w:r w:rsidRPr="00254AB9">
        <w:t xml:space="preserve">nadmiernymi kosztami oraz </w:t>
      </w:r>
      <w:r w:rsidR="003313EA" w:rsidRPr="0078665D">
        <w:t xml:space="preserve">postrzeganym </w:t>
      </w:r>
      <w:r w:rsidRPr="00254AB9">
        <w:t>ryzykiem zakładania i</w:t>
      </w:r>
      <w:r w:rsidR="008E2457" w:rsidRPr="00254AB9">
        <w:t> </w:t>
      </w:r>
      <w:r w:rsidRPr="00254AB9">
        <w:t>prowadzenia działalności</w:t>
      </w:r>
      <w:r w:rsidR="00217DAC" w:rsidRPr="00254AB9">
        <w:t>. Ma to szczególne znaczenie</w:t>
      </w:r>
      <w:r w:rsidR="006343E1">
        <w:t xml:space="preserve"> </w:t>
      </w:r>
      <w:r w:rsidR="006343E1" w:rsidRPr="00254AB9">
        <w:t>w</w:t>
      </w:r>
      <w:r w:rsidR="006343E1">
        <w:t> </w:t>
      </w:r>
      <w:r w:rsidR="00217DAC" w:rsidRPr="00254AB9">
        <w:t>sytuacji angażowania się</w:t>
      </w:r>
      <w:r w:rsidR="006343E1">
        <w:t xml:space="preserve"> </w:t>
      </w:r>
      <w:r w:rsidR="006343E1" w:rsidRPr="00254AB9">
        <w:t>w</w:t>
      </w:r>
      <w:r w:rsidR="006343E1">
        <w:t> </w:t>
      </w:r>
      <w:r w:rsidR="00217DAC" w:rsidRPr="00254AB9">
        <w:t>działalność innowacyjną, która sama</w:t>
      </w:r>
      <w:r w:rsidR="006343E1">
        <w:t xml:space="preserve"> </w:t>
      </w:r>
      <w:r w:rsidR="006343E1" w:rsidRPr="00254AB9">
        <w:t>w</w:t>
      </w:r>
      <w:r w:rsidR="006343E1">
        <w:t> </w:t>
      </w:r>
      <w:r w:rsidR="00217DAC" w:rsidRPr="00254AB9">
        <w:t xml:space="preserve">sobie </w:t>
      </w:r>
      <w:r w:rsidR="0073246F" w:rsidRPr="00254AB9">
        <w:t xml:space="preserve">jest </w:t>
      </w:r>
      <w:r w:rsidR="00217DAC" w:rsidRPr="00254AB9">
        <w:t xml:space="preserve">naznaczona dużym ryzykiem.  </w:t>
      </w:r>
    </w:p>
    <w:p w14:paraId="4C3ED6C2" w14:textId="22C4A8E1" w:rsidR="00D248C8" w:rsidRPr="00254AB9" w:rsidRDefault="004F3831" w:rsidP="002647FB">
      <w:r w:rsidRPr="00254AB9">
        <w:t>Jedną</w:t>
      </w:r>
      <w:r w:rsidR="006343E1">
        <w:t xml:space="preserve"> </w:t>
      </w:r>
      <w:r w:rsidR="006343E1" w:rsidRPr="00254AB9">
        <w:t>z</w:t>
      </w:r>
      <w:r w:rsidR="006343E1">
        <w:t> </w:t>
      </w:r>
      <w:r w:rsidRPr="00254AB9">
        <w:t>najczęściej wskazywanych przez przedsiębiorców barier są nadmierne obciążenia (podatkowe i</w:t>
      </w:r>
      <w:r w:rsidR="008E2457" w:rsidRPr="00254AB9">
        <w:t> </w:t>
      </w:r>
      <w:r w:rsidRPr="00254AB9">
        <w:t>administracyjne) nakładane przez system podatkowy.</w:t>
      </w:r>
      <w:r w:rsidR="006343E1">
        <w:t xml:space="preserve"> </w:t>
      </w:r>
      <w:r w:rsidR="006343E1" w:rsidRPr="00254AB9">
        <w:t>W</w:t>
      </w:r>
      <w:r w:rsidR="006343E1">
        <w:t> </w:t>
      </w:r>
      <w:r w:rsidRPr="00254AB9">
        <w:t xml:space="preserve">ostatnim rankingu </w:t>
      </w:r>
      <w:r w:rsidRPr="00BC7280">
        <w:rPr>
          <w:i/>
        </w:rPr>
        <w:t xml:space="preserve">Doing </w:t>
      </w:r>
      <w:r w:rsidR="00D7518E" w:rsidRPr="00254AB9">
        <w:rPr>
          <w:i/>
        </w:rPr>
        <w:t>B</w:t>
      </w:r>
      <w:r w:rsidRPr="00BA7EE8">
        <w:rPr>
          <w:i/>
        </w:rPr>
        <w:t>usiness</w:t>
      </w:r>
      <w:r w:rsidR="008E2457" w:rsidRPr="00254AB9">
        <w:t xml:space="preserve"> Banku Światowego (20</w:t>
      </w:r>
      <w:r w:rsidR="003224F9">
        <w:t>20</w:t>
      </w:r>
      <w:r w:rsidR="008E2457" w:rsidRPr="00254AB9">
        <w:t>)</w:t>
      </w:r>
      <w:r w:rsidR="006343E1">
        <w:t xml:space="preserve"> </w:t>
      </w:r>
      <w:r w:rsidR="006343E1" w:rsidRPr="00254AB9">
        <w:t>w</w:t>
      </w:r>
      <w:r w:rsidR="006343E1">
        <w:t> </w:t>
      </w:r>
      <w:r w:rsidRPr="00254AB9">
        <w:t>subrankingu „płacenie podatków</w:t>
      </w:r>
      <w:r w:rsidR="003535D3" w:rsidRPr="00254AB9">
        <w:t>”</w:t>
      </w:r>
      <w:r w:rsidRPr="00254AB9">
        <w:t xml:space="preserve"> Polska </w:t>
      </w:r>
      <w:r w:rsidR="00B65BAF">
        <w:t xml:space="preserve">zajęła </w:t>
      </w:r>
      <w:r w:rsidR="003224F9">
        <w:t>7</w:t>
      </w:r>
      <w:r w:rsidR="00B65BAF">
        <w:t>7</w:t>
      </w:r>
      <w:r w:rsidRPr="00254AB9">
        <w:t xml:space="preserve">. </w:t>
      </w:r>
      <w:r w:rsidR="0073246F">
        <w:t>m</w:t>
      </w:r>
      <w:r w:rsidRPr="00254AB9">
        <w:t>iejsce</w:t>
      </w:r>
      <w:r w:rsidR="00B65BAF">
        <w:t xml:space="preserve"> (w og</w:t>
      </w:r>
      <w:r w:rsidR="0073246F">
        <w:t>ó</w:t>
      </w:r>
      <w:r w:rsidR="00B65BAF">
        <w:t xml:space="preserve">lnym rankingu </w:t>
      </w:r>
      <w:r w:rsidR="00B65BAF" w:rsidRPr="00CB07D4">
        <w:rPr>
          <w:i/>
        </w:rPr>
        <w:t>ease of doing business</w:t>
      </w:r>
      <w:r w:rsidR="00B65BAF">
        <w:t xml:space="preserve"> – 40)</w:t>
      </w:r>
      <w:r w:rsidRPr="00254AB9">
        <w:t>. Obecnie, zgodnie</w:t>
      </w:r>
      <w:r w:rsidR="006343E1">
        <w:t xml:space="preserve"> </w:t>
      </w:r>
      <w:r w:rsidR="006343E1" w:rsidRPr="00254AB9">
        <w:t>z</w:t>
      </w:r>
      <w:r w:rsidR="006343E1">
        <w:t> </w:t>
      </w:r>
      <w:r w:rsidRPr="00254AB9">
        <w:t xml:space="preserve">szacunkami autorów raportu, przedsiębiorca, który chciałby spełnić </w:t>
      </w:r>
      <w:r w:rsidRPr="00254AB9">
        <w:lastRenderedPageBreak/>
        <w:t>wymagania polskich przepisów podatkowych, musi dokonać</w:t>
      </w:r>
      <w:r w:rsidR="006343E1">
        <w:t xml:space="preserve"> </w:t>
      </w:r>
      <w:r w:rsidR="006343E1" w:rsidRPr="00254AB9">
        <w:t>w</w:t>
      </w:r>
      <w:r w:rsidR="006343E1">
        <w:t> </w:t>
      </w:r>
      <w:r w:rsidRPr="00254AB9">
        <w:t xml:space="preserve">ciągu roku 7 płatności (wobec średnio </w:t>
      </w:r>
      <w:r w:rsidR="00B65BAF">
        <w:t>10,3</w:t>
      </w:r>
      <w:r w:rsidR="006343E1">
        <w:t xml:space="preserve"> </w:t>
      </w:r>
      <w:r w:rsidR="006343E1" w:rsidRPr="00254AB9">
        <w:t>w</w:t>
      </w:r>
      <w:r w:rsidR="006343E1">
        <w:t> </w:t>
      </w:r>
      <w:r w:rsidRPr="00254AB9">
        <w:t>OECD) i</w:t>
      </w:r>
      <w:r w:rsidR="008E2457" w:rsidRPr="00254AB9">
        <w:t> </w:t>
      </w:r>
      <w:r w:rsidRPr="00254AB9">
        <w:t xml:space="preserve">poświęcić na to </w:t>
      </w:r>
      <w:r w:rsidR="009600C7">
        <w:t>334</w:t>
      </w:r>
      <w:r w:rsidRPr="00254AB9">
        <w:t xml:space="preserve"> godzin (1</w:t>
      </w:r>
      <w:r w:rsidR="009600C7">
        <w:t>5</w:t>
      </w:r>
      <w:r w:rsidR="00B65BAF">
        <w:t>8</w:t>
      </w:r>
      <w:r w:rsidRPr="00254AB9">
        <w:t>,</w:t>
      </w:r>
      <w:r w:rsidR="00B65BAF">
        <w:t>8</w:t>
      </w:r>
      <w:r w:rsidR="006343E1">
        <w:t xml:space="preserve"> </w:t>
      </w:r>
      <w:r w:rsidR="006343E1" w:rsidRPr="00254AB9">
        <w:t>w</w:t>
      </w:r>
      <w:r w:rsidR="006343E1">
        <w:t> </w:t>
      </w:r>
      <w:r w:rsidRPr="00254AB9">
        <w:t>OECD). Całkowita stopa opodatkowania jest niższa niż średnio w</w:t>
      </w:r>
      <w:r w:rsidR="008E2457" w:rsidRPr="00254AB9">
        <w:t> </w:t>
      </w:r>
      <w:r w:rsidRPr="00254AB9">
        <w:t>OECD (40,</w:t>
      </w:r>
      <w:r w:rsidR="00B65BAF">
        <w:t>8</w:t>
      </w:r>
      <w:r w:rsidRPr="00254AB9">
        <w:t xml:space="preserve">% vs </w:t>
      </w:r>
      <w:r w:rsidR="009600C7">
        <w:t>39</w:t>
      </w:r>
      <w:r w:rsidRPr="00254AB9">
        <w:t>,</w:t>
      </w:r>
      <w:r w:rsidR="00B65BAF">
        <w:t>8</w:t>
      </w:r>
      <w:r w:rsidRPr="00254AB9">
        <w:t>%). Najwyższą pozycję</w:t>
      </w:r>
      <w:r w:rsidR="006343E1">
        <w:t xml:space="preserve"> </w:t>
      </w:r>
      <w:r w:rsidR="006343E1" w:rsidRPr="00254AB9">
        <w:t>w</w:t>
      </w:r>
      <w:r w:rsidR="006343E1">
        <w:t> </w:t>
      </w:r>
      <w:r w:rsidRPr="00254AB9">
        <w:t>grupie UE-13 zajęły Estonia (</w:t>
      </w:r>
      <w:r w:rsidR="009600C7">
        <w:t>1</w:t>
      </w:r>
      <w:r w:rsidR="00B65BAF">
        <w:t>2</w:t>
      </w:r>
      <w:r w:rsidRPr="00254AB9">
        <w:t>.)</w:t>
      </w:r>
      <w:r w:rsidR="006343E1">
        <w:t xml:space="preserve"> i </w:t>
      </w:r>
      <w:r w:rsidR="00B65BAF">
        <w:t>Łotwa (16)</w:t>
      </w:r>
      <w:r w:rsidRPr="00254AB9">
        <w:t xml:space="preserve">. </w:t>
      </w:r>
    </w:p>
    <w:p w14:paraId="21C1C165" w14:textId="08393C33" w:rsidR="00A713C7" w:rsidRPr="00254AB9" w:rsidRDefault="00BA5B18" w:rsidP="002647FB">
      <w:r w:rsidRPr="00254AB9">
        <w:t>W</w:t>
      </w:r>
      <w:r w:rsidR="00A53D3E">
        <w:t>edłu</w:t>
      </w:r>
      <w:r w:rsidRPr="00254AB9">
        <w:t>g analizy K</w:t>
      </w:r>
      <w:r w:rsidR="003040F1">
        <w:t xml:space="preserve">omisji </w:t>
      </w:r>
      <w:r w:rsidRPr="00254AB9">
        <w:t>E</w:t>
      </w:r>
      <w:r w:rsidR="003040F1">
        <w:t>uropejskiej</w:t>
      </w:r>
      <w:r w:rsidRPr="00254AB9">
        <w:t xml:space="preserve"> dot</w:t>
      </w:r>
      <w:r w:rsidR="003040F1">
        <w:t>yczącej</w:t>
      </w:r>
      <w:r w:rsidRPr="00254AB9">
        <w:t xml:space="preserve"> postępów we wdrażaniu </w:t>
      </w:r>
      <w:r w:rsidRPr="00CB07D4">
        <w:rPr>
          <w:i/>
        </w:rPr>
        <w:t>Small Business Act</w:t>
      </w:r>
      <w:r w:rsidR="006343E1">
        <w:t xml:space="preserve"> </w:t>
      </w:r>
      <w:r w:rsidR="006343E1" w:rsidRPr="00254AB9">
        <w:t>w</w:t>
      </w:r>
      <w:r w:rsidR="006343E1">
        <w:t> </w:t>
      </w:r>
      <w:r w:rsidRPr="00254AB9">
        <w:t>Polsce</w:t>
      </w:r>
      <w:r w:rsidR="008E2457" w:rsidRPr="00254AB9">
        <w:t xml:space="preserve"> (KE, 201</w:t>
      </w:r>
      <w:r w:rsidR="00270CB1">
        <w:t>8</w:t>
      </w:r>
      <w:r w:rsidR="008E2457" w:rsidRPr="00254AB9">
        <w:t>)</w:t>
      </w:r>
      <w:r w:rsidRPr="00254AB9">
        <w:t xml:space="preserve"> największy postęp w</w:t>
      </w:r>
      <w:r w:rsidR="008E2457" w:rsidRPr="00254AB9">
        <w:t> </w:t>
      </w:r>
      <w:r w:rsidRPr="00254AB9">
        <w:t>ostatnich latach odnotowano</w:t>
      </w:r>
      <w:r w:rsidR="006343E1">
        <w:t xml:space="preserve"> </w:t>
      </w:r>
      <w:r w:rsidR="006343E1" w:rsidRPr="00254AB9">
        <w:t>w</w:t>
      </w:r>
      <w:r w:rsidR="006343E1">
        <w:t> </w:t>
      </w:r>
      <w:r w:rsidRPr="00254AB9">
        <w:t xml:space="preserve">filarze </w:t>
      </w:r>
      <w:r w:rsidR="00F14D19">
        <w:rPr>
          <w:rFonts w:ascii="Times New Roman" w:hAnsi="Times New Roman" w:cs="Times New Roman"/>
        </w:rPr>
        <w:t>„</w:t>
      </w:r>
      <w:r w:rsidRPr="00254AB9">
        <w:t>odpowiedzialna administracja</w:t>
      </w:r>
      <w:r w:rsidR="00F14D19">
        <w:rPr>
          <w:rFonts w:ascii="Times New Roman" w:hAnsi="Times New Roman" w:cs="Times New Roman"/>
        </w:rPr>
        <w:t>”</w:t>
      </w:r>
      <w:r w:rsidR="00466A2F" w:rsidRPr="00254AB9">
        <w:t xml:space="preserve"> – dzięki realizacji wielu działań na rzecz zmniejszenia </w:t>
      </w:r>
      <w:r w:rsidRPr="00254AB9">
        <w:t xml:space="preserve">wymogów administracyjnych dla </w:t>
      </w:r>
      <w:r w:rsidR="00A30C03">
        <w:t>małych i średnich przedsiębiorstw M</w:t>
      </w:r>
      <w:r w:rsidRPr="00254AB9">
        <w:t>ŚP.</w:t>
      </w:r>
      <w:r w:rsidR="00466A2F" w:rsidRPr="00254AB9">
        <w:t xml:space="preserve"> Pomimo uproszczeń (np. </w:t>
      </w:r>
      <w:r w:rsidR="00532452" w:rsidRPr="00254AB9">
        <w:t>zmniejszenie liczby procedur związanych</w:t>
      </w:r>
      <w:r w:rsidR="006343E1">
        <w:t xml:space="preserve"> </w:t>
      </w:r>
      <w:r w:rsidR="006343E1" w:rsidRPr="00254AB9">
        <w:t>z</w:t>
      </w:r>
      <w:r w:rsidR="006343E1">
        <w:t> </w:t>
      </w:r>
      <w:r w:rsidR="00532452" w:rsidRPr="00254AB9">
        <w:t>rozpoczęciem działalności</w:t>
      </w:r>
      <w:r w:rsidR="006343E1">
        <w:t xml:space="preserve"> </w:t>
      </w:r>
      <w:r w:rsidR="006343E1" w:rsidRPr="00254AB9">
        <w:t>z</w:t>
      </w:r>
      <w:r w:rsidR="006343E1">
        <w:t> </w:t>
      </w:r>
      <w:r w:rsidR="00532452" w:rsidRPr="00254AB9">
        <w:t xml:space="preserve">10 do </w:t>
      </w:r>
      <w:r w:rsidR="00CD15C2">
        <w:t>5 (średnia UE 5,36)</w:t>
      </w:r>
      <w:r w:rsidR="00532452" w:rsidRPr="00254AB9">
        <w:t xml:space="preserve"> czy znaczne skrócenie czasu potrzebnego na wypełnienie procedur podatkowych –</w:t>
      </w:r>
      <w:r w:rsidR="006343E1">
        <w:t xml:space="preserve"> </w:t>
      </w:r>
      <w:r w:rsidR="006343E1" w:rsidRPr="00254AB9">
        <w:t>z</w:t>
      </w:r>
      <w:r w:rsidR="006343E1">
        <w:t> </w:t>
      </w:r>
      <w:r w:rsidR="00532452" w:rsidRPr="00254AB9">
        <w:t>420 do 2</w:t>
      </w:r>
      <w:r w:rsidR="00CD15C2">
        <w:t>60</w:t>
      </w:r>
      <w:r w:rsidR="00532452" w:rsidRPr="00254AB9">
        <w:t xml:space="preserve"> godzin rocznie</w:t>
      </w:r>
      <w:r w:rsidR="00CD15C2">
        <w:t xml:space="preserve"> (średnia UE 171,4</w:t>
      </w:r>
      <w:r w:rsidR="003040F1">
        <w:t>)</w:t>
      </w:r>
      <w:r w:rsidR="00532452" w:rsidRPr="00254AB9">
        <w:t xml:space="preserve"> obciążenia administracyjne</w:t>
      </w:r>
      <w:r w:rsidR="006343E1">
        <w:t xml:space="preserve"> </w:t>
      </w:r>
      <w:r w:rsidR="006343E1" w:rsidRPr="00254AB9">
        <w:t>i</w:t>
      </w:r>
      <w:r w:rsidR="006343E1">
        <w:t> </w:t>
      </w:r>
      <w:r w:rsidR="00532452" w:rsidRPr="00254AB9">
        <w:t>czas potrzebny na spełnienie wymogów podatkowych nadal stanowią,</w:t>
      </w:r>
      <w:r w:rsidR="006343E1">
        <w:t> </w:t>
      </w:r>
      <w:r w:rsidR="00532452" w:rsidRPr="00254AB9">
        <w:t>w opinii przedstawionej przez K</w:t>
      </w:r>
      <w:r w:rsidR="00A30C03">
        <w:t xml:space="preserve">omisję </w:t>
      </w:r>
      <w:r w:rsidR="00532452" w:rsidRPr="00254AB9">
        <w:t>E</w:t>
      </w:r>
      <w:r w:rsidR="00A30C03">
        <w:t>uropejską</w:t>
      </w:r>
      <w:r w:rsidR="00532452" w:rsidRPr="00254AB9">
        <w:t>, poważne wyzwanie dla przedsiębiorstw.</w:t>
      </w:r>
      <w:r w:rsidR="00CD15C2">
        <w:t xml:space="preserve"> Poniżej średniej UE oceniono również kompetencje i</w:t>
      </w:r>
      <w:r w:rsidR="006343E1">
        <w:t> </w:t>
      </w:r>
      <w:r w:rsidR="00CD15C2">
        <w:t>skuteczność działań administracji</w:t>
      </w:r>
      <w:r w:rsidR="006343E1">
        <w:t xml:space="preserve"> w </w:t>
      </w:r>
      <w:r w:rsidR="00CD15C2">
        <w:t>zakresie w</w:t>
      </w:r>
      <w:r w:rsidR="00535EB5">
        <w:t>s</w:t>
      </w:r>
      <w:r w:rsidR="00CD15C2">
        <w:t>pierania nowych</w:t>
      </w:r>
      <w:r w:rsidR="006343E1">
        <w:t xml:space="preserve"> i </w:t>
      </w:r>
      <w:r w:rsidR="00CD15C2">
        <w:t>rozwijających się firm.</w:t>
      </w:r>
    </w:p>
    <w:p w14:paraId="30A8DDF8" w14:textId="4A55AFC4" w:rsidR="00264D81" w:rsidRPr="00264D81" w:rsidRDefault="00532452" w:rsidP="00264D81">
      <w:r w:rsidRPr="00254AB9">
        <w:t>Nieco szerszy obraz otoczenia przedsiębiorczości przynosi  badanie eksperckie na temat uwarunkowań przedsiębiorczości (</w:t>
      </w:r>
      <w:r w:rsidRPr="00CB07D4">
        <w:rPr>
          <w:i/>
        </w:rPr>
        <w:t>National Expert Survey</w:t>
      </w:r>
      <w:r w:rsidRPr="00254AB9">
        <w:t xml:space="preserve"> – NES) prowadzone wśród 36 ekspertów krajowych</w:t>
      </w:r>
      <w:r w:rsidR="006343E1">
        <w:t xml:space="preserve"> </w:t>
      </w:r>
      <w:r w:rsidR="006343E1" w:rsidRPr="00254AB9">
        <w:t>w</w:t>
      </w:r>
      <w:r w:rsidR="006343E1">
        <w:t> </w:t>
      </w:r>
      <w:r w:rsidRPr="00254AB9">
        <w:t xml:space="preserve">ramach badania </w:t>
      </w:r>
      <w:r w:rsidRPr="00CB07D4">
        <w:rPr>
          <w:i/>
        </w:rPr>
        <w:t>Global Entrepreneurship Monitor</w:t>
      </w:r>
      <w:r w:rsidRPr="00254AB9">
        <w:t xml:space="preserve"> (GEM</w:t>
      </w:r>
      <w:r w:rsidR="008E2457" w:rsidRPr="00254AB9">
        <w:t>/PARP, 20</w:t>
      </w:r>
      <w:r w:rsidR="00422089">
        <w:t>20</w:t>
      </w:r>
      <w:r w:rsidRPr="00254AB9">
        <w:t>). Zgodnie</w:t>
      </w:r>
      <w:r w:rsidR="006343E1">
        <w:t xml:space="preserve"> </w:t>
      </w:r>
      <w:r w:rsidR="006343E1" w:rsidRPr="00254AB9">
        <w:t>z</w:t>
      </w:r>
      <w:r w:rsidR="006343E1">
        <w:t> </w:t>
      </w:r>
      <w:r w:rsidRPr="00254AB9">
        <w:t>wynikami NES edukacja pozostaje obszarem, który stanowi największą słabość systemu instytucjonalnego wsparcia przedsiębiorczości</w:t>
      </w:r>
      <w:r w:rsidR="004F7355" w:rsidRPr="00254AB9">
        <w:t xml:space="preserve"> w</w:t>
      </w:r>
      <w:r w:rsidR="008E2457" w:rsidRPr="00254AB9">
        <w:t> </w:t>
      </w:r>
      <w:r w:rsidR="004F7355" w:rsidRPr="00254AB9">
        <w:t>Polsce</w:t>
      </w:r>
      <w:r w:rsidRPr="00254AB9">
        <w:t>.</w:t>
      </w:r>
      <w:r w:rsidR="004F7355" w:rsidRPr="00254AB9">
        <w:t xml:space="preserve"> </w:t>
      </w:r>
      <w:r w:rsidR="00264D81" w:rsidRPr="00264D81">
        <w:t>Kluczowe znaczenie dla instytucjonalnego wsparcia przedsiębiorczości w Polsce ma odpowiednie kształtowanie postaw przedsiębiorczości, kreatywności i innowacyjności w procesie nauczania na wszystkich etapach edukac</w:t>
      </w:r>
      <w:r w:rsidR="00264D81">
        <w:t>y</w:t>
      </w:r>
      <w:r w:rsidR="00264D81" w:rsidRPr="00264D81">
        <w:t>j</w:t>
      </w:r>
      <w:r w:rsidR="00264D81">
        <w:t>nych</w:t>
      </w:r>
      <w:r w:rsidR="00264D81" w:rsidRPr="00264D81">
        <w:t>. Takie kompetencje jak współpraca, podejmowanie ryzyka, rozwiązywanie problemów powinny być rozwijane już na etapie edukacji przedszkolnej i wczesnoszkolnej. Uczniowie powinni również posiadać aktualną wiedzę w zakresie funkcjonowania gospodarki i przedsiębiorstw.</w:t>
      </w:r>
    </w:p>
    <w:p w14:paraId="21250F44" w14:textId="7917BE36" w:rsidR="008E2457" w:rsidRPr="00254AB9" w:rsidRDefault="00406FAA" w:rsidP="006343E1">
      <w:r w:rsidRPr="00254AB9">
        <w:t>Nisko</w:t>
      </w:r>
      <w:r w:rsidR="004F7355" w:rsidRPr="00254AB9">
        <w:t xml:space="preserve"> został oceniony również obszar „biurokracja</w:t>
      </w:r>
      <w:r w:rsidR="006343E1">
        <w:t xml:space="preserve"> </w:t>
      </w:r>
      <w:r w:rsidR="006343E1" w:rsidRPr="00254AB9">
        <w:t>i</w:t>
      </w:r>
      <w:r w:rsidR="006343E1">
        <w:t> </w:t>
      </w:r>
      <w:r w:rsidR="004F7355" w:rsidRPr="00254AB9">
        <w:t>podatki” (</w:t>
      </w:r>
      <w:r w:rsidR="00422089">
        <w:t>m.in. nisko, choć nieco wyżej niż w</w:t>
      </w:r>
      <w:r w:rsidR="006343E1">
        <w:t> </w:t>
      </w:r>
      <w:r w:rsidR="00422089">
        <w:t xml:space="preserve">poprzednich dwóch latach oceniono </w:t>
      </w:r>
      <w:r w:rsidR="00422089" w:rsidRPr="00422089">
        <w:t>radzenie sobie</w:t>
      </w:r>
      <w:r w:rsidR="006343E1">
        <w:t xml:space="preserve"> </w:t>
      </w:r>
      <w:r w:rsidR="006343E1" w:rsidRPr="00422089">
        <w:t>z</w:t>
      </w:r>
      <w:r w:rsidR="006343E1">
        <w:t> </w:t>
      </w:r>
      <w:r w:rsidR="00422089" w:rsidRPr="00422089">
        <w:t>biurokracją publiczną, przepisami</w:t>
      </w:r>
      <w:r w:rsidR="006343E1">
        <w:t xml:space="preserve"> </w:t>
      </w:r>
      <w:r w:rsidR="006343E1" w:rsidRPr="00422089">
        <w:t>i</w:t>
      </w:r>
      <w:r w:rsidR="006343E1">
        <w:t> </w:t>
      </w:r>
      <w:r w:rsidR="00422089" w:rsidRPr="00422089">
        <w:t>wymogami licencyjnymi</w:t>
      </w:r>
      <w:r w:rsidR="00422089">
        <w:t>)</w:t>
      </w:r>
      <w:r w:rsidR="00F14D19">
        <w:t>.</w:t>
      </w:r>
      <w:r w:rsidR="00422089" w:rsidRPr="00422089">
        <w:t xml:space="preserve"> </w:t>
      </w:r>
      <w:r w:rsidR="00F86FAA">
        <w:t>P</w:t>
      </w:r>
      <w:r w:rsidR="00F86FAA" w:rsidRPr="00F86FAA">
        <w:t>olscy eksperci nie zgadzają się ze stwierdzeniem, że radzenie sobie z biurokracją publiczną,</w:t>
      </w:r>
      <w:r w:rsidR="00F86FAA">
        <w:t xml:space="preserve"> </w:t>
      </w:r>
      <w:r w:rsidR="00F86FAA" w:rsidRPr="00F86FAA">
        <w:t xml:space="preserve">przepisami i wymogami licencyjnymi </w:t>
      </w:r>
      <w:r w:rsidR="00422089" w:rsidRPr="00422089">
        <w:t>nie jest zbyt trudne dla nowych</w:t>
      </w:r>
      <w:r w:rsidR="006343E1">
        <w:t xml:space="preserve"> </w:t>
      </w:r>
      <w:r w:rsidR="006343E1" w:rsidRPr="00422089">
        <w:t>i</w:t>
      </w:r>
      <w:r w:rsidR="006343E1">
        <w:t> </w:t>
      </w:r>
      <w:r w:rsidR="00422089" w:rsidRPr="00422089">
        <w:t>rozwijających się firm (2,9 pkt, 72% oceny krajów europejskich), choć nastąpiła nieznaczna poprawa jego oceny</w:t>
      </w:r>
      <w:r w:rsidR="006343E1">
        <w:t xml:space="preserve"> </w:t>
      </w:r>
      <w:r w:rsidR="006343E1" w:rsidRPr="00422089">
        <w:t>w</w:t>
      </w:r>
      <w:r w:rsidR="006343E1">
        <w:t> </w:t>
      </w:r>
      <w:r w:rsidR="00422089" w:rsidRPr="00422089">
        <w:t>porównaniu do poprzednich dwóch lat.</w:t>
      </w:r>
      <w:r w:rsidR="007C1092" w:rsidRPr="00254AB9">
        <w:t xml:space="preserve"> Poniżej przedstawiono wyniki badania</w:t>
      </w:r>
      <w:r w:rsidR="006343E1">
        <w:t xml:space="preserve"> </w:t>
      </w:r>
      <w:r w:rsidR="006343E1" w:rsidRPr="00254AB9">
        <w:t>w</w:t>
      </w:r>
      <w:r w:rsidR="006343E1">
        <w:t> </w:t>
      </w:r>
      <w:r w:rsidR="007C1092" w:rsidRPr="00254AB9">
        <w:t>poszczególnych obszarach.</w:t>
      </w:r>
    </w:p>
    <w:p w14:paraId="325983EC" w14:textId="540709EB" w:rsidR="00FA0FFB" w:rsidRDefault="00390B44" w:rsidP="00FA0FFB">
      <w:pPr>
        <w:pStyle w:val="Nagwek4"/>
        <w:ind w:left="993" w:hanging="993"/>
      </w:pPr>
      <w:r w:rsidRPr="00254AB9">
        <w:lastRenderedPageBreak/>
        <w:t xml:space="preserve">Wykres </w:t>
      </w:r>
      <w:r w:rsidR="00027674">
        <w:t>3</w:t>
      </w:r>
      <w:r w:rsidR="001C3C76">
        <w:t>6</w:t>
      </w:r>
      <w:r w:rsidR="000E3507">
        <w:fldChar w:fldCharType="begin"/>
      </w:r>
      <w:r w:rsidR="000E3507">
        <w:instrText xml:space="preserve"> SEQ Rysunek \* ARABIC </w:instrText>
      </w:r>
      <w:r w:rsidR="000E3507">
        <w:fldChar w:fldCharType="end"/>
      </w:r>
      <w:r w:rsidRPr="00254AB9">
        <w:t>.</w:t>
      </w:r>
      <w:r w:rsidR="007C1092" w:rsidRPr="00254AB9">
        <w:t xml:space="preserve"> Uwarunkowania przedsiębiorczości</w:t>
      </w:r>
      <w:r w:rsidR="006343E1">
        <w:t xml:space="preserve"> </w:t>
      </w:r>
      <w:r w:rsidR="006343E1" w:rsidRPr="00254AB9">
        <w:t>w</w:t>
      </w:r>
      <w:r w:rsidR="006343E1">
        <w:t> </w:t>
      </w:r>
      <w:r w:rsidR="007C1092" w:rsidRPr="00254AB9">
        <w:t>201</w:t>
      </w:r>
      <w:r w:rsidR="00F86FAA">
        <w:t>9</w:t>
      </w:r>
      <w:r w:rsidR="007C1092" w:rsidRPr="00254AB9">
        <w:t xml:space="preserve"> r.</w:t>
      </w:r>
      <w:r w:rsidR="006343E1">
        <w:t xml:space="preserve"> </w:t>
      </w:r>
      <w:r w:rsidR="006343E1" w:rsidRPr="00254AB9">
        <w:t>w</w:t>
      </w:r>
      <w:r w:rsidR="006343E1">
        <w:t> </w:t>
      </w:r>
      <w:r w:rsidR="007C1092" w:rsidRPr="00254AB9">
        <w:t>Polsce</w:t>
      </w:r>
      <w:r w:rsidR="006343E1">
        <w:t xml:space="preserve"> </w:t>
      </w:r>
      <w:r w:rsidR="006343E1" w:rsidRPr="00254AB9">
        <w:t>w</w:t>
      </w:r>
      <w:r w:rsidR="006343E1">
        <w:t> </w:t>
      </w:r>
      <w:r w:rsidR="007C1092" w:rsidRPr="00254AB9">
        <w:t xml:space="preserve">porównaniu </w:t>
      </w:r>
      <w:r w:rsidR="00F86FAA">
        <w:t>z gospodarkami o wysokich dochodach i krajami europejskimi</w:t>
      </w:r>
      <w:r w:rsidR="00322218">
        <w:t xml:space="preserve"> </w:t>
      </w:r>
    </w:p>
    <w:p w14:paraId="1F1A0F7B" w14:textId="2F26B4A6" w:rsidR="00E45DE7" w:rsidRDefault="00132410" w:rsidP="00FA0FFB">
      <w:pPr>
        <w:pStyle w:val="Nagwek4"/>
        <w:ind w:left="993" w:hanging="993"/>
        <w:rPr>
          <w:rFonts w:cs="Calibri"/>
          <w:i/>
          <w:szCs w:val="21"/>
        </w:rPr>
      </w:pPr>
      <w:r w:rsidRPr="00132410">
        <w:rPr>
          <w:rFonts w:cs="Calibri"/>
          <w:i/>
          <w:noProof/>
          <w:szCs w:val="21"/>
          <w:lang w:eastAsia="pl-PL"/>
        </w:rPr>
        <w:drawing>
          <wp:inline distT="0" distB="0" distL="0" distR="0" wp14:anchorId="7EAC1C9C" wp14:editId="07FB4242">
            <wp:extent cx="5760720" cy="4260215"/>
            <wp:effectExtent l="0" t="0" r="0" b="6985"/>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60720" cy="4260215"/>
                    </a:xfrm>
                    <a:prstGeom prst="rect">
                      <a:avLst/>
                    </a:prstGeom>
                  </pic:spPr>
                </pic:pic>
              </a:graphicData>
            </a:graphic>
          </wp:inline>
        </w:drawing>
      </w:r>
    </w:p>
    <w:p w14:paraId="45D09D40" w14:textId="25F17985" w:rsidR="007C1092" w:rsidRPr="00254AB9" w:rsidRDefault="00A32838" w:rsidP="00ED7916">
      <w:pPr>
        <w:pStyle w:val="Bezodstpw"/>
      </w:pPr>
      <w:r w:rsidRPr="00254AB9">
        <w:t>Źródło</w:t>
      </w:r>
      <w:r w:rsidR="007C1092" w:rsidRPr="00254AB9">
        <w:t xml:space="preserve">: </w:t>
      </w:r>
      <w:r w:rsidR="008E2457" w:rsidRPr="00254AB9">
        <w:t xml:space="preserve"> </w:t>
      </w:r>
      <w:r w:rsidR="00B822CB" w:rsidRPr="00254AB9">
        <w:t xml:space="preserve">Opracowanie </w:t>
      </w:r>
      <w:r w:rsidR="00E45DE7">
        <w:t xml:space="preserve">PARP </w:t>
      </w:r>
      <w:r w:rsidR="00E45DE7" w:rsidRPr="00E45DE7">
        <w:t xml:space="preserve">na </w:t>
      </w:r>
      <w:r w:rsidR="00E45DE7" w:rsidRPr="00027674">
        <w:t>podstawie</w:t>
      </w:r>
      <w:r w:rsidR="00E45DE7" w:rsidRPr="00E45DE7">
        <w:t xml:space="preserve"> wyników badania Global Entrepreneurship Monitor –</w:t>
      </w:r>
      <w:r w:rsidR="00E63592">
        <w:t xml:space="preserve"> </w:t>
      </w:r>
      <w:r w:rsidR="00E45DE7" w:rsidRPr="00E45DE7">
        <w:t>National Expert Survey 201</w:t>
      </w:r>
      <w:r w:rsidR="00132410">
        <w:t>9</w:t>
      </w:r>
      <w:r w:rsidR="00E45DE7">
        <w:t xml:space="preserve"> [w] </w:t>
      </w:r>
      <w:r w:rsidR="008E2457" w:rsidRPr="00254AB9">
        <w:t>GEM/PARP (20</w:t>
      </w:r>
      <w:r w:rsidR="00132410">
        <w:t>20</w:t>
      </w:r>
      <w:r w:rsidR="008E2457" w:rsidRPr="00254AB9">
        <w:t xml:space="preserve">, </w:t>
      </w:r>
      <w:r w:rsidR="007C1092" w:rsidRPr="00254AB9">
        <w:t>s.</w:t>
      </w:r>
      <w:r w:rsidR="00F8351D">
        <w:t xml:space="preserve"> </w:t>
      </w:r>
      <w:r w:rsidR="00132410">
        <w:t>71</w:t>
      </w:r>
      <w:r w:rsidR="008E2457" w:rsidRPr="00254AB9">
        <w:t>)</w:t>
      </w:r>
      <w:r w:rsidR="007C1092" w:rsidRPr="00254AB9">
        <w:t xml:space="preserve"> </w:t>
      </w:r>
    </w:p>
    <w:p w14:paraId="6F2D8999" w14:textId="2D14656C" w:rsidR="00BA1E08" w:rsidRPr="00254AB9" w:rsidRDefault="00BA1E08" w:rsidP="00D01FC4">
      <w:r w:rsidRPr="00254AB9">
        <w:t>Należy również uwzględnić dodatkową barierę</w:t>
      </w:r>
      <w:r w:rsidR="006343E1">
        <w:t xml:space="preserve"> </w:t>
      </w:r>
      <w:r w:rsidR="006343E1" w:rsidRPr="00254AB9">
        <w:t>w</w:t>
      </w:r>
      <w:r w:rsidR="006343E1">
        <w:t> </w:t>
      </w:r>
      <w:r w:rsidRPr="00254AB9">
        <w:t>prowadzeniu działalności przedsiębiorstw, tj. proces dostosowywania podmiotu gospodarczego do nowego otoczenia konkurencyjnego. Jednym z</w:t>
      </w:r>
      <w:r w:rsidR="00EC4620" w:rsidRPr="00254AB9">
        <w:t> </w:t>
      </w:r>
      <w:r w:rsidRPr="00254AB9">
        <w:t>mechanizmów, który niewątpliwie wymaga dalszej poprawy</w:t>
      </w:r>
      <w:r w:rsidR="00E63592">
        <w:t>,</w:t>
      </w:r>
      <w:r w:rsidRPr="00254AB9">
        <w:t xml:space="preserve"> jest procedura upadłości. Jak wskazują dane OECD</w:t>
      </w:r>
      <w:r w:rsidR="003140D0" w:rsidRPr="00254AB9">
        <w:t>,</w:t>
      </w:r>
      <w:r w:rsidR="006343E1">
        <w:t xml:space="preserve"> </w:t>
      </w:r>
      <w:r w:rsidR="006343E1" w:rsidRPr="00254AB9">
        <w:t>w</w:t>
      </w:r>
      <w:r w:rsidR="006343E1">
        <w:t> </w:t>
      </w:r>
      <w:r w:rsidR="003140D0" w:rsidRPr="00254AB9">
        <w:t>Polsce w</w:t>
      </w:r>
      <w:r w:rsidR="006343E1">
        <w:t> </w:t>
      </w:r>
      <w:r w:rsidR="003140D0" w:rsidRPr="00254AB9">
        <w:t>dalszym ciągu proces upadłości trwa dłużej niż</w:t>
      </w:r>
      <w:r w:rsidR="006343E1">
        <w:t xml:space="preserve"> </w:t>
      </w:r>
      <w:r w:rsidR="006343E1" w:rsidRPr="00254AB9">
        <w:t>w</w:t>
      </w:r>
      <w:r w:rsidR="006343E1">
        <w:t> </w:t>
      </w:r>
      <w:r w:rsidR="003140D0" w:rsidRPr="00254AB9">
        <w:t>większości krajów UE (zarówno UE-15, jak</w:t>
      </w:r>
      <w:r w:rsidR="006343E1">
        <w:t xml:space="preserve"> </w:t>
      </w:r>
      <w:r w:rsidR="006343E1" w:rsidRPr="00254AB9">
        <w:t>i</w:t>
      </w:r>
      <w:r w:rsidR="006343E1">
        <w:t> </w:t>
      </w:r>
      <w:r w:rsidR="003140D0" w:rsidRPr="00254AB9">
        <w:t xml:space="preserve">UE-13). </w:t>
      </w:r>
      <w:r w:rsidR="00EC4620" w:rsidRPr="00254AB9">
        <w:t>Dokładne dane pokazuje poniższy wykres</w:t>
      </w:r>
      <w:r w:rsidR="001C3C76">
        <w:t xml:space="preserve"> 37</w:t>
      </w:r>
      <w:r w:rsidR="00EC4620" w:rsidRPr="00254AB9">
        <w:t xml:space="preserve">. </w:t>
      </w:r>
    </w:p>
    <w:p w14:paraId="41049B42" w14:textId="10921315" w:rsidR="00E80297" w:rsidRPr="00254AB9" w:rsidRDefault="00A7637E" w:rsidP="00CB07D4">
      <w:pPr>
        <w:pStyle w:val="Nagwek4"/>
        <w:ind w:left="993" w:hanging="993"/>
      </w:pPr>
      <w:r w:rsidRPr="00254AB9">
        <w:lastRenderedPageBreak/>
        <w:t xml:space="preserve">Wykres </w:t>
      </w:r>
      <w:r w:rsidR="00C8306C">
        <w:rPr>
          <w:noProof/>
        </w:rPr>
        <w:fldChar w:fldCharType="begin"/>
      </w:r>
      <w:r w:rsidR="00C8306C">
        <w:rPr>
          <w:noProof/>
        </w:rPr>
        <w:instrText xml:space="preserve"> SEQ Rysunek \* ARABIC </w:instrText>
      </w:r>
      <w:r w:rsidR="00C8306C">
        <w:rPr>
          <w:noProof/>
        </w:rPr>
        <w:fldChar w:fldCharType="separate"/>
      </w:r>
      <w:r w:rsidR="00027674">
        <w:rPr>
          <w:noProof/>
        </w:rPr>
        <w:t>3</w:t>
      </w:r>
      <w:r w:rsidR="00C8306C">
        <w:rPr>
          <w:noProof/>
        </w:rPr>
        <w:fldChar w:fldCharType="end"/>
      </w:r>
      <w:r w:rsidR="001C3C76">
        <w:rPr>
          <w:noProof/>
        </w:rPr>
        <w:t>7</w:t>
      </w:r>
      <w:r w:rsidRPr="00254AB9">
        <w:t xml:space="preserve">. </w:t>
      </w:r>
      <w:r w:rsidR="00E80297" w:rsidRPr="00254AB9">
        <w:t>Długość trwania procesów upadłościowych – czas niezbędny na zaspokojenie co najmniej części roszczeń sektora bankowego (w latach, dane za 2017 r.)</w:t>
      </w:r>
    </w:p>
    <w:bookmarkStart w:id="75" w:name="_MON_1588676782"/>
    <w:bookmarkEnd w:id="75"/>
    <w:p w14:paraId="68C5035F" w14:textId="333130D0" w:rsidR="003140D0" w:rsidRPr="00254AB9" w:rsidRDefault="00C1723E" w:rsidP="006365AA">
      <w:pPr>
        <w:spacing w:after="0" w:line="240" w:lineRule="auto"/>
        <w:jc w:val="center"/>
        <w:rPr>
          <w:rFonts w:cs="Calibri"/>
          <w:sz w:val="21"/>
          <w:szCs w:val="21"/>
        </w:rPr>
      </w:pPr>
      <w:r w:rsidRPr="00254AB9">
        <w:rPr>
          <w:rFonts w:cs="Calibri"/>
          <w:sz w:val="21"/>
          <w:szCs w:val="21"/>
        </w:rPr>
        <w:object w:dxaOrig="7185" w:dyaOrig="3561" w14:anchorId="3CE9EC80">
          <v:shape id="_x0000_i1025" type="#_x0000_t75" style="width:5in;height:180.75pt" o:ole="">
            <v:imagedata r:id="rId58" o:title=""/>
          </v:shape>
          <o:OLEObject Type="Embed" ProgID="Excel.Sheet.12" ShapeID="_x0000_i1025" DrawAspect="Content" ObjectID="_1719297189" r:id="rId59"/>
        </w:object>
      </w:r>
    </w:p>
    <w:p w14:paraId="691F4FE4" w14:textId="012A6D04" w:rsidR="00E80297" w:rsidRPr="00254AB9" w:rsidRDefault="00E80297" w:rsidP="00D01FC4">
      <w:pPr>
        <w:pStyle w:val="Bezodstpw"/>
      </w:pPr>
      <w:r w:rsidRPr="00254AB9">
        <w:t xml:space="preserve">Źródło: </w:t>
      </w:r>
      <w:r w:rsidR="00B822CB" w:rsidRPr="00254AB9">
        <w:t xml:space="preserve">Opracowanie </w:t>
      </w:r>
      <w:r w:rsidR="003A56DA">
        <w:t>MRiT</w:t>
      </w:r>
      <w:r w:rsidR="003A5EA7">
        <w:t xml:space="preserve"> </w:t>
      </w:r>
      <w:r w:rsidRPr="00254AB9">
        <w:t>na podstawie danych OECD (2018</w:t>
      </w:r>
      <w:r w:rsidR="004F0234" w:rsidRPr="00254AB9">
        <w:t>b</w:t>
      </w:r>
      <w:r w:rsidRPr="00254AB9">
        <w:t>, s. 131</w:t>
      </w:r>
      <w:r w:rsidR="00E46A26" w:rsidRPr="00254AB9">
        <w:t>)</w:t>
      </w:r>
    </w:p>
    <w:p w14:paraId="7E6658F9" w14:textId="26937DC2" w:rsidR="00F46A27" w:rsidRPr="00254AB9" w:rsidRDefault="00F46A27" w:rsidP="003D6D53">
      <w:pPr>
        <w:pStyle w:val="Nagwek2"/>
      </w:pPr>
      <w:bookmarkStart w:id="76" w:name="_Toc511921176"/>
      <w:bookmarkStart w:id="77" w:name="_Toc31808508"/>
      <w:bookmarkStart w:id="78" w:name="_Toc106968791"/>
      <w:r w:rsidRPr="00254AB9">
        <w:t>Współpraca</w:t>
      </w:r>
      <w:r w:rsidR="006343E1">
        <w:t xml:space="preserve"> </w:t>
      </w:r>
      <w:r w:rsidR="006343E1" w:rsidRPr="00254AB9">
        <w:t>w</w:t>
      </w:r>
      <w:r w:rsidR="006343E1">
        <w:t> </w:t>
      </w:r>
      <w:r w:rsidRPr="00254AB9">
        <w:t>systemie gospodarczym</w:t>
      </w:r>
      <w:bookmarkEnd w:id="76"/>
      <w:bookmarkEnd w:id="77"/>
      <w:bookmarkEnd w:id="78"/>
    </w:p>
    <w:p w14:paraId="37703DA5" w14:textId="74E271FD" w:rsidR="0037058C" w:rsidRPr="00254AB9" w:rsidRDefault="004C6939" w:rsidP="00D01FC4">
      <w:r w:rsidRPr="00254AB9">
        <w:t>Współpraca przedsiębiorstw oraz innych podmiotów</w:t>
      </w:r>
      <w:r w:rsidR="006343E1">
        <w:t xml:space="preserve"> </w:t>
      </w:r>
      <w:r w:rsidR="006343E1" w:rsidRPr="00254AB9">
        <w:t>w</w:t>
      </w:r>
      <w:r w:rsidR="006343E1">
        <w:t> </w:t>
      </w:r>
      <w:r w:rsidRPr="00254AB9">
        <w:t xml:space="preserve">systemie gospodarczym wciąż </w:t>
      </w:r>
      <w:r w:rsidR="000B3650" w:rsidRPr="00254AB9">
        <w:t xml:space="preserve">pozostaje wyzwaniem. </w:t>
      </w:r>
      <w:r w:rsidR="002744B8" w:rsidRPr="00254AB9">
        <w:t>Krajowi przedsiębiorcy mają trudność</w:t>
      </w:r>
      <w:r w:rsidR="006343E1">
        <w:t xml:space="preserve"> </w:t>
      </w:r>
      <w:r w:rsidR="006343E1" w:rsidRPr="00254AB9">
        <w:t>w</w:t>
      </w:r>
      <w:r w:rsidR="006343E1">
        <w:t> </w:t>
      </w:r>
      <w:r w:rsidR="002744B8" w:rsidRPr="00254AB9">
        <w:t>inicjowaniu</w:t>
      </w:r>
      <w:r w:rsidR="006343E1">
        <w:t xml:space="preserve"> </w:t>
      </w:r>
      <w:r w:rsidR="006343E1" w:rsidRPr="00254AB9">
        <w:t>i</w:t>
      </w:r>
      <w:r w:rsidR="006343E1">
        <w:t> </w:t>
      </w:r>
      <w:r w:rsidR="002744B8" w:rsidRPr="00254AB9">
        <w:t>realizacji długoterminowych projektów kooperacyjnych. Nie dotyczy to najczęściej współpracy</w:t>
      </w:r>
      <w:r w:rsidR="006343E1">
        <w:t xml:space="preserve"> </w:t>
      </w:r>
      <w:r w:rsidR="006343E1" w:rsidRPr="00254AB9">
        <w:t>w</w:t>
      </w:r>
      <w:r w:rsidR="006343E1">
        <w:t> </w:t>
      </w:r>
      <w:r w:rsidR="002744B8" w:rsidRPr="00254AB9">
        <w:t>ramach łańcucha</w:t>
      </w:r>
      <w:r w:rsidR="00C67588" w:rsidRPr="00254AB9">
        <w:t xml:space="preserve"> dostaw lub łańcucha wartości</w:t>
      </w:r>
      <w:r w:rsidR="00E63592">
        <w:t>,</w:t>
      </w:r>
      <w:r w:rsidR="00C67588" w:rsidRPr="00254AB9">
        <w:t xml:space="preserve"> w</w:t>
      </w:r>
      <w:r w:rsidR="002744B8" w:rsidRPr="00254AB9">
        <w:t xml:space="preserve"> którego </w:t>
      </w:r>
      <w:r w:rsidR="00E63592" w:rsidRPr="00254AB9">
        <w:t>ramach</w:t>
      </w:r>
      <w:r w:rsidR="002744B8" w:rsidRPr="00254AB9">
        <w:t xml:space="preserve"> działa duży integrator (najczęściej duże przedsiębiorstw</w:t>
      </w:r>
      <w:r w:rsidR="00CA364D" w:rsidRPr="00254AB9">
        <w:t>o</w:t>
      </w:r>
      <w:r w:rsidR="002744B8" w:rsidRPr="00254AB9">
        <w:t>). Jak wskazuje szereg opracowań naukowych</w:t>
      </w:r>
      <w:r w:rsidR="004F0234" w:rsidRPr="00254AB9">
        <w:t xml:space="preserve"> jak m.in. A.</w:t>
      </w:r>
      <w:r w:rsidR="006343E1">
        <w:t> </w:t>
      </w:r>
      <w:r w:rsidR="004F0234" w:rsidRPr="00254AB9">
        <w:t>Wasiluk (2013) bądź K. Czernek (2017)</w:t>
      </w:r>
      <w:r w:rsidR="002744B8" w:rsidRPr="00254AB9">
        <w:t>, raportów</w:t>
      </w:r>
      <w:r w:rsidR="006343E1">
        <w:t xml:space="preserve"> </w:t>
      </w:r>
      <w:r w:rsidR="006343E1" w:rsidRPr="00254AB9">
        <w:t>i</w:t>
      </w:r>
      <w:r w:rsidR="006343E1">
        <w:t> </w:t>
      </w:r>
      <w:r w:rsidR="002744B8" w:rsidRPr="00254AB9">
        <w:t>ek</w:t>
      </w:r>
      <w:r w:rsidR="00C67588" w:rsidRPr="00254AB9">
        <w:t>spertyz, w </w:t>
      </w:r>
      <w:r w:rsidR="002744B8" w:rsidRPr="00254AB9">
        <w:t>tym również przygotowanych dla administracji rządowej</w:t>
      </w:r>
      <w:r w:rsidR="004F0234" w:rsidRPr="00254AB9">
        <w:t xml:space="preserve"> (MR, 2017)</w:t>
      </w:r>
      <w:r w:rsidR="002744B8" w:rsidRPr="00254AB9">
        <w:t xml:space="preserve">, skuteczne inicjatywy kooperacyjne są relatywnie rzadkie wśród krajowych przedsiębiorców. Jednym ze źródeł takiego stanu rzeczy jest utrzymujący się niski poziom zaufania społecznego. </w:t>
      </w:r>
    </w:p>
    <w:p w14:paraId="734A90A3" w14:textId="24DF7543" w:rsidR="008B1384" w:rsidRPr="00027674" w:rsidRDefault="008B1384" w:rsidP="00027674">
      <w:r w:rsidRPr="00254AB9">
        <w:t xml:space="preserve">Przy czym przedsiębiorcy jako grupa wykazują </w:t>
      </w:r>
      <w:r w:rsidR="0094498B" w:rsidRPr="00254AB9">
        <w:t xml:space="preserve">większe </w:t>
      </w:r>
      <w:r w:rsidRPr="00254AB9">
        <w:t>zaufanie do wybranych instytucji rynkowych niż ogół populacji</w:t>
      </w:r>
      <w:r w:rsidR="0094498B" w:rsidRPr="00254AB9">
        <w:t xml:space="preserve"> </w:t>
      </w:r>
      <w:r w:rsidR="00E63592">
        <w:rPr>
          <w:rFonts w:ascii="Times New Roman" w:hAnsi="Times New Roman" w:cs="Times New Roman"/>
        </w:rPr>
        <w:t>–</w:t>
      </w:r>
      <w:r w:rsidRPr="00254AB9">
        <w:t xml:space="preserve"> </w:t>
      </w:r>
      <w:r w:rsidR="0094498B" w:rsidRPr="00254AB9">
        <w:t>j</w:t>
      </w:r>
      <w:r w:rsidRPr="00254AB9">
        <w:t>ak wskazuje ostatnia Diagnoza Społeczna (Czapiński, Panek 2015). Niemniej ten wyższy poziom zaufania do instytucji finansowych nie przekłada się na zdolność do współpracy</w:t>
      </w:r>
      <w:r w:rsidR="006343E1">
        <w:t xml:space="preserve"> </w:t>
      </w:r>
      <w:r w:rsidR="006343E1" w:rsidRPr="00254AB9">
        <w:t>z</w:t>
      </w:r>
      <w:r w:rsidR="006343E1">
        <w:t> </w:t>
      </w:r>
      <w:r w:rsidRPr="00254AB9">
        <w:t>po</w:t>
      </w:r>
      <w:r w:rsidR="002B46D2" w:rsidRPr="00254AB9">
        <w:t>d</w:t>
      </w:r>
      <w:r w:rsidRPr="00254AB9">
        <w:t>miotami</w:t>
      </w:r>
      <w:r w:rsidR="006343E1">
        <w:t xml:space="preserve"> </w:t>
      </w:r>
      <w:r w:rsidR="006343E1" w:rsidRPr="00254AB9">
        <w:t>z</w:t>
      </w:r>
      <w:r w:rsidR="006343E1">
        <w:t> </w:t>
      </w:r>
      <w:r w:rsidRPr="00254AB9">
        <w:t>tej samej branży bądź też</w:t>
      </w:r>
      <w:r w:rsidR="006343E1">
        <w:t xml:space="preserve"> </w:t>
      </w:r>
      <w:r w:rsidR="006343E1" w:rsidRPr="00254AB9">
        <w:t>w</w:t>
      </w:r>
      <w:r w:rsidR="006343E1">
        <w:t> </w:t>
      </w:r>
      <w:r w:rsidRPr="00254AB9">
        <w:t>ramach organizacji branżowych lub zrzeszeń gospodarczych. Polacy w</w:t>
      </w:r>
      <w:r w:rsidR="0037058C" w:rsidRPr="00254AB9">
        <w:t> </w:t>
      </w:r>
      <w:r w:rsidRPr="00254AB9">
        <w:t>dalszym ciągu wykazują niską aktywność również</w:t>
      </w:r>
      <w:r w:rsidR="006343E1">
        <w:t xml:space="preserve"> </w:t>
      </w:r>
      <w:r w:rsidR="006343E1" w:rsidRPr="00254AB9">
        <w:t>w</w:t>
      </w:r>
      <w:r w:rsidR="006343E1">
        <w:t> </w:t>
      </w:r>
      <w:r w:rsidR="0037058C" w:rsidRPr="00254AB9">
        <w:t>zakresie działania (regularnego)</w:t>
      </w:r>
      <w:r w:rsidR="006343E1">
        <w:t xml:space="preserve"> </w:t>
      </w:r>
      <w:r w:rsidR="006343E1" w:rsidRPr="00254AB9">
        <w:t>w</w:t>
      </w:r>
      <w:r w:rsidR="006343E1">
        <w:t> </w:t>
      </w:r>
      <w:r w:rsidR="0037058C" w:rsidRPr="00254AB9">
        <w:t>organizacjach społecznych, uczestnictwa</w:t>
      </w:r>
      <w:r w:rsidR="006343E1">
        <w:t xml:space="preserve"> </w:t>
      </w:r>
      <w:r w:rsidR="006343E1" w:rsidRPr="00254AB9">
        <w:t>w</w:t>
      </w:r>
      <w:r w:rsidR="006343E1">
        <w:t> </w:t>
      </w:r>
      <w:r w:rsidR="0037058C" w:rsidRPr="00254AB9">
        <w:t>zebraniach publicznych (m.in. konsultacje)</w:t>
      </w:r>
      <w:r w:rsidR="00DB10DA">
        <w:t>,</w:t>
      </w:r>
      <w:r w:rsidR="0037058C" w:rsidRPr="00254AB9">
        <w:t xml:space="preserve"> jak również – udziału</w:t>
      </w:r>
      <w:r w:rsidR="006343E1">
        <w:t xml:space="preserve"> </w:t>
      </w:r>
      <w:r w:rsidR="006343E1" w:rsidRPr="00254AB9">
        <w:t>w</w:t>
      </w:r>
      <w:r w:rsidR="006343E1">
        <w:t> </w:t>
      </w:r>
      <w:r w:rsidR="0037058C" w:rsidRPr="00254AB9">
        <w:t>wyborach (Czapiński, Panek 2015). Wskazuje to na wyraźny deficyt zaufania na poziomie międzyludzkim, co zgodnie</w:t>
      </w:r>
      <w:r w:rsidR="006343E1">
        <w:t xml:space="preserve"> </w:t>
      </w:r>
      <w:r w:rsidR="006343E1" w:rsidRPr="00254AB9">
        <w:t>z</w:t>
      </w:r>
      <w:r w:rsidR="006343E1">
        <w:t> </w:t>
      </w:r>
      <w:r w:rsidR="0037058C" w:rsidRPr="00254AB9">
        <w:t>teorią ekonomiczną</w:t>
      </w:r>
      <w:r w:rsidR="00DB10DA">
        <w:t xml:space="preserve"> </w:t>
      </w:r>
      <w:r w:rsidR="0037058C" w:rsidRPr="00254AB9">
        <w:t>zwiększa koszty transakcyjne funkcjonowania całego systemu gospodarczego (Coase 1988).</w:t>
      </w:r>
    </w:p>
    <w:p w14:paraId="0E9BA119" w14:textId="4FE949B1" w:rsidR="008B1384" w:rsidRPr="00254AB9" w:rsidRDefault="008B1384" w:rsidP="00027674">
      <w:pPr>
        <w:pStyle w:val="Nagwek4"/>
      </w:pPr>
      <w:r w:rsidRPr="00254AB9">
        <w:lastRenderedPageBreak/>
        <w:t xml:space="preserve">Wykres </w:t>
      </w:r>
      <w:r w:rsidR="00027674">
        <w:t>3</w:t>
      </w:r>
      <w:r w:rsidR="001C3C76">
        <w:t>8</w:t>
      </w:r>
      <w:r w:rsidR="000E3507">
        <w:fldChar w:fldCharType="begin"/>
      </w:r>
      <w:r w:rsidR="000E3507">
        <w:instrText xml:space="preserve"> SEQ Rysunek \* ARABIC </w:instrText>
      </w:r>
      <w:r w:rsidR="000E3507">
        <w:fldChar w:fldCharType="end"/>
      </w:r>
      <w:r w:rsidRPr="00254AB9">
        <w:t xml:space="preserve">. Zaufanie do wybranych instytucji rynkowych </w:t>
      </w:r>
    </w:p>
    <w:p w14:paraId="5ED3CA16" w14:textId="236CBD09" w:rsidR="008B1384" w:rsidRPr="00254AB9" w:rsidRDefault="00690B3D" w:rsidP="008F21C9">
      <w:pPr>
        <w:spacing w:after="0" w:line="240" w:lineRule="auto"/>
        <w:jc w:val="center"/>
        <w:rPr>
          <w:rFonts w:cs="Calibri"/>
          <w:sz w:val="21"/>
          <w:szCs w:val="21"/>
        </w:rPr>
      </w:pPr>
      <w:r>
        <w:rPr>
          <w:noProof/>
          <w:lang w:eastAsia="pl-PL"/>
        </w:rPr>
        <w:drawing>
          <wp:inline distT="0" distB="0" distL="0" distR="0" wp14:anchorId="50CA9B2D" wp14:editId="788E5E80">
            <wp:extent cx="4572000" cy="2743200"/>
            <wp:effectExtent l="0" t="0" r="0" b="0"/>
            <wp:docPr id="39" name="Obraz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7DFC83EE" w14:textId="2BA25FC9" w:rsidR="008B1384" w:rsidRPr="00254AB9" w:rsidRDefault="008B1384" w:rsidP="00D01FC4">
      <w:pPr>
        <w:pStyle w:val="Bezodstpw"/>
      </w:pPr>
      <w:r w:rsidRPr="00254AB9">
        <w:t xml:space="preserve">Źródło: </w:t>
      </w:r>
      <w:r w:rsidR="003A56DA">
        <w:t>MRiT</w:t>
      </w:r>
      <w:r w:rsidR="003A5EA7">
        <w:t xml:space="preserve"> </w:t>
      </w:r>
      <w:r w:rsidRPr="00254AB9">
        <w:t>na podstawie danych Czapiński, Panek (2015)</w:t>
      </w:r>
    </w:p>
    <w:p w14:paraId="5B5E4EC6" w14:textId="5C8D2BDD" w:rsidR="004C6939" w:rsidRPr="00254AB9" w:rsidRDefault="002744B8" w:rsidP="00D01FC4">
      <w:r w:rsidRPr="00254AB9">
        <w:t>To samo zjawisko</w:t>
      </w:r>
      <w:r w:rsidR="0037058C" w:rsidRPr="00254AB9">
        <w:t>, tj. niski poziom zaufania</w:t>
      </w:r>
      <w:r w:rsidR="005B66D5" w:rsidRPr="0099684F">
        <w:t xml:space="preserve"> społecznego (w tym</w:t>
      </w:r>
      <w:r w:rsidR="006343E1">
        <w:t xml:space="preserve"> </w:t>
      </w:r>
      <w:r w:rsidR="006343E1" w:rsidRPr="0099684F">
        <w:t>w</w:t>
      </w:r>
      <w:r w:rsidR="006343E1">
        <w:t> </w:t>
      </w:r>
      <w:r w:rsidR="005B66D5" w:rsidRPr="0099684F">
        <w:t>relacjach biznesowych)</w:t>
      </w:r>
      <w:r w:rsidR="0037058C" w:rsidRPr="0099684F">
        <w:t>,</w:t>
      </w:r>
      <w:r w:rsidRPr="00254AB9">
        <w:t xml:space="preserve"> może być również częściowo odpowiedzialne za niski poziom innowacyjności ogółu krajowej gospodarki. </w:t>
      </w:r>
      <w:r w:rsidR="000B3650" w:rsidRPr="00254AB9">
        <w:t>Potwierdza to przegląd</w:t>
      </w:r>
      <w:r w:rsidR="008D4359" w:rsidRPr="00254AB9">
        <w:t xml:space="preserve"> MŚP</w:t>
      </w:r>
      <w:r w:rsidR="006343E1">
        <w:t xml:space="preserve"> </w:t>
      </w:r>
      <w:r w:rsidR="006343E1" w:rsidRPr="00254AB9">
        <w:t>w</w:t>
      </w:r>
      <w:r w:rsidR="006343E1">
        <w:t> </w:t>
      </w:r>
      <w:r w:rsidR="008D4359" w:rsidRPr="00254AB9">
        <w:t>Europie</w:t>
      </w:r>
      <w:r w:rsidR="00A413C1" w:rsidRPr="00254AB9">
        <w:t xml:space="preserve"> przeprowadzonych przez KE (201</w:t>
      </w:r>
      <w:r w:rsidR="00B01341">
        <w:t>8</w:t>
      </w:r>
      <w:r w:rsidR="00A413C1" w:rsidRPr="00254AB9">
        <w:t>)</w:t>
      </w:r>
      <w:r w:rsidR="000B3650" w:rsidRPr="00254AB9">
        <w:t>, na którego</w:t>
      </w:r>
      <w:r w:rsidR="001002D8" w:rsidRPr="00254AB9">
        <w:t xml:space="preserve"> </w:t>
      </w:r>
      <w:r w:rsidR="00183D4A" w:rsidRPr="00254AB9">
        <w:t>podstawie</w:t>
      </w:r>
      <w:r w:rsidR="001002D8" w:rsidRPr="00254AB9">
        <w:t xml:space="preserve"> jedynie 3,5% polskich firm</w:t>
      </w:r>
      <w:r w:rsidR="006343E1">
        <w:t xml:space="preserve"> </w:t>
      </w:r>
      <w:r w:rsidR="006343E1" w:rsidRPr="00254AB9">
        <w:t>z</w:t>
      </w:r>
      <w:r w:rsidR="006343E1">
        <w:t> </w:t>
      </w:r>
      <w:r w:rsidR="001002D8" w:rsidRPr="00254AB9">
        <w:t>sektora MŚP (w</w:t>
      </w:r>
      <w:r w:rsidR="00183D4A">
        <w:t> </w:t>
      </w:r>
      <w:r w:rsidR="001002D8" w:rsidRPr="00254AB9">
        <w:t>grupie podmiotów zaliczonych do innowatorów), przy średniej</w:t>
      </w:r>
      <w:r w:rsidR="006343E1">
        <w:t xml:space="preserve"> </w:t>
      </w:r>
      <w:r w:rsidR="006343E1" w:rsidRPr="00254AB9">
        <w:t>w</w:t>
      </w:r>
      <w:r w:rsidR="006343E1">
        <w:t> </w:t>
      </w:r>
      <w:r w:rsidR="001002D8" w:rsidRPr="00254AB9">
        <w:t>UE-28 11,2% współpracowało</w:t>
      </w:r>
      <w:r w:rsidR="006343E1">
        <w:t xml:space="preserve"> </w:t>
      </w:r>
      <w:r w:rsidR="006343E1" w:rsidRPr="00254AB9">
        <w:t>z</w:t>
      </w:r>
      <w:r w:rsidR="006343E1">
        <w:t> </w:t>
      </w:r>
      <w:r w:rsidR="001002D8" w:rsidRPr="00254AB9">
        <w:t>innymi podmiotami</w:t>
      </w:r>
      <w:r w:rsidR="00714F10" w:rsidRPr="00254AB9">
        <w:t>.</w:t>
      </w:r>
    </w:p>
    <w:p w14:paraId="4C00F1F2" w14:textId="4621D8AF" w:rsidR="004C6939" w:rsidRPr="00254AB9" w:rsidRDefault="004C6939" w:rsidP="00D01FC4">
      <w:r w:rsidRPr="00254AB9">
        <w:t>Z innych badań</w:t>
      </w:r>
      <w:r w:rsidR="006343E1">
        <w:t xml:space="preserve"> </w:t>
      </w:r>
      <w:r w:rsidR="006343E1" w:rsidRPr="00254AB9">
        <w:t>i</w:t>
      </w:r>
      <w:r w:rsidR="006343E1">
        <w:t> </w:t>
      </w:r>
      <w:r w:rsidRPr="00254AB9">
        <w:t>analiz wyłaniają się jednak pewne pozytywy, przynajmniej</w:t>
      </w:r>
      <w:r w:rsidR="006343E1">
        <w:t xml:space="preserve"> </w:t>
      </w:r>
      <w:r w:rsidR="006343E1" w:rsidRPr="00254AB9">
        <w:t>w</w:t>
      </w:r>
      <w:r w:rsidR="006343E1">
        <w:t> </w:t>
      </w:r>
      <w:r w:rsidRPr="00254AB9">
        <w:t>grupie przedsiębiorstw podejmujących się realizacji projektów rozwojowych, zwłaszcza B+R.</w:t>
      </w:r>
      <w:r w:rsidR="006343E1">
        <w:t xml:space="preserve"> </w:t>
      </w:r>
      <w:r w:rsidR="006343E1" w:rsidRPr="00254AB9">
        <w:t>Z</w:t>
      </w:r>
      <w:r w:rsidR="006343E1">
        <w:t> </w:t>
      </w:r>
      <w:r w:rsidRPr="00254AB9">
        <w:t>badania Deloitte</w:t>
      </w:r>
      <w:r w:rsidR="00714F10" w:rsidRPr="00254AB9">
        <w:t xml:space="preserve"> Polska</w:t>
      </w:r>
      <w:r w:rsidR="00A413C1" w:rsidRPr="00254AB9">
        <w:t xml:space="preserve"> (2016a, s. 38)</w:t>
      </w:r>
      <w:r w:rsidRPr="00254AB9">
        <w:t xml:space="preserve"> wynika</w:t>
      </w:r>
      <w:r w:rsidR="00477C54">
        <w:t>, że </w:t>
      </w:r>
      <w:r w:rsidRPr="00254AB9">
        <w:t>zmieniają się motywacje dot</w:t>
      </w:r>
      <w:r w:rsidR="00183D4A">
        <w:t>yczące</w:t>
      </w:r>
      <w:r w:rsidRPr="00254AB9">
        <w:t xml:space="preserve"> podejmowania współpracy przez przedsiębiorstwa przy projektach B+R – maleje udział firm wskazujących na formalny wymóg współpracy – niezbędny do uzyskania dofinansowania (32% ankietowanych wskazało</w:t>
      </w:r>
      <w:r w:rsidR="00477C54">
        <w:t>, że </w:t>
      </w:r>
      <w:r w:rsidRPr="00254AB9">
        <w:t>podjęło współpracę</w:t>
      </w:r>
      <w:r w:rsidR="00714F10" w:rsidRPr="00254AB9">
        <w:t>,</w:t>
      </w:r>
      <w:r w:rsidRPr="00254AB9">
        <w:t xml:space="preserve"> ponieważ był to wymóg uzyskania dofinansowania,</w:t>
      </w:r>
      <w:r w:rsidR="006343E1">
        <w:t xml:space="preserve"> </w:t>
      </w:r>
      <w:r w:rsidR="006343E1" w:rsidRPr="00254AB9">
        <w:t>a</w:t>
      </w:r>
      <w:r w:rsidR="006343E1">
        <w:t> </w:t>
      </w:r>
      <w:r w:rsidRPr="00254AB9">
        <w:t>24% kierowało się chęcią uzyskania wyższego finansowania,</w:t>
      </w:r>
      <w:r w:rsidR="006343E1">
        <w:t xml:space="preserve"> </w:t>
      </w:r>
      <w:r w:rsidR="006343E1" w:rsidRPr="00254AB9">
        <w:t>i</w:t>
      </w:r>
      <w:r w:rsidR="006343E1">
        <w:t> </w:t>
      </w:r>
      <w:r w:rsidRPr="00254AB9">
        <w:t xml:space="preserve">są </w:t>
      </w:r>
      <w:r w:rsidR="00714F10" w:rsidRPr="00254AB9">
        <w:t xml:space="preserve">to </w:t>
      </w:r>
      <w:r w:rsidRPr="00254AB9">
        <w:t>odsetki mniejsze niż</w:t>
      </w:r>
      <w:r w:rsidR="006343E1">
        <w:t xml:space="preserve"> </w:t>
      </w:r>
      <w:r w:rsidR="006343E1" w:rsidRPr="00254AB9">
        <w:t>w</w:t>
      </w:r>
      <w:r w:rsidR="006343E1">
        <w:t> </w:t>
      </w:r>
      <w:r w:rsidRPr="00254AB9">
        <w:t>poprzednich badaniach Deloitte</w:t>
      </w:r>
      <w:r w:rsidR="006343E1">
        <w:t xml:space="preserve"> </w:t>
      </w:r>
      <w:r w:rsidR="006343E1" w:rsidRPr="00254AB9">
        <w:t>z</w:t>
      </w:r>
      <w:r w:rsidR="006343E1">
        <w:t> </w:t>
      </w:r>
      <w:r w:rsidRPr="00254AB9">
        <w:t xml:space="preserve">tego cyklu). </w:t>
      </w:r>
    </w:p>
    <w:p w14:paraId="5B4EBFF5" w14:textId="1B829754" w:rsidR="002744B8" w:rsidRPr="00254AB9" w:rsidRDefault="002744B8" w:rsidP="00D01FC4">
      <w:r w:rsidRPr="00254AB9">
        <w:t>Osobną kwestią pozostaje również angażowanie się przedsiębiorców (bądź przedsiębiorstw) w organizacje zrzeszające pracodawców. Jak wynika</w:t>
      </w:r>
      <w:r w:rsidR="006343E1">
        <w:t xml:space="preserve"> </w:t>
      </w:r>
      <w:r w:rsidR="006343E1" w:rsidRPr="00254AB9">
        <w:t>z</w:t>
      </w:r>
      <w:r w:rsidR="006343E1">
        <w:t> </w:t>
      </w:r>
      <w:r w:rsidRPr="00254AB9">
        <w:t>danych upublicznianych przez największe organizacje, skupiają one jedynie ok. 400 tys. przedsiębiorców</w:t>
      </w:r>
      <w:r w:rsidR="006343E1">
        <w:t xml:space="preserve"> </w:t>
      </w:r>
      <w:r w:rsidR="006343E1" w:rsidRPr="00254AB9">
        <w:t>i</w:t>
      </w:r>
      <w:r w:rsidR="006343E1">
        <w:t> </w:t>
      </w:r>
      <w:r w:rsidRPr="00254AB9">
        <w:t>przedsiębiorstw. Tym samym spośród wszystkich ok. 2,1 mln aktywnych przedsiębiorców (zarówno finansowych</w:t>
      </w:r>
      <w:r w:rsidR="00183D4A">
        <w:t>,</w:t>
      </w:r>
      <w:r w:rsidRPr="00254AB9">
        <w:t xml:space="preserve"> jak</w:t>
      </w:r>
      <w:r w:rsidR="006343E1">
        <w:t xml:space="preserve"> </w:t>
      </w:r>
      <w:r w:rsidR="006343E1" w:rsidRPr="00254AB9">
        <w:t>i</w:t>
      </w:r>
      <w:r w:rsidR="006343E1">
        <w:t> </w:t>
      </w:r>
      <w:r w:rsidRPr="00254AB9">
        <w:t>niefinansowych) w Polsce jedynie 1/6 spośród nich należy do jakiejkolwiek organizacji</w:t>
      </w:r>
      <w:r w:rsidR="006343E1">
        <w:t xml:space="preserve"> </w:t>
      </w:r>
      <w:r w:rsidR="006343E1" w:rsidRPr="00254AB9">
        <w:t>o</w:t>
      </w:r>
      <w:r w:rsidR="006343E1">
        <w:t> </w:t>
      </w:r>
      <w:r w:rsidRPr="00254AB9">
        <w:t>charakterze branżowym, zawodowym bądź ogólnopolskim. Ten wynik jest zauważalnie gorszy niż osiągany</w:t>
      </w:r>
      <w:r w:rsidR="006343E1">
        <w:t xml:space="preserve"> </w:t>
      </w:r>
      <w:r w:rsidR="006343E1" w:rsidRPr="00254AB9">
        <w:t>w</w:t>
      </w:r>
      <w:r w:rsidR="006343E1">
        <w:t> </w:t>
      </w:r>
      <w:r w:rsidRPr="00254AB9">
        <w:t>krajach UE-15, chociaż wykazuje wiele podobieństw z</w:t>
      </w:r>
      <w:r w:rsidR="004F0234" w:rsidRPr="00254AB9">
        <w:t> </w:t>
      </w:r>
      <w:r w:rsidRPr="00254AB9">
        <w:t>krajami grupy wyszehradzkiej. Dokładne dane liczbowe prezentuje poniższa</w:t>
      </w:r>
      <w:r w:rsidR="004F0234" w:rsidRPr="00254AB9">
        <w:t xml:space="preserve"> tabela. </w:t>
      </w:r>
    </w:p>
    <w:p w14:paraId="7726FB2F" w14:textId="42F67DB8" w:rsidR="002744B8" w:rsidRPr="00254AB9" w:rsidRDefault="00A7637E" w:rsidP="00027674">
      <w:pPr>
        <w:pStyle w:val="Nagwek4"/>
      </w:pPr>
      <w:r w:rsidRPr="006365AA">
        <w:t xml:space="preserve">Tabela </w:t>
      </w:r>
      <w:r w:rsidR="00311B4A">
        <w:rPr>
          <w:noProof/>
        </w:rPr>
        <w:t>7</w:t>
      </w:r>
      <w:r w:rsidRPr="006365AA">
        <w:t xml:space="preserve">. </w:t>
      </w:r>
      <w:r w:rsidR="002744B8" w:rsidRPr="00254AB9">
        <w:t>Liczba członków organizacji pracodawców</w:t>
      </w:r>
      <w:r w:rsidR="005B66D5" w:rsidRPr="0099684F">
        <w:t xml:space="preserve"> (informacja w</w:t>
      </w:r>
      <w:r w:rsidR="00183D4A">
        <w:t>edłu</w:t>
      </w:r>
      <w:r w:rsidR="005B66D5" w:rsidRPr="0099684F">
        <w:t>g stanu na VI 2018 r.)</w:t>
      </w:r>
    </w:p>
    <w:p w14:paraId="15E89960" w14:textId="77777777" w:rsidR="00F8351D" w:rsidRPr="00F8351D" w:rsidRDefault="00F8351D" w:rsidP="00CB07D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1739"/>
        <w:gridCol w:w="2127"/>
      </w:tblGrid>
      <w:tr w:rsidR="002744B8" w:rsidRPr="00254AB9" w14:paraId="76AF72B0" w14:textId="77777777" w:rsidTr="00612520">
        <w:trPr>
          <w:jc w:val="center"/>
        </w:trPr>
        <w:tc>
          <w:tcPr>
            <w:tcW w:w="4606" w:type="dxa"/>
            <w:vMerge w:val="restart"/>
            <w:shd w:val="clear" w:color="auto" w:fill="auto"/>
            <w:vAlign w:val="center"/>
          </w:tcPr>
          <w:p w14:paraId="2D7F2A78" w14:textId="77777777" w:rsidR="002744B8" w:rsidRPr="00254AB9" w:rsidRDefault="002744B8" w:rsidP="00254AB9">
            <w:pPr>
              <w:spacing w:after="0" w:line="240" w:lineRule="auto"/>
              <w:jc w:val="center"/>
              <w:rPr>
                <w:rFonts w:cs="Calibri"/>
                <w:b/>
                <w:sz w:val="21"/>
                <w:szCs w:val="21"/>
              </w:rPr>
            </w:pPr>
            <w:r w:rsidRPr="00254AB9">
              <w:rPr>
                <w:rFonts w:cs="Calibri"/>
                <w:b/>
                <w:sz w:val="21"/>
                <w:szCs w:val="21"/>
              </w:rPr>
              <w:t>Nazwa organizacji</w:t>
            </w:r>
          </w:p>
        </w:tc>
        <w:tc>
          <w:tcPr>
            <w:tcW w:w="3866" w:type="dxa"/>
            <w:gridSpan w:val="2"/>
            <w:shd w:val="clear" w:color="auto" w:fill="auto"/>
            <w:vAlign w:val="center"/>
          </w:tcPr>
          <w:p w14:paraId="028D02C2" w14:textId="641309B7" w:rsidR="002744B8" w:rsidRPr="00254AB9" w:rsidRDefault="002744B8" w:rsidP="00254AB9">
            <w:pPr>
              <w:spacing w:after="0" w:line="240" w:lineRule="auto"/>
              <w:jc w:val="center"/>
              <w:rPr>
                <w:rFonts w:cs="Calibri"/>
                <w:b/>
                <w:sz w:val="21"/>
                <w:szCs w:val="21"/>
              </w:rPr>
            </w:pPr>
            <w:r w:rsidRPr="00254AB9">
              <w:rPr>
                <w:rFonts w:cs="Calibri"/>
                <w:b/>
                <w:sz w:val="21"/>
                <w:szCs w:val="21"/>
              </w:rPr>
              <w:t>W</w:t>
            </w:r>
            <w:r w:rsidR="00183D4A">
              <w:rPr>
                <w:rFonts w:cs="Calibri"/>
                <w:b/>
                <w:sz w:val="21"/>
                <w:szCs w:val="21"/>
              </w:rPr>
              <w:t>edłu</w:t>
            </w:r>
            <w:r w:rsidRPr="00254AB9">
              <w:rPr>
                <w:rFonts w:cs="Calibri"/>
                <w:b/>
                <w:sz w:val="21"/>
                <w:szCs w:val="21"/>
              </w:rPr>
              <w:t>g deklaracji organizacji</w:t>
            </w:r>
          </w:p>
        </w:tc>
      </w:tr>
      <w:tr w:rsidR="002744B8" w:rsidRPr="00254AB9" w14:paraId="23D30506" w14:textId="77777777" w:rsidTr="00612520">
        <w:trPr>
          <w:jc w:val="center"/>
        </w:trPr>
        <w:tc>
          <w:tcPr>
            <w:tcW w:w="4606" w:type="dxa"/>
            <w:vMerge/>
            <w:shd w:val="clear" w:color="auto" w:fill="auto"/>
            <w:vAlign w:val="center"/>
          </w:tcPr>
          <w:p w14:paraId="43CFBC35" w14:textId="77777777" w:rsidR="002744B8" w:rsidRPr="00254AB9" w:rsidRDefault="002744B8" w:rsidP="00254AB9">
            <w:pPr>
              <w:spacing w:after="0" w:line="240" w:lineRule="auto"/>
              <w:jc w:val="center"/>
              <w:rPr>
                <w:rFonts w:cs="Calibri"/>
                <w:b/>
                <w:sz w:val="21"/>
                <w:szCs w:val="21"/>
              </w:rPr>
            </w:pPr>
          </w:p>
        </w:tc>
        <w:tc>
          <w:tcPr>
            <w:tcW w:w="1739" w:type="dxa"/>
            <w:shd w:val="clear" w:color="auto" w:fill="auto"/>
            <w:vAlign w:val="center"/>
          </w:tcPr>
          <w:p w14:paraId="137407D0" w14:textId="496894E9" w:rsidR="002744B8" w:rsidRPr="00254AB9" w:rsidRDefault="00183D4A" w:rsidP="00254AB9">
            <w:pPr>
              <w:spacing w:after="0" w:line="240" w:lineRule="auto"/>
              <w:jc w:val="center"/>
              <w:rPr>
                <w:rFonts w:cs="Calibri"/>
                <w:b/>
                <w:sz w:val="21"/>
                <w:szCs w:val="21"/>
              </w:rPr>
            </w:pPr>
            <w:r>
              <w:rPr>
                <w:rFonts w:cs="Calibri"/>
                <w:b/>
                <w:sz w:val="21"/>
                <w:szCs w:val="21"/>
              </w:rPr>
              <w:t>l</w:t>
            </w:r>
            <w:r w:rsidR="002744B8" w:rsidRPr="00254AB9">
              <w:rPr>
                <w:rFonts w:cs="Calibri"/>
                <w:b/>
                <w:sz w:val="21"/>
                <w:szCs w:val="21"/>
              </w:rPr>
              <w:t>iczba członków</w:t>
            </w:r>
          </w:p>
        </w:tc>
        <w:tc>
          <w:tcPr>
            <w:tcW w:w="2127" w:type="dxa"/>
            <w:shd w:val="clear" w:color="auto" w:fill="auto"/>
            <w:vAlign w:val="center"/>
          </w:tcPr>
          <w:p w14:paraId="655C5FC5" w14:textId="4C2589E8" w:rsidR="002744B8" w:rsidRPr="00254AB9" w:rsidRDefault="00183D4A" w:rsidP="00254AB9">
            <w:pPr>
              <w:spacing w:after="0" w:line="240" w:lineRule="auto"/>
              <w:jc w:val="center"/>
              <w:rPr>
                <w:rFonts w:cs="Calibri"/>
                <w:b/>
                <w:sz w:val="21"/>
                <w:szCs w:val="21"/>
              </w:rPr>
            </w:pPr>
            <w:r>
              <w:rPr>
                <w:rFonts w:cs="Calibri"/>
                <w:b/>
                <w:sz w:val="21"/>
                <w:szCs w:val="21"/>
              </w:rPr>
              <w:t>l</w:t>
            </w:r>
            <w:r w:rsidR="002744B8" w:rsidRPr="00254AB9">
              <w:rPr>
                <w:rFonts w:cs="Calibri"/>
                <w:b/>
                <w:sz w:val="21"/>
                <w:szCs w:val="21"/>
              </w:rPr>
              <w:t>iczba pracowników</w:t>
            </w:r>
          </w:p>
        </w:tc>
      </w:tr>
      <w:tr w:rsidR="002744B8" w:rsidRPr="00254AB9" w14:paraId="6FDE89F3" w14:textId="77777777" w:rsidTr="00612520">
        <w:trPr>
          <w:jc w:val="center"/>
        </w:trPr>
        <w:tc>
          <w:tcPr>
            <w:tcW w:w="4606" w:type="dxa"/>
            <w:shd w:val="clear" w:color="auto" w:fill="auto"/>
          </w:tcPr>
          <w:p w14:paraId="717485B4" w14:textId="77777777" w:rsidR="002744B8" w:rsidRPr="00254AB9" w:rsidRDefault="002744B8" w:rsidP="00254AB9">
            <w:pPr>
              <w:spacing w:after="0" w:line="240" w:lineRule="auto"/>
              <w:rPr>
                <w:rFonts w:cs="Calibri"/>
                <w:sz w:val="21"/>
                <w:szCs w:val="21"/>
              </w:rPr>
            </w:pPr>
            <w:r w:rsidRPr="00254AB9">
              <w:rPr>
                <w:rFonts w:cs="Calibri"/>
                <w:sz w:val="21"/>
                <w:szCs w:val="21"/>
              </w:rPr>
              <w:t>Pracodawcy Rzeczypospolitej Polskiej*</w:t>
            </w:r>
          </w:p>
        </w:tc>
        <w:tc>
          <w:tcPr>
            <w:tcW w:w="1739" w:type="dxa"/>
            <w:shd w:val="clear" w:color="auto" w:fill="auto"/>
          </w:tcPr>
          <w:p w14:paraId="1E3A3205" w14:textId="57286C43" w:rsidR="002744B8" w:rsidRPr="00254AB9" w:rsidRDefault="002744B8" w:rsidP="00254AB9">
            <w:pPr>
              <w:spacing w:after="0" w:line="240" w:lineRule="auto"/>
              <w:jc w:val="right"/>
              <w:rPr>
                <w:rFonts w:cs="Calibri"/>
                <w:sz w:val="21"/>
                <w:szCs w:val="21"/>
              </w:rPr>
            </w:pPr>
            <w:r w:rsidRPr="00254AB9">
              <w:rPr>
                <w:rFonts w:cs="Calibri"/>
                <w:sz w:val="21"/>
                <w:szCs w:val="21"/>
              </w:rPr>
              <w:t>19</w:t>
            </w:r>
            <w:r w:rsidR="00183D4A">
              <w:rPr>
                <w:rFonts w:cs="Calibri"/>
                <w:sz w:val="21"/>
                <w:szCs w:val="21"/>
              </w:rPr>
              <w:t xml:space="preserve"> </w:t>
            </w:r>
            <w:r w:rsidRPr="00254AB9">
              <w:rPr>
                <w:rFonts w:cs="Calibri"/>
                <w:sz w:val="21"/>
                <w:szCs w:val="21"/>
              </w:rPr>
              <w:t>000</w:t>
            </w:r>
          </w:p>
        </w:tc>
        <w:tc>
          <w:tcPr>
            <w:tcW w:w="2127" w:type="dxa"/>
            <w:shd w:val="clear" w:color="auto" w:fill="auto"/>
          </w:tcPr>
          <w:p w14:paraId="399DA563" w14:textId="44CE1E28" w:rsidR="002744B8" w:rsidRPr="00254AB9" w:rsidRDefault="002744B8" w:rsidP="00254AB9">
            <w:pPr>
              <w:spacing w:after="0" w:line="240" w:lineRule="auto"/>
              <w:jc w:val="right"/>
              <w:rPr>
                <w:rFonts w:cs="Calibri"/>
                <w:sz w:val="21"/>
                <w:szCs w:val="21"/>
              </w:rPr>
            </w:pPr>
            <w:r w:rsidRPr="00254AB9">
              <w:rPr>
                <w:rFonts w:cs="Calibri"/>
                <w:sz w:val="21"/>
                <w:szCs w:val="21"/>
              </w:rPr>
              <w:t>5000 tys.</w:t>
            </w:r>
          </w:p>
        </w:tc>
      </w:tr>
      <w:tr w:rsidR="002744B8" w:rsidRPr="00254AB9" w14:paraId="612E4B39" w14:textId="77777777" w:rsidTr="00612520">
        <w:trPr>
          <w:jc w:val="center"/>
        </w:trPr>
        <w:tc>
          <w:tcPr>
            <w:tcW w:w="4606" w:type="dxa"/>
            <w:shd w:val="clear" w:color="auto" w:fill="auto"/>
          </w:tcPr>
          <w:p w14:paraId="475F17F4" w14:textId="77777777" w:rsidR="002744B8" w:rsidRPr="00254AB9" w:rsidRDefault="002744B8" w:rsidP="00254AB9">
            <w:pPr>
              <w:spacing w:after="0" w:line="240" w:lineRule="auto"/>
              <w:rPr>
                <w:rFonts w:cs="Calibri"/>
                <w:sz w:val="21"/>
                <w:szCs w:val="21"/>
              </w:rPr>
            </w:pPr>
            <w:r w:rsidRPr="00254AB9">
              <w:rPr>
                <w:rFonts w:cs="Calibri"/>
                <w:sz w:val="21"/>
                <w:szCs w:val="21"/>
              </w:rPr>
              <w:t>Konfederacja Lewiatan*</w:t>
            </w:r>
          </w:p>
        </w:tc>
        <w:tc>
          <w:tcPr>
            <w:tcW w:w="1739" w:type="dxa"/>
            <w:shd w:val="clear" w:color="auto" w:fill="auto"/>
          </w:tcPr>
          <w:p w14:paraId="2626BC0A" w14:textId="3267B9E0" w:rsidR="002744B8" w:rsidRPr="00254AB9" w:rsidRDefault="002744B8" w:rsidP="00254AB9">
            <w:pPr>
              <w:spacing w:after="0" w:line="240" w:lineRule="auto"/>
              <w:jc w:val="right"/>
              <w:rPr>
                <w:rFonts w:cs="Calibri"/>
                <w:sz w:val="21"/>
                <w:szCs w:val="21"/>
              </w:rPr>
            </w:pPr>
            <w:r w:rsidRPr="00254AB9">
              <w:rPr>
                <w:rFonts w:cs="Calibri"/>
                <w:sz w:val="21"/>
                <w:szCs w:val="21"/>
              </w:rPr>
              <w:t>4</w:t>
            </w:r>
            <w:r w:rsidR="00183D4A">
              <w:rPr>
                <w:rFonts w:cs="Calibri"/>
                <w:sz w:val="21"/>
                <w:szCs w:val="21"/>
              </w:rPr>
              <w:t xml:space="preserve"> </w:t>
            </w:r>
            <w:r w:rsidRPr="00254AB9">
              <w:rPr>
                <w:rFonts w:cs="Calibri"/>
                <w:sz w:val="21"/>
                <w:szCs w:val="21"/>
              </w:rPr>
              <w:t>100</w:t>
            </w:r>
          </w:p>
        </w:tc>
        <w:tc>
          <w:tcPr>
            <w:tcW w:w="2127" w:type="dxa"/>
            <w:shd w:val="clear" w:color="auto" w:fill="auto"/>
          </w:tcPr>
          <w:p w14:paraId="3708A1A7" w14:textId="50529BF1" w:rsidR="002744B8" w:rsidRPr="00254AB9" w:rsidRDefault="002744B8" w:rsidP="00254AB9">
            <w:pPr>
              <w:spacing w:after="0" w:line="240" w:lineRule="auto"/>
              <w:jc w:val="right"/>
              <w:rPr>
                <w:rFonts w:cs="Calibri"/>
                <w:sz w:val="21"/>
                <w:szCs w:val="21"/>
              </w:rPr>
            </w:pPr>
            <w:r w:rsidRPr="00254AB9">
              <w:rPr>
                <w:rFonts w:cs="Calibri"/>
                <w:sz w:val="21"/>
                <w:szCs w:val="21"/>
              </w:rPr>
              <w:t>1050 tys.</w:t>
            </w:r>
          </w:p>
        </w:tc>
      </w:tr>
      <w:tr w:rsidR="002744B8" w:rsidRPr="00254AB9" w14:paraId="6EC0ADCB" w14:textId="77777777" w:rsidTr="00612520">
        <w:trPr>
          <w:jc w:val="center"/>
        </w:trPr>
        <w:tc>
          <w:tcPr>
            <w:tcW w:w="4606" w:type="dxa"/>
            <w:shd w:val="clear" w:color="auto" w:fill="auto"/>
          </w:tcPr>
          <w:p w14:paraId="4808B574" w14:textId="77777777" w:rsidR="002744B8" w:rsidRPr="00254AB9" w:rsidRDefault="002744B8" w:rsidP="00254AB9">
            <w:pPr>
              <w:spacing w:after="0" w:line="240" w:lineRule="auto"/>
              <w:rPr>
                <w:rFonts w:cs="Calibri"/>
                <w:sz w:val="21"/>
                <w:szCs w:val="21"/>
              </w:rPr>
            </w:pPr>
            <w:r w:rsidRPr="00254AB9">
              <w:rPr>
                <w:rFonts w:cs="Calibri"/>
                <w:sz w:val="21"/>
                <w:szCs w:val="21"/>
              </w:rPr>
              <w:t xml:space="preserve">Krajowy Związek Spółdzielni Mleczarskich Związek </w:t>
            </w:r>
            <w:r w:rsidRPr="00254AB9">
              <w:rPr>
                <w:rFonts w:cs="Calibri"/>
                <w:sz w:val="21"/>
                <w:szCs w:val="21"/>
              </w:rPr>
              <w:lastRenderedPageBreak/>
              <w:t>Rewizyjny**</w:t>
            </w:r>
          </w:p>
        </w:tc>
        <w:tc>
          <w:tcPr>
            <w:tcW w:w="1739" w:type="dxa"/>
            <w:shd w:val="clear" w:color="auto" w:fill="auto"/>
          </w:tcPr>
          <w:p w14:paraId="112604A0" w14:textId="77777777" w:rsidR="002744B8" w:rsidRPr="00254AB9" w:rsidRDefault="002744B8" w:rsidP="00254AB9">
            <w:pPr>
              <w:spacing w:after="0" w:line="240" w:lineRule="auto"/>
              <w:jc w:val="right"/>
              <w:rPr>
                <w:rFonts w:cs="Calibri"/>
                <w:sz w:val="21"/>
                <w:szCs w:val="21"/>
              </w:rPr>
            </w:pPr>
            <w:r w:rsidRPr="00254AB9">
              <w:rPr>
                <w:rFonts w:cs="Calibri"/>
                <w:sz w:val="21"/>
                <w:szCs w:val="21"/>
              </w:rPr>
              <w:lastRenderedPageBreak/>
              <w:t>78</w:t>
            </w:r>
          </w:p>
        </w:tc>
        <w:tc>
          <w:tcPr>
            <w:tcW w:w="2127" w:type="dxa"/>
            <w:shd w:val="clear" w:color="auto" w:fill="auto"/>
          </w:tcPr>
          <w:p w14:paraId="7A8C2DA9" w14:textId="77777777" w:rsidR="002744B8" w:rsidRPr="00254AB9" w:rsidRDefault="002744B8" w:rsidP="00254AB9">
            <w:pPr>
              <w:spacing w:after="0" w:line="240" w:lineRule="auto"/>
              <w:jc w:val="right"/>
              <w:rPr>
                <w:rFonts w:cs="Calibri"/>
                <w:sz w:val="21"/>
                <w:szCs w:val="21"/>
              </w:rPr>
            </w:pPr>
            <w:r w:rsidRPr="00254AB9">
              <w:rPr>
                <w:rFonts w:cs="Calibri"/>
                <w:sz w:val="21"/>
                <w:szCs w:val="21"/>
              </w:rPr>
              <w:t>brak danych</w:t>
            </w:r>
          </w:p>
        </w:tc>
      </w:tr>
      <w:tr w:rsidR="002744B8" w:rsidRPr="00254AB9" w14:paraId="2455D67A" w14:textId="77777777" w:rsidTr="00612520">
        <w:trPr>
          <w:jc w:val="center"/>
        </w:trPr>
        <w:tc>
          <w:tcPr>
            <w:tcW w:w="4606" w:type="dxa"/>
            <w:shd w:val="clear" w:color="auto" w:fill="auto"/>
          </w:tcPr>
          <w:p w14:paraId="70D83942" w14:textId="77777777" w:rsidR="002744B8" w:rsidRPr="00254AB9" w:rsidRDefault="002744B8" w:rsidP="00254AB9">
            <w:pPr>
              <w:spacing w:after="0" w:line="240" w:lineRule="auto"/>
              <w:rPr>
                <w:rFonts w:cs="Calibri"/>
                <w:sz w:val="21"/>
                <w:szCs w:val="21"/>
              </w:rPr>
            </w:pPr>
            <w:r w:rsidRPr="00254AB9">
              <w:rPr>
                <w:rFonts w:cs="Calibri"/>
                <w:sz w:val="21"/>
                <w:szCs w:val="21"/>
              </w:rPr>
              <w:t>Związek Rzemiosła Polskiego*</w:t>
            </w:r>
          </w:p>
        </w:tc>
        <w:tc>
          <w:tcPr>
            <w:tcW w:w="1739" w:type="dxa"/>
            <w:shd w:val="clear" w:color="auto" w:fill="auto"/>
          </w:tcPr>
          <w:p w14:paraId="32198433" w14:textId="0C355707" w:rsidR="002744B8" w:rsidRPr="00254AB9" w:rsidRDefault="002744B8" w:rsidP="00254AB9">
            <w:pPr>
              <w:spacing w:after="0" w:line="240" w:lineRule="auto"/>
              <w:jc w:val="right"/>
              <w:rPr>
                <w:rFonts w:cs="Calibri"/>
                <w:sz w:val="21"/>
                <w:szCs w:val="21"/>
              </w:rPr>
            </w:pPr>
            <w:r w:rsidRPr="00254AB9">
              <w:rPr>
                <w:rFonts w:cs="Calibri"/>
                <w:sz w:val="21"/>
                <w:szCs w:val="21"/>
              </w:rPr>
              <w:t>300</w:t>
            </w:r>
            <w:r w:rsidR="00183D4A">
              <w:rPr>
                <w:rFonts w:cs="Calibri"/>
                <w:sz w:val="21"/>
                <w:szCs w:val="21"/>
              </w:rPr>
              <w:t xml:space="preserve"> </w:t>
            </w:r>
            <w:r w:rsidRPr="00254AB9">
              <w:rPr>
                <w:rFonts w:cs="Calibri"/>
                <w:sz w:val="21"/>
                <w:szCs w:val="21"/>
              </w:rPr>
              <w:t>000</w:t>
            </w:r>
          </w:p>
        </w:tc>
        <w:tc>
          <w:tcPr>
            <w:tcW w:w="2127" w:type="dxa"/>
            <w:shd w:val="clear" w:color="auto" w:fill="auto"/>
          </w:tcPr>
          <w:p w14:paraId="17F16FAC" w14:textId="77777777" w:rsidR="002744B8" w:rsidRPr="00254AB9" w:rsidRDefault="002744B8" w:rsidP="00254AB9">
            <w:pPr>
              <w:spacing w:after="0" w:line="240" w:lineRule="auto"/>
              <w:jc w:val="right"/>
              <w:rPr>
                <w:rFonts w:cs="Calibri"/>
                <w:sz w:val="21"/>
                <w:szCs w:val="21"/>
              </w:rPr>
            </w:pPr>
            <w:r w:rsidRPr="00254AB9">
              <w:rPr>
                <w:rFonts w:cs="Calibri"/>
                <w:sz w:val="21"/>
                <w:szCs w:val="21"/>
              </w:rPr>
              <w:t>brak danych</w:t>
            </w:r>
          </w:p>
        </w:tc>
      </w:tr>
      <w:tr w:rsidR="002744B8" w:rsidRPr="00254AB9" w14:paraId="43627565" w14:textId="77777777" w:rsidTr="00612520">
        <w:trPr>
          <w:jc w:val="center"/>
        </w:trPr>
        <w:tc>
          <w:tcPr>
            <w:tcW w:w="4606" w:type="dxa"/>
            <w:shd w:val="clear" w:color="auto" w:fill="auto"/>
          </w:tcPr>
          <w:p w14:paraId="0C11DA9E" w14:textId="77777777" w:rsidR="002744B8" w:rsidRPr="00254AB9" w:rsidRDefault="002744B8" w:rsidP="00254AB9">
            <w:pPr>
              <w:spacing w:after="0" w:line="240" w:lineRule="auto"/>
              <w:rPr>
                <w:rFonts w:cs="Calibri"/>
                <w:sz w:val="21"/>
                <w:szCs w:val="21"/>
              </w:rPr>
            </w:pPr>
            <w:r w:rsidRPr="00254AB9">
              <w:rPr>
                <w:rFonts w:cs="Calibri"/>
                <w:sz w:val="21"/>
                <w:szCs w:val="21"/>
              </w:rPr>
              <w:t>Business Centre Club*</w:t>
            </w:r>
          </w:p>
        </w:tc>
        <w:tc>
          <w:tcPr>
            <w:tcW w:w="1739" w:type="dxa"/>
            <w:shd w:val="clear" w:color="auto" w:fill="auto"/>
          </w:tcPr>
          <w:p w14:paraId="23FCA023" w14:textId="75585F49" w:rsidR="002744B8" w:rsidRPr="00254AB9" w:rsidRDefault="002744B8" w:rsidP="00254AB9">
            <w:pPr>
              <w:spacing w:after="0" w:line="240" w:lineRule="auto"/>
              <w:jc w:val="right"/>
              <w:rPr>
                <w:rFonts w:cs="Calibri"/>
                <w:sz w:val="21"/>
                <w:szCs w:val="21"/>
              </w:rPr>
            </w:pPr>
            <w:r w:rsidRPr="00254AB9">
              <w:rPr>
                <w:rFonts w:cs="Calibri"/>
                <w:sz w:val="21"/>
                <w:szCs w:val="21"/>
              </w:rPr>
              <w:t>17</w:t>
            </w:r>
            <w:r w:rsidR="00183D4A">
              <w:rPr>
                <w:rFonts w:cs="Calibri"/>
                <w:sz w:val="21"/>
                <w:szCs w:val="21"/>
              </w:rPr>
              <w:t xml:space="preserve"> </w:t>
            </w:r>
            <w:r w:rsidRPr="00254AB9">
              <w:rPr>
                <w:rFonts w:cs="Calibri"/>
                <w:sz w:val="21"/>
                <w:szCs w:val="21"/>
              </w:rPr>
              <w:t>000</w:t>
            </w:r>
          </w:p>
        </w:tc>
        <w:tc>
          <w:tcPr>
            <w:tcW w:w="2127" w:type="dxa"/>
            <w:shd w:val="clear" w:color="auto" w:fill="auto"/>
          </w:tcPr>
          <w:p w14:paraId="2D983628" w14:textId="77777777" w:rsidR="002744B8" w:rsidRPr="00254AB9" w:rsidRDefault="002744B8" w:rsidP="00254AB9">
            <w:pPr>
              <w:spacing w:after="0" w:line="240" w:lineRule="auto"/>
              <w:jc w:val="right"/>
              <w:rPr>
                <w:rFonts w:cs="Calibri"/>
                <w:sz w:val="21"/>
                <w:szCs w:val="21"/>
              </w:rPr>
            </w:pPr>
            <w:r w:rsidRPr="00254AB9">
              <w:rPr>
                <w:rFonts w:cs="Calibri"/>
                <w:sz w:val="21"/>
                <w:szCs w:val="21"/>
              </w:rPr>
              <w:t>brak danych</w:t>
            </w:r>
          </w:p>
        </w:tc>
      </w:tr>
      <w:tr w:rsidR="002744B8" w:rsidRPr="00254AB9" w14:paraId="4E8C3B76" w14:textId="77777777" w:rsidTr="00612520">
        <w:trPr>
          <w:jc w:val="center"/>
        </w:trPr>
        <w:tc>
          <w:tcPr>
            <w:tcW w:w="4606" w:type="dxa"/>
            <w:shd w:val="clear" w:color="auto" w:fill="auto"/>
          </w:tcPr>
          <w:p w14:paraId="333E8DDE" w14:textId="2FB2B35B" w:rsidR="002744B8" w:rsidRPr="00254AB9" w:rsidRDefault="002744B8" w:rsidP="00254AB9">
            <w:pPr>
              <w:spacing w:after="0" w:line="240" w:lineRule="auto"/>
              <w:rPr>
                <w:rFonts w:cs="Calibri"/>
                <w:sz w:val="21"/>
                <w:szCs w:val="21"/>
              </w:rPr>
            </w:pPr>
            <w:r w:rsidRPr="00254AB9">
              <w:rPr>
                <w:rFonts w:cs="Calibri"/>
                <w:sz w:val="21"/>
                <w:szCs w:val="21"/>
              </w:rPr>
              <w:t>Związek Przedsiębiorców</w:t>
            </w:r>
            <w:r w:rsidR="006343E1">
              <w:rPr>
                <w:rFonts w:cs="Calibri"/>
                <w:sz w:val="21"/>
                <w:szCs w:val="21"/>
              </w:rPr>
              <w:t xml:space="preserve"> </w:t>
            </w:r>
            <w:r w:rsidR="006343E1" w:rsidRPr="00254AB9">
              <w:rPr>
                <w:rFonts w:cs="Calibri"/>
                <w:sz w:val="21"/>
                <w:szCs w:val="21"/>
              </w:rPr>
              <w:t>i</w:t>
            </w:r>
            <w:r w:rsidR="006343E1">
              <w:rPr>
                <w:rFonts w:cs="Calibri"/>
                <w:sz w:val="21"/>
                <w:szCs w:val="21"/>
              </w:rPr>
              <w:t> </w:t>
            </w:r>
            <w:r w:rsidRPr="00254AB9">
              <w:rPr>
                <w:rFonts w:cs="Calibri"/>
                <w:sz w:val="21"/>
                <w:szCs w:val="21"/>
              </w:rPr>
              <w:t>Pracodawców**</w:t>
            </w:r>
          </w:p>
        </w:tc>
        <w:tc>
          <w:tcPr>
            <w:tcW w:w="1739" w:type="dxa"/>
            <w:shd w:val="clear" w:color="auto" w:fill="auto"/>
          </w:tcPr>
          <w:p w14:paraId="01D53FE4" w14:textId="5A4C791E" w:rsidR="002744B8" w:rsidRPr="00254AB9" w:rsidRDefault="002744B8" w:rsidP="00254AB9">
            <w:pPr>
              <w:spacing w:after="0" w:line="240" w:lineRule="auto"/>
              <w:jc w:val="right"/>
              <w:rPr>
                <w:rFonts w:cs="Calibri"/>
                <w:sz w:val="21"/>
                <w:szCs w:val="21"/>
              </w:rPr>
            </w:pPr>
            <w:r w:rsidRPr="00254AB9">
              <w:rPr>
                <w:rFonts w:cs="Calibri"/>
                <w:sz w:val="21"/>
                <w:szCs w:val="21"/>
              </w:rPr>
              <w:t>51</w:t>
            </w:r>
            <w:r w:rsidR="00183D4A">
              <w:rPr>
                <w:rFonts w:cs="Calibri"/>
                <w:sz w:val="21"/>
                <w:szCs w:val="21"/>
              </w:rPr>
              <w:t xml:space="preserve"> </w:t>
            </w:r>
            <w:r w:rsidRPr="00254AB9">
              <w:rPr>
                <w:rFonts w:cs="Calibri"/>
                <w:sz w:val="21"/>
                <w:szCs w:val="21"/>
              </w:rPr>
              <w:t>800</w:t>
            </w:r>
          </w:p>
        </w:tc>
        <w:tc>
          <w:tcPr>
            <w:tcW w:w="2127" w:type="dxa"/>
            <w:shd w:val="clear" w:color="auto" w:fill="auto"/>
          </w:tcPr>
          <w:p w14:paraId="6D00B0D1" w14:textId="77777777" w:rsidR="002744B8" w:rsidRPr="00254AB9" w:rsidRDefault="002744B8" w:rsidP="00254AB9">
            <w:pPr>
              <w:spacing w:after="0" w:line="240" w:lineRule="auto"/>
              <w:jc w:val="right"/>
              <w:rPr>
                <w:rFonts w:cs="Calibri"/>
                <w:sz w:val="21"/>
                <w:szCs w:val="21"/>
              </w:rPr>
            </w:pPr>
            <w:r w:rsidRPr="00254AB9">
              <w:rPr>
                <w:rFonts w:cs="Calibri"/>
                <w:sz w:val="21"/>
                <w:szCs w:val="21"/>
              </w:rPr>
              <w:t>522 tys.</w:t>
            </w:r>
          </w:p>
        </w:tc>
      </w:tr>
      <w:tr w:rsidR="002744B8" w:rsidRPr="00254AB9" w14:paraId="45F73140" w14:textId="77777777" w:rsidTr="00612520">
        <w:trPr>
          <w:jc w:val="center"/>
        </w:trPr>
        <w:tc>
          <w:tcPr>
            <w:tcW w:w="4606" w:type="dxa"/>
            <w:shd w:val="clear" w:color="auto" w:fill="auto"/>
          </w:tcPr>
          <w:p w14:paraId="74D2003F" w14:textId="77777777" w:rsidR="002744B8" w:rsidRPr="00254AB9" w:rsidRDefault="002744B8" w:rsidP="00254AB9">
            <w:pPr>
              <w:spacing w:after="0" w:line="240" w:lineRule="auto"/>
              <w:rPr>
                <w:rFonts w:cs="Calibri"/>
                <w:sz w:val="21"/>
                <w:szCs w:val="21"/>
              </w:rPr>
            </w:pPr>
            <w:r w:rsidRPr="00254AB9">
              <w:rPr>
                <w:rFonts w:cs="Calibri"/>
                <w:sz w:val="21"/>
                <w:szCs w:val="21"/>
              </w:rPr>
              <w:t>Razem</w:t>
            </w:r>
          </w:p>
        </w:tc>
        <w:tc>
          <w:tcPr>
            <w:tcW w:w="1739" w:type="dxa"/>
            <w:shd w:val="clear" w:color="auto" w:fill="auto"/>
          </w:tcPr>
          <w:p w14:paraId="37605DAF" w14:textId="42CF48A4" w:rsidR="002744B8" w:rsidRPr="00254AB9" w:rsidRDefault="002744B8" w:rsidP="00254AB9">
            <w:pPr>
              <w:spacing w:after="0" w:line="240" w:lineRule="auto"/>
              <w:jc w:val="right"/>
              <w:rPr>
                <w:rFonts w:cs="Calibri"/>
                <w:sz w:val="21"/>
                <w:szCs w:val="21"/>
              </w:rPr>
            </w:pPr>
            <w:r w:rsidRPr="00254AB9">
              <w:rPr>
                <w:rFonts w:cs="Calibri"/>
                <w:sz w:val="21"/>
                <w:szCs w:val="21"/>
              </w:rPr>
              <w:t>391</w:t>
            </w:r>
            <w:r w:rsidR="00183D4A">
              <w:rPr>
                <w:rFonts w:cs="Calibri"/>
                <w:sz w:val="21"/>
                <w:szCs w:val="21"/>
              </w:rPr>
              <w:t xml:space="preserve"> </w:t>
            </w:r>
            <w:r w:rsidRPr="00254AB9">
              <w:rPr>
                <w:rFonts w:cs="Calibri"/>
                <w:sz w:val="21"/>
                <w:szCs w:val="21"/>
              </w:rPr>
              <w:t>978</w:t>
            </w:r>
          </w:p>
        </w:tc>
        <w:tc>
          <w:tcPr>
            <w:tcW w:w="2127" w:type="dxa"/>
            <w:shd w:val="clear" w:color="auto" w:fill="auto"/>
          </w:tcPr>
          <w:p w14:paraId="06F6D287" w14:textId="77777777" w:rsidR="002744B8" w:rsidRPr="00254AB9" w:rsidRDefault="002744B8" w:rsidP="00254AB9">
            <w:pPr>
              <w:spacing w:after="0" w:line="240" w:lineRule="auto"/>
              <w:jc w:val="right"/>
              <w:rPr>
                <w:rFonts w:cs="Calibri"/>
                <w:sz w:val="21"/>
                <w:szCs w:val="21"/>
              </w:rPr>
            </w:pPr>
            <w:r w:rsidRPr="00254AB9">
              <w:rPr>
                <w:rFonts w:cs="Calibri"/>
                <w:sz w:val="21"/>
                <w:szCs w:val="21"/>
              </w:rPr>
              <w:t>brak danych</w:t>
            </w:r>
          </w:p>
        </w:tc>
      </w:tr>
    </w:tbl>
    <w:p w14:paraId="1750B1DF" w14:textId="77777777" w:rsidR="00F8351D" w:rsidRDefault="00F8351D" w:rsidP="00D01FC4">
      <w:pPr>
        <w:pStyle w:val="Bezodstpw"/>
        <w:spacing w:after="0"/>
      </w:pPr>
    </w:p>
    <w:p w14:paraId="37294489" w14:textId="2522A621" w:rsidR="002744B8" w:rsidRPr="003D6D53" w:rsidRDefault="0082601F" w:rsidP="00D01FC4">
      <w:pPr>
        <w:pStyle w:val="Bezodstpw"/>
        <w:spacing w:after="0"/>
      </w:pPr>
      <w:r w:rsidRPr="003D6D53">
        <w:t xml:space="preserve">Źródło: </w:t>
      </w:r>
      <w:r w:rsidR="002744B8" w:rsidRPr="003D6D53">
        <w:t>Opracowanie</w:t>
      </w:r>
      <w:r w:rsidRPr="003D6D53">
        <w:t xml:space="preserve"> własne</w:t>
      </w:r>
      <w:r w:rsidR="002744B8" w:rsidRPr="003D6D53">
        <w:t xml:space="preserve"> </w:t>
      </w:r>
      <w:r w:rsidR="003A56DA">
        <w:t>MRiT</w:t>
      </w:r>
    </w:p>
    <w:p w14:paraId="0DC4821F" w14:textId="77777777" w:rsidR="00F8351D" w:rsidRDefault="00F8351D" w:rsidP="00D01FC4">
      <w:pPr>
        <w:pStyle w:val="Bezodstpw"/>
        <w:spacing w:after="0"/>
      </w:pPr>
    </w:p>
    <w:p w14:paraId="4536FEE8" w14:textId="357BECED" w:rsidR="002744B8" w:rsidRPr="003D6D53" w:rsidRDefault="002744B8" w:rsidP="00D01FC4">
      <w:pPr>
        <w:pStyle w:val="Bezodstpw"/>
        <w:spacing w:after="0"/>
      </w:pPr>
      <w:r w:rsidRPr="003D6D53">
        <w:t>* Organizacja przedsiębiorców reprezentowana</w:t>
      </w:r>
      <w:r w:rsidR="006343E1">
        <w:t xml:space="preserve"> </w:t>
      </w:r>
      <w:r w:rsidR="006343E1" w:rsidRPr="003D6D53">
        <w:t>w</w:t>
      </w:r>
      <w:r w:rsidR="006343E1">
        <w:t> </w:t>
      </w:r>
      <w:r w:rsidRPr="003D6D53">
        <w:t xml:space="preserve">Radzie Dialogu Społecznego </w:t>
      </w:r>
    </w:p>
    <w:p w14:paraId="69DDDA87" w14:textId="414E7AA2" w:rsidR="002744B8" w:rsidRPr="003D6D53" w:rsidRDefault="002744B8" w:rsidP="00D01FC4">
      <w:pPr>
        <w:pStyle w:val="Bezodstpw"/>
        <w:spacing w:after="0"/>
      </w:pPr>
      <w:r w:rsidRPr="003D6D53">
        <w:t>** Organizacja niespełniająca kryterium reprezentatywności</w:t>
      </w:r>
      <w:r w:rsidR="006343E1">
        <w:t xml:space="preserve"> </w:t>
      </w:r>
      <w:r w:rsidR="006343E1" w:rsidRPr="003D6D53">
        <w:t>w</w:t>
      </w:r>
      <w:r w:rsidR="006343E1">
        <w:t> </w:t>
      </w:r>
      <w:r w:rsidRPr="003D6D53">
        <w:t xml:space="preserve">rozumieniu </w:t>
      </w:r>
      <w:r w:rsidRPr="00D01FC4">
        <w:rPr>
          <w:rStyle w:val="HTML-cytat"/>
          <w:rFonts w:cs="Calibri"/>
          <w:szCs w:val="18"/>
        </w:rPr>
        <w:t>ustawy</w:t>
      </w:r>
      <w:r w:rsidR="006343E1">
        <w:rPr>
          <w:rStyle w:val="HTML-cytat"/>
          <w:rFonts w:cs="Calibri"/>
          <w:szCs w:val="18"/>
        </w:rPr>
        <w:t xml:space="preserve"> </w:t>
      </w:r>
      <w:r w:rsidR="006343E1" w:rsidRPr="00D01FC4">
        <w:rPr>
          <w:rStyle w:val="HTML-cytat"/>
          <w:rFonts w:cs="Calibri"/>
          <w:szCs w:val="18"/>
        </w:rPr>
        <w:t>o</w:t>
      </w:r>
      <w:r w:rsidR="006343E1">
        <w:rPr>
          <w:rStyle w:val="HTML-cytat"/>
          <w:rFonts w:cs="Calibri"/>
          <w:szCs w:val="18"/>
        </w:rPr>
        <w:t> </w:t>
      </w:r>
      <w:r w:rsidR="001C3C76">
        <w:rPr>
          <w:rStyle w:val="HTML-cytat"/>
          <w:rFonts w:cs="Calibri"/>
          <w:szCs w:val="18"/>
        </w:rPr>
        <w:t xml:space="preserve">z dnia 24 lipca 2015 r. o </w:t>
      </w:r>
      <w:r w:rsidRPr="00D01FC4">
        <w:rPr>
          <w:rStyle w:val="HTML-cytat"/>
          <w:rFonts w:cs="Calibri"/>
          <w:szCs w:val="18"/>
        </w:rPr>
        <w:t>Radzie Dialogu Społecznego</w:t>
      </w:r>
      <w:r w:rsidR="001C3C76">
        <w:rPr>
          <w:rStyle w:val="HTML-cytat"/>
          <w:rFonts w:cs="Calibri"/>
          <w:szCs w:val="18"/>
        </w:rPr>
        <w:t xml:space="preserve"> i innych instytucjach dialogu społecznego (Dz. U. 2015 poz. 1240)</w:t>
      </w:r>
      <w:r w:rsidRPr="003D6D53">
        <w:t xml:space="preserve">   </w:t>
      </w:r>
    </w:p>
    <w:p w14:paraId="7F155B7C" w14:textId="6EE92532" w:rsidR="004C6939" w:rsidRPr="00254AB9" w:rsidRDefault="004C6939" w:rsidP="00D01FC4">
      <w:r w:rsidRPr="00254AB9">
        <w:t>Jedną</w:t>
      </w:r>
      <w:r w:rsidR="006343E1">
        <w:t xml:space="preserve"> </w:t>
      </w:r>
      <w:r w:rsidR="006343E1" w:rsidRPr="00254AB9">
        <w:t>z</w:t>
      </w:r>
      <w:r w:rsidR="006343E1">
        <w:t> </w:t>
      </w:r>
      <w:r w:rsidRPr="00254AB9">
        <w:t>najlepiej rozpoznanych,</w:t>
      </w:r>
      <w:r w:rsidR="006343E1">
        <w:t xml:space="preserve"> </w:t>
      </w:r>
      <w:r w:rsidR="006343E1" w:rsidRPr="00254AB9">
        <w:t>a</w:t>
      </w:r>
      <w:r w:rsidR="006343E1">
        <w:t> </w:t>
      </w:r>
      <w:r w:rsidRPr="00254AB9">
        <w:t>jednocześnie najbardziej efektywnych form współpracy przedsiębiorstw, również przy udziale innych partnerów, są klastry. Dzięki naturalnie nawiązanej (choć ujętej</w:t>
      </w:r>
      <w:r w:rsidR="006343E1">
        <w:t xml:space="preserve"> </w:t>
      </w:r>
      <w:r w:rsidR="006343E1" w:rsidRPr="00254AB9">
        <w:t>w</w:t>
      </w:r>
      <w:r w:rsidR="006343E1">
        <w:t> </w:t>
      </w:r>
      <w:r w:rsidRPr="00254AB9">
        <w:t xml:space="preserve">instytucjonalne ramy) współpracy przedsiębiorstw, instytucji badawczych, instytucji otoczenia biznesu, organizacji pozarządowych oraz władz lokalnych </w:t>
      </w:r>
      <w:r w:rsidR="00183D4A" w:rsidRPr="00254AB9">
        <w:t xml:space="preserve">są </w:t>
      </w:r>
      <w:r w:rsidRPr="00254AB9">
        <w:t>określane mianem katalizatora procesów innowacyjnych. Struktury klastrowe w dużej mierze sprzyjają wzrostowi poziomu innowacyjności</w:t>
      </w:r>
      <w:r w:rsidR="006343E1">
        <w:t xml:space="preserve"> </w:t>
      </w:r>
      <w:r w:rsidR="006343E1" w:rsidRPr="00254AB9">
        <w:t>i</w:t>
      </w:r>
      <w:r w:rsidR="006343E1">
        <w:t> </w:t>
      </w:r>
      <w:r w:rsidRPr="00254AB9">
        <w:t>poprawie potencjalnej zdolności transferu wiedzy. W</w:t>
      </w:r>
      <w:r w:rsidR="00183D4A">
        <w:t>edłu</w:t>
      </w:r>
      <w:r w:rsidRPr="00254AB9">
        <w:t>g danych GUS</w:t>
      </w:r>
      <w:r w:rsidR="006343E1">
        <w:t xml:space="preserve"> </w:t>
      </w:r>
      <w:r w:rsidR="006343E1" w:rsidRPr="00254AB9">
        <w:t>w</w:t>
      </w:r>
      <w:r w:rsidR="006343E1">
        <w:t> </w:t>
      </w:r>
      <w:r w:rsidRPr="00254AB9">
        <w:t>okresie 201</w:t>
      </w:r>
      <w:r w:rsidR="0051241E">
        <w:t>0</w:t>
      </w:r>
      <w:r w:rsidR="00183D4A">
        <w:rPr>
          <w:rFonts w:ascii="Times New Roman" w:hAnsi="Times New Roman" w:cs="Times New Roman"/>
        </w:rPr>
        <w:t>–</w:t>
      </w:r>
      <w:r w:rsidRPr="00254AB9">
        <w:t>201</w:t>
      </w:r>
      <w:r w:rsidR="0051241E">
        <w:t>7</w:t>
      </w:r>
      <w:r w:rsidRPr="00254AB9">
        <w:t xml:space="preserve"> odsetek firm współpracujących</w:t>
      </w:r>
      <w:r w:rsidR="006343E1">
        <w:t xml:space="preserve"> </w:t>
      </w:r>
      <w:r w:rsidR="006343E1" w:rsidRPr="00254AB9">
        <w:t>w</w:t>
      </w:r>
      <w:r w:rsidR="006343E1">
        <w:t> </w:t>
      </w:r>
      <w:r w:rsidRPr="00254AB9">
        <w:t xml:space="preserve">ramach inicjatywy klastrowej lub innych sformalizowanych rodzajach współpracy wzrósł </w:t>
      </w:r>
      <w:r w:rsidR="0051241E">
        <w:t>ponad</w:t>
      </w:r>
      <w:r w:rsidRPr="00254AB9">
        <w:t>dwukrotnie</w:t>
      </w:r>
      <w:r w:rsidR="0051241E">
        <w:t xml:space="preserve"> (choć jednocześnie zmniejszył się</w:t>
      </w:r>
      <w:r w:rsidR="006343E1">
        <w:t xml:space="preserve"> w </w:t>
      </w:r>
      <w:r w:rsidR="0051241E">
        <w:t>2017 r.</w:t>
      </w:r>
      <w:r w:rsidR="006343E1">
        <w:t xml:space="preserve"> w </w:t>
      </w:r>
      <w:r w:rsidR="0051241E">
        <w:t>stosunku do 2016 r.</w:t>
      </w:r>
      <w:r w:rsidR="006343E1">
        <w:t xml:space="preserve"> o </w:t>
      </w:r>
      <w:r w:rsidR="0051241E">
        <w:t>1,4 pkt.</w:t>
      </w:r>
      <w:r w:rsidR="00183D4A">
        <w:t xml:space="preserve"> </w:t>
      </w:r>
      <w:r w:rsidR="0051241E">
        <w:t>proc</w:t>
      </w:r>
      <w:r w:rsidRPr="00254AB9">
        <w:t>.</w:t>
      </w:r>
      <w:r w:rsidR="0051241E">
        <w:t>).</w:t>
      </w:r>
      <w:r w:rsidR="00FA6094">
        <w:rPr>
          <w:rStyle w:val="Odwoanieprzypisudolnego"/>
        </w:rPr>
        <w:footnoteReference w:id="19"/>
      </w:r>
    </w:p>
    <w:p w14:paraId="71639A35" w14:textId="42CEAF4F" w:rsidR="004C6939" w:rsidRPr="00254AB9" w:rsidRDefault="00390B44" w:rsidP="00CB07D4">
      <w:pPr>
        <w:pStyle w:val="Nagwek4"/>
        <w:ind w:left="993" w:hanging="993"/>
        <w:rPr>
          <w:rFonts w:cs="Calibri"/>
          <w:szCs w:val="21"/>
        </w:rPr>
      </w:pPr>
      <w:r w:rsidRPr="00612520">
        <w:t xml:space="preserve">Wykres </w:t>
      </w:r>
      <w:fldSimple w:instr=" SEQ Rysunek \* ARABIC ">
        <w:r w:rsidR="00027674">
          <w:t>3</w:t>
        </w:r>
      </w:fldSimple>
      <w:r w:rsidR="001C3C76">
        <w:t>9</w:t>
      </w:r>
      <w:r w:rsidRPr="00612520">
        <w:t xml:space="preserve">. </w:t>
      </w:r>
      <w:r w:rsidR="004C6939" w:rsidRPr="00612520">
        <w:t>Udział przedsiębiorstw przemysłowych współpracujących</w:t>
      </w:r>
      <w:r w:rsidR="006343E1">
        <w:t xml:space="preserve"> </w:t>
      </w:r>
      <w:r w:rsidR="006343E1" w:rsidRPr="00612520">
        <w:t>w</w:t>
      </w:r>
      <w:r w:rsidR="006343E1">
        <w:t> </w:t>
      </w:r>
      <w:r w:rsidR="004C6939" w:rsidRPr="00612520">
        <w:t>ramach inicjatywy klastrowej lub</w:t>
      </w:r>
      <w:r w:rsidR="006343E1">
        <w:t xml:space="preserve"> </w:t>
      </w:r>
      <w:r w:rsidR="006343E1" w:rsidRPr="00612520">
        <w:t>w</w:t>
      </w:r>
      <w:r w:rsidR="006343E1">
        <w:t> </w:t>
      </w:r>
      <w:r w:rsidR="004C6939" w:rsidRPr="00612520">
        <w:t>innych sformalizowanych rodzajach współpracy</w:t>
      </w:r>
      <w:r w:rsidR="006343E1">
        <w:t xml:space="preserve"> </w:t>
      </w:r>
      <w:r w:rsidR="006343E1" w:rsidRPr="00612520">
        <w:t>w</w:t>
      </w:r>
      <w:r w:rsidR="006343E1">
        <w:t> </w:t>
      </w:r>
      <w:r w:rsidR="004C6939" w:rsidRPr="00612520">
        <w:t>liczbie przedsiębiorstw aktywnych innowacyjnie</w:t>
      </w:r>
      <w:r w:rsidR="004C6939" w:rsidRPr="00254AB9">
        <w:rPr>
          <w:rFonts w:cs="Calibri"/>
          <w:szCs w:val="21"/>
        </w:rPr>
        <w:t xml:space="preserve"> </w:t>
      </w:r>
    </w:p>
    <w:p w14:paraId="003B35BA" w14:textId="79B38C67" w:rsidR="0051241E" w:rsidRDefault="0051241E" w:rsidP="00730223">
      <w:pPr>
        <w:spacing w:after="0" w:line="240" w:lineRule="auto"/>
        <w:rPr>
          <w:rFonts w:cs="Calibri"/>
          <w:i/>
          <w:sz w:val="21"/>
          <w:szCs w:val="21"/>
        </w:rPr>
      </w:pPr>
      <w:r>
        <w:rPr>
          <w:noProof/>
          <w:lang w:eastAsia="pl-PL"/>
        </w:rPr>
        <w:drawing>
          <wp:inline distT="0" distB="0" distL="0" distR="0" wp14:anchorId="07AFE265" wp14:editId="174318CA">
            <wp:extent cx="4572000" cy="2743200"/>
            <wp:effectExtent l="0" t="0" r="0" b="0"/>
            <wp:docPr id="22" name="Wykres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7A88BF70" w14:textId="4D0A1609" w:rsidR="004C6939" w:rsidRPr="00254AB9" w:rsidRDefault="004C6939" w:rsidP="00D01FC4">
      <w:pPr>
        <w:pStyle w:val="Bezodstpw"/>
      </w:pPr>
      <w:r w:rsidRPr="00254AB9">
        <w:t>Źródło:</w:t>
      </w:r>
      <w:r w:rsidR="008E2457" w:rsidRPr="00254AB9">
        <w:t xml:space="preserve"> </w:t>
      </w:r>
      <w:r w:rsidR="00B822CB" w:rsidRPr="00254AB9">
        <w:t xml:space="preserve">Opracowanie </w:t>
      </w:r>
      <w:r w:rsidR="003A56DA">
        <w:t>MRiT</w:t>
      </w:r>
      <w:r w:rsidR="003A5EA7">
        <w:t xml:space="preserve"> </w:t>
      </w:r>
      <w:r w:rsidR="008E2457" w:rsidRPr="00254AB9">
        <w:t xml:space="preserve">na podstawie danych </w:t>
      </w:r>
      <w:r w:rsidRPr="00254AB9">
        <w:t>GUS</w:t>
      </w:r>
      <w:r w:rsidR="00A71A8B">
        <w:t xml:space="preserve"> </w:t>
      </w:r>
      <w:r w:rsidR="00EF36FC">
        <w:t>(2019)</w:t>
      </w:r>
      <w:r w:rsidR="00B3456A">
        <w:t>.</w:t>
      </w:r>
      <w:r w:rsidR="008E2457" w:rsidRPr="00254AB9">
        <w:t xml:space="preserve"> Dotyczy </w:t>
      </w:r>
      <w:r w:rsidRPr="00254AB9">
        <w:t>przedsiębiorstw</w:t>
      </w:r>
      <w:r w:rsidR="006343E1">
        <w:t xml:space="preserve"> </w:t>
      </w:r>
      <w:r w:rsidR="006343E1" w:rsidRPr="00254AB9">
        <w:t>o</w:t>
      </w:r>
      <w:r w:rsidR="006343E1">
        <w:t> </w:t>
      </w:r>
      <w:r w:rsidRPr="00254AB9">
        <w:t xml:space="preserve">liczbie </w:t>
      </w:r>
      <w:r w:rsidR="0052077D">
        <w:t>pracujących</w:t>
      </w:r>
      <w:r w:rsidRPr="00254AB9">
        <w:t xml:space="preserve"> </w:t>
      </w:r>
      <w:r w:rsidR="00EF36FC">
        <w:t>1</w:t>
      </w:r>
      <w:r w:rsidRPr="00254AB9">
        <w:t>0</w:t>
      </w:r>
      <w:r w:rsidR="00B3456A">
        <w:rPr>
          <w:rFonts w:ascii="Times New Roman" w:hAnsi="Times New Roman" w:cs="Times New Roman"/>
        </w:rPr>
        <w:t>–</w:t>
      </w:r>
      <w:r w:rsidRPr="00254AB9">
        <w:t>249</w:t>
      </w:r>
    </w:p>
    <w:p w14:paraId="5311AFA1" w14:textId="4895D1BF" w:rsidR="00FA6094" w:rsidRDefault="004C6939" w:rsidP="00FA6094">
      <w:r w:rsidRPr="0054565D">
        <w:t>Pierwsze klastry</w:t>
      </w:r>
      <w:r w:rsidR="006343E1">
        <w:t xml:space="preserve"> </w:t>
      </w:r>
      <w:r w:rsidR="006343E1" w:rsidRPr="0054565D">
        <w:t>w</w:t>
      </w:r>
      <w:r w:rsidR="006343E1">
        <w:t> </w:t>
      </w:r>
      <w:r w:rsidRPr="0054565D">
        <w:t>Polsce zaczęły powstawać</w:t>
      </w:r>
      <w:r w:rsidR="006343E1">
        <w:t xml:space="preserve"> </w:t>
      </w:r>
      <w:r w:rsidR="006343E1" w:rsidRPr="0054565D">
        <w:t>w</w:t>
      </w:r>
      <w:r w:rsidR="006343E1">
        <w:t> </w:t>
      </w:r>
      <w:r w:rsidRPr="0054565D">
        <w:t>latach 2003</w:t>
      </w:r>
      <w:r w:rsidR="00B3456A">
        <w:rPr>
          <w:rFonts w:ascii="Times New Roman" w:hAnsi="Times New Roman" w:cs="Times New Roman"/>
        </w:rPr>
        <w:t>–</w:t>
      </w:r>
      <w:r w:rsidRPr="0054565D">
        <w:t>2005.</w:t>
      </w:r>
      <w:r w:rsidR="006343E1">
        <w:t xml:space="preserve"> </w:t>
      </w:r>
      <w:r w:rsidR="006343E1" w:rsidRPr="0054565D">
        <w:t>W</w:t>
      </w:r>
      <w:r w:rsidR="006343E1">
        <w:t> </w:t>
      </w:r>
      <w:r w:rsidRPr="0054565D">
        <w:t>ramach przeprowadzonej przez PARP</w:t>
      </w:r>
      <w:r w:rsidR="006343E1">
        <w:t xml:space="preserve"> </w:t>
      </w:r>
      <w:r w:rsidR="006343E1" w:rsidRPr="0054565D">
        <w:t>w</w:t>
      </w:r>
      <w:r w:rsidR="006343E1">
        <w:t> </w:t>
      </w:r>
      <w:r w:rsidRPr="0054565D">
        <w:t>2015 r. inwentaryzacji klastrów zidentyfikowano 134 klastry, które powstały pomiędzy rokiem 2003 a</w:t>
      </w:r>
      <w:r w:rsidR="004F0234" w:rsidRPr="0054565D">
        <w:t> </w:t>
      </w:r>
      <w:r w:rsidRPr="0054565D">
        <w:t>2015.</w:t>
      </w:r>
      <w:r w:rsidR="006343E1">
        <w:t xml:space="preserve"> </w:t>
      </w:r>
      <w:r w:rsidR="006343E1" w:rsidRPr="0054565D">
        <w:t>I</w:t>
      </w:r>
      <w:r w:rsidR="006343E1">
        <w:t> </w:t>
      </w:r>
      <w:r w:rsidRPr="0054565D">
        <w:t>choć badanie potwierdziło obecność klastrów funkcjonujących 12 lat, to większość (ponad 60%) stanowią klastry młode, tj. takie</w:t>
      </w:r>
      <w:r w:rsidR="00B3456A">
        <w:t>,</w:t>
      </w:r>
      <w:r w:rsidRPr="0054565D">
        <w:t xml:space="preserve"> które powstały</w:t>
      </w:r>
      <w:r w:rsidR="006343E1">
        <w:t xml:space="preserve"> </w:t>
      </w:r>
      <w:r w:rsidR="006343E1" w:rsidRPr="0054565D">
        <w:t>w</w:t>
      </w:r>
      <w:r w:rsidR="006343E1">
        <w:t> </w:t>
      </w:r>
      <w:r w:rsidRPr="0054565D">
        <w:t>latach 2011</w:t>
      </w:r>
      <w:r w:rsidR="00B3456A">
        <w:rPr>
          <w:rFonts w:ascii="Times New Roman" w:hAnsi="Times New Roman" w:cs="Times New Roman"/>
        </w:rPr>
        <w:t>–</w:t>
      </w:r>
      <w:r w:rsidRPr="0054565D">
        <w:t xml:space="preserve">2015, a średnia wieku wynosi ponad 4 lata. </w:t>
      </w:r>
      <w:r w:rsidR="004F0234" w:rsidRPr="0054565D">
        <w:t xml:space="preserve">Raport PARP (2016) wskazuje, </w:t>
      </w:r>
      <w:r w:rsidR="00B3456A">
        <w:t>że</w:t>
      </w:r>
      <w:r w:rsidR="004F0234" w:rsidRPr="0054565D">
        <w:t xml:space="preserve"> z</w:t>
      </w:r>
      <w:r w:rsidRPr="0054565D">
        <w:t>identyfikowano również 106 potencjalnych klastrów. Wydaje się</w:t>
      </w:r>
      <w:r w:rsidR="00477C54">
        <w:t>, że </w:t>
      </w:r>
      <w:r w:rsidRPr="0054565D">
        <w:t>część</w:t>
      </w:r>
      <w:r w:rsidR="006343E1">
        <w:t xml:space="preserve"> </w:t>
      </w:r>
      <w:r w:rsidR="006343E1" w:rsidRPr="0054565D">
        <w:t>z</w:t>
      </w:r>
      <w:r w:rsidR="006343E1">
        <w:t> </w:t>
      </w:r>
      <w:r w:rsidRPr="0054565D">
        <w:t xml:space="preserve">tych struktur </w:t>
      </w:r>
      <w:r w:rsidRPr="0054565D">
        <w:lastRenderedPageBreak/>
        <w:t>mogłaby</w:t>
      </w:r>
      <w:r w:rsidR="006343E1">
        <w:t xml:space="preserve"> </w:t>
      </w:r>
      <w:r w:rsidR="006343E1" w:rsidRPr="0054565D">
        <w:t>w</w:t>
      </w:r>
      <w:r w:rsidR="006343E1">
        <w:t> </w:t>
      </w:r>
      <w:r w:rsidRPr="0054565D">
        <w:t>niedalekiej przyszłości przekształcić się</w:t>
      </w:r>
      <w:r w:rsidR="006343E1">
        <w:t xml:space="preserve"> </w:t>
      </w:r>
      <w:r w:rsidR="006343E1" w:rsidRPr="0054565D">
        <w:t>w</w:t>
      </w:r>
      <w:r w:rsidR="006343E1">
        <w:t> </w:t>
      </w:r>
      <w:r w:rsidRPr="0054565D">
        <w:t>pełnowartościowe klastry. Polskie klastry działają zarówno</w:t>
      </w:r>
      <w:r w:rsidR="006343E1">
        <w:t xml:space="preserve"> </w:t>
      </w:r>
      <w:r w:rsidR="006343E1" w:rsidRPr="0054565D">
        <w:t>w</w:t>
      </w:r>
      <w:r w:rsidR="006343E1">
        <w:t> </w:t>
      </w:r>
      <w:r w:rsidRPr="0054565D">
        <w:t xml:space="preserve">sektorach zaawansowanych technologicznie, tj. </w:t>
      </w:r>
      <w:r w:rsidR="00B3456A">
        <w:t xml:space="preserve">w </w:t>
      </w:r>
      <w:r w:rsidRPr="0054565D">
        <w:t>sektor</w:t>
      </w:r>
      <w:r w:rsidR="00B3456A">
        <w:t>ze</w:t>
      </w:r>
      <w:r w:rsidRPr="0054565D">
        <w:t xml:space="preserve"> teleinformatyczny</w:t>
      </w:r>
      <w:r w:rsidR="00B3456A">
        <w:t>m</w:t>
      </w:r>
      <w:r w:rsidRPr="0054565D">
        <w:t xml:space="preserve"> czy sektor</w:t>
      </w:r>
      <w:r w:rsidR="00B3456A">
        <w:t>ze</w:t>
      </w:r>
      <w:r w:rsidRPr="0054565D">
        <w:t xml:space="preserve"> przemysłów kreatywnych, ale także </w:t>
      </w:r>
      <w:r w:rsidR="00B3456A">
        <w:t xml:space="preserve">w </w:t>
      </w:r>
      <w:r w:rsidRPr="0054565D">
        <w:t>sektorach tradycyjnych. Wśród klastrów działających</w:t>
      </w:r>
      <w:r w:rsidR="006343E1">
        <w:t xml:space="preserve"> </w:t>
      </w:r>
      <w:r w:rsidR="006343E1" w:rsidRPr="0054565D">
        <w:t>w</w:t>
      </w:r>
      <w:r w:rsidR="006343E1">
        <w:t> </w:t>
      </w:r>
      <w:r w:rsidRPr="0054565D">
        <w:t xml:space="preserve">sektorach tradycyjnych </w:t>
      </w:r>
      <w:r w:rsidR="00E13B02" w:rsidRPr="0054565D">
        <w:t xml:space="preserve">należy </w:t>
      </w:r>
      <w:r w:rsidRPr="0054565D">
        <w:t>wymienić</w:t>
      </w:r>
      <w:r w:rsidR="00E13B02">
        <w:t>:</w:t>
      </w:r>
      <w:r w:rsidRPr="0054565D">
        <w:t xml:space="preserve"> klaster drzewny, klastry przemysłu meblowego, klaster budowlany, klaster surowcowy, klaster obróbki metalu, klaster zdrowej żywności, klastry jakości życia oraz klastry turystyczne.</w:t>
      </w:r>
      <w:r w:rsidRPr="00254AB9">
        <w:t xml:space="preserve"> </w:t>
      </w:r>
    </w:p>
    <w:p w14:paraId="6D975F30" w14:textId="29B9E8DB" w:rsidR="00695D76" w:rsidRPr="008F21C9" w:rsidRDefault="00695D76" w:rsidP="00FA6094">
      <w:pPr>
        <w:rPr>
          <w:b/>
          <w:sz w:val="21"/>
          <w:szCs w:val="21"/>
        </w:rPr>
      </w:pPr>
      <w:r w:rsidRPr="008F21C9">
        <w:rPr>
          <w:b/>
          <w:sz w:val="21"/>
          <w:szCs w:val="21"/>
        </w:rPr>
        <w:t>Rys</w:t>
      </w:r>
      <w:r w:rsidR="00B3456A">
        <w:rPr>
          <w:b/>
          <w:sz w:val="21"/>
          <w:szCs w:val="21"/>
        </w:rPr>
        <w:t>.</w:t>
      </w:r>
      <w:r w:rsidRPr="008F21C9">
        <w:rPr>
          <w:b/>
          <w:sz w:val="21"/>
          <w:szCs w:val="21"/>
        </w:rPr>
        <w:t xml:space="preserve"> </w:t>
      </w:r>
      <w:r w:rsidR="000935B2">
        <w:rPr>
          <w:b/>
          <w:sz w:val="21"/>
          <w:szCs w:val="21"/>
        </w:rPr>
        <w:t>2</w:t>
      </w:r>
      <w:r w:rsidRPr="008F21C9">
        <w:rPr>
          <w:b/>
          <w:sz w:val="21"/>
          <w:szCs w:val="21"/>
        </w:rPr>
        <w:t>. Rozkład geograficzny</w:t>
      </w:r>
      <w:r w:rsidR="006343E1">
        <w:rPr>
          <w:b/>
          <w:sz w:val="21"/>
          <w:szCs w:val="21"/>
        </w:rPr>
        <w:t xml:space="preserve"> </w:t>
      </w:r>
      <w:r w:rsidR="006343E1" w:rsidRPr="008F21C9">
        <w:rPr>
          <w:b/>
          <w:sz w:val="21"/>
          <w:szCs w:val="21"/>
        </w:rPr>
        <w:t>i</w:t>
      </w:r>
      <w:r w:rsidR="006343E1">
        <w:rPr>
          <w:b/>
          <w:sz w:val="21"/>
          <w:szCs w:val="21"/>
        </w:rPr>
        <w:t> </w:t>
      </w:r>
      <w:r w:rsidRPr="008F21C9">
        <w:rPr>
          <w:b/>
          <w:sz w:val="21"/>
          <w:szCs w:val="21"/>
        </w:rPr>
        <w:t>liczebność klastrów</w:t>
      </w:r>
      <w:r w:rsidR="006343E1">
        <w:rPr>
          <w:b/>
          <w:sz w:val="21"/>
          <w:szCs w:val="21"/>
        </w:rPr>
        <w:t xml:space="preserve"> </w:t>
      </w:r>
      <w:r w:rsidR="006343E1" w:rsidRPr="008F21C9">
        <w:rPr>
          <w:b/>
          <w:sz w:val="21"/>
          <w:szCs w:val="21"/>
        </w:rPr>
        <w:t>w</w:t>
      </w:r>
      <w:r w:rsidR="006343E1">
        <w:rPr>
          <w:b/>
          <w:sz w:val="21"/>
          <w:szCs w:val="21"/>
        </w:rPr>
        <w:t> </w:t>
      </w:r>
      <w:r w:rsidRPr="008F21C9">
        <w:rPr>
          <w:b/>
          <w:sz w:val="21"/>
          <w:szCs w:val="21"/>
        </w:rPr>
        <w:t>poszczególnych województwach</w:t>
      </w:r>
      <w:r w:rsidR="00BB211E" w:rsidRPr="008F21C9">
        <w:rPr>
          <w:b/>
          <w:sz w:val="21"/>
          <w:szCs w:val="21"/>
        </w:rPr>
        <w:t>*</w:t>
      </w:r>
    </w:p>
    <w:p w14:paraId="632B9ACA" w14:textId="5C26DDBE" w:rsidR="00BB211E" w:rsidRDefault="007868A7" w:rsidP="00695D76">
      <w:pPr>
        <w:autoSpaceDE w:val="0"/>
        <w:autoSpaceDN w:val="0"/>
        <w:adjustRightInd w:val="0"/>
        <w:spacing w:after="0" w:line="240" w:lineRule="auto"/>
        <w:rPr>
          <w:sz w:val="21"/>
          <w:szCs w:val="21"/>
        </w:rPr>
      </w:pPr>
      <w:r>
        <w:object w:dxaOrig="8700" w:dyaOrig="7800" w14:anchorId="17D50890">
          <v:shape id="_x0000_i1026" type="#_x0000_t75" style="width:295.5pt;height:259.5pt" o:ole="">
            <v:imagedata r:id="rId62" o:title=""/>
          </v:shape>
          <o:OLEObject Type="Embed" ProgID="PBrush" ShapeID="_x0000_i1026" DrawAspect="Content" ObjectID="_1719297190" r:id="rId63"/>
        </w:object>
      </w:r>
    </w:p>
    <w:p w14:paraId="1ADE1605" w14:textId="5A15A71A" w:rsidR="00BB211E" w:rsidRPr="008F21C9" w:rsidRDefault="00BB211E" w:rsidP="00D01FC4">
      <w:pPr>
        <w:pStyle w:val="Bezodstpw"/>
        <w:spacing w:after="0"/>
      </w:pPr>
      <w:r>
        <w:t>*</w:t>
      </w:r>
      <w:r w:rsidR="00B3456A">
        <w:t xml:space="preserve"> J</w:t>
      </w:r>
      <w:r w:rsidRPr="008F21C9">
        <w:t>edna kropka</w:t>
      </w:r>
      <w:r>
        <w:t xml:space="preserve"> odpowiada jednemu klastrowi</w:t>
      </w:r>
      <w:r w:rsidR="00B3456A">
        <w:t>.</w:t>
      </w:r>
      <w:r w:rsidRPr="008F21C9">
        <w:t xml:space="preserve"> </w:t>
      </w:r>
    </w:p>
    <w:p w14:paraId="54FF811A" w14:textId="77777777" w:rsidR="00BB211E" w:rsidRPr="00254AB9" w:rsidRDefault="00BB211E" w:rsidP="00D01FC4">
      <w:pPr>
        <w:pStyle w:val="Bezodstpw"/>
        <w:rPr>
          <w:rFonts w:cs="Calibri"/>
        </w:rPr>
      </w:pPr>
      <w:r w:rsidRPr="008F21C9">
        <w:t>Źródło: PARP (2016), s.</w:t>
      </w:r>
      <w:r w:rsidR="00B3456A">
        <w:t xml:space="preserve"> </w:t>
      </w:r>
      <w:r w:rsidRPr="008F21C9">
        <w:t>1</w:t>
      </w:r>
      <w:r w:rsidRPr="00D01FC4">
        <w:t>7</w:t>
      </w:r>
    </w:p>
    <w:p w14:paraId="6908A0A1" w14:textId="77777777" w:rsidR="000B3CE9" w:rsidRPr="00254AB9" w:rsidRDefault="000B3CE9" w:rsidP="003D6D53">
      <w:pPr>
        <w:pStyle w:val="Nagwek2"/>
      </w:pPr>
      <w:bookmarkStart w:id="79" w:name="_Toc511921177"/>
      <w:bookmarkStart w:id="80" w:name="_Toc31808509"/>
      <w:bookmarkStart w:id="81" w:name="_Toc106968792"/>
      <w:r w:rsidRPr="00254AB9">
        <w:t xml:space="preserve">Instytucje wspierające rozwój sektora </w:t>
      </w:r>
      <w:r w:rsidR="00F46A27" w:rsidRPr="00254AB9">
        <w:t>przedsiębiorstw</w:t>
      </w:r>
      <w:bookmarkEnd w:id="79"/>
      <w:bookmarkEnd w:id="80"/>
      <w:bookmarkEnd w:id="81"/>
    </w:p>
    <w:p w14:paraId="0B0726B2" w14:textId="377E7C00" w:rsidR="000B3CE9" w:rsidRPr="00254AB9" w:rsidRDefault="000B3CE9" w:rsidP="00D01FC4">
      <w:r w:rsidRPr="00254AB9">
        <w:t>Ważnym czynnikiem rozwoju sektora przemysłu,</w:t>
      </w:r>
      <w:r w:rsidR="006343E1">
        <w:t xml:space="preserve"> </w:t>
      </w:r>
      <w:r w:rsidR="006343E1" w:rsidRPr="00254AB9">
        <w:t>a</w:t>
      </w:r>
      <w:r w:rsidR="006343E1">
        <w:t> </w:t>
      </w:r>
      <w:r w:rsidRPr="00254AB9">
        <w:t xml:space="preserve">szerzej całego sektora przedsiębiorstw pozostają tzw. </w:t>
      </w:r>
      <w:r w:rsidR="00E13B02">
        <w:t>i</w:t>
      </w:r>
      <w:r w:rsidRPr="00254AB9">
        <w:t xml:space="preserve">nstytucje </w:t>
      </w:r>
      <w:r w:rsidR="00E13B02">
        <w:t>o</w:t>
      </w:r>
      <w:r w:rsidRPr="00254AB9">
        <w:t xml:space="preserve">toczenia </w:t>
      </w:r>
      <w:r w:rsidR="00E13B02">
        <w:t>b</w:t>
      </w:r>
      <w:r w:rsidRPr="00254AB9">
        <w:t>iznesu, zarówno te</w:t>
      </w:r>
      <w:r w:rsidR="00E13B02">
        <w:t>, które</w:t>
      </w:r>
      <w:r w:rsidRPr="00254AB9">
        <w:t xml:space="preserve"> wspierają wdrażani</w:t>
      </w:r>
      <w:r w:rsidR="00B47121" w:rsidRPr="00254AB9">
        <w:t>e</w:t>
      </w:r>
      <w:r w:rsidRPr="00254AB9">
        <w:t xml:space="preserve"> innowacji, rozwój przedsiębiorstw i</w:t>
      </w:r>
      <w:r w:rsidR="004F0234" w:rsidRPr="00254AB9">
        <w:t> </w:t>
      </w:r>
      <w:r w:rsidRPr="00254AB9">
        <w:t>przedsiębiorczości (w tym również poprzez działalność szkoleniowo-doradczą)</w:t>
      </w:r>
      <w:r w:rsidR="00E13B02">
        <w:t>, jak i</w:t>
      </w:r>
      <w:r w:rsidRPr="00254AB9">
        <w:t xml:space="preserve"> podmioty zapewniające zarówno preferencyjne</w:t>
      </w:r>
      <w:r w:rsidR="00E13B02">
        <w:t>,</w:t>
      </w:r>
      <w:r w:rsidRPr="00254AB9">
        <w:t xml:space="preserve"> jak</w:t>
      </w:r>
      <w:r w:rsidR="006343E1">
        <w:t xml:space="preserve"> </w:t>
      </w:r>
      <w:r w:rsidR="006343E1" w:rsidRPr="00254AB9">
        <w:t>i</w:t>
      </w:r>
      <w:r w:rsidR="006343E1">
        <w:t> </w:t>
      </w:r>
      <w:r w:rsidRPr="00254AB9">
        <w:t xml:space="preserve">rynkowe finansowanie działalności bieżącej oraz inwestycyjnej. </w:t>
      </w:r>
    </w:p>
    <w:p w14:paraId="2C6424DA" w14:textId="311283A4" w:rsidR="000B3CE9" w:rsidRPr="00254AB9" w:rsidRDefault="000B3CE9" w:rsidP="00D01FC4">
      <w:r w:rsidRPr="00254AB9">
        <w:t>Jak wynika</w:t>
      </w:r>
      <w:r w:rsidR="006343E1">
        <w:t xml:space="preserve"> </w:t>
      </w:r>
      <w:r w:rsidR="006343E1" w:rsidRPr="00254AB9">
        <w:t>z</w:t>
      </w:r>
      <w:r w:rsidR="006343E1">
        <w:t> </w:t>
      </w:r>
      <w:r w:rsidRPr="00254AB9">
        <w:t>raportów przygotowywanych przez Stowarzyszenie Organizatorów Ośrodków Innowacji i</w:t>
      </w:r>
      <w:r w:rsidR="004F0234" w:rsidRPr="00254AB9">
        <w:t> </w:t>
      </w:r>
      <w:r w:rsidRPr="00254AB9">
        <w:t>Przedsiębiorczości</w:t>
      </w:r>
      <w:r w:rsidR="006343E1">
        <w:t xml:space="preserve"> </w:t>
      </w:r>
      <w:r w:rsidR="006343E1" w:rsidRPr="00254AB9">
        <w:t>w</w:t>
      </w:r>
      <w:r w:rsidR="006343E1">
        <w:t> </w:t>
      </w:r>
      <w:r w:rsidRPr="00254AB9">
        <w:t>Polsce (SOOIPP</w:t>
      </w:r>
      <w:r w:rsidR="004F0234" w:rsidRPr="00254AB9">
        <w:t>, 2018</w:t>
      </w:r>
      <w:r w:rsidRPr="00254AB9">
        <w:t>),</w:t>
      </w:r>
      <w:r w:rsidR="006343E1">
        <w:t xml:space="preserve"> </w:t>
      </w:r>
      <w:r w:rsidR="006343E1" w:rsidRPr="00254AB9">
        <w:t>w</w:t>
      </w:r>
      <w:r w:rsidR="006343E1">
        <w:t> </w:t>
      </w:r>
      <w:r w:rsidRPr="00254AB9">
        <w:t xml:space="preserve">Polsce istnieje </w:t>
      </w:r>
      <w:r w:rsidRPr="00254AB9">
        <w:rPr>
          <w:b/>
        </w:rPr>
        <w:t>ok. 150 podmiotów</w:t>
      </w:r>
      <w:r w:rsidRPr="00254AB9">
        <w:t xml:space="preserve"> działających</w:t>
      </w:r>
      <w:r w:rsidR="006343E1">
        <w:t xml:space="preserve"> </w:t>
      </w:r>
      <w:r w:rsidR="006343E1" w:rsidRPr="00254AB9">
        <w:t>w</w:t>
      </w:r>
      <w:r w:rsidR="006343E1">
        <w:t> </w:t>
      </w:r>
      <w:r w:rsidRPr="00254AB9">
        <w:t>obszarze wsparcia innowacji technicznej</w:t>
      </w:r>
      <w:r w:rsidR="006343E1">
        <w:t xml:space="preserve"> </w:t>
      </w:r>
      <w:r w:rsidR="006343E1" w:rsidRPr="00254AB9">
        <w:t>i</w:t>
      </w:r>
      <w:r w:rsidR="006343E1">
        <w:t> </w:t>
      </w:r>
      <w:r w:rsidRPr="00254AB9">
        <w:t>technologicznej:</w:t>
      </w:r>
    </w:p>
    <w:p w14:paraId="18E67CCA" w14:textId="50C12667" w:rsidR="000B3CE9" w:rsidRPr="00254AB9" w:rsidRDefault="000B3CE9" w:rsidP="00A9445F">
      <w:pPr>
        <w:numPr>
          <w:ilvl w:val="0"/>
          <w:numId w:val="6"/>
        </w:numPr>
      </w:pPr>
      <w:r w:rsidRPr="00254AB9">
        <w:t xml:space="preserve">46 </w:t>
      </w:r>
      <w:r w:rsidR="00E13B02">
        <w:t>c</w:t>
      </w:r>
      <w:r w:rsidRPr="00254AB9">
        <w:t xml:space="preserve">entrów </w:t>
      </w:r>
      <w:r w:rsidR="00E13B02">
        <w:t>i</w:t>
      </w:r>
      <w:r w:rsidRPr="00254AB9">
        <w:t>nnowacji,</w:t>
      </w:r>
    </w:p>
    <w:p w14:paraId="5D4E10B2" w14:textId="43D8AEE1" w:rsidR="000B3CE9" w:rsidRPr="00254AB9" w:rsidRDefault="000B3CE9" w:rsidP="00A9445F">
      <w:pPr>
        <w:numPr>
          <w:ilvl w:val="0"/>
          <w:numId w:val="6"/>
        </w:numPr>
      </w:pPr>
      <w:r w:rsidRPr="00254AB9">
        <w:t xml:space="preserve">37 </w:t>
      </w:r>
      <w:r w:rsidR="00E13B02">
        <w:t>c</w:t>
      </w:r>
      <w:r w:rsidRPr="00254AB9">
        <w:t xml:space="preserve">entrów </w:t>
      </w:r>
      <w:r w:rsidR="00E13B02">
        <w:t>t</w:t>
      </w:r>
      <w:r w:rsidRPr="00254AB9">
        <w:t xml:space="preserve">ransferu </w:t>
      </w:r>
      <w:r w:rsidR="00E13B02">
        <w:t>i</w:t>
      </w:r>
      <w:r w:rsidRPr="00254AB9">
        <w:t>nnowacji,</w:t>
      </w:r>
    </w:p>
    <w:p w14:paraId="16E3692A" w14:textId="0601295B" w:rsidR="000B3CE9" w:rsidRPr="00254AB9" w:rsidRDefault="000B3CE9" w:rsidP="00A9445F">
      <w:pPr>
        <w:numPr>
          <w:ilvl w:val="0"/>
          <w:numId w:val="6"/>
        </w:numPr>
      </w:pPr>
      <w:r w:rsidRPr="00254AB9">
        <w:t xml:space="preserve">22 </w:t>
      </w:r>
      <w:r w:rsidR="00E13B02">
        <w:t>i</w:t>
      </w:r>
      <w:r w:rsidRPr="00254AB9">
        <w:t xml:space="preserve">nkubatory </w:t>
      </w:r>
      <w:r w:rsidR="00E13B02">
        <w:t>t</w:t>
      </w:r>
      <w:r w:rsidRPr="00254AB9">
        <w:t>echnologiczne,</w:t>
      </w:r>
    </w:p>
    <w:p w14:paraId="2D462456" w14:textId="13AB87B2" w:rsidR="000B3CE9" w:rsidRPr="00254AB9" w:rsidRDefault="000B3CE9" w:rsidP="00A9445F">
      <w:pPr>
        <w:numPr>
          <w:ilvl w:val="0"/>
          <w:numId w:val="6"/>
        </w:numPr>
      </w:pPr>
      <w:r w:rsidRPr="00254AB9">
        <w:t xml:space="preserve">39 </w:t>
      </w:r>
      <w:r w:rsidR="00E13B02">
        <w:t>p</w:t>
      </w:r>
      <w:r w:rsidRPr="00254AB9">
        <w:t xml:space="preserve">arków </w:t>
      </w:r>
      <w:r w:rsidR="00E13B02">
        <w:t>t</w:t>
      </w:r>
      <w:r w:rsidRPr="00254AB9">
        <w:t>echnologicznych.</w:t>
      </w:r>
    </w:p>
    <w:p w14:paraId="76ECB3EE" w14:textId="20B85611" w:rsidR="000B3CE9" w:rsidRPr="00254AB9" w:rsidRDefault="000B3CE9" w:rsidP="00D01FC4">
      <w:r w:rsidRPr="00254AB9">
        <w:t xml:space="preserve">Ich działalność </w:t>
      </w:r>
      <w:r w:rsidR="00E13B02" w:rsidRPr="00254AB9">
        <w:t xml:space="preserve">jest </w:t>
      </w:r>
      <w:r w:rsidRPr="00254AB9">
        <w:t>wspomagana również przez ośrodki wspierające rozwój przedsiębiorczości oraz przedsiębiorstw (poprzez m.in. prowadzone szkolenia</w:t>
      </w:r>
      <w:r w:rsidR="006343E1">
        <w:t xml:space="preserve"> </w:t>
      </w:r>
      <w:r w:rsidR="006343E1" w:rsidRPr="00254AB9">
        <w:t>i</w:t>
      </w:r>
      <w:r w:rsidR="006343E1">
        <w:t> </w:t>
      </w:r>
      <w:r w:rsidRPr="00254AB9">
        <w:t xml:space="preserve">doradztwo). Dane SOOIPP wskazują, </w:t>
      </w:r>
      <w:r w:rsidR="00E13B02">
        <w:t>że</w:t>
      </w:r>
      <w:r w:rsidRPr="00254AB9">
        <w:t xml:space="preserve"> jest to łącznie </w:t>
      </w:r>
      <w:r w:rsidRPr="00254AB9">
        <w:rPr>
          <w:b/>
        </w:rPr>
        <w:t xml:space="preserve">ok. </w:t>
      </w:r>
      <w:r w:rsidR="00550B7C" w:rsidRPr="000C5EEF">
        <w:rPr>
          <w:b/>
        </w:rPr>
        <w:t>4</w:t>
      </w:r>
      <w:r w:rsidR="00896B58" w:rsidRPr="000C5EEF">
        <w:rPr>
          <w:b/>
        </w:rPr>
        <w:t>1</w:t>
      </w:r>
      <w:r w:rsidR="00550B7C" w:rsidRPr="000C5EEF">
        <w:rPr>
          <w:b/>
        </w:rPr>
        <w:t>0</w:t>
      </w:r>
      <w:r w:rsidRPr="00254AB9">
        <w:rPr>
          <w:b/>
        </w:rPr>
        <w:t xml:space="preserve"> podmiotów</w:t>
      </w:r>
      <w:r w:rsidRPr="00254AB9">
        <w:t>:</w:t>
      </w:r>
    </w:p>
    <w:p w14:paraId="71BFB69B" w14:textId="6DA01DA2" w:rsidR="000B3CE9" w:rsidRPr="00254AB9" w:rsidRDefault="00E13B02" w:rsidP="00A9445F">
      <w:pPr>
        <w:numPr>
          <w:ilvl w:val="0"/>
          <w:numId w:val="7"/>
        </w:numPr>
      </w:pPr>
      <w:r>
        <w:t>o</w:t>
      </w:r>
      <w:r w:rsidR="000B3CE9" w:rsidRPr="00254AB9">
        <w:t xml:space="preserve">k. 110 </w:t>
      </w:r>
      <w:r>
        <w:t>i</w:t>
      </w:r>
      <w:r w:rsidR="000B3CE9" w:rsidRPr="00254AB9">
        <w:t xml:space="preserve">nkubatorów </w:t>
      </w:r>
      <w:r>
        <w:t>p</w:t>
      </w:r>
      <w:r w:rsidR="000B3CE9" w:rsidRPr="00254AB9">
        <w:t xml:space="preserve">rzedsiębiorczości (w tym ok. 60 </w:t>
      </w:r>
      <w:r>
        <w:t>a</w:t>
      </w:r>
      <w:r w:rsidR="000B3CE9" w:rsidRPr="00254AB9">
        <w:t xml:space="preserve">kademickich </w:t>
      </w:r>
      <w:r>
        <w:t>i</w:t>
      </w:r>
      <w:r w:rsidR="000B3CE9" w:rsidRPr="00254AB9">
        <w:t xml:space="preserve">nkubatorów </w:t>
      </w:r>
      <w:r>
        <w:t>p</w:t>
      </w:r>
      <w:r w:rsidR="000B3CE9" w:rsidRPr="00254AB9">
        <w:t xml:space="preserve">rzedsiębiorczości lub </w:t>
      </w:r>
      <w:r>
        <w:t>a</w:t>
      </w:r>
      <w:r w:rsidR="000B3CE9" w:rsidRPr="00254AB9">
        <w:t xml:space="preserve">kademickich </w:t>
      </w:r>
      <w:r>
        <w:t>p</w:t>
      </w:r>
      <w:r w:rsidR="000B3CE9" w:rsidRPr="00254AB9">
        <w:t>reinkubator</w:t>
      </w:r>
      <w:r w:rsidR="000F630E">
        <w:t>ów</w:t>
      </w:r>
      <w:r w:rsidR="000B3CE9" w:rsidRPr="00254AB9">
        <w:t xml:space="preserve"> </w:t>
      </w:r>
      <w:r w:rsidR="000F630E">
        <w:t>p</w:t>
      </w:r>
      <w:r w:rsidR="000B3CE9" w:rsidRPr="00254AB9">
        <w:t>rzedsiębiorczości,</w:t>
      </w:r>
    </w:p>
    <w:p w14:paraId="62CD4FF8" w14:textId="6FE508F3" w:rsidR="000B3CE9" w:rsidRPr="00254AB9" w:rsidRDefault="000B3CE9" w:rsidP="00A9445F">
      <w:pPr>
        <w:numPr>
          <w:ilvl w:val="0"/>
          <w:numId w:val="7"/>
        </w:numPr>
      </w:pPr>
      <w:r w:rsidRPr="00254AB9">
        <w:lastRenderedPageBreak/>
        <w:t xml:space="preserve">250 </w:t>
      </w:r>
      <w:r w:rsidR="000F630E">
        <w:t>o</w:t>
      </w:r>
      <w:r w:rsidRPr="00254AB9">
        <w:t xml:space="preserve">środków </w:t>
      </w:r>
      <w:r w:rsidR="000F630E">
        <w:t>s</w:t>
      </w:r>
      <w:r w:rsidRPr="00254AB9">
        <w:t>zkoleniowo-</w:t>
      </w:r>
      <w:r w:rsidR="000F630E">
        <w:t>d</w:t>
      </w:r>
      <w:r w:rsidRPr="00254AB9">
        <w:t>oradczych</w:t>
      </w:r>
      <w:r w:rsidR="000F630E">
        <w:t>,</w:t>
      </w:r>
      <w:r w:rsidRPr="00254AB9">
        <w:t xml:space="preserve"> </w:t>
      </w:r>
    </w:p>
    <w:p w14:paraId="7981BA14" w14:textId="40953A0E" w:rsidR="000B3CE9" w:rsidRPr="002D719B" w:rsidRDefault="00E13B02" w:rsidP="00A9445F">
      <w:pPr>
        <w:numPr>
          <w:ilvl w:val="0"/>
          <w:numId w:val="7"/>
        </w:numPr>
      </w:pPr>
      <w:r>
        <w:t>o</w:t>
      </w:r>
      <w:r w:rsidR="00550B7C" w:rsidRPr="000C5EEF">
        <w:t>k. 60 agencji rozwoju regionalnego</w:t>
      </w:r>
      <w:r w:rsidR="006343E1">
        <w:t xml:space="preserve"> </w:t>
      </w:r>
      <w:r w:rsidR="006343E1" w:rsidRPr="000C5EEF">
        <w:t>i</w:t>
      </w:r>
      <w:r w:rsidR="006343E1">
        <w:t> </w:t>
      </w:r>
      <w:r w:rsidR="00550B7C" w:rsidRPr="000C5EEF">
        <w:t>lokalnego</w:t>
      </w:r>
      <w:r>
        <w:t>.</w:t>
      </w:r>
    </w:p>
    <w:p w14:paraId="00CC7B12" w14:textId="77777777" w:rsidR="00B329B4" w:rsidRPr="00254AB9" w:rsidRDefault="00B329B4" w:rsidP="00D01FC4"/>
    <w:p w14:paraId="3F9A00EF" w14:textId="37E0F497" w:rsidR="000B3CE9" w:rsidRPr="00254AB9" w:rsidRDefault="000B3CE9" w:rsidP="00D01FC4">
      <w:r w:rsidRPr="00254AB9">
        <w:t xml:space="preserve">Należy podkreślić, </w:t>
      </w:r>
      <w:r w:rsidR="000F630E">
        <w:t>że</w:t>
      </w:r>
      <w:r w:rsidRPr="00254AB9">
        <w:t xml:space="preserve"> jedynie niewielka część spośród ww. instytucji otoczenia biznesu jest certyfikowana przez Polską Agencję Rozwoju Przedsiębiorczości, Stowarzyszenie Organizatorów Ośrodków Innowacji</w:t>
      </w:r>
      <w:r w:rsidR="006343E1">
        <w:t xml:space="preserve"> </w:t>
      </w:r>
      <w:r w:rsidR="006343E1" w:rsidRPr="00254AB9">
        <w:t>i</w:t>
      </w:r>
      <w:r w:rsidR="006343E1">
        <w:t> </w:t>
      </w:r>
      <w:r w:rsidRPr="00254AB9">
        <w:t>Przedsiębiorczości</w:t>
      </w:r>
      <w:r w:rsidR="006343E1">
        <w:t xml:space="preserve"> </w:t>
      </w:r>
      <w:r w:rsidR="006343E1" w:rsidRPr="00254AB9">
        <w:t>w</w:t>
      </w:r>
      <w:r w:rsidR="006343E1">
        <w:t> </w:t>
      </w:r>
      <w:r w:rsidRPr="00254AB9">
        <w:t>Polsce lub Ministerstwo Przedsiębiorczości</w:t>
      </w:r>
      <w:r w:rsidR="006343E1">
        <w:t xml:space="preserve"> </w:t>
      </w:r>
      <w:r w:rsidR="006343E1" w:rsidRPr="00254AB9">
        <w:t>i</w:t>
      </w:r>
      <w:r w:rsidR="006343E1">
        <w:t> </w:t>
      </w:r>
      <w:r w:rsidRPr="00254AB9">
        <w:t>Technologii</w:t>
      </w:r>
      <w:r w:rsidRPr="00254AB9">
        <w:rPr>
          <w:rStyle w:val="Odwoanieprzypisudolnego"/>
          <w:rFonts w:cs="Calibri"/>
          <w:sz w:val="21"/>
          <w:szCs w:val="21"/>
        </w:rPr>
        <w:footnoteReference w:id="20"/>
      </w:r>
      <w:r w:rsidRPr="00254AB9">
        <w:t xml:space="preserve">. </w:t>
      </w:r>
    </w:p>
    <w:p w14:paraId="1222AECA" w14:textId="3C0137CB" w:rsidR="000B3CE9" w:rsidRPr="00254AB9" w:rsidRDefault="000B3CE9" w:rsidP="00D01FC4">
      <w:r w:rsidRPr="00254AB9">
        <w:t xml:space="preserve">Dodatkowo ważnym czynnikiem wzrostu zarówno dla całego sektora przemysłu, jak </w:t>
      </w:r>
      <w:r w:rsidR="008E6AE2">
        <w:t>i dla</w:t>
      </w:r>
      <w:r w:rsidRPr="00254AB9">
        <w:t xml:space="preserve"> pozostałych gałęzi krajowej gospodarki pozostają instytucje finansowe (zarówno bankowe</w:t>
      </w:r>
      <w:r w:rsidR="008E6AE2">
        <w:t>,</w:t>
      </w:r>
      <w:r w:rsidRPr="00254AB9">
        <w:t xml:space="preserve"> jak i pozabankowe). Ich rolą jest dostarczanie kapitału niezbędnego zarówno do finansowania bieżącej działalności podmiotów</w:t>
      </w:r>
      <w:r w:rsidR="008E6AE2">
        <w:t>,</w:t>
      </w:r>
      <w:r w:rsidRPr="00254AB9">
        <w:t xml:space="preserve"> jak również </w:t>
      </w:r>
      <w:r w:rsidR="008E6AE2">
        <w:t>działalności</w:t>
      </w:r>
      <w:r w:rsidR="006343E1">
        <w:t xml:space="preserve"> </w:t>
      </w:r>
      <w:r w:rsidR="006343E1" w:rsidRPr="00254AB9">
        <w:t>o</w:t>
      </w:r>
      <w:r w:rsidR="006343E1">
        <w:t> </w:t>
      </w:r>
      <w:r w:rsidRPr="00254AB9">
        <w:t>charakterze długoterminowym.</w:t>
      </w:r>
      <w:r w:rsidR="006343E1">
        <w:t xml:space="preserve"> </w:t>
      </w:r>
      <w:r w:rsidR="006343E1" w:rsidRPr="00254AB9">
        <w:t>W</w:t>
      </w:r>
      <w:r w:rsidR="006343E1">
        <w:t> </w:t>
      </w:r>
      <w:r w:rsidRPr="00254AB9">
        <w:t xml:space="preserve">tym obszarze działa ok. </w:t>
      </w:r>
      <w:r w:rsidRPr="00254AB9">
        <w:rPr>
          <w:b/>
        </w:rPr>
        <w:t>250 podmiotów pozabankowych dystrybuujących preferencyjne instrumenty finansowe</w:t>
      </w:r>
      <w:r w:rsidRPr="00254AB9">
        <w:t xml:space="preserve"> dla przedsiębiorstw, </w:t>
      </w:r>
      <w:r w:rsidRPr="00254AB9">
        <w:rPr>
          <w:b/>
        </w:rPr>
        <w:t>ok. 1 tys. podmiotów zaliczanych do tradycyjnego sektora finansowego</w:t>
      </w:r>
      <w:r w:rsidRPr="00254AB9">
        <w:t xml:space="preserve"> (banki, TFI, spółki leasingowe</w:t>
      </w:r>
      <w:r w:rsidR="006343E1">
        <w:t xml:space="preserve"> </w:t>
      </w:r>
      <w:r w:rsidR="006343E1" w:rsidRPr="00254AB9">
        <w:t>i</w:t>
      </w:r>
      <w:r w:rsidR="006343E1">
        <w:t> </w:t>
      </w:r>
      <w:r w:rsidRPr="00254AB9">
        <w:t xml:space="preserve">faktoringowe). </w:t>
      </w:r>
    </w:p>
    <w:p w14:paraId="579831C8" w14:textId="104271B9" w:rsidR="00B329B4" w:rsidRPr="00254AB9" w:rsidRDefault="000B3CE9" w:rsidP="00D01FC4">
      <w:r w:rsidRPr="00254AB9">
        <w:t xml:space="preserve">Jak wskazuje poniższa </w:t>
      </w:r>
      <w:r w:rsidR="004F0234" w:rsidRPr="00254AB9">
        <w:t>tabela</w:t>
      </w:r>
      <w:r w:rsidRPr="00254AB9">
        <w:t xml:space="preserve">, można zauważyć wyraźnie nierównomierny terytorialnie dostęp do wybranych </w:t>
      </w:r>
      <w:r w:rsidR="008E6AE2">
        <w:t>i</w:t>
      </w:r>
      <w:r w:rsidRPr="00254AB9">
        <w:t xml:space="preserve">nstytucji </w:t>
      </w:r>
      <w:r w:rsidR="008E6AE2">
        <w:t>o</w:t>
      </w:r>
      <w:r w:rsidRPr="00254AB9">
        <w:t xml:space="preserve">toczenia </w:t>
      </w:r>
      <w:r w:rsidR="008E6AE2">
        <w:t>b</w:t>
      </w:r>
      <w:r w:rsidRPr="00254AB9">
        <w:t>iznesu. Ta nierównowaga szans rozwojowych dotyczy zwłaszcza dostępności instytucji odpowiedzialnych za wsparcie</w:t>
      </w:r>
      <w:r w:rsidR="006343E1">
        <w:t xml:space="preserve"> </w:t>
      </w:r>
      <w:r w:rsidR="006343E1" w:rsidRPr="00254AB9">
        <w:t>w</w:t>
      </w:r>
      <w:r w:rsidR="006343E1">
        <w:t> </w:t>
      </w:r>
      <w:r w:rsidRPr="00254AB9">
        <w:t xml:space="preserve">obszarze innowacji technicznej i technologicznej. </w:t>
      </w:r>
    </w:p>
    <w:p w14:paraId="04BA9A8E" w14:textId="6011769C" w:rsidR="000B3CE9" w:rsidRPr="00254AB9" w:rsidRDefault="000B3CE9" w:rsidP="00D01FC4">
      <w:r w:rsidRPr="00254AB9">
        <w:t xml:space="preserve">Można zresztą podzielić polskie województwa na cztery wyraźne grupy: </w:t>
      </w:r>
    </w:p>
    <w:p w14:paraId="05C7E559" w14:textId="1900258D" w:rsidR="000B3CE9" w:rsidRPr="00254AB9" w:rsidRDefault="008E6AE2" w:rsidP="00A9445F">
      <w:pPr>
        <w:numPr>
          <w:ilvl w:val="0"/>
          <w:numId w:val="8"/>
        </w:numPr>
      </w:pPr>
      <w:r>
        <w:t>w</w:t>
      </w:r>
      <w:r w:rsidR="000B3CE9" w:rsidRPr="00254AB9">
        <w:t xml:space="preserve"> których liczba ww. instytucji wynosi co najmniej 15: małopolskie (16) oraz pomorskie (15)</w:t>
      </w:r>
    </w:p>
    <w:p w14:paraId="60B63DCE" w14:textId="55997BB4" w:rsidR="000B3CE9" w:rsidRPr="00254AB9" w:rsidRDefault="008E6AE2" w:rsidP="00A9445F">
      <w:pPr>
        <w:numPr>
          <w:ilvl w:val="0"/>
          <w:numId w:val="8"/>
        </w:numPr>
      </w:pPr>
      <w:r>
        <w:t>w</w:t>
      </w:r>
      <w:r w:rsidR="000B3CE9" w:rsidRPr="00254AB9">
        <w:t xml:space="preserve"> których liczba ww. instytucji wynosi 11</w:t>
      </w:r>
      <w:r>
        <w:rPr>
          <w:rFonts w:ascii="Times New Roman" w:hAnsi="Times New Roman" w:cs="Times New Roman"/>
        </w:rPr>
        <w:t>–</w:t>
      </w:r>
      <w:r w:rsidR="0063279D" w:rsidRPr="00254AB9">
        <w:t>14</w:t>
      </w:r>
      <w:r w:rsidR="000B3CE9" w:rsidRPr="00254AB9">
        <w:t>: dolnośląskie (11), mazowieckie (13), podkarpackie (13), śląskie (14) oraz wielkopolskie (14)</w:t>
      </w:r>
    </w:p>
    <w:p w14:paraId="4A6DE3B3" w14:textId="35FE5414" w:rsidR="000B3CE9" w:rsidRPr="00254AB9" w:rsidRDefault="008E6AE2" w:rsidP="00A9445F">
      <w:pPr>
        <w:numPr>
          <w:ilvl w:val="0"/>
          <w:numId w:val="8"/>
        </w:numPr>
      </w:pPr>
      <w:r>
        <w:t>w</w:t>
      </w:r>
      <w:r w:rsidR="000B3CE9" w:rsidRPr="00254AB9">
        <w:t xml:space="preserve"> których liczba ww. instytucji wynosi 7</w:t>
      </w:r>
      <w:r>
        <w:rPr>
          <w:rFonts w:ascii="Times New Roman" w:hAnsi="Times New Roman" w:cs="Times New Roman"/>
        </w:rPr>
        <w:t>–</w:t>
      </w:r>
      <w:r w:rsidR="0063279D" w:rsidRPr="00254AB9">
        <w:t>10</w:t>
      </w:r>
      <w:r w:rsidR="000B3CE9" w:rsidRPr="00254AB9">
        <w:t>: łódzkie (7), podlaskie (7), lubelskie (9)</w:t>
      </w:r>
    </w:p>
    <w:p w14:paraId="74C51806" w14:textId="78EC57C8" w:rsidR="000B3CE9" w:rsidRPr="00254AB9" w:rsidRDefault="008E6AE2" w:rsidP="00A9445F">
      <w:pPr>
        <w:numPr>
          <w:ilvl w:val="0"/>
          <w:numId w:val="8"/>
        </w:numPr>
      </w:pPr>
      <w:r>
        <w:t>w</w:t>
      </w:r>
      <w:r w:rsidR="000B3CE9" w:rsidRPr="00254AB9">
        <w:t xml:space="preserve"> których liczba ww. instytucji jest niższa niż 7: kujawsko-pomorskie (5), lubuskie (3), opolskie (4), świętokrzyskie (4), warmińsko-mazurskie (5) oraz zachodniopomorskie (4). </w:t>
      </w:r>
    </w:p>
    <w:p w14:paraId="4837A1C1" w14:textId="49406F1E" w:rsidR="000B3CE9" w:rsidRPr="00254AB9" w:rsidRDefault="000B3CE9" w:rsidP="00D01FC4">
      <w:r w:rsidRPr="00254AB9">
        <w:t>Dodatkowo należy pamiętać, ż</w:t>
      </w:r>
      <w:r w:rsidR="008E6AE2">
        <w:t>e</w:t>
      </w:r>
      <w:r w:rsidRPr="00254AB9">
        <w:t xml:space="preserve"> ww. instytucje są silnie skoncentrowane również</w:t>
      </w:r>
      <w:r w:rsidR="006343E1">
        <w:t xml:space="preserve"> </w:t>
      </w:r>
      <w:r w:rsidR="006343E1" w:rsidRPr="00254AB9">
        <w:t>w</w:t>
      </w:r>
      <w:r w:rsidR="006343E1">
        <w:t> </w:t>
      </w:r>
      <w:r w:rsidRPr="00254AB9">
        <w:t>największych miastach lub obszarach miejskich. Wśród liderów takiego zestawienia znajdziemy Kraków (12 instytucji), Poznań (11) oraz Warszawę (10). Silnie wyposażone</w:t>
      </w:r>
      <w:r w:rsidR="006343E1">
        <w:t xml:space="preserve"> </w:t>
      </w:r>
      <w:r w:rsidR="006343E1" w:rsidRPr="00254AB9">
        <w:t>w</w:t>
      </w:r>
      <w:r w:rsidR="006343E1">
        <w:t> </w:t>
      </w:r>
      <w:r w:rsidRPr="00254AB9">
        <w:t>instytucje wspierające rozwój są również Szczecin, Wrocław, Lublin oraz Łódź (w każdej znajduje się po 7 instytucji). Co do zasady można uznać, ż</w:t>
      </w:r>
      <w:r w:rsidR="008E6AE2">
        <w:t>e</w:t>
      </w:r>
      <w:r w:rsidRPr="00254AB9">
        <w:t xml:space="preserve"> takie instytucje </w:t>
      </w:r>
      <w:r w:rsidR="008E6AE2" w:rsidRPr="00254AB9">
        <w:t>są</w:t>
      </w:r>
      <w:r w:rsidRPr="00254AB9">
        <w:t xml:space="preserve"> lokowane </w:t>
      </w:r>
      <w:r w:rsidR="006343E1" w:rsidRPr="00254AB9">
        <w:t>w</w:t>
      </w:r>
      <w:r w:rsidR="006343E1">
        <w:t> </w:t>
      </w:r>
      <w:r w:rsidRPr="00254AB9">
        <w:t xml:space="preserve">miastach co najmniej 100 tys. (najczęściej równocześnie będących stolicą województwa lub siedzibą urzędu wojewódzkiego </w:t>
      </w:r>
      <w:r w:rsidR="008E6AE2">
        <w:t>lub</w:t>
      </w:r>
      <w:r w:rsidRPr="00254AB9">
        <w:t xml:space="preserve"> urzędu marszałkowskiego). </w:t>
      </w:r>
    </w:p>
    <w:p w14:paraId="19454175" w14:textId="4864DB1E" w:rsidR="000B3CE9" w:rsidRPr="00254AB9" w:rsidRDefault="00A7637E" w:rsidP="00027674">
      <w:pPr>
        <w:pStyle w:val="Nagwek4"/>
      </w:pPr>
      <w:bookmarkStart w:id="82" w:name="_Ref510016234"/>
      <w:r w:rsidRPr="006365AA">
        <w:t xml:space="preserve">Tabela </w:t>
      </w:r>
      <w:r w:rsidR="00311B4A">
        <w:rPr>
          <w:noProof/>
        </w:rPr>
        <w:t>8</w:t>
      </w:r>
      <w:r w:rsidRPr="006365AA">
        <w:t xml:space="preserve">. </w:t>
      </w:r>
      <w:bookmarkEnd w:id="82"/>
      <w:r w:rsidR="000B3CE9" w:rsidRPr="00254AB9">
        <w:t xml:space="preserve">Liczba wybranych instytucji </w:t>
      </w:r>
      <w:r w:rsidR="008E6AE2">
        <w:t>otoczenia biznesu</w:t>
      </w:r>
      <w:r w:rsidR="000B3CE9" w:rsidRPr="00254AB9">
        <w:t xml:space="preserve"> wg stanu na marzec 2018 r. (w układzie wojewódzkim)</w:t>
      </w:r>
    </w:p>
    <w:tbl>
      <w:tblPr>
        <w:tblW w:w="7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00"/>
        <w:gridCol w:w="709"/>
        <w:gridCol w:w="709"/>
        <w:gridCol w:w="708"/>
        <w:gridCol w:w="709"/>
        <w:gridCol w:w="708"/>
        <w:gridCol w:w="710"/>
        <w:gridCol w:w="710"/>
        <w:gridCol w:w="710"/>
      </w:tblGrid>
      <w:tr w:rsidR="00181A7D" w:rsidRPr="00254AB9" w14:paraId="799CD962" w14:textId="77777777" w:rsidTr="008F21C9">
        <w:trPr>
          <w:cantSplit/>
          <w:trHeight w:val="1959"/>
          <w:jc w:val="center"/>
        </w:trPr>
        <w:tc>
          <w:tcPr>
            <w:tcW w:w="2200" w:type="dxa"/>
            <w:tcBorders>
              <w:tl2br w:val="single" w:sz="4" w:space="0" w:color="auto"/>
            </w:tcBorders>
            <w:shd w:val="clear" w:color="DCE6F1" w:fill="DCE6F1"/>
            <w:noWrap/>
            <w:vAlign w:val="center"/>
            <w:hideMark/>
          </w:tcPr>
          <w:p w14:paraId="10ECDEE7" w14:textId="77777777" w:rsidR="000B3CE9" w:rsidRPr="00254AB9" w:rsidRDefault="000B3CE9" w:rsidP="00730223">
            <w:pPr>
              <w:spacing w:after="0" w:line="240" w:lineRule="auto"/>
              <w:rPr>
                <w:rFonts w:eastAsia="Times New Roman" w:cs="Calibri"/>
                <w:b/>
                <w:bCs/>
                <w:color w:val="000000"/>
                <w:sz w:val="21"/>
                <w:szCs w:val="21"/>
                <w:lang w:eastAsia="pl-PL"/>
              </w:rPr>
            </w:pPr>
            <w:r w:rsidRPr="00254AB9">
              <w:rPr>
                <w:rFonts w:eastAsia="Times New Roman" w:cs="Calibri"/>
                <w:b/>
                <w:bCs/>
                <w:color w:val="000000"/>
                <w:sz w:val="21"/>
                <w:szCs w:val="21"/>
                <w:lang w:eastAsia="pl-PL"/>
              </w:rPr>
              <w:t xml:space="preserve">           Rodzaj instytucji</w:t>
            </w:r>
          </w:p>
          <w:p w14:paraId="6A2FFCA3" w14:textId="77777777" w:rsidR="000B3CE9" w:rsidRPr="00254AB9" w:rsidRDefault="000B3CE9" w:rsidP="00730223">
            <w:pPr>
              <w:spacing w:after="0" w:line="240" w:lineRule="auto"/>
              <w:rPr>
                <w:rFonts w:eastAsia="Times New Roman" w:cs="Calibri"/>
                <w:b/>
                <w:bCs/>
                <w:color w:val="000000"/>
                <w:sz w:val="21"/>
                <w:szCs w:val="21"/>
                <w:lang w:eastAsia="pl-PL"/>
              </w:rPr>
            </w:pPr>
          </w:p>
          <w:p w14:paraId="4DFBE64F" w14:textId="77777777" w:rsidR="000B3CE9" w:rsidRPr="00254AB9" w:rsidRDefault="000B3CE9" w:rsidP="00730223">
            <w:pPr>
              <w:spacing w:after="0" w:line="240" w:lineRule="auto"/>
              <w:rPr>
                <w:rFonts w:eastAsia="Times New Roman" w:cs="Calibri"/>
                <w:b/>
                <w:bCs/>
                <w:color w:val="000000"/>
                <w:sz w:val="21"/>
                <w:szCs w:val="21"/>
                <w:lang w:eastAsia="pl-PL"/>
              </w:rPr>
            </w:pPr>
          </w:p>
          <w:p w14:paraId="53BF5085" w14:textId="77777777" w:rsidR="000B3CE9" w:rsidRPr="00254AB9" w:rsidRDefault="000B3CE9" w:rsidP="00730223">
            <w:pPr>
              <w:spacing w:after="0" w:line="240" w:lineRule="auto"/>
              <w:rPr>
                <w:rFonts w:eastAsia="Times New Roman" w:cs="Calibri"/>
                <w:b/>
                <w:bCs/>
                <w:color w:val="000000"/>
                <w:sz w:val="21"/>
                <w:szCs w:val="21"/>
                <w:lang w:eastAsia="pl-PL"/>
              </w:rPr>
            </w:pPr>
          </w:p>
          <w:p w14:paraId="6D80E6C4" w14:textId="77777777" w:rsidR="000B3CE9" w:rsidRPr="00254AB9" w:rsidRDefault="000B3CE9" w:rsidP="00730223">
            <w:pPr>
              <w:spacing w:after="0" w:line="240" w:lineRule="auto"/>
              <w:rPr>
                <w:rFonts w:eastAsia="Times New Roman" w:cs="Calibri"/>
                <w:b/>
                <w:bCs/>
                <w:color w:val="000000"/>
                <w:sz w:val="21"/>
                <w:szCs w:val="21"/>
                <w:lang w:eastAsia="pl-PL"/>
              </w:rPr>
            </w:pPr>
          </w:p>
          <w:p w14:paraId="0521CEFD" w14:textId="77777777" w:rsidR="000B3CE9" w:rsidRPr="00254AB9" w:rsidRDefault="000B3CE9" w:rsidP="00730223">
            <w:pPr>
              <w:spacing w:after="0" w:line="240" w:lineRule="auto"/>
              <w:rPr>
                <w:rFonts w:eastAsia="Times New Roman" w:cs="Calibri"/>
                <w:b/>
                <w:bCs/>
                <w:color w:val="000000"/>
                <w:sz w:val="21"/>
                <w:szCs w:val="21"/>
                <w:lang w:eastAsia="pl-PL"/>
              </w:rPr>
            </w:pPr>
            <w:r w:rsidRPr="00254AB9">
              <w:rPr>
                <w:rFonts w:eastAsia="Times New Roman" w:cs="Calibri"/>
                <w:b/>
                <w:bCs/>
                <w:color w:val="000000"/>
                <w:sz w:val="21"/>
                <w:szCs w:val="21"/>
                <w:lang w:eastAsia="pl-PL"/>
              </w:rPr>
              <w:t>Województwo</w:t>
            </w:r>
          </w:p>
        </w:tc>
        <w:tc>
          <w:tcPr>
            <w:tcW w:w="709" w:type="dxa"/>
            <w:shd w:val="clear" w:color="DCE6F1" w:fill="DCE6F1"/>
            <w:noWrap/>
            <w:textDirection w:val="btLr"/>
            <w:vAlign w:val="center"/>
            <w:hideMark/>
          </w:tcPr>
          <w:p w14:paraId="7D0E7508" w14:textId="63C87613" w:rsidR="000B3CE9" w:rsidRPr="00254AB9" w:rsidRDefault="008E6AE2" w:rsidP="00730223">
            <w:pPr>
              <w:spacing w:after="0" w:line="240" w:lineRule="auto"/>
              <w:ind w:left="57" w:right="57"/>
              <w:jc w:val="center"/>
              <w:rPr>
                <w:rFonts w:eastAsia="Times New Roman" w:cs="Calibri"/>
                <w:b/>
                <w:bCs/>
                <w:color w:val="000000"/>
                <w:sz w:val="21"/>
                <w:szCs w:val="21"/>
                <w:lang w:eastAsia="pl-PL"/>
              </w:rPr>
            </w:pPr>
            <w:r>
              <w:rPr>
                <w:rFonts w:eastAsia="Times New Roman" w:cs="Calibri"/>
                <w:b/>
                <w:bCs/>
                <w:color w:val="000000"/>
                <w:sz w:val="21"/>
                <w:szCs w:val="21"/>
                <w:lang w:eastAsia="pl-PL"/>
              </w:rPr>
              <w:t>f</w:t>
            </w:r>
            <w:r w:rsidR="000B3CE9" w:rsidRPr="00254AB9">
              <w:rPr>
                <w:rFonts w:eastAsia="Times New Roman" w:cs="Calibri"/>
                <w:b/>
                <w:bCs/>
                <w:color w:val="000000"/>
                <w:sz w:val="21"/>
                <w:szCs w:val="21"/>
                <w:lang w:eastAsia="pl-PL"/>
              </w:rPr>
              <w:t xml:space="preserve">undusze </w:t>
            </w:r>
            <w:r>
              <w:rPr>
                <w:rFonts w:eastAsia="Times New Roman" w:cs="Calibri"/>
                <w:b/>
                <w:bCs/>
                <w:color w:val="000000"/>
                <w:sz w:val="21"/>
                <w:szCs w:val="21"/>
                <w:lang w:eastAsia="pl-PL"/>
              </w:rPr>
              <w:t>k</w:t>
            </w:r>
            <w:r w:rsidR="000B3CE9" w:rsidRPr="00254AB9">
              <w:rPr>
                <w:rFonts w:eastAsia="Times New Roman" w:cs="Calibri"/>
                <w:b/>
                <w:bCs/>
                <w:color w:val="000000"/>
                <w:sz w:val="21"/>
                <w:szCs w:val="21"/>
                <w:lang w:eastAsia="pl-PL"/>
              </w:rPr>
              <w:t xml:space="preserve">apitału </w:t>
            </w:r>
            <w:r>
              <w:rPr>
                <w:rFonts w:eastAsia="Times New Roman" w:cs="Calibri"/>
                <w:b/>
                <w:bCs/>
                <w:color w:val="000000"/>
                <w:sz w:val="21"/>
                <w:szCs w:val="21"/>
                <w:lang w:eastAsia="pl-PL"/>
              </w:rPr>
              <w:t>z</w:t>
            </w:r>
            <w:r w:rsidR="000B3CE9" w:rsidRPr="00254AB9">
              <w:rPr>
                <w:rFonts w:eastAsia="Times New Roman" w:cs="Calibri"/>
                <w:b/>
                <w:bCs/>
                <w:color w:val="000000"/>
                <w:sz w:val="21"/>
                <w:szCs w:val="21"/>
                <w:lang w:eastAsia="pl-PL"/>
              </w:rPr>
              <w:t>alążkowego</w:t>
            </w:r>
          </w:p>
        </w:tc>
        <w:tc>
          <w:tcPr>
            <w:tcW w:w="709" w:type="dxa"/>
            <w:shd w:val="clear" w:color="DCE6F1" w:fill="DCE6F1"/>
            <w:noWrap/>
            <w:textDirection w:val="btLr"/>
            <w:vAlign w:val="center"/>
            <w:hideMark/>
          </w:tcPr>
          <w:p w14:paraId="2EACABCB" w14:textId="3CD25E30" w:rsidR="000B3CE9" w:rsidRPr="00254AB9" w:rsidRDefault="008E6AE2" w:rsidP="00730223">
            <w:pPr>
              <w:spacing w:after="0" w:line="240" w:lineRule="auto"/>
              <w:ind w:left="57" w:right="57"/>
              <w:jc w:val="center"/>
              <w:rPr>
                <w:rFonts w:eastAsia="Times New Roman" w:cs="Calibri"/>
                <w:b/>
                <w:bCs/>
                <w:color w:val="000000"/>
                <w:sz w:val="21"/>
                <w:szCs w:val="21"/>
                <w:lang w:eastAsia="pl-PL"/>
              </w:rPr>
            </w:pPr>
            <w:r>
              <w:rPr>
                <w:rFonts w:eastAsia="Times New Roman" w:cs="Calibri"/>
                <w:b/>
                <w:bCs/>
                <w:color w:val="000000"/>
                <w:sz w:val="21"/>
                <w:szCs w:val="21"/>
                <w:lang w:eastAsia="pl-PL"/>
              </w:rPr>
              <w:t>f</w:t>
            </w:r>
            <w:r w:rsidR="000B3CE9" w:rsidRPr="00254AB9">
              <w:rPr>
                <w:rFonts w:eastAsia="Times New Roman" w:cs="Calibri"/>
                <w:b/>
                <w:bCs/>
                <w:color w:val="000000"/>
                <w:sz w:val="21"/>
                <w:szCs w:val="21"/>
                <w:lang w:eastAsia="pl-PL"/>
              </w:rPr>
              <w:t xml:space="preserve">undusze </w:t>
            </w:r>
            <w:r>
              <w:rPr>
                <w:rFonts w:eastAsia="Times New Roman" w:cs="Calibri"/>
                <w:b/>
                <w:bCs/>
                <w:color w:val="000000"/>
                <w:sz w:val="21"/>
                <w:szCs w:val="21"/>
                <w:lang w:eastAsia="pl-PL"/>
              </w:rPr>
              <w:t>p</w:t>
            </w:r>
            <w:r w:rsidR="000B3CE9" w:rsidRPr="00254AB9">
              <w:rPr>
                <w:rFonts w:eastAsia="Times New Roman" w:cs="Calibri"/>
                <w:b/>
                <w:bCs/>
                <w:color w:val="000000"/>
                <w:sz w:val="21"/>
                <w:szCs w:val="21"/>
                <w:lang w:eastAsia="pl-PL"/>
              </w:rPr>
              <w:t xml:space="preserve">oręczeń </w:t>
            </w:r>
            <w:r>
              <w:rPr>
                <w:rFonts w:eastAsia="Times New Roman" w:cs="Calibri"/>
                <w:b/>
                <w:bCs/>
                <w:color w:val="000000"/>
                <w:sz w:val="21"/>
                <w:szCs w:val="21"/>
                <w:lang w:eastAsia="pl-PL"/>
              </w:rPr>
              <w:t>k</w:t>
            </w:r>
            <w:r w:rsidR="000B3CE9" w:rsidRPr="00254AB9">
              <w:rPr>
                <w:rFonts w:eastAsia="Times New Roman" w:cs="Calibri"/>
                <w:b/>
                <w:bCs/>
                <w:color w:val="000000"/>
                <w:sz w:val="21"/>
                <w:szCs w:val="21"/>
                <w:lang w:eastAsia="pl-PL"/>
              </w:rPr>
              <w:t>redytowych</w:t>
            </w:r>
          </w:p>
        </w:tc>
        <w:tc>
          <w:tcPr>
            <w:tcW w:w="708" w:type="dxa"/>
            <w:shd w:val="clear" w:color="DCE6F1" w:fill="DCE6F1"/>
            <w:noWrap/>
            <w:textDirection w:val="btLr"/>
            <w:vAlign w:val="center"/>
            <w:hideMark/>
          </w:tcPr>
          <w:p w14:paraId="31475633" w14:textId="68AF86F5" w:rsidR="000B3CE9" w:rsidRPr="00254AB9" w:rsidRDefault="008E6AE2" w:rsidP="00730223">
            <w:pPr>
              <w:spacing w:after="0" w:line="240" w:lineRule="auto"/>
              <w:ind w:left="57" w:right="57"/>
              <w:jc w:val="center"/>
              <w:rPr>
                <w:rFonts w:eastAsia="Times New Roman" w:cs="Calibri"/>
                <w:b/>
                <w:bCs/>
                <w:color w:val="000000"/>
                <w:sz w:val="21"/>
                <w:szCs w:val="21"/>
                <w:lang w:eastAsia="pl-PL"/>
              </w:rPr>
            </w:pPr>
            <w:r>
              <w:rPr>
                <w:rFonts w:eastAsia="Times New Roman" w:cs="Calibri"/>
                <w:b/>
                <w:bCs/>
                <w:color w:val="000000"/>
                <w:sz w:val="21"/>
                <w:szCs w:val="21"/>
                <w:lang w:eastAsia="pl-PL"/>
              </w:rPr>
              <w:t>f</w:t>
            </w:r>
            <w:r w:rsidR="000B3CE9" w:rsidRPr="00254AB9">
              <w:rPr>
                <w:rFonts w:eastAsia="Times New Roman" w:cs="Calibri"/>
                <w:b/>
                <w:bCs/>
                <w:color w:val="000000"/>
                <w:sz w:val="21"/>
                <w:szCs w:val="21"/>
                <w:lang w:eastAsia="pl-PL"/>
              </w:rPr>
              <w:t xml:space="preserve">undusze </w:t>
            </w:r>
            <w:r>
              <w:rPr>
                <w:rFonts w:eastAsia="Times New Roman" w:cs="Calibri"/>
                <w:b/>
                <w:bCs/>
                <w:color w:val="000000"/>
                <w:sz w:val="21"/>
                <w:szCs w:val="21"/>
                <w:lang w:eastAsia="pl-PL"/>
              </w:rPr>
              <w:t>p</w:t>
            </w:r>
            <w:r w:rsidR="000B3CE9" w:rsidRPr="00254AB9">
              <w:rPr>
                <w:rFonts w:eastAsia="Times New Roman" w:cs="Calibri"/>
                <w:b/>
                <w:bCs/>
                <w:color w:val="000000"/>
                <w:sz w:val="21"/>
                <w:szCs w:val="21"/>
                <w:lang w:eastAsia="pl-PL"/>
              </w:rPr>
              <w:t>ożyczkowe</w:t>
            </w:r>
          </w:p>
        </w:tc>
        <w:tc>
          <w:tcPr>
            <w:tcW w:w="709" w:type="dxa"/>
            <w:shd w:val="clear" w:color="DCE6F1" w:fill="DCE6F1"/>
            <w:noWrap/>
            <w:textDirection w:val="btLr"/>
            <w:vAlign w:val="center"/>
            <w:hideMark/>
          </w:tcPr>
          <w:p w14:paraId="18C2B8FF" w14:textId="0717D697" w:rsidR="000B3CE9" w:rsidRPr="00254AB9" w:rsidRDefault="008E6AE2" w:rsidP="00730223">
            <w:pPr>
              <w:spacing w:after="0" w:line="240" w:lineRule="auto"/>
              <w:ind w:left="57" w:right="57"/>
              <w:jc w:val="center"/>
              <w:rPr>
                <w:rFonts w:eastAsia="Times New Roman" w:cs="Calibri"/>
                <w:b/>
                <w:bCs/>
                <w:color w:val="000000"/>
                <w:sz w:val="21"/>
                <w:szCs w:val="21"/>
                <w:lang w:eastAsia="pl-PL"/>
              </w:rPr>
            </w:pPr>
            <w:r>
              <w:rPr>
                <w:rFonts w:eastAsia="Times New Roman" w:cs="Calibri"/>
                <w:b/>
                <w:bCs/>
                <w:color w:val="000000"/>
                <w:sz w:val="21"/>
                <w:szCs w:val="21"/>
                <w:lang w:eastAsia="pl-PL"/>
              </w:rPr>
              <w:t>i</w:t>
            </w:r>
            <w:r w:rsidR="000B3CE9" w:rsidRPr="00254AB9">
              <w:rPr>
                <w:rFonts w:eastAsia="Times New Roman" w:cs="Calibri"/>
                <w:b/>
                <w:bCs/>
                <w:color w:val="000000"/>
                <w:sz w:val="21"/>
                <w:szCs w:val="21"/>
                <w:lang w:eastAsia="pl-PL"/>
              </w:rPr>
              <w:t xml:space="preserve">nkubatory </w:t>
            </w:r>
            <w:r>
              <w:rPr>
                <w:rFonts w:eastAsia="Times New Roman" w:cs="Calibri"/>
                <w:b/>
                <w:bCs/>
                <w:color w:val="000000"/>
                <w:sz w:val="21"/>
                <w:szCs w:val="21"/>
                <w:lang w:eastAsia="pl-PL"/>
              </w:rPr>
              <w:t>p</w:t>
            </w:r>
            <w:r w:rsidR="000B3CE9" w:rsidRPr="00254AB9">
              <w:rPr>
                <w:rFonts w:eastAsia="Times New Roman" w:cs="Calibri"/>
                <w:b/>
                <w:bCs/>
                <w:color w:val="000000"/>
                <w:sz w:val="21"/>
                <w:szCs w:val="21"/>
                <w:lang w:eastAsia="pl-PL"/>
              </w:rPr>
              <w:t>rzedsiębiorczości</w:t>
            </w:r>
          </w:p>
        </w:tc>
        <w:tc>
          <w:tcPr>
            <w:tcW w:w="708" w:type="dxa"/>
            <w:shd w:val="clear" w:color="DCE6F1" w:fill="DCE6F1"/>
            <w:noWrap/>
            <w:textDirection w:val="btLr"/>
            <w:vAlign w:val="center"/>
            <w:hideMark/>
          </w:tcPr>
          <w:p w14:paraId="013FD9A5" w14:textId="4D4E681E" w:rsidR="000B3CE9" w:rsidRPr="00254AB9" w:rsidRDefault="008E6AE2" w:rsidP="00730223">
            <w:pPr>
              <w:spacing w:after="0" w:line="240" w:lineRule="auto"/>
              <w:ind w:left="57" w:right="57"/>
              <w:jc w:val="center"/>
              <w:rPr>
                <w:rFonts w:eastAsia="Times New Roman" w:cs="Calibri"/>
                <w:b/>
                <w:bCs/>
                <w:color w:val="000000"/>
                <w:sz w:val="21"/>
                <w:szCs w:val="21"/>
                <w:lang w:eastAsia="pl-PL"/>
              </w:rPr>
            </w:pPr>
            <w:r>
              <w:rPr>
                <w:rFonts w:eastAsia="Times New Roman" w:cs="Calibri"/>
                <w:b/>
                <w:bCs/>
                <w:color w:val="000000"/>
                <w:sz w:val="21"/>
                <w:szCs w:val="21"/>
                <w:lang w:eastAsia="pl-PL"/>
              </w:rPr>
              <w:t>i</w:t>
            </w:r>
            <w:r w:rsidR="000B3CE9" w:rsidRPr="00254AB9">
              <w:rPr>
                <w:rFonts w:eastAsia="Times New Roman" w:cs="Calibri"/>
                <w:b/>
                <w:bCs/>
                <w:color w:val="000000"/>
                <w:sz w:val="21"/>
                <w:szCs w:val="21"/>
                <w:lang w:eastAsia="pl-PL"/>
              </w:rPr>
              <w:t xml:space="preserve">nkubatory </w:t>
            </w:r>
            <w:r>
              <w:rPr>
                <w:rFonts w:eastAsia="Times New Roman" w:cs="Calibri"/>
                <w:b/>
                <w:bCs/>
                <w:color w:val="000000"/>
                <w:sz w:val="21"/>
                <w:szCs w:val="21"/>
                <w:lang w:eastAsia="pl-PL"/>
              </w:rPr>
              <w:t>t</w:t>
            </w:r>
            <w:r w:rsidR="000B3CE9" w:rsidRPr="00254AB9">
              <w:rPr>
                <w:rFonts w:eastAsia="Times New Roman" w:cs="Calibri"/>
                <w:b/>
                <w:bCs/>
                <w:color w:val="000000"/>
                <w:sz w:val="21"/>
                <w:szCs w:val="21"/>
                <w:lang w:eastAsia="pl-PL"/>
              </w:rPr>
              <w:t>echnologiczne</w:t>
            </w:r>
          </w:p>
        </w:tc>
        <w:tc>
          <w:tcPr>
            <w:tcW w:w="710" w:type="dxa"/>
            <w:shd w:val="clear" w:color="DCE6F1" w:fill="DCE6F1"/>
            <w:noWrap/>
            <w:textDirection w:val="btLr"/>
            <w:vAlign w:val="center"/>
            <w:hideMark/>
          </w:tcPr>
          <w:p w14:paraId="098D3B9A" w14:textId="395270B7" w:rsidR="000B3CE9" w:rsidRPr="00254AB9" w:rsidRDefault="008E6AE2" w:rsidP="00730223">
            <w:pPr>
              <w:spacing w:after="0" w:line="240" w:lineRule="auto"/>
              <w:ind w:left="57" w:right="57"/>
              <w:jc w:val="center"/>
              <w:rPr>
                <w:rFonts w:eastAsia="Times New Roman" w:cs="Calibri"/>
                <w:b/>
                <w:bCs/>
                <w:color w:val="000000"/>
                <w:sz w:val="21"/>
                <w:szCs w:val="21"/>
                <w:lang w:eastAsia="pl-PL"/>
              </w:rPr>
            </w:pPr>
            <w:r>
              <w:rPr>
                <w:rFonts w:eastAsia="Times New Roman" w:cs="Calibri"/>
                <w:b/>
                <w:bCs/>
                <w:color w:val="000000"/>
                <w:sz w:val="21"/>
                <w:szCs w:val="21"/>
                <w:lang w:eastAsia="pl-PL"/>
              </w:rPr>
              <w:t>p</w:t>
            </w:r>
            <w:r w:rsidR="000B3CE9" w:rsidRPr="00254AB9">
              <w:rPr>
                <w:rFonts w:eastAsia="Times New Roman" w:cs="Calibri"/>
                <w:b/>
                <w:bCs/>
                <w:color w:val="000000"/>
                <w:sz w:val="21"/>
                <w:szCs w:val="21"/>
                <w:lang w:eastAsia="pl-PL"/>
              </w:rPr>
              <w:t xml:space="preserve">arki </w:t>
            </w:r>
            <w:r>
              <w:rPr>
                <w:rFonts w:eastAsia="Times New Roman" w:cs="Calibri"/>
                <w:b/>
                <w:bCs/>
                <w:color w:val="000000"/>
                <w:sz w:val="21"/>
                <w:szCs w:val="21"/>
                <w:lang w:eastAsia="pl-PL"/>
              </w:rPr>
              <w:t>t</w:t>
            </w:r>
            <w:r w:rsidR="000B3CE9" w:rsidRPr="00254AB9">
              <w:rPr>
                <w:rFonts w:eastAsia="Times New Roman" w:cs="Calibri"/>
                <w:b/>
                <w:bCs/>
                <w:color w:val="000000"/>
                <w:sz w:val="21"/>
                <w:szCs w:val="21"/>
                <w:lang w:eastAsia="pl-PL"/>
              </w:rPr>
              <w:t>echnologiczne</w:t>
            </w:r>
          </w:p>
        </w:tc>
        <w:tc>
          <w:tcPr>
            <w:tcW w:w="710" w:type="dxa"/>
            <w:shd w:val="clear" w:color="DCE6F1" w:fill="DCE6F1"/>
            <w:textDirection w:val="btLr"/>
            <w:vAlign w:val="center"/>
          </w:tcPr>
          <w:p w14:paraId="0A344051" w14:textId="77777777" w:rsidR="000B3CE9" w:rsidRPr="00254AB9" w:rsidRDefault="000B3CE9" w:rsidP="00730223">
            <w:pPr>
              <w:spacing w:after="0" w:line="240" w:lineRule="auto"/>
              <w:ind w:left="57" w:right="57"/>
              <w:jc w:val="center"/>
              <w:rPr>
                <w:rFonts w:eastAsia="Times New Roman" w:cs="Calibri"/>
                <w:b/>
                <w:bCs/>
                <w:color w:val="000000"/>
                <w:sz w:val="21"/>
                <w:szCs w:val="21"/>
                <w:lang w:eastAsia="pl-PL"/>
              </w:rPr>
            </w:pPr>
            <w:r w:rsidRPr="00254AB9">
              <w:rPr>
                <w:rFonts w:eastAsia="Times New Roman" w:cs="Calibri"/>
                <w:b/>
                <w:bCs/>
                <w:color w:val="000000"/>
                <w:sz w:val="21"/>
                <w:szCs w:val="21"/>
                <w:lang w:eastAsia="pl-PL"/>
              </w:rPr>
              <w:t>Centrum Innowacji</w:t>
            </w:r>
          </w:p>
        </w:tc>
        <w:tc>
          <w:tcPr>
            <w:tcW w:w="710" w:type="dxa"/>
            <w:shd w:val="clear" w:color="DCE6F1" w:fill="DCE6F1"/>
            <w:textDirection w:val="btLr"/>
            <w:vAlign w:val="center"/>
          </w:tcPr>
          <w:p w14:paraId="11941957" w14:textId="77777777" w:rsidR="000B3CE9" w:rsidRPr="00254AB9" w:rsidRDefault="000B3CE9" w:rsidP="00730223">
            <w:pPr>
              <w:spacing w:after="0" w:line="240" w:lineRule="auto"/>
              <w:ind w:left="57" w:right="57"/>
              <w:jc w:val="center"/>
              <w:rPr>
                <w:rFonts w:eastAsia="Times New Roman" w:cs="Calibri"/>
                <w:b/>
                <w:bCs/>
                <w:color w:val="000000"/>
                <w:sz w:val="21"/>
                <w:szCs w:val="21"/>
                <w:lang w:eastAsia="pl-PL"/>
              </w:rPr>
            </w:pPr>
            <w:r w:rsidRPr="00254AB9">
              <w:rPr>
                <w:rFonts w:eastAsia="Times New Roman" w:cs="Calibri"/>
                <w:b/>
                <w:bCs/>
                <w:color w:val="000000"/>
                <w:sz w:val="21"/>
                <w:szCs w:val="21"/>
                <w:lang w:eastAsia="pl-PL"/>
              </w:rPr>
              <w:t>Centrum Transferu Innowacji</w:t>
            </w:r>
          </w:p>
        </w:tc>
      </w:tr>
      <w:tr w:rsidR="00EA2A7A" w:rsidRPr="00254AB9" w14:paraId="53143D72" w14:textId="77777777" w:rsidTr="000B3CE9">
        <w:trPr>
          <w:trHeight w:val="300"/>
          <w:jc w:val="center"/>
        </w:trPr>
        <w:tc>
          <w:tcPr>
            <w:tcW w:w="2200" w:type="dxa"/>
            <w:shd w:val="clear" w:color="auto" w:fill="auto"/>
            <w:noWrap/>
            <w:vAlign w:val="bottom"/>
            <w:hideMark/>
          </w:tcPr>
          <w:p w14:paraId="114C84B2" w14:textId="77777777" w:rsidR="000B3CE9" w:rsidRPr="00254AB9" w:rsidRDefault="000B3CE9" w:rsidP="00730223">
            <w:pPr>
              <w:spacing w:after="0" w:line="240" w:lineRule="auto"/>
              <w:rPr>
                <w:rFonts w:eastAsia="Times New Roman" w:cs="Calibri"/>
                <w:color w:val="000000"/>
                <w:sz w:val="21"/>
                <w:szCs w:val="21"/>
                <w:lang w:eastAsia="pl-PL"/>
              </w:rPr>
            </w:pPr>
            <w:r w:rsidRPr="00254AB9">
              <w:rPr>
                <w:rFonts w:eastAsia="Times New Roman" w:cs="Calibri"/>
                <w:color w:val="000000"/>
                <w:sz w:val="21"/>
                <w:szCs w:val="21"/>
                <w:lang w:eastAsia="pl-PL"/>
              </w:rPr>
              <w:t>Dolnośląskie</w:t>
            </w:r>
          </w:p>
        </w:tc>
        <w:tc>
          <w:tcPr>
            <w:tcW w:w="709" w:type="dxa"/>
            <w:shd w:val="clear" w:color="auto" w:fill="auto"/>
            <w:noWrap/>
            <w:vAlign w:val="bottom"/>
            <w:hideMark/>
          </w:tcPr>
          <w:p w14:paraId="3F8B54BD"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11</w:t>
            </w:r>
          </w:p>
        </w:tc>
        <w:tc>
          <w:tcPr>
            <w:tcW w:w="709" w:type="dxa"/>
            <w:shd w:val="clear" w:color="auto" w:fill="auto"/>
            <w:noWrap/>
            <w:vAlign w:val="bottom"/>
            <w:hideMark/>
          </w:tcPr>
          <w:p w14:paraId="5F3EB9B7"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5</w:t>
            </w:r>
          </w:p>
        </w:tc>
        <w:tc>
          <w:tcPr>
            <w:tcW w:w="708" w:type="dxa"/>
            <w:shd w:val="clear" w:color="auto" w:fill="auto"/>
            <w:noWrap/>
            <w:vAlign w:val="bottom"/>
            <w:hideMark/>
          </w:tcPr>
          <w:p w14:paraId="04678045"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6</w:t>
            </w:r>
          </w:p>
        </w:tc>
        <w:tc>
          <w:tcPr>
            <w:tcW w:w="709" w:type="dxa"/>
            <w:shd w:val="clear" w:color="auto" w:fill="auto"/>
            <w:noWrap/>
            <w:vAlign w:val="bottom"/>
            <w:hideMark/>
          </w:tcPr>
          <w:p w14:paraId="11B081EE"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2</w:t>
            </w:r>
          </w:p>
        </w:tc>
        <w:tc>
          <w:tcPr>
            <w:tcW w:w="708" w:type="dxa"/>
            <w:shd w:val="clear" w:color="auto" w:fill="auto"/>
            <w:noWrap/>
            <w:vAlign w:val="bottom"/>
            <w:hideMark/>
          </w:tcPr>
          <w:p w14:paraId="3B75370A"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n.d.</w:t>
            </w:r>
          </w:p>
        </w:tc>
        <w:tc>
          <w:tcPr>
            <w:tcW w:w="710" w:type="dxa"/>
            <w:shd w:val="clear" w:color="auto" w:fill="auto"/>
            <w:noWrap/>
            <w:vAlign w:val="bottom"/>
            <w:hideMark/>
          </w:tcPr>
          <w:p w14:paraId="1ACD6196"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5</w:t>
            </w:r>
          </w:p>
        </w:tc>
        <w:tc>
          <w:tcPr>
            <w:tcW w:w="710" w:type="dxa"/>
            <w:vAlign w:val="bottom"/>
          </w:tcPr>
          <w:p w14:paraId="542580FF"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5</w:t>
            </w:r>
          </w:p>
        </w:tc>
        <w:tc>
          <w:tcPr>
            <w:tcW w:w="710" w:type="dxa"/>
            <w:vAlign w:val="bottom"/>
          </w:tcPr>
          <w:p w14:paraId="3DD297BF"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1</w:t>
            </w:r>
          </w:p>
        </w:tc>
      </w:tr>
      <w:tr w:rsidR="00EA2A7A" w:rsidRPr="00254AB9" w14:paraId="276332C3" w14:textId="77777777" w:rsidTr="000B3CE9">
        <w:trPr>
          <w:trHeight w:val="300"/>
          <w:jc w:val="center"/>
        </w:trPr>
        <w:tc>
          <w:tcPr>
            <w:tcW w:w="2200" w:type="dxa"/>
            <w:shd w:val="clear" w:color="auto" w:fill="auto"/>
            <w:noWrap/>
            <w:vAlign w:val="bottom"/>
            <w:hideMark/>
          </w:tcPr>
          <w:p w14:paraId="4A862E0F" w14:textId="2ABAF160" w:rsidR="000B3CE9" w:rsidRPr="00254AB9" w:rsidRDefault="000B3CE9" w:rsidP="00730223">
            <w:pPr>
              <w:spacing w:after="0" w:line="240" w:lineRule="auto"/>
              <w:rPr>
                <w:rFonts w:eastAsia="Times New Roman" w:cs="Calibri"/>
                <w:color w:val="000000"/>
                <w:sz w:val="21"/>
                <w:szCs w:val="21"/>
                <w:lang w:eastAsia="pl-PL"/>
              </w:rPr>
            </w:pPr>
            <w:r w:rsidRPr="00254AB9">
              <w:rPr>
                <w:rFonts w:eastAsia="Times New Roman" w:cs="Calibri"/>
                <w:color w:val="000000"/>
                <w:sz w:val="21"/>
                <w:szCs w:val="21"/>
                <w:lang w:eastAsia="pl-PL"/>
              </w:rPr>
              <w:t>Kujawsko-</w:t>
            </w:r>
            <w:r w:rsidR="008E6AE2">
              <w:rPr>
                <w:rFonts w:eastAsia="Times New Roman" w:cs="Calibri"/>
                <w:color w:val="000000"/>
                <w:sz w:val="21"/>
                <w:szCs w:val="21"/>
                <w:lang w:eastAsia="pl-PL"/>
              </w:rPr>
              <w:t>p</w:t>
            </w:r>
            <w:r w:rsidRPr="00254AB9">
              <w:rPr>
                <w:rFonts w:eastAsia="Times New Roman" w:cs="Calibri"/>
                <w:color w:val="000000"/>
                <w:sz w:val="21"/>
                <w:szCs w:val="21"/>
                <w:lang w:eastAsia="pl-PL"/>
              </w:rPr>
              <w:t>omorskie</w:t>
            </w:r>
          </w:p>
        </w:tc>
        <w:tc>
          <w:tcPr>
            <w:tcW w:w="709" w:type="dxa"/>
            <w:shd w:val="clear" w:color="auto" w:fill="auto"/>
            <w:noWrap/>
            <w:vAlign w:val="bottom"/>
            <w:hideMark/>
          </w:tcPr>
          <w:p w14:paraId="18A1C1A7"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4</w:t>
            </w:r>
          </w:p>
        </w:tc>
        <w:tc>
          <w:tcPr>
            <w:tcW w:w="709" w:type="dxa"/>
            <w:shd w:val="clear" w:color="auto" w:fill="auto"/>
            <w:noWrap/>
            <w:vAlign w:val="bottom"/>
            <w:hideMark/>
          </w:tcPr>
          <w:p w14:paraId="108EF318"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5</w:t>
            </w:r>
          </w:p>
        </w:tc>
        <w:tc>
          <w:tcPr>
            <w:tcW w:w="708" w:type="dxa"/>
            <w:shd w:val="clear" w:color="auto" w:fill="auto"/>
            <w:noWrap/>
            <w:vAlign w:val="bottom"/>
            <w:hideMark/>
          </w:tcPr>
          <w:p w14:paraId="5710A7E0"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4</w:t>
            </w:r>
          </w:p>
        </w:tc>
        <w:tc>
          <w:tcPr>
            <w:tcW w:w="709" w:type="dxa"/>
            <w:shd w:val="clear" w:color="auto" w:fill="auto"/>
            <w:noWrap/>
            <w:vAlign w:val="bottom"/>
            <w:hideMark/>
          </w:tcPr>
          <w:p w14:paraId="35051325"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3</w:t>
            </w:r>
          </w:p>
        </w:tc>
        <w:tc>
          <w:tcPr>
            <w:tcW w:w="708" w:type="dxa"/>
            <w:shd w:val="clear" w:color="auto" w:fill="auto"/>
            <w:noWrap/>
            <w:vAlign w:val="bottom"/>
            <w:hideMark/>
          </w:tcPr>
          <w:p w14:paraId="1EBC32F5"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n.d.</w:t>
            </w:r>
          </w:p>
        </w:tc>
        <w:tc>
          <w:tcPr>
            <w:tcW w:w="710" w:type="dxa"/>
            <w:shd w:val="clear" w:color="auto" w:fill="auto"/>
            <w:noWrap/>
            <w:vAlign w:val="bottom"/>
            <w:hideMark/>
          </w:tcPr>
          <w:p w14:paraId="34FBA38B"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2</w:t>
            </w:r>
          </w:p>
        </w:tc>
        <w:tc>
          <w:tcPr>
            <w:tcW w:w="710" w:type="dxa"/>
            <w:vAlign w:val="bottom"/>
          </w:tcPr>
          <w:p w14:paraId="34BDCA5D"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1</w:t>
            </w:r>
          </w:p>
        </w:tc>
        <w:tc>
          <w:tcPr>
            <w:tcW w:w="710" w:type="dxa"/>
            <w:vAlign w:val="bottom"/>
          </w:tcPr>
          <w:p w14:paraId="70091478"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2</w:t>
            </w:r>
          </w:p>
        </w:tc>
      </w:tr>
      <w:tr w:rsidR="00EA2A7A" w:rsidRPr="00254AB9" w14:paraId="6D0F569E" w14:textId="77777777" w:rsidTr="000B3CE9">
        <w:trPr>
          <w:trHeight w:val="300"/>
          <w:jc w:val="center"/>
        </w:trPr>
        <w:tc>
          <w:tcPr>
            <w:tcW w:w="2200" w:type="dxa"/>
            <w:shd w:val="clear" w:color="auto" w:fill="auto"/>
            <w:noWrap/>
            <w:vAlign w:val="bottom"/>
            <w:hideMark/>
          </w:tcPr>
          <w:p w14:paraId="239F1D5C" w14:textId="77777777" w:rsidR="000B3CE9" w:rsidRPr="00254AB9" w:rsidRDefault="000B3CE9" w:rsidP="00730223">
            <w:pPr>
              <w:spacing w:after="0" w:line="240" w:lineRule="auto"/>
              <w:rPr>
                <w:rFonts w:eastAsia="Times New Roman" w:cs="Calibri"/>
                <w:color w:val="000000"/>
                <w:sz w:val="21"/>
                <w:szCs w:val="21"/>
                <w:lang w:eastAsia="pl-PL"/>
              </w:rPr>
            </w:pPr>
            <w:r w:rsidRPr="00254AB9">
              <w:rPr>
                <w:rFonts w:eastAsia="Times New Roman" w:cs="Calibri"/>
                <w:color w:val="000000"/>
                <w:sz w:val="21"/>
                <w:szCs w:val="21"/>
                <w:lang w:eastAsia="pl-PL"/>
              </w:rPr>
              <w:lastRenderedPageBreak/>
              <w:t>Lubelskie</w:t>
            </w:r>
          </w:p>
        </w:tc>
        <w:tc>
          <w:tcPr>
            <w:tcW w:w="709" w:type="dxa"/>
            <w:shd w:val="clear" w:color="auto" w:fill="auto"/>
            <w:noWrap/>
            <w:vAlign w:val="bottom"/>
            <w:hideMark/>
          </w:tcPr>
          <w:p w14:paraId="2A3626F1"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1</w:t>
            </w:r>
          </w:p>
        </w:tc>
        <w:tc>
          <w:tcPr>
            <w:tcW w:w="709" w:type="dxa"/>
            <w:shd w:val="clear" w:color="auto" w:fill="auto"/>
            <w:noWrap/>
            <w:vAlign w:val="bottom"/>
            <w:hideMark/>
          </w:tcPr>
          <w:p w14:paraId="7A80C131"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3</w:t>
            </w:r>
          </w:p>
        </w:tc>
        <w:tc>
          <w:tcPr>
            <w:tcW w:w="708" w:type="dxa"/>
            <w:shd w:val="clear" w:color="auto" w:fill="auto"/>
            <w:noWrap/>
            <w:vAlign w:val="bottom"/>
            <w:hideMark/>
          </w:tcPr>
          <w:p w14:paraId="3880663E"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3</w:t>
            </w:r>
          </w:p>
        </w:tc>
        <w:tc>
          <w:tcPr>
            <w:tcW w:w="709" w:type="dxa"/>
            <w:shd w:val="clear" w:color="auto" w:fill="auto"/>
            <w:noWrap/>
            <w:vAlign w:val="bottom"/>
            <w:hideMark/>
          </w:tcPr>
          <w:p w14:paraId="30DF32AA"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3</w:t>
            </w:r>
          </w:p>
        </w:tc>
        <w:tc>
          <w:tcPr>
            <w:tcW w:w="708" w:type="dxa"/>
            <w:shd w:val="clear" w:color="auto" w:fill="auto"/>
            <w:noWrap/>
            <w:vAlign w:val="bottom"/>
            <w:hideMark/>
          </w:tcPr>
          <w:p w14:paraId="7DA76AF0"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n.d.</w:t>
            </w:r>
          </w:p>
        </w:tc>
        <w:tc>
          <w:tcPr>
            <w:tcW w:w="710" w:type="dxa"/>
            <w:shd w:val="clear" w:color="auto" w:fill="auto"/>
            <w:noWrap/>
            <w:vAlign w:val="bottom"/>
            <w:hideMark/>
          </w:tcPr>
          <w:p w14:paraId="1ABE6875"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3</w:t>
            </w:r>
          </w:p>
        </w:tc>
        <w:tc>
          <w:tcPr>
            <w:tcW w:w="710" w:type="dxa"/>
            <w:vAlign w:val="bottom"/>
          </w:tcPr>
          <w:p w14:paraId="15BA204E"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2</w:t>
            </w:r>
          </w:p>
        </w:tc>
        <w:tc>
          <w:tcPr>
            <w:tcW w:w="710" w:type="dxa"/>
            <w:vAlign w:val="bottom"/>
          </w:tcPr>
          <w:p w14:paraId="207614F9"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4</w:t>
            </w:r>
          </w:p>
        </w:tc>
      </w:tr>
      <w:tr w:rsidR="00EA2A7A" w:rsidRPr="00254AB9" w14:paraId="68ED004F" w14:textId="77777777" w:rsidTr="000B3CE9">
        <w:trPr>
          <w:trHeight w:val="300"/>
          <w:jc w:val="center"/>
        </w:trPr>
        <w:tc>
          <w:tcPr>
            <w:tcW w:w="2200" w:type="dxa"/>
            <w:shd w:val="clear" w:color="auto" w:fill="auto"/>
            <w:noWrap/>
            <w:vAlign w:val="bottom"/>
            <w:hideMark/>
          </w:tcPr>
          <w:p w14:paraId="007AD427" w14:textId="77777777" w:rsidR="000B3CE9" w:rsidRPr="00254AB9" w:rsidRDefault="000B3CE9" w:rsidP="00730223">
            <w:pPr>
              <w:spacing w:after="0" w:line="240" w:lineRule="auto"/>
              <w:rPr>
                <w:rFonts w:eastAsia="Times New Roman" w:cs="Calibri"/>
                <w:color w:val="000000"/>
                <w:sz w:val="21"/>
                <w:szCs w:val="21"/>
                <w:lang w:eastAsia="pl-PL"/>
              </w:rPr>
            </w:pPr>
            <w:r w:rsidRPr="00254AB9">
              <w:rPr>
                <w:rFonts w:eastAsia="Times New Roman" w:cs="Calibri"/>
                <w:color w:val="000000"/>
                <w:sz w:val="21"/>
                <w:szCs w:val="21"/>
                <w:lang w:eastAsia="pl-PL"/>
              </w:rPr>
              <w:t>Lubuskie</w:t>
            </w:r>
          </w:p>
        </w:tc>
        <w:tc>
          <w:tcPr>
            <w:tcW w:w="709" w:type="dxa"/>
            <w:shd w:val="clear" w:color="auto" w:fill="auto"/>
            <w:noWrap/>
            <w:vAlign w:val="bottom"/>
            <w:hideMark/>
          </w:tcPr>
          <w:p w14:paraId="03298D40"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2</w:t>
            </w:r>
          </w:p>
        </w:tc>
        <w:tc>
          <w:tcPr>
            <w:tcW w:w="709" w:type="dxa"/>
            <w:shd w:val="clear" w:color="auto" w:fill="auto"/>
            <w:noWrap/>
            <w:vAlign w:val="bottom"/>
            <w:hideMark/>
          </w:tcPr>
          <w:p w14:paraId="6C1C82C0"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1</w:t>
            </w:r>
          </w:p>
        </w:tc>
        <w:tc>
          <w:tcPr>
            <w:tcW w:w="708" w:type="dxa"/>
            <w:shd w:val="clear" w:color="auto" w:fill="auto"/>
            <w:noWrap/>
            <w:vAlign w:val="bottom"/>
            <w:hideMark/>
          </w:tcPr>
          <w:p w14:paraId="1CD0F56D"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4</w:t>
            </w:r>
          </w:p>
        </w:tc>
        <w:tc>
          <w:tcPr>
            <w:tcW w:w="709" w:type="dxa"/>
            <w:shd w:val="clear" w:color="auto" w:fill="auto"/>
            <w:noWrap/>
            <w:vAlign w:val="bottom"/>
            <w:hideMark/>
          </w:tcPr>
          <w:p w14:paraId="17641085"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3</w:t>
            </w:r>
          </w:p>
        </w:tc>
        <w:tc>
          <w:tcPr>
            <w:tcW w:w="708" w:type="dxa"/>
            <w:shd w:val="clear" w:color="auto" w:fill="auto"/>
            <w:noWrap/>
            <w:vAlign w:val="bottom"/>
            <w:hideMark/>
          </w:tcPr>
          <w:p w14:paraId="74DA8173"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n.d.</w:t>
            </w:r>
          </w:p>
        </w:tc>
        <w:tc>
          <w:tcPr>
            <w:tcW w:w="710" w:type="dxa"/>
            <w:shd w:val="clear" w:color="auto" w:fill="auto"/>
            <w:noWrap/>
            <w:vAlign w:val="bottom"/>
            <w:hideMark/>
          </w:tcPr>
          <w:p w14:paraId="7DA50F63"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2</w:t>
            </w:r>
          </w:p>
        </w:tc>
        <w:tc>
          <w:tcPr>
            <w:tcW w:w="710" w:type="dxa"/>
            <w:vAlign w:val="bottom"/>
          </w:tcPr>
          <w:p w14:paraId="404C377C"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n.d.</w:t>
            </w:r>
          </w:p>
        </w:tc>
        <w:tc>
          <w:tcPr>
            <w:tcW w:w="710" w:type="dxa"/>
            <w:vAlign w:val="bottom"/>
          </w:tcPr>
          <w:p w14:paraId="46F966E3"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1</w:t>
            </w:r>
          </w:p>
        </w:tc>
      </w:tr>
      <w:tr w:rsidR="00EA2A7A" w:rsidRPr="00254AB9" w14:paraId="3B5D25D4" w14:textId="77777777" w:rsidTr="000B3CE9">
        <w:trPr>
          <w:trHeight w:val="300"/>
          <w:jc w:val="center"/>
        </w:trPr>
        <w:tc>
          <w:tcPr>
            <w:tcW w:w="2200" w:type="dxa"/>
            <w:shd w:val="clear" w:color="auto" w:fill="auto"/>
            <w:noWrap/>
            <w:vAlign w:val="bottom"/>
            <w:hideMark/>
          </w:tcPr>
          <w:p w14:paraId="6731BB7A" w14:textId="77777777" w:rsidR="000B3CE9" w:rsidRPr="00254AB9" w:rsidRDefault="000B3CE9" w:rsidP="00730223">
            <w:pPr>
              <w:spacing w:after="0" w:line="240" w:lineRule="auto"/>
              <w:rPr>
                <w:rFonts w:eastAsia="Times New Roman" w:cs="Calibri"/>
                <w:color w:val="000000"/>
                <w:sz w:val="21"/>
                <w:szCs w:val="21"/>
                <w:lang w:eastAsia="pl-PL"/>
              </w:rPr>
            </w:pPr>
            <w:r w:rsidRPr="00254AB9">
              <w:rPr>
                <w:rFonts w:eastAsia="Times New Roman" w:cs="Calibri"/>
                <w:color w:val="000000"/>
                <w:sz w:val="21"/>
                <w:szCs w:val="21"/>
                <w:lang w:eastAsia="pl-PL"/>
              </w:rPr>
              <w:t>Łódzkie</w:t>
            </w:r>
          </w:p>
        </w:tc>
        <w:tc>
          <w:tcPr>
            <w:tcW w:w="709" w:type="dxa"/>
            <w:shd w:val="clear" w:color="auto" w:fill="auto"/>
            <w:noWrap/>
            <w:vAlign w:val="bottom"/>
            <w:hideMark/>
          </w:tcPr>
          <w:p w14:paraId="79F21CEB"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3</w:t>
            </w:r>
          </w:p>
        </w:tc>
        <w:tc>
          <w:tcPr>
            <w:tcW w:w="709" w:type="dxa"/>
            <w:shd w:val="clear" w:color="auto" w:fill="auto"/>
            <w:noWrap/>
            <w:vAlign w:val="bottom"/>
            <w:hideMark/>
          </w:tcPr>
          <w:p w14:paraId="584C6F43"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2</w:t>
            </w:r>
          </w:p>
        </w:tc>
        <w:tc>
          <w:tcPr>
            <w:tcW w:w="708" w:type="dxa"/>
            <w:shd w:val="clear" w:color="auto" w:fill="auto"/>
            <w:noWrap/>
            <w:vAlign w:val="bottom"/>
            <w:hideMark/>
          </w:tcPr>
          <w:p w14:paraId="07553BFA"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7</w:t>
            </w:r>
          </w:p>
        </w:tc>
        <w:tc>
          <w:tcPr>
            <w:tcW w:w="709" w:type="dxa"/>
            <w:shd w:val="clear" w:color="auto" w:fill="auto"/>
            <w:noWrap/>
            <w:vAlign w:val="bottom"/>
            <w:hideMark/>
          </w:tcPr>
          <w:p w14:paraId="6BEAA91B"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3</w:t>
            </w:r>
          </w:p>
        </w:tc>
        <w:tc>
          <w:tcPr>
            <w:tcW w:w="708" w:type="dxa"/>
            <w:shd w:val="clear" w:color="auto" w:fill="auto"/>
            <w:noWrap/>
            <w:vAlign w:val="bottom"/>
            <w:hideMark/>
          </w:tcPr>
          <w:p w14:paraId="24664EFF"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1</w:t>
            </w:r>
          </w:p>
        </w:tc>
        <w:tc>
          <w:tcPr>
            <w:tcW w:w="710" w:type="dxa"/>
            <w:shd w:val="clear" w:color="auto" w:fill="auto"/>
            <w:noWrap/>
            <w:vAlign w:val="bottom"/>
            <w:hideMark/>
          </w:tcPr>
          <w:p w14:paraId="03F14C8E"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1</w:t>
            </w:r>
          </w:p>
        </w:tc>
        <w:tc>
          <w:tcPr>
            <w:tcW w:w="710" w:type="dxa"/>
            <w:vAlign w:val="bottom"/>
          </w:tcPr>
          <w:p w14:paraId="5B1294BD"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1</w:t>
            </w:r>
          </w:p>
        </w:tc>
        <w:tc>
          <w:tcPr>
            <w:tcW w:w="710" w:type="dxa"/>
            <w:vAlign w:val="bottom"/>
          </w:tcPr>
          <w:p w14:paraId="72E0F67E"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4</w:t>
            </w:r>
          </w:p>
        </w:tc>
      </w:tr>
      <w:tr w:rsidR="00EA2A7A" w:rsidRPr="00254AB9" w14:paraId="4729DBEB" w14:textId="77777777" w:rsidTr="000B3CE9">
        <w:trPr>
          <w:trHeight w:val="300"/>
          <w:jc w:val="center"/>
        </w:trPr>
        <w:tc>
          <w:tcPr>
            <w:tcW w:w="2200" w:type="dxa"/>
            <w:shd w:val="clear" w:color="auto" w:fill="auto"/>
            <w:noWrap/>
            <w:vAlign w:val="bottom"/>
            <w:hideMark/>
          </w:tcPr>
          <w:p w14:paraId="7F80F8C6" w14:textId="77777777" w:rsidR="000B3CE9" w:rsidRPr="00254AB9" w:rsidRDefault="000B3CE9" w:rsidP="00730223">
            <w:pPr>
              <w:spacing w:after="0" w:line="240" w:lineRule="auto"/>
              <w:rPr>
                <w:rFonts w:eastAsia="Times New Roman" w:cs="Calibri"/>
                <w:color w:val="000000"/>
                <w:sz w:val="21"/>
                <w:szCs w:val="21"/>
                <w:lang w:eastAsia="pl-PL"/>
              </w:rPr>
            </w:pPr>
            <w:r w:rsidRPr="00254AB9">
              <w:rPr>
                <w:rFonts w:eastAsia="Times New Roman" w:cs="Calibri"/>
                <w:color w:val="000000"/>
                <w:sz w:val="21"/>
                <w:szCs w:val="21"/>
                <w:lang w:eastAsia="pl-PL"/>
              </w:rPr>
              <w:t>Małopolskie</w:t>
            </w:r>
          </w:p>
        </w:tc>
        <w:tc>
          <w:tcPr>
            <w:tcW w:w="709" w:type="dxa"/>
            <w:shd w:val="clear" w:color="auto" w:fill="auto"/>
            <w:noWrap/>
            <w:vAlign w:val="bottom"/>
            <w:hideMark/>
          </w:tcPr>
          <w:p w14:paraId="11D4BE11"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13</w:t>
            </w:r>
          </w:p>
        </w:tc>
        <w:tc>
          <w:tcPr>
            <w:tcW w:w="709" w:type="dxa"/>
            <w:shd w:val="clear" w:color="auto" w:fill="auto"/>
            <w:noWrap/>
            <w:vAlign w:val="bottom"/>
            <w:hideMark/>
          </w:tcPr>
          <w:p w14:paraId="298C48A6"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3</w:t>
            </w:r>
          </w:p>
        </w:tc>
        <w:tc>
          <w:tcPr>
            <w:tcW w:w="708" w:type="dxa"/>
            <w:shd w:val="clear" w:color="auto" w:fill="auto"/>
            <w:noWrap/>
            <w:vAlign w:val="bottom"/>
            <w:hideMark/>
          </w:tcPr>
          <w:p w14:paraId="05CBE42C"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5</w:t>
            </w:r>
          </w:p>
        </w:tc>
        <w:tc>
          <w:tcPr>
            <w:tcW w:w="709" w:type="dxa"/>
            <w:shd w:val="clear" w:color="auto" w:fill="auto"/>
            <w:noWrap/>
            <w:vAlign w:val="bottom"/>
            <w:hideMark/>
          </w:tcPr>
          <w:p w14:paraId="79FD139E"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6</w:t>
            </w:r>
          </w:p>
        </w:tc>
        <w:tc>
          <w:tcPr>
            <w:tcW w:w="708" w:type="dxa"/>
            <w:shd w:val="clear" w:color="auto" w:fill="auto"/>
            <w:noWrap/>
            <w:vAlign w:val="bottom"/>
            <w:hideMark/>
          </w:tcPr>
          <w:p w14:paraId="7CE697F8"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3</w:t>
            </w:r>
          </w:p>
        </w:tc>
        <w:tc>
          <w:tcPr>
            <w:tcW w:w="710" w:type="dxa"/>
            <w:shd w:val="clear" w:color="auto" w:fill="auto"/>
            <w:noWrap/>
            <w:vAlign w:val="bottom"/>
            <w:hideMark/>
          </w:tcPr>
          <w:p w14:paraId="356103CC"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4</w:t>
            </w:r>
          </w:p>
        </w:tc>
        <w:tc>
          <w:tcPr>
            <w:tcW w:w="710" w:type="dxa"/>
            <w:vAlign w:val="bottom"/>
          </w:tcPr>
          <w:p w14:paraId="65DB88F1"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4</w:t>
            </w:r>
          </w:p>
        </w:tc>
        <w:tc>
          <w:tcPr>
            <w:tcW w:w="710" w:type="dxa"/>
            <w:vAlign w:val="bottom"/>
          </w:tcPr>
          <w:p w14:paraId="32216B9B"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5</w:t>
            </w:r>
          </w:p>
        </w:tc>
      </w:tr>
      <w:tr w:rsidR="00EA2A7A" w:rsidRPr="00254AB9" w14:paraId="6F074F84" w14:textId="77777777" w:rsidTr="000B3CE9">
        <w:trPr>
          <w:trHeight w:val="300"/>
          <w:jc w:val="center"/>
        </w:trPr>
        <w:tc>
          <w:tcPr>
            <w:tcW w:w="2200" w:type="dxa"/>
            <w:shd w:val="clear" w:color="auto" w:fill="auto"/>
            <w:noWrap/>
            <w:vAlign w:val="bottom"/>
            <w:hideMark/>
          </w:tcPr>
          <w:p w14:paraId="2BE6B292" w14:textId="77777777" w:rsidR="000B3CE9" w:rsidRPr="00254AB9" w:rsidRDefault="000B3CE9" w:rsidP="00730223">
            <w:pPr>
              <w:spacing w:after="0" w:line="240" w:lineRule="auto"/>
              <w:rPr>
                <w:rFonts w:eastAsia="Times New Roman" w:cs="Calibri"/>
                <w:color w:val="000000"/>
                <w:sz w:val="21"/>
                <w:szCs w:val="21"/>
                <w:lang w:eastAsia="pl-PL"/>
              </w:rPr>
            </w:pPr>
            <w:r w:rsidRPr="00254AB9">
              <w:rPr>
                <w:rFonts w:eastAsia="Times New Roman" w:cs="Calibri"/>
                <w:color w:val="000000"/>
                <w:sz w:val="21"/>
                <w:szCs w:val="21"/>
                <w:lang w:eastAsia="pl-PL"/>
              </w:rPr>
              <w:t>Mazowieckie</w:t>
            </w:r>
          </w:p>
        </w:tc>
        <w:tc>
          <w:tcPr>
            <w:tcW w:w="709" w:type="dxa"/>
            <w:shd w:val="clear" w:color="auto" w:fill="auto"/>
            <w:noWrap/>
            <w:vAlign w:val="bottom"/>
            <w:hideMark/>
          </w:tcPr>
          <w:p w14:paraId="4C5D499B"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36</w:t>
            </w:r>
          </w:p>
        </w:tc>
        <w:tc>
          <w:tcPr>
            <w:tcW w:w="709" w:type="dxa"/>
            <w:shd w:val="clear" w:color="auto" w:fill="auto"/>
            <w:noWrap/>
            <w:vAlign w:val="bottom"/>
            <w:hideMark/>
          </w:tcPr>
          <w:p w14:paraId="31DD8C7C"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4</w:t>
            </w:r>
          </w:p>
        </w:tc>
        <w:tc>
          <w:tcPr>
            <w:tcW w:w="708" w:type="dxa"/>
            <w:shd w:val="clear" w:color="auto" w:fill="auto"/>
            <w:noWrap/>
            <w:vAlign w:val="bottom"/>
            <w:hideMark/>
          </w:tcPr>
          <w:p w14:paraId="1B634E56"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7</w:t>
            </w:r>
          </w:p>
        </w:tc>
        <w:tc>
          <w:tcPr>
            <w:tcW w:w="709" w:type="dxa"/>
            <w:shd w:val="clear" w:color="auto" w:fill="auto"/>
            <w:noWrap/>
            <w:vAlign w:val="bottom"/>
            <w:hideMark/>
          </w:tcPr>
          <w:p w14:paraId="4BC0F230"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n.d.</w:t>
            </w:r>
          </w:p>
        </w:tc>
        <w:tc>
          <w:tcPr>
            <w:tcW w:w="708" w:type="dxa"/>
            <w:shd w:val="clear" w:color="auto" w:fill="auto"/>
            <w:noWrap/>
            <w:vAlign w:val="bottom"/>
            <w:hideMark/>
          </w:tcPr>
          <w:p w14:paraId="4417F713"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n.d.</w:t>
            </w:r>
          </w:p>
        </w:tc>
        <w:tc>
          <w:tcPr>
            <w:tcW w:w="710" w:type="dxa"/>
            <w:shd w:val="clear" w:color="auto" w:fill="auto"/>
            <w:noWrap/>
            <w:vAlign w:val="bottom"/>
            <w:hideMark/>
          </w:tcPr>
          <w:p w14:paraId="666E735C"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1</w:t>
            </w:r>
          </w:p>
        </w:tc>
        <w:tc>
          <w:tcPr>
            <w:tcW w:w="710" w:type="dxa"/>
            <w:vAlign w:val="bottom"/>
          </w:tcPr>
          <w:p w14:paraId="364C79FF"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7</w:t>
            </w:r>
          </w:p>
        </w:tc>
        <w:tc>
          <w:tcPr>
            <w:tcW w:w="710" w:type="dxa"/>
            <w:vAlign w:val="bottom"/>
          </w:tcPr>
          <w:p w14:paraId="2EF102DB"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5</w:t>
            </w:r>
          </w:p>
        </w:tc>
      </w:tr>
      <w:tr w:rsidR="00EA2A7A" w:rsidRPr="00254AB9" w14:paraId="04A3F97B" w14:textId="77777777" w:rsidTr="000B3CE9">
        <w:trPr>
          <w:trHeight w:val="300"/>
          <w:jc w:val="center"/>
        </w:trPr>
        <w:tc>
          <w:tcPr>
            <w:tcW w:w="2200" w:type="dxa"/>
            <w:shd w:val="clear" w:color="auto" w:fill="auto"/>
            <w:noWrap/>
            <w:vAlign w:val="bottom"/>
            <w:hideMark/>
          </w:tcPr>
          <w:p w14:paraId="0682717E" w14:textId="77777777" w:rsidR="000B3CE9" w:rsidRPr="00254AB9" w:rsidRDefault="000B3CE9" w:rsidP="00730223">
            <w:pPr>
              <w:spacing w:after="0" w:line="240" w:lineRule="auto"/>
              <w:rPr>
                <w:rFonts w:eastAsia="Times New Roman" w:cs="Calibri"/>
                <w:color w:val="000000"/>
                <w:sz w:val="21"/>
                <w:szCs w:val="21"/>
                <w:lang w:eastAsia="pl-PL"/>
              </w:rPr>
            </w:pPr>
            <w:r w:rsidRPr="00254AB9">
              <w:rPr>
                <w:rFonts w:eastAsia="Times New Roman" w:cs="Calibri"/>
                <w:color w:val="000000"/>
                <w:sz w:val="21"/>
                <w:szCs w:val="21"/>
                <w:lang w:eastAsia="pl-PL"/>
              </w:rPr>
              <w:t>Opolskie</w:t>
            </w:r>
          </w:p>
        </w:tc>
        <w:tc>
          <w:tcPr>
            <w:tcW w:w="709" w:type="dxa"/>
            <w:shd w:val="clear" w:color="auto" w:fill="auto"/>
            <w:noWrap/>
            <w:vAlign w:val="bottom"/>
            <w:hideMark/>
          </w:tcPr>
          <w:p w14:paraId="5548B009"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n.d.</w:t>
            </w:r>
          </w:p>
        </w:tc>
        <w:tc>
          <w:tcPr>
            <w:tcW w:w="709" w:type="dxa"/>
            <w:shd w:val="clear" w:color="auto" w:fill="auto"/>
            <w:noWrap/>
            <w:vAlign w:val="bottom"/>
            <w:hideMark/>
          </w:tcPr>
          <w:p w14:paraId="60962B20"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1</w:t>
            </w:r>
          </w:p>
        </w:tc>
        <w:tc>
          <w:tcPr>
            <w:tcW w:w="708" w:type="dxa"/>
            <w:shd w:val="clear" w:color="auto" w:fill="auto"/>
            <w:noWrap/>
            <w:vAlign w:val="bottom"/>
            <w:hideMark/>
          </w:tcPr>
          <w:p w14:paraId="7C014D01"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2</w:t>
            </w:r>
          </w:p>
        </w:tc>
        <w:tc>
          <w:tcPr>
            <w:tcW w:w="709" w:type="dxa"/>
            <w:shd w:val="clear" w:color="auto" w:fill="auto"/>
            <w:noWrap/>
            <w:vAlign w:val="bottom"/>
            <w:hideMark/>
          </w:tcPr>
          <w:p w14:paraId="58F40C28"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5</w:t>
            </w:r>
          </w:p>
        </w:tc>
        <w:tc>
          <w:tcPr>
            <w:tcW w:w="708" w:type="dxa"/>
            <w:shd w:val="clear" w:color="auto" w:fill="auto"/>
            <w:noWrap/>
            <w:vAlign w:val="bottom"/>
            <w:hideMark/>
          </w:tcPr>
          <w:p w14:paraId="258350D8"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n.d.</w:t>
            </w:r>
          </w:p>
        </w:tc>
        <w:tc>
          <w:tcPr>
            <w:tcW w:w="710" w:type="dxa"/>
            <w:shd w:val="clear" w:color="auto" w:fill="auto"/>
            <w:noWrap/>
            <w:vAlign w:val="bottom"/>
            <w:hideMark/>
          </w:tcPr>
          <w:p w14:paraId="39C1410A"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1</w:t>
            </w:r>
          </w:p>
        </w:tc>
        <w:tc>
          <w:tcPr>
            <w:tcW w:w="710" w:type="dxa"/>
            <w:vAlign w:val="bottom"/>
          </w:tcPr>
          <w:p w14:paraId="45E8FCEA"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1</w:t>
            </w:r>
          </w:p>
        </w:tc>
        <w:tc>
          <w:tcPr>
            <w:tcW w:w="710" w:type="dxa"/>
            <w:vAlign w:val="bottom"/>
          </w:tcPr>
          <w:p w14:paraId="163B8682"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2</w:t>
            </w:r>
          </w:p>
        </w:tc>
      </w:tr>
      <w:tr w:rsidR="00EA2A7A" w:rsidRPr="00254AB9" w14:paraId="523D2F06" w14:textId="77777777" w:rsidTr="000B3CE9">
        <w:trPr>
          <w:trHeight w:val="300"/>
          <w:jc w:val="center"/>
        </w:trPr>
        <w:tc>
          <w:tcPr>
            <w:tcW w:w="2200" w:type="dxa"/>
            <w:shd w:val="clear" w:color="auto" w:fill="auto"/>
            <w:noWrap/>
            <w:vAlign w:val="bottom"/>
            <w:hideMark/>
          </w:tcPr>
          <w:p w14:paraId="21A68567" w14:textId="77777777" w:rsidR="000B3CE9" w:rsidRPr="00254AB9" w:rsidRDefault="000B3CE9" w:rsidP="00730223">
            <w:pPr>
              <w:spacing w:after="0" w:line="240" w:lineRule="auto"/>
              <w:rPr>
                <w:rFonts w:eastAsia="Times New Roman" w:cs="Calibri"/>
                <w:color w:val="000000"/>
                <w:sz w:val="21"/>
                <w:szCs w:val="21"/>
                <w:lang w:eastAsia="pl-PL"/>
              </w:rPr>
            </w:pPr>
            <w:r w:rsidRPr="00254AB9">
              <w:rPr>
                <w:rFonts w:eastAsia="Times New Roman" w:cs="Calibri"/>
                <w:color w:val="000000"/>
                <w:sz w:val="21"/>
                <w:szCs w:val="21"/>
                <w:lang w:eastAsia="pl-PL"/>
              </w:rPr>
              <w:t>Podkarpackie</w:t>
            </w:r>
          </w:p>
        </w:tc>
        <w:tc>
          <w:tcPr>
            <w:tcW w:w="709" w:type="dxa"/>
            <w:shd w:val="clear" w:color="auto" w:fill="auto"/>
            <w:noWrap/>
            <w:vAlign w:val="bottom"/>
            <w:hideMark/>
          </w:tcPr>
          <w:p w14:paraId="0C589038"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1</w:t>
            </w:r>
          </w:p>
        </w:tc>
        <w:tc>
          <w:tcPr>
            <w:tcW w:w="709" w:type="dxa"/>
            <w:shd w:val="clear" w:color="auto" w:fill="auto"/>
            <w:noWrap/>
            <w:vAlign w:val="bottom"/>
            <w:hideMark/>
          </w:tcPr>
          <w:p w14:paraId="3CA178FB"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3</w:t>
            </w:r>
          </w:p>
        </w:tc>
        <w:tc>
          <w:tcPr>
            <w:tcW w:w="708" w:type="dxa"/>
            <w:shd w:val="clear" w:color="auto" w:fill="auto"/>
            <w:noWrap/>
            <w:vAlign w:val="bottom"/>
            <w:hideMark/>
          </w:tcPr>
          <w:p w14:paraId="19AAF759"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6</w:t>
            </w:r>
          </w:p>
        </w:tc>
        <w:tc>
          <w:tcPr>
            <w:tcW w:w="709" w:type="dxa"/>
            <w:shd w:val="clear" w:color="auto" w:fill="auto"/>
            <w:noWrap/>
            <w:vAlign w:val="bottom"/>
            <w:hideMark/>
          </w:tcPr>
          <w:p w14:paraId="4EDFD3B8"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3</w:t>
            </w:r>
          </w:p>
        </w:tc>
        <w:tc>
          <w:tcPr>
            <w:tcW w:w="708" w:type="dxa"/>
            <w:shd w:val="clear" w:color="auto" w:fill="auto"/>
            <w:noWrap/>
            <w:vAlign w:val="bottom"/>
            <w:hideMark/>
          </w:tcPr>
          <w:p w14:paraId="7BCA1122"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5</w:t>
            </w:r>
          </w:p>
        </w:tc>
        <w:tc>
          <w:tcPr>
            <w:tcW w:w="710" w:type="dxa"/>
            <w:shd w:val="clear" w:color="auto" w:fill="auto"/>
            <w:noWrap/>
            <w:vAlign w:val="bottom"/>
            <w:hideMark/>
          </w:tcPr>
          <w:p w14:paraId="120036A5"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1</w:t>
            </w:r>
          </w:p>
        </w:tc>
        <w:tc>
          <w:tcPr>
            <w:tcW w:w="710" w:type="dxa"/>
            <w:vAlign w:val="bottom"/>
          </w:tcPr>
          <w:p w14:paraId="2D3D23FF"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6</w:t>
            </w:r>
          </w:p>
        </w:tc>
        <w:tc>
          <w:tcPr>
            <w:tcW w:w="710" w:type="dxa"/>
            <w:vAlign w:val="bottom"/>
          </w:tcPr>
          <w:p w14:paraId="1D9AAF20"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1</w:t>
            </w:r>
          </w:p>
        </w:tc>
      </w:tr>
      <w:tr w:rsidR="00EA2A7A" w:rsidRPr="00254AB9" w14:paraId="0406EA14" w14:textId="77777777" w:rsidTr="000B3CE9">
        <w:trPr>
          <w:trHeight w:val="300"/>
          <w:jc w:val="center"/>
        </w:trPr>
        <w:tc>
          <w:tcPr>
            <w:tcW w:w="2200" w:type="dxa"/>
            <w:shd w:val="clear" w:color="auto" w:fill="auto"/>
            <w:noWrap/>
            <w:vAlign w:val="bottom"/>
            <w:hideMark/>
          </w:tcPr>
          <w:p w14:paraId="1041CF33" w14:textId="77777777" w:rsidR="000B3CE9" w:rsidRPr="00254AB9" w:rsidRDefault="000B3CE9" w:rsidP="00730223">
            <w:pPr>
              <w:spacing w:after="0" w:line="240" w:lineRule="auto"/>
              <w:rPr>
                <w:rFonts w:eastAsia="Times New Roman" w:cs="Calibri"/>
                <w:color w:val="000000"/>
                <w:sz w:val="21"/>
                <w:szCs w:val="21"/>
                <w:lang w:eastAsia="pl-PL"/>
              </w:rPr>
            </w:pPr>
            <w:r w:rsidRPr="00254AB9">
              <w:rPr>
                <w:rFonts w:eastAsia="Times New Roman" w:cs="Calibri"/>
                <w:color w:val="000000"/>
                <w:sz w:val="21"/>
                <w:szCs w:val="21"/>
                <w:lang w:eastAsia="pl-PL"/>
              </w:rPr>
              <w:t>Podlaskie</w:t>
            </w:r>
          </w:p>
        </w:tc>
        <w:tc>
          <w:tcPr>
            <w:tcW w:w="709" w:type="dxa"/>
            <w:shd w:val="clear" w:color="auto" w:fill="auto"/>
            <w:noWrap/>
            <w:vAlign w:val="bottom"/>
            <w:hideMark/>
          </w:tcPr>
          <w:p w14:paraId="47B69F15"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3</w:t>
            </w:r>
          </w:p>
        </w:tc>
        <w:tc>
          <w:tcPr>
            <w:tcW w:w="709" w:type="dxa"/>
            <w:shd w:val="clear" w:color="auto" w:fill="auto"/>
            <w:noWrap/>
            <w:vAlign w:val="bottom"/>
            <w:hideMark/>
          </w:tcPr>
          <w:p w14:paraId="4401D460"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2</w:t>
            </w:r>
          </w:p>
        </w:tc>
        <w:tc>
          <w:tcPr>
            <w:tcW w:w="708" w:type="dxa"/>
            <w:shd w:val="clear" w:color="auto" w:fill="auto"/>
            <w:noWrap/>
            <w:vAlign w:val="bottom"/>
            <w:hideMark/>
          </w:tcPr>
          <w:p w14:paraId="153D485C"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5</w:t>
            </w:r>
          </w:p>
        </w:tc>
        <w:tc>
          <w:tcPr>
            <w:tcW w:w="709" w:type="dxa"/>
            <w:shd w:val="clear" w:color="auto" w:fill="auto"/>
            <w:noWrap/>
            <w:vAlign w:val="bottom"/>
            <w:hideMark/>
          </w:tcPr>
          <w:p w14:paraId="6B0DB0F5"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n.d.</w:t>
            </w:r>
          </w:p>
        </w:tc>
        <w:tc>
          <w:tcPr>
            <w:tcW w:w="708" w:type="dxa"/>
            <w:shd w:val="clear" w:color="auto" w:fill="auto"/>
            <w:noWrap/>
            <w:vAlign w:val="bottom"/>
            <w:hideMark/>
          </w:tcPr>
          <w:p w14:paraId="074AA869"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1</w:t>
            </w:r>
          </w:p>
        </w:tc>
        <w:tc>
          <w:tcPr>
            <w:tcW w:w="710" w:type="dxa"/>
            <w:shd w:val="clear" w:color="auto" w:fill="auto"/>
            <w:noWrap/>
            <w:vAlign w:val="bottom"/>
            <w:hideMark/>
          </w:tcPr>
          <w:p w14:paraId="562B6BEE"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2</w:t>
            </w:r>
          </w:p>
        </w:tc>
        <w:tc>
          <w:tcPr>
            <w:tcW w:w="710" w:type="dxa"/>
            <w:vAlign w:val="bottom"/>
          </w:tcPr>
          <w:p w14:paraId="5AD8749B"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1</w:t>
            </w:r>
          </w:p>
        </w:tc>
        <w:tc>
          <w:tcPr>
            <w:tcW w:w="710" w:type="dxa"/>
            <w:vAlign w:val="bottom"/>
          </w:tcPr>
          <w:p w14:paraId="3CFE54C5"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3</w:t>
            </w:r>
          </w:p>
        </w:tc>
      </w:tr>
      <w:tr w:rsidR="00EA2A7A" w:rsidRPr="00254AB9" w14:paraId="7A32A3ED" w14:textId="77777777" w:rsidTr="000B3CE9">
        <w:trPr>
          <w:trHeight w:val="300"/>
          <w:jc w:val="center"/>
        </w:trPr>
        <w:tc>
          <w:tcPr>
            <w:tcW w:w="2200" w:type="dxa"/>
            <w:shd w:val="clear" w:color="auto" w:fill="auto"/>
            <w:noWrap/>
            <w:vAlign w:val="bottom"/>
            <w:hideMark/>
          </w:tcPr>
          <w:p w14:paraId="184EB2F2" w14:textId="77777777" w:rsidR="000B3CE9" w:rsidRPr="00254AB9" w:rsidRDefault="000B3CE9" w:rsidP="00730223">
            <w:pPr>
              <w:spacing w:after="0" w:line="240" w:lineRule="auto"/>
              <w:rPr>
                <w:rFonts w:eastAsia="Times New Roman" w:cs="Calibri"/>
                <w:color w:val="000000"/>
                <w:sz w:val="21"/>
                <w:szCs w:val="21"/>
                <w:lang w:eastAsia="pl-PL"/>
              </w:rPr>
            </w:pPr>
            <w:r w:rsidRPr="00254AB9">
              <w:rPr>
                <w:rFonts w:eastAsia="Times New Roman" w:cs="Calibri"/>
                <w:color w:val="000000"/>
                <w:sz w:val="21"/>
                <w:szCs w:val="21"/>
                <w:lang w:eastAsia="pl-PL"/>
              </w:rPr>
              <w:t>Pomorskie</w:t>
            </w:r>
          </w:p>
        </w:tc>
        <w:tc>
          <w:tcPr>
            <w:tcW w:w="709" w:type="dxa"/>
            <w:shd w:val="clear" w:color="auto" w:fill="auto"/>
            <w:noWrap/>
            <w:vAlign w:val="bottom"/>
            <w:hideMark/>
          </w:tcPr>
          <w:p w14:paraId="1E33B1CD"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6</w:t>
            </w:r>
          </w:p>
        </w:tc>
        <w:tc>
          <w:tcPr>
            <w:tcW w:w="709" w:type="dxa"/>
            <w:shd w:val="clear" w:color="auto" w:fill="auto"/>
            <w:noWrap/>
            <w:vAlign w:val="bottom"/>
            <w:hideMark/>
          </w:tcPr>
          <w:p w14:paraId="4038CEAE"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10</w:t>
            </w:r>
          </w:p>
        </w:tc>
        <w:tc>
          <w:tcPr>
            <w:tcW w:w="708" w:type="dxa"/>
            <w:shd w:val="clear" w:color="auto" w:fill="auto"/>
            <w:noWrap/>
            <w:vAlign w:val="bottom"/>
            <w:hideMark/>
          </w:tcPr>
          <w:p w14:paraId="5E5DAE71"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5</w:t>
            </w:r>
          </w:p>
        </w:tc>
        <w:tc>
          <w:tcPr>
            <w:tcW w:w="709" w:type="dxa"/>
            <w:shd w:val="clear" w:color="auto" w:fill="auto"/>
            <w:noWrap/>
            <w:vAlign w:val="bottom"/>
            <w:hideMark/>
          </w:tcPr>
          <w:p w14:paraId="4AFA1EF5"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4</w:t>
            </w:r>
          </w:p>
        </w:tc>
        <w:tc>
          <w:tcPr>
            <w:tcW w:w="708" w:type="dxa"/>
            <w:shd w:val="clear" w:color="auto" w:fill="auto"/>
            <w:noWrap/>
            <w:vAlign w:val="bottom"/>
            <w:hideMark/>
          </w:tcPr>
          <w:p w14:paraId="78828B25"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6</w:t>
            </w:r>
          </w:p>
        </w:tc>
        <w:tc>
          <w:tcPr>
            <w:tcW w:w="710" w:type="dxa"/>
            <w:shd w:val="clear" w:color="auto" w:fill="auto"/>
            <w:noWrap/>
            <w:vAlign w:val="bottom"/>
            <w:hideMark/>
          </w:tcPr>
          <w:p w14:paraId="43210B18"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3</w:t>
            </w:r>
          </w:p>
        </w:tc>
        <w:tc>
          <w:tcPr>
            <w:tcW w:w="710" w:type="dxa"/>
            <w:vAlign w:val="bottom"/>
          </w:tcPr>
          <w:p w14:paraId="65B36CE9"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3</w:t>
            </w:r>
          </w:p>
        </w:tc>
        <w:tc>
          <w:tcPr>
            <w:tcW w:w="710" w:type="dxa"/>
            <w:vAlign w:val="bottom"/>
          </w:tcPr>
          <w:p w14:paraId="2F6614A4"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3</w:t>
            </w:r>
          </w:p>
        </w:tc>
      </w:tr>
      <w:tr w:rsidR="00EA2A7A" w:rsidRPr="00254AB9" w14:paraId="0EFDD737" w14:textId="77777777" w:rsidTr="000B3CE9">
        <w:trPr>
          <w:trHeight w:val="300"/>
          <w:jc w:val="center"/>
        </w:trPr>
        <w:tc>
          <w:tcPr>
            <w:tcW w:w="2200" w:type="dxa"/>
            <w:shd w:val="clear" w:color="auto" w:fill="auto"/>
            <w:noWrap/>
            <w:vAlign w:val="bottom"/>
            <w:hideMark/>
          </w:tcPr>
          <w:p w14:paraId="03C7BED3" w14:textId="77777777" w:rsidR="000B3CE9" w:rsidRPr="00254AB9" w:rsidRDefault="000B3CE9" w:rsidP="00730223">
            <w:pPr>
              <w:spacing w:after="0" w:line="240" w:lineRule="auto"/>
              <w:rPr>
                <w:rFonts w:eastAsia="Times New Roman" w:cs="Calibri"/>
                <w:color w:val="000000"/>
                <w:sz w:val="21"/>
                <w:szCs w:val="21"/>
                <w:lang w:eastAsia="pl-PL"/>
              </w:rPr>
            </w:pPr>
            <w:r w:rsidRPr="00254AB9">
              <w:rPr>
                <w:rFonts w:eastAsia="Times New Roman" w:cs="Calibri"/>
                <w:color w:val="000000"/>
                <w:sz w:val="21"/>
                <w:szCs w:val="21"/>
                <w:lang w:eastAsia="pl-PL"/>
              </w:rPr>
              <w:t>Śląskie</w:t>
            </w:r>
          </w:p>
        </w:tc>
        <w:tc>
          <w:tcPr>
            <w:tcW w:w="709" w:type="dxa"/>
            <w:shd w:val="clear" w:color="auto" w:fill="auto"/>
            <w:noWrap/>
            <w:vAlign w:val="bottom"/>
            <w:hideMark/>
          </w:tcPr>
          <w:p w14:paraId="20F064B8"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7</w:t>
            </w:r>
          </w:p>
        </w:tc>
        <w:tc>
          <w:tcPr>
            <w:tcW w:w="709" w:type="dxa"/>
            <w:shd w:val="clear" w:color="auto" w:fill="auto"/>
            <w:noWrap/>
            <w:vAlign w:val="bottom"/>
            <w:hideMark/>
          </w:tcPr>
          <w:p w14:paraId="4154A5EF"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6</w:t>
            </w:r>
          </w:p>
        </w:tc>
        <w:tc>
          <w:tcPr>
            <w:tcW w:w="708" w:type="dxa"/>
            <w:shd w:val="clear" w:color="auto" w:fill="auto"/>
            <w:noWrap/>
            <w:vAlign w:val="bottom"/>
            <w:hideMark/>
          </w:tcPr>
          <w:p w14:paraId="676E996A"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9</w:t>
            </w:r>
          </w:p>
        </w:tc>
        <w:tc>
          <w:tcPr>
            <w:tcW w:w="709" w:type="dxa"/>
            <w:shd w:val="clear" w:color="auto" w:fill="auto"/>
            <w:noWrap/>
            <w:vAlign w:val="bottom"/>
            <w:hideMark/>
          </w:tcPr>
          <w:p w14:paraId="19005E50"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11</w:t>
            </w:r>
          </w:p>
        </w:tc>
        <w:tc>
          <w:tcPr>
            <w:tcW w:w="708" w:type="dxa"/>
            <w:shd w:val="clear" w:color="auto" w:fill="auto"/>
            <w:noWrap/>
            <w:vAlign w:val="bottom"/>
            <w:hideMark/>
          </w:tcPr>
          <w:p w14:paraId="3E2EDEA2"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2</w:t>
            </w:r>
          </w:p>
        </w:tc>
        <w:tc>
          <w:tcPr>
            <w:tcW w:w="710" w:type="dxa"/>
            <w:shd w:val="clear" w:color="auto" w:fill="auto"/>
            <w:noWrap/>
            <w:vAlign w:val="bottom"/>
            <w:hideMark/>
          </w:tcPr>
          <w:p w14:paraId="271FAFD7"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6</w:t>
            </w:r>
          </w:p>
        </w:tc>
        <w:tc>
          <w:tcPr>
            <w:tcW w:w="710" w:type="dxa"/>
            <w:vAlign w:val="bottom"/>
          </w:tcPr>
          <w:p w14:paraId="05A98D6C"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6</w:t>
            </w:r>
          </w:p>
        </w:tc>
        <w:tc>
          <w:tcPr>
            <w:tcW w:w="710" w:type="dxa"/>
            <w:vAlign w:val="bottom"/>
          </w:tcPr>
          <w:p w14:paraId="54A31231"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n.d.</w:t>
            </w:r>
          </w:p>
        </w:tc>
      </w:tr>
      <w:tr w:rsidR="00EA2A7A" w:rsidRPr="00254AB9" w14:paraId="23682245" w14:textId="77777777" w:rsidTr="000B3CE9">
        <w:trPr>
          <w:trHeight w:val="300"/>
          <w:jc w:val="center"/>
        </w:trPr>
        <w:tc>
          <w:tcPr>
            <w:tcW w:w="2200" w:type="dxa"/>
            <w:shd w:val="clear" w:color="auto" w:fill="auto"/>
            <w:noWrap/>
            <w:vAlign w:val="bottom"/>
            <w:hideMark/>
          </w:tcPr>
          <w:p w14:paraId="3B3624A9" w14:textId="77777777" w:rsidR="000B3CE9" w:rsidRPr="00254AB9" w:rsidRDefault="000B3CE9" w:rsidP="00730223">
            <w:pPr>
              <w:spacing w:after="0" w:line="240" w:lineRule="auto"/>
              <w:rPr>
                <w:rFonts w:eastAsia="Times New Roman" w:cs="Calibri"/>
                <w:color w:val="000000"/>
                <w:sz w:val="21"/>
                <w:szCs w:val="21"/>
                <w:lang w:eastAsia="pl-PL"/>
              </w:rPr>
            </w:pPr>
            <w:r w:rsidRPr="00254AB9">
              <w:rPr>
                <w:rFonts w:eastAsia="Times New Roman" w:cs="Calibri"/>
                <w:color w:val="000000"/>
                <w:sz w:val="21"/>
                <w:szCs w:val="21"/>
                <w:lang w:eastAsia="pl-PL"/>
              </w:rPr>
              <w:t>Świętokrzyskie</w:t>
            </w:r>
          </w:p>
        </w:tc>
        <w:tc>
          <w:tcPr>
            <w:tcW w:w="709" w:type="dxa"/>
            <w:shd w:val="clear" w:color="auto" w:fill="auto"/>
            <w:noWrap/>
            <w:vAlign w:val="bottom"/>
            <w:hideMark/>
          </w:tcPr>
          <w:p w14:paraId="27292C68"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3</w:t>
            </w:r>
          </w:p>
        </w:tc>
        <w:tc>
          <w:tcPr>
            <w:tcW w:w="709" w:type="dxa"/>
            <w:shd w:val="clear" w:color="auto" w:fill="auto"/>
            <w:noWrap/>
            <w:vAlign w:val="bottom"/>
            <w:hideMark/>
          </w:tcPr>
          <w:p w14:paraId="7199506B"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1</w:t>
            </w:r>
          </w:p>
        </w:tc>
        <w:tc>
          <w:tcPr>
            <w:tcW w:w="708" w:type="dxa"/>
            <w:shd w:val="clear" w:color="auto" w:fill="auto"/>
            <w:noWrap/>
            <w:vAlign w:val="bottom"/>
            <w:hideMark/>
          </w:tcPr>
          <w:p w14:paraId="21AF1362"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3</w:t>
            </w:r>
          </w:p>
        </w:tc>
        <w:tc>
          <w:tcPr>
            <w:tcW w:w="709" w:type="dxa"/>
            <w:shd w:val="clear" w:color="auto" w:fill="auto"/>
            <w:noWrap/>
            <w:vAlign w:val="bottom"/>
            <w:hideMark/>
          </w:tcPr>
          <w:p w14:paraId="5487497A"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2</w:t>
            </w:r>
          </w:p>
        </w:tc>
        <w:tc>
          <w:tcPr>
            <w:tcW w:w="708" w:type="dxa"/>
            <w:shd w:val="clear" w:color="auto" w:fill="auto"/>
            <w:noWrap/>
            <w:vAlign w:val="bottom"/>
            <w:hideMark/>
          </w:tcPr>
          <w:p w14:paraId="651AB3F8"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1</w:t>
            </w:r>
          </w:p>
        </w:tc>
        <w:tc>
          <w:tcPr>
            <w:tcW w:w="710" w:type="dxa"/>
            <w:shd w:val="clear" w:color="auto" w:fill="auto"/>
            <w:noWrap/>
            <w:vAlign w:val="bottom"/>
            <w:hideMark/>
          </w:tcPr>
          <w:p w14:paraId="4C772B74"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1</w:t>
            </w:r>
          </w:p>
        </w:tc>
        <w:tc>
          <w:tcPr>
            <w:tcW w:w="710" w:type="dxa"/>
            <w:vAlign w:val="bottom"/>
          </w:tcPr>
          <w:p w14:paraId="12CACC5F"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2</w:t>
            </w:r>
          </w:p>
        </w:tc>
        <w:tc>
          <w:tcPr>
            <w:tcW w:w="710" w:type="dxa"/>
            <w:vAlign w:val="bottom"/>
          </w:tcPr>
          <w:p w14:paraId="090F1A14"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n.d.</w:t>
            </w:r>
          </w:p>
        </w:tc>
      </w:tr>
      <w:tr w:rsidR="00EA2A7A" w:rsidRPr="00254AB9" w14:paraId="0BF1FA28" w14:textId="77777777" w:rsidTr="000B3CE9">
        <w:trPr>
          <w:trHeight w:val="300"/>
          <w:jc w:val="center"/>
        </w:trPr>
        <w:tc>
          <w:tcPr>
            <w:tcW w:w="2200" w:type="dxa"/>
            <w:shd w:val="clear" w:color="auto" w:fill="auto"/>
            <w:noWrap/>
            <w:vAlign w:val="bottom"/>
            <w:hideMark/>
          </w:tcPr>
          <w:p w14:paraId="6CF782F6" w14:textId="60CAC1FF" w:rsidR="000B3CE9" w:rsidRPr="00254AB9" w:rsidRDefault="000B3CE9" w:rsidP="00730223">
            <w:pPr>
              <w:spacing w:after="0" w:line="240" w:lineRule="auto"/>
              <w:rPr>
                <w:rFonts w:eastAsia="Times New Roman" w:cs="Calibri"/>
                <w:color w:val="000000"/>
                <w:sz w:val="21"/>
                <w:szCs w:val="21"/>
                <w:lang w:eastAsia="pl-PL"/>
              </w:rPr>
            </w:pPr>
            <w:r w:rsidRPr="00254AB9">
              <w:rPr>
                <w:rFonts w:eastAsia="Times New Roman" w:cs="Calibri"/>
                <w:color w:val="000000"/>
                <w:sz w:val="21"/>
                <w:szCs w:val="21"/>
                <w:lang w:eastAsia="pl-PL"/>
              </w:rPr>
              <w:t>Warmińsko-</w:t>
            </w:r>
            <w:r w:rsidR="008E6AE2">
              <w:rPr>
                <w:rFonts w:eastAsia="Times New Roman" w:cs="Calibri"/>
                <w:color w:val="000000"/>
                <w:sz w:val="21"/>
                <w:szCs w:val="21"/>
                <w:lang w:eastAsia="pl-PL"/>
              </w:rPr>
              <w:t>m</w:t>
            </w:r>
            <w:r w:rsidRPr="00254AB9">
              <w:rPr>
                <w:rFonts w:eastAsia="Times New Roman" w:cs="Calibri"/>
                <w:color w:val="000000"/>
                <w:sz w:val="21"/>
                <w:szCs w:val="21"/>
                <w:lang w:eastAsia="pl-PL"/>
              </w:rPr>
              <w:t>azurskie</w:t>
            </w:r>
          </w:p>
        </w:tc>
        <w:tc>
          <w:tcPr>
            <w:tcW w:w="709" w:type="dxa"/>
            <w:shd w:val="clear" w:color="auto" w:fill="auto"/>
            <w:noWrap/>
            <w:vAlign w:val="bottom"/>
            <w:hideMark/>
          </w:tcPr>
          <w:p w14:paraId="6E6805A9"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2</w:t>
            </w:r>
          </w:p>
        </w:tc>
        <w:tc>
          <w:tcPr>
            <w:tcW w:w="709" w:type="dxa"/>
            <w:shd w:val="clear" w:color="auto" w:fill="auto"/>
            <w:noWrap/>
            <w:vAlign w:val="bottom"/>
            <w:hideMark/>
          </w:tcPr>
          <w:p w14:paraId="27AE0C9F"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6</w:t>
            </w:r>
          </w:p>
        </w:tc>
        <w:tc>
          <w:tcPr>
            <w:tcW w:w="708" w:type="dxa"/>
            <w:shd w:val="clear" w:color="auto" w:fill="auto"/>
            <w:noWrap/>
            <w:vAlign w:val="bottom"/>
            <w:hideMark/>
          </w:tcPr>
          <w:p w14:paraId="5B26FCB6"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6</w:t>
            </w:r>
          </w:p>
        </w:tc>
        <w:tc>
          <w:tcPr>
            <w:tcW w:w="709" w:type="dxa"/>
            <w:shd w:val="clear" w:color="auto" w:fill="auto"/>
            <w:noWrap/>
            <w:vAlign w:val="bottom"/>
            <w:hideMark/>
          </w:tcPr>
          <w:p w14:paraId="01B9C0DE"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n.d.</w:t>
            </w:r>
          </w:p>
        </w:tc>
        <w:tc>
          <w:tcPr>
            <w:tcW w:w="708" w:type="dxa"/>
            <w:shd w:val="clear" w:color="auto" w:fill="auto"/>
            <w:noWrap/>
            <w:vAlign w:val="bottom"/>
            <w:hideMark/>
          </w:tcPr>
          <w:p w14:paraId="4E28A398"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n.d.</w:t>
            </w:r>
          </w:p>
        </w:tc>
        <w:tc>
          <w:tcPr>
            <w:tcW w:w="710" w:type="dxa"/>
            <w:shd w:val="clear" w:color="auto" w:fill="auto"/>
            <w:noWrap/>
            <w:vAlign w:val="bottom"/>
            <w:hideMark/>
          </w:tcPr>
          <w:p w14:paraId="0818D8BD"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3</w:t>
            </w:r>
          </w:p>
        </w:tc>
        <w:tc>
          <w:tcPr>
            <w:tcW w:w="710" w:type="dxa"/>
            <w:vAlign w:val="bottom"/>
          </w:tcPr>
          <w:p w14:paraId="3C3F7EF6"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n.d.</w:t>
            </w:r>
          </w:p>
        </w:tc>
        <w:tc>
          <w:tcPr>
            <w:tcW w:w="710" w:type="dxa"/>
            <w:vAlign w:val="bottom"/>
          </w:tcPr>
          <w:p w14:paraId="6AF674F6"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2</w:t>
            </w:r>
          </w:p>
        </w:tc>
      </w:tr>
      <w:tr w:rsidR="00EA2A7A" w:rsidRPr="00254AB9" w14:paraId="1E381A30" w14:textId="77777777" w:rsidTr="000B3CE9">
        <w:trPr>
          <w:trHeight w:val="300"/>
          <w:jc w:val="center"/>
        </w:trPr>
        <w:tc>
          <w:tcPr>
            <w:tcW w:w="2200" w:type="dxa"/>
            <w:shd w:val="clear" w:color="auto" w:fill="auto"/>
            <w:noWrap/>
            <w:vAlign w:val="bottom"/>
            <w:hideMark/>
          </w:tcPr>
          <w:p w14:paraId="5D167C83" w14:textId="77777777" w:rsidR="000B3CE9" w:rsidRPr="00254AB9" w:rsidRDefault="000B3CE9" w:rsidP="00730223">
            <w:pPr>
              <w:spacing w:after="0" w:line="240" w:lineRule="auto"/>
              <w:rPr>
                <w:rFonts w:eastAsia="Times New Roman" w:cs="Calibri"/>
                <w:color w:val="000000"/>
                <w:sz w:val="21"/>
                <w:szCs w:val="21"/>
                <w:lang w:eastAsia="pl-PL"/>
              </w:rPr>
            </w:pPr>
            <w:r w:rsidRPr="00254AB9">
              <w:rPr>
                <w:rFonts w:eastAsia="Times New Roman" w:cs="Calibri"/>
                <w:color w:val="000000"/>
                <w:sz w:val="21"/>
                <w:szCs w:val="21"/>
                <w:lang w:eastAsia="pl-PL"/>
              </w:rPr>
              <w:t>Wielkopolskie</w:t>
            </w:r>
          </w:p>
        </w:tc>
        <w:tc>
          <w:tcPr>
            <w:tcW w:w="709" w:type="dxa"/>
            <w:shd w:val="clear" w:color="auto" w:fill="auto"/>
            <w:noWrap/>
            <w:vAlign w:val="bottom"/>
            <w:hideMark/>
          </w:tcPr>
          <w:p w14:paraId="42B39F55"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10</w:t>
            </w:r>
          </w:p>
        </w:tc>
        <w:tc>
          <w:tcPr>
            <w:tcW w:w="709" w:type="dxa"/>
            <w:shd w:val="clear" w:color="auto" w:fill="auto"/>
            <w:noWrap/>
            <w:vAlign w:val="bottom"/>
            <w:hideMark/>
          </w:tcPr>
          <w:p w14:paraId="7FF44F60"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5</w:t>
            </w:r>
          </w:p>
        </w:tc>
        <w:tc>
          <w:tcPr>
            <w:tcW w:w="708" w:type="dxa"/>
            <w:shd w:val="clear" w:color="auto" w:fill="auto"/>
            <w:noWrap/>
            <w:vAlign w:val="bottom"/>
            <w:hideMark/>
          </w:tcPr>
          <w:p w14:paraId="5A960B5C"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7</w:t>
            </w:r>
          </w:p>
        </w:tc>
        <w:tc>
          <w:tcPr>
            <w:tcW w:w="709" w:type="dxa"/>
            <w:shd w:val="clear" w:color="auto" w:fill="auto"/>
            <w:noWrap/>
            <w:vAlign w:val="bottom"/>
            <w:hideMark/>
          </w:tcPr>
          <w:p w14:paraId="493EC16E"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3</w:t>
            </w:r>
          </w:p>
        </w:tc>
        <w:tc>
          <w:tcPr>
            <w:tcW w:w="708" w:type="dxa"/>
            <w:shd w:val="clear" w:color="auto" w:fill="auto"/>
            <w:noWrap/>
            <w:vAlign w:val="bottom"/>
            <w:hideMark/>
          </w:tcPr>
          <w:p w14:paraId="078F8037"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2</w:t>
            </w:r>
          </w:p>
        </w:tc>
        <w:tc>
          <w:tcPr>
            <w:tcW w:w="710" w:type="dxa"/>
            <w:shd w:val="clear" w:color="auto" w:fill="auto"/>
            <w:noWrap/>
            <w:vAlign w:val="bottom"/>
            <w:hideMark/>
          </w:tcPr>
          <w:p w14:paraId="27367CFF"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3</w:t>
            </w:r>
          </w:p>
        </w:tc>
        <w:tc>
          <w:tcPr>
            <w:tcW w:w="710" w:type="dxa"/>
            <w:vAlign w:val="bottom"/>
          </w:tcPr>
          <w:p w14:paraId="70661342"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6</w:t>
            </w:r>
          </w:p>
        </w:tc>
        <w:tc>
          <w:tcPr>
            <w:tcW w:w="710" w:type="dxa"/>
            <w:vAlign w:val="bottom"/>
          </w:tcPr>
          <w:p w14:paraId="16FDB5E7"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3</w:t>
            </w:r>
          </w:p>
        </w:tc>
      </w:tr>
      <w:tr w:rsidR="00EA2A7A" w:rsidRPr="00254AB9" w14:paraId="4F5320CF" w14:textId="77777777" w:rsidTr="000B3CE9">
        <w:trPr>
          <w:trHeight w:val="300"/>
          <w:jc w:val="center"/>
        </w:trPr>
        <w:tc>
          <w:tcPr>
            <w:tcW w:w="2200" w:type="dxa"/>
            <w:shd w:val="clear" w:color="auto" w:fill="auto"/>
            <w:noWrap/>
            <w:vAlign w:val="bottom"/>
            <w:hideMark/>
          </w:tcPr>
          <w:p w14:paraId="695170E9" w14:textId="77777777" w:rsidR="000B3CE9" w:rsidRPr="00254AB9" w:rsidRDefault="000B3CE9" w:rsidP="00730223">
            <w:pPr>
              <w:spacing w:after="0" w:line="240" w:lineRule="auto"/>
              <w:rPr>
                <w:rFonts w:eastAsia="Times New Roman" w:cs="Calibri"/>
                <w:color w:val="000000"/>
                <w:sz w:val="21"/>
                <w:szCs w:val="21"/>
                <w:lang w:eastAsia="pl-PL"/>
              </w:rPr>
            </w:pPr>
            <w:r w:rsidRPr="00254AB9">
              <w:rPr>
                <w:rFonts w:eastAsia="Times New Roman" w:cs="Calibri"/>
                <w:color w:val="000000"/>
                <w:sz w:val="21"/>
                <w:szCs w:val="21"/>
                <w:lang w:eastAsia="pl-PL"/>
              </w:rPr>
              <w:t>Zachodniopomorskie</w:t>
            </w:r>
          </w:p>
        </w:tc>
        <w:tc>
          <w:tcPr>
            <w:tcW w:w="709" w:type="dxa"/>
            <w:shd w:val="clear" w:color="auto" w:fill="auto"/>
            <w:noWrap/>
            <w:vAlign w:val="bottom"/>
            <w:hideMark/>
          </w:tcPr>
          <w:p w14:paraId="746593CD"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n.d.</w:t>
            </w:r>
          </w:p>
        </w:tc>
        <w:tc>
          <w:tcPr>
            <w:tcW w:w="709" w:type="dxa"/>
            <w:shd w:val="clear" w:color="auto" w:fill="auto"/>
            <w:noWrap/>
            <w:vAlign w:val="bottom"/>
            <w:hideMark/>
          </w:tcPr>
          <w:p w14:paraId="77E414A8"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n.d.</w:t>
            </w:r>
          </w:p>
        </w:tc>
        <w:tc>
          <w:tcPr>
            <w:tcW w:w="708" w:type="dxa"/>
            <w:shd w:val="clear" w:color="auto" w:fill="auto"/>
            <w:noWrap/>
            <w:vAlign w:val="bottom"/>
            <w:hideMark/>
          </w:tcPr>
          <w:p w14:paraId="03F97489"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3</w:t>
            </w:r>
          </w:p>
        </w:tc>
        <w:tc>
          <w:tcPr>
            <w:tcW w:w="709" w:type="dxa"/>
            <w:shd w:val="clear" w:color="auto" w:fill="auto"/>
            <w:noWrap/>
            <w:vAlign w:val="bottom"/>
            <w:hideMark/>
          </w:tcPr>
          <w:p w14:paraId="13F856DB"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3</w:t>
            </w:r>
          </w:p>
        </w:tc>
        <w:tc>
          <w:tcPr>
            <w:tcW w:w="708" w:type="dxa"/>
            <w:shd w:val="clear" w:color="auto" w:fill="auto"/>
            <w:noWrap/>
            <w:vAlign w:val="bottom"/>
            <w:hideMark/>
          </w:tcPr>
          <w:p w14:paraId="3928D40B"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1</w:t>
            </w:r>
          </w:p>
        </w:tc>
        <w:tc>
          <w:tcPr>
            <w:tcW w:w="710" w:type="dxa"/>
            <w:shd w:val="clear" w:color="auto" w:fill="auto"/>
            <w:noWrap/>
            <w:vAlign w:val="bottom"/>
            <w:hideMark/>
          </w:tcPr>
          <w:p w14:paraId="6E5B8495"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1</w:t>
            </w:r>
          </w:p>
        </w:tc>
        <w:tc>
          <w:tcPr>
            <w:tcW w:w="710" w:type="dxa"/>
            <w:vAlign w:val="bottom"/>
          </w:tcPr>
          <w:p w14:paraId="47FA391F"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1</w:t>
            </w:r>
          </w:p>
        </w:tc>
        <w:tc>
          <w:tcPr>
            <w:tcW w:w="710" w:type="dxa"/>
            <w:vAlign w:val="bottom"/>
          </w:tcPr>
          <w:p w14:paraId="656E30CD" w14:textId="77777777" w:rsidR="000B3CE9" w:rsidRPr="00254AB9" w:rsidRDefault="000B3CE9" w:rsidP="00730223">
            <w:pPr>
              <w:spacing w:after="0" w:line="240" w:lineRule="auto"/>
              <w:jc w:val="center"/>
              <w:rPr>
                <w:rFonts w:eastAsia="Times New Roman" w:cs="Calibri"/>
                <w:color w:val="000000"/>
                <w:sz w:val="21"/>
                <w:szCs w:val="21"/>
                <w:lang w:eastAsia="pl-PL"/>
              </w:rPr>
            </w:pPr>
            <w:r w:rsidRPr="00254AB9">
              <w:rPr>
                <w:rFonts w:eastAsia="Times New Roman" w:cs="Calibri"/>
                <w:color w:val="000000"/>
                <w:sz w:val="21"/>
                <w:szCs w:val="21"/>
                <w:lang w:eastAsia="pl-PL"/>
              </w:rPr>
              <w:t>1</w:t>
            </w:r>
          </w:p>
        </w:tc>
      </w:tr>
      <w:tr w:rsidR="00181A7D" w:rsidRPr="00254AB9" w14:paraId="691807BD" w14:textId="77777777" w:rsidTr="000B3CE9">
        <w:trPr>
          <w:trHeight w:val="300"/>
          <w:jc w:val="center"/>
        </w:trPr>
        <w:tc>
          <w:tcPr>
            <w:tcW w:w="2200" w:type="dxa"/>
            <w:shd w:val="clear" w:color="DCE6F1" w:fill="DCE6F1"/>
            <w:noWrap/>
            <w:vAlign w:val="bottom"/>
            <w:hideMark/>
          </w:tcPr>
          <w:p w14:paraId="431E7419" w14:textId="77777777" w:rsidR="000B3CE9" w:rsidRPr="00254AB9" w:rsidRDefault="000B3CE9" w:rsidP="00730223">
            <w:pPr>
              <w:spacing w:after="0" w:line="240" w:lineRule="auto"/>
              <w:rPr>
                <w:rFonts w:eastAsia="Times New Roman" w:cs="Calibri"/>
                <w:b/>
                <w:bCs/>
                <w:color w:val="000000"/>
                <w:sz w:val="21"/>
                <w:szCs w:val="21"/>
                <w:lang w:eastAsia="pl-PL"/>
              </w:rPr>
            </w:pPr>
            <w:r w:rsidRPr="00254AB9">
              <w:rPr>
                <w:rFonts w:eastAsia="Times New Roman" w:cs="Calibri"/>
                <w:b/>
                <w:bCs/>
                <w:color w:val="000000"/>
                <w:sz w:val="21"/>
                <w:szCs w:val="21"/>
                <w:lang w:eastAsia="pl-PL"/>
              </w:rPr>
              <w:t>Suma końcowa</w:t>
            </w:r>
          </w:p>
        </w:tc>
        <w:tc>
          <w:tcPr>
            <w:tcW w:w="709" w:type="dxa"/>
            <w:shd w:val="clear" w:color="DCE6F1" w:fill="DCE6F1"/>
            <w:noWrap/>
            <w:vAlign w:val="bottom"/>
            <w:hideMark/>
          </w:tcPr>
          <w:p w14:paraId="0258C731" w14:textId="77777777" w:rsidR="000B3CE9" w:rsidRPr="00254AB9" w:rsidRDefault="000B3CE9" w:rsidP="00730223">
            <w:pPr>
              <w:spacing w:after="0" w:line="240" w:lineRule="auto"/>
              <w:jc w:val="center"/>
              <w:rPr>
                <w:rFonts w:eastAsia="Times New Roman" w:cs="Calibri"/>
                <w:b/>
                <w:bCs/>
                <w:color w:val="000000"/>
                <w:sz w:val="21"/>
                <w:szCs w:val="21"/>
                <w:lang w:eastAsia="pl-PL"/>
              </w:rPr>
            </w:pPr>
            <w:r w:rsidRPr="00254AB9">
              <w:rPr>
                <w:rFonts w:eastAsia="Times New Roman" w:cs="Calibri"/>
                <w:b/>
                <w:bCs/>
                <w:color w:val="000000"/>
                <w:sz w:val="21"/>
                <w:szCs w:val="21"/>
                <w:lang w:eastAsia="pl-PL"/>
              </w:rPr>
              <w:t>102</w:t>
            </w:r>
          </w:p>
        </w:tc>
        <w:tc>
          <w:tcPr>
            <w:tcW w:w="709" w:type="dxa"/>
            <w:shd w:val="clear" w:color="DCE6F1" w:fill="DCE6F1"/>
            <w:noWrap/>
            <w:vAlign w:val="bottom"/>
            <w:hideMark/>
          </w:tcPr>
          <w:p w14:paraId="22DE49B1" w14:textId="77777777" w:rsidR="000B3CE9" w:rsidRPr="00254AB9" w:rsidRDefault="000B3CE9" w:rsidP="00730223">
            <w:pPr>
              <w:spacing w:after="0" w:line="240" w:lineRule="auto"/>
              <w:jc w:val="center"/>
              <w:rPr>
                <w:rFonts w:eastAsia="Times New Roman" w:cs="Calibri"/>
                <w:b/>
                <w:bCs/>
                <w:color w:val="000000"/>
                <w:sz w:val="21"/>
                <w:szCs w:val="21"/>
                <w:lang w:eastAsia="pl-PL"/>
              </w:rPr>
            </w:pPr>
            <w:r w:rsidRPr="00254AB9">
              <w:rPr>
                <w:rFonts w:eastAsia="Times New Roman" w:cs="Calibri"/>
                <w:b/>
                <w:bCs/>
                <w:color w:val="000000"/>
                <w:sz w:val="21"/>
                <w:szCs w:val="21"/>
                <w:lang w:eastAsia="pl-PL"/>
              </w:rPr>
              <w:t>57</w:t>
            </w:r>
          </w:p>
        </w:tc>
        <w:tc>
          <w:tcPr>
            <w:tcW w:w="708" w:type="dxa"/>
            <w:shd w:val="clear" w:color="DCE6F1" w:fill="DCE6F1"/>
            <w:noWrap/>
            <w:vAlign w:val="bottom"/>
            <w:hideMark/>
          </w:tcPr>
          <w:p w14:paraId="44BDC932" w14:textId="77777777" w:rsidR="000B3CE9" w:rsidRPr="00254AB9" w:rsidRDefault="000B3CE9" w:rsidP="00730223">
            <w:pPr>
              <w:spacing w:after="0" w:line="240" w:lineRule="auto"/>
              <w:jc w:val="center"/>
              <w:rPr>
                <w:rFonts w:eastAsia="Times New Roman" w:cs="Calibri"/>
                <w:b/>
                <w:bCs/>
                <w:color w:val="000000"/>
                <w:sz w:val="21"/>
                <w:szCs w:val="21"/>
                <w:lang w:eastAsia="pl-PL"/>
              </w:rPr>
            </w:pPr>
            <w:r w:rsidRPr="00254AB9">
              <w:rPr>
                <w:rFonts w:eastAsia="Times New Roman" w:cs="Calibri"/>
                <w:b/>
                <w:bCs/>
                <w:color w:val="000000"/>
                <w:sz w:val="21"/>
                <w:szCs w:val="21"/>
                <w:lang w:eastAsia="pl-PL"/>
              </w:rPr>
              <w:t>82</w:t>
            </w:r>
          </w:p>
        </w:tc>
        <w:tc>
          <w:tcPr>
            <w:tcW w:w="709" w:type="dxa"/>
            <w:shd w:val="clear" w:color="DCE6F1" w:fill="DCE6F1"/>
            <w:noWrap/>
            <w:vAlign w:val="bottom"/>
            <w:hideMark/>
          </w:tcPr>
          <w:p w14:paraId="3FDC4EFE" w14:textId="77777777" w:rsidR="000B3CE9" w:rsidRPr="00254AB9" w:rsidRDefault="000B3CE9" w:rsidP="00730223">
            <w:pPr>
              <w:spacing w:after="0" w:line="240" w:lineRule="auto"/>
              <w:jc w:val="center"/>
              <w:rPr>
                <w:rFonts w:eastAsia="Times New Roman" w:cs="Calibri"/>
                <w:b/>
                <w:bCs/>
                <w:color w:val="000000"/>
                <w:sz w:val="21"/>
                <w:szCs w:val="21"/>
                <w:lang w:eastAsia="pl-PL"/>
              </w:rPr>
            </w:pPr>
            <w:r w:rsidRPr="00254AB9">
              <w:rPr>
                <w:rFonts w:eastAsia="Times New Roman" w:cs="Calibri"/>
                <w:b/>
                <w:bCs/>
                <w:color w:val="000000"/>
                <w:sz w:val="21"/>
                <w:szCs w:val="21"/>
                <w:lang w:eastAsia="pl-PL"/>
              </w:rPr>
              <w:t>51</w:t>
            </w:r>
          </w:p>
        </w:tc>
        <w:tc>
          <w:tcPr>
            <w:tcW w:w="708" w:type="dxa"/>
            <w:shd w:val="clear" w:color="DCE6F1" w:fill="DCE6F1"/>
            <w:noWrap/>
            <w:vAlign w:val="bottom"/>
            <w:hideMark/>
          </w:tcPr>
          <w:p w14:paraId="01CF3939" w14:textId="77777777" w:rsidR="000B3CE9" w:rsidRPr="00254AB9" w:rsidRDefault="000B3CE9" w:rsidP="00730223">
            <w:pPr>
              <w:spacing w:after="0" w:line="240" w:lineRule="auto"/>
              <w:jc w:val="center"/>
              <w:rPr>
                <w:rFonts w:eastAsia="Times New Roman" w:cs="Calibri"/>
                <w:b/>
                <w:bCs/>
                <w:color w:val="000000"/>
                <w:sz w:val="21"/>
                <w:szCs w:val="21"/>
                <w:lang w:eastAsia="pl-PL"/>
              </w:rPr>
            </w:pPr>
            <w:r w:rsidRPr="00254AB9">
              <w:rPr>
                <w:rFonts w:eastAsia="Times New Roman" w:cs="Calibri"/>
                <w:b/>
                <w:bCs/>
                <w:color w:val="000000"/>
                <w:sz w:val="21"/>
                <w:szCs w:val="21"/>
                <w:lang w:eastAsia="pl-PL"/>
              </w:rPr>
              <w:t>22</w:t>
            </w:r>
          </w:p>
        </w:tc>
        <w:tc>
          <w:tcPr>
            <w:tcW w:w="710" w:type="dxa"/>
            <w:shd w:val="clear" w:color="DCE6F1" w:fill="DCE6F1"/>
            <w:noWrap/>
            <w:vAlign w:val="bottom"/>
            <w:hideMark/>
          </w:tcPr>
          <w:p w14:paraId="05D2F61C" w14:textId="77777777" w:rsidR="000B3CE9" w:rsidRPr="00254AB9" w:rsidRDefault="000B3CE9" w:rsidP="00730223">
            <w:pPr>
              <w:spacing w:after="0" w:line="240" w:lineRule="auto"/>
              <w:jc w:val="center"/>
              <w:rPr>
                <w:rFonts w:eastAsia="Times New Roman" w:cs="Calibri"/>
                <w:b/>
                <w:bCs/>
                <w:color w:val="000000"/>
                <w:sz w:val="21"/>
                <w:szCs w:val="21"/>
                <w:lang w:eastAsia="pl-PL"/>
              </w:rPr>
            </w:pPr>
            <w:r w:rsidRPr="00254AB9">
              <w:rPr>
                <w:rFonts w:eastAsia="Times New Roman" w:cs="Calibri"/>
                <w:b/>
                <w:bCs/>
                <w:color w:val="000000"/>
                <w:sz w:val="21"/>
                <w:szCs w:val="21"/>
                <w:lang w:eastAsia="pl-PL"/>
              </w:rPr>
              <w:t>39</w:t>
            </w:r>
          </w:p>
        </w:tc>
        <w:tc>
          <w:tcPr>
            <w:tcW w:w="710" w:type="dxa"/>
            <w:shd w:val="clear" w:color="DCE6F1" w:fill="DCE6F1"/>
            <w:vAlign w:val="bottom"/>
          </w:tcPr>
          <w:p w14:paraId="09383EB5" w14:textId="77777777" w:rsidR="000B3CE9" w:rsidRPr="00254AB9" w:rsidRDefault="000B3CE9" w:rsidP="00730223">
            <w:pPr>
              <w:spacing w:after="0" w:line="240" w:lineRule="auto"/>
              <w:jc w:val="center"/>
              <w:rPr>
                <w:rFonts w:eastAsia="Times New Roman" w:cs="Calibri"/>
                <w:b/>
                <w:bCs/>
                <w:color w:val="000000"/>
                <w:sz w:val="21"/>
                <w:szCs w:val="21"/>
                <w:lang w:eastAsia="pl-PL"/>
              </w:rPr>
            </w:pPr>
            <w:r w:rsidRPr="00254AB9">
              <w:rPr>
                <w:rFonts w:eastAsia="Times New Roman" w:cs="Calibri"/>
                <w:b/>
                <w:bCs/>
                <w:color w:val="000000"/>
                <w:sz w:val="21"/>
                <w:szCs w:val="21"/>
                <w:lang w:eastAsia="pl-PL"/>
              </w:rPr>
              <w:t>46</w:t>
            </w:r>
          </w:p>
        </w:tc>
        <w:tc>
          <w:tcPr>
            <w:tcW w:w="710" w:type="dxa"/>
            <w:shd w:val="clear" w:color="DCE6F1" w:fill="DCE6F1"/>
            <w:vAlign w:val="bottom"/>
          </w:tcPr>
          <w:p w14:paraId="4DCA6881" w14:textId="77777777" w:rsidR="000B3CE9" w:rsidRPr="00254AB9" w:rsidRDefault="000B3CE9" w:rsidP="00730223">
            <w:pPr>
              <w:spacing w:after="0" w:line="240" w:lineRule="auto"/>
              <w:jc w:val="center"/>
              <w:rPr>
                <w:rFonts w:eastAsia="Times New Roman" w:cs="Calibri"/>
                <w:b/>
                <w:bCs/>
                <w:color w:val="000000"/>
                <w:sz w:val="21"/>
                <w:szCs w:val="21"/>
                <w:lang w:eastAsia="pl-PL"/>
              </w:rPr>
            </w:pPr>
            <w:r w:rsidRPr="00254AB9">
              <w:rPr>
                <w:rFonts w:eastAsia="Times New Roman" w:cs="Calibri"/>
                <w:b/>
                <w:bCs/>
                <w:color w:val="000000"/>
                <w:sz w:val="21"/>
                <w:szCs w:val="21"/>
                <w:lang w:eastAsia="pl-PL"/>
              </w:rPr>
              <w:t>37</w:t>
            </w:r>
          </w:p>
        </w:tc>
      </w:tr>
    </w:tbl>
    <w:p w14:paraId="56B0D42E" w14:textId="77777777" w:rsidR="008E6AE2" w:rsidRDefault="008E6AE2" w:rsidP="00D01FC4">
      <w:pPr>
        <w:pStyle w:val="Bezodstpw"/>
      </w:pPr>
    </w:p>
    <w:p w14:paraId="59EDBFAA" w14:textId="5D813079" w:rsidR="000B3CE9" w:rsidRPr="00254AB9" w:rsidRDefault="0082601F" w:rsidP="00D01FC4">
      <w:pPr>
        <w:pStyle w:val="Bezodstpw"/>
        <w:rPr>
          <w:i w:val="0"/>
        </w:rPr>
      </w:pPr>
      <w:r w:rsidRPr="00D01FC4">
        <w:t>Źródło</w:t>
      </w:r>
      <w:r w:rsidRPr="00254AB9">
        <w:t xml:space="preserve">: </w:t>
      </w:r>
      <w:r w:rsidR="000B3CE9" w:rsidRPr="00254AB9">
        <w:t>Opracowani</w:t>
      </w:r>
      <w:r w:rsidRPr="00254AB9">
        <w:t xml:space="preserve">e własne </w:t>
      </w:r>
      <w:r w:rsidR="000B3CE9" w:rsidRPr="00254AB9">
        <w:t xml:space="preserve"> </w:t>
      </w:r>
      <w:r w:rsidR="003A56DA">
        <w:t>MRiT</w:t>
      </w:r>
      <w:r w:rsidR="003A5EA7">
        <w:t xml:space="preserve"> </w:t>
      </w:r>
      <w:r w:rsidR="000B3CE9" w:rsidRPr="00254AB9">
        <w:t xml:space="preserve">na podstawie </w:t>
      </w:r>
      <w:r w:rsidR="004F0234" w:rsidRPr="00254AB9">
        <w:t>danych SOOIPP (2018)</w:t>
      </w:r>
    </w:p>
    <w:p w14:paraId="10DECD14" w14:textId="3D877BFC" w:rsidR="000B3CE9" w:rsidRPr="003D6D53" w:rsidRDefault="000B3CE9" w:rsidP="00D01FC4">
      <w:r w:rsidRPr="003D6D53">
        <w:t>Wprawdzie podobny problem dostępności terytorialnej dotyczy instytucji oferujących finansowanie (o charakterze preferencyjnym</w:t>
      </w:r>
      <w:r w:rsidR="008E6AE2">
        <w:t>,</w:t>
      </w:r>
      <w:r w:rsidRPr="003D6D53">
        <w:t xml:space="preserve"> jak</w:t>
      </w:r>
      <w:r w:rsidR="006343E1">
        <w:t xml:space="preserve"> </w:t>
      </w:r>
      <w:r w:rsidR="006343E1" w:rsidRPr="003D6D53">
        <w:t>i</w:t>
      </w:r>
      <w:r w:rsidR="006343E1">
        <w:t> </w:t>
      </w:r>
      <w:r w:rsidRPr="003D6D53">
        <w:t>komercyjnym), jednakże</w:t>
      </w:r>
      <w:r w:rsidR="006343E1">
        <w:t xml:space="preserve"> </w:t>
      </w:r>
      <w:r w:rsidR="006343E1" w:rsidRPr="003D6D53">
        <w:t>w</w:t>
      </w:r>
      <w:r w:rsidR="006343E1">
        <w:t> </w:t>
      </w:r>
      <w:r w:rsidRPr="003D6D53">
        <w:t>tym wypadku można mówić</w:t>
      </w:r>
      <w:r w:rsidR="006343E1">
        <w:t xml:space="preserve"> </w:t>
      </w:r>
      <w:r w:rsidR="006343E1" w:rsidRPr="003D6D53">
        <w:t>o</w:t>
      </w:r>
      <w:r w:rsidR="006343E1">
        <w:t> </w:t>
      </w:r>
      <w:r w:rsidRPr="003D6D53">
        <w:t xml:space="preserve">dobrze rozwiniętej sieci dystrybucji. Dotyczy to zarówno fizycznych lokalizacji (o zróżnicowanej wielkości), wykorzystywania sieci </w:t>
      </w:r>
      <w:r w:rsidR="001401E5" w:rsidRPr="003D6D53">
        <w:t>Internet</w:t>
      </w:r>
      <w:r w:rsidRPr="003D6D53">
        <w:t xml:space="preserve"> do dystrybucji usług finansowych oraz wykorzystywania mobilnych doradców. </w:t>
      </w:r>
    </w:p>
    <w:p w14:paraId="4E6E3675" w14:textId="0197ECE3" w:rsidR="00F46A27" w:rsidRPr="003D6D53" w:rsidRDefault="002744B8" w:rsidP="00D01FC4">
      <w:r w:rsidRPr="003D6D53">
        <w:t xml:space="preserve">Elementem otoczenia instytucjonalnego działalności jest </w:t>
      </w:r>
      <w:r w:rsidR="00F10229" w:rsidRPr="003D6D53">
        <w:t>zapoczątkowany</w:t>
      </w:r>
      <w:r w:rsidR="006343E1">
        <w:t xml:space="preserve"> </w:t>
      </w:r>
      <w:r w:rsidR="006343E1" w:rsidRPr="003D6D53">
        <w:t>w</w:t>
      </w:r>
      <w:r w:rsidR="006343E1">
        <w:t> </w:t>
      </w:r>
      <w:r w:rsidR="00F10229" w:rsidRPr="003D6D53">
        <w:t xml:space="preserve">1994 r. </w:t>
      </w:r>
      <w:r w:rsidRPr="003D6D53">
        <w:t>s</w:t>
      </w:r>
      <w:r w:rsidR="000B3CE9" w:rsidRPr="003D6D53">
        <w:t xml:space="preserve">ystem </w:t>
      </w:r>
      <w:r w:rsidR="000B3CE9" w:rsidRPr="003D6D53">
        <w:rPr>
          <w:b/>
        </w:rPr>
        <w:t>specjalnych stref ekonomicznych</w:t>
      </w:r>
      <w:r w:rsidR="000B3CE9" w:rsidRPr="003D6D53">
        <w:t xml:space="preserve"> </w:t>
      </w:r>
      <w:r w:rsidRPr="003D6D53">
        <w:t xml:space="preserve">(SSE). </w:t>
      </w:r>
      <w:r w:rsidR="00F10229" w:rsidRPr="003D6D53">
        <w:t>B</w:t>
      </w:r>
      <w:r w:rsidRPr="003D6D53">
        <w:t xml:space="preserve">ył on </w:t>
      </w:r>
      <w:r w:rsidR="000B3CE9" w:rsidRPr="003D6D53">
        <w:t>zbudowany jak</w:t>
      </w:r>
      <w:r w:rsidRPr="003D6D53">
        <w:t>o</w:t>
      </w:r>
      <w:r w:rsidR="000B3CE9" w:rsidRPr="003D6D53">
        <w:t xml:space="preserve"> mechanizm wsparcia obszarów terytoriów kraju charakteryzujących się wyższym niż przeciętnie poziomem bezrobocia</w:t>
      </w:r>
      <w:r w:rsidR="006343E1">
        <w:t xml:space="preserve"> </w:t>
      </w:r>
      <w:r w:rsidR="006343E1" w:rsidRPr="003D6D53">
        <w:t>i</w:t>
      </w:r>
      <w:r w:rsidR="006343E1">
        <w:t> </w:t>
      </w:r>
      <w:r w:rsidR="000B3CE9" w:rsidRPr="003D6D53">
        <w:t xml:space="preserve">niższą aktywnością gospodarczą. Tym samym jest to narzędzie realizacji polityki regionalnej przez rząd. </w:t>
      </w:r>
      <w:r w:rsidR="00F46A27" w:rsidRPr="003D6D53">
        <w:t>SSE to wyodrębnione administracyjnie obszary Polski, na których przedsiębiorcy realizujący nowe inwestycje mogą skorzystać ze zwolnienia z podatku dochodowego w odniesieniu do dochodów uzyskiwanych</w:t>
      </w:r>
      <w:r w:rsidR="006343E1">
        <w:t xml:space="preserve"> </w:t>
      </w:r>
      <w:r w:rsidR="006343E1" w:rsidRPr="003D6D53">
        <w:t>w</w:t>
      </w:r>
      <w:r w:rsidR="006343E1">
        <w:t> </w:t>
      </w:r>
      <w:r w:rsidR="00F46A27" w:rsidRPr="003D6D53">
        <w:t>strefie.</w:t>
      </w:r>
    </w:p>
    <w:p w14:paraId="752BF733" w14:textId="36F7A623" w:rsidR="00F10229" w:rsidRPr="003D6D53" w:rsidRDefault="00F10229" w:rsidP="00D01FC4">
      <w:r w:rsidRPr="003D6D53">
        <w:t>Ustawa</w:t>
      </w:r>
      <w:r w:rsidR="006343E1">
        <w:t xml:space="preserve"> </w:t>
      </w:r>
      <w:r w:rsidR="006343E1" w:rsidRPr="003D6D53">
        <w:t>z</w:t>
      </w:r>
      <w:r w:rsidR="006343E1">
        <w:t> </w:t>
      </w:r>
      <w:r w:rsidRPr="003D6D53">
        <w:t>dnia 10 maja 2018 r.</w:t>
      </w:r>
      <w:r w:rsidR="006343E1">
        <w:t xml:space="preserve"> </w:t>
      </w:r>
      <w:r w:rsidR="006343E1" w:rsidRPr="003D6D53">
        <w:t>o</w:t>
      </w:r>
      <w:r w:rsidR="006343E1">
        <w:t> </w:t>
      </w:r>
      <w:r w:rsidRPr="003D6D53">
        <w:t>wspieraniu nowych inwestycji (Dz.</w:t>
      </w:r>
      <w:r w:rsidR="008E6AE2">
        <w:t xml:space="preserve"> </w:t>
      </w:r>
      <w:r w:rsidRPr="003D6D53">
        <w:t>U.</w:t>
      </w:r>
      <w:r w:rsidR="001C3C76">
        <w:t xml:space="preserve"> 2018</w:t>
      </w:r>
      <w:r w:rsidRPr="003D6D53">
        <w:t xml:space="preserve"> poz. 1162</w:t>
      </w:r>
      <w:r w:rsidR="001C3C76">
        <w:t xml:space="preserve"> z późn. zm.</w:t>
      </w:r>
      <w:r w:rsidRPr="003D6D53">
        <w:t>) wprowadziła istotną zmianę</w:t>
      </w:r>
      <w:r w:rsidR="006343E1">
        <w:t xml:space="preserve"> </w:t>
      </w:r>
      <w:r w:rsidR="006343E1" w:rsidRPr="003D6D53">
        <w:t>w</w:t>
      </w:r>
      <w:r w:rsidR="006343E1">
        <w:t> </w:t>
      </w:r>
      <w:r w:rsidRPr="003D6D53">
        <w:t>polityce strefowej. Celem nowej regulacji jest zachęcenie przedsiębiorców do inwestowania na terenie całego kraju (Polska Strefa Inwestycji). Zatem od 30 czerwca 2018 r.</w:t>
      </w:r>
      <w:r w:rsidR="006343E1">
        <w:t xml:space="preserve"> </w:t>
      </w:r>
      <w:r w:rsidR="006343E1" w:rsidRPr="003D6D53">
        <w:t>w</w:t>
      </w:r>
      <w:r w:rsidR="006343E1">
        <w:t> </w:t>
      </w:r>
      <w:r w:rsidRPr="003D6D53">
        <w:t>całym kraju dostępne są zwolnienia podatkowe, oznacza to m.in. prostsze</w:t>
      </w:r>
      <w:r w:rsidR="006343E1">
        <w:t xml:space="preserve"> </w:t>
      </w:r>
      <w:r w:rsidR="006343E1" w:rsidRPr="003D6D53">
        <w:t>i</w:t>
      </w:r>
      <w:r w:rsidR="006343E1">
        <w:t> </w:t>
      </w:r>
      <w:r w:rsidRPr="003D6D53">
        <w:t>bardziej dostępne inwestowanie dla MŚP. Spółki zarządzające SSE otrzymały szerszy zakres kompetencji. Na mocy ww. ustawy prowadzą działania mające przyczynić się do wzrostu inwestycji na przypisanym im obszarze</w:t>
      </w:r>
      <w:r w:rsidR="006343E1">
        <w:t xml:space="preserve"> </w:t>
      </w:r>
      <w:r w:rsidR="006343E1" w:rsidRPr="003D6D53">
        <w:t>i</w:t>
      </w:r>
      <w:r w:rsidR="006343E1">
        <w:t> </w:t>
      </w:r>
      <w:r w:rsidR="008E6AE2">
        <w:t xml:space="preserve">do </w:t>
      </w:r>
      <w:r w:rsidRPr="003D6D53">
        <w:t>poprawy klimatu inwestycyjnego. Dotychczas obszar objęty wsparciem wynosił 25</w:t>
      </w:r>
      <w:r w:rsidR="008E6AE2">
        <w:t> </w:t>
      </w:r>
      <w:r w:rsidRPr="003D6D53">
        <w:t>tys. ha, czyli 0,08% powierzchni kraju. Po zmianach zachęty podatkowe będą dostępne</w:t>
      </w:r>
      <w:r w:rsidR="006343E1">
        <w:t xml:space="preserve"> </w:t>
      </w:r>
      <w:r w:rsidR="006343E1" w:rsidRPr="003D6D53">
        <w:t>w</w:t>
      </w:r>
      <w:r w:rsidR="006343E1">
        <w:t> </w:t>
      </w:r>
      <w:r w:rsidRPr="003D6D53">
        <w:t xml:space="preserve">całej Polsce na terenach, na których można prowadzić działalność gospodarczą. Celem zmian jest zwiększenie oferty atrakcyjnych terenów inwestycyjnych dla potencjalnych inwestorów. Ponadto MŚP nie będą musiały przenosić się do </w:t>
      </w:r>
      <w:r w:rsidR="000E5075">
        <w:t>s</w:t>
      </w:r>
      <w:r w:rsidRPr="003D6D53">
        <w:t>tref</w:t>
      </w:r>
      <w:r w:rsidR="006343E1">
        <w:t xml:space="preserve"> </w:t>
      </w:r>
      <w:r w:rsidR="006343E1" w:rsidRPr="003D6D53">
        <w:t>i</w:t>
      </w:r>
      <w:r w:rsidR="006343E1">
        <w:t> </w:t>
      </w:r>
      <w:r w:rsidRPr="003D6D53">
        <w:t>inwestować</w:t>
      </w:r>
      <w:r w:rsidR="006343E1">
        <w:t xml:space="preserve"> </w:t>
      </w:r>
      <w:r w:rsidR="006343E1" w:rsidRPr="003D6D53">
        <w:t>z</w:t>
      </w:r>
      <w:r w:rsidR="006343E1">
        <w:t> </w:t>
      </w:r>
      <w:r w:rsidRPr="003D6D53">
        <w:t>dala od dotychczasowego obszaru działania. Co ważne, zlikwidowana zostanie długotrwała</w:t>
      </w:r>
      <w:r w:rsidR="006343E1">
        <w:t xml:space="preserve"> </w:t>
      </w:r>
      <w:r w:rsidR="006343E1" w:rsidRPr="003D6D53">
        <w:t>i</w:t>
      </w:r>
      <w:r w:rsidR="006343E1">
        <w:t> </w:t>
      </w:r>
      <w:r w:rsidRPr="003D6D53">
        <w:t>obciążająca przedsiębiorcę procedura zmiany granic SSE.</w:t>
      </w:r>
    </w:p>
    <w:p w14:paraId="32B7516B" w14:textId="4A17DBA9" w:rsidR="00F10229" w:rsidRPr="003D6D53" w:rsidRDefault="00F10229" w:rsidP="00D01FC4">
      <w:r w:rsidRPr="003D6D53">
        <w:t>Spółki zarządzające SSE otrzymały szerszy zakres kompetencji. Na mocy ww. ustawy prowadzą działania mające przyczynić się do wzrostu inwestycji na danym obszarze</w:t>
      </w:r>
      <w:r w:rsidR="006343E1">
        <w:t xml:space="preserve"> </w:t>
      </w:r>
      <w:r w:rsidR="006343E1" w:rsidRPr="003D6D53">
        <w:t>i</w:t>
      </w:r>
      <w:r w:rsidR="006343E1">
        <w:t> </w:t>
      </w:r>
      <w:r w:rsidRPr="003D6D53">
        <w:t>poprawy klimatu inwestycyjnego. Stały się głównym punktem kontaktu</w:t>
      </w:r>
      <w:r w:rsidR="006343E1">
        <w:t xml:space="preserve"> </w:t>
      </w:r>
      <w:r w:rsidR="006343E1" w:rsidRPr="003D6D53">
        <w:t>w</w:t>
      </w:r>
      <w:r w:rsidR="006343E1">
        <w:t> </w:t>
      </w:r>
      <w:r w:rsidRPr="003D6D53">
        <w:t>regionie do obsługi inwestora oraz regionalnym koordynatorem udzielania pomocy publicznej</w:t>
      </w:r>
      <w:r w:rsidR="006343E1">
        <w:t xml:space="preserve"> </w:t>
      </w:r>
      <w:r w:rsidR="006343E1" w:rsidRPr="003D6D53">
        <w:t>w</w:t>
      </w:r>
      <w:r w:rsidR="006343E1">
        <w:t> </w:t>
      </w:r>
      <w:r w:rsidRPr="003D6D53">
        <w:t>obszarze instrumentu zwolnień podatkowych</w:t>
      </w:r>
      <w:r w:rsidR="006343E1">
        <w:t xml:space="preserve"> </w:t>
      </w:r>
      <w:r w:rsidR="006343E1" w:rsidRPr="003D6D53">
        <w:t>i</w:t>
      </w:r>
      <w:r w:rsidR="006343E1">
        <w:t> </w:t>
      </w:r>
      <w:r w:rsidRPr="003D6D53">
        <w:t>dotacji rządowej.</w:t>
      </w:r>
    </w:p>
    <w:p w14:paraId="3DBB534F" w14:textId="56039F56" w:rsidR="00F10229" w:rsidRPr="003D6D53" w:rsidRDefault="00F10229" w:rsidP="00D01FC4">
      <w:r w:rsidRPr="003D6D53">
        <w:lastRenderedPageBreak/>
        <w:t>Główne założenia nowego instrumentu to: rozszerzenie dostępności ulg podatkowych na całą Polskę, zniesienie daty granicznej zwolnienia, podwyższenie standardu obsługi inwestora, wprowadzenie przejrzystego</w:t>
      </w:r>
      <w:r w:rsidR="006343E1">
        <w:t xml:space="preserve"> </w:t>
      </w:r>
      <w:r w:rsidR="006343E1" w:rsidRPr="003D6D53">
        <w:t>i</w:t>
      </w:r>
      <w:r w:rsidR="006343E1">
        <w:t> </w:t>
      </w:r>
      <w:r w:rsidRPr="003D6D53">
        <w:t xml:space="preserve">jednolitego podziału obszaru działalności </w:t>
      </w:r>
      <w:r w:rsidR="000E5075">
        <w:t>s</w:t>
      </w:r>
      <w:r w:rsidRPr="003D6D53">
        <w:t xml:space="preserve">półek </w:t>
      </w:r>
      <w:r w:rsidR="000E5075">
        <w:t>z</w:t>
      </w:r>
      <w:r w:rsidRPr="003D6D53">
        <w:t>arządzających strefami oraz nacisk na wspieranie inwestycji</w:t>
      </w:r>
      <w:r w:rsidR="006343E1">
        <w:t xml:space="preserve"> </w:t>
      </w:r>
      <w:r w:rsidR="006343E1" w:rsidRPr="003D6D53">
        <w:t>o</w:t>
      </w:r>
      <w:r w:rsidR="006343E1">
        <w:t> </w:t>
      </w:r>
      <w:r w:rsidRPr="003D6D53">
        <w:t>wysokiej wartości dodanej poprzez zastosowanie kryteriów oceniających jakość inwestycji. Jednocześnie dostosowanie kryteriów ilościowych do wielkości przedsiębiorstw umożliwi bardziej efektywne wspieranie MŚP.</w:t>
      </w:r>
    </w:p>
    <w:p w14:paraId="5677C495" w14:textId="118869AA" w:rsidR="00E32C5B" w:rsidRPr="003D6D53" w:rsidRDefault="00C12F69" w:rsidP="00D01FC4">
      <w:pPr>
        <w:rPr>
          <w:rFonts w:cs="Calibri"/>
        </w:rPr>
      </w:pPr>
      <w:r w:rsidRPr="003D6D53">
        <w:rPr>
          <w:rFonts w:cs="Calibri"/>
        </w:rPr>
        <w:t>Dostępność do zwolnienia będzie wymagała spełnienia kryteriów jakościowych (m.in. wsparcie dla zrównoważonego rozwoju, rozwój zasobów ludzkich, współpraca</w:t>
      </w:r>
      <w:r w:rsidR="006343E1">
        <w:rPr>
          <w:rFonts w:cs="Calibri"/>
        </w:rPr>
        <w:t xml:space="preserve"> </w:t>
      </w:r>
      <w:r w:rsidR="006343E1" w:rsidRPr="003D6D53">
        <w:rPr>
          <w:rFonts w:cs="Calibri"/>
        </w:rPr>
        <w:t>z</w:t>
      </w:r>
      <w:r w:rsidR="006343E1">
        <w:rPr>
          <w:rFonts w:cs="Calibri"/>
        </w:rPr>
        <w:t> </w:t>
      </w:r>
      <w:r w:rsidRPr="003D6D53">
        <w:rPr>
          <w:rFonts w:cs="Calibri"/>
        </w:rPr>
        <w:t>krajowymi instytucjami nauki</w:t>
      </w:r>
      <w:r w:rsidR="006343E1">
        <w:rPr>
          <w:rFonts w:cs="Calibri"/>
        </w:rPr>
        <w:t xml:space="preserve"> </w:t>
      </w:r>
      <w:r w:rsidR="006343E1" w:rsidRPr="003D6D53">
        <w:rPr>
          <w:rFonts w:cs="Calibri"/>
        </w:rPr>
        <w:t>i</w:t>
      </w:r>
      <w:r w:rsidR="006343E1">
        <w:rPr>
          <w:rFonts w:cs="Calibri"/>
        </w:rPr>
        <w:t> </w:t>
      </w:r>
      <w:r w:rsidR="000E5167">
        <w:rPr>
          <w:rFonts w:cs="Calibri"/>
        </w:rPr>
        <w:t>podmiotami</w:t>
      </w:r>
      <w:r w:rsidR="00C54B63">
        <w:rPr>
          <w:rFonts w:cs="Calibri"/>
        </w:rPr>
        <w:t xml:space="preserve"> </w:t>
      </w:r>
      <w:r w:rsidRPr="003D6D53">
        <w:rPr>
          <w:rFonts w:cs="Calibri"/>
        </w:rPr>
        <w:t>B+R). Warto zatem zauważyć</w:t>
      </w:r>
      <w:r w:rsidR="00477C54">
        <w:rPr>
          <w:rFonts w:cs="Calibri"/>
        </w:rPr>
        <w:t>, że </w:t>
      </w:r>
      <w:r w:rsidRPr="003D6D53">
        <w:rPr>
          <w:rFonts w:cs="Calibri"/>
        </w:rPr>
        <w:t>zmiany dążą do przełamania pewnych mankamentów związanych</w:t>
      </w:r>
      <w:r w:rsidR="006343E1">
        <w:rPr>
          <w:rFonts w:cs="Calibri"/>
        </w:rPr>
        <w:t xml:space="preserve"> </w:t>
      </w:r>
      <w:r w:rsidR="006343E1" w:rsidRPr="003D6D53">
        <w:rPr>
          <w:rFonts w:cs="Calibri"/>
        </w:rPr>
        <w:t>z</w:t>
      </w:r>
      <w:r w:rsidR="006343E1">
        <w:rPr>
          <w:rFonts w:cs="Calibri"/>
        </w:rPr>
        <w:t> </w:t>
      </w:r>
      <w:r w:rsidRPr="003D6D53">
        <w:rPr>
          <w:rFonts w:cs="Calibri"/>
        </w:rPr>
        <w:t>dotychczasowym modelem funkcjonowania stref.</w:t>
      </w:r>
      <w:r w:rsidR="006343E1">
        <w:rPr>
          <w:rFonts w:cs="Calibri"/>
        </w:rPr>
        <w:t xml:space="preserve"> </w:t>
      </w:r>
      <w:r w:rsidR="006343E1" w:rsidRPr="003D6D53">
        <w:rPr>
          <w:rFonts w:cs="Calibri"/>
        </w:rPr>
        <w:t>O</w:t>
      </w:r>
      <w:r w:rsidR="006343E1">
        <w:rPr>
          <w:rFonts w:cs="Calibri"/>
        </w:rPr>
        <w:t> </w:t>
      </w:r>
      <w:r w:rsidR="00E32C5B" w:rsidRPr="003D6D53">
        <w:rPr>
          <w:rFonts w:cs="Calibri"/>
        </w:rPr>
        <w:t xml:space="preserve">ile </w:t>
      </w:r>
      <w:r w:rsidRPr="003D6D53">
        <w:rPr>
          <w:rFonts w:cs="Calibri"/>
        </w:rPr>
        <w:t xml:space="preserve">bowiem </w:t>
      </w:r>
      <w:r w:rsidR="00E32C5B" w:rsidRPr="003D6D53">
        <w:rPr>
          <w:rFonts w:cs="Calibri"/>
        </w:rPr>
        <w:t>efekty ilościowe działania SSE nie bud</w:t>
      </w:r>
      <w:r w:rsidRPr="003D6D53">
        <w:rPr>
          <w:rFonts w:cs="Calibri"/>
        </w:rPr>
        <w:t>ziły</w:t>
      </w:r>
      <w:r w:rsidR="00E32C5B" w:rsidRPr="003D6D53">
        <w:rPr>
          <w:rFonts w:cs="Calibri"/>
        </w:rPr>
        <w:t xml:space="preserve"> zastrzeżeń,</w:t>
      </w:r>
      <w:r w:rsidR="006343E1">
        <w:rPr>
          <w:rFonts w:cs="Calibri"/>
        </w:rPr>
        <w:t xml:space="preserve"> </w:t>
      </w:r>
      <w:r w:rsidR="006343E1" w:rsidRPr="003D6D53">
        <w:rPr>
          <w:rFonts w:cs="Calibri"/>
        </w:rPr>
        <w:t>o</w:t>
      </w:r>
      <w:r w:rsidR="006343E1">
        <w:rPr>
          <w:rFonts w:cs="Calibri"/>
        </w:rPr>
        <w:t> </w:t>
      </w:r>
      <w:r w:rsidR="00E32C5B" w:rsidRPr="003D6D53">
        <w:rPr>
          <w:rFonts w:cs="Calibri"/>
        </w:rPr>
        <w:t xml:space="preserve">tyle efekty jakościowe działalności </w:t>
      </w:r>
      <w:r w:rsidRPr="003D6D53">
        <w:rPr>
          <w:rFonts w:cs="Calibri"/>
        </w:rPr>
        <w:t xml:space="preserve">były nierzadko </w:t>
      </w:r>
      <w:r w:rsidR="00E32C5B" w:rsidRPr="003D6D53">
        <w:rPr>
          <w:rFonts w:cs="Calibri"/>
        </w:rPr>
        <w:t>oceniane krytycznie. Jak wskazuj</w:t>
      </w:r>
      <w:r w:rsidR="007C2B3E" w:rsidRPr="003D6D53">
        <w:rPr>
          <w:rFonts w:cs="Calibri"/>
        </w:rPr>
        <w:t>ą</w:t>
      </w:r>
      <w:r w:rsidR="00E32C5B" w:rsidRPr="003D6D53">
        <w:rPr>
          <w:rFonts w:cs="Calibri"/>
        </w:rPr>
        <w:t xml:space="preserve"> </w:t>
      </w:r>
      <w:r w:rsidR="007C2B3E" w:rsidRPr="003D6D53">
        <w:rPr>
          <w:rFonts w:cs="Calibri"/>
        </w:rPr>
        <w:t>niektóre</w:t>
      </w:r>
      <w:r w:rsidR="00E32C5B" w:rsidRPr="003D6D53">
        <w:rPr>
          <w:rFonts w:cs="Calibri"/>
        </w:rPr>
        <w:t xml:space="preserve"> opracowa</w:t>
      </w:r>
      <w:r w:rsidR="007C2B3E" w:rsidRPr="003D6D53">
        <w:rPr>
          <w:rFonts w:cs="Calibri"/>
        </w:rPr>
        <w:t>nia</w:t>
      </w:r>
      <w:r w:rsidR="00E32C5B" w:rsidRPr="003D6D53">
        <w:rPr>
          <w:rFonts w:cs="Calibri"/>
        </w:rPr>
        <w:t xml:space="preserve"> naukow</w:t>
      </w:r>
      <w:r w:rsidR="007C2B3E" w:rsidRPr="003D6D53">
        <w:rPr>
          <w:rFonts w:cs="Calibri"/>
        </w:rPr>
        <w:t>e</w:t>
      </w:r>
      <w:r w:rsidR="00EA6B65" w:rsidRPr="003D6D53">
        <w:rPr>
          <w:rFonts w:cs="Calibri"/>
        </w:rPr>
        <w:t xml:space="preserve"> – m.in. Augustyński (2017, s. 11–21) czy Gryczka (2010, s. 19–32) </w:t>
      </w:r>
      <w:r w:rsidR="007C2B3E" w:rsidRPr="003D6D53">
        <w:rPr>
          <w:rFonts w:cs="Calibri"/>
        </w:rPr>
        <w:t>czy</w:t>
      </w:r>
      <w:r w:rsidR="00E32C5B" w:rsidRPr="003D6D53">
        <w:rPr>
          <w:rFonts w:cs="Calibri"/>
        </w:rPr>
        <w:t xml:space="preserve"> raport</w:t>
      </w:r>
      <w:r w:rsidR="007C2B3E" w:rsidRPr="003D6D53">
        <w:rPr>
          <w:rFonts w:cs="Calibri"/>
        </w:rPr>
        <w:t>y</w:t>
      </w:r>
      <w:r w:rsidR="00EA6B65" w:rsidRPr="003D6D53">
        <w:rPr>
          <w:rFonts w:cs="Calibri"/>
        </w:rPr>
        <w:t xml:space="preserve"> – m.in. </w:t>
      </w:r>
      <w:r w:rsidR="00EA6B65" w:rsidRPr="00CB07D4">
        <w:rPr>
          <w:i/>
        </w:rPr>
        <w:t>blue</w:t>
      </w:r>
      <w:r w:rsidR="00EA6B65" w:rsidRPr="003D6D53">
        <w:rPr>
          <w:rFonts w:cs="Calibri"/>
        </w:rPr>
        <w:t xml:space="preserve"> </w:t>
      </w:r>
      <w:r w:rsidR="00EA6B65" w:rsidRPr="00CB07D4">
        <w:rPr>
          <w:i/>
        </w:rPr>
        <w:t>hill solutions / Quality Watch</w:t>
      </w:r>
      <w:r w:rsidR="00EA6B65" w:rsidRPr="003D6D53">
        <w:rPr>
          <w:rFonts w:cs="Calibri"/>
        </w:rPr>
        <w:t xml:space="preserve"> (2017)</w:t>
      </w:r>
      <w:r w:rsidR="00B43072" w:rsidRPr="003D6D53">
        <w:rPr>
          <w:rFonts w:cs="Calibri"/>
        </w:rPr>
        <w:t>,</w:t>
      </w:r>
      <w:r w:rsidR="00E32C5B" w:rsidRPr="003D6D53">
        <w:rPr>
          <w:rFonts w:cs="Calibri"/>
        </w:rPr>
        <w:t xml:space="preserve"> </w:t>
      </w:r>
      <w:r w:rsidRPr="003D6D53">
        <w:rPr>
          <w:rFonts w:cs="Calibri"/>
        </w:rPr>
        <w:t xml:space="preserve">strefy (we wcześniejszej formule ich funkcjonowania) </w:t>
      </w:r>
      <w:r w:rsidR="00E32C5B" w:rsidRPr="003D6D53">
        <w:rPr>
          <w:rFonts w:cs="Calibri"/>
        </w:rPr>
        <w:t>nie zawsze wzbogaca</w:t>
      </w:r>
      <w:r w:rsidRPr="003D6D53">
        <w:rPr>
          <w:rFonts w:cs="Calibri"/>
        </w:rPr>
        <w:t>ły</w:t>
      </w:r>
      <w:r w:rsidR="00E32C5B" w:rsidRPr="003D6D53">
        <w:rPr>
          <w:rFonts w:cs="Calibri"/>
        </w:rPr>
        <w:t xml:space="preserve"> lokalną gospodarkę (poprzez m.in. budowę sieci kooperacji między średnimi i dużymi przedsiębiorstwami aktywnymi</w:t>
      </w:r>
      <w:r w:rsidR="006343E1">
        <w:rPr>
          <w:rFonts w:cs="Calibri"/>
        </w:rPr>
        <w:t xml:space="preserve"> </w:t>
      </w:r>
      <w:r w:rsidR="006343E1" w:rsidRPr="003D6D53">
        <w:rPr>
          <w:rFonts w:cs="Calibri"/>
        </w:rPr>
        <w:t>w</w:t>
      </w:r>
      <w:r w:rsidR="006343E1">
        <w:rPr>
          <w:rFonts w:cs="Calibri"/>
        </w:rPr>
        <w:t> </w:t>
      </w:r>
      <w:r w:rsidR="00E32C5B" w:rsidRPr="003D6D53">
        <w:rPr>
          <w:rFonts w:cs="Calibri"/>
        </w:rPr>
        <w:t>strefach</w:t>
      </w:r>
      <w:r w:rsidR="006343E1">
        <w:rPr>
          <w:rFonts w:cs="Calibri"/>
        </w:rPr>
        <w:t xml:space="preserve"> </w:t>
      </w:r>
      <w:r w:rsidR="006343E1" w:rsidRPr="003D6D53">
        <w:rPr>
          <w:rFonts w:cs="Calibri"/>
        </w:rPr>
        <w:t>z</w:t>
      </w:r>
      <w:r w:rsidR="006343E1">
        <w:rPr>
          <w:rFonts w:cs="Calibri"/>
        </w:rPr>
        <w:t> </w:t>
      </w:r>
      <w:r w:rsidR="00E32C5B" w:rsidRPr="003D6D53">
        <w:rPr>
          <w:rFonts w:cs="Calibri"/>
        </w:rPr>
        <w:t>lokalnymi mikro</w:t>
      </w:r>
      <w:r w:rsidR="000E5075">
        <w:rPr>
          <w:rFonts w:cs="Calibri"/>
        </w:rPr>
        <w:t>przedsiębiorstwami</w:t>
      </w:r>
      <w:r w:rsidR="006343E1">
        <w:rPr>
          <w:rFonts w:cs="Calibri"/>
        </w:rPr>
        <w:t xml:space="preserve"> </w:t>
      </w:r>
      <w:r w:rsidR="006343E1" w:rsidRPr="003D6D53">
        <w:rPr>
          <w:rFonts w:cs="Calibri"/>
        </w:rPr>
        <w:t>i</w:t>
      </w:r>
      <w:r w:rsidR="006343E1">
        <w:rPr>
          <w:rFonts w:cs="Calibri"/>
        </w:rPr>
        <w:t> </w:t>
      </w:r>
      <w:r w:rsidR="00E32C5B" w:rsidRPr="003D6D53">
        <w:rPr>
          <w:rFonts w:cs="Calibri"/>
        </w:rPr>
        <w:t>małymi przedsiębiorstwami),</w:t>
      </w:r>
      <w:r w:rsidR="006343E1">
        <w:rPr>
          <w:rFonts w:cs="Calibri"/>
        </w:rPr>
        <w:t xml:space="preserve"> </w:t>
      </w:r>
      <w:r w:rsidR="006343E1" w:rsidRPr="003D6D53">
        <w:rPr>
          <w:rFonts w:cs="Calibri"/>
        </w:rPr>
        <w:t>a</w:t>
      </w:r>
      <w:r w:rsidR="006343E1">
        <w:rPr>
          <w:rFonts w:cs="Calibri"/>
        </w:rPr>
        <w:t> </w:t>
      </w:r>
      <w:r w:rsidR="00E32C5B" w:rsidRPr="003D6D53">
        <w:rPr>
          <w:rFonts w:cs="Calibri"/>
        </w:rPr>
        <w:t>często wręcz wykorzyst</w:t>
      </w:r>
      <w:r w:rsidRPr="003D6D53">
        <w:rPr>
          <w:rFonts w:cs="Calibri"/>
        </w:rPr>
        <w:t>ywał</w:t>
      </w:r>
      <w:r w:rsidR="00BB73AD">
        <w:rPr>
          <w:rFonts w:cs="Calibri"/>
        </w:rPr>
        <w:t>y</w:t>
      </w:r>
      <w:r w:rsidR="00E32C5B" w:rsidRPr="003D6D53">
        <w:rPr>
          <w:rFonts w:cs="Calibri"/>
        </w:rPr>
        <w:t xml:space="preserve"> jej najbardziej wartościowe elementy (m.in. kapitał ludzki). Dodatkowo</w:t>
      </w:r>
      <w:r w:rsidR="006343E1">
        <w:rPr>
          <w:rFonts w:cs="Calibri"/>
        </w:rPr>
        <w:t xml:space="preserve"> </w:t>
      </w:r>
      <w:r w:rsidR="006343E1" w:rsidRPr="003D6D53">
        <w:rPr>
          <w:rFonts w:cs="Calibri"/>
        </w:rPr>
        <w:t>w</w:t>
      </w:r>
      <w:r w:rsidR="006343E1">
        <w:rPr>
          <w:rFonts w:cs="Calibri"/>
        </w:rPr>
        <w:t> </w:t>
      </w:r>
      <w:r w:rsidR="00E32C5B" w:rsidRPr="003D6D53">
        <w:rPr>
          <w:rFonts w:cs="Calibri"/>
        </w:rPr>
        <w:t xml:space="preserve">ramach SSE często </w:t>
      </w:r>
      <w:r w:rsidR="00BB73AD" w:rsidRPr="003D6D53">
        <w:rPr>
          <w:rFonts w:cs="Calibri"/>
        </w:rPr>
        <w:t xml:space="preserve">były </w:t>
      </w:r>
      <w:r w:rsidR="00E32C5B" w:rsidRPr="003D6D53">
        <w:rPr>
          <w:rFonts w:cs="Calibri"/>
        </w:rPr>
        <w:t xml:space="preserve">realizowane projekty przemysłowe o niskim poziomie wartości dodanej. </w:t>
      </w:r>
    </w:p>
    <w:p w14:paraId="4BBD5B86" w14:textId="2FCF1841" w:rsidR="004F0234" w:rsidRPr="003D6D53" w:rsidRDefault="00C12F69" w:rsidP="00D01FC4">
      <w:pPr>
        <w:rPr>
          <w:rFonts w:cs="Calibri"/>
        </w:rPr>
      </w:pPr>
      <w:r w:rsidRPr="003D6D53">
        <w:rPr>
          <w:rFonts w:cs="Calibri"/>
        </w:rPr>
        <w:t>W ramach nowej polityki inwestycyjnej, celem zapewnienia efektywnego wsparcia</w:t>
      </w:r>
      <w:r w:rsidR="006343E1">
        <w:rPr>
          <w:rFonts w:cs="Calibri"/>
        </w:rPr>
        <w:t xml:space="preserve"> </w:t>
      </w:r>
      <w:r w:rsidR="006343E1" w:rsidRPr="003D6D53">
        <w:rPr>
          <w:rFonts w:cs="Calibri"/>
        </w:rPr>
        <w:t>i</w:t>
      </w:r>
      <w:r w:rsidR="006343E1">
        <w:rPr>
          <w:rFonts w:cs="Calibri"/>
        </w:rPr>
        <w:t> </w:t>
      </w:r>
      <w:r w:rsidRPr="003D6D53">
        <w:rPr>
          <w:rFonts w:cs="Calibri"/>
        </w:rPr>
        <w:t>obsługi inwestorów,</w:t>
      </w:r>
      <w:r w:rsidR="006343E1">
        <w:rPr>
          <w:rFonts w:cs="Calibri"/>
        </w:rPr>
        <w:t xml:space="preserve"> </w:t>
      </w:r>
      <w:r w:rsidR="006343E1" w:rsidRPr="003D6D53">
        <w:rPr>
          <w:rFonts w:cs="Calibri"/>
        </w:rPr>
        <w:t>w</w:t>
      </w:r>
      <w:r w:rsidR="006343E1">
        <w:rPr>
          <w:rFonts w:cs="Calibri"/>
        </w:rPr>
        <w:t> </w:t>
      </w:r>
      <w:r w:rsidRPr="003D6D53">
        <w:rPr>
          <w:rFonts w:cs="Calibri"/>
        </w:rPr>
        <w:t>2018 r. wdrożono system One Stop Shop zarówno na szczeblu krajowym, jak</w:t>
      </w:r>
      <w:r w:rsidR="006343E1">
        <w:rPr>
          <w:rFonts w:cs="Calibri"/>
        </w:rPr>
        <w:t xml:space="preserve"> </w:t>
      </w:r>
      <w:r w:rsidR="006343E1" w:rsidRPr="003D6D53">
        <w:rPr>
          <w:rFonts w:cs="Calibri"/>
        </w:rPr>
        <w:t>i</w:t>
      </w:r>
      <w:r w:rsidR="006343E1">
        <w:rPr>
          <w:rFonts w:cs="Calibri"/>
        </w:rPr>
        <w:t> </w:t>
      </w:r>
      <w:r w:rsidRPr="003D6D53">
        <w:rPr>
          <w:rFonts w:cs="Calibri"/>
        </w:rPr>
        <w:t>regionalnym</w:t>
      </w:r>
      <w:r w:rsidR="00BB73AD">
        <w:rPr>
          <w:rFonts w:cs="Calibri"/>
        </w:rPr>
        <w:t>,</w:t>
      </w:r>
      <w:r w:rsidR="006343E1">
        <w:rPr>
          <w:rFonts w:cs="Calibri"/>
        </w:rPr>
        <w:t xml:space="preserve"> </w:t>
      </w:r>
      <w:r w:rsidR="00BB73AD">
        <w:rPr>
          <w:rFonts w:cs="Calibri"/>
        </w:rPr>
        <w:t>bazując na</w:t>
      </w:r>
      <w:r w:rsidR="006343E1">
        <w:rPr>
          <w:rFonts w:cs="Calibri"/>
        </w:rPr>
        <w:t xml:space="preserve"> </w:t>
      </w:r>
      <w:r w:rsidRPr="003D6D53">
        <w:rPr>
          <w:rFonts w:cs="Calibri"/>
        </w:rPr>
        <w:t>jednolit</w:t>
      </w:r>
      <w:r w:rsidR="00BB73AD">
        <w:rPr>
          <w:rFonts w:cs="Calibri"/>
        </w:rPr>
        <w:t>ych</w:t>
      </w:r>
      <w:r w:rsidRPr="003D6D53">
        <w:rPr>
          <w:rFonts w:cs="Calibri"/>
        </w:rPr>
        <w:t xml:space="preserve"> standard</w:t>
      </w:r>
      <w:r w:rsidR="00BB73AD">
        <w:rPr>
          <w:rFonts w:cs="Calibri"/>
        </w:rPr>
        <w:t>ach</w:t>
      </w:r>
      <w:r w:rsidRPr="003D6D53">
        <w:rPr>
          <w:rFonts w:cs="Calibri"/>
        </w:rPr>
        <w:t xml:space="preserve"> obsługi inwestora,</w:t>
      </w:r>
      <w:r w:rsidR="006343E1">
        <w:rPr>
          <w:rFonts w:cs="Calibri"/>
        </w:rPr>
        <w:t xml:space="preserve"> </w:t>
      </w:r>
      <w:r w:rsidR="006343E1" w:rsidRPr="003D6D53">
        <w:rPr>
          <w:rFonts w:cs="Calibri"/>
        </w:rPr>
        <w:t>w</w:t>
      </w:r>
      <w:r w:rsidR="006343E1">
        <w:rPr>
          <w:rFonts w:cs="Calibri"/>
        </w:rPr>
        <w:t> </w:t>
      </w:r>
      <w:r w:rsidRPr="003D6D53">
        <w:rPr>
          <w:rFonts w:cs="Calibri"/>
        </w:rPr>
        <w:t>celu zwiększenia jakości usług administracyjnych</w:t>
      </w:r>
      <w:r w:rsidR="006343E1">
        <w:rPr>
          <w:rFonts w:cs="Calibri"/>
        </w:rPr>
        <w:t xml:space="preserve"> </w:t>
      </w:r>
      <w:r w:rsidR="006343E1" w:rsidRPr="003D6D53">
        <w:rPr>
          <w:rFonts w:cs="Calibri"/>
        </w:rPr>
        <w:t>w</w:t>
      </w:r>
      <w:r w:rsidR="006343E1">
        <w:rPr>
          <w:rFonts w:cs="Calibri"/>
        </w:rPr>
        <w:t> </w:t>
      </w:r>
      <w:r w:rsidRPr="003D6D53">
        <w:rPr>
          <w:rFonts w:cs="Calibri"/>
        </w:rPr>
        <w:t>kierunku modelu biznesowego przyjaznego inwestorom. Zgodnie</w:t>
      </w:r>
      <w:r w:rsidR="006343E1">
        <w:rPr>
          <w:rFonts w:cs="Calibri"/>
        </w:rPr>
        <w:t xml:space="preserve"> </w:t>
      </w:r>
      <w:r w:rsidR="006343E1" w:rsidRPr="003D6D53">
        <w:rPr>
          <w:rFonts w:cs="Calibri"/>
        </w:rPr>
        <w:t>z</w:t>
      </w:r>
      <w:r w:rsidR="006343E1">
        <w:rPr>
          <w:rFonts w:cs="Calibri"/>
        </w:rPr>
        <w:t> </w:t>
      </w:r>
      <w:r w:rsidRPr="003D6D53">
        <w:rPr>
          <w:rFonts w:cs="Calibri"/>
        </w:rPr>
        <w:t>koncepcją zintegrowanego podejścia</w:t>
      </w:r>
      <w:r w:rsidR="006343E1">
        <w:rPr>
          <w:rFonts w:cs="Calibri"/>
        </w:rPr>
        <w:t xml:space="preserve"> </w:t>
      </w:r>
      <w:r w:rsidR="006343E1" w:rsidRPr="003D6D53">
        <w:rPr>
          <w:rFonts w:cs="Calibri"/>
        </w:rPr>
        <w:t>w</w:t>
      </w:r>
      <w:r w:rsidR="006343E1">
        <w:rPr>
          <w:rFonts w:cs="Calibri"/>
        </w:rPr>
        <w:t> </w:t>
      </w:r>
      <w:r w:rsidRPr="003D6D53">
        <w:rPr>
          <w:rFonts w:cs="Calibri"/>
        </w:rPr>
        <w:t>obsłudze inwestora dokonano integracji wielu istniejących internetowych serwisów dla polskich</w:t>
      </w:r>
      <w:r w:rsidR="006343E1">
        <w:rPr>
          <w:rFonts w:cs="Calibri"/>
        </w:rPr>
        <w:t xml:space="preserve"> </w:t>
      </w:r>
      <w:r w:rsidR="006343E1" w:rsidRPr="003D6D53">
        <w:rPr>
          <w:rFonts w:cs="Calibri"/>
        </w:rPr>
        <w:t>i</w:t>
      </w:r>
      <w:r w:rsidR="006343E1">
        <w:rPr>
          <w:rFonts w:cs="Calibri"/>
        </w:rPr>
        <w:t> </w:t>
      </w:r>
      <w:r w:rsidRPr="003D6D53">
        <w:rPr>
          <w:rFonts w:cs="Calibri"/>
        </w:rPr>
        <w:t>zagranicznych przedsiębiorców</w:t>
      </w:r>
      <w:r w:rsidR="00BB73AD">
        <w:rPr>
          <w:rFonts w:cs="Calibri"/>
        </w:rPr>
        <w:t>,</w:t>
      </w:r>
      <w:r w:rsidRPr="003D6D53">
        <w:rPr>
          <w:rFonts w:cs="Calibri"/>
        </w:rPr>
        <w:t xml:space="preserve"> tworząc jedno wspólne miejsce kontaktu. Stworzono stronę parasolową www.biznes.gov.pl</w:t>
      </w:r>
      <w:r w:rsidR="006343E1">
        <w:rPr>
          <w:rFonts w:cs="Calibri"/>
        </w:rPr>
        <w:t xml:space="preserve"> </w:t>
      </w:r>
      <w:r w:rsidR="006343E1" w:rsidRPr="003D6D53">
        <w:rPr>
          <w:rFonts w:cs="Calibri"/>
        </w:rPr>
        <w:t>w</w:t>
      </w:r>
      <w:r w:rsidR="006343E1">
        <w:rPr>
          <w:rFonts w:cs="Calibri"/>
        </w:rPr>
        <w:t> </w:t>
      </w:r>
      <w:r w:rsidRPr="003D6D53">
        <w:rPr>
          <w:rFonts w:cs="Calibri"/>
        </w:rPr>
        <w:t>2 wersjach językowych,</w:t>
      </w:r>
      <w:r w:rsidR="006343E1">
        <w:rPr>
          <w:rFonts w:cs="Calibri"/>
        </w:rPr>
        <w:t xml:space="preserve"> </w:t>
      </w:r>
      <w:r w:rsidR="006343E1" w:rsidRPr="003D6D53">
        <w:rPr>
          <w:rFonts w:cs="Calibri"/>
        </w:rPr>
        <w:t>z</w:t>
      </w:r>
      <w:r w:rsidR="006343E1">
        <w:rPr>
          <w:rFonts w:cs="Calibri"/>
        </w:rPr>
        <w:t> </w:t>
      </w:r>
      <w:r w:rsidRPr="003D6D53">
        <w:rPr>
          <w:rFonts w:cs="Calibri"/>
        </w:rPr>
        <w:t>podziałem na 3 strumienie: Firma, Inwestycje</w:t>
      </w:r>
      <w:r w:rsidR="006343E1">
        <w:rPr>
          <w:rFonts w:cs="Calibri"/>
        </w:rPr>
        <w:t xml:space="preserve"> </w:t>
      </w:r>
      <w:r w:rsidR="006343E1" w:rsidRPr="003D6D53">
        <w:rPr>
          <w:rFonts w:cs="Calibri"/>
        </w:rPr>
        <w:t>i</w:t>
      </w:r>
      <w:r w:rsidR="006343E1">
        <w:rPr>
          <w:rFonts w:cs="Calibri"/>
        </w:rPr>
        <w:t> </w:t>
      </w:r>
      <w:r w:rsidRPr="003D6D53">
        <w:rPr>
          <w:rFonts w:cs="Calibri"/>
        </w:rPr>
        <w:t>Eksport.</w:t>
      </w:r>
    </w:p>
    <w:p w14:paraId="3A6D03E3" w14:textId="77777777" w:rsidR="000B3CE9" w:rsidRPr="00254AB9" w:rsidRDefault="000B3CE9" w:rsidP="003D6D53">
      <w:pPr>
        <w:pStyle w:val="Nagwek2"/>
      </w:pPr>
      <w:bookmarkStart w:id="83" w:name="_Toc511921178"/>
      <w:bookmarkStart w:id="84" w:name="_Toc31808510"/>
      <w:bookmarkStart w:id="85" w:name="_Toc106968793"/>
      <w:r w:rsidRPr="00254AB9">
        <w:t>Mechanizmy finansowania potrzeb bieżących oraz inwestycyjnych sektora przedsiębiorstw</w:t>
      </w:r>
      <w:bookmarkEnd w:id="83"/>
      <w:bookmarkEnd w:id="84"/>
      <w:bookmarkEnd w:id="85"/>
    </w:p>
    <w:p w14:paraId="033AFE00" w14:textId="02503A93" w:rsidR="00E02140" w:rsidRPr="00254AB9" w:rsidRDefault="000B3CE9" w:rsidP="00D01FC4">
      <w:r w:rsidRPr="00254AB9">
        <w:t>Krajowe przedsiębiorstwa mogą skorzystać ze zróżnicowanej oferty instytucji komercyjnych oraz publicznych</w:t>
      </w:r>
      <w:r w:rsidR="006343E1">
        <w:t xml:space="preserve"> </w:t>
      </w:r>
      <w:r w:rsidR="006343E1" w:rsidRPr="00254AB9">
        <w:t>i</w:t>
      </w:r>
      <w:r w:rsidR="006343E1">
        <w:t> </w:t>
      </w:r>
      <w:r w:rsidRPr="00254AB9">
        <w:t>prywatnych oferujących finansowanie na warunkach preferencyjnych oraz komercyjnych. Jak wynika</w:t>
      </w:r>
      <w:r w:rsidR="006343E1">
        <w:t xml:space="preserve"> </w:t>
      </w:r>
      <w:r w:rsidR="006343E1" w:rsidRPr="00254AB9">
        <w:t>z</w:t>
      </w:r>
      <w:r w:rsidR="006343E1">
        <w:t> </w:t>
      </w:r>
      <w:r w:rsidRPr="00254AB9">
        <w:t xml:space="preserve">danych </w:t>
      </w:r>
      <w:r w:rsidRPr="00333F81">
        <w:t>NBP</w:t>
      </w:r>
      <w:r w:rsidR="00E46A26" w:rsidRPr="00333F81">
        <w:t xml:space="preserve"> (201</w:t>
      </w:r>
      <w:r w:rsidR="009E75F1" w:rsidRPr="00333F81">
        <w:t>9</w:t>
      </w:r>
      <w:r w:rsidR="00E46A26" w:rsidRPr="00333F81">
        <w:t>)</w:t>
      </w:r>
      <w:r w:rsidR="00BB73AD">
        <w:t>,</w:t>
      </w:r>
      <w:r w:rsidRPr="00254AB9">
        <w:t xml:space="preserve"> </w:t>
      </w:r>
      <w:r w:rsidR="009E75F1">
        <w:t>g</w:t>
      </w:r>
      <w:r w:rsidR="009E75F1" w:rsidRPr="009E75F1">
        <w:t xml:space="preserve">łównym źródłem finansowania nowych inwestycji przedsiębiorstw pozostają </w:t>
      </w:r>
      <w:r w:rsidR="009E75F1">
        <w:t xml:space="preserve">jednak </w:t>
      </w:r>
      <w:r w:rsidR="009E75F1" w:rsidRPr="009E75F1">
        <w:t>środki własne,</w:t>
      </w:r>
      <w:r w:rsidR="006343E1">
        <w:t xml:space="preserve"> </w:t>
      </w:r>
      <w:r w:rsidR="006343E1" w:rsidRPr="009E75F1">
        <w:t>a</w:t>
      </w:r>
      <w:r w:rsidR="006343E1">
        <w:t> </w:t>
      </w:r>
      <w:r w:rsidR="009E75F1" w:rsidRPr="009E75F1">
        <w:t>zainteresowanie kredytem bankowym jest stabilne</w:t>
      </w:r>
      <w:r w:rsidR="009E75F1">
        <w:t xml:space="preserve">, ale </w:t>
      </w:r>
      <w:r w:rsidR="009E75F1" w:rsidRPr="009E75F1">
        <w:t>stosunkowo niskie.</w:t>
      </w:r>
      <w:r w:rsidR="006343E1">
        <w:t xml:space="preserve"> </w:t>
      </w:r>
      <w:r w:rsidR="006343E1" w:rsidRPr="00F21533">
        <w:t>W</w:t>
      </w:r>
      <w:r w:rsidR="006343E1">
        <w:t> </w:t>
      </w:r>
      <w:r w:rsidR="00F21533" w:rsidRPr="00F21533">
        <w:t>II kw</w:t>
      </w:r>
      <w:r w:rsidR="00BB73AD">
        <w:t>artale</w:t>
      </w:r>
      <w:r w:rsidR="00F21533" w:rsidRPr="00F21533">
        <w:t xml:space="preserve"> 2019</w:t>
      </w:r>
      <w:r w:rsidR="00BB73AD">
        <w:t xml:space="preserve"> </w:t>
      </w:r>
      <w:r w:rsidR="00F21533" w:rsidRPr="00F21533">
        <w:t>r. odsetek przedsiębiorstw ubiegających się</w:t>
      </w:r>
      <w:r w:rsidR="006343E1">
        <w:t xml:space="preserve"> </w:t>
      </w:r>
      <w:r w:rsidR="006343E1" w:rsidRPr="00F21533">
        <w:t>o</w:t>
      </w:r>
      <w:r w:rsidR="006343E1">
        <w:t> </w:t>
      </w:r>
      <w:r w:rsidR="00F21533" w:rsidRPr="00F21533">
        <w:t>kredyt nie uległ większym zmianom</w:t>
      </w:r>
      <w:r w:rsidR="006343E1">
        <w:t xml:space="preserve"> </w:t>
      </w:r>
      <w:r w:rsidR="006343E1" w:rsidRPr="00F21533">
        <w:t>w</w:t>
      </w:r>
      <w:r w:rsidR="006343E1">
        <w:t> </w:t>
      </w:r>
      <w:r w:rsidR="00F21533">
        <w:t>ujęciu</w:t>
      </w:r>
      <w:r w:rsidR="00F21533" w:rsidRPr="00F21533">
        <w:t xml:space="preserve"> kwartaln</w:t>
      </w:r>
      <w:r w:rsidR="00F21533">
        <w:t>ym</w:t>
      </w:r>
      <w:r w:rsidR="006343E1">
        <w:t xml:space="preserve"> </w:t>
      </w:r>
      <w:r w:rsidR="006343E1" w:rsidRPr="00F21533">
        <w:t>i</w:t>
      </w:r>
      <w:r w:rsidR="006343E1">
        <w:t> </w:t>
      </w:r>
      <w:r w:rsidR="00F21533" w:rsidRPr="00F21533">
        <w:t>pozostał nisk</w:t>
      </w:r>
      <w:r w:rsidR="0086431F">
        <w:t>i</w:t>
      </w:r>
      <w:r w:rsidR="00F21533">
        <w:t xml:space="preserve"> (</w:t>
      </w:r>
      <w:r w:rsidR="00F21533" w:rsidRPr="00F21533">
        <w:t>ok</w:t>
      </w:r>
      <w:r w:rsidR="00F21533">
        <w:t>.</w:t>
      </w:r>
      <w:r w:rsidR="00F21533" w:rsidRPr="00F21533">
        <w:t xml:space="preserve"> 17% badanych przedsiębiorstw</w:t>
      </w:r>
      <w:r w:rsidR="00F21533">
        <w:t xml:space="preserve">). </w:t>
      </w:r>
      <w:r w:rsidR="00F21533" w:rsidRPr="00F21533">
        <w:t xml:space="preserve"> Spadł natomiast</w:t>
      </w:r>
      <w:r w:rsidR="00F21533">
        <w:t xml:space="preserve"> </w:t>
      </w:r>
      <w:r w:rsidR="00F21533" w:rsidRPr="00F21533">
        <w:t xml:space="preserve">odsetek zaakceptowanych wniosków </w:t>
      </w:r>
      <w:r w:rsidR="00F21533">
        <w:t>(</w:t>
      </w:r>
      <w:r w:rsidR="00F21533" w:rsidRPr="00F21533">
        <w:t>80% firm otrzymało pozytywną decyzję kredytową</w:t>
      </w:r>
      <w:r w:rsidR="00F21533">
        <w:t xml:space="preserve"> vs 82.% </w:t>
      </w:r>
      <w:r w:rsidR="006343E1">
        <w:t xml:space="preserve"> w </w:t>
      </w:r>
      <w:r w:rsidR="00F21533">
        <w:t xml:space="preserve"> poprzednim  kwartale), choć wciąż pozostaje na relatywnie wysokim poziomie.</w:t>
      </w:r>
      <w:r w:rsidR="006343E1">
        <w:t xml:space="preserve"> </w:t>
      </w:r>
      <w:r w:rsidR="006343E1" w:rsidRPr="00F21533">
        <w:t>W</w:t>
      </w:r>
      <w:r w:rsidR="006343E1">
        <w:t> </w:t>
      </w:r>
      <w:r w:rsidR="00F21533" w:rsidRPr="00F21533">
        <w:t xml:space="preserve"> ok.  45% przyczyną negatywnej decyzji kredytowej był brak zdolności kredytowej.</w:t>
      </w:r>
      <w:r w:rsidR="00E02140" w:rsidRPr="00254AB9">
        <w:t xml:space="preserve"> </w:t>
      </w:r>
    </w:p>
    <w:p w14:paraId="092EF402" w14:textId="37E50BA0" w:rsidR="000B3CE9" w:rsidRPr="00254AB9" w:rsidRDefault="0086431F" w:rsidP="00D01FC4">
      <w:r>
        <w:t>Słabe zainteresowanie kredytem ze strony przedsiębiorców</w:t>
      </w:r>
      <w:r w:rsidR="006343E1">
        <w:t xml:space="preserve"> w </w:t>
      </w:r>
      <w:r>
        <w:t>połączeniu</w:t>
      </w:r>
      <w:r w:rsidR="006343E1">
        <w:t xml:space="preserve"> z </w:t>
      </w:r>
      <w:r>
        <w:t xml:space="preserve">rekordowo wysokimi poziomami </w:t>
      </w:r>
      <w:r w:rsidR="000B3CE9" w:rsidRPr="00254AB9">
        <w:t>wykorzystania mocy produkcyjnych (</w:t>
      </w:r>
      <w:r>
        <w:t xml:space="preserve">ok. </w:t>
      </w:r>
      <w:r w:rsidR="000B3CE9" w:rsidRPr="00254AB9">
        <w:t>8</w:t>
      </w:r>
      <w:r>
        <w:t>5</w:t>
      </w:r>
      <w:r w:rsidR="000B3CE9" w:rsidRPr="00254AB9">
        <w:t>%</w:t>
      </w:r>
      <w:r w:rsidR="006343E1">
        <w:t xml:space="preserve"> w </w:t>
      </w:r>
      <w:r>
        <w:t>II kw</w:t>
      </w:r>
      <w:r w:rsidR="00BB73AD">
        <w:t>artale</w:t>
      </w:r>
      <w:r>
        <w:t xml:space="preserve"> 2019 r.</w:t>
      </w:r>
      <w:r w:rsidR="000B3CE9" w:rsidRPr="00254AB9">
        <w:t>)</w:t>
      </w:r>
      <w:r>
        <w:t xml:space="preserve"> może wskazywać na ograniczoną skłonność </w:t>
      </w:r>
      <w:r w:rsidR="000B3CE9" w:rsidRPr="00254AB9">
        <w:t xml:space="preserve">przedsiębiorstw </w:t>
      </w:r>
      <w:r>
        <w:t xml:space="preserve">do finansowania </w:t>
      </w:r>
      <w:r w:rsidR="000B3CE9" w:rsidRPr="00254AB9">
        <w:t>nowych inwestycji</w:t>
      </w:r>
      <w:r>
        <w:t xml:space="preserve"> (w szczególności finansowanych kredytem)</w:t>
      </w:r>
      <w:r w:rsidR="000B3CE9" w:rsidRPr="00254AB9">
        <w:t xml:space="preserve"> zwiększających moce produkcyjne. Dokładne dane prezentuje </w:t>
      </w:r>
      <w:r w:rsidR="00BB5575" w:rsidRPr="00254AB9">
        <w:t>wykres</w:t>
      </w:r>
      <w:r w:rsidR="00017040">
        <w:t xml:space="preserve"> </w:t>
      </w:r>
      <w:r w:rsidR="001C3C76">
        <w:t>40</w:t>
      </w:r>
      <w:r w:rsidR="00017040">
        <w:t>.</w:t>
      </w:r>
    </w:p>
    <w:p w14:paraId="6953B86F" w14:textId="6382101C" w:rsidR="008C03E8" w:rsidRPr="00254AB9" w:rsidRDefault="008F54D3" w:rsidP="00D01FC4">
      <w:r w:rsidRPr="0099684F">
        <w:t>K</w:t>
      </w:r>
      <w:r w:rsidR="008C03E8" w:rsidRPr="0099684F">
        <w:t>rajowe</w:t>
      </w:r>
      <w:r w:rsidR="008C03E8" w:rsidRPr="00254AB9">
        <w:t xml:space="preserve"> przedsiębiorstwa korzystają</w:t>
      </w:r>
      <w:r w:rsidR="006343E1">
        <w:t xml:space="preserve"> </w:t>
      </w:r>
      <w:r w:rsidR="006343E1" w:rsidRPr="00254AB9">
        <w:t>z</w:t>
      </w:r>
      <w:r w:rsidR="006343E1">
        <w:t> </w:t>
      </w:r>
      <w:r w:rsidR="008C03E8" w:rsidRPr="00254AB9">
        <w:t>mechanizmów finansowania zewnętrznego swoich potrzeb bieżących</w:t>
      </w:r>
      <w:r w:rsidR="006343E1">
        <w:t xml:space="preserve"> </w:t>
      </w:r>
      <w:r w:rsidR="006343E1" w:rsidRPr="00254AB9">
        <w:t>i</w:t>
      </w:r>
      <w:r w:rsidR="006343E1">
        <w:t> </w:t>
      </w:r>
      <w:r w:rsidR="008C03E8" w:rsidRPr="00254AB9">
        <w:t>inwestycyjnych. Dane Eurostatu (201</w:t>
      </w:r>
      <w:r w:rsidR="001F24EA">
        <w:t>9</w:t>
      </w:r>
      <w:r w:rsidR="008C03E8" w:rsidRPr="00254AB9">
        <w:t>)</w:t>
      </w:r>
      <w:r w:rsidR="005E4C2C" w:rsidRPr="00254AB9">
        <w:t xml:space="preserve"> wskazują, </w:t>
      </w:r>
      <w:r w:rsidR="00BB73AD">
        <w:t>że</w:t>
      </w:r>
      <w:r w:rsidR="005E4C2C" w:rsidRPr="00254AB9">
        <w:t xml:space="preserve"> krajowi przedsiębiorcy, mimo iż nie zwiększają dynamicznie liczby składanych wniosków</w:t>
      </w:r>
      <w:r w:rsidR="006343E1">
        <w:t xml:space="preserve"> </w:t>
      </w:r>
      <w:r w:rsidR="006343E1" w:rsidRPr="00254AB9">
        <w:t>o</w:t>
      </w:r>
      <w:r w:rsidR="006343E1">
        <w:t> </w:t>
      </w:r>
      <w:r w:rsidR="005E4C2C" w:rsidRPr="00254AB9">
        <w:t>kredytowanie, wykaz</w:t>
      </w:r>
      <w:r w:rsidR="00080061">
        <w:t>ali</w:t>
      </w:r>
      <w:r w:rsidR="006343E1">
        <w:t xml:space="preserve"> </w:t>
      </w:r>
      <w:r w:rsidR="006343E1" w:rsidRPr="00254AB9">
        <w:t>w</w:t>
      </w:r>
      <w:r w:rsidR="006343E1">
        <w:t> </w:t>
      </w:r>
      <w:r w:rsidR="005E4C2C" w:rsidRPr="00254AB9">
        <w:t>latach 20</w:t>
      </w:r>
      <w:r w:rsidR="00080061">
        <w:t>10</w:t>
      </w:r>
      <w:r w:rsidR="005E4C2C" w:rsidRPr="00254AB9">
        <w:t>–201</w:t>
      </w:r>
      <w:r w:rsidR="00080061">
        <w:t>8</w:t>
      </w:r>
      <w:r w:rsidR="005E4C2C" w:rsidRPr="00254AB9">
        <w:t xml:space="preserve"> dodatnią dynamikę skali zobowiązań</w:t>
      </w:r>
      <w:r w:rsidR="006343E1">
        <w:t xml:space="preserve"> </w:t>
      </w:r>
      <w:r w:rsidR="006343E1" w:rsidRPr="00254AB9">
        <w:t>z</w:t>
      </w:r>
      <w:r w:rsidR="006343E1">
        <w:t> </w:t>
      </w:r>
      <w:r w:rsidR="005E4C2C" w:rsidRPr="00254AB9">
        <w:t>tytułu finansowania zewnętrznego</w:t>
      </w:r>
      <w:r w:rsidR="00080061">
        <w:t xml:space="preserve"> (</w:t>
      </w:r>
      <w:r w:rsidR="00080061" w:rsidRPr="0054565D">
        <w:rPr>
          <w:i/>
        </w:rPr>
        <w:t>total financial liabilities</w:t>
      </w:r>
      <w:r w:rsidR="00080061">
        <w:t>)</w:t>
      </w:r>
      <w:r w:rsidR="005E4C2C" w:rsidRPr="00254AB9">
        <w:t xml:space="preserve">. </w:t>
      </w:r>
      <w:r w:rsidR="009767D0" w:rsidRPr="00254AB9">
        <w:t>Jedynie</w:t>
      </w:r>
      <w:r w:rsidR="006343E1">
        <w:t xml:space="preserve"> </w:t>
      </w:r>
      <w:r w:rsidR="006343E1" w:rsidRPr="00254AB9">
        <w:t>w</w:t>
      </w:r>
      <w:r w:rsidR="006343E1">
        <w:t> </w:t>
      </w:r>
      <w:r w:rsidR="009767D0" w:rsidRPr="00254AB9">
        <w:t>dwóch latach dynamika jest ujemna –</w:t>
      </w:r>
      <w:r w:rsidR="006343E1">
        <w:t xml:space="preserve"> </w:t>
      </w:r>
      <w:r w:rsidR="006343E1" w:rsidRPr="00254AB9">
        <w:t>w</w:t>
      </w:r>
      <w:r w:rsidR="006343E1">
        <w:t> </w:t>
      </w:r>
      <w:r w:rsidR="009767D0" w:rsidRPr="00254AB9">
        <w:t>201</w:t>
      </w:r>
      <w:r w:rsidR="00080061">
        <w:t>1</w:t>
      </w:r>
      <w:r w:rsidR="009767D0" w:rsidRPr="00254AB9">
        <w:t xml:space="preserve"> </w:t>
      </w:r>
      <w:r w:rsidR="00BB73AD">
        <w:t>r.</w:t>
      </w:r>
      <w:r w:rsidR="009767D0" w:rsidRPr="00254AB9">
        <w:t xml:space="preserve"> </w:t>
      </w:r>
      <w:r w:rsidR="006D0659">
        <w:t xml:space="preserve">(o 6,2%) </w:t>
      </w:r>
      <w:r w:rsidR="009767D0" w:rsidRPr="00254AB9">
        <w:t>oraz 201</w:t>
      </w:r>
      <w:r w:rsidR="00080061">
        <w:t>8</w:t>
      </w:r>
      <w:r w:rsidR="006D0659">
        <w:t xml:space="preserve"> </w:t>
      </w:r>
      <w:r w:rsidR="00BB73AD">
        <w:t>r.</w:t>
      </w:r>
      <w:r w:rsidR="006D0659">
        <w:t xml:space="preserve"> (o 1,1%)</w:t>
      </w:r>
      <w:r w:rsidR="009767D0" w:rsidRPr="00254AB9">
        <w:t xml:space="preserve">. </w:t>
      </w:r>
    </w:p>
    <w:tbl>
      <w:tblPr>
        <w:tblW w:w="9732" w:type="dxa"/>
        <w:tblInd w:w="-38" w:type="dxa"/>
        <w:tblCellMar>
          <w:left w:w="70" w:type="dxa"/>
          <w:right w:w="70" w:type="dxa"/>
        </w:tblCellMar>
        <w:tblLook w:val="04A0" w:firstRow="1" w:lastRow="0" w:firstColumn="1" w:lastColumn="0" w:noHBand="0" w:noVBand="1"/>
      </w:tblPr>
      <w:tblGrid>
        <w:gridCol w:w="5003"/>
        <w:gridCol w:w="4729"/>
      </w:tblGrid>
      <w:tr w:rsidR="000B3CE9" w:rsidRPr="00254AB9" w14:paraId="213CA878" w14:textId="77777777" w:rsidTr="00612520">
        <w:tc>
          <w:tcPr>
            <w:tcW w:w="9732" w:type="dxa"/>
            <w:gridSpan w:val="2"/>
            <w:shd w:val="clear" w:color="auto" w:fill="auto"/>
          </w:tcPr>
          <w:p w14:paraId="4BD764A3" w14:textId="5D7885F4" w:rsidR="000B3CE9" w:rsidRPr="00F00916" w:rsidRDefault="00390B44" w:rsidP="001C3C76">
            <w:pPr>
              <w:pStyle w:val="Nagwek4"/>
            </w:pPr>
            <w:bookmarkStart w:id="86" w:name="_Ref510516605"/>
            <w:r w:rsidRPr="00333F81">
              <w:lastRenderedPageBreak/>
              <w:t>Wykres</w:t>
            </w:r>
            <w:r w:rsidR="000B3CE9" w:rsidRPr="00333F81">
              <w:t xml:space="preserve"> </w:t>
            </w:r>
            <w:bookmarkEnd w:id="86"/>
            <w:r w:rsidR="001C3C76">
              <w:t>40</w:t>
            </w:r>
            <w:r w:rsidR="00F25D1F" w:rsidRPr="00333F81">
              <w:t>.</w:t>
            </w:r>
            <w:r w:rsidR="000B3CE9" w:rsidRPr="00333F81">
              <w:t xml:space="preserve"> </w:t>
            </w:r>
            <w:r w:rsidR="00F00916" w:rsidRPr="00254AB9">
              <w:rPr>
                <w:noProof/>
                <w:lang w:eastAsia="pl-PL"/>
              </w:rPr>
              <w:t>Dostęp do finansowania komercyjnego przedsiębiorstw</w:t>
            </w:r>
            <w:r w:rsidR="00F00916">
              <w:rPr>
                <w:noProof/>
              </w:rPr>
              <w:t xml:space="preserve"> w Polsce</w:t>
            </w:r>
          </w:p>
        </w:tc>
      </w:tr>
      <w:tr w:rsidR="000B3CE9" w:rsidRPr="00254AB9" w14:paraId="1865472C" w14:textId="77777777" w:rsidTr="00612520">
        <w:tc>
          <w:tcPr>
            <w:tcW w:w="9732" w:type="dxa"/>
            <w:gridSpan w:val="2"/>
            <w:shd w:val="clear" w:color="auto" w:fill="auto"/>
          </w:tcPr>
          <w:p w14:paraId="3D91AB4C" w14:textId="79BE82D8" w:rsidR="0068646B" w:rsidRPr="00254AB9" w:rsidRDefault="00E8180B" w:rsidP="00FC6E8F">
            <w:pPr>
              <w:spacing w:after="0" w:line="240" w:lineRule="auto"/>
              <w:jc w:val="center"/>
              <w:rPr>
                <w:rFonts w:cs="Calibri"/>
                <w:b/>
                <w:noProof/>
                <w:sz w:val="21"/>
                <w:szCs w:val="21"/>
                <w:lang w:eastAsia="pl-PL"/>
              </w:rPr>
            </w:pPr>
            <w:r>
              <w:rPr>
                <w:noProof/>
                <w:lang w:eastAsia="pl-PL"/>
              </w:rPr>
              <w:drawing>
                <wp:inline distT="0" distB="0" distL="0" distR="0" wp14:anchorId="62B6328F" wp14:editId="514FB423">
                  <wp:extent cx="5972175" cy="3448050"/>
                  <wp:effectExtent l="0" t="0" r="0" b="0"/>
                  <wp:docPr id="23" name="Wykres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tc>
      </w:tr>
      <w:tr w:rsidR="000B3CE9" w:rsidRPr="00254AB9" w14:paraId="6E81E842" w14:textId="77777777" w:rsidTr="00612520">
        <w:tblPrEx>
          <w:tblCellMar>
            <w:left w:w="108" w:type="dxa"/>
            <w:right w:w="108" w:type="dxa"/>
          </w:tblCellMar>
        </w:tblPrEx>
        <w:tc>
          <w:tcPr>
            <w:tcW w:w="5003" w:type="dxa"/>
            <w:shd w:val="clear" w:color="auto" w:fill="auto"/>
          </w:tcPr>
          <w:p w14:paraId="00681E2F" w14:textId="77777777" w:rsidR="000B3CE9" w:rsidRPr="00254AB9" w:rsidRDefault="000B3CE9" w:rsidP="00254AB9">
            <w:pPr>
              <w:spacing w:after="0" w:line="240" w:lineRule="auto"/>
              <w:rPr>
                <w:rFonts w:cs="Calibri"/>
                <w:sz w:val="21"/>
                <w:szCs w:val="21"/>
              </w:rPr>
            </w:pPr>
          </w:p>
        </w:tc>
        <w:tc>
          <w:tcPr>
            <w:tcW w:w="4729" w:type="dxa"/>
            <w:shd w:val="clear" w:color="auto" w:fill="auto"/>
          </w:tcPr>
          <w:p w14:paraId="355A9138" w14:textId="77777777" w:rsidR="000B3CE9" w:rsidRPr="00254AB9" w:rsidRDefault="000B3CE9" w:rsidP="00254AB9">
            <w:pPr>
              <w:spacing w:after="0" w:line="240" w:lineRule="auto"/>
              <w:rPr>
                <w:rFonts w:cs="Calibri"/>
                <w:sz w:val="21"/>
                <w:szCs w:val="21"/>
              </w:rPr>
            </w:pPr>
          </w:p>
        </w:tc>
      </w:tr>
      <w:tr w:rsidR="000B3CE9" w:rsidRPr="00254AB9" w14:paraId="3C2DEF38" w14:textId="77777777" w:rsidTr="00612520">
        <w:tc>
          <w:tcPr>
            <w:tcW w:w="5003" w:type="dxa"/>
            <w:shd w:val="clear" w:color="auto" w:fill="auto"/>
          </w:tcPr>
          <w:p w14:paraId="5ADBD2CC" w14:textId="1A398D1C" w:rsidR="00F00916" w:rsidRDefault="00F00916" w:rsidP="00F00916">
            <w:pPr>
              <w:pStyle w:val="Nagwek4"/>
            </w:pPr>
            <w:r>
              <w:t xml:space="preserve">Wykres </w:t>
            </w:r>
            <w:r w:rsidR="001C3C76">
              <w:t>41</w:t>
            </w:r>
            <w:r>
              <w:t xml:space="preserve">. </w:t>
            </w:r>
            <w:r w:rsidRPr="004C08B3">
              <w:t>Wskaźniki inwestycji</w:t>
            </w:r>
          </w:p>
          <w:p w14:paraId="08B82F2E" w14:textId="77777777" w:rsidR="00E8180B" w:rsidRDefault="00E8180B" w:rsidP="00254AB9">
            <w:pPr>
              <w:spacing w:after="0" w:line="240" w:lineRule="auto"/>
              <w:jc w:val="center"/>
              <w:rPr>
                <w:rFonts w:cs="Calibri"/>
                <w:b/>
                <w:sz w:val="21"/>
                <w:szCs w:val="21"/>
              </w:rPr>
            </w:pPr>
            <w:r>
              <w:rPr>
                <w:noProof/>
                <w:lang w:eastAsia="pl-PL"/>
              </w:rPr>
              <w:drawing>
                <wp:inline distT="0" distB="0" distL="0" distR="0" wp14:anchorId="63C4BE9D" wp14:editId="0183C2C0">
                  <wp:extent cx="3088005" cy="3427012"/>
                  <wp:effectExtent l="0" t="0" r="0" b="0"/>
                  <wp:docPr id="24"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1CF6AD4A" w14:textId="043CA32D" w:rsidR="000B3CE9" w:rsidRPr="00254AB9" w:rsidRDefault="000B3CE9" w:rsidP="00254AB9">
            <w:pPr>
              <w:spacing w:after="0" w:line="240" w:lineRule="auto"/>
              <w:jc w:val="center"/>
              <w:rPr>
                <w:rFonts w:cs="Calibri"/>
                <w:b/>
                <w:sz w:val="21"/>
                <w:szCs w:val="21"/>
              </w:rPr>
            </w:pPr>
          </w:p>
        </w:tc>
        <w:tc>
          <w:tcPr>
            <w:tcW w:w="4729" w:type="dxa"/>
            <w:shd w:val="clear" w:color="auto" w:fill="auto"/>
          </w:tcPr>
          <w:p w14:paraId="12D0D139" w14:textId="3B168664" w:rsidR="00F00916" w:rsidRDefault="003B19BC" w:rsidP="00F00916">
            <w:pPr>
              <w:pStyle w:val="Nagwek4"/>
            </w:pPr>
            <w:r>
              <w:t>Wykres 4</w:t>
            </w:r>
            <w:r w:rsidR="001C3C76">
              <w:t>2</w:t>
            </w:r>
            <w:r w:rsidR="00F00916">
              <w:t xml:space="preserve">. </w:t>
            </w:r>
            <w:r w:rsidR="00F00916" w:rsidRPr="00B055FC">
              <w:t>Poziom wykorzystania mocy produkcyjnych</w:t>
            </w:r>
          </w:p>
          <w:p w14:paraId="6866FA7F" w14:textId="77777777" w:rsidR="00E8180B" w:rsidRDefault="00447371" w:rsidP="00254AB9">
            <w:pPr>
              <w:spacing w:after="0" w:line="240" w:lineRule="auto"/>
              <w:jc w:val="center"/>
              <w:rPr>
                <w:rFonts w:cs="Calibri"/>
                <w:b/>
                <w:sz w:val="21"/>
                <w:szCs w:val="21"/>
              </w:rPr>
            </w:pPr>
            <w:r>
              <w:rPr>
                <w:noProof/>
                <w:lang w:eastAsia="pl-PL"/>
              </w:rPr>
              <w:drawing>
                <wp:inline distT="0" distB="0" distL="0" distR="0" wp14:anchorId="39301C57" wp14:editId="05BBFA18">
                  <wp:extent cx="2769080" cy="2976113"/>
                  <wp:effectExtent l="0" t="0" r="0" b="0"/>
                  <wp:docPr id="26"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51A4D937" w14:textId="56B1164F" w:rsidR="000B3CE9" w:rsidRPr="00254AB9" w:rsidRDefault="000B3CE9" w:rsidP="00254AB9">
            <w:pPr>
              <w:spacing w:after="0" w:line="240" w:lineRule="auto"/>
              <w:jc w:val="center"/>
              <w:rPr>
                <w:rFonts w:cs="Calibri"/>
                <w:b/>
                <w:sz w:val="21"/>
                <w:szCs w:val="21"/>
              </w:rPr>
            </w:pPr>
          </w:p>
        </w:tc>
      </w:tr>
    </w:tbl>
    <w:p w14:paraId="1135C443" w14:textId="0F48CAB0" w:rsidR="008C03E8" w:rsidRPr="00254AB9" w:rsidRDefault="008C03E8" w:rsidP="00D01FC4">
      <w:pPr>
        <w:pStyle w:val="Bezodstpw"/>
        <w:rPr>
          <w:i w:val="0"/>
        </w:rPr>
      </w:pPr>
      <w:r w:rsidRPr="00D01FC4">
        <w:t>Źródło</w:t>
      </w:r>
      <w:r w:rsidRPr="00254AB9">
        <w:t xml:space="preserve">: Opracowanie </w:t>
      </w:r>
      <w:r w:rsidR="003A56DA">
        <w:t>MRiT</w:t>
      </w:r>
      <w:r w:rsidR="003A5EA7">
        <w:t xml:space="preserve"> </w:t>
      </w:r>
      <w:r w:rsidRPr="00254AB9">
        <w:t>na podstawie danych NBP (201</w:t>
      </w:r>
      <w:r w:rsidR="00102AED">
        <w:t>9</w:t>
      </w:r>
      <w:r w:rsidRPr="00254AB9">
        <w:t>)</w:t>
      </w:r>
      <w:r w:rsidR="005E4C2C" w:rsidRPr="00254AB9">
        <w:t>, Eurostat (201</w:t>
      </w:r>
      <w:r w:rsidR="00102AED">
        <w:t>9</w:t>
      </w:r>
      <w:r w:rsidR="005E4C2C" w:rsidRPr="00254AB9">
        <w:t xml:space="preserve">) </w:t>
      </w:r>
    </w:p>
    <w:p w14:paraId="56B6F230" w14:textId="36808B2A" w:rsidR="00E32C5B" w:rsidRPr="00254AB9" w:rsidRDefault="00CF5B21" w:rsidP="00D01FC4">
      <w:r w:rsidRPr="00254AB9">
        <w:lastRenderedPageBreak/>
        <w:t>Dane GUS (201</w:t>
      </w:r>
      <w:r w:rsidR="00C26AD9">
        <w:t>8</w:t>
      </w:r>
      <w:r w:rsidR="00A7711B">
        <w:t>b</w:t>
      </w:r>
      <w:r w:rsidRPr="00254AB9">
        <w:t>) wskazują, ż</w:t>
      </w:r>
      <w:r w:rsidR="00BB73AD">
        <w:t>e</w:t>
      </w:r>
      <w:r w:rsidRPr="00254AB9">
        <w:t xml:space="preserve"> </w:t>
      </w:r>
      <w:r w:rsidR="00E46A26" w:rsidRPr="00254AB9">
        <w:t>środki własne przedsiębiorstw</w:t>
      </w:r>
      <w:r w:rsidR="00E46A26" w:rsidRPr="00254AB9" w:rsidDel="00CF5B21">
        <w:t xml:space="preserve"> </w:t>
      </w:r>
      <w:r w:rsidR="00E46A26" w:rsidRPr="00254AB9">
        <w:t xml:space="preserve">są </w:t>
      </w:r>
      <w:r w:rsidRPr="00254AB9">
        <w:t>ź</w:t>
      </w:r>
      <w:r w:rsidR="000B3650" w:rsidRPr="00254AB9">
        <w:t xml:space="preserve">ródłem finansowania dla </w:t>
      </w:r>
      <w:r w:rsidR="00C26AD9">
        <w:t>ok.</w:t>
      </w:r>
      <w:r w:rsidR="00BB73AD">
        <w:t xml:space="preserve"> </w:t>
      </w:r>
      <w:r w:rsidR="00C26AD9">
        <w:t>74%</w:t>
      </w:r>
      <w:r w:rsidR="000B3650" w:rsidRPr="00254AB9">
        <w:t xml:space="preserve"> wartości realizowanych inwestycji</w:t>
      </w:r>
      <w:r w:rsidR="006343E1">
        <w:t xml:space="preserve"> </w:t>
      </w:r>
      <w:r w:rsidR="006343E1" w:rsidRPr="00254AB9">
        <w:t>w</w:t>
      </w:r>
      <w:r w:rsidR="006343E1">
        <w:t> </w:t>
      </w:r>
      <w:r w:rsidR="000B3650" w:rsidRPr="00254AB9">
        <w:t>środki trwałe oraz wartości niematerialne</w:t>
      </w:r>
      <w:r w:rsidR="006343E1">
        <w:t xml:space="preserve"> </w:t>
      </w:r>
      <w:r w:rsidR="006343E1" w:rsidRPr="00254AB9">
        <w:t>i</w:t>
      </w:r>
      <w:r w:rsidR="006343E1">
        <w:t> </w:t>
      </w:r>
      <w:r w:rsidR="000B3650" w:rsidRPr="00254AB9">
        <w:t>prawne</w:t>
      </w:r>
      <w:r w:rsidR="000B3650" w:rsidRPr="00254AB9">
        <w:rPr>
          <w:rStyle w:val="Odwoanieprzypisudolnego"/>
          <w:rFonts w:cs="Calibri"/>
          <w:sz w:val="21"/>
          <w:szCs w:val="21"/>
        </w:rPr>
        <w:footnoteReference w:id="21"/>
      </w:r>
      <w:r w:rsidR="000B3650" w:rsidRPr="00254AB9">
        <w:t>. Uwzględniając zatem stały rozwój rynku finansowania przedsiębiorstw</w:t>
      </w:r>
      <w:r w:rsidR="006343E1">
        <w:t xml:space="preserve"> </w:t>
      </w:r>
      <w:r w:rsidR="006343E1" w:rsidRPr="00254AB9">
        <w:t>w</w:t>
      </w:r>
      <w:r w:rsidR="006343E1">
        <w:t> </w:t>
      </w:r>
      <w:r w:rsidR="000B3650" w:rsidRPr="00254AB9">
        <w:t>Polsce (zarówno z</w:t>
      </w:r>
      <w:r w:rsidR="00B01019" w:rsidRPr="00254AB9">
        <w:t> </w:t>
      </w:r>
      <w:r w:rsidR="000B3650" w:rsidRPr="00254AB9">
        <w:t>wykorzystaniem mechanizmów kredytowych</w:t>
      </w:r>
      <w:r w:rsidR="00647B19">
        <w:t>,</w:t>
      </w:r>
      <w:r w:rsidR="000B3650" w:rsidRPr="00254AB9">
        <w:t xml:space="preserve"> jak</w:t>
      </w:r>
      <w:r w:rsidR="006343E1">
        <w:t xml:space="preserve"> </w:t>
      </w:r>
      <w:r w:rsidR="006343E1" w:rsidRPr="00254AB9">
        <w:t>i</w:t>
      </w:r>
      <w:r w:rsidR="006343E1">
        <w:t> </w:t>
      </w:r>
      <w:r w:rsidR="000B3650" w:rsidRPr="00254AB9">
        <w:t xml:space="preserve">pozostałych instrumentów finansowych), istniejące instytucje zapewniają obsługę większości potrzeb rynkowych (komercyjnych) przedsiębiorstw. </w:t>
      </w:r>
      <w:r w:rsidR="00E32C5B" w:rsidRPr="00254AB9">
        <w:t xml:space="preserve">Dodatkowo podstawowe rynki finansowania potrzeb inwestycyjnych krajowych przedsiębiorstw wykazują pozytywną dynamikę wzrostu (dotyczy to przede wszystkim rynku kredytowego, leasingowego oraz faktoringowego). Dokładne dane prezentuje poniższy wykres. </w:t>
      </w:r>
    </w:p>
    <w:p w14:paraId="43760FF3" w14:textId="6A8D35C5" w:rsidR="000B3CE9" w:rsidRPr="00FC6E8F" w:rsidRDefault="00390B44" w:rsidP="00FC6E8F">
      <w:pPr>
        <w:pStyle w:val="Nagwek4"/>
      </w:pPr>
      <w:r w:rsidRPr="00FC6E8F">
        <w:t>Wykres</w:t>
      </w:r>
      <w:r w:rsidR="00332B11" w:rsidRPr="00FC6E8F">
        <w:t xml:space="preserve"> </w:t>
      </w:r>
      <w:r w:rsidR="003B19BC" w:rsidRPr="00FC6E8F">
        <w:t>41</w:t>
      </w:r>
      <w:r w:rsidR="00F25D1F" w:rsidRPr="00FC6E8F">
        <w:t>.</w:t>
      </w:r>
      <w:r w:rsidR="000B3CE9" w:rsidRPr="00FC6E8F">
        <w:t xml:space="preserve"> </w:t>
      </w:r>
      <w:r w:rsidR="00FC6E8F" w:rsidRPr="00FC6E8F">
        <w:t xml:space="preserve">Wartość kredytów dla przedsiębiorstw </w:t>
      </w:r>
      <w:r w:rsidR="00FC6E8F">
        <w:t>(</w:t>
      </w:r>
      <w:r w:rsidR="000B3CE9" w:rsidRPr="00FC6E8F">
        <w:t>mld zł)</w:t>
      </w:r>
    </w:p>
    <w:tbl>
      <w:tblPr>
        <w:tblW w:w="9322" w:type="dxa"/>
        <w:tblInd w:w="-38" w:type="dxa"/>
        <w:tblLayout w:type="fixed"/>
        <w:tblCellMar>
          <w:left w:w="70" w:type="dxa"/>
          <w:right w:w="70" w:type="dxa"/>
        </w:tblCellMar>
        <w:tblLook w:val="04A0" w:firstRow="1" w:lastRow="0" w:firstColumn="1" w:lastColumn="0" w:noHBand="0" w:noVBand="1"/>
      </w:tblPr>
      <w:tblGrid>
        <w:gridCol w:w="4786"/>
        <w:gridCol w:w="4536"/>
      </w:tblGrid>
      <w:tr w:rsidR="000B3CE9" w:rsidRPr="00254AB9" w14:paraId="13B6A963" w14:textId="77777777" w:rsidTr="00612520">
        <w:tc>
          <w:tcPr>
            <w:tcW w:w="4786" w:type="dxa"/>
            <w:shd w:val="clear" w:color="auto" w:fill="auto"/>
          </w:tcPr>
          <w:p w14:paraId="555C9E06" w14:textId="77777777" w:rsidR="008F6138" w:rsidRDefault="00EC4085" w:rsidP="00254AB9">
            <w:pPr>
              <w:spacing w:after="0" w:line="240" w:lineRule="auto"/>
              <w:jc w:val="center"/>
              <w:rPr>
                <w:rFonts w:cs="Calibri"/>
                <w:b/>
                <w:sz w:val="21"/>
                <w:szCs w:val="21"/>
              </w:rPr>
            </w:pPr>
            <w:bookmarkStart w:id="87" w:name="_1625037121"/>
            <w:bookmarkEnd w:id="87"/>
            <w:r>
              <w:rPr>
                <w:noProof/>
                <w:lang w:eastAsia="pl-PL"/>
              </w:rPr>
              <w:drawing>
                <wp:inline distT="0" distB="0" distL="0" distR="0" wp14:anchorId="17761EF2" wp14:editId="298DF48B">
                  <wp:extent cx="4149305" cy="2191110"/>
                  <wp:effectExtent l="0" t="0" r="3810" b="0"/>
                  <wp:docPr id="30" name="Wykres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68F833F7" w14:textId="06CD3E4F" w:rsidR="00FC6E8F" w:rsidRPr="003D6D53" w:rsidRDefault="00FC6E8F" w:rsidP="00FC6E8F">
            <w:pPr>
              <w:pStyle w:val="Bezodstpw"/>
              <w:ind w:left="567" w:hanging="567"/>
            </w:pPr>
            <w:r w:rsidRPr="003D6D53">
              <w:t xml:space="preserve">Źródło: Opracowanie </w:t>
            </w:r>
            <w:r>
              <w:t xml:space="preserve">MRiT </w:t>
            </w:r>
            <w:r w:rsidRPr="003D6D53">
              <w:t>na podstawie danych</w:t>
            </w:r>
            <w:r>
              <w:t xml:space="preserve"> </w:t>
            </w:r>
            <w:r w:rsidRPr="003D6D53">
              <w:t>NBP</w:t>
            </w:r>
            <w:r>
              <w:t xml:space="preserve"> </w:t>
            </w:r>
            <w:r w:rsidRPr="003D6D53">
              <w:t>(2018a)</w:t>
            </w:r>
            <w:r>
              <w:t>.</w:t>
            </w:r>
          </w:p>
          <w:p w14:paraId="5D27366D" w14:textId="5111F4F4" w:rsidR="0068646B" w:rsidRPr="00254AB9" w:rsidRDefault="00FC6E8F" w:rsidP="00FC6E8F">
            <w:pPr>
              <w:spacing w:after="0" w:line="240" w:lineRule="auto"/>
              <w:jc w:val="center"/>
              <w:rPr>
                <w:rFonts w:cs="Calibri"/>
                <w:b/>
                <w:sz w:val="21"/>
                <w:szCs w:val="21"/>
              </w:rPr>
            </w:pPr>
            <w:r>
              <w:rPr>
                <w:rFonts w:cs="Calibri"/>
                <w:b/>
                <w:sz w:val="21"/>
                <w:szCs w:val="21"/>
              </w:rPr>
              <w:t>Wykres 42. Wartość leasingu przedsiębiorstw (mld zł)</w:t>
            </w:r>
          </w:p>
        </w:tc>
        <w:tc>
          <w:tcPr>
            <w:tcW w:w="4536" w:type="dxa"/>
            <w:shd w:val="clear" w:color="auto" w:fill="auto"/>
          </w:tcPr>
          <w:p w14:paraId="445FE32A" w14:textId="77777777" w:rsidR="008F6138" w:rsidRDefault="008F6138" w:rsidP="00254AB9">
            <w:pPr>
              <w:spacing w:after="0" w:line="240" w:lineRule="auto"/>
              <w:jc w:val="center"/>
              <w:rPr>
                <w:rFonts w:cs="Calibri"/>
                <w:b/>
                <w:sz w:val="21"/>
                <w:szCs w:val="21"/>
              </w:rPr>
            </w:pPr>
          </w:p>
          <w:p w14:paraId="2D9AADDB" w14:textId="77777777" w:rsidR="008F6138" w:rsidRDefault="008F6138" w:rsidP="00254AB9">
            <w:pPr>
              <w:spacing w:after="0" w:line="240" w:lineRule="auto"/>
              <w:jc w:val="center"/>
              <w:rPr>
                <w:rFonts w:cs="Calibri"/>
                <w:b/>
                <w:sz w:val="21"/>
                <w:szCs w:val="21"/>
              </w:rPr>
            </w:pPr>
          </w:p>
          <w:p w14:paraId="220C7E1B" w14:textId="77777777" w:rsidR="008F6138" w:rsidRDefault="008F6138" w:rsidP="00254AB9">
            <w:pPr>
              <w:spacing w:after="0" w:line="240" w:lineRule="auto"/>
              <w:jc w:val="center"/>
              <w:rPr>
                <w:rFonts w:cs="Calibri"/>
                <w:b/>
                <w:sz w:val="21"/>
                <w:szCs w:val="21"/>
              </w:rPr>
            </w:pPr>
          </w:p>
          <w:p w14:paraId="544E9997" w14:textId="77777777" w:rsidR="00EC4085" w:rsidRDefault="00EC4085" w:rsidP="00254AB9">
            <w:pPr>
              <w:spacing w:after="0" w:line="240" w:lineRule="auto"/>
              <w:jc w:val="center"/>
              <w:rPr>
                <w:rFonts w:cs="Calibri"/>
                <w:b/>
                <w:sz w:val="21"/>
                <w:szCs w:val="21"/>
              </w:rPr>
            </w:pPr>
          </w:p>
          <w:p w14:paraId="66671024" w14:textId="77777777" w:rsidR="00EC4085" w:rsidRDefault="00EC4085" w:rsidP="00254AB9">
            <w:pPr>
              <w:spacing w:after="0" w:line="240" w:lineRule="auto"/>
              <w:jc w:val="center"/>
              <w:rPr>
                <w:rFonts w:cs="Calibri"/>
                <w:b/>
                <w:sz w:val="21"/>
                <w:szCs w:val="21"/>
              </w:rPr>
            </w:pPr>
          </w:p>
          <w:p w14:paraId="1AE33090" w14:textId="77777777" w:rsidR="00EC4085" w:rsidRDefault="00EC4085" w:rsidP="00254AB9">
            <w:pPr>
              <w:spacing w:after="0" w:line="240" w:lineRule="auto"/>
              <w:jc w:val="center"/>
              <w:rPr>
                <w:rFonts w:cs="Calibri"/>
                <w:b/>
                <w:sz w:val="21"/>
                <w:szCs w:val="21"/>
              </w:rPr>
            </w:pPr>
          </w:p>
          <w:p w14:paraId="18CAC4FA" w14:textId="77777777" w:rsidR="00EC4085" w:rsidRDefault="00EC4085" w:rsidP="00254AB9">
            <w:pPr>
              <w:spacing w:after="0" w:line="240" w:lineRule="auto"/>
              <w:jc w:val="center"/>
              <w:rPr>
                <w:rFonts w:cs="Calibri"/>
                <w:b/>
                <w:sz w:val="21"/>
                <w:szCs w:val="21"/>
              </w:rPr>
            </w:pPr>
          </w:p>
          <w:p w14:paraId="35F37B4B" w14:textId="77777777" w:rsidR="00EC4085" w:rsidRDefault="00EC4085" w:rsidP="00254AB9">
            <w:pPr>
              <w:spacing w:after="0" w:line="240" w:lineRule="auto"/>
              <w:jc w:val="center"/>
              <w:rPr>
                <w:rFonts w:cs="Calibri"/>
                <w:b/>
                <w:sz w:val="21"/>
                <w:szCs w:val="21"/>
              </w:rPr>
            </w:pPr>
          </w:p>
          <w:p w14:paraId="58CDC93B" w14:textId="77777777" w:rsidR="00EC4085" w:rsidRDefault="00EC4085" w:rsidP="00254AB9">
            <w:pPr>
              <w:spacing w:after="0" w:line="240" w:lineRule="auto"/>
              <w:jc w:val="center"/>
              <w:rPr>
                <w:rFonts w:cs="Calibri"/>
                <w:b/>
                <w:sz w:val="21"/>
                <w:szCs w:val="21"/>
              </w:rPr>
            </w:pPr>
          </w:p>
          <w:p w14:paraId="69ADC63B" w14:textId="77777777" w:rsidR="00EC4085" w:rsidRDefault="00EC4085" w:rsidP="00254AB9">
            <w:pPr>
              <w:spacing w:after="0" w:line="240" w:lineRule="auto"/>
              <w:jc w:val="center"/>
              <w:rPr>
                <w:rFonts w:cs="Calibri"/>
                <w:b/>
                <w:sz w:val="21"/>
                <w:szCs w:val="21"/>
              </w:rPr>
            </w:pPr>
          </w:p>
          <w:p w14:paraId="6D7A9BC4" w14:textId="7A01DCCD" w:rsidR="0068646B" w:rsidRPr="00254AB9" w:rsidRDefault="00FC6E8F" w:rsidP="003B19BC">
            <w:pPr>
              <w:spacing w:after="0" w:line="240" w:lineRule="auto"/>
              <w:jc w:val="center"/>
              <w:rPr>
                <w:rFonts w:cs="Calibri"/>
                <w:b/>
                <w:sz w:val="21"/>
                <w:szCs w:val="21"/>
              </w:rPr>
            </w:pPr>
            <w:r>
              <w:rPr>
                <w:rFonts w:cs="Calibri"/>
                <w:b/>
                <w:sz w:val="21"/>
                <w:szCs w:val="21"/>
              </w:rPr>
              <w:t xml:space="preserve">Wykres 43. </w:t>
            </w:r>
            <w:r w:rsidRPr="00254AB9">
              <w:rPr>
                <w:rFonts w:cs="Calibri"/>
                <w:b/>
                <w:sz w:val="21"/>
                <w:szCs w:val="21"/>
              </w:rPr>
              <w:t>Wartość wykupionych wierzytelności</w:t>
            </w:r>
            <w:r>
              <w:rPr>
                <w:rFonts w:cs="Calibri"/>
                <w:b/>
                <w:sz w:val="21"/>
                <w:szCs w:val="21"/>
              </w:rPr>
              <w:t xml:space="preserve"> (mld zł)</w:t>
            </w:r>
          </w:p>
        </w:tc>
      </w:tr>
      <w:tr w:rsidR="000B3CE9" w:rsidRPr="00254AB9" w14:paraId="33BEE60C" w14:textId="77777777" w:rsidTr="00612520">
        <w:tc>
          <w:tcPr>
            <w:tcW w:w="4786" w:type="dxa"/>
            <w:shd w:val="clear" w:color="auto" w:fill="auto"/>
          </w:tcPr>
          <w:p w14:paraId="618D061E" w14:textId="77777777" w:rsidR="000B3CE9" w:rsidRPr="00254AB9" w:rsidRDefault="00EC4085" w:rsidP="00017040">
            <w:pPr>
              <w:spacing w:after="0" w:line="240" w:lineRule="auto"/>
              <w:rPr>
                <w:rFonts w:cs="Calibri"/>
                <w:sz w:val="21"/>
                <w:szCs w:val="21"/>
              </w:rPr>
            </w:pPr>
            <w:r>
              <w:rPr>
                <w:noProof/>
                <w:lang w:eastAsia="pl-PL"/>
              </w:rPr>
              <w:drawing>
                <wp:inline distT="0" distB="0" distL="0" distR="0" wp14:anchorId="45EB4F0A" wp14:editId="6F44049A">
                  <wp:extent cx="3062378" cy="2743200"/>
                  <wp:effectExtent l="0" t="0" r="5080" b="0"/>
                  <wp:docPr id="32" name="Wykres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tc>
        <w:tc>
          <w:tcPr>
            <w:tcW w:w="4536" w:type="dxa"/>
            <w:shd w:val="clear" w:color="auto" w:fill="auto"/>
          </w:tcPr>
          <w:p w14:paraId="7A308DDA" w14:textId="205DB8E9" w:rsidR="000B3CE9" w:rsidRPr="00254AB9" w:rsidRDefault="00E22C55" w:rsidP="00017040">
            <w:pPr>
              <w:spacing w:after="0" w:line="240" w:lineRule="auto"/>
              <w:rPr>
                <w:rFonts w:cs="Calibri"/>
                <w:sz w:val="21"/>
                <w:szCs w:val="21"/>
              </w:rPr>
            </w:pPr>
            <w:r w:rsidRPr="00254AB9">
              <w:rPr>
                <w:rFonts w:cs="Calibri"/>
                <w:noProof/>
                <w:sz w:val="21"/>
                <w:szCs w:val="21"/>
                <w:lang w:eastAsia="pl-PL"/>
              </w:rPr>
              <w:drawing>
                <wp:inline distT="0" distB="0" distL="0" distR="0" wp14:anchorId="1F717D36" wp14:editId="1A535D46">
                  <wp:extent cx="2613660" cy="2697480"/>
                  <wp:effectExtent l="0" t="0" r="0" b="0"/>
                  <wp:docPr id="456" name="Obiek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tc>
      </w:tr>
      <w:tr w:rsidR="000B3CE9" w:rsidRPr="00254AB9" w14:paraId="3A3EAFF2" w14:textId="77777777" w:rsidTr="00612520">
        <w:tblPrEx>
          <w:tblCellMar>
            <w:left w:w="108" w:type="dxa"/>
            <w:right w:w="108" w:type="dxa"/>
          </w:tblCellMar>
        </w:tblPrEx>
        <w:tc>
          <w:tcPr>
            <w:tcW w:w="4786" w:type="dxa"/>
            <w:shd w:val="clear" w:color="auto" w:fill="auto"/>
          </w:tcPr>
          <w:p w14:paraId="00158D92" w14:textId="3FD0DE45" w:rsidR="00FC6E8F" w:rsidRPr="003D6D53" w:rsidRDefault="00FC6E8F" w:rsidP="00FC6E8F">
            <w:pPr>
              <w:pStyle w:val="Bezodstpw"/>
              <w:ind w:left="567" w:hanging="567"/>
            </w:pPr>
            <w:r w:rsidRPr="003D6D53">
              <w:t xml:space="preserve">Źródło: Opracowanie </w:t>
            </w:r>
            <w:r>
              <w:t xml:space="preserve">MRiT </w:t>
            </w:r>
            <w:r w:rsidRPr="003D6D53">
              <w:t xml:space="preserve">na podstawie danych: Polski Związek Leasingu (2018) </w:t>
            </w:r>
          </w:p>
          <w:p w14:paraId="3D8C2BF5" w14:textId="38EF20FD" w:rsidR="000B3CE9" w:rsidRPr="00254AB9" w:rsidRDefault="000B3CE9" w:rsidP="00254AB9">
            <w:pPr>
              <w:spacing w:after="0" w:line="240" w:lineRule="auto"/>
              <w:jc w:val="center"/>
              <w:rPr>
                <w:rFonts w:cs="Calibri"/>
                <w:b/>
                <w:sz w:val="21"/>
                <w:szCs w:val="21"/>
              </w:rPr>
            </w:pPr>
          </w:p>
        </w:tc>
        <w:tc>
          <w:tcPr>
            <w:tcW w:w="4536" w:type="dxa"/>
            <w:shd w:val="clear" w:color="auto" w:fill="auto"/>
          </w:tcPr>
          <w:p w14:paraId="457F286D" w14:textId="6AE37F93" w:rsidR="000B3CE9" w:rsidRPr="00254AB9" w:rsidRDefault="00FC6E8F" w:rsidP="00FC6E8F">
            <w:pPr>
              <w:pStyle w:val="Bezodstpw"/>
              <w:ind w:left="567" w:hanging="567"/>
              <w:rPr>
                <w:rFonts w:cs="Calibri"/>
                <w:b/>
                <w:sz w:val="21"/>
                <w:szCs w:val="21"/>
              </w:rPr>
            </w:pPr>
            <w:r w:rsidRPr="003D6D53">
              <w:t xml:space="preserve">Źródło: Opracowanie </w:t>
            </w:r>
            <w:r>
              <w:t xml:space="preserve">MRiT </w:t>
            </w:r>
            <w:r w:rsidRPr="003D6D53">
              <w:t>na podstawie danych Polski Związek Faktorów (2018)</w:t>
            </w:r>
            <w:r>
              <w:t>.</w:t>
            </w:r>
          </w:p>
        </w:tc>
      </w:tr>
    </w:tbl>
    <w:p w14:paraId="11F0A24C" w14:textId="77777777" w:rsidR="0068646B" w:rsidRPr="00254AB9" w:rsidRDefault="0068646B" w:rsidP="00730223">
      <w:pPr>
        <w:spacing w:after="0" w:line="240" w:lineRule="auto"/>
        <w:contextualSpacing/>
        <w:rPr>
          <w:rFonts w:cs="Calibri"/>
          <w:i/>
          <w:sz w:val="21"/>
          <w:szCs w:val="21"/>
        </w:rPr>
      </w:pPr>
    </w:p>
    <w:p w14:paraId="2036FC83" w14:textId="7C67ADAF" w:rsidR="00E32C5B" w:rsidRPr="00254AB9" w:rsidRDefault="00E32C5B" w:rsidP="00D01FC4">
      <w:r w:rsidRPr="00254AB9">
        <w:lastRenderedPageBreak/>
        <w:t>Jak wynika</w:t>
      </w:r>
      <w:r w:rsidR="006343E1">
        <w:t xml:space="preserve"> </w:t>
      </w:r>
      <w:r w:rsidR="006343E1" w:rsidRPr="00254AB9">
        <w:t>z</w:t>
      </w:r>
      <w:r w:rsidR="006343E1">
        <w:t> </w:t>
      </w:r>
      <w:r w:rsidRPr="00254AB9">
        <w:t>ostatniego przeglądu polityki gospodarczej Polski przez OECD</w:t>
      </w:r>
      <w:r w:rsidR="00E46A26" w:rsidRPr="00254AB9">
        <w:t xml:space="preserve"> (2018b)</w:t>
      </w:r>
      <w:r w:rsidRPr="00254AB9">
        <w:t>, rozwoju wymagają przede wszystkim te segmenty rynku finansowego, które charakteryzują się wyższym ryzykiem niż rynek aktywów</w:t>
      </w:r>
      <w:r w:rsidR="00B43072" w:rsidRPr="00254AB9">
        <w:t xml:space="preserve"> bazujących na kredytowaniu</w:t>
      </w:r>
      <w:r w:rsidRPr="00254AB9">
        <w:t xml:space="preserve"> (m.in. faktoring, leasing, kredyty</w:t>
      </w:r>
      <w:r w:rsidR="006343E1">
        <w:t xml:space="preserve"> </w:t>
      </w:r>
      <w:r w:rsidR="006343E1" w:rsidRPr="00254AB9">
        <w:t>i</w:t>
      </w:r>
      <w:r w:rsidR="006343E1">
        <w:t> </w:t>
      </w:r>
      <w:r w:rsidRPr="00254AB9">
        <w:t>pożyczki zabezpieczone majątkiem). Dotyczy to zwłaszcza instrumentów tzw. długu alternatywnego, rozwiązań hybrydowych oraz mechanizmów rynku kapitałowego (zwłaszcza wyższego ryzyka). Dostrzeżenie tego problemu przekłada się na równoległe prace</w:t>
      </w:r>
      <w:r w:rsidR="006343E1">
        <w:t xml:space="preserve"> </w:t>
      </w:r>
      <w:r w:rsidR="006343E1" w:rsidRPr="00254AB9">
        <w:t>w</w:t>
      </w:r>
      <w:r w:rsidR="006343E1">
        <w:t> </w:t>
      </w:r>
      <w:r w:rsidRPr="00254AB9">
        <w:t xml:space="preserve">zakresie </w:t>
      </w:r>
      <w:r w:rsidRPr="00CB07D4">
        <w:rPr>
          <w:i/>
        </w:rPr>
        <w:t>Strategii rozwoju rynku kapitałowego</w:t>
      </w:r>
      <w:r w:rsidRPr="00254AB9">
        <w:t>.</w:t>
      </w:r>
      <w:r w:rsidRPr="00254AB9">
        <w:rPr>
          <w:rStyle w:val="Odwoanieprzypisudolnego"/>
          <w:rFonts w:cs="Calibri"/>
          <w:sz w:val="21"/>
          <w:szCs w:val="21"/>
        </w:rPr>
        <w:footnoteReference w:id="22"/>
      </w:r>
      <w:r w:rsidRPr="00254AB9">
        <w:t xml:space="preserve"> Poniższa tabela prezentuje główne instrumenty finansowania potrzeb bieżących</w:t>
      </w:r>
      <w:r w:rsidR="006343E1">
        <w:t xml:space="preserve"> </w:t>
      </w:r>
      <w:r w:rsidR="006343E1" w:rsidRPr="00254AB9">
        <w:t>i</w:t>
      </w:r>
      <w:r w:rsidR="006343E1">
        <w:t> </w:t>
      </w:r>
      <w:r w:rsidRPr="00254AB9">
        <w:t>inwestycyjnych przedsiębiorstw</w:t>
      </w:r>
      <w:r w:rsidR="00647B19" w:rsidRPr="00647B19">
        <w:t xml:space="preserve"> </w:t>
      </w:r>
      <w:r w:rsidR="00647B19" w:rsidRPr="00254AB9">
        <w:t>krajowych</w:t>
      </w:r>
      <w:r w:rsidRPr="00254AB9">
        <w:t xml:space="preserve">. </w:t>
      </w:r>
    </w:p>
    <w:p w14:paraId="7882003C" w14:textId="375C18B3" w:rsidR="00E32C5B" w:rsidRPr="00254AB9" w:rsidRDefault="00E32C5B" w:rsidP="000E1FA5">
      <w:pPr>
        <w:pStyle w:val="Nagwek4"/>
      </w:pPr>
      <w:r w:rsidRPr="00254AB9">
        <w:t xml:space="preserve">Tabela </w:t>
      </w:r>
      <w:r w:rsidR="00311B4A">
        <w:rPr>
          <w:noProof/>
        </w:rPr>
        <w:t>9</w:t>
      </w:r>
      <w:r w:rsidRPr="00254AB9">
        <w:t>. Mechanizmy finansowania MSP</w:t>
      </w:r>
    </w:p>
    <w:tbl>
      <w:tblPr>
        <w:tblW w:w="90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268"/>
        <w:gridCol w:w="2268"/>
        <w:gridCol w:w="2268"/>
      </w:tblGrid>
      <w:tr w:rsidR="00E32C5B" w:rsidRPr="00254AB9" w14:paraId="4635273A" w14:textId="77777777" w:rsidTr="00612520">
        <w:tc>
          <w:tcPr>
            <w:tcW w:w="2235" w:type="dxa"/>
            <w:shd w:val="clear" w:color="auto" w:fill="auto"/>
          </w:tcPr>
          <w:p w14:paraId="2E4FE50D" w14:textId="77777777" w:rsidR="00E32C5B" w:rsidRPr="00254AB9" w:rsidRDefault="00E32C5B" w:rsidP="00CB07D4">
            <w:pPr>
              <w:spacing w:after="0" w:line="240" w:lineRule="auto"/>
              <w:jc w:val="center"/>
              <w:rPr>
                <w:rFonts w:cs="Calibri"/>
                <w:b/>
                <w:sz w:val="20"/>
                <w:szCs w:val="21"/>
              </w:rPr>
            </w:pPr>
            <w:r w:rsidRPr="00254AB9">
              <w:rPr>
                <w:rFonts w:cs="Calibri"/>
                <w:b/>
                <w:sz w:val="20"/>
                <w:szCs w:val="21"/>
              </w:rPr>
              <w:t>Instrumenty finansowania aktywów</w:t>
            </w:r>
          </w:p>
        </w:tc>
        <w:tc>
          <w:tcPr>
            <w:tcW w:w="2268" w:type="dxa"/>
            <w:shd w:val="clear" w:color="auto" w:fill="auto"/>
          </w:tcPr>
          <w:p w14:paraId="4A12E2E3" w14:textId="77777777" w:rsidR="00E32C5B" w:rsidRPr="00254AB9" w:rsidRDefault="00E32C5B" w:rsidP="00CB07D4">
            <w:pPr>
              <w:spacing w:after="0" w:line="240" w:lineRule="auto"/>
              <w:jc w:val="center"/>
              <w:rPr>
                <w:rFonts w:cs="Calibri"/>
                <w:b/>
                <w:sz w:val="20"/>
                <w:szCs w:val="21"/>
              </w:rPr>
            </w:pPr>
            <w:r w:rsidRPr="00254AB9">
              <w:rPr>
                <w:rFonts w:cs="Calibri"/>
                <w:b/>
                <w:sz w:val="20"/>
                <w:szCs w:val="21"/>
              </w:rPr>
              <w:t>Kredyt alternatywny</w:t>
            </w:r>
          </w:p>
        </w:tc>
        <w:tc>
          <w:tcPr>
            <w:tcW w:w="2268" w:type="dxa"/>
            <w:shd w:val="clear" w:color="auto" w:fill="auto"/>
          </w:tcPr>
          <w:p w14:paraId="5196FD06" w14:textId="77777777" w:rsidR="00E32C5B" w:rsidRPr="00254AB9" w:rsidRDefault="00E32C5B" w:rsidP="00CB07D4">
            <w:pPr>
              <w:spacing w:after="0" w:line="240" w:lineRule="auto"/>
              <w:jc w:val="center"/>
              <w:rPr>
                <w:rFonts w:cs="Calibri"/>
                <w:b/>
                <w:sz w:val="20"/>
                <w:szCs w:val="21"/>
              </w:rPr>
            </w:pPr>
            <w:r w:rsidRPr="00254AB9">
              <w:rPr>
                <w:rFonts w:cs="Calibri"/>
                <w:b/>
                <w:sz w:val="20"/>
                <w:szCs w:val="21"/>
              </w:rPr>
              <w:t>Rozwiązania hybrydowe</w:t>
            </w:r>
          </w:p>
        </w:tc>
        <w:tc>
          <w:tcPr>
            <w:tcW w:w="2268" w:type="dxa"/>
            <w:shd w:val="clear" w:color="auto" w:fill="auto"/>
          </w:tcPr>
          <w:p w14:paraId="2875B1DD" w14:textId="77777777" w:rsidR="00E32C5B" w:rsidRPr="00254AB9" w:rsidRDefault="00E32C5B" w:rsidP="00CB07D4">
            <w:pPr>
              <w:spacing w:after="0" w:line="240" w:lineRule="auto"/>
              <w:jc w:val="center"/>
              <w:rPr>
                <w:rFonts w:cs="Calibri"/>
                <w:b/>
                <w:sz w:val="20"/>
                <w:szCs w:val="21"/>
              </w:rPr>
            </w:pPr>
            <w:r w:rsidRPr="00254AB9">
              <w:rPr>
                <w:rFonts w:cs="Calibri"/>
                <w:b/>
                <w:sz w:val="20"/>
                <w:szCs w:val="21"/>
              </w:rPr>
              <w:t>Rynek kapitałowy</w:t>
            </w:r>
          </w:p>
        </w:tc>
      </w:tr>
      <w:tr w:rsidR="00E32C5B" w:rsidRPr="00254AB9" w14:paraId="41F61321" w14:textId="77777777" w:rsidTr="00612520">
        <w:tc>
          <w:tcPr>
            <w:tcW w:w="2235" w:type="dxa"/>
            <w:shd w:val="clear" w:color="auto" w:fill="auto"/>
          </w:tcPr>
          <w:p w14:paraId="002EC1E7" w14:textId="4F2A120B" w:rsidR="00E32C5B" w:rsidRPr="00254AB9" w:rsidRDefault="00E32C5B" w:rsidP="00254AB9">
            <w:pPr>
              <w:spacing w:after="0" w:line="240" w:lineRule="auto"/>
              <w:rPr>
                <w:rFonts w:cs="Calibri"/>
                <w:sz w:val="20"/>
                <w:szCs w:val="21"/>
              </w:rPr>
            </w:pPr>
            <w:r w:rsidRPr="00254AB9">
              <w:rPr>
                <w:rFonts w:cs="Calibri"/>
                <w:sz w:val="20"/>
                <w:szCs w:val="21"/>
              </w:rPr>
              <w:t>Kredyt/</w:t>
            </w:r>
            <w:r w:rsidR="00647B19">
              <w:rPr>
                <w:rFonts w:cs="Calibri"/>
                <w:sz w:val="20"/>
                <w:szCs w:val="21"/>
              </w:rPr>
              <w:t>p</w:t>
            </w:r>
            <w:r w:rsidRPr="00254AB9">
              <w:rPr>
                <w:rFonts w:cs="Calibri"/>
                <w:sz w:val="20"/>
                <w:szCs w:val="21"/>
              </w:rPr>
              <w:t>ożyczka</w:t>
            </w:r>
          </w:p>
        </w:tc>
        <w:tc>
          <w:tcPr>
            <w:tcW w:w="2268" w:type="dxa"/>
            <w:shd w:val="clear" w:color="auto" w:fill="auto"/>
          </w:tcPr>
          <w:p w14:paraId="1CD168A0" w14:textId="77777777" w:rsidR="00E32C5B" w:rsidRPr="00254AB9" w:rsidRDefault="00E32C5B" w:rsidP="00254AB9">
            <w:pPr>
              <w:spacing w:after="0" w:line="240" w:lineRule="auto"/>
              <w:rPr>
                <w:rFonts w:cs="Calibri"/>
                <w:sz w:val="20"/>
                <w:szCs w:val="21"/>
              </w:rPr>
            </w:pPr>
            <w:r w:rsidRPr="00254AB9">
              <w:rPr>
                <w:rFonts w:cs="Calibri"/>
                <w:sz w:val="20"/>
                <w:szCs w:val="21"/>
              </w:rPr>
              <w:t>Obligacje korporacyjne</w:t>
            </w:r>
          </w:p>
        </w:tc>
        <w:tc>
          <w:tcPr>
            <w:tcW w:w="2268" w:type="dxa"/>
            <w:shd w:val="clear" w:color="auto" w:fill="auto"/>
          </w:tcPr>
          <w:p w14:paraId="28A79453" w14:textId="77777777" w:rsidR="00E32C5B" w:rsidRPr="00254AB9" w:rsidRDefault="00E32C5B" w:rsidP="00254AB9">
            <w:pPr>
              <w:spacing w:after="0" w:line="240" w:lineRule="auto"/>
              <w:rPr>
                <w:rFonts w:cs="Calibri"/>
                <w:sz w:val="20"/>
                <w:szCs w:val="21"/>
              </w:rPr>
            </w:pPr>
            <w:r w:rsidRPr="00254AB9">
              <w:rPr>
                <w:rFonts w:cs="Calibri"/>
                <w:sz w:val="20"/>
                <w:szCs w:val="21"/>
              </w:rPr>
              <w:t>Pożyczki podporządkowane</w:t>
            </w:r>
          </w:p>
        </w:tc>
        <w:tc>
          <w:tcPr>
            <w:tcW w:w="2268" w:type="dxa"/>
            <w:shd w:val="clear" w:color="auto" w:fill="auto"/>
          </w:tcPr>
          <w:p w14:paraId="3FF1FFFB" w14:textId="77777777" w:rsidR="00E32C5B" w:rsidRPr="00CB07D4" w:rsidRDefault="00E32C5B" w:rsidP="00254AB9">
            <w:pPr>
              <w:spacing w:after="0" w:line="240" w:lineRule="auto"/>
              <w:rPr>
                <w:i/>
                <w:sz w:val="20"/>
              </w:rPr>
            </w:pPr>
            <w:r w:rsidRPr="00CB07D4">
              <w:rPr>
                <w:i/>
                <w:sz w:val="20"/>
              </w:rPr>
              <w:t>Private Equity</w:t>
            </w:r>
          </w:p>
        </w:tc>
      </w:tr>
      <w:tr w:rsidR="00E32C5B" w:rsidRPr="00254AB9" w14:paraId="5AA2693E" w14:textId="77777777" w:rsidTr="00612520">
        <w:tc>
          <w:tcPr>
            <w:tcW w:w="2235" w:type="dxa"/>
            <w:shd w:val="clear" w:color="auto" w:fill="auto"/>
          </w:tcPr>
          <w:p w14:paraId="1848B5C1" w14:textId="77777777" w:rsidR="00E32C5B" w:rsidRPr="00CB07D4" w:rsidRDefault="00E32C5B" w:rsidP="00254AB9">
            <w:pPr>
              <w:spacing w:after="0" w:line="240" w:lineRule="auto"/>
              <w:rPr>
                <w:i/>
                <w:sz w:val="20"/>
              </w:rPr>
            </w:pPr>
            <w:r w:rsidRPr="00CB07D4">
              <w:rPr>
                <w:i/>
                <w:sz w:val="20"/>
              </w:rPr>
              <w:t>Faktoring</w:t>
            </w:r>
          </w:p>
        </w:tc>
        <w:tc>
          <w:tcPr>
            <w:tcW w:w="2268" w:type="dxa"/>
            <w:shd w:val="clear" w:color="auto" w:fill="auto"/>
          </w:tcPr>
          <w:p w14:paraId="38715BA5" w14:textId="77777777" w:rsidR="00E32C5B" w:rsidRPr="00254AB9" w:rsidRDefault="00E32C5B" w:rsidP="00254AB9">
            <w:pPr>
              <w:spacing w:after="0" w:line="240" w:lineRule="auto"/>
              <w:rPr>
                <w:rFonts w:cs="Calibri"/>
                <w:sz w:val="20"/>
                <w:szCs w:val="21"/>
              </w:rPr>
            </w:pPr>
            <w:r w:rsidRPr="00254AB9">
              <w:rPr>
                <w:rFonts w:cs="Calibri"/>
                <w:sz w:val="20"/>
                <w:szCs w:val="21"/>
              </w:rPr>
              <w:t>Obligacje zabezpieczone</w:t>
            </w:r>
          </w:p>
        </w:tc>
        <w:tc>
          <w:tcPr>
            <w:tcW w:w="2268" w:type="dxa"/>
            <w:shd w:val="clear" w:color="auto" w:fill="auto"/>
          </w:tcPr>
          <w:p w14:paraId="6FD59B0F" w14:textId="1C030558" w:rsidR="00E32C5B" w:rsidRPr="00254AB9" w:rsidRDefault="00E32C5B" w:rsidP="00254AB9">
            <w:pPr>
              <w:spacing w:after="0" w:line="240" w:lineRule="auto"/>
              <w:rPr>
                <w:rFonts w:cs="Calibri"/>
                <w:sz w:val="20"/>
                <w:szCs w:val="21"/>
              </w:rPr>
            </w:pPr>
            <w:r w:rsidRPr="00254AB9">
              <w:rPr>
                <w:rFonts w:cs="Calibri"/>
                <w:sz w:val="20"/>
                <w:szCs w:val="21"/>
              </w:rPr>
              <w:t>Obligacje zamienne na akcje</w:t>
            </w:r>
          </w:p>
        </w:tc>
        <w:tc>
          <w:tcPr>
            <w:tcW w:w="2268" w:type="dxa"/>
            <w:shd w:val="clear" w:color="auto" w:fill="auto"/>
          </w:tcPr>
          <w:p w14:paraId="70AA91A5" w14:textId="77777777" w:rsidR="00E32C5B" w:rsidRPr="00CB07D4" w:rsidRDefault="00E32C5B" w:rsidP="00254AB9">
            <w:pPr>
              <w:spacing w:after="0" w:line="240" w:lineRule="auto"/>
              <w:rPr>
                <w:i/>
                <w:sz w:val="20"/>
              </w:rPr>
            </w:pPr>
            <w:r w:rsidRPr="00CB07D4">
              <w:rPr>
                <w:i/>
                <w:sz w:val="20"/>
              </w:rPr>
              <w:t>Venture Capital</w:t>
            </w:r>
          </w:p>
        </w:tc>
      </w:tr>
      <w:tr w:rsidR="00E32C5B" w:rsidRPr="00254AB9" w14:paraId="7B6AC701" w14:textId="77777777" w:rsidTr="00612520">
        <w:tc>
          <w:tcPr>
            <w:tcW w:w="2235" w:type="dxa"/>
            <w:shd w:val="clear" w:color="auto" w:fill="auto"/>
          </w:tcPr>
          <w:p w14:paraId="23AC4492" w14:textId="77777777" w:rsidR="00E32C5B" w:rsidRPr="00254AB9" w:rsidRDefault="00E32C5B" w:rsidP="00254AB9">
            <w:pPr>
              <w:spacing w:after="0" w:line="240" w:lineRule="auto"/>
              <w:rPr>
                <w:rFonts w:cs="Calibri"/>
                <w:sz w:val="20"/>
                <w:szCs w:val="21"/>
              </w:rPr>
            </w:pPr>
            <w:r w:rsidRPr="00254AB9">
              <w:rPr>
                <w:rFonts w:cs="Calibri"/>
                <w:sz w:val="20"/>
                <w:szCs w:val="21"/>
              </w:rPr>
              <w:t>Leasing</w:t>
            </w:r>
          </w:p>
        </w:tc>
        <w:tc>
          <w:tcPr>
            <w:tcW w:w="2268" w:type="dxa"/>
            <w:shd w:val="clear" w:color="auto" w:fill="auto"/>
          </w:tcPr>
          <w:p w14:paraId="22CF4EBC" w14:textId="77777777" w:rsidR="00E32C5B" w:rsidRPr="00254AB9" w:rsidRDefault="00E32C5B" w:rsidP="00254AB9">
            <w:pPr>
              <w:spacing w:after="0" w:line="240" w:lineRule="auto"/>
              <w:rPr>
                <w:rFonts w:cs="Calibri"/>
                <w:sz w:val="20"/>
                <w:szCs w:val="21"/>
              </w:rPr>
            </w:pPr>
            <w:r w:rsidRPr="00CB07D4">
              <w:rPr>
                <w:i/>
                <w:sz w:val="20"/>
              </w:rPr>
              <w:t>Crowdfunding</w:t>
            </w:r>
            <w:r w:rsidRPr="00254AB9">
              <w:rPr>
                <w:rFonts w:cs="Calibri"/>
                <w:sz w:val="20"/>
                <w:szCs w:val="21"/>
              </w:rPr>
              <w:t xml:space="preserve"> (pożyczkowy)</w:t>
            </w:r>
          </w:p>
        </w:tc>
        <w:tc>
          <w:tcPr>
            <w:tcW w:w="2268" w:type="dxa"/>
            <w:shd w:val="clear" w:color="auto" w:fill="auto"/>
          </w:tcPr>
          <w:p w14:paraId="060C56E5" w14:textId="77777777" w:rsidR="00E32C5B" w:rsidRPr="00CB07D4" w:rsidRDefault="00E32C5B" w:rsidP="00254AB9">
            <w:pPr>
              <w:spacing w:after="0" w:line="240" w:lineRule="auto"/>
              <w:rPr>
                <w:i/>
                <w:sz w:val="20"/>
              </w:rPr>
            </w:pPr>
            <w:r w:rsidRPr="00CB07D4">
              <w:rPr>
                <w:i/>
                <w:sz w:val="20"/>
              </w:rPr>
              <w:t>Mezza</w:t>
            </w:r>
            <w:r w:rsidR="00B43072" w:rsidRPr="00CB07D4">
              <w:rPr>
                <w:i/>
                <w:sz w:val="20"/>
              </w:rPr>
              <w:t>n</w:t>
            </w:r>
            <w:r w:rsidRPr="00CB07D4">
              <w:rPr>
                <w:i/>
                <w:sz w:val="20"/>
              </w:rPr>
              <w:t>ine</w:t>
            </w:r>
          </w:p>
        </w:tc>
        <w:tc>
          <w:tcPr>
            <w:tcW w:w="2268" w:type="dxa"/>
            <w:shd w:val="clear" w:color="auto" w:fill="auto"/>
          </w:tcPr>
          <w:p w14:paraId="226E4571" w14:textId="3AF0B02D" w:rsidR="00E32C5B" w:rsidRPr="00254AB9" w:rsidRDefault="00E32C5B" w:rsidP="00254AB9">
            <w:pPr>
              <w:spacing w:after="0" w:line="240" w:lineRule="auto"/>
              <w:rPr>
                <w:rFonts w:cs="Calibri"/>
                <w:sz w:val="20"/>
                <w:szCs w:val="21"/>
              </w:rPr>
            </w:pPr>
            <w:r w:rsidRPr="00254AB9">
              <w:rPr>
                <w:rFonts w:cs="Calibri"/>
                <w:sz w:val="20"/>
                <w:szCs w:val="21"/>
              </w:rPr>
              <w:t xml:space="preserve">Aniołowie </w:t>
            </w:r>
            <w:r w:rsidR="00EF0DD3">
              <w:rPr>
                <w:rFonts w:cs="Calibri"/>
                <w:sz w:val="20"/>
                <w:szCs w:val="21"/>
              </w:rPr>
              <w:t>b</w:t>
            </w:r>
            <w:r w:rsidRPr="00254AB9">
              <w:rPr>
                <w:rFonts w:cs="Calibri"/>
                <w:sz w:val="20"/>
                <w:szCs w:val="21"/>
              </w:rPr>
              <w:t>iznesu</w:t>
            </w:r>
          </w:p>
        </w:tc>
      </w:tr>
      <w:tr w:rsidR="00E32C5B" w:rsidRPr="00254AB9" w14:paraId="5631E110" w14:textId="77777777" w:rsidTr="00612520">
        <w:tc>
          <w:tcPr>
            <w:tcW w:w="2235" w:type="dxa"/>
            <w:shd w:val="clear" w:color="auto" w:fill="auto"/>
          </w:tcPr>
          <w:p w14:paraId="4A617217" w14:textId="77777777" w:rsidR="00E32C5B" w:rsidRPr="00254AB9" w:rsidRDefault="00E32C5B" w:rsidP="00254AB9">
            <w:pPr>
              <w:spacing w:after="0" w:line="240" w:lineRule="auto"/>
              <w:rPr>
                <w:rFonts w:cs="Calibri"/>
                <w:sz w:val="20"/>
                <w:szCs w:val="21"/>
              </w:rPr>
            </w:pPr>
            <w:r w:rsidRPr="00254AB9">
              <w:rPr>
                <w:rFonts w:cs="Calibri"/>
                <w:sz w:val="20"/>
                <w:szCs w:val="21"/>
              </w:rPr>
              <w:t>Kredyt kupiecki</w:t>
            </w:r>
          </w:p>
        </w:tc>
        <w:tc>
          <w:tcPr>
            <w:tcW w:w="2268" w:type="dxa"/>
            <w:shd w:val="clear" w:color="auto" w:fill="auto"/>
          </w:tcPr>
          <w:p w14:paraId="1762B898" w14:textId="77777777" w:rsidR="00E32C5B" w:rsidRPr="00254AB9" w:rsidRDefault="00E32C5B" w:rsidP="00254AB9">
            <w:pPr>
              <w:spacing w:after="0" w:line="240" w:lineRule="auto"/>
              <w:rPr>
                <w:rFonts w:cs="Calibri"/>
                <w:sz w:val="20"/>
                <w:szCs w:val="21"/>
              </w:rPr>
            </w:pPr>
            <w:r w:rsidRPr="00254AB9">
              <w:rPr>
                <w:rFonts w:cs="Calibri"/>
                <w:sz w:val="20"/>
                <w:szCs w:val="21"/>
              </w:rPr>
              <w:t>Sekurytyzacja</w:t>
            </w:r>
          </w:p>
        </w:tc>
        <w:tc>
          <w:tcPr>
            <w:tcW w:w="2268" w:type="dxa"/>
            <w:shd w:val="clear" w:color="auto" w:fill="auto"/>
          </w:tcPr>
          <w:p w14:paraId="415069B3" w14:textId="77777777" w:rsidR="00E32C5B" w:rsidRPr="00254AB9" w:rsidRDefault="00E32C5B" w:rsidP="00254AB9">
            <w:pPr>
              <w:spacing w:after="0" w:line="240" w:lineRule="auto"/>
              <w:rPr>
                <w:rFonts w:cs="Calibri"/>
                <w:sz w:val="20"/>
                <w:szCs w:val="21"/>
              </w:rPr>
            </w:pPr>
          </w:p>
        </w:tc>
        <w:tc>
          <w:tcPr>
            <w:tcW w:w="2268" w:type="dxa"/>
            <w:shd w:val="clear" w:color="auto" w:fill="auto"/>
          </w:tcPr>
          <w:p w14:paraId="44F3C0A2" w14:textId="77777777" w:rsidR="00E32C5B" w:rsidRPr="00254AB9" w:rsidRDefault="00E32C5B" w:rsidP="00254AB9">
            <w:pPr>
              <w:spacing w:after="0" w:line="240" w:lineRule="auto"/>
              <w:rPr>
                <w:rFonts w:cs="Calibri"/>
                <w:sz w:val="20"/>
                <w:szCs w:val="21"/>
              </w:rPr>
            </w:pPr>
            <w:r w:rsidRPr="00CB07D4">
              <w:rPr>
                <w:i/>
                <w:sz w:val="20"/>
              </w:rPr>
              <w:t xml:space="preserve">Crowdfunding </w:t>
            </w:r>
            <w:r w:rsidRPr="00254AB9">
              <w:rPr>
                <w:rFonts w:cs="Calibri"/>
                <w:sz w:val="20"/>
                <w:szCs w:val="21"/>
              </w:rPr>
              <w:t>(udziałowy)</w:t>
            </w:r>
          </w:p>
        </w:tc>
      </w:tr>
    </w:tbl>
    <w:p w14:paraId="52941753" w14:textId="79B3EE99" w:rsidR="00E32C5B" w:rsidRPr="00254AB9" w:rsidRDefault="00E32C5B" w:rsidP="003D6D53">
      <w:pPr>
        <w:pStyle w:val="Bezodstpw"/>
      </w:pPr>
      <w:r w:rsidRPr="00254AB9">
        <w:t xml:space="preserve">Źródło: </w:t>
      </w:r>
      <w:r w:rsidR="00B822CB" w:rsidRPr="00254AB9">
        <w:t xml:space="preserve">Opracowanie </w:t>
      </w:r>
      <w:r w:rsidR="003A56DA">
        <w:t>MRiT</w:t>
      </w:r>
      <w:r w:rsidR="003A5EA7">
        <w:t xml:space="preserve"> </w:t>
      </w:r>
      <w:r w:rsidRPr="00254AB9">
        <w:t>na podstawie OECD (2018</w:t>
      </w:r>
      <w:r w:rsidR="00CF5B21" w:rsidRPr="00254AB9">
        <w:t xml:space="preserve">b </w:t>
      </w:r>
      <w:r w:rsidRPr="00254AB9">
        <w:t>, s. 124</w:t>
      </w:r>
      <w:r w:rsidR="00CF5B21" w:rsidRPr="00254AB9">
        <w:t>)</w:t>
      </w:r>
      <w:r w:rsidRPr="00254AB9">
        <w:t>.</w:t>
      </w:r>
    </w:p>
    <w:p w14:paraId="164FB64D" w14:textId="2F8C7E93" w:rsidR="00E32C5B" w:rsidRPr="00254AB9" w:rsidRDefault="00E32C5B" w:rsidP="00D01FC4">
      <w:r w:rsidRPr="00254AB9">
        <w:t>Do tej pory brak było kompleksowej rządowej strategii rozwoju rynku kapitałowego, co utrudniało jego wzrost. Było to widoczne szczególnie</w:t>
      </w:r>
      <w:r w:rsidR="006343E1">
        <w:t xml:space="preserve"> </w:t>
      </w:r>
      <w:r w:rsidR="006343E1" w:rsidRPr="00254AB9">
        <w:t>w</w:t>
      </w:r>
      <w:r w:rsidR="006343E1">
        <w:t> </w:t>
      </w:r>
      <w:r w:rsidRPr="00254AB9">
        <w:t>ostatnich kilku latach, kiedy to polski rynek kapitałowy znalazł się</w:t>
      </w:r>
      <w:r w:rsidR="006343E1">
        <w:t xml:space="preserve"> </w:t>
      </w:r>
      <w:r w:rsidR="006343E1" w:rsidRPr="00254AB9">
        <w:t>w</w:t>
      </w:r>
      <w:r w:rsidR="006343E1">
        <w:t> </w:t>
      </w:r>
      <w:r w:rsidRPr="00254AB9">
        <w:t xml:space="preserve">defensywie: liczba </w:t>
      </w:r>
      <w:r w:rsidR="008F54D3" w:rsidRPr="0099684F">
        <w:t>ofert publicznych spółki (</w:t>
      </w:r>
      <w:r w:rsidRPr="000C5EEF">
        <w:t>IPO</w:t>
      </w:r>
      <w:r w:rsidR="008F54D3" w:rsidRPr="0099684F">
        <w:t>)</w:t>
      </w:r>
      <w:r w:rsidRPr="000C5EEF">
        <w:t xml:space="preserve"> </w:t>
      </w:r>
      <w:r w:rsidRPr="00254AB9">
        <w:t>zmniejszyła się, istotnie osłabła aktywność inwestorów (zwłaszcza indywidua</w:t>
      </w:r>
      <w:r w:rsidR="001A4BCD" w:rsidRPr="00254AB9">
        <w:t>l</w:t>
      </w:r>
      <w:r w:rsidRPr="00254AB9">
        <w:t xml:space="preserve">nych) na rynkach akcji, </w:t>
      </w:r>
      <w:r w:rsidR="003313EA" w:rsidRPr="0078665D">
        <w:t>niekorzystnie</w:t>
      </w:r>
      <w:r w:rsidR="00017040">
        <w:t xml:space="preserve"> </w:t>
      </w:r>
      <w:r w:rsidRPr="00254AB9">
        <w:t>przedstawia się również, od 2014 r., sytuacja na rynku instrumentów pochodnych. Pomimo tych niedomagań polski rynek kapitałowy odgrywa wiodącą rolę w</w:t>
      </w:r>
      <w:r w:rsidR="004113CD" w:rsidRPr="00254AB9">
        <w:t> </w:t>
      </w:r>
      <w:r w:rsidRPr="00254AB9">
        <w:t>Europie Środkowo-Wschodniej. Wyróżnia się pozytywnie na tle krajów regionu pod względem wskaźnika kapitalizacji rynku, liczby jego uczestników, wielkości obrotów oraz liczby notowanych spółek. Polski rynek kapitałowy, wspierany przez konkurencyjną regionalnie Warszawską Giełdę Papierów Wartościowych (GPW)</w:t>
      </w:r>
      <w:r w:rsidR="00647B19">
        <w:t>,</w:t>
      </w:r>
      <w:r w:rsidRPr="00254AB9">
        <w:t xml:space="preserve"> może stać się regionalnym centrum dla sektora </w:t>
      </w:r>
      <w:r w:rsidRPr="00254AB9">
        <w:rPr>
          <w:i/>
        </w:rPr>
        <w:t>private equit</w:t>
      </w:r>
      <w:r w:rsidR="00017040">
        <w:rPr>
          <w:i/>
        </w:rPr>
        <w:t>y</w:t>
      </w:r>
      <w:r w:rsidR="00647B19">
        <w:rPr>
          <w:i/>
        </w:rPr>
        <w:t xml:space="preserve"> </w:t>
      </w:r>
      <w:r w:rsidRPr="00254AB9">
        <w:rPr>
          <w:i/>
        </w:rPr>
        <w:t>/</w:t>
      </w:r>
      <w:r w:rsidR="00647B19">
        <w:rPr>
          <w:i/>
        </w:rPr>
        <w:t xml:space="preserve"> </w:t>
      </w:r>
      <w:r w:rsidRPr="00254AB9">
        <w:rPr>
          <w:i/>
        </w:rPr>
        <w:t>venture capital</w:t>
      </w:r>
      <w:r w:rsidRPr="00254AB9">
        <w:t>. Wszystko to sprawia</w:t>
      </w:r>
      <w:r w:rsidR="00477C54">
        <w:t>, że </w:t>
      </w:r>
      <w:r w:rsidRPr="00254AB9">
        <w:t>podparty dobrym strategicznym planowaniem rozwój rynku kapitałowego może istotnie wzmocnić jego rolę jako motoru rozwoju gospodarczego</w:t>
      </w:r>
      <w:r w:rsidR="006343E1">
        <w:t xml:space="preserve"> </w:t>
      </w:r>
      <w:r w:rsidR="006343E1" w:rsidRPr="00254AB9">
        <w:t>i</w:t>
      </w:r>
      <w:r w:rsidR="006343E1">
        <w:t> </w:t>
      </w:r>
      <w:r w:rsidRPr="00254AB9">
        <w:t xml:space="preserve">katalizatora innowacji dla gospodarki.  </w:t>
      </w:r>
    </w:p>
    <w:p w14:paraId="0B117813" w14:textId="25BD051C" w:rsidR="000B3CE9" w:rsidRPr="00254AB9" w:rsidRDefault="00E32C5B" w:rsidP="00730223">
      <w:pPr>
        <w:spacing w:after="0" w:line="240" w:lineRule="auto"/>
        <w:rPr>
          <w:rFonts w:cs="Calibri"/>
          <w:sz w:val="21"/>
          <w:szCs w:val="21"/>
        </w:rPr>
      </w:pPr>
      <w:r w:rsidRPr="00CB07D4">
        <w:rPr>
          <w:sz w:val="21"/>
        </w:rPr>
        <w:t>Finansowanie d</w:t>
      </w:r>
      <w:r w:rsidR="000B3CE9" w:rsidRPr="00CB07D4">
        <w:rPr>
          <w:sz w:val="21"/>
        </w:rPr>
        <w:t xml:space="preserve">ziałalności </w:t>
      </w:r>
      <w:r w:rsidR="008B2AB7" w:rsidRPr="00CB07D4">
        <w:rPr>
          <w:sz w:val="21"/>
        </w:rPr>
        <w:t>innowacyjnej</w:t>
      </w:r>
      <w:r w:rsidR="000B3CE9" w:rsidRPr="00254AB9">
        <w:rPr>
          <w:rFonts w:cs="Calibri"/>
          <w:sz w:val="21"/>
          <w:szCs w:val="21"/>
        </w:rPr>
        <w:t xml:space="preserve"> </w:t>
      </w:r>
      <w:r w:rsidRPr="00254AB9">
        <w:rPr>
          <w:rFonts w:cs="Calibri"/>
          <w:sz w:val="21"/>
          <w:szCs w:val="21"/>
        </w:rPr>
        <w:t xml:space="preserve">opiera się na </w:t>
      </w:r>
      <w:r w:rsidR="000B3CE9" w:rsidRPr="00254AB9">
        <w:rPr>
          <w:rFonts w:cs="Calibri"/>
          <w:sz w:val="21"/>
          <w:szCs w:val="21"/>
        </w:rPr>
        <w:t>czter</w:t>
      </w:r>
      <w:r w:rsidRPr="00254AB9">
        <w:rPr>
          <w:rFonts w:cs="Calibri"/>
          <w:sz w:val="21"/>
          <w:szCs w:val="21"/>
        </w:rPr>
        <w:t>ech</w:t>
      </w:r>
      <w:r w:rsidR="000B3CE9" w:rsidRPr="00254AB9">
        <w:rPr>
          <w:rFonts w:cs="Calibri"/>
          <w:sz w:val="21"/>
          <w:szCs w:val="21"/>
        </w:rPr>
        <w:t xml:space="preserve"> podstawow</w:t>
      </w:r>
      <w:r w:rsidRPr="00254AB9">
        <w:rPr>
          <w:rFonts w:cs="Calibri"/>
          <w:sz w:val="21"/>
          <w:szCs w:val="21"/>
        </w:rPr>
        <w:t>ych</w:t>
      </w:r>
      <w:r w:rsidR="000B3CE9" w:rsidRPr="00254AB9">
        <w:rPr>
          <w:rFonts w:cs="Calibri"/>
          <w:sz w:val="21"/>
          <w:szCs w:val="21"/>
        </w:rPr>
        <w:t xml:space="preserve"> źródła</w:t>
      </w:r>
      <w:r w:rsidRPr="00254AB9">
        <w:rPr>
          <w:rFonts w:cs="Calibri"/>
          <w:sz w:val="21"/>
          <w:szCs w:val="21"/>
        </w:rPr>
        <w:t>ch:</w:t>
      </w:r>
      <w:r w:rsidR="000B3CE9" w:rsidRPr="00254AB9">
        <w:rPr>
          <w:rFonts w:cs="Calibri"/>
          <w:sz w:val="21"/>
          <w:szCs w:val="21"/>
        </w:rPr>
        <w:t xml:space="preserve"> </w:t>
      </w:r>
    </w:p>
    <w:p w14:paraId="38382B0C" w14:textId="3BE0A824" w:rsidR="000B3CE9" w:rsidRPr="00254AB9" w:rsidRDefault="00647B19" w:rsidP="00A9445F">
      <w:pPr>
        <w:numPr>
          <w:ilvl w:val="0"/>
          <w:numId w:val="9"/>
        </w:numPr>
      </w:pPr>
      <w:r>
        <w:t>ś</w:t>
      </w:r>
      <w:r w:rsidR="000B3CE9" w:rsidRPr="00254AB9">
        <w:t>rodki własne przedsiębiorstw</w:t>
      </w:r>
      <w:r w:rsidR="00017040">
        <w:t>,</w:t>
      </w:r>
    </w:p>
    <w:p w14:paraId="5DD84366" w14:textId="1CD79F07" w:rsidR="000B3CE9" w:rsidRPr="00254AB9" w:rsidRDefault="00647B19" w:rsidP="00A9445F">
      <w:pPr>
        <w:numPr>
          <w:ilvl w:val="0"/>
          <w:numId w:val="9"/>
        </w:numPr>
      </w:pPr>
      <w:r>
        <w:t>ś</w:t>
      </w:r>
      <w:r w:rsidR="000B3CE9" w:rsidRPr="00254AB9">
        <w:t>rodki europejskie (zarówno zarządzane centralnie przez Komisję Europejską, jak również dystrybuowane</w:t>
      </w:r>
      <w:r w:rsidR="006343E1">
        <w:t xml:space="preserve"> </w:t>
      </w:r>
      <w:r w:rsidR="006343E1" w:rsidRPr="00254AB9">
        <w:t>w</w:t>
      </w:r>
      <w:r w:rsidR="006343E1">
        <w:t> </w:t>
      </w:r>
      <w:r w:rsidR="000B3CE9" w:rsidRPr="00254AB9">
        <w:t xml:space="preserve">ramach </w:t>
      </w:r>
      <w:r>
        <w:t>k</w:t>
      </w:r>
      <w:r w:rsidR="000B3CE9" w:rsidRPr="00254AB9">
        <w:t>rajowych</w:t>
      </w:r>
      <w:r w:rsidR="006343E1">
        <w:t xml:space="preserve"> </w:t>
      </w:r>
      <w:r w:rsidR="006343E1" w:rsidRPr="00254AB9">
        <w:t>i</w:t>
      </w:r>
      <w:r w:rsidR="006343E1">
        <w:t> </w:t>
      </w:r>
      <w:r>
        <w:t>r</w:t>
      </w:r>
      <w:r w:rsidR="000B3CE9" w:rsidRPr="00254AB9">
        <w:t xml:space="preserve">egionalnych </w:t>
      </w:r>
      <w:r>
        <w:t>p</w:t>
      </w:r>
      <w:r w:rsidR="000B3CE9" w:rsidRPr="00254AB9">
        <w:t xml:space="preserve">rogramów </w:t>
      </w:r>
      <w:r>
        <w:t>o</w:t>
      </w:r>
      <w:r w:rsidR="000B3CE9" w:rsidRPr="00254AB9">
        <w:t>peracyjnych</w:t>
      </w:r>
      <w:r w:rsidR="00017040">
        <w:t>),</w:t>
      </w:r>
    </w:p>
    <w:p w14:paraId="4C9E8A4D" w14:textId="16FC8C76" w:rsidR="00017040" w:rsidRDefault="00647B19" w:rsidP="00A9445F">
      <w:pPr>
        <w:numPr>
          <w:ilvl w:val="0"/>
          <w:numId w:val="9"/>
        </w:numPr>
      </w:pPr>
      <w:r>
        <w:t>ś</w:t>
      </w:r>
      <w:r w:rsidR="000B3CE9" w:rsidRPr="00254AB9">
        <w:t>rodki inwestorów</w:t>
      </w:r>
      <w:r w:rsidR="006343E1">
        <w:t xml:space="preserve"> </w:t>
      </w:r>
      <w:r w:rsidR="006343E1" w:rsidRPr="00254AB9">
        <w:t>z</w:t>
      </w:r>
      <w:r w:rsidR="006343E1">
        <w:t> </w:t>
      </w:r>
      <w:r w:rsidR="000B3CE9" w:rsidRPr="00254AB9">
        <w:t>sektora podwyższonego ryzyka (PE/VC</w:t>
      </w:r>
      <w:r w:rsidR="00017040">
        <w:t>),</w:t>
      </w:r>
    </w:p>
    <w:p w14:paraId="792C9B8A" w14:textId="71A55831" w:rsidR="000B3CE9" w:rsidRPr="00254AB9" w:rsidRDefault="00647B19" w:rsidP="00A9445F">
      <w:pPr>
        <w:numPr>
          <w:ilvl w:val="0"/>
          <w:numId w:val="9"/>
        </w:numPr>
      </w:pPr>
      <w:r>
        <w:t>m</w:t>
      </w:r>
      <w:r w:rsidR="000B3CE9" w:rsidRPr="00254AB9">
        <w:t xml:space="preserve">echanizmy podatkowe. </w:t>
      </w:r>
    </w:p>
    <w:p w14:paraId="3F57E8BB" w14:textId="1B7F2939" w:rsidR="00B01019" w:rsidRPr="00254AB9" w:rsidRDefault="00E56EE5" w:rsidP="00D01FC4">
      <w:r w:rsidRPr="00CB07D4">
        <w:t>Ś</w:t>
      </w:r>
      <w:r w:rsidR="000B3CE9" w:rsidRPr="00CB07D4">
        <w:t>rodki własne</w:t>
      </w:r>
      <w:r w:rsidR="000B3CE9" w:rsidRPr="00612520">
        <w:t xml:space="preserve"> przedsiębiorców </w:t>
      </w:r>
      <w:r w:rsidRPr="00612520">
        <w:t xml:space="preserve">to </w:t>
      </w:r>
      <w:r w:rsidR="000B3CE9" w:rsidRPr="00612520">
        <w:t xml:space="preserve">najważniejsze źródło finansowania </w:t>
      </w:r>
      <w:r w:rsidR="00EF36FC">
        <w:t>działalności innowacyjnej</w:t>
      </w:r>
      <w:r w:rsidR="000B3CE9" w:rsidRPr="00612520">
        <w:t xml:space="preserve"> przez przedsiębiorstwa przemysłowe oraz usługowe</w:t>
      </w:r>
      <w:r w:rsidR="00B01019" w:rsidRPr="00612520">
        <w:t>, co potwierdzają dane GUS (</w:t>
      </w:r>
      <w:r w:rsidR="0042398F">
        <w:t>2021</w:t>
      </w:r>
      <w:r w:rsidR="00B01019" w:rsidRPr="00612520">
        <w:t>)</w:t>
      </w:r>
      <w:r w:rsidR="000B3CE9" w:rsidRPr="00612520">
        <w:t>.</w:t>
      </w:r>
      <w:r w:rsidR="000B3CE9" w:rsidRPr="00254AB9">
        <w:t xml:space="preserve"> </w:t>
      </w:r>
    </w:p>
    <w:p w14:paraId="2A88217B" w14:textId="7E17C223" w:rsidR="00B01019" w:rsidRPr="00254AB9" w:rsidRDefault="00930093" w:rsidP="00D01FC4">
      <w:r w:rsidRPr="00254AB9">
        <w:t>W ostatnich latach wprowadzono szereg rozwiązań mających wesprzeć zdolności inwestycyjne krajowych przedsiębiorstw. Był</w:t>
      </w:r>
      <w:r w:rsidR="00647B19">
        <w:t>a</w:t>
      </w:r>
      <w:r w:rsidRPr="00254AB9">
        <w:t xml:space="preserve"> to m.in. wprowadzona</w:t>
      </w:r>
      <w:r w:rsidR="006343E1">
        <w:t xml:space="preserve"> </w:t>
      </w:r>
      <w:r w:rsidR="006343E1" w:rsidRPr="00254AB9">
        <w:t>w</w:t>
      </w:r>
      <w:r w:rsidR="006343E1">
        <w:t> </w:t>
      </w:r>
      <w:r w:rsidRPr="00254AB9">
        <w:t xml:space="preserve">2016 r. ulga na działalność badawczo-rozwojową (która zastąpiła dotychczas istniejącą ulgę na zakup nowych technologii). </w:t>
      </w:r>
      <w:r w:rsidR="0091796D">
        <w:t>M</w:t>
      </w:r>
      <w:r w:rsidRPr="00254AB9">
        <w:t xml:space="preserve">echanizm </w:t>
      </w:r>
      <w:r w:rsidR="0091796D">
        <w:t xml:space="preserve">ten </w:t>
      </w:r>
      <w:r w:rsidR="006A0492" w:rsidRPr="00254AB9">
        <w:t xml:space="preserve">polega </w:t>
      </w:r>
      <w:r w:rsidRPr="005A31A1">
        <w:t xml:space="preserve">na odliczaniu od podstawy opodatkowania części kosztów uzyskania przychodów poniesionych na działalność B+R, tzw. kosztów </w:t>
      </w:r>
      <w:r w:rsidRPr="005A31A1">
        <w:lastRenderedPageBreak/>
        <w:t>kwalifikowanych</w:t>
      </w:r>
      <w:r w:rsidRPr="005A31A1">
        <w:rPr>
          <w:rStyle w:val="Odwoanieprzypisudolnego"/>
        </w:rPr>
        <w:footnoteReference w:id="23"/>
      </w:r>
      <w:r w:rsidRPr="005A31A1">
        <w:t>, wśród któr</w:t>
      </w:r>
      <w:r w:rsidR="006A0492" w:rsidRPr="005A31A1">
        <w:t>ych</w:t>
      </w:r>
      <w:r w:rsidRPr="005A31A1">
        <w:t xml:space="preserve"> są m.in. wynagrodzenia pracowników zaangażowanych</w:t>
      </w:r>
      <w:r w:rsidR="006343E1">
        <w:t xml:space="preserve"> </w:t>
      </w:r>
      <w:r w:rsidR="006343E1" w:rsidRPr="005A31A1">
        <w:t>w</w:t>
      </w:r>
      <w:r w:rsidR="006343E1">
        <w:t> </w:t>
      </w:r>
      <w:r w:rsidRPr="005A31A1">
        <w:t>prace B+R lub korzystanie</w:t>
      </w:r>
      <w:r w:rsidR="006343E1">
        <w:t xml:space="preserve"> </w:t>
      </w:r>
      <w:r w:rsidR="006343E1" w:rsidRPr="005A31A1">
        <w:t>z</w:t>
      </w:r>
      <w:r w:rsidR="006343E1">
        <w:t> </w:t>
      </w:r>
      <w:r w:rsidRPr="005A31A1">
        <w:t xml:space="preserve">aparatury badawczej. </w:t>
      </w:r>
      <w:r w:rsidR="00E4690A" w:rsidRPr="00E4690A">
        <w:t xml:space="preserve">Po roku obowiązywania </w:t>
      </w:r>
      <w:r w:rsidR="00E4690A">
        <w:t xml:space="preserve">tzw. </w:t>
      </w:r>
      <w:r w:rsidR="00E4690A" w:rsidRPr="00E4690A">
        <w:t>pierwszej ustawy</w:t>
      </w:r>
      <w:r w:rsidR="006343E1">
        <w:t xml:space="preserve"> </w:t>
      </w:r>
      <w:r w:rsidR="006343E1" w:rsidRPr="00E4690A">
        <w:t>o</w:t>
      </w:r>
      <w:r w:rsidR="006343E1">
        <w:t> </w:t>
      </w:r>
      <w:r w:rsidR="00E4690A" w:rsidRPr="00E4690A">
        <w:t>innowacyjności nastąpił dwukrotny wzrost liczby przedsiębiorców inwestujących</w:t>
      </w:r>
      <w:r w:rsidR="006343E1">
        <w:t xml:space="preserve"> </w:t>
      </w:r>
      <w:r w:rsidR="006343E1" w:rsidRPr="00E4690A">
        <w:t>w</w:t>
      </w:r>
      <w:r w:rsidR="006343E1">
        <w:t> </w:t>
      </w:r>
      <w:r w:rsidR="000E5167">
        <w:t xml:space="preserve">działalność </w:t>
      </w:r>
      <w:r w:rsidR="00E4690A" w:rsidRPr="00E4690A">
        <w:t>bada</w:t>
      </w:r>
      <w:r w:rsidR="000E5167">
        <w:t>wczą</w:t>
      </w:r>
      <w:r w:rsidR="006343E1">
        <w:t xml:space="preserve"> </w:t>
      </w:r>
      <w:r w:rsidR="006343E1" w:rsidRPr="00E4690A">
        <w:t>i</w:t>
      </w:r>
      <w:r w:rsidR="006343E1">
        <w:t> </w:t>
      </w:r>
      <w:r w:rsidR="00E4690A" w:rsidRPr="00E4690A">
        <w:t>rozw</w:t>
      </w:r>
      <w:r w:rsidR="000E5167">
        <w:t>ojową</w:t>
      </w:r>
      <w:r w:rsidR="00E4690A" w:rsidRPr="00E4690A">
        <w:t>.</w:t>
      </w:r>
      <w:r w:rsidR="006343E1">
        <w:t xml:space="preserve"> </w:t>
      </w:r>
      <w:r w:rsidR="006343E1" w:rsidRPr="00E4690A">
        <w:t>W</w:t>
      </w:r>
      <w:r w:rsidR="006343E1">
        <w:t> </w:t>
      </w:r>
      <w:r w:rsidR="00E4690A" w:rsidRPr="00E4690A">
        <w:t>2017 r.</w:t>
      </w:r>
      <w:r w:rsidR="006343E1">
        <w:t xml:space="preserve"> </w:t>
      </w:r>
      <w:r w:rsidR="006343E1" w:rsidRPr="00E4690A">
        <w:t>z</w:t>
      </w:r>
      <w:r w:rsidR="006343E1">
        <w:t> </w:t>
      </w:r>
      <w:r w:rsidR="00E4690A" w:rsidRPr="00E4690A">
        <w:t>ulgi B+R skorzystało 1090 podatników, podczas gdy</w:t>
      </w:r>
      <w:r w:rsidR="006343E1">
        <w:t xml:space="preserve"> </w:t>
      </w:r>
      <w:r w:rsidR="006343E1" w:rsidRPr="00E4690A">
        <w:t>w</w:t>
      </w:r>
      <w:r w:rsidR="006343E1">
        <w:t> </w:t>
      </w:r>
      <w:r w:rsidR="00E4690A" w:rsidRPr="00E4690A">
        <w:t>2016 r. było ich 528. Kwota zgłoszonych wydatków wzrosła</w:t>
      </w:r>
      <w:r w:rsidR="006343E1">
        <w:t xml:space="preserve"> </w:t>
      </w:r>
      <w:r w:rsidR="006343E1" w:rsidRPr="00E4690A">
        <w:t>z</w:t>
      </w:r>
      <w:r w:rsidR="006343E1">
        <w:t> </w:t>
      </w:r>
      <w:r w:rsidR="00E4690A" w:rsidRPr="00E4690A">
        <w:t>1,2 mld zł do 1,91 mld zł, zaś kwota odliczeń wyniosła</w:t>
      </w:r>
      <w:r w:rsidR="006343E1">
        <w:t xml:space="preserve"> </w:t>
      </w:r>
      <w:r w:rsidR="006343E1" w:rsidRPr="00E4690A">
        <w:t>w</w:t>
      </w:r>
      <w:r w:rsidR="006343E1">
        <w:t> </w:t>
      </w:r>
      <w:r w:rsidR="00E4690A" w:rsidRPr="00E4690A">
        <w:t>2017 r.  trzy razy więcej niż rok wcześniej (584 mln).</w:t>
      </w:r>
      <w:r>
        <w:t xml:space="preserve"> </w:t>
      </w:r>
      <w:r w:rsidR="00E4690A">
        <w:t>Ciekawym narzędziem</w:t>
      </w:r>
      <w:r w:rsidR="006343E1">
        <w:t xml:space="preserve"> </w:t>
      </w:r>
      <w:r w:rsidR="006343E1" w:rsidRPr="00E4690A">
        <w:t>z</w:t>
      </w:r>
      <w:r w:rsidR="006343E1">
        <w:t> </w:t>
      </w:r>
      <w:r w:rsidR="00E4690A" w:rsidRPr="00E4690A">
        <w:t>punktu widzenia potrzeb innowacyjnych firm</w:t>
      </w:r>
      <w:r w:rsidR="006343E1">
        <w:t xml:space="preserve"> </w:t>
      </w:r>
      <w:r w:rsidR="006343E1" w:rsidRPr="00E4690A">
        <w:t>i</w:t>
      </w:r>
      <w:r w:rsidR="006343E1">
        <w:t> </w:t>
      </w:r>
      <w:r w:rsidR="00E4690A" w:rsidRPr="00EF0DD3">
        <w:t>start</w:t>
      </w:r>
      <w:r w:rsidR="00EF0DD3" w:rsidRPr="00CB07D4">
        <w:t>-</w:t>
      </w:r>
      <w:r w:rsidR="00E4690A" w:rsidRPr="00EF0DD3">
        <w:t>upów</w:t>
      </w:r>
      <w:r w:rsidR="00E4690A" w:rsidRPr="00E4690A">
        <w:t xml:space="preserve"> jest ulga IP Box, która weszła</w:t>
      </w:r>
      <w:r w:rsidR="006343E1">
        <w:t xml:space="preserve"> </w:t>
      </w:r>
      <w:r w:rsidR="006343E1" w:rsidRPr="00E4690A">
        <w:t>w</w:t>
      </w:r>
      <w:r w:rsidR="006343E1">
        <w:t> </w:t>
      </w:r>
      <w:r w:rsidR="00E4690A" w:rsidRPr="00E4690A">
        <w:t>życie</w:t>
      </w:r>
      <w:r w:rsidR="006343E1">
        <w:t xml:space="preserve"> </w:t>
      </w:r>
      <w:r w:rsidR="006343E1" w:rsidRPr="00E4690A">
        <w:t>z</w:t>
      </w:r>
      <w:r w:rsidR="006343E1">
        <w:t> </w:t>
      </w:r>
      <w:r w:rsidR="00E4690A" w:rsidRPr="00E4690A">
        <w:t xml:space="preserve">początkiem 2019 r. </w:t>
      </w:r>
      <w:r w:rsidR="00E4690A">
        <w:t>Umożliwia ona p</w:t>
      </w:r>
      <w:r w:rsidR="00E4690A" w:rsidRPr="00E4690A">
        <w:t>rzedsiębiorc</w:t>
      </w:r>
      <w:r w:rsidR="00E4690A">
        <w:t>om</w:t>
      </w:r>
      <w:r w:rsidR="00E4690A" w:rsidRPr="00E4690A">
        <w:t>, którzy osiągają dochody</w:t>
      </w:r>
      <w:r w:rsidR="006343E1">
        <w:t xml:space="preserve"> </w:t>
      </w:r>
      <w:r w:rsidR="006343E1" w:rsidRPr="00E4690A">
        <w:t>z</w:t>
      </w:r>
      <w:r w:rsidR="006343E1">
        <w:t> </w:t>
      </w:r>
      <w:r w:rsidR="00E4690A" w:rsidRPr="00E4690A">
        <w:t>prawa własności intelektualnej (IP) uzyskanego</w:t>
      </w:r>
      <w:r w:rsidR="006343E1">
        <w:t xml:space="preserve"> </w:t>
      </w:r>
      <w:r w:rsidR="006343E1" w:rsidRPr="00E4690A">
        <w:t>z</w:t>
      </w:r>
      <w:r w:rsidR="006343E1">
        <w:t> </w:t>
      </w:r>
      <w:r w:rsidR="00E4690A" w:rsidRPr="00E4690A">
        <w:t>działalności B+R lub</w:t>
      </w:r>
      <w:r w:rsidR="006343E1">
        <w:t xml:space="preserve"> </w:t>
      </w:r>
      <w:r w:rsidR="006343E1" w:rsidRPr="00E4690A">
        <w:t>z</w:t>
      </w:r>
      <w:r w:rsidR="006343E1">
        <w:t> </w:t>
      </w:r>
      <w:r w:rsidR="00E4690A" w:rsidRPr="00E4690A">
        <w:t>usług B+R zakupionych od innych podmiotów, ale przez siebie opatentowanych</w:t>
      </w:r>
      <w:r w:rsidR="00E4690A">
        <w:t xml:space="preserve">, </w:t>
      </w:r>
      <w:r w:rsidR="00E4690A" w:rsidRPr="00E4690A">
        <w:t>korzysta</w:t>
      </w:r>
      <w:r w:rsidR="00E4690A">
        <w:t>nie</w:t>
      </w:r>
      <w:r w:rsidR="006343E1">
        <w:t xml:space="preserve"> </w:t>
      </w:r>
      <w:r w:rsidR="006343E1" w:rsidRPr="00E4690A">
        <w:t>z</w:t>
      </w:r>
      <w:r w:rsidR="006343E1">
        <w:t> </w:t>
      </w:r>
      <w:r w:rsidR="00E4690A" w:rsidRPr="00E4690A">
        <w:t>preferencyjnej stawki</w:t>
      </w:r>
      <w:r w:rsidR="006343E1">
        <w:t xml:space="preserve"> </w:t>
      </w:r>
      <w:r w:rsidR="006343E1" w:rsidRPr="00E4690A">
        <w:t>w</w:t>
      </w:r>
      <w:r w:rsidR="006343E1">
        <w:t> </w:t>
      </w:r>
      <w:r w:rsidR="00E4690A" w:rsidRPr="00E4690A">
        <w:t>podatku. Dochód</w:t>
      </w:r>
      <w:r w:rsidR="006343E1">
        <w:t xml:space="preserve"> </w:t>
      </w:r>
      <w:r w:rsidR="006343E1" w:rsidRPr="00E4690A">
        <w:t>w</w:t>
      </w:r>
      <w:r w:rsidR="006343E1">
        <w:t> </w:t>
      </w:r>
      <w:r w:rsidR="00E4690A" w:rsidRPr="00E4690A">
        <w:t xml:space="preserve">ten sposób wygenerowany </w:t>
      </w:r>
      <w:r w:rsidR="00E4690A">
        <w:t>jest</w:t>
      </w:r>
      <w:r w:rsidR="00E4690A" w:rsidRPr="00E4690A">
        <w:t xml:space="preserve"> opodatkowany stawką</w:t>
      </w:r>
      <w:r w:rsidR="006343E1">
        <w:t xml:space="preserve"> </w:t>
      </w:r>
      <w:r w:rsidR="006343E1" w:rsidRPr="00E4690A">
        <w:t>w</w:t>
      </w:r>
      <w:r w:rsidR="006343E1">
        <w:t> </w:t>
      </w:r>
      <w:r w:rsidR="00E4690A" w:rsidRPr="00E4690A">
        <w:t>wysokości 5%.</w:t>
      </w:r>
      <w:r w:rsidR="0091796D">
        <w:t xml:space="preserve"> </w:t>
      </w:r>
      <w:r w:rsidR="0091796D" w:rsidRPr="0091796D">
        <w:t xml:space="preserve">Ulga będzie stymulować inwestycje </w:t>
      </w:r>
      <w:r w:rsidR="00702D61" w:rsidRPr="0091796D">
        <w:t xml:space="preserve">firm </w:t>
      </w:r>
      <w:r w:rsidR="0091796D" w:rsidRPr="0091796D">
        <w:t>badawczo-rozwojowych, które skorzystały</w:t>
      </w:r>
      <w:r w:rsidR="006343E1">
        <w:t xml:space="preserve"> </w:t>
      </w:r>
      <w:r w:rsidR="006343E1" w:rsidRPr="0091796D">
        <w:t>z</w:t>
      </w:r>
      <w:r w:rsidR="006343E1">
        <w:t> </w:t>
      </w:r>
      <w:r w:rsidR="0091796D" w:rsidRPr="0091796D">
        <w:t>dostępnej już ulgi B+R oraz środków UE na budowę</w:t>
      </w:r>
      <w:r w:rsidR="00702D61">
        <w:t xml:space="preserve"> lub </w:t>
      </w:r>
      <w:r w:rsidR="0091796D" w:rsidRPr="0091796D">
        <w:t>rozbudowę własnych centrów badawczo-</w:t>
      </w:r>
      <w:r w:rsidR="00702D61">
        <w:br/>
        <w:t>-</w:t>
      </w:r>
      <w:r w:rsidR="0091796D" w:rsidRPr="0091796D">
        <w:t xml:space="preserve">rozwojowych. </w:t>
      </w:r>
      <w:r w:rsidR="00E4690A" w:rsidRPr="00E4690A">
        <w:t xml:space="preserve"> </w:t>
      </w:r>
    </w:p>
    <w:p w14:paraId="4BF773CC" w14:textId="64842C89" w:rsidR="000B3CE9" w:rsidRDefault="00390B44" w:rsidP="00CB07D4">
      <w:pPr>
        <w:pStyle w:val="Nagwek4"/>
        <w:ind w:left="993" w:hanging="993"/>
      </w:pPr>
      <w:r w:rsidRPr="00254AB9">
        <w:t>Wykres</w:t>
      </w:r>
      <w:r w:rsidR="00FC6E8F">
        <w:t xml:space="preserve"> 44</w:t>
      </w:r>
      <w:r w:rsidR="00332B11">
        <w:t>.</w:t>
      </w:r>
      <w:r w:rsidR="000B3CE9" w:rsidRPr="00254AB9">
        <w:t xml:space="preserve"> </w:t>
      </w:r>
      <w:r w:rsidR="00252CA8" w:rsidRPr="00252CA8">
        <w:t>Nakłady na działalność innowacyjną</w:t>
      </w:r>
      <w:r w:rsidR="006343E1">
        <w:t xml:space="preserve"> </w:t>
      </w:r>
      <w:r w:rsidR="006343E1" w:rsidRPr="000E1FA5">
        <w:t>w </w:t>
      </w:r>
      <w:r w:rsidR="00EF36FC" w:rsidRPr="000E1FA5">
        <w:t>przedsiębiorstwach</w:t>
      </w:r>
      <w:r w:rsidR="00DB0314">
        <w:t xml:space="preserve"> </w:t>
      </w:r>
      <w:r w:rsidR="00252CA8" w:rsidRPr="00DB0314">
        <w:t>według źródeł finansowania</w:t>
      </w:r>
      <w:r w:rsidR="000B3CE9" w:rsidRPr="00DB0314">
        <w:t xml:space="preserve"> (w mln zł</w:t>
      </w:r>
      <w:r w:rsidR="00551A66" w:rsidRPr="00DB0314">
        <w:t>, ceny bieżące</w:t>
      </w:r>
      <w:r w:rsidR="000B3CE9" w:rsidRPr="00DB0314">
        <w:t>)</w:t>
      </w:r>
      <w:r w:rsidR="00551A66" w:rsidRPr="00DB0314">
        <w:t xml:space="preserve"> w </w:t>
      </w:r>
      <w:r w:rsidR="0042398F">
        <w:t xml:space="preserve">2020 </w:t>
      </w:r>
      <w:r w:rsidR="00551A66" w:rsidRPr="00DB0314">
        <w:t>r.</w:t>
      </w:r>
    </w:p>
    <w:p w14:paraId="5FD24F78" w14:textId="006A8E6C" w:rsidR="0042398F" w:rsidRPr="0042398F" w:rsidRDefault="003575A4" w:rsidP="00F400A0">
      <w:r>
        <w:rPr>
          <w:noProof/>
          <w:lang w:eastAsia="pl-PL"/>
        </w:rPr>
        <w:drawing>
          <wp:inline distT="0" distB="0" distL="0" distR="0" wp14:anchorId="3F0D6DE7" wp14:editId="5F6961F2">
            <wp:extent cx="5762625" cy="2362200"/>
            <wp:effectExtent l="0" t="0" r="9525" b="19050"/>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05106170" w14:textId="2D8C7CFC" w:rsidR="000B3CE9" w:rsidRPr="00254AB9" w:rsidRDefault="000B3CE9" w:rsidP="00D01FC4">
      <w:pPr>
        <w:pStyle w:val="Bezodstpw"/>
      </w:pPr>
      <w:bookmarkStart w:id="88" w:name="_1625038298"/>
      <w:bookmarkEnd w:id="88"/>
      <w:r w:rsidRPr="00254AB9">
        <w:t xml:space="preserve">Źródło: </w:t>
      </w:r>
      <w:r w:rsidR="00B822CB" w:rsidRPr="00D01FC4">
        <w:t>Opracowanie</w:t>
      </w:r>
      <w:r w:rsidR="00B822CB" w:rsidRPr="00254AB9">
        <w:t xml:space="preserve"> </w:t>
      </w:r>
      <w:r w:rsidR="003A56DA">
        <w:t>MRiT</w:t>
      </w:r>
      <w:r w:rsidR="003A5EA7">
        <w:t xml:space="preserve"> </w:t>
      </w:r>
      <w:r w:rsidRPr="00254AB9">
        <w:t>na podstawie danych GUS</w:t>
      </w:r>
      <w:r w:rsidR="00252CA8">
        <w:t xml:space="preserve"> </w:t>
      </w:r>
      <w:r w:rsidR="004C629F">
        <w:t>(</w:t>
      </w:r>
      <w:r w:rsidR="0042398F">
        <w:t>2021</w:t>
      </w:r>
      <w:r w:rsidR="004C629F">
        <w:t>)</w:t>
      </w:r>
    </w:p>
    <w:p w14:paraId="6076C659" w14:textId="4096D7AB" w:rsidR="00B329B4" w:rsidRDefault="00C1736B" w:rsidP="00D01FC4">
      <w:r w:rsidRPr="00CB07D4">
        <w:t>Ś</w:t>
      </w:r>
      <w:r w:rsidR="000B3CE9" w:rsidRPr="00CB07D4">
        <w:t>rodk</w:t>
      </w:r>
      <w:r w:rsidRPr="00CB07D4">
        <w:t>i</w:t>
      </w:r>
      <w:r w:rsidR="000B3CE9" w:rsidRPr="00CB07D4">
        <w:t xml:space="preserve"> europejski</w:t>
      </w:r>
      <w:r w:rsidRPr="00CB07D4">
        <w:t>e</w:t>
      </w:r>
      <w:r w:rsidR="000B3CE9" w:rsidRPr="00254AB9">
        <w:t xml:space="preserve"> </w:t>
      </w:r>
      <w:r>
        <w:t>stanowią ważne źródło finansowania działań prorozwojowych (zwłaszcza związanych</w:t>
      </w:r>
      <w:r w:rsidR="006343E1">
        <w:t xml:space="preserve"> z </w:t>
      </w:r>
      <w:r w:rsidR="00870EB7">
        <w:t xml:space="preserve">działalnością </w:t>
      </w:r>
      <w:r>
        <w:t>B+R+I)</w:t>
      </w:r>
      <w:r w:rsidR="006343E1">
        <w:t xml:space="preserve"> w </w:t>
      </w:r>
      <w:r w:rsidR="000B3CE9" w:rsidRPr="00254AB9">
        <w:t>przedsiębiorstwa</w:t>
      </w:r>
      <w:r>
        <w:t>ch</w:t>
      </w:r>
      <w:r w:rsidR="000B3CE9" w:rsidRPr="00254AB9">
        <w:t>. W</w:t>
      </w:r>
      <w:r w:rsidR="00551A66" w:rsidRPr="00254AB9">
        <w:t> </w:t>
      </w:r>
      <w:r w:rsidR="000B3CE9" w:rsidRPr="00254AB9">
        <w:t>ramach perspektywy finansowej 2014</w:t>
      </w:r>
      <w:r w:rsidR="00702D61">
        <w:rPr>
          <w:rFonts w:ascii="Times New Roman" w:hAnsi="Times New Roman" w:cs="Times New Roman"/>
        </w:rPr>
        <w:t>–</w:t>
      </w:r>
      <w:r w:rsidR="000B3CE9" w:rsidRPr="00254AB9">
        <w:t>2020</w:t>
      </w:r>
      <w:r w:rsidR="000B3CE9" w:rsidRPr="00254AB9">
        <w:rPr>
          <w:rStyle w:val="Odwoanieprzypisudolnego"/>
          <w:rFonts w:cs="Calibri"/>
          <w:sz w:val="21"/>
          <w:szCs w:val="21"/>
        </w:rPr>
        <w:footnoteReference w:id="24"/>
      </w:r>
      <w:r w:rsidR="000B3CE9" w:rsidRPr="00254AB9">
        <w:t xml:space="preserve"> przedsiębiorstwa</w:t>
      </w:r>
      <w:r w:rsidR="000B3CE9" w:rsidRPr="00254AB9">
        <w:rPr>
          <w:rStyle w:val="Odwoanieprzypisudolnego"/>
          <w:rFonts w:cs="Calibri"/>
          <w:sz w:val="21"/>
          <w:szCs w:val="21"/>
        </w:rPr>
        <w:footnoteReference w:id="25"/>
      </w:r>
      <w:r w:rsidR="000B3CE9" w:rsidRPr="00254AB9">
        <w:t xml:space="preserve"> </w:t>
      </w:r>
      <w:r w:rsidR="000B3CE9" w:rsidRPr="00254AB9">
        <w:lastRenderedPageBreak/>
        <w:t>pozyskały</w:t>
      </w:r>
      <w:r w:rsidR="00F84351">
        <w:t>,</w:t>
      </w:r>
      <w:r w:rsidR="006343E1">
        <w:t xml:space="preserve"> w </w:t>
      </w:r>
      <w:r w:rsidR="00F84351">
        <w:t>ramach celów CT1</w:t>
      </w:r>
      <w:r w:rsidR="00F84351" w:rsidRPr="00254AB9">
        <w:rPr>
          <w:rStyle w:val="Odwoanieprzypisudolnego"/>
          <w:rFonts w:cs="Calibri"/>
          <w:sz w:val="21"/>
          <w:szCs w:val="21"/>
        </w:rPr>
        <w:footnoteReference w:id="26"/>
      </w:r>
      <w:r w:rsidR="006343E1">
        <w:t xml:space="preserve"> i </w:t>
      </w:r>
      <w:r w:rsidR="00F84351">
        <w:t>CT3</w:t>
      </w:r>
      <w:r w:rsidR="00F84351" w:rsidRPr="00254AB9">
        <w:rPr>
          <w:rStyle w:val="Odwoanieprzypisudolnego"/>
          <w:rFonts w:cs="Calibri"/>
          <w:sz w:val="21"/>
          <w:szCs w:val="21"/>
        </w:rPr>
        <w:footnoteReference w:id="27"/>
      </w:r>
      <w:r w:rsidR="00F84351">
        <w:t>,</w:t>
      </w:r>
      <w:r w:rsidR="000B3CE9" w:rsidRPr="00254AB9">
        <w:t xml:space="preserve"> ok. </w:t>
      </w:r>
      <w:r w:rsidR="00F84351">
        <w:t>51</w:t>
      </w:r>
      <w:r w:rsidR="000B3CE9" w:rsidRPr="00254AB9">
        <w:t xml:space="preserve"> mld zł ze środków unijnych na </w:t>
      </w:r>
      <w:r w:rsidR="00F84351">
        <w:t>ok. 14,5</w:t>
      </w:r>
      <w:r w:rsidR="000B3CE9" w:rsidRPr="00254AB9">
        <w:t xml:space="preserve"> tys. projektów</w:t>
      </w:r>
      <w:r w:rsidR="006343E1">
        <w:t xml:space="preserve"> </w:t>
      </w:r>
      <w:r w:rsidR="006343E1" w:rsidRPr="00254AB9">
        <w:t>o</w:t>
      </w:r>
      <w:r w:rsidR="006343E1">
        <w:t> </w:t>
      </w:r>
      <w:r w:rsidR="000B3CE9" w:rsidRPr="00254AB9">
        <w:t xml:space="preserve">wartości ok. </w:t>
      </w:r>
      <w:r w:rsidR="00F84351">
        <w:t xml:space="preserve">58 </w:t>
      </w:r>
      <w:r w:rsidR="000B3CE9" w:rsidRPr="00254AB9">
        <w:t>mld zł. Biorąc pod uwagę fakt, iż średni czas trwania takiego projektu</w:t>
      </w:r>
      <w:r w:rsidR="000B3CE9" w:rsidRPr="00254AB9">
        <w:rPr>
          <w:rStyle w:val="Odwoanieprzypisudolnego"/>
          <w:rFonts w:cs="Calibri"/>
          <w:sz w:val="21"/>
          <w:szCs w:val="21"/>
        </w:rPr>
        <w:footnoteReference w:id="28"/>
      </w:r>
      <w:r w:rsidR="000B3CE9" w:rsidRPr="00254AB9">
        <w:t xml:space="preserve"> wynosi ok.</w:t>
      </w:r>
      <w:r w:rsidR="00702D61">
        <w:t xml:space="preserve"> </w:t>
      </w:r>
      <w:r w:rsidR="00F84351">
        <w:t>2 lat</w:t>
      </w:r>
      <w:r w:rsidR="000B3CE9" w:rsidRPr="00254AB9">
        <w:t xml:space="preserve">, pierwsze </w:t>
      </w:r>
      <w:r w:rsidR="00F84351">
        <w:t xml:space="preserve">wyraźniejsze </w:t>
      </w:r>
      <w:r w:rsidR="000B3CE9" w:rsidRPr="00254AB9">
        <w:t>efekty wdrożeń powinny być widoczne</w:t>
      </w:r>
      <w:r w:rsidR="006343E1">
        <w:t xml:space="preserve"> </w:t>
      </w:r>
      <w:r w:rsidR="006343E1" w:rsidRPr="00254AB9">
        <w:t>w</w:t>
      </w:r>
      <w:r w:rsidR="006343E1">
        <w:t> </w:t>
      </w:r>
      <w:r w:rsidR="000B3CE9" w:rsidRPr="00254AB9">
        <w:t>statystyce publicznej</w:t>
      </w:r>
      <w:r w:rsidR="006343E1">
        <w:t xml:space="preserve"> </w:t>
      </w:r>
      <w:r w:rsidR="006343E1" w:rsidRPr="00254AB9">
        <w:t>w</w:t>
      </w:r>
      <w:r w:rsidR="006343E1">
        <w:t> </w:t>
      </w:r>
      <w:r w:rsidR="00751B60" w:rsidRPr="00254AB9">
        <w:t xml:space="preserve">2019 </w:t>
      </w:r>
      <w:r w:rsidR="000B3CE9" w:rsidRPr="00254AB9">
        <w:t xml:space="preserve">r. Poniższy </w:t>
      </w:r>
      <w:r w:rsidR="002E64E1" w:rsidRPr="00254AB9">
        <w:t xml:space="preserve">wykres </w:t>
      </w:r>
      <w:r w:rsidR="000B3CE9" w:rsidRPr="00254AB9">
        <w:t>pokazuje kształtowanie się projektów</w:t>
      </w:r>
      <w:r w:rsidR="006343E1">
        <w:t xml:space="preserve"> </w:t>
      </w:r>
      <w:r w:rsidR="006343E1" w:rsidRPr="00254AB9">
        <w:t>w</w:t>
      </w:r>
      <w:r w:rsidR="006343E1">
        <w:t> </w:t>
      </w:r>
      <w:r w:rsidR="000B3CE9" w:rsidRPr="00254AB9">
        <w:t>ramach CT1 oraz CT3</w:t>
      </w:r>
      <w:r w:rsidR="00702D61" w:rsidRPr="00702D61">
        <w:t xml:space="preserve"> </w:t>
      </w:r>
      <w:r w:rsidR="00702D61" w:rsidRPr="00254AB9">
        <w:t>współfinansowanych przez środki europejskie</w:t>
      </w:r>
      <w:r w:rsidR="000B3CE9" w:rsidRPr="00254AB9">
        <w:t xml:space="preserve">, których głównymi beneficjentami są przedsiębiorcy. </w:t>
      </w:r>
    </w:p>
    <w:p w14:paraId="66A665B9" w14:textId="31C374CE" w:rsidR="000E1FA5" w:rsidRPr="00254AB9" w:rsidRDefault="000E1FA5" w:rsidP="00CB07D4">
      <w:pPr>
        <w:pStyle w:val="Nagwek4"/>
        <w:ind w:left="993" w:hanging="993"/>
      </w:pPr>
      <w:r w:rsidRPr="00254AB9">
        <w:t xml:space="preserve">Wykres </w:t>
      </w:r>
      <w:r w:rsidR="00FC6E8F">
        <w:t>45</w:t>
      </w:r>
      <w:r w:rsidR="00C8306C">
        <w:rPr>
          <w:noProof/>
        </w:rPr>
        <w:fldChar w:fldCharType="begin"/>
      </w:r>
      <w:r w:rsidR="00C8306C">
        <w:rPr>
          <w:noProof/>
        </w:rPr>
        <w:instrText xml:space="preserve"> SEQ Rysunek \* ARABIC </w:instrText>
      </w:r>
      <w:r w:rsidR="00C8306C">
        <w:rPr>
          <w:noProof/>
        </w:rPr>
        <w:fldChar w:fldCharType="end"/>
      </w:r>
      <w:r w:rsidRPr="00254AB9">
        <w:t>. Ilość</w:t>
      </w:r>
      <w:r>
        <w:t xml:space="preserve"> </w:t>
      </w:r>
      <w:r w:rsidRPr="00254AB9">
        <w:t>i</w:t>
      </w:r>
      <w:r>
        <w:t> </w:t>
      </w:r>
      <w:r w:rsidRPr="00254AB9">
        <w:t>wartość podpisanych umów</w:t>
      </w:r>
      <w:r>
        <w:t xml:space="preserve"> </w:t>
      </w:r>
      <w:r w:rsidRPr="00254AB9">
        <w:t>o</w:t>
      </w:r>
      <w:r>
        <w:t> </w:t>
      </w:r>
      <w:r w:rsidRPr="00254AB9">
        <w:t>dofinansowanie projektów współfinansowanych przez środki europejskie, których beneficjentami są przedsiębiorstwa (tylko CT1</w:t>
      </w:r>
      <w:r>
        <w:t xml:space="preserve"> </w:t>
      </w:r>
      <w:r w:rsidRPr="00254AB9">
        <w:t>i</w:t>
      </w:r>
      <w:r>
        <w:t> </w:t>
      </w:r>
      <w:r w:rsidRPr="00254AB9">
        <w:t>CT3)</w:t>
      </w:r>
    </w:p>
    <w:p w14:paraId="18995296" w14:textId="77777777" w:rsidR="000E1FA5" w:rsidRDefault="000E1FA5" w:rsidP="000E1FA5">
      <w:pPr>
        <w:spacing w:after="0" w:line="240" w:lineRule="auto"/>
        <w:contextualSpacing/>
        <w:rPr>
          <w:rFonts w:cs="Calibri"/>
          <w:i/>
          <w:sz w:val="21"/>
          <w:szCs w:val="21"/>
        </w:rPr>
      </w:pPr>
      <w:r>
        <w:rPr>
          <w:rFonts w:cs="Calibri"/>
          <w:i/>
          <w:noProof/>
          <w:sz w:val="21"/>
          <w:szCs w:val="21"/>
          <w:lang w:eastAsia="pl-PL"/>
        </w:rPr>
        <w:drawing>
          <wp:inline distT="0" distB="0" distL="0" distR="0" wp14:anchorId="4D01F8F1" wp14:editId="535BB0CD">
            <wp:extent cx="5762445" cy="4993568"/>
            <wp:effectExtent l="0" t="0" r="0"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83234" cy="5011583"/>
                    </a:xfrm>
                    <a:prstGeom prst="rect">
                      <a:avLst/>
                    </a:prstGeom>
                    <a:noFill/>
                    <a:ln>
                      <a:noFill/>
                    </a:ln>
                  </pic:spPr>
                </pic:pic>
              </a:graphicData>
            </a:graphic>
          </wp:inline>
        </w:drawing>
      </w:r>
    </w:p>
    <w:p w14:paraId="261A4F6D" w14:textId="706C0FC2" w:rsidR="000B3CE9" w:rsidRPr="00254AB9" w:rsidRDefault="000B3CE9" w:rsidP="00CB07D4">
      <w:pPr>
        <w:pStyle w:val="Bezodstpw"/>
        <w:ind w:left="567" w:hanging="567"/>
      </w:pPr>
      <w:r w:rsidRPr="00254AB9">
        <w:t xml:space="preserve">Źródło: </w:t>
      </w:r>
      <w:r w:rsidR="009A678A" w:rsidRPr="00254AB9">
        <w:t xml:space="preserve">Opracowanie </w:t>
      </w:r>
      <w:r w:rsidR="003A56DA">
        <w:t>MRiT</w:t>
      </w:r>
      <w:r w:rsidR="003A5EA7">
        <w:t xml:space="preserve"> </w:t>
      </w:r>
      <w:r w:rsidRPr="00254AB9">
        <w:t xml:space="preserve">na podstawie danych MIiR (stan na </w:t>
      </w:r>
      <w:r w:rsidR="00F87A3E">
        <w:t>1</w:t>
      </w:r>
      <w:r w:rsidR="00C1736B">
        <w:t>.07.2019 r.)</w:t>
      </w:r>
      <w:r w:rsidR="00702D61">
        <w:t>.</w:t>
      </w:r>
      <w:r w:rsidR="003D6D53">
        <w:t xml:space="preserve"> </w:t>
      </w:r>
      <w:r w:rsidRPr="00254AB9">
        <w:t xml:space="preserve">Prezentowane dane pokazują umowy </w:t>
      </w:r>
      <w:r w:rsidRPr="00D01FC4">
        <w:t>w</w:t>
      </w:r>
      <w:r w:rsidR="00702D61">
        <w:t>edług</w:t>
      </w:r>
      <w:r w:rsidRPr="00254AB9">
        <w:t xml:space="preserve"> faktycznej daty rozpoczęcia danego projektu inwestycyjnego,</w:t>
      </w:r>
      <w:r w:rsidR="006343E1">
        <w:t xml:space="preserve"> </w:t>
      </w:r>
      <w:r w:rsidR="006343E1" w:rsidRPr="00254AB9">
        <w:t>a</w:t>
      </w:r>
      <w:r w:rsidR="006343E1">
        <w:t> </w:t>
      </w:r>
      <w:r w:rsidRPr="00254AB9">
        <w:t>nie daty podpisania umowy.</w:t>
      </w:r>
    </w:p>
    <w:p w14:paraId="5A65D0D4" w14:textId="3DD3E93F" w:rsidR="000B3CE9" w:rsidRPr="00254AB9" w:rsidRDefault="000B3CE9" w:rsidP="00D01FC4">
      <w:r w:rsidRPr="00254AB9">
        <w:t xml:space="preserve">Polski </w:t>
      </w:r>
      <w:r w:rsidRPr="00CB07D4">
        <w:t xml:space="preserve">rynek </w:t>
      </w:r>
      <w:r w:rsidRPr="00CB07D4">
        <w:rPr>
          <w:i/>
        </w:rPr>
        <w:t>Private Equity</w:t>
      </w:r>
      <w:r w:rsidRPr="00CB07D4">
        <w:t xml:space="preserve"> (PE)</w:t>
      </w:r>
      <w:r w:rsidR="006343E1">
        <w:t xml:space="preserve"> </w:t>
      </w:r>
      <w:r w:rsidR="006343E1" w:rsidRPr="00254AB9">
        <w:t>w</w:t>
      </w:r>
      <w:r w:rsidR="006343E1">
        <w:t> </w:t>
      </w:r>
      <w:r w:rsidRPr="00254AB9">
        <w:t>dalszym ciągu jest</w:t>
      </w:r>
      <w:r w:rsidR="006343E1">
        <w:t xml:space="preserve"> </w:t>
      </w:r>
      <w:r w:rsidR="006343E1" w:rsidRPr="00254AB9">
        <w:t>w</w:t>
      </w:r>
      <w:r w:rsidR="006343E1">
        <w:t> </w:t>
      </w:r>
      <w:r w:rsidRPr="00254AB9">
        <w:t xml:space="preserve">fazie rozwoju. Wprawdzie </w:t>
      </w:r>
      <w:r w:rsidR="00702D61" w:rsidRPr="00254AB9">
        <w:t>jest</w:t>
      </w:r>
      <w:r w:rsidRPr="00254AB9">
        <w:t xml:space="preserve"> uznawany za największy spośród wszystkich rynków Europy Południowej</w:t>
      </w:r>
      <w:r w:rsidR="006343E1">
        <w:t xml:space="preserve"> </w:t>
      </w:r>
      <w:r w:rsidR="006343E1" w:rsidRPr="00254AB9">
        <w:t>i</w:t>
      </w:r>
      <w:r w:rsidR="006343E1">
        <w:t> </w:t>
      </w:r>
      <w:r w:rsidRPr="00254AB9">
        <w:t>Wschodniej (z wyłączeniem Rosji, Ukrainy i</w:t>
      </w:r>
      <w:r w:rsidR="00B56A75" w:rsidRPr="00254AB9">
        <w:t> </w:t>
      </w:r>
      <w:r w:rsidRPr="00254AB9">
        <w:t>Białorusi), jednak</w:t>
      </w:r>
      <w:r w:rsidR="006343E1">
        <w:t xml:space="preserve"> </w:t>
      </w:r>
      <w:r w:rsidR="006343E1" w:rsidRPr="00254AB9">
        <w:t>w</w:t>
      </w:r>
      <w:r w:rsidR="006343E1">
        <w:t> </w:t>
      </w:r>
      <w:r w:rsidRPr="00254AB9">
        <w:t xml:space="preserve">dalszym ciągu jest mniejszy niż np. rynek </w:t>
      </w:r>
      <w:r w:rsidR="00751B60" w:rsidRPr="00254AB9">
        <w:t>a</w:t>
      </w:r>
      <w:r w:rsidRPr="00254AB9">
        <w:t xml:space="preserve">ustriacki. Przy czym należy uznać, iż niezbędna infrastruktura </w:t>
      </w:r>
      <w:r w:rsidRPr="00254AB9">
        <w:lastRenderedPageBreak/>
        <w:t>prawno-</w:t>
      </w:r>
      <w:r w:rsidR="00702D61">
        <w:t>-</w:t>
      </w:r>
      <w:r w:rsidRPr="00254AB9">
        <w:t>organizacyjna dla funkcjonowania sektora została już zbudowana. Dostęp do finansowania zapewniają zarówno międzynarodowe fundusze</w:t>
      </w:r>
      <w:r w:rsidR="003E298F">
        <w:t>,</w:t>
      </w:r>
      <w:r w:rsidRPr="00254AB9">
        <w:t xml:space="preserve"> m.in. emerytalne, jak również wyspecjalizowane</w:t>
      </w:r>
      <w:r w:rsidR="006343E1">
        <w:t xml:space="preserve"> </w:t>
      </w:r>
      <w:r w:rsidR="006343E1" w:rsidRPr="00254AB9">
        <w:t>w</w:t>
      </w:r>
      <w:r w:rsidR="006343E1">
        <w:t> </w:t>
      </w:r>
      <w:r w:rsidRPr="00254AB9">
        <w:t>transakcjach typu PE</w:t>
      </w:r>
      <w:r w:rsidR="009005F8" w:rsidRPr="00254AB9">
        <w:t>.</w:t>
      </w:r>
    </w:p>
    <w:p w14:paraId="0F0932C1" w14:textId="40871A33" w:rsidR="000B3CE9" w:rsidRPr="00254AB9" w:rsidRDefault="00FD0DAB" w:rsidP="00D01FC4">
      <w:r w:rsidRPr="00FD0DAB">
        <w:t>Najnowsze dane Invest Europe\EDC (201</w:t>
      </w:r>
      <w:r>
        <w:t>8</w:t>
      </w:r>
      <w:r w:rsidRPr="00FD0DAB">
        <w:t>, s. 15, 18, 23) wskazują, ż</w:t>
      </w:r>
      <w:r w:rsidR="003E298F">
        <w:t>e</w:t>
      </w:r>
      <w:r w:rsidR="006343E1">
        <w:t xml:space="preserve"> w </w:t>
      </w:r>
      <w:r>
        <w:t xml:space="preserve">2017 r. </w:t>
      </w:r>
      <w:r w:rsidRPr="00FD0DAB">
        <w:t>wysokość inwestycji portfelowych zrealizowanych</w:t>
      </w:r>
      <w:r w:rsidR="006343E1">
        <w:t xml:space="preserve"> </w:t>
      </w:r>
      <w:r w:rsidR="006343E1" w:rsidRPr="00FD0DAB">
        <w:t>w</w:t>
      </w:r>
      <w:r w:rsidR="006343E1">
        <w:t> </w:t>
      </w:r>
      <w:r w:rsidRPr="00FD0DAB">
        <w:t>Polsce wyniosła ok. 2,</w:t>
      </w:r>
      <w:r>
        <w:t>5</w:t>
      </w:r>
      <w:r w:rsidRPr="00FD0DAB">
        <w:t xml:space="preserve"> mld EUR, </w:t>
      </w:r>
      <w:r w:rsidR="00F645C9">
        <w:t>co oznacza istotny wzrost</w:t>
      </w:r>
      <w:r w:rsidR="006343E1">
        <w:t xml:space="preserve"> w </w:t>
      </w:r>
      <w:r w:rsidR="00F645C9">
        <w:t>stosunku do wartości notowanych</w:t>
      </w:r>
      <w:r w:rsidR="006343E1">
        <w:t xml:space="preserve"> w </w:t>
      </w:r>
      <w:r w:rsidR="00F645C9">
        <w:t>latach wcześniejszych (0,76 mld</w:t>
      </w:r>
      <w:r w:rsidR="006343E1">
        <w:t xml:space="preserve"> w </w:t>
      </w:r>
      <w:r w:rsidR="00F645C9">
        <w:t xml:space="preserve">2016 r.), </w:t>
      </w:r>
      <w:r w:rsidRPr="00FD0DAB">
        <w:t>natomiast wartość wyjść</w:t>
      </w:r>
      <w:r w:rsidR="006343E1">
        <w:t xml:space="preserve"> </w:t>
      </w:r>
      <w:r w:rsidR="006343E1" w:rsidRPr="00FD0DAB">
        <w:t>w</w:t>
      </w:r>
      <w:r w:rsidR="006343E1">
        <w:t> </w:t>
      </w:r>
      <w:r w:rsidRPr="00FD0DAB">
        <w:t xml:space="preserve">tym samym roku wyniosła ok. </w:t>
      </w:r>
      <w:r>
        <w:t>0,6</w:t>
      </w:r>
      <w:r w:rsidRPr="00FD0DAB">
        <w:t xml:space="preserve"> ml</w:t>
      </w:r>
      <w:r>
        <w:t>d</w:t>
      </w:r>
      <w:r w:rsidRPr="00FD0DAB">
        <w:t xml:space="preserve"> EUR. Dodatkowo</w:t>
      </w:r>
      <w:r w:rsidR="006343E1">
        <w:t xml:space="preserve"> </w:t>
      </w:r>
      <w:r w:rsidR="006343E1" w:rsidRPr="00FD0DAB">
        <w:t>w</w:t>
      </w:r>
      <w:r w:rsidR="006343E1">
        <w:t> </w:t>
      </w:r>
      <w:r w:rsidRPr="00FD0DAB">
        <w:t>ujęciu bezwzględnym wartość całego rynku krajowego rynku PE</w:t>
      </w:r>
      <w:r w:rsidR="00F645C9">
        <w:t xml:space="preserve"> przekroczyła </w:t>
      </w:r>
      <w:r>
        <w:t>0,</w:t>
      </w:r>
      <w:r w:rsidR="00F645C9">
        <w:t>5</w:t>
      </w:r>
      <w:r>
        <w:t>%</w:t>
      </w:r>
      <w:r w:rsidR="006343E1">
        <w:t xml:space="preserve"> w </w:t>
      </w:r>
      <w:r w:rsidR="00F645C9">
        <w:t>relacji do</w:t>
      </w:r>
      <w:r>
        <w:t xml:space="preserve"> PKB</w:t>
      </w:r>
      <w:r w:rsidR="003E298F">
        <w:t>,</w:t>
      </w:r>
      <w:r w:rsidRPr="00FD0DAB">
        <w:t xml:space="preserve"> </w:t>
      </w:r>
      <w:r w:rsidR="003E298F">
        <w:t>d</w:t>
      </w:r>
      <w:r w:rsidRPr="00FD0DAB">
        <w:t>la porównania –</w:t>
      </w:r>
      <w:r w:rsidR="003E298F">
        <w:t xml:space="preserve"> </w:t>
      </w:r>
      <w:r w:rsidRPr="00FD0DAB">
        <w:t>dla całej Europy – ok. 0,44% (przy czym np. dla Austrii wynosi ok. 0,11%, dla krajów ESW – ok. 0,24%). Przy czym</w:t>
      </w:r>
      <w:r w:rsidR="006343E1">
        <w:t xml:space="preserve"> </w:t>
      </w:r>
      <w:r w:rsidR="006343E1" w:rsidRPr="00FD0DAB">
        <w:t>w</w:t>
      </w:r>
      <w:r w:rsidR="006343E1">
        <w:t> </w:t>
      </w:r>
      <w:r w:rsidRPr="00FD0DAB">
        <w:t xml:space="preserve">latach 2013–2016 zmniejszała się liczba transakcji na </w:t>
      </w:r>
      <w:r w:rsidR="003E298F" w:rsidRPr="00FD0DAB">
        <w:t xml:space="preserve">rynku </w:t>
      </w:r>
      <w:r w:rsidRPr="00FD0DAB">
        <w:t>krajowym – zarówno wejść</w:t>
      </w:r>
      <w:r w:rsidR="003E298F">
        <w:t>,</w:t>
      </w:r>
      <w:r w:rsidRPr="00FD0DAB">
        <w:t xml:space="preserve"> jak</w:t>
      </w:r>
      <w:r w:rsidR="006343E1">
        <w:t xml:space="preserve"> </w:t>
      </w:r>
      <w:r w:rsidR="006343E1" w:rsidRPr="00FD0DAB">
        <w:t>i</w:t>
      </w:r>
      <w:r w:rsidR="006343E1">
        <w:t> </w:t>
      </w:r>
      <w:r w:rsidRPr="00FD0DAB">
        <w:t xml:space="preserve">wyjść.  </w:t>
      </w:r>
      <w:r w:rsidR="000B3CE9" w:rsidRPr="00254AB9">
        <w:t xml:space="preserve"> </w:t>
      </w:r>
    </w:p>
    <w:p w14:paraId="423C4B8D" w14:textId="635B800B" w:rsidR="000B3CE9" w:rsidRPr="00254AB9" w:rsidRDefault="00390B44" w:rsidP="000E1FA5">
      <w:pPr>
        <w:pStyle w:val="Nagwek4"/>
      </w:pPr>
      <w:bookmarkStart w:id="89" w:name="_Ref510598362"/>
      <w:r w:rsidRPr="00254AB9">
        <w:t>Wykres</w:t>
      </w:r>
      <w:r w:rsidR="000B3CE9" w:rsidRPr="00254AB9">
        <w:t xml:space="preserve"> </w:t>
      </w:r>
      <w:bookmarkEnd w:id="89"/>
      <w:r w:rsidR="00332B11">
        <w:rPr>
          <w:noProof/>
        </w:rPr>
        <w:t>4</w:t>
      </w:r>
      <w:r w:rsidR="00FC6E8F">
        <w:rPr>
          <w:noProof/>
        </w:rPr>
        <w:t>6</w:t>
      </w:r>
      <w:r w:rsidRPr="00254AB9">
        <w:t>.</w:t>
      </w:r>
      <w:r w:rsidR="000B3CE9" w:rsidRPr="00254AB9">
        <w:t xml:space="preserve"> Wielkość inwestycji PE</w:t>
      </w:r>
      <w:r w:rsidR="006343E1">
        <w:t xml:space="preserve"> </w:t>
      </w:r>
      <w:r w:rsidR="006343E1" w:rsidRPr="00254AB9">
        <w:t>w</w:t>
      </w:r>
      <w:r w:rsidR="006343E1">
        <w:t> </w:t>
      </w:r>
      <w:r w:rsidR="000B3CE9" w:rsidRPr="00254AB9">
        <w:t>wybranych krajach Europy Środkowej</w:t>
      </w:r>
      <w:r w:rsidR="006343E1">
        <w:t xml:space="preserve"> </w:t>
      </w:r>
      <w:r w:rsidR="006343E1" w:rsidRPr="00254AB9">
        <w:t>i</w:t>
      </w:r>
      <w:r w:rsidR="006343E1">
        <w:t> </w:t>
      </w:r>
      <w:r w:rsidR="000B3CE9" w:rsidRPr="00254AB9">
        <w:t xml:space="preserve">Wschodniej (w mln </w:t>
      </w:r>
      <w:r w:rsidR="009A678A" w:rsidRPr="00254AB9">
        <w:t>EUR</w:t>
      </w:r>
      <w:r w:rsidR="000B3CE9" w:rsidRPr="00254AB9">
        <w:t xml:space="preserve">) </w:t>
      </w:r>
    </w:p>
    <w:p w14:paraId="1E2B2AC7" w14:textId="77777777" w:rsidR="00EC4085" w:rsidRPr="00254AB9" w:rsidRDefault="00EC4085" w:rsidP="00730223">
      <w:pPr>
        <w:spacing w:after="0" w:line="240" w:lineRule="auto"/>
        <w:rPr>
          <w:rFonts w:cs="Calibri"/>
          <w:sz w:val="21"/>
          <w:szCs w:val="21"/>
        </w:rPr>
      </w:pPr>
      <w:r>
        <w:rPr>
          <w:noProof/>
          <w:lang w:eastAsia="pl-PL"/>
        </w:rPr>
        <w:drawing>
          <wp:inline distT="0" distB="0" distL="0" distR="0" wp14:anchorId="5D1D3C0D" wp14:editId="45959737">
            <wp:extent cx="4572000" cy="2743200"/>
            <wp:effectExtent l="0" t="0" r="0" b="0"/>
            <wp:docPr id="33" name="Wykres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7914E3DD" w14:textId="1A04F22B" w:rsidR="000B3CE9" w:rsidRPr="00254AB9" w:rsidRDefault="000B3CE9" w:rsidP="00D01FC4">
      <w:pPr>
        <w:pStyle w:val="Bezodstpw"/>
      </w:pPr>
      <w:r w:rsidRPr="00254AB9">
        <w:t xml:space="preserve">Źródło: </w:t>
      </w:r>
      <w:r w:rsidR="00B822CB" w:rsidRPr="00D01FC4">
        <w:t>Opracowanie</w:t>
      </w:r>
      <w:r w:rsidR="00B822CB" w:rsidRPr="00254AB9">
        <w:t xml:space="preserve"> </w:t>
      </w:r>
      <w:r w:rsidR="003A56DA">
        <w:t>MRiT</w:t>
      </w:r>
      <w:r w:rsidR="003A5EA7">
        <w:t xml:space="preserve"> </w:t>
      </w:r>
      <w:r w:rsidRPr="00254AB9">
        <w:t xml:space="preserve">na podstawie danych Invest Europe\EDC </w:t>
      </w:r>
      <w:r w:rsidR="00CF5B21" w:rsidRPr="00254AB9">
        <w:t>(201</w:t>
      </w:r>
      <w:r w:rsidR="00EC4085">
        <w:t>8)</w:t>
      </w:r>
      <w:r w:rsidRPr="00254AB9">
        <w:t xml:space="preserve"> </w:t>
      </w:r>
    </w:p>
    <w:p w14:paraId="317691BE" w14:textId="3440E05A" w:rsidR="004113CD" w:rsidRPr="00254AB9" w:rsidRDefault="009E39B6" w:rsidP="00D01FC4">
      <w:r>
        <w:t>R</w:t>
      </w:r>
      <w:r w:rsidR="004113CD" w:rsidRPr="00254AB9">
        <w:t xml:space="preserve">ynek </w:t>
      </w:r>
      <w:r>
        <w:t>PE/VC</w:t>
      </w:r>
      <w:r w:rsidR="006343E1">
        <w:t xml:space="preserve"> w </w:t>
      </w:r>
      <w:r>
        <w:t xml:space="preserve">Polsce </w:t>
      </w:r>
      <w:r w:rsidR="004113CD" w:rsidRPr="00254AB9">
        <w:t>jest mały jak na europejskie standardy. Dodatkowo wykazuje się on dużą zmiennością pod względem ilości realizowanych transakcji</w:t>
      </w:r>
      <w:r w:rsidR="006343E1">
        <w:t xml:space="preserve"> </w:t>
      </w:r>
      <w:r w:rsidR="006343E1" w:rsidRPr="00254AB9">
        <w:t>w</w:t>
      </w:r>
      <w:r w:rsidR="006343E1">
        <w:t> </w:t>
      </w:r>
      <w:r w:rsidR="004113CD" w:rsidRPr="00254AB9">
        <w:t>trakcie roku. W większości wypadków polski rynek zdominowany jest przez transakcje portfelowe</w:t>
      </w:r>
      <w:r w:rsidR="006343E1">
        <w:t xml:space="preserve"> </w:t>
      </w:r>
      <w:r w:rsidR="006343E1" w:rsidRPr="00254AB9">
        <w:t>o</w:t>
      </w:r>
      <w:r w:rsidR="006343E1">
        <w:t> </w:t>
      </w:r>
      <w:r w:rsidR="004113CD" w:rsidRPr="00254AB9">
        <w:t xml:space="preserve">niskiej lub średnio-niskiej wartości (jak na standardy europejskie, tj. </w:t>
      </w:r>
      <w:r w:rsidR="00A32838" w:rsidRPr="00254AB9">
        <w:t>nieprze</w:t>
      </w:r>
      <w:r w:rsidR="00A32838">
        <w:t>k</w:t>
      </w:r>
      <w:r w:rsidR="00A32838" w:rsidRPr="00254AB9">
        <w:t>raczające</w:t>
      </w:r>
      <w:r w:rsidR="004113CD" w:rsidRPr="00254AB9">
        <w:t xml:space="preserve"> poziomu ok. 10 – 25 mln </w:t>
      </w:r>
      <w:r w:rsidR="00B43072" w:rsidRPr="00254AB9">
        <w:t>EUR</w:t>
      </w:r>
      <w:r w:rsidR="004113CD" w:rsidRPr="00254AB9">
        <w:t>). Przy czym większość</w:t>
      </w:r>
      <w:r w:rsidR="006343E1">
        <w:t xml:space="preserve"> </w:t>
      </w:r>
      <w:r w:rsidR="006343E1" w:rsidRPr="00254AB9">
        <w:t>z</w:t>
      </w:r>
      <w:r w:rsidR="006343E1">
        <w:t> </w:t>
      </w:r>
      <w:r w:rsidR="004113CD" w:rsidRPr="00254AB9">
        <w:t xml:space="preserve">nich dotyczy trzech podstawowych sektorów: (1) przetwórstwo przemysłowe, (2) transport, spedycja i logistyka oraz (3) nowoczesny handel. </w:t>
      </w:r>
    </w:p>
    <w:p w14:paraId="2CC1F4A0" w14:textId="6B7A55C4" w:rsidR="000B3CE9" w:rsidRPr="00254AB9" w:rsidRDefault="009E39B6" w:rsidP="00D01FC4">
      <w:r>
        <w:t xml:space="preserve">Z kolei </w:t>
      </w:r>
      <w:r w:rsidR="000B3CE9" w:rsidRPr="00254AB9">
        <w:t xml:space="preserve">krajowa </w:t>
      </w:r>
      <w:r w:rsidR="000B3CE9" w:rsidRPr="00CB07D4">
        <w:t xml:space="preserve">branża </w:t>
      </w:r>
      <w:r w:rsidR="000B3CE9" w:rsidRPr="00CB07D4">
        <w:rPr>
          <w:i/>
        </w:rPr>
        <w:t>Venture Capital</w:t>
      </w:r>
      <w:r w:rsidR="000B3CE9" w:rsidRPr="00254AB9">
        <w:t xml:space="preserve"> </w:t>
      </w:r>
      <w:r w:rsidR="000B3CE9" w:rsidRPr="00CB07D4">
        <w:t>(VC)</w:t>
      </w:r>
      <w:r w:rsidR="006343E1">
        <w:rPr>
          <w:b/>
        </w:rPr>
        <w:t xml:space="preserve"> </w:t>
      </w:r>
      <w:r w:rsidR="006343E1" w:rsidRPr="00254AB9">
        <w:t>w</w:t>
      </w:r>
      <w:r w:rsidR="006343E1">
        <w:rPr>
          <w:b/>
        </w:rPr>
        <w:t> </w:t>
      </w:r>
      <w:r w:rsidR="000B3CE9" w:rsidRPr="00254AB9">
        <w:t>dalszym ciągu jest</w:t>
      </w:r>
      <w:r w:rsidR="006343E1">
        <w:t xml:space="preserve"> </w:t>
      </w:r>
      <w:r w:rsidR="006343E1" w:rsidRPr="00254AB9">
        <w:t>w</w:t>
      </w:r>
      <w:r w:rsidR="006343E1">
        <w:t> </w:t>
      </w:r>
      <w:r w:rsidR="000B3CE9" w:rsidRPr="00254AB9">
        <w:t>bardzo wstępnej fazie rozwoju. Dotyczy to zarówno liczby aktywnych na rynku inwestorów, wartości zainwestowanych środków jak również – liczby transakcji (zarówno wejść</w:t>
      </w:r>
      <w:r w:rsidR="006343E1">
        <w:t xml:space="preserve"> </w:t>
      </w:r>
      <w:r w:rsidR="006343E1" w:rsidRPr="00254AB9">
        <w:t>i</w:t>
      </w:r>
      <w:r w:rsidR="006343E1">
        <w:t> </w:t>
      </w:r>
      <w:r w:rsidR="000B3CE9" w:rsidRPr="00254AB9">
        <w:t>jak</w:t>
      </w:r>
      <w:r w:rsidR="006343E1">
        <w:t xml:space="preserve"> </w:t>
      </w:r>
      <w:r w:rsidR="006343E1" w:rsidRPr="00254AB9">
        <w:t>i</w:t>
      </w:r>
      <w:r w:rsidR="006343E1">
        <w:t> </w:t>
      </w:r>
      <w:r w:rsidR="000B3CE9" w:rsidRPr="00254AB9">
        <w:t xml:space="preserve">wyjść). </w:t>
      </w:r>
    </w:p>
    <w:p w14:paraId="27D2665C" w14:textId="6BE69A0D" w:rsidR="000B3CE9" w:rsidRPr="00254AB9" w:rsidRDefault="000B3CE9" w:rsidP="00D01FC4">
      <w:r w:rsidRPr="00254AB9">
        <w:t>Dane OECD</w:t>
      </w:r>
      <w:r w:rsidR="00CF5B21" w:rsidRPr="00254AB9">
        <w:t xml:space="preserve"> (2018a)</w:t>
      </w:r>
      <w:r w:rsidRPr="00254AB9">
        <w:t xml:space="preserve"> wskazują, iż wartość transakcji dokonanych</w:t>
      </w:r>
      <w:r w:rsidR="006343E1">
        <w:t xml:space="preserve"> </w:t>
      </w:r>
      <w:r w:rsidR="006343E1" w:rsidRPr="00254AB9">
        <w:t>w</w:t>
      </w:r>
      <w:r w:rsidR="006343E1">
        <w:t> </w:t>
      </w:r>
      <w:r w:rsidRPr="00254AB9">
        <w:t xml:space="preserve">Polsce przez fundusze VC wyniosła ok. 23,7 mln </w:t>
      </w:r>
      <w:r w:rsidR="004B50D2" w:rsidRPr="00254AB9">
        <w:t>USD</w:t>
      </w:r>
      <w:r w:rsidRPr="00254AB9">
        <w:t>. Wprawdzie to zauważalnie więcej niż</w:t>
      </w:r>
      <w:r w:rsidR="006343E1">
        <w:t xml:space="preserve"> </w:t>
      </w:r>
      <w:r w:rsidR="006343E1" w:rsidRPr="00254AB9">
        <w:t>w</w:t>
      </w:r>
      <w:r w:rsidR="006343E1">
        <w:t> </w:t>
      </w:r>
      <w:r w:rsidRPr="00254AB9">
        <w:t>przypadku pozostałych krajów Europy Środkowej i</w:t>
      </w:r>
      <w:r w:rsidR="00E32C5B" w:rsidRPr="00254AB9">
        <w:t> </w:t>
      </w:r>
      <w:r w:rsidRPr="00254AB9">
        <w:t xml:space="preserve">Wschodniej (np. Litwa – ok. 8,7 mln </w:t>
      </w:r>
      <w:r w:rsidR="004B50D2" w:rsidRPr="00254AB9">
        <w:t>USD</w:t>
      </w:r>
      <w:r w:rsidRPr="00254AB9">
        <w:t xml:space="preserve">, Słowacja - ok. 11 mln </w:t>
      </w:r>
      <w:r w:rsidR="004B50D2" w:rsidRPr="00254AB9">
        <w:t>USD</w:t>
      </w:r>
      <w:r w:rsidRPr="00254AB9">
        <w:t xml:space="preserve">, Słowenia – ok. 3,3 mln </w:t>
      </w:r>
      <w:r w:rsidR="004B50D2" w:rsidRPr="00254AB9">
        <w:t>USD</w:t>
      </w:r>
      <w:r w:rsidRPr="00254AB9">
        <w:t>), jednak również mniej niż</w:t>
      </w:r>
      <w:r w:rsidR="006343E1">
        <w:t xml:space="preserve"> </w:t>
      </w:r>
      <w:r w:rsidR="006343E1" w:rsidRPr="00254AB9">
        <w:t>w</w:t>
      </w:r>
      <w:r w:rsidR="006343E1">
        <w:t> </w:t>
      </w:r>
      <w:r w:rsidRPr="00254AB9">
        <w:t xml:space="preserve">przypadku bardziej rozwiniętych rynków zachodnioeuropejskich (np. Dania – ok. 93,9 mln </w:t>
      </w:r>
      <w:r w:rsidR="004B50D2" w:rsidRPr="00254AB9">
        <w:t>USD</w:t>
      </w:r>
      <w:r w:rsidRPr="00254AB9">
        <w:t>, Finlandia – ok.</w:t>
      </w:r>
      <w:r w:rsidR="0052672C">
        <w:t> </w:t>
      </w:r>
      <w:r w:rsidRPr="00254AB9">
        <w:t xml:space="preserve">119,6 mln </w:t>
      </w:r>
      <w:r w:rsidR="004B50D2" w:rsidRPr="00254AB9">
        <w:t>USD</w:t>
      </w:r>
      <w:r w:rsidRPr="00254AB9">
        <w:t xml:space="preserve">, Holandia – ok. 204 mln </w:t>
      </w:r>
      <w:r w:rsidR="004B50D2" w:rsidRPr="00254AB9">
        <w:t>USD</w:t>
      </w:r>
      <w:r w:rsidRPr="00254AB9">
        <w:t xml:space="preserve">). </w:t>
      </w:r>
      <w:r w:rsidR="00410005" w:rsidRPr="00254AB9">
        <w:t>Dokładniejsze dane OECD</w:t>
      </w:r>
      <w:r w:rsidR="00CF5B21" w:rsidRPr="00254AB9">
        <w:t xml:space="preserve"> (2018b, s. 123 – 127)</w:t>
      </w:r>
      <w:r w:rsidR="00410005" w:rsidRPr="00254AB9">
        <w:t>, bazujące na udziale wartości rynku VC</w:t>
      </w:r>
      <w:r w:rsidR="006343E1">
        <w:t xml:space="preserve"> </w:t>
      </w:r>
      <w:r w:rsidR="006343E1" w:rsidRPr="00254AB9">
        <w:t>w</w:t>
      </w:r>
      <w:r w:rsidR="006343E1">
        <w:t> </w:t>
      </w:r>
      <w:r w:rsidR="00410005" w:rsidRPr="00254AB9">
        <w:t>PKB krajów unijnych, wskazują, iż polski rynek jest 4. najmniejszym wśród UE-28.</w:t>
      </w:r>
      <w:r w:rsidR="006343E1">
        <w:t xml:space="preserve"> </w:t>
      </w:r>
      <w:r w:rsidR="006343E1" w:rsidRPr="00254AB9">
        <w:t>Z</w:t>
      </w:r>
      <w:r w:rsidR="006343E1">
        <w:t> </w:t>
      </w:r>
      <w:r w:rsidR="00410005" w:rsidRPr="00254AB9">
        <w:t>udziałem VC</w:t>
      </w:r>
      <w:r w:rsidR="006343E1">
        <w:t xml:space="preserve"> </w:t>
      </w:r>
      <w:r w:rsidR="006343E1" w:rsidRPr="00254AB9">
        <w:t>w</w:t>
      </w:r>
      <w:r w:rsidR="006343E1">
        <w:t> </w:t>
      </w:r>
      <w:r w:rsidR="00410005" w:rsidRPr="00254AB9">
        <w:t xml:space="preserve">PKB nieznacznie przekraczającym 0,5% krajowego PKB wyprzedzamy jedynie Grecję (0%), Luksemburg (0,1%) oraz Czechy (0,2%). Rynek VC mierzony tą miarą jest bardziej rozwinięty na Słowacji (1,2%), Węgrzech (2,7%) czy na Łotwie (3,1%). </w:t>
      </w:r>
      <w:r w:rsidR="004113CD" w:rsidRPr="00254AB9">
        <w:t xml:space="preserve">Dokładne dane prezentuje poniższy wykres. </w:t>
      </w:r>
    </w:p>
    <w:p w14:paraId="4DAD8ECB" w14:textId="77777777" w:rsidR="00410005" w:rsidRPr="00254AB9" w:rsidRDefault="00410005" w:rsidP="00730223">
      <w:pPr>
        <w:spacing w:after="0" w:line="240" w:lineRule="auto"/>
        <w:rPr>
          <w:rFonts w:cs="Calibri"/>
          <w:sz w:val="21"/>
          <w:szCs w:val="21"/>
        </w:rPr>
      </w:pPr>
    </w:p>
    <w:p w14:paraId="164BE481" w14:textId="167A37D4" w:rsidR="00410005" w:rsidRPr="00254AB9" w:rsidRDefault="00E32C5B" w:rsidP="000E1FA5">
      <w:pPr>
        <w:pStyle w:val="Nagwek4"/>
      </w:pPr>
      <w:r w:rsidRPr="00254AB9">
        <w:lastRenderedPageBreak/>
        <w:t xml:space="preserve">Wykres </w:t>
      </w:r>
      <w:r w:rsidR="00FC6E8F">
        <w:rPr>
          <w:noProof/>
        </w:rPr>
        <w:t>47</w:t>
      </w:r>
      <w:r w:rsidRPr="00254AB9">
        <w:t xml:space="preserve">. </w:t>
      </w:r>
      <w:r w:rsidR="00410005" w:rsidRPr="00254AB9">
        <w:t>Udział wartości rynku VC</w:t>
      </w:r>
      <w:r w:rsidR="006343E1">
        <w:t xml:space="preserve"> </w:t>
      </w:r>
      <w:r w:rsidR="006343E1" w:rsidRPr="00254AB9">
        <w:t>w</w:t>
      </w:r>
      <w:r w:rsidR="006343E1">
        <w:t> </w:t>
      </w:r>
      <w:r w:rsidR="00410005" w:rsidRPr="00254AB9">
        <w:t>PKB krajów unijnych (dane za 2016 r.)</w:t>
      </w:r>
    </w:p>
    <w:bookmarkStart w:id="90" w:name="_MON_1588751221"/>
    <w:bookmarkEnd w:id="90"/>
    <w:p w14:paraId="7889EBC5" w14:textId="08B0E24E" w:rsidR="00410005" w:rsidRPr="00254AB9" w:rsidRDefault="00A34186" w:rsidP="006365AA">
      <w:pPr>
        <w:spacing w:after="0" w:line="240" w:lineRule="auto"/>
        <w:jc w:val="center"/>
        <w:rPr>
          <w:rFonts w:cs="Calibri"/>
          <w:sz w:val="21"/>
          <w:szCs w:val="21"/>
        </w:rPr>
      </w:pPr>
      <w:r w:rsidRPr="00254AB9">
        <w:rPr>
          <w:rFonts w:cs="Calibri"/>
          <w:sz w:val="21"/>
          <w:szCs w:val="21"/>
        </w:rPr>
        <w:object w:dxaOrig="7656" w:dyaOrig="4103" w14:anchorId="16D6E051">
          <v:shape id="_x0000_i1027" type="#_x0000_t75" style="width:381.75pt;height:208.5pt" o:ole="">
            <v:imagedata r:id="rId73" o:title=""/>
          </v:shape>
          <o:OLEObject Type="Embed" ProgID="Excel.Sheet.12" ShapeID="_x0000_i1027" DrawAspect="Content" ObjectID="_1719297191" r:id="rId74"/>
        </w:object>
      </w:r>
    </w:p>
    <w:p w14:paraId="5E26ECA2" w14:textId="4851B118" w:rsidR="00410005" w:rsidRPr="00254AB9" w:rsidRDefault="003D6D53" w:rsidP="00D01FC4">
      <w:pPr>
        <w:pStyle w:val="Bezodstpw"/>
      </w:pPr>
      <w:r>
        <w:t>Ź</w:t>
      </w:r>
      <w:r w:rsidR="00410005" w:rsidRPr="00254AB9">
        <w:t xml:space="preserve">ródło: </w:t>
      </w:r>
      <w:r w:rsidR="00B822CB" w:rsidRPr="00254AB9">
        <w:t xml:space="preserve">Opracowanie </w:t>
      </w:r>
      <w:r w:rsidR="003A56DA">
        <w:t>MRiT</w:t>
      </w:r>
      <w:r w:rsidR="003A5EA7">
        <w:t xml:space="preserve"> </w:t>
      </w:r>
      <w:r w:rsidR="00410005" w:rsidRPr="00254AB9">
        <w:t xml:space="preserve">na </w:t>
      </w:r>
      <w:r w:rsidR="001C57C2" w:rsidRPr="00254AB9">
        <w:t xml:space="preserve">podstawie </w:t>
      </w:r>
      <w:r w:rsidR="00410005" w:rsidRPr="00254AB9">
        <w:t xml:space="preserve">danych OECD </w:t>
      </w:r>
      <w:r w:rsidR="00CF5B21" w:rsidRPr="00254AB9">
        <w:t>(</w:t>
      </w:r>
      <w:r w:rsidR="00410005" w:rsidRPr="00254AB9">
        <w:t>2018</w:t>
      </w:r>
      <w:r w:rsidR="00CF5B21" w:rsidRPr="00254AB9">
        <w:t>b</w:t>
      </w:r>
      <w:r w:rsidR="00410005" w:rsidRPr="00254AB9">
        <w:t>, s. 125</w:t>
      </w:r>
      <w:r w:rsidR="00CF5B21" w:rsidRPr="00254AB9">
        <w:t>).</w:t>
      </w:r>
    </w:p>
    <w:p w14:paraId="1650FDA9" w14:textId="3664ADFC" w:rsidR="000B3CE9" w:rsidRPr="00254AB9" w:rsidRDefault="000B3CE9" w:rsidP="00D01FC4">
      <w:r w:rsidRPr="00254AB9">
        <w:t xml:space="preserve">Należy dodatkowo podkreślić, </w:t>
      </w:r>
      <w:r w:rsidR="00861583">
        <w:t>że</w:t>
      </w:r>
      <w:r w:rsidR="006343E1">
        <w:t xml:space="preserve"> </w:t>
      </w:r>
      <w:r w:rsidR="006343E1" w:rsidRPr="00254AB9">
        <w:t>w</w:t>
      </w:r>
      <w:r w:rsidR="006343E1">
        <w:t> </w:t>
      </w:r>
      <w:r w:rsidRPr="00254AB9">
        <w:t>dalszym ciągu większość finansowania przekazywanego do start-upów przez inwestorów (zarówno VC</w:t>
      </w:r>
      <w:r w:rsidR="00997C0D">
        <w:t>, jak i</w:t>
      </w:r>
      <w:r w:rsidRPr="00254AB9">
        <w:t xml:space="preserve"> </w:t>
      </w:r>
      <w:r w:rsidR="00997C0D">
        <w:t>a</w:t>
      </w:r>
      <w:r w:rsidRPr="00254AB9">
        <w:t xml:space="preserve">niołów </w:t>
      </w:r>
      <w:r w:rsidR="00997C0D">
        <w:t>b</w:t>
      </w:r>
      <w:r w:rsidRPr="00254AB9">
        <w:t xml:space="preserve">iznesu) nie przekracza wartości ok. 1 mln </w:t>
      </w:r>
      <w:r w:rsidR="001F1380" w:rsidRPr="00254AB9">
        <w:t>USD</w:t>
      </w:r>
      <w:r w:rsidRPr="00254AB9">
        <w:t>. Oznacza to, iż mamy do czynienia</w:t>
      </w:r>
      <w:r w:rsidR="006343E1">
        <w:t xml:space="preserve"> </w:t>
      </w:r>
      <w:r w:rsidR="006343E1" w:rsidRPr="00254AB9">
        <w:t>z</w:t>
      </w:r>
      <w:r w:rsidR="006343E1">
        <w:t> </w:t>
      </w:r>
      <w:r w:rsidRPr="00254AB9">
        <w:t>niewielkimi wejściami kapitałowymi podczas zarówno pierwotnej</w:t>
      </w:r>
      <w:r w:rsidR="00997C0D">
        <w:t>,</w:t>
      </w:r>
      <w:r w:rsidRPr="00254AB9">
        <w:t xml:space="preserve"> jak</w:t>
      </w:r>
      <w:r w:rsidR="006343E1">
        <w:t xml:space="preserve"> </w:t>
      </w:r>
      <w:r w:rsidR="006343E1" w:rsidRPr="00254AB9">
        <w:t>i</w:t>
      </w:r>
      <w:r w:rsidR="006343E1">
        <w:t> </w:t>
      </w:r>
      <w:r w:rsidRPr="00254AB9">
        <w:t>kolejnych rund. Dodatkowo wyraźnie widoczna jest dominacja (w ujęciu wartościowym) krajowych inwestorów (zarówno prywatnych, jak</w:t>
      </w:r>
      <w:r w:rsidR="006343E1">
        <w:t xml:space="preserve"> </w:t>
      </w:r>
      <w:r w:rsidR="006343E1" w:rsidRPr="00254AB9">
        <w:t>i</w:t>
      </w:r>
      <w:r w:rsidR="006343E1">
        <w:t> </w:t>
      </w:r>
      <w:r w:rsidRPr="00254AB9">
        <w:t>publicznych – m.in. Krajowy Fundusz Kapitałowy).</w:t>
      </w:r>
    </w:p>
    <w:p w14:paraId="3C200B12" w14:textId="592CA45E" w:rsidR="000B3CE9" w:rsidRPr="00254AB9" w:rsidRDefault="000B3CE9" w:rsidP="00D01FC4">
      <w:r w:rsidRPr="00254AB9">
        <w:t xml:space="preserve">Analizy </w:t>
      </w:r>
      <w:r w:rsidR="00B01019" w:rsidRPr="00254AB9">
        <w:t xml:space="preserve">przeprowadzone przez GrowthUp (2017), dotyczące </w:t>
      </w:r>
      <w:r w:rsidRPr="00254AB9">
        <w:t>start-upów, które uzyskały wsparcie od ww. inwestorów, wskazuj</w:t>
      </w:r>
      <w:r w:rsidR="005C2E3B">
        <w:t>ą</w:t>
      </w:r>
      <w:r w:rsidRPr="00254AB9">
        <w:t xml:space="preserve">, </w:t>
      </w:r>
      <w:r w:rsidR="005C2E3B">
        <w:t>że</w:t>
      </w:r>
      <w:r w:rsidRPr="00254AB9">
        <w:t xml:space="preserve"> najwięcej spośród nich działa</w:t>
      </w:r>
      <w:r w:rsidR="006343E1">
        <w:t xml:space="preserve"> </w:t>
      </w:r>
      <w:r w:rsidR="006343E1" w:rsidRPr="00254AB9">
        <w:t>w</w:t>
      </w:r>
      <w:r w:rsidR="006343E1">
        <w:t> </w:t>
      </w:r>
      <w:r w:rsidRPr="00254AB9">
        <w:t>obszarze rozwiązań teleinformatycznych (B2B oraz B2C), urządzeniach (hardware i urządzenia mobilne)</w:t>
      </w:r>
      <w:r w:rsidR="005C2E3B">
        <w:t>,</w:t>
      </w:r>
      <w:r w:rsidR="006343E1">
        <w:t xml:space="preserve"> </w:t>
      </w:r>
      <w:r w:rsidR="006343E1" w:rsidRPr="00254AB9">
        <w:t>a</w:t>
      </w:r>
      <w:r w:rsidR="006343E1">
        <w:t> </w:t>
      </w:r>
      <w:r w:rsidRPr="00254AB9">
        <w:t xml:space="preserve">także </w:t>
      </w:r>
      <w:r w:rsidR="004F4162">
        <w:t xml:space="preserve">w sektorze </w:t>
      </w:r>
      <w:r w:rsidRPr="004F4162">
        <w:t>fintech</w:t>
      </w:r>
      <w:r w:rsidR="004F4162">
        <w:t xml:space="preserve"> (ang. </w:t>
      </w:r>
      <w:r w:rsidR="004F4162" w:rsidRPr="00CB07D4">
        <w:rPr>
          <w:i/>
        </w:rPr>
        <w:t>financial technology</w:t>
      </w:r>
      <w:r w:rsidR="004F4162">
        <w:t>)</w:t>
      </w:r>
      <w:r w:rsidRPr="00254AB9">
        <w:t>. Wśród innych obszarów, które przyciągnęły uwagę inwestorów</w:t>
      </w:r>
      <w:r w:rsidR="005C2E3B">
        <w:t>,</w:t>
      </w:r>
      <w:r w:rsidRPr="00254AB9">
        <w:t xml:space="preserve"> warto wyróżnić również nauki</w:t>
      </w:r>
      <w:r w:rsidR="006343E1">
        <w:t xml:space="preserve"> </w:t>
      </w:r>
      <w:r w:rsidR="006343E1" w:rsidRPr="00254AB9">
        <w:t>o</w:t>
      </w:r>
      <w:r w:rsidR="006343E1">
        <w:t> </w:t>
      </w:r>
      <w:r w:rsidRPr="00254AB9">
        <w:t xml:space="preserve">życiu oraz telemedycynę. </w:t>
      </w:r>
    </w:p>
    <w:p w14:paraId="345580BD" w14:textId="4F80869A" w:rsidR="000B3CE9" w:rsidRPr="00254AB9" w:rsidRDefault="000B3CE9" w:rsidP="00D01FC4">
      <w:r w:rsidRPr="00254AB9">
        <w:t>Z uwagi na wielkość krajowego rynku znaczna część start-upów koncentruje swoje działania tylko na polskim rynku. Wprawdzie nie dotyka to wszystkich segmentów, jednak może to prowadzić do trudności</w:t>
      </w:r>
      <w:r w:rsidR="006343E1">
        <w:t xml:space="preserve"> </w:t>
      </w:r>
      <w:r w:rsidR="006343E1" w:rsidRPr="00254AB9">
        <w:t>w</w:t>
      </w:r>
      <w:r w:rsidR="006343E1">
        <w:t> </w:t>
      </w:r>
      <w:r w:rsidRPr="00254AB9">
        <w:t>eliminacji nieefektywnych modeli biznesowych, które są podtrzymywane przez łatwy dostęp do taniego publicznego kapitału. Jak wskazują niektórzy eksperci branżowi</w:t>
      </w:r>
      <w:r w:rsidR="00B01019" w:rsidRPr="00254AB9">
        <w:t>,</w:t>
      </w:r>
      <w:r w:rsidR="006343E1">
        <w:t xml:space="preserve"> </w:t>
      </w:r>
      <w:r w:rsidR="006343E1" w:rsidRPr="00254AB9">
        <w:t>w</w:t>
      </w:r>
      <w:r w:rsidR="006343E1">
        <w:t> </w:t>
      </w:r>
      <w:r w:rsidR="00B01019" w:rsidRPr="00254AB9">
        <w:t>tym m.in. portal branżowy Star</w:t>
      </w:r>
      <w:r w:rsidR="00017040">
        <w:t>t</w:t>
      </w:r>
      <w:r w:rsidR="00B01019" w:rsidRPr="00254AB9">
        <w:t>Up Yard (2017)</w:t>
      </w:r>
      <w:r w:rsidRPr="00254AB9">
        <w:t>, taka struktura może być niebezpieczna dla utworzenia dobre</w:t>
      </w:r>
      <w:r w:rsidR="00017040">
        <w:t>go ekosystemu wsparcia start-up</w:t>
      </w:r>
      <w:r w:rsidRPr="00254AB9">
        <w:t>ów. Mimo rozwoju publicznego systemu wsparcia tych podmiotów</w:t>
      </w:r>
      <w:r w:rsidR="006343E1">
        <w:t xml:space="preserve"> </w:t>
      </w:r>
      <w:r w:rsidR="006343E1" w:rsidRPr="00254AB9">
        <w:t>w</w:t>
      </w:r>
      <w:r w:rsidR="006343E1">
        <w:t> </w:t>
      </w:r>
      <w:r w:rsidRPr="00254AB9">
        <w:t>dalszym ciągu potrzebne są dalsze zmiany</w:t>
      </w:r>
      <w:r w:rsidR="006343E1">
        <w:t xml:space="preserve"> </w:t>
      </w:r>
      <w:r w:rsidR="006343E1" w:rsidRPr="00254AB9">
        <w:t>w</w:t>
      </w:r>
      <w:r w:rsidR="006343E1">
        <w:t> </w:t>
      </w:r>
      <w:r w:rsidRPr="00254AB9">
        <w:t>jego organizacji</w:t>
      </w:r>
      <w:r w:rsidR="00B01019" w:rsidRPr="00254AB9">
        <w:t>, co wynika bezpośrednio</w:t>
      </w:r>
      <w:r w:rsidR="006343E1">
        <w:t xml:space="preserve"> </w:t>
      </w:r>
      <w:r w:rsidR="006343E1" w:rsidRPr="00254AB9">
        <w:t>z</w:t>
      </w:r>
      <w:r w:rsidR="006343E1">
        <w:t> </w:t>
      </w:r>
      <w:r w:rsidR="00B01019" w:rsidRPr="00254AB9">
        <w:t xml:space="preserve">analizy ekosystemu </w:t>
      </w:r>
      <w:r w:rsidR="00017040" w:rsidRPr="00254AB9">
        <w:t>przeprowadzonej</w:t>
      </w:r>
      <w:r w:rsidR="00B01019" w:rsidRPr="00254AB9">
        <w:t xml:space="preserve"> przez Deloitte (2016)</w:t>
      </w:r>
      <w:r w:rsidRPr="00254AB9">
        <w:t xml:space="preserve">. </w:t>
      </w:r>
    </w:p>
    <w:p w14:paraId="4F38AC46" w14:textId="0328596A" w:rsidR="000B3CE9" w:rsidRPr="00254AB9" w:rsidRDefault="008E51F6" w:rsidP="00D01FC4">
      <w:r w:rsidRPr="00254AB9">
        <w:t>Analiza wielkości</w:t>
      </w:r>
      <w:r w:rsidR="006343E1">
        <w:t xml:space="preserve"> </w:t>
      </w:r>
      <w:r w:rsidR="006343E1" w:rsidRPr="00254AB9">
        <w:t>i</w:t>
      </w:r>
      <w:r w:rsidR="006343E1">
        <w:t> </w:t>
      </w:r>
      <w:r w:rsidR="000B3CE9" w:rsidRPr="00254AB9">
        <w:t>stan</w:t>
      </w:r>
      <w:r w:rsidRPr="00254AB9">
        <w:t>u</w:t>
      </w:r>
      <w:r w:rsidR="000B3CE9" w:rsidRPr="00254AB9">
        <w:t xml:space="preserve"> rozwoju rynku VC</w:t>
      </w:r>
      <w:r w:rsidR="006343E1">
        <w:t xml:space="preserve"> </w:t>
      </w:r>
      <w:r w:rsidR="006343E1" w:rsidRPr="00254AB9">
        <w:t>w</w:t>
      </w:r>
      <w:r w:rsidR="006343E1">
        <w:t> </w:t>
      </w:r>
      <w:r w:rsidR="000B3CE9" w:rsidRPr="00254AB9">
        <w:t xml:space="preserve">Polsce, </w:t>
      </w:r>
      <w:r w:rsidR="00B01019" w:rsidRPr="00254AB9">
        <w:t>przeprowadzona przez Fundację Start Up Poland (2018)</w:t>
      </w:r>
      <w:r w:rsidR="005C2E3B">
        <w:t>,</w:t>
      </w:r>
      <w:r w:rsidR="00B01019" w:rsidRPr="00254AB9">
        <w:t xml:space="preserve"> </w:t>
      </w:r>
      <w:r w:rsidRPr="00254AB9">
        <w:t>sugeruje potrzebę</w:t>
      </w:r>
      <w:r w:rsidR="000B3CE9" w:rsidRPr="00254AB9">
        <w:t xml:space="preserve"> jego dalsze</w:t>
      </w:r>
      <w:r w:rsidRPr="00254AB9">
        <w:t>go</w:t>
      </w:r>
      <w:r w:rsidR="000B3CE9" w:rsidRPr="00254AB9">
        <w:t xml:space="preserve"> </w:t>
      </w:r>
      <w:r w:rsidRPr="00254AB9">
        <w:t>wsparcia</w:t>
      </w:r>
      <w:r w:rsidR="005C2E3B">
        <w:t>,</w:t>
      </w:r>
      <w:r w:rsidR="000B3CE9" w:rsidRPr="00254AB9">
        <w:t xml:space="preserve"> </w:t>
      </w:r>
      <w:r w:rsidR="005C2E3B">
        <w:t>z</w:t>
      </w:r>
      <w:r w:rsidR="00846681" w:rsidRPr="00254AB9">
        <w:t>właszcz</w:t>
      </w:r>
      <w:r w:rsidR="005C2E3B">
        <w:t>a że</w:t>
      </w:r>
      <w:r w:rsidR="00846681" w:rsidRPr="00254AB9">
        <w:t xml:space="preserve"> obecnie</w:t>
      </w:r>
      <w:r w:rsidR="006343E1">
        <w:t xml:space="preserve"> </w:t>
      </w:r>
      <w:r w:rsidR="006343E1" w:rsidRPr="00254AB9">
        <w:t>w</w:t>
      </w:r>
      <w:r w:rsidR="006343E1">
        <w:t> </w:t>
      </w:r>
      <w:r w:rsidR="00846681" w:rsidRPr="00254AB9">
        <w:t>dalszym ciągu rodzimy rynek VC opiera się na finansowaniu publicznym</w:t>
      </w:r>
      <w:r w:rsidR="00846681" w:rsidRPr="00254AB9">
        <w:rPr>
          <w:rStyle w:val="Odwoanieprzypisudolnego"/>
          <w:rFonts w:cs="Calibri"/>
          <w:sz w:val="21"/>
          <w:szCs w:val="21"/>
        </w:rPr>
        <w:footnoteReference w:id="29"/>
      </w:r>
      <w:r w:rsidR="00846681" w:rsidRPr="00254AB9">
        <w:t>,</w:t>
      </w:r>
      <w:r w:rsidR="006343E1">
        <w:t xml:space="preserve"> </w:t>
      </w:r>
      <w:r w:rsidR="006343E1" w:rsidRPr="00254AB9">
        <w:t>a</w:t>
      </w:r>
      <w:r w:rsidR="006343E1">
        <w:t> </w:t>
      </w:r>
      <w:r w:rsidR="00846681" w:rsidRPr="00254AB9">
        <w:t xml:space="preserve">nie prywatnym. </w:t>
      </w:r>
      <w:r w:rsidR="000B3CE9" w:rsidRPr="00254AB9">
        <w:t>Należy przy tym uwzględnić fakt, iż jak wynika</w:t>
      </w:r>
      <w:r w:rsidR="006343E1">
        <w:t xml:space="preserve"> </w:t>
      </w:r>
      <w:r w:rsidR="006343E1" w:rsidRPr="00254AB9">
        <w:t>z</w:t>
      </w:r>
      <w:r w:rsidR="006343E1">
        <w:t> </w:t>
      </w:r>
      <w:r w:rsidR="000B3CE9" w:rsidRPr="00254AB9">
        <w:t xml:space="preserve">ostatniego raportu </w:t>
      </w:r>
      <w:r w:rsidR="005C2E3B">
        <w:t xml:space="preserve">sporządzonego </w:t>
      </w:r>
      <w:r w:rsidR="00B01019" w:rsidRPr="00254AB9">
        <w:t xml:space="preserve">przez M. Gajewski, J. Szczucki, P. Tamowicz, M. Przybyłowski et al. (2015) </w:t>
      </w:r>
      <w:r w:rsidR="000B3CE9" w:rsidRPr="00254AB9">
        <w:t>nt. luki kapitałowej (finansowania) dla start</w:t>
      </w:r>
      <w:r w:rsidR="00017040">
        <w:t>-up</w:t>
      </w:r>
      <w:r w:rsidR="000B3CE9" w:rsidRPr="00254AB9">
        <w:t>ów w Polsce, jej wielkość nie zmieniła się względem poprzednich badań. Tym samym</w:t>
      </w:r>
      <w:r w:rsidR="006343E1">
        <w:t xml:space="preserve"> </w:t>
      </w:r>
      <w:r w:rsidR="006343E1" w:rsidRPr="00254AB9">
        <w:t>w</w:t>
      </w:r>
      <w:r w:rsidR="006343E1">
        <w:t> </w:t>
      </w:r>
      <w:r w:rsidR="000B3CE9" w:rsidRPr="00254AB9">
        <w:t xml:space="preserve">dalszym ciągu problematyczne jest pozyskanie finansowania na poziomie 0,5–4 mln </w:t>
      </w:r>
      <w:r w:rsidR="00017040">
        <w:t>EUR</w:t>
      </w:r>
      <w:r w:rsidR="000B3CE9" w:rsidRPr="00254AB9">
        <w:t xml:space="preserve">. Oznacza to, </w:t>
      </w:r>
      <w:r w:rsidR="005C2E3B">
        <w:t>że</w:t>
      </w:r>
      <w:r w:rsidR="006343E1">
        <w:t xml:space="preserve"> </w:t>
      </w:r>
      <w:r w:rsidR="006343E1" w:rsidRPr="00254AB9">
        <w:t>w</w:t>
      </w:r>
      <w:r w:rsidR="006343E1">
        <w:t> </w:t>
      </w:r>
      <w:r w:rsidR="000B3CE9" w:rsidRPr="00254AB9">
        <w:t xml:space="preserve">dalszym ciągu fundusze VC nie </w:t>
      </w:r>
      <w:r w:rsidR="005C2E3B">
        <w:t>mają</w:t>
      </w:r>
      <w:r w:rsidR="000B3CE9" w:rsidRPr="00254AB9">
        <w:t xml:space="preserve"> odpowiedniego poziomu kapitału</w:t>
      </w:r>
      <w:r w:rsidR="005C2E3B">
        <w:t>,</w:t>
      </w:r>
      <w:r w:rsidR="000B3CE9" w:rsidRPr="00254AB9">
        <w:t xml:space="preserve"> aby samodzielnie angażować się</w:t>
      </w:r>
      <w:r w:rsidR="006343E1">
        <w:t xml:space="preserve"> </w:t>
      </w:r>
      <w:r w:rsidR="006343E1" w:rsidRPr="00254AB9">
        <w:t>w</w:t>
      </w:r>
      <w:r w:rsidR="006343E1">
        <w:t> </w:t>
      </w:r>
      <w:r w:rsidR="000B3CE9" w:rsidRPr="00254AB9">
        <w:t>projekty inwestycyjne. Wskazane wydaje się przy tym wykorzystanie dotychczasowe</w:t>
      </w:r>
      <w:r w:rsidR="005C2E3B">
        <w:t>go</w:t>
      </w:r>
      <w:r w:rsidR="000B3CE9" w:rsidRPr="00254AB9">
        <w:t xml:space="preserve"> modelu </w:t>
      </w:r>
      <w:r w:rsidR="000B3CE9" w:rsidRPr="00254AB9">
        <w:lastRenderedPageBreak/>
        <w:t>wsparcia</w:t>
      </w:r>
      <w:r w:rsidR="006343E1">
        <w:t xml:space="preserve"> </w:t>
      </w:r>
      <w:r w:rsidR="006343E1" w:rsidRPr="00254AB9">
        <w:t>o</w:t>
      </w:r>
      <w:r w:rsidR="006343E1">
        <w:t> </w:t>
      </w:r>
      <w:r w:rsidR="000B3CE9" w:rsidRPr="00254AB9">
        <w:t>charakterze hybrydowym (publiczno-prywatnym), zbudowanego na bazie funduszy. Jak wskazują badania ewaluacyjne</w:t>
      </w:r>
      <w:r w:rsidR="00B01019" w:rsidRPr="00254AB9">
        <w:t xml:space="preserve"> przeprowadzone przez M. Gajewski, R. Kubajek, B.</w:t>
      </w:r>
      <w:r w:rsidR="004113CD" w:rsidRPr="00254AB9">
        <w:t> </w:t>
      </w:r>
      <w:r w:rsidR="00B01019" w:rsidRPr="00254AB9">
        <w:t xml:space="preserve">Pietrzak, J. Szczucki, J. Witkowska, M. Przybyłowski, P. Tamowicz, A. Zamojska (2017, s. 58–61), </w:t>
      </w:r>
      <w:r w:rsidR="000B3CE9" w:rsidRPr="00254AB9">
        <w:t>ważne jest przy tym odpowiednie dobranie parametrów lewaru dla środków prywatnych</w:t>
      </w:r>
      <w:r w:rsidR="005C2E3B">
        <w:t>,</w:t>
      </w:r>
      <w:r w:rsidR="000B3CE9" w:rsidRPr="00254AB9">
        <w:t xml:space="preserve"> jak również poziomu premii przy wyjściu</w:t>
      </w:r>
      <w:r w:rsidR="006343E1">
        <w:t xml:space="preserve"> </w:t>
      </w:r>
      <w:r w:rsidR="006343E1" w:rsidRPr="00254AB9">
        <w:t>z</w:t>
      </w:r>
      <w:r w:rsidR="006343E1">
        <w:t> </w:t>
      </w:r>
      <w:r w:rsidR="000B3CE9" w:rsidRPr="00254AB9">
        <w:t xml:space="preserve">inwestycji. </w:t>
      </w:r>
    </w:p>
    <w:p w14:paraId="4C35DC8F" w14:textId="6FD3E3F7" w:rsidR="0062706D" w:rsidRPr="0062706D" w:rsidRDefault="000B3CE9" w:rsidP="00D01FC4">
      <w:r w:rsidRPr="00254AB9">
        <w:t xml:space="preserve">Natomiast </w:t>
      </w:r>
      <w:r w:rsidRPr="00CB07D4">
        <w:t>mechanizm</w:t>
      </w:r>
      <w:r w:rsidR="0062706D" w:rsidRPr="00CB07D4">
        <w:t>y</w:t>
      </w:r>
      <w:r w:rsidRPr="00CB07D4">
        <w:t xml:space="preserve"> podatkow</w:t>
      </w:r>
      <w:r w:rsidR="0062706D" w:rsidRPr="00CB07D4">
        <w:t>e</w:t>
      </w:r>
      <w:r w:rsidRPr="00254AB9">
        <w:t xml:space="preserve"> </w:t>
      </w:r>
      <w:r w:rsidR="0062706D">
        <w:t xml:space="preserve">jeszcze do niedawna nie </w:t>
      </w:r>
      <w:r w:rsidRPr="00254AB9">
        <w:t>cieszyły się dużym zainteresowaniem.</w:t>
      </w:r>
      <w:r w:rsidR="006343E1">
        <w:t xml:space="preserve"> W </w:t>
      </w:r>
      <w:r w:rsidRPr="00254AB9">
        <w:t>2016</w:t>
      </w:r>
      <w:r w:rsidR="005C2E3B">
        <w:t xml:space="preserve"> r.</w:t>
      </w:r>
      <w:r w:rsidRPr="00254AB9">
        <w:rPr>
          <w:rStyle w:val="Odwoanieprzypisudolnego"/>
          <w:rFonts w:cs="Calibri"/>
          <w:sz w:val="21"/>
          <w:szCs w:val="21"/>
        </w:rPr>
        <w:footnoteReference w:id="30"/>
      </w:r>
      <w:r w:rsidR="006343E1">
        <w:t xml:space="preserve"> </w:t>
      </w:r>
      <w:r w:rsidR="006343E1" w:rsidRPr="00254AB9">
        <w:t>i</w:t>
      </w:r>
      <w:r w:rsidR="006343E1">
        <w:t> </w:t>
      </w:r>
      <w:r w:rsidRPr="00254AB9">
        <w:t>2017</w:t>
      </w:r>
      <w:r w:rsidR="005C2E3B">
        <w:t xml:space="preserve"> r.</w:t>
      </w:r>
      <w:r w:rsidRPr="00254AB9">
        <w:rPr>
          <w:rStyle w:val="Odwoanieprzypisudolnego"/>
          <w:rFonts w:cs="Calibri"/>
          <w:sz w:val="21"/>
          <w:szCs w:val="21"/>
        </w:rPr>
        <w:footnoteReference w:id="31"/>
      </w:r>
      <w:r w:rsidRPr="00254AB9">
        <w:t xml:space="preserve"> wdrożono </w:t>
      </w:r>
      <w:r w:rsidR="0062706D">
        <w:t xml:space="preserve">jednak </w:t>
      </w:r>
      <w:r w:rsidRPr="00254AB9">
        <w:t>nowe rozwiązania wspierające działalność B+R</w:t>
      </w:r>
      <w:r w:rsidR="006343E1">
        <w:t xml:space="preserve"> </w:t>
      </w:r>
      <w:r w:rsidR="006343E1" w:rsidRPr="00254AB9">
        <w:t>w</w:t>
      </w:r>
      <w:r w:rsidR="006343E1">
        <w:t> </w:t>
      </w:r>
      <w:r w:rsidRPr="00254AB9">
        <w:t>postaci zwolnień podatkowych.</w:t>
      </w:r>
      <w:r w:rsidR="006343E1">
        <w:t xml:space="preserve"> </w:t>
      </w:r>
      <w:r w:rsidR="006343E1" w:rsidRPr="0062706D">
        <w:t>W</w:t>
      </w:r>
      <w:r w:rsidR="006343E1">
        <w:t> </w:t>
      </w:r>
      <w:r w:rsidR="0062706D" w:rsidRPr="0062706D">
        <w:t>2017 r</w:t>
      </w:r>
      <w:r w:rsidR="005C2E3B">
        <w:t>.</w:t>
      </w:r>
      <w:r w:rsidR="006343E1">
        <w:t xml:space="preserve"> </w:t>
      </w:r>
      <w:r w:rsidR="006343E1" w:rsidRPr="0062706D">
        <w:t>z</w:t>
      </w:r>
      <w:r w:rsidR="006343E1">
        <w:t> </w:t>
      </w:r>
      <w:r w:rsidR="0062706D" w:rsidRPr="0062706D">
        <w:t xml:space="preserve">ulgi </w:t>
      </w:r>
      <w:r w:rsidR="0077493E">
        <w:t xml:space="preserve">B+R </w:t>
      </w:r>
      <w:r w:rsidR="0062706D" w:rsidRPr="0062706D">
        <w:t xml:space="preserve">skorzystało </w:t>
      </w:r>
      <w:r w:rsidR="0077493E">
        <w:t xml:space="preserve">już </w:t>
      </w:r>
      <w:r w:rsidR="0062706D" w:rsidRPr="0062706D">
        <w:t>1090 podatników (łącznie płatników CIT</w:t>
      </w:r>
      <w:r w:rsidR="006343E1">
        <w:t xml:space="preserve"> </w:t>
      </w:r>
      <w:r w:rsidR="006343E1" w:rsidRPr="0062706D">
        <w:t>i</w:t>
      </w:r>
      <w:r w:rsidR="006343E1">
        <w:t> </w:t>
      </w:r>
      <w:r w:rsidR="0062706D" w:rsidRPr="0062706D">
        <w:t>PIT) wobec 528</w:t>
      </w:r>
      <w:r w:rsidR="006343E1">
        <w:t xml:space="preserve"> </w:t>
      </w:r>
      <w:r w:rsidR="006343E1" w:rsidRPr="0062706D">
        <w:t>w</w:t>
      </w:r>
      <w:r w:rsidR="006343E1">
        <w:t> </w:t>
      </w:r>
      <w:r w:rsidR="0062706D" w:rsidRPr="0062706D">
        <w:t>roku 2016. Kwota zgłoszonych wydatków wzrosła</w:t>
      </w:r>
      <w:r w:rsidR="006343E1">
        <w:t xml:space="preserve"> </w:t>
      </w:r>
      <w:r w:rsidR="006343E1" w:rsidRPr="0062706D">
        <w:t>z</w:t>
      </w:r>
      <w:r w:rsidR="006343E1">
        <w:t> </w:t>
      </w:r>
      <w:r w:rsidR="0062706D" w:rsidRPr="0062706D">
        <w:t xml:space="preserve">1,2 miliarda do 1,91 miliarda złotych. Aż 96% tej kwoty wydatków wygenerowali płatnicy CIT (1,824 mld </w:t>
      </w:r>
      <w:r w:rsidR="005C2E3B">
        <w:t>PLN</w:t>
      </w:r>
      <w:r w:rsidR="0062706D" w:rsidRPr="0062706D">
        <w:t>),</w:t>
      </w:r>
      <w:r w:rsidR="006343E1">
        <w:t xml:space="preserve"> </w:t>
      </w:r>
      <w:r w:rsidR="006343E1" w:rsidRPr="0062706D">
        <w:t>a</w:t>
      </w:r>
      <w:r w:rsidR="006343E1">
        <w:t> </w:t>
      </w:r>
      <w:r w:rsidR="0062706D" w:rsidRPr="0062706D">
        <w:t xml:space="preserve">płatnicy PIT 4% </w:t>
      </w:r>
      <w:r w:rsidR="005C2E3B">
        <w:rPr>
          <w:rFonts w:ascii="Times New Roman" w:hAnsi="Times New Roman" w:cs="Times New Roman"/>
        </w:rPr>
        <w:t>–</w:t>
      </w:r>
      <w:r w:rsidR="0062706D" w:rsidRPr="0062706D">
        <w:t xml:space="preserve"> 86 mln </w:t>
      </w:r>
      <w:r w:rsidR="005C2E3B">
        <w:t>PLN</w:t>
      </w:r>
      <w:r w:rsidR="0062706D" w:rsidRPr="0062706D">
        <w:t>. Kwota odliczenia (wydatków kwalifikowanych) wyniosła 584 mln złotych</w:t>
      </w:r>
      <w:r w:rsidR="006343E1">
        <w:t xml:space="preserve"> </w:t>
      </w:r>
      <w:r w:rsidR="006343E1" w:rsidRPr="0062706D">
        <w:t>i</w:t>
      </w:r>
      <w:r w:rsidR="006343E1">
        <w:t> </w:t>
      </w:r>
      <w:r w:rsidR="0062706D" w:rsidRPr="0062706D">
        <w:t xml:space="preserve">była blisko trzykrotnie większa niż rok wcześniej (206 mln). Skutek podatkowy odliczenia (koszt ulgi dla budżetu państwa) wyniósł 111 mln </w:t>
      </w:r>
      <w:r w:rsidR="005C2E3B" w:rsidRPr="00CB07D4">
        <w:t>PLN</w:t>
      </w:r>
      <w:r w:rsidR="0062706D" w:rsidRPr="0062706D">
        <w:t xml:space="preserve"> wobec 39 mln </w:t>
      </w:r>
      <w:r w:rsidR="005C2E3B">
        <w:t>PLN</w:t>
      </w:r>
      <w:r w:rsidR="006343E1">
        <w:t xml:space="preserve"> </w:t>
      </w:r>
      <w:r w:rsidR="006343E1" w:rsidRPr="0062706D">
        <w:t>w</w:t>
      </w:r>
      <w:r w:rsidR="006343E1">
        <w:t> </w:t>
      </w:r>
      <w:r w:rsidR="0062706D" w:rsidRPr="0062706D">
        <w:t>roku 2016.</w:t>
      </w:r>
    </w:p>
    <w:p w14:paraId="495B3FB4" w14:textId="36317132" w:rsidR="0062706D" w:rsidRPr="0062706D" w:rsidRDefault="00870EB7" w:rsidP="00D01FC4">
      <w:r>
        <w:t>Nakłady</w:t>
      </w:r>
      <w:r w:rsidRPr="0062706D">
        <w:t xml:space="preserve"> </w:t>
      </w:r>
      <w:r w:rsidR="0062706D" w:rsidRPr="0062706D">
        <w:t xml:space="preserve">na </w:t>
      </w:r>
      <w:r>
        <w:t>działalność</w:t>
      </w:r>
      <w:r w:rsidR="0062706D" w:rsidRPr="0062706D">
        <w:t xml:space="preserve"> B+R zgłoszone do ulgi,</w:t>
      </w:r>
      <w:r w:rsidR="006343E1">
        <w:t xml:space="preserve"> </w:t>
      </w:r>
      <w:r w:rsidR="006343E1" w:rsidRPr="0062706D">
        <w:t>w</w:t>
      </w:r>
      <w:r w:rsidR="006343E1">
        <w:t> </w:t>
      </w:r>
      <w:r w:rsidR="0062706D" w:rsidRPr="0062706D">
        <w:t>podziale na poszczególne kategorie, przedstawiały się następująco</w:t>
      </w:r>
      <w:r w:rsidR="005C2E3B">
        <w:t>:</w:t>
      </w:r>
    </w:p>
    <w:p w14:paraId="4CA7A97E" w14:textId="49BF9528" w:rsidR="0062706D" w:rsidRPr="0062706D" w:rsidRDefault="0062706D" w:rsidP="00A9445F">
      <w:pPr>
        <w:numPr>
          <w:ilvl w:val="0"/>
          <w:numId w:val="10"/>
        </w:numPr>
      </w:pPr>
      <w:r w:rsidRPr="0062706D">
        <w:t xml:space="preserve">1445 mln </w:t>
      </w:r>
      <w:r w:rsidR="002F5309">
        <w:t>PLN</w:t>
      </w:r>
      <w:r w:rsidRPr="0062706D">
        <w:t xml:space="preserve"> </w:t>
      </w:r>
      <w:r w:rsidR="002F5309">
        <w:rPr>
          <w:rFonts w:ascii="Times New Roman" w:hAnsi="Times New Roman" w:cs="Times New Roman"/>
        </w:rPr>
        <w:t>–</w:t>
      </w:r>
      <w:r w:rsidRPr="0062706D">
        <w:t xml:space="preserve"> koszty pracy </w:t>
      </w:r>
      <w:r w:rsidR="002F5309">
        <w:rPr>
          <w:rFonts w:ascii="Times New Roman" w:hAnsi="Times New Roman" w:cs="Times New Roman"/>
        </w:rPr>
        <w:t>–</w:t>
      </w:r>
      <w:r w:rsidRPr="0062706D">
        <w:t xml:space="preserve"> 75,6% wszystkich wydatków</w:t>
      </w:r>
    </w:p>
    <w:p w14:paraId="571E1D17" w14:textId="037D13EE" w:rsidR="0062706D" w:rsidRPr="0062706D" w:rsidRDefault="0062706D" w:rsidP="00A9445F">
      <w:pPr>
        <w:numPr>
          <w:ilvl w:val="0"/>
          <w:numId w:val="10"/>
        </w:numPr>
      </w:pPr>
      <w:r w:rsidRPr="0062706D">
        <w:t xml:space="preserve">278 mln </w:t>
      </w:r>
      <w:r w:rsidR="002F5309">
        <w:t>PLN</w:t>
      </w:r>
      <w:r w:rsidRPr="0062706D">
        <w:t xml:space="preserve"> </w:t>
      </w:r>
      <w:r w:rsidR="002F5309">
        <w:rPr>
          <w:rFonts w:ascii="Times New Roman" w:hAnsi="Times New Roman" w:cs="Times New Roman"/>
        </w:rPr>
        <w:t>–</w:t>
      </w:r>
      <w:r w:rsidRPr="0062706D">
        <w:t xml:space="preserve"> materiały</w:t>
      </w:r>
      <w:r w:rsidR="006343E1">
        <w:t xml:space="preserve"> </w:t>
      </w:r>
      <w:r w:rsidR="006343E1" w:rsidRPr="0062706D">
        <w:t>i</w:t>
      </w:r>
      <w:r w:rsidR="006343E1">
        <w:t> </w:t>
      </w:r>
      <w:r w:rsidRPr="0062706D">
        <w:t xml:space="preserve">surowce  </w:t>
      </w:r>
      <w:r w:rsidR="002F5309">
        <w:rPr>
          <w:rFonts w:ascii="Times New Roman" w:hAnsi="Times New Roman" w:cs="Times New Roman"/>
        </w:rPr>
        <w:t>–</w:t>
      </w:r>
      <w:r w:rsidRPr="0062706D">
        <w:t xml:space="preserve"> 14,5% wszystkich wydatków</w:t>
      </w:r>
    </w:p>
    <w:p w14:paraId="394EDEC9" w14:textId="60B72C24" w:rsidR="0062706D" w:rsidRPr="0062706D" w:rsidRDefault="0062706D" w:rsidP="00A9445F">
      <w:pPr>
        <w:numPr>
          <w:ilvl w:val="0"/>
          <w:numId w:val="10"/>
        </w:numPr>
      </w:pPr>
      <w:r w:rsidRPr="0062706D">
        <w:t xml:space="preserve">103 mln </w:t>
      </w:r>
      <w:r w:rsidR="002F5309">
        <w:t>PLN</w:t>
      </w:r>
      <w:r w:rsidRPr="0062706D">
        <w:t xml:space="preserve"> </w:t>
      </w:r>
      <w:r w:rsidR="002F5309">
        <w:rPr>
          <w:rFonts w:ascii="Times New Roman" w:hAnsi="Times New Roman" w:cs="Times New Roman"/>
        </w:rPr>
        <w:t>–</w:t>
      </w:r>
      <w:r w:rsidRPr="0062706D">
        <w:t xml:space="preserve"> odpisy amortyzacyjne </w:t>
      </w:r>
      <w:r w:rsidR="002F5309">
        <w:rPr>
          <w:rFonts w:ascii="Times New Roman" w:hAnsi="Times New Roman" w:cs="Times New Roman"/>
        </w:rPr>
        <w:t>–</w:t>
      </w:r>
      <w:r w:rsidRPr="0062706D">
        <w:t xml:space="preserve"> 5,4% wszystkich wydatków</w:t>
      </w:r>
    </w:p>
    <w:p w14:paraId="21C5A049" w14:textId="7D03373D" w:rsidR="0062706D" w:rsidRPr="0062706D" w:rsidRDefault="0062706D" w:rsidP="00A9445F">
      <w:pPr>
        <w:numPr>
          <w:ilvl w:val="0"/>
          <w:numId w:val="10"/>
        </w:numPr>
      </w:pPr>
      <w:r w:rsidRPr="0062706D">
        <w:t xml:space="preserve">76 mln </w:t>
      </w:r>
      <w:r w:rsidR="002F5309">
        <w:t>PLN</w:t>
      </w:r>
      <w:r w:rsidRPr="0062706D">
        <w:t xml:space="preserve"> </w:t>
      </w:r>
      <w:r w:rsidR="002F5309">
        <w:rPr>
          <w:rFonts w:ascii="Times New Roman" w:hAnsi="Times New Roman" w:cs="Times New Roman"/>
        </w:rPr>
        <w:t>–</w:t>
      </w:r>
      <w:r w:rsidRPr="0062706D">
        <w:t xml:space="preserve"> ekspertyzy, opinie, usługi doradcze </w:t>
      </w:r>
      <w:r w:rsidR="002F5309">
        <w:rPr>
          <w:rFonts w:ascii="Times New Roman" w:hAnsi="Times New Roman" w:cs="Times New Roman"/>
        </w:rPr>
        <w:t>–</w:t>
      </w:r>
      <w:r w:rsidRPr="0062706D">
        <w:t xml:space="preserve"> 4,0% wszystkich wydatków</w:t>
      </w:r>
    </w:p>
    <w:p w14:paraId="35A2CD23" w14:textId="3E56FC5A" w:rsidR="0062706D" w:rsidRPr="0062706D" w:rsidRDefault="0062706D" w:rsidP="00A9445F">
      <w:pPr>
        <w:numPr>
          <w:ilvl w:val="0"/>
          <w:numId w:val="10"/>
        </w:numPr>
      </w:pPr>
      <w:r w:rsidRPr="0062706D">
        <w:t xml:space="preserve">5 mln </w:t>
      </w:r>
      <w:r w:rsidR="002F5309">
        <w:t>PLN</w:t>
      </w:r>
      <w:r w:rsidRPr="0062706D">
        <w:t xml:space="preserve"> </w:t>
      </w:r>
      <w:r w:rsidR="002F5309">
        <w:rPr>
          <w:rFonts w:ascii="Times New Roman" w:hAnsi="Times New Roman" w:cs="Times New Roman"/>
        </w:rPr>
        <w:t>–</w:t>
      </w:r>
      <w:r w:rsidRPr="0062706D">
        <w:t xml:space="preserve"> odpłatne korzystnie</w:t>
      </w:r>
      <w:r w:rsidR="006343E1">
        <w:t xml:space="preserve"> </w:t>
      </w:r>
      <w:r w:rsidR="006343E1" w:rsidRPr="0062706D">
        <w:t>z</w:t>
      </w:r>
      <w:r w:rsidR="006343E1">
        <w:t> </w:t>
      </w:r>
      <w:r w:rsidRPr="0062706D">
        <w:t xml:space="preserve">aparatury </w:t>
      </w:r>
      <w:r w:rsidR="002F5309">
        <w:rPr>
          <w:rFonts w:ascii="Times New Roman" w:hAnsi="Times New Roman" w:cs="Times New Roman"/>
        </w:rPr>
        <w:t>–</w:t>
      </w:r>
      <w:r w:rsidRPr="0062706D">
        <w:t xml:space="preserve"> 0,26% wszystkich wydatków</w:t>
      </w:r>
    </w:p>
    <w:p w14:paraId="41A48F88" w14:textId="6F8BCD79" w:rsidR="000B3CE9" w:rsidRPr="00254AB9" w:rsidRDefault="0062706D" w:rsidP="00A9445F">
      <w:pPr>
        <w:numPr>
          <w:ilvl w:val="0"/>
          <w:numId w:val="10"/>
        </w:numPr>
      </w:pPr>
      <w:r w:rsidRPr="0062706D">
        <w:t xml:space="preserve">3 mln </w:t>
      </w:r>
      <w:r w:rsidR="002F5309">
        <w:t>PLN</w:t>
      </w:r>
      <w:r w:rsidRPr="0062706D">
        <w:t xml:space="preserve"> </w:t>
      </w:r>
      <w:r w:rsidR="002F5309">
        <w:rPr>
          <w:rFonts w:ascii="Times New Roman" w:hAnsi="Times New Roman" w:cs="Times New Roman"/>
        </w:rPr>
        <w:t>–</w:t>
      </w:r>
      <w:r w:rsidRPr="0062706D">
        <w:t xml:space="preserve"> koszty patentowania </w:t>
      </w:r>
      <w:r w:rsidR="002F5309">
        <w:rPr>
          <w:rFonts w:ascii="Times New Roman" w:hAnsi="Times New Roman" w:cs="Times New Roman"/>
        </w:rPr>
        <w:t>–</w:t>
      </w:r>
      <w:r w:rsidRPr="0062706D">
        <w:t xml:space="preserve"> 0,16% wszystkich wydatków</w:t>
      </w:r>
      <w:r w:rsidR="0077493E">
        <w:t xml:space="preserve">. </w:t>
      </w:r>
    </w:p>
    <w:p w14:paraId="612329BF" w14:textId="12DDA45C" w:rsidR="004C6939" w:rsidRPr="00254AB9" w:rsidRDefault="004C6939" w:rsidP="00D01FC4">
      <w:r w:rsidRPr="00254AB9">
        <w:t>Ważnym instrumentem wspierania napływu inwestycji (zarówno krajowych</w:t>
      </w:r>
      <w:r w:rsidR="002F5309">
        <w:t>,</w:t>
      </w:r>
      <w:r w:rsidRPr="00254AB9">
        <w:t xml:space="preserve"> jak</w:t>
      </w:r>
      <w:r w:rsidR="006343E1">
        <w:t xml:space="preserve"> </w:t>
      </w:r>
      <w:r w:rsidR="006343E1" w:rsidRPr="00254AB9">
        <w:t>i</w:t>
      </w:r>
      <w:r w:rsidR="006343E1">
        <w:t> </w:t>
      </w:r>
      <w:r w:rsidRPr="00254AB9">
        <w:t xml:space="preserve">zagranicznych) są granty rządowe udzielane na podstawie </w:t>
      </w:r>
      <w:r w:rsidRPr="00254AB9">
        <w:rPr>
          <w:i/>
        </w:rPr>
        <w:t>Programu wspierania inwestycji</w:t>
      </w:r>
      <w:r w:rsidR="006343E1">
        <w:rPr>
          <w:i/>
        </w:rPr>
        <w:t xml:space="preserve"> </w:t>
      </w:r>
      <w:r w:rsidR="006343E1" w:rsidRPr="00254AB9">
        <w:rPr>
          <w:i/>
        </w:rPr>
        <w:t>o</w:t>
      </w:r>
      <w:r w:rsidR="006343E1">
        <w:rPr>
          <w:i/>
        </w:rPr>
        <w:t> </w:t>
      </w:r>
      <w:r w:rsidRPr="00254AB9">
        <w:rPr>
          <w:i/>
        </w:rPr>
        <w:t xml:space="preserve">istotnym znaczeniu dla gospodarki polskiej na lata </w:t>
      </w:r>
      <w:r w:rsidR="002F5309">
        <w:rPr>
          <w:i/>
        </w:rPr>
        <w:br/>
      </w:r>
      <w:r w:rsidRPr="00254AB9">
        <w:rPr>
          <w:i/>
        </w:rPr>
        <w:t>2011–2023</w:t>
      </w:r>
      <w:r w:rsidRPr="00254AB9">
        <w:t>, przyjętego przez Radę Ministrów 5 lipca 2011 r.</w:t>
      </w:r>
      <w:r w:rsidR="006343E1">
        <w:t xml:space="preserve"> </w:t>
      </w:r>
      <w:r w:rsidR="006343E1" w:rsidRPr="00254AB9">
        <w:t>O</w:t>
      </w:r>
      <w:r w:rsidR="006343E1">
        <w:t> </w:t>
      </w:r>
      <w:r w:rsidRPr="00254AB9">
        <w:t>wsparcie mogą wnioskować, po spełnieniu określonych warunków, przedsiębiorcy planujący inwestycje</w:t>
      </w:r>
      <w:r w:rsidR="006343E1">
        <w:t xml:space="preserve"> </w:t>
      </w:r>
      <w:r w:rsidR="006343E1" w:rsidRPr="00254AB9">
        <w:t>w</w:t>
      </w:r>
      <w:r w:rsidR="006343E1">
        <w:t> </w:t>
      </w:r>
      <w:r w:rsidRPr="00254AB9">
        <w:t>następujących sektorach priorytetowych: motoryzacyjny</w:t>
      </w:r>
      <w:r w:rsidR="002F5309">
        <w:t>m</w:t>
      </w:r>
      <w:r w:rsidRPr="00254AB9">
        <w:t>, elektroniczny</w:t>
      </w:r>
      <w:r w:rsidR="002F5309">
        <w:t>m</w:t>
      </w:r>
      <w:r w:rsidRPr="00254AB9">
        <w:t xml:space="preserve"> oraz produkcji sprzętu AGD, lotniczy</w:t>
      </w:r>
      <w:r w:rsidR="002F5309">
        <w:t>m</w:t>
      </w:r>
      <w:r w:rsidRPr="00254AB9">
        <w:t>, biotechnologii, rolno-spożywczy</w:t>
      </w:r>
      <w:r w:rsidR="002F5309">
        <w:t>m</w:t>
      </w:r>
      <w:r w:rsidRPr="00254AB9">
        <w:t>, nowoczesnych usług, działalnoś</w:t>
      </w:r>
      <w:r w:rsidR="002F5309">
        <w:t>ci</w:t>
      </w:r>
      <w:r w:rsidRPr="00254AB9">
        <w:t xml:space="preserve"> badawczo-rozwojow</w:t>
      </w:r>
      <w:r w:rsidR="002F5309">
        <w:t>ej</w:t>
      </w:r>
      <w:r w:rsidRPr="00254AB9">
        <w:t xml:space="preserve"> (B+R).</w:t>
      </w:r>
      <w:r w:rsidR="006343E1">
        <w:t xml:space="preserve"> </w:t>
      </w:r>
      <w:r w:rsidR="006343E1" w:rsidRPr="00254AB9">
        <w:t>W</w:t>
      </w:r>
      <w:r w:rsidR="006343E1">
        <w:t> </w:t>
      </w:r>
      <w:r w:rsidRPr="00254AB9">
        <w:t>2017 r. realizacja Programu była przedmiotem kontroli Najwyższej Izby Kontroli.</w:t>
      </w:r>
      <w:r w:rsidR="006343E1">
        <w:t xml:space="preserve"> </w:t>
      </w:r>
      <w:r w:rsidR="006343E1" w:rsidRPr="00254AB9">
        <w:t>W</w:t>
      </w:r>
      <w:r w:rsidR="006343E1">
        <w:t> </w:t>
      </w:r>
      <w:r w:rsidRPr="00254AB9">
        <w:t xml:space="preserve">wystąpieniu pokontrolnym </w:t>
      </w:r>
      <w:r w:rsidR="00B01019" w:rsidRPr="00254AB9">
        <w:t xml:space="preserve">NIK (2017, s. 9) </w:t>
      </w:r>
      <w:r w:rsidRPr="00254AB9">
        <w:t>zalecono „dokonanie zmiany zasad Programu</w:t>
      </w:r>
      <w:r w:rsidR="006343E1">
        <w:t xml:space="preserve"> </w:t>
      </w:r>
      <w:r w:rsidR="006343E1" w:rsidRPr="00254AB9">
        <w:t>w</w:t>
      </w:r>
      <w:r w:rsidR="006343E1">
        <w:t> </w:t>
      </w:r>
      <w:r w:rsidRPr="00254AB9">
        <w:t>celu takiego kształtowania umów z</w:t>
      </w:r>
      <w:r w:rsidR="00B01019" w:rsidRPr="00254AB9">
        <w:t> </w:t>
      </w:r>
      <w:r w:rsidRPr="00254AB9">
        <w:t>beneficjentami, aby warunkiem otrzymania wsparcia była pełna realizacja deklaracji zawartych we wnioskach</w:t>
      </w:r>
      <w:r w:rsidR="006343E1">
        <w:t xml:space="preserve"> </w:t>
      </w:r>
      <w:r w:rsidR="006343E1" w:rsidRPr="00254AB9">
        <w:t>o</w:t>
      </w:r>
      <w:r w:rsidR="006343E1">
        <w:t> </w:t>
      </w:r>
      <w:r w:rsidRPr="00254AB9">
        <w:t>udzielenie dotacji, wpływających na innowacyjny rozwój współpracujących polskich firm i/lub na podnoszenie rzeczywistych kwalifikacji osób zatrudnionych na dotowanych miejscach pracy”</w:t>
      </w:r>
      <w:r w:rsidR="002F5309">
        <w:t>.</w:t>
      </w:r>
    </w:p>
    <w:p w14:paraId="1D058052" w14:textId="3B456250" w:rsidR="000B3CE9" w:rsidRPr="003D6D53" w:rsidRDefault="000B3CE9" w:rsidP="00D01FC4">
      <w:pPr>
        <w:pStyle w:val="Nagwek2"/>
      </w:pPr>
      <w:bookmarkStart w:id="91" w:name="_Toc511921179"/>
      <w:bookmarkStart w:id="92" w:name="_Toc31808511"/>
      <w:bookmarkStart w:id="93" w:name="_Toc106968794"/>
      <w:r w:rsidRPr="00D01FC4">
        <w:t>Zaawansowane</w:t>
      </w:r>
      <w:r w:rsidRPr="003D6D53">
        <w:t xml:space="preserve"> usługi</w:t>
      </w:r>
      <w:r w:rsidR="006343E1">
        <w:t xml:space="preserve"> </w:t>
      </w:r>
      <w:r w:rsidR="006343E1" w:rsidRPr="003D6D53">
        <w:t>w</w:t>
      </w:r>
      <w:r w:rsidR="006343E1">
        <w:t> </w:t>
      </w:r>
      <w:r w:rsidRPr="003D6D53">
        <w:t>polskiej gospodarce</w:t>
      </w:r>
      <w:bookmarkEnd w:id="91"/>
      <w:bookmarkEnd w:id="92"/>
      <w:bookmarkEnd w:id="93"/>
    </w:p>
    <w:p w14:paraId="77188DE5" w14:textId="6D7C5771" w:rsidR="00FF4AF1" w:rsidRPr="00254AB9" w:rsidRDefault="00FF4AF1" w:rsidP="00D01FC4">
      <w:r w:rsidRPr="00254AB9">
        <w:t>Sektor nowoczesnych usług biznesowych</w:t>
      </w:r>
      <w:r w:rsidR="006343E1">
        <w:t xml:space="preserve"> </w:t>
      </w:r>
      <w:r w:rsidR="006343E1" w:rsidRPr="00254AB9">
        <w:t>w</w:t>
      </w:r>
      <w:r w:rsidR="006343E1">
        <w:t> </w:t>
      </w:r>
      <w:r w:rsidRPr="00254AB9">
        <w:t xml:space="preserve">Polsce rozwija się. Dane ABSL (201) wskazują, </w:t>
      </w:r>
      <w:r w:rsidR="002F5309">
        <w:t>że</w:t>
      </w:r>
      <w:r w:rsidRPr="00254AB9">
        <w:t xml:space="preserve"> na koniec I kwartału 2018 r.</w:t>
      </w:r>
      <w:r w:rsidR="006343E1">
        <w:t xml:space="preserve"> </w:t>
      </w:r>
      <w:r w:rsidR="006343E1" w:rsidRPr="00254AB9">
        <w:t>w</w:t>
      </w:r>
      <w:r w:rsidR="006343E1">
        <w:t> </w:t>
      </w:r>
      <w:r w:rsidRPr="00254AB9">
        <w:t>kraju działało ok. 1,2 tys. centrów usług, spośród nich 55 centrów zatrudnia ponad 1  tys. pracowników (w tym</w:t>
      </w:r>
      <w:r w:rsidR="006343E1">
        <w:t xml:space="preserve"> </w:t>
      </w:r>
      <w:r w:rsidR="006343E1" w:rsidRPr="00254AB9">
        <w:t>w</w:t>
      </w:r>
      <w:r w:rsidR="006343E1">
        <w:t> </w:t>
      </w:r>
      <w:r w:rsidRPr="00254AB9">
        <w:t>7 centrach pracuje ponad 10 tys. osób). Sektor zatrudnia ok. 279 tys. pracowników, tj. ok. 2% pracujących</w:t>
      </w:r>
      <w:r w:rsidR="006343E1">
        <w:t xml:space="preserve"> </w:t>
      </w:r>
      <w:r w:rsidR="006343E1" w:rsidRPr="00254AB9">
        <w:t>w</w:t>
      </w:r>
      <w:r w:rsidR="006343E1">
        <w:t> </w:t>
      </w:r>
      <w:r w:rsidRPr="00254AB9">
        <w:t>sektorze przedsiębiorstw (GUS, 2018). Dostępne</w:t>
      </w:r>
      <w:r w:rsidRPr="0078665D">
        <w:t xml:space="preserve"> dane</w:t>
      </w:r>
      <w:r>
        <w:t xml:space="preserve"> </w:t>
      </w:r>
      <w:r w:rsidRPr="00254AB9">
        <w:t xml:space="preserve">wskazują, </w:t>
      </w:r>
      <w:r w:rsidR="002F5309">
        <w:t>że</w:t>
      </w:r>
      <w:r w:rsidRPr="00254AB9">
        <w:t xml:space="preserve"> w zatrudnieniu wyraźnie </w:t>
      </w:r>
      <w:r w:rsidRPr="00254AB9">
        <w:lastRenderedPageBreak/>
        <w:t>dominują centra należące do inwestorów zagranicznych (ok. 81%) nad krajowymi (ok 19%). Zgodnie</w:t>
      </w:r>
      <w:r w:rsidR="006343E1">
        <w:t xml:space="preserve"> </w:t>
      </w:r>
      <w:r w:rsidR="006343E1" w:rsidRPr="00254AB9">
        <w:t>z</w:t>
      </w:r>
      <w:r w:rsidR="006343E1">
        <w:t> </w:t>
      </w:r>
      <w:r w:rsidRPr="00254AB9">
        <w:t>projekcjami ABSL do końca 2020 r. zatrudnienie</w:t>
      </w:r>
      <w:r w:rsidR="006343E1">
        <w:t xml:space="preserve"> </w:t>
      </w:r>
      <w:r w:rsidR="006343E1" w:rsidRPr="00254AB9">
        <w:t>w</w:t>
      </w:r>
      <w:r w:rsidR="006343E1">
        <w:t> </w:t>
      </w:r>
      <w:r w:rsidRPr="00254AB9">
        <w:t xml:space="preserve">sektorze wyniesie nawet ok. 363 tys. Przy czym należy pamiętać, </w:t>
      </w:r>
      <w:r w:rsidR="002F5309">
        <w:t>że</w:t>
      </w:r>
      <w:r w:rsidR="006343E1">
        <w:t xml:space="preserve"> </w:t>
      </w:r>
      <w:r w:rsidR="006343E1" w:rsidRPr="00254AB9">
        <w:t>w</w:t>
      </w:r>
      <w:r w:rsidR="006343E1">
        <w:t> </w:t>
      </w:r>
      <w:r w:rsidRPr="00254AB9">
        <w:t>Polsce działają zarówno centra usług wspólnych świadczące usługi na rzecz klientów zewnętrznych (najczęściej</w:t>
      </w:r>
      <w:r w:rsidR="006343E1">
        <w:t xml:space="preserve"> </w:t>
      </w:r>
      <w:r w:rsidR="006343E1" w:rsidRPr="00254AB9">
        <w:t>w</w:t>
      </w:r>
      <w:r w:rsidR="006343E1">
        <w:t> </w:t>
      </w:r>
      <w:r w:rsidRPr="00254AB9">
        <w:t>języku obcym), jak również działając</w:t>
      </w:r>
      <w:r w:rsidR="002F5309">
        <w:t>e</w:t>
      </w:r>
      <w:r w:rsidRPr="00254AB9">
        <w:t xml:space="preserve"> jedynie na rzecz krajowego rynku. Są to najczęściej centra należące do spółek notowanych na GPW (m.in. spółki paliwowo-energetyczne, handel detaliczny). </w:t>
      </w:r>
    </w:p>
    <w:p w14:paraId="04088EAB" w14:textId="11E9F5C3" w:rsidR="00FF4AF1" w:rsidRPr="00254AB9" w:rsidRDefault="00FF4AF1" w:rsidP="00D01FC4">
      <w:r w:rsidRPr="00254AB9">
        <w:t>Działalność sektora nowoczesnych usług koncentruje się</w:t>
      </w:r>
      <w:r w:rsidR="006343E1">
        <w:t xml:space="preserve"> </w:t>
      </w:r>
      <w:r w:rsidR="006343E1" w:rsidRPr="00254AB9">
        <w:t>w</w:t>
      </w:r>
      <w:r w:rsidR="006343E1">
        <w:t> </w:t>
      </w:r>
      <w:r w:rsidRPr="00254AB9">
        <w:t>miastach co najmniej średniej wielkości. Przy czym ponad 5</w:t>
      </w:r>
      <w:r>
        <w:t>6</w:t>
      </w:r>
      <w:r w:rsidRPr="00254AB9">
        <w:t>% zatrudnienia</w:t>
      </w:r>
      <w:r w:rsidR="006343E1">
        <w:t xml:space="preserve"> </w:t>
      </w:r>
      <w:r w:rsidR="006343E1" w:rsidRPr="00254AB9">
        <w:t>w</w:t>
      </w:r>
      <w:r w:rsidR="006343E1">
        <w:t> </w:t>
      </w:r>
      <w:r w:rsidRPr="00254AB9">
        <w:t xml:space="preserve">sektorze </w:t>
      </w:r>
      <w:r w:rsidR="002F5309" w:rsidRPr="00254AB9">
        <w:t xml:space="preserve">jest </w:t>
      </w:r>
      <w:r w:rsidRPr="00254AB9">
        <w:t>skoncentrowane na terenie trzech aglomeracji: krakowskiej, warszawskiej</w:t>
      </w:r>
      <w:r w:rsidR="006343E1">
        <w:t xml:space="preserve"> </w:t>
      </w:r>
      <w:r w:rsidR="006343E1" w:rsidRPr="00254AB9">
        <w:t>i</w:t>
      </w:r>
      <w:r w:rsidR="006343E1">
        <w:t> </w:t>
      </w:r>
      <w:r w:rsidRPr="00254AB9">
        <w:t>wrocławskiej. Ważnymi ośrodkami są również aglomeracja trójmiejska, śląsko-dąbrowska, łódzka</w:t>
      </w:r>
      <w:r w:rsidR="006343E1">
        <w:t xml:space="preserve"> </w:t>
      </w:r>
      <w:r w:rsidR="006343E1" w:rsidRPr="00254AB9">
        <w:t>i</w:t>
      </w:r>
      <w:r w:rsidR="006343E1">
        <w:t> </w:t>
      </w:r>
      <w:r w:rsidRPr="00254AB9">
        <w:t xml:space="preserve">poznańska, które łącznie koncentrują ok. </w:t>
      </w:r>
      <w:r>
        <w:t>30</w:t>
      </w:r>
      <w:r w:rsidRPr="00254AB9">
        <w:t xml:space="preserve">% pracowników sektora. Dokładne dane dotyczące zatrudnienia prezentuje poniższy wykres. Warto podkreślić, </w:t>
      </w:r>
      <w:r w:rsidR="006F1DA4">
        <w:t>że</w:t>
      </w:r>
      <w:r w:rsidRPr="00254AB9">
        <w:t xml:space="preserve"> centra nowoczesnych usług działały aż</w:t>
      </w:r>
      <w:r w:rsidR="006343E1">
        <w:t xml:space="preserve"> </w:t>
      </w:r>
      <w:r w:rsidR="006343E1" w:rsidRPr="00254AB9">
        <w:t>w</w:t>
      </w:r>
      <w:r w:rsidR="006343E1">
        <w:t> </w:t>
      </w:r>
      <w:r w:rsidRPr="00254AB9">
        <w:t>39 ośrodkach miejskich, spośród których aż</w:t>
      </w:r>
      <w:r w:rsidR="006343E1">
        <w:t xml:space="preserve"> </w:t>
      </w:r>
      <w:r w:rsidR="006343E1" w:rsidRPr="00254AB9">
        <w:t>w</w:t>
      </w:r>
      <w:r w:rsidR="006343E1">
        <w:t> </w:t>
      </w:r>
      <w:r w:rsidRPr="00254AB9">
        <w:t xml:space="preserve">15 działało co najmniej 10 centrów. </w:t>
      </w:r>
    </w:p>
    <w:p w14:paraId="5755EEFE" w14:textId="7E6AF1A6" w:rsidR="00FF4AF1" w:rsidRPr="00254AB9" w:rsidRDefault="00FF4AF1" w:rsidP="000E1FA5">
      <w:pPr>
        <w:pStyle w:val="Nagwek4"/>
      </w:pPr>
      <w:r w:rsidRPr="00254AB9">
        <w:t xml:space="preserve">Wykres </w:t>
      </w:r>
      <w:r w:rsidR="00332B11">
        <w:rPr>
          <w:noProof/>
        </w:rPr>
        <w:t>4</w:t>
      </w:r>
      <w:r w:rsidR="00FC6E8F">
        <w:rPr>
          <w:noProof/>
        </w:rPr>
        <w:t>8</w:t>
      </w:r>
      <w:r w:rsidRPr="00254AB9">
        <w:t>. Udział poszczególnych aglomeracji</w:t>
      </w:r>
      <w:r w:rsidR="006343E1">
        <w:t xml:space="preserve"> </w:t>
      </w:r>
      <w:r w:rsidR="006343E1" w:rsidRPr="00254AB9">
        <w:t>w</w:t>
      </w:r>
      <w:r w:rsidR="006343E1">
        <w:t> </w:t>
      </w:r>
      <w:r w:rsidRPr="00254AB9">
        <w:t>zatrudnieniu sektora SSC/BPO</w:t>
      </w:r>
      <w:r w:rsidR="006343E1">
        <w:t xml:space="preserve"> </w:t>
      </w:r>
      <w:r w:rsidR="006343E1" w:rsidRPr="00254AB9">
        <w:t>w</w:t>
      </w:r>
      <w:r w:rsidR="006343E1">
        <w:t> </w:t>
      </w:r>
      <w:r w:rsidRPr="00254AB9">
        <w:t>Polsce</w:t>
      </w:r>
    </w:p>
    <w:p w14:paraId="16BE5AF2" w14:textId="77777777" w:rsidR="00FF4AF1" w:rsidRPr="00254AB9" w:rsidRDefault="00FF4AF1" w:rsidP="00FF4AF1">
      <w:pPr>
        <w:spacing w:after="0" w:line="240" w:lineRule="auto"/>
        <w:rPr>
          <w:rFonts w:cs="Calibri"/>
          <w:sz w:val="21"/>
          <w:szCs w:val="21"/>
        </w:rPr>
      </w:pPr>
      <w:r>
        <w:rPr>
          <w:rFonts w:cs="Calibri"/>
          <w:noProof/>
          <w:sz w:val="21"/>
          <w:szCs w:val="21"/>
          <w:lang w:eastAsia="pl-PL"/>
        </w:rPr>
        <w:drawing>
          <wp:inline distT="0" distB="0" distL="0" distR="0" wp14:anchorId="4C6833E7" wp14:editId="4C591548">
            <wp:extent cx="5486400" cy="3200400"/>
            <wp:effectExtent l="0" t="0" r="0" b="0"/>
            <wp:docPr id="341" name="Wykres 3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1FB3B322" w14:textId="5785E67F" w:rsidR="00FF4AF1" w:rsidRPr="00254AB9" w:rsidRDefault="00FF4AF1" w:rsidP="00D01FC4">
      <w:pPr>
        <w:pStyle w:val="Bezodstpw"/>
      </w:pPr>
      <w:r w:rsidRPr="00254AB9">
        <w:t xml:space="preserve">Źródło: na </w:t>
      </w:r>
      <w:r w:rsidRPr="00D01FC4">
        <w:t>podstawie</w:t>
      </w:r>
      <w:r w:rsidRPr="00254AB9">
        <w:t xml:space="preserve"> danych ABSL </w:t>
      </w:r>
      <w:r>
        <w:t>(2019)</w:t>
      </w:r>
    </w:p>
    <w:p w14:paraId="4BEBE230" w14:textId="7B83DEFD" w:rsidR="00FF4AF1" w:rsidRPr="00254AB9" w:rsidRDefault="00FF4AF1" w:rsidP="00D01FC4">
      <w:r w:rsidRPr="00254AB9">
        <w:t>Spośród inwestorów zagranicznych prowadzących centra usług</w:t>
      </w:r>
      <w:r w:rsidR="006343E1">
        <w:t xml:space="preserve"> </w:t>
      </w:r>
      <w:r w:rsidR="006343E1" w:rsidRPr="00254AB9">
        <w:t>w</w:t>
      </w:r>
      <w:r w:rsidR="006343E1">
        <w:t> </w:t>
      </w:r>
      <w:r w:rsidRPr="00254AB9">
        <w:t>Polsce najwięcej</w:t>
      </w:r>
      <w:r w:rsidR="006343E1">
        <w:t xml:space="preserve"> </w:t>
      </w:r>
      <w:r w:rsidR="006343E1" w:rsidRPr="00254AB9">
        <w:t>z</w:t>
      </w:r>
      <w:r w:rsidR="006343E1">
        <w:t> </w:t>
      </w:r>
      <w:r w:rsidRPr="00254AB9">
        <w:t>nich pochodzi z: USA (2</w:t>
      </w:r>
      <w:r>
        <w:t>7</w:t>
      </w:r>
      <w:r w:rsidRPr="00254AB9">
        <w:t>%</w:t>
      </w:r>
      <w:r w:rsidR="006343E1">
        <w:t> </w:t>
      </w:r>
      <w:r w:rsidR="00CA48F5">
        <w:t>całkowitego</w:t>
      </w:r>
      <w:r w:rsidRPr="00254AB9">
        <w:t xml:space="preserve"> zatrudnieni</w:t>
      </w:r>
      <w:r w:rsidR="00CA48F5">
        <w:t>a w</w:t>
      </w:r>
      <w:r w:rsidRPr="00254AB9">
        <w:t xml:space="preserve"> sektor</w:t>
      </w:r>
      <w:r w:rsidR="00CA48F5">
        <w:t>ze</w:t>
      </w:r>
      <w:r w:rsidRPr="00254AB9">
        <w:t>), krajów nordyckich (</w:t>
      </w:r>
      <w:r w:rsidR="00CA48F5">
        <w:t>1</w:t>
      </w:r>
      <w:r w:rsidRPr="00254AB9">
        <w:t>0%), Francji (</w:t>
      </w:r>
      <w:r w:rsidR="00CA48F5">
        <w:t>9</w:t>
      </w:r>
      <w:r w:rsidRPr="00254AB9">
        <w:t>%), Wielkiej Brytanii (</w:t>
      </w:r>
      <w:r w:rsidR="00CA48F5">
        <w:t>9</w:t>
      </w:r>
      <w:r w:rsidRPr="00254AB9">
        <w:t>%), Niemiec (</w:t>
      </w:r>
      <w:r>
        <w:t>7</w:t>
      </w:r>
      <w:r w:rsidRPr="00254AB9">
        <w:t>%) oraz Szwajcarii (</w:t>
      </w:r>
      <w:r>
        <w:t>5</w:t>
      </w:r>
      <w:r w:rsidRPr="00254AB9">
        <w:t>%). Inwestorzy</w:t>
      </w:r>
      <w:r w:rsidR="006343E1">
        <w:t xml:space="preserve"> </w:t>
      </w:r>
      <w:r w:rsidR="006343E1" w:rsidRPr="00254AB9">
        <w:t>z</w:t>
      </w:r>
      <w:r w:rsidR="006343E1">
        <w:t> </w:t>
      </w:r>
      <w:r w:rsidRPr="00254AB9">
        <w:t>pozostałych krajów prowadzą</w:t>
      </w:r>
      <w:r>
        <w:t>cy</w:t>
      </w:r>
      <w:r w:rsidR="00CA48F5">
        <w:t xml:space="preserve"> </w:t>
      </w:r>
      <w:r w:rsidRPr="00254AB9">
        <w:t>centra zatrudniają  ok. 1</w:t>
      </w:r>
      <w:r>
        <w:t>4</w:t>
      </w:r>
      <w:r w:rsidRPr="00254AB9">
        <w:t xml:space="preserve">% pracowników sektora. Krajowi inwestorzy </w:t>
      </w:r>
      <w:r>
        <w:t xml:space="preserve">zapewniają pracę </w:t>
      </w:r>
      <w:r w:rsidR="00CA48F5">
        <w:t>19% pracowników sektora (2.</w:t>
      </w:r>
      <w:r w:rsidRPr="00254AB9">
        <w:t xml:space="preserve"> miejsce po USA). </w:t>
      </w:r>
    </w:p>
    <w:p w14:paraId="3351262D" w14:textId="1F6DB71A" w:rsidR="00FF4AF1" w:rsidRPr="00254AB9" w:rsidRDefault="00FF4AF1" w:rsidP="00D01FC4">
      <w:r>
        <w:t>Ponad</w:t>
      </w:r>
      <w:r w:rsidRPr="00254AB9">
        <w:t xml:space="preserve"> połowa aktywnych</w:t>
      </w:r>
      <w:r w:rsidR="006343E1">
        <w:t xml:space="preserve"> </w:t>
      </w:r>
      <w:r w:rsidR="006343E1" w:rsidRPr="00254AB9">
        <w:t>w</w:t>
      </w:r>
      <w:r w:rsidR="006343E1">
        <w:t> </w:t>
      </w:r>
      <w:r w:rsidRPr="00254AB9">
        <w:t>Polsce centrów usług świadczy usługi na rzecz klientów globalnych (</w:t>
      </w:r>
      <w:r>
        <w:t>53</w:t>
      </w:r>
      <w:r w:rsidRPr="00254AB9">
        <w:t xml:space="preserve">%), </w:t>
      </w:r>
      <w:r>
        <w:t xml:space="preserve">nieco mniejszy </w:t>
      </w:r>
      <w:r w:rsidRPr="0078665D">
        <w:t xml:space="preserve"> odsetek</w:t>
      </w:r>
      <w:r w:rsidRPr="00254AB9">
        <w:t xml:space="preserve"> świadczy je jedynie dla wybranych krajów lub ich grup </w:t>
      </w:r>
      <w:r>
        <w:t>(44%)</w:t>
      </w:r>
      <w:r w:rsidRPr="00254AB9">
        <w:t>. W</w:t>
      </w:r>
      <w:r w:rsidR="006F1DA4">
        <w:t>edług</w:t>
      </w:r>
      <w:r w:rsidRPr="00254AB9">
        <w:t xml:space="preserve"> danych ABSL (201</w:t>
      </w:r>
      <w:r>
        <w:t>9</w:t>
      </w:r>
      <w:r w:rsidRPr="00254AB9">
        <w:t>, s.</w:t>
      </w:r>
      <w:r w:rsidR="006F1DA4">
        <w:t> </w:t>
      </w:r>
      <w:r w:rsidRPr="00254AB9">
        <w:t>3</w:t>
      </w:r>
      <w:r>
        <w:t>8</w:t>
      </w:r>
      <w:r w:rsidRPr="00254AB9">
        <w:t xml:space="preserve">) jedynie </w:t>
      </w:r>
      <w:r>
        <w:t>3</w:t>
      </w:r>
      <w:r w:rsidRPr="00254AB9">
        <w:t>% centrów świadczy usługi na rzecz odbiorców</w:t>
      </w:r>
      <w:r w:rsidR="006343E1">
        <w:t xml:space="preserve"> </w:t>
      </w:r>
      <w:r w:rsidR="006343E1" w:rsidRPr="00254AB9">
        <w:t>z</w:t>
      </w:r>
      <w:r w:rsidR="006343E1">
        <w:t> </w:t>
      </w:r>
      <w:r w:rsidRPr="00254AB9">
        <w:t xml:space="preserve">pojedynczego kraju. </w:t>
      </w:r>
    </w:p>
    <w:p w14:paraId="4B3264EA" w14:textId="42ACE080" w:rsidR="00FF4AF1" w:rsidRPr="00254AB9" w:rsidRDefault="00FF4AF1" w:rsidP="00D01FC4">
      <w:r w:rsidRPr="00254AB9">
        <w:t>W Polsce działają cztery podstawowe rodzaje centrów usług: (1) centra usług wspólnych (SSC), (2) centra IT, (3)</w:t>
      </w:r>
      <w:r w:rsidR="006F1DA4">
        <w:t> </w:t>
      </w:r>
      <w:r w:rsidRPr="00254AB9">
        <w:t xml:space="preserve">centra outsourcingowe (BPO) oraz (4) centra B+R+I. Dane ABSL wskazują, </w:t>
      </w:r>
      <w:r w:rsidR="006F1DA4">
        <w:t>że</w:t>
      </w:r>
      <w:r w:rsidRPr="00254AB9">
        <w:t xml:space="preserve"> usługi świadczone przez centra są bardzo zróżnicowane. Można wyróżnić przede wszystkim: (1) działalność IT, (2) usługi finansowo-księgowe, (3)</w:t>
      </w:r>
      <w:r w:rsidR="006F1DA4">
        <w:t> </w:t>
      </w:r>
      <w:r w:rsidRPr="00254AB9">
        <w:t>usługi bankowe, finansowe</w:t>
      </w:r>
      <w:r w:rsidR="006343E1">
        <w:t xml:space="preserve"> </w:t>
      </w:r>
      <w:r w:rsidR="006343E1" w:rsidRPr="00254AB9">
        <w:t>i</w:t>
      </w:r>
      <w:r w:rsidR="006343E1">
        <w:t> </w:t>
      </w:r>
      <w:r>
        <w:t>ubezpieczeniowe</w:t>
      </w:r>
      <w:r w:rsidRPr="00254AB9">
        <w:t>, (4) tzw. usługi kontaktu</w:t>
      </w:r>
      <w:r w:rsidR="006343E1">
        <w:t xml:space="preserve"> </w:t>
      </w:r>
      <w:r w:rsidR="006343E1" w:rsidRPr="00254AB9">
        <w:t>z</w:t>
      </w:r>
      <w:r w:rsidR="006343E1">
        <w:t> </w:t>
      </w:r>
      <w:r w:rsidRPr="00254AB9">
        <w:t xml:space="preserve">klientem. Te cztery kategorie odpowiadają za </w:t>
      </w:r>
      <w:r>
        <w:t xml:space="preserve">ponad </w:t>
      </w:r>
      <w:r w:rsidRPr="00254AB9">
        <w:t>¾ zatrudnienia sektora. Przy czym jedynie dwie pierwsze za ok. ½. Pozostałe dotyczą m.in.</w:t>
      </w:r>
      <w:r w:rsidR="006F1DA4">
        <w:t> </w:t>
      </w:r>
      <w:r w:rsidRPr="00254AB9">
        <w:t xml:space="preserve">logistyki (wszystkie funkcje) oraz </w:t>
      </w:r>
      <w:r w:rsidR="00870EB7">
        <w:t xml:space="preserve">działalności </w:t>
      </w:r>
      <w:r w:rsidRPr="00254AB9">
        <w:t xml:space="preserve">B+R+I. </w:t>
      </w:r>
    </w:p>
    <w:p w14:paraId="6756334E" w14:textId="529D2501" w:rsidR="00FF4AF1" w:rsidRDefault="00FF4AF1" w:rsidP="00D01FC4">
      <w:r w:rsidRPr="00254AB9">
        <w:lastRenderedPageBreak/>
        <w:t xml:space="preserve">Dane za 2016 r. (ABSL, 2017, s. 29), wskazują, </w:t>
      </w:r>
      <w:r w:rsidR="006F1DA4">
        <w:t>że</w:t>
      </w:r>
      <w:r w:rsidRPr="00254AB9">
        <w:t xml:space="preserve"> mimo dynamicznego rozwoju branży centrów nowoczesnych usług</w:t>
      </w:r>
      <w:r w:rsidR="006343E1">
        <w:t xml:space="preserve"> </w:t>
      </w:r>
      <w:r w:rsidR="006343E1" w:rsidRPr="00254AB9">
        <w:t>w</w:t>
      </w:r>
      <w:r w:rsidR="006343E1">
        <w:t> </w:t>
      </w:r>
      <w:r w:rsidRPr="00254AB9">
        <w:t>dalszym ciągu większość</w:t>
      </w:r>
      <w:r w:rsidR="006343E1">
        <w:t xml:space="preserve"> </w:t>
      </w:r>
      <w:r w:rsidR="006343E1" w:rsidRPr="00254AB9">
        <w:t>z</w:t>
      </w:r>
      <w:r w:rsidR="006343E1">
        <w:t> </w:t>
      </w:r>
      <w:r w:rsidRPr="00254AB9">
        <w:t>nich realizuje proste procesy.</w:t>
      </w:r>
      <w:r w:rsidR="006343E1">
        <w:t xml:space="preserve"> </w:t>
      </w:r>
      <w:r w:rsidR="006343E1" w:rsidRPr="00254AB9">
        <w:t>W</w:t>
      </w:r>
      <w:r w:rsidR="006343E1">
        <w:t> </w:t>
      </w:r>
      <w:r w:rsidRPr="00254AB9">
        <w:t>przypadku większości świadczonych usług nie więcej niż 40% obsługiwanych procesów znajduje się na najwyższym poziomie dojrzałości/zaawansowania</w:t>
      </w:r>
      <w:r w:rsidRPr="00254AB9">
        <w:rPr>
          <w:rStyle w:val="Odwoanieprzypisudolnego"/>
          <w:rFonts w:cs="Calibri"/>
          <w:sz w:val="21"/>
          <w:szCs w:val="21"/>
        </w:rPr>
        <w:footnoteReference w:id="32"/>
      </w:r>
      <w:r w:rsidRPr="00254AB9">
        <w:t>. Średni, nieważony wynik wynosi ok. 25%. Wskazuje to</w:t>
      </w:r>
      <w:r w:rsidR="006343E1">
        <w:t xml:space="preserve"> </w:t>
      </w:r>
      <w:r w:rsidR="006343E1" w:rsidRPr="00254AB9">
        <w:t>w</w:t>
      </w:r>
      <w:r w:rsidR="006343E1">
        <w:t> </w:t>
      </w:r>
      <w:r w:rsidRPr="00254AB9">
        <w:t>dalszym ciągu na możliwość rozwoju tego sektora</w:t>
      </w:r>
      <w:r w:rsidR="006343E1">
        <w:t xml:space="preserve"> </w:t>
      </w:r>
      <w:r w:rsidR="006343E1" w:rsidRPr="00254AB9">
        <w:t>w</w:t>
      </w:r>
      <w:r w:rsidR="006343E1">
        <w:t> </w:t>
      </w:r>
      <w:r w:rsidRPr="00254AB9">
        <w:t>Polsce</w:t>
      </w:r>
      <w:r w:rsidR="006343E1">
        <w:t xml:space="preserve"> </w:t>
      </w:r>
      <w:r w:rsidR="006343E1" w:rsidRPr="00254AB9">
        <w:t>w</w:t>
      </w:r>
      <w:r w:rsidR="006343E1">
        <w:t> </w:t>
      </w:r>
      <w:r w:rsidRPr="00254AB9">
        <w:t xml:space="preserve">zakresie przyciągania bardziej zaawansowanych procesów. Niemniej wymaga to zastosowania odpowiednich zachęt, zwłaszcza innych niż podatkowe. </w:t>
      </w:r>
    </w:p>
    <w:p w14:paraId="1401679A" w14:textId="47C76D35" w:rsidR="00EC5ABF" w:rsidRPr="00C52B67" w:rsidRDefault="00EC5ABF" w:rsidP="000E1FA5">
      <w:pPr>
        <w:pStyle w:val="Nagwek2"/>
      </w:pPr>
      <w:bookmarkStart w:id="94" w:name="_Toc106968795"/>
      <w:r w:rsidRPr="00C52B67">
        <w:t>Diagnoza</w:t>
      </w:r>
      <w:r w:rsidR="006343E1">
        <w:t xml:space="preserve"> </w:t>
      </w:r>
      <w:r w:rsidR="006343E1" w:rsidRPr="00C52B67">
        <w:t>i</w:t>
      </w:r>
      <w:r w:rsidR="006343E1">
        <w:t> </w:t>
      </w:r>
      <w:r w:rsidRPr="00C52B67">
        <w:t>ocena polityki inwestycyjnej kraju</w:t>
      </w:r>
      <w:bookmarkEnd w:id="94"/>
    </w:p>
    <w:p w14:paraId="14F03306" w14:textId="5A555FFE" w:rsidR="00EC5ABF" w:rsidRDefault="00EC5ABF" w:rsidP="00EC5ABF">
      <w:pPr>
        <w:rPr>
          <w:shd w:val="clear" w:color="auto" w:fill="FFFFFF"/>
        </w:rPr>
      </w:pPr>
      <w:r w:rsidRPr="00C52B67">
        <w:rPr>
          <w:rFonts w:cstheme="minorHAnsi"/>
          <w:shd w:val="clear" w:color="auto" w:fill="FFFFFF"/>
        </w:rPr>
        <w:t>Polityka inwestycyjna realizuje szerokie cele społeczno-gospodarcze, wśród których poprawa efektywności jest tylko jednym</w:t>
      </w:r>
      <w:r w:rsidR="006343E1">
        <w:rPr>
          <w:rFonts w:cstheme="minorHAnsi"/>
          <w:shd w:val="clear" w:color="auto" w:fill="FFFFFF"/>
        </w:rPr>
        <w:t xml:space="preserve"> </w:t>
      </w:r>
      <w:r w:rsidR="006343E1" w:rsidRPr="00C52B67">
        <w:rPr>
          <w:rFonts w:cstheme="minorHAnsi"/>
          <w:shd w:val="clear" w:color="auto" w:fill="FFFFFF"/>
        </w:rPr>
        <w:t>z</w:t>
      </w:r>
      <w:r w:rsidR="006343E1">
        <w:rPr>
          <w:rFonts w:cstheme="minorHAnsi"/>
          <w:shd w:val="clear" w:color="auto" w:fill="FFFFFF"/>
        </w:rPr>
        <w:t> </w:t>
      </w:r>
      <w:r w:rsidRPr="00C52B67">
        <w:rPr>
          <w:rFonts w:cstheme="minorHAnsi"/>
          <w:shd w:val="clear" w:color="auto" w:fill="FFFFFF"/>
        </w:rPr>
        <w:t>celów. Celem strategicznym jest p</w:t>
      </w:r>
      <w:r w:rsidRPr="00C52B67">
        <w:rPr>
          <w:shd w:val="clear" w:color="auto" w:fill="FFFFFF"/>
        </w:rPr>
        <w:t>obudzenie inwestycji przedsiębiorstw</w:t>
      </w:r>
      <w:r w:rsidR="006343E1">
        <w:rPr>
          <w:shd w:val="clear" w:color="auto" w:fill="FFFFFF"/>
        </w:rPr>
        <w:t xml:space="preserve"> </w:t>
      </w:r>
      <w:r w:rsidR="006343E1" w:rsidRPr="00C52B67">
        <w:rPr>
          <w:shd w:val="clear" w:color="auto" w:fill="FFFFFF"/>
        </w:rPr>
        <w:t>w</w:t>
      </w:r>
      <w:r w:rsidR="006343E1">
        <w:rPr>
          <w:shd w:val="clear" w:color="auto" w:fill="FFFFFF"/>
        </w:rPr>
        <w:t> </w:t>
      </w:r>
      <w:r w:rsidRPr="00C52B67">
        <w:rPr>
          <w:shd w:val="clear" w:color="auto" w:fill="FFFFFF"/>
        </w:rPr>
        <w:t>wartościach bezwzględnych</w:t>
      </w:r>
      <w:r w:rsidR="006343E1">
        <w:rPr>
          <w:shd w:val="clear" w:color="auto" w:fill="FFFFFF"/>
        </w:rPr>
        <w:t xml:space="preserve"> </w:t>
      </w:r>
      <w:r w:rsidR="006343E1" w:rsidRPr="00C52B67">
        <w:rPr>
          <w:shd w:val="clear" w:color="auto" w:fill="FFFFFF"/>
        </w:rPr>
        <w:t>i</w:t>
      </w:r>
      <w:r w:rsidR="006343E1">
        <w:rPr>
          <w:shd w:val="clear" w:color="auto" w:fill="FFFFFF"/>
        </w:rPr>
        <w:t> </w:t>
      </w:r>
      <w:r w:rsidRPr="00C52B67">
        <w:rPr>
          <w:shd w:val="clear" w:color="auto" w:fill="FFFFFF"/>
        </w:rPr>
        <w:t>wzrost ich udziału procentowego</w:t>
      </w:r>
      <w:r w:rsidR="006343E1">
        <w:rPr>
          <w:shd w:val="clear" w:color="auto" w:fill="FFFFFF"/>
        </w:rPr>
        <w:t xml:space="preserve"> </w:t>
      </w:r>
      <w:r w:rsidR="006343E1" w:rsidRPr="00C52B67">
        <w:rPr>
          <w:shd w:val="clear" w:color="auto" w:fill="FFFFFF"/>
        </w:rPr>
        <w:t>w</w:t>
      </w:r>
      <w:r w:rsidR="006343E1">
        <w:rPr>
          <w:shd w:val="clear" w:color="auto" w:fill="FFFFFF"/>
        </w:rPr>
        <w:t> </w:t>
      </w:r>
      <w:r w:rsidRPr="00C52B67">
        <w:rPr>
          <w:shd w:val="clear" w:color="auto" w:fill="FFFFFF"/>
        </w:rPr>
        <w:t xml:space="preserve">stosunku do inwestycji publicznych. </w:t>
      </w:r>
      <w:r w:rsidRPr="00C52B67">
        <w:rPr>
          <w:rFonts w:cstheme="minorHAnsi"/>
          <w:shd w:val="clear" w:color="auto" w:fill="FFFFFF"/>
        </w:rPr>
        <w:t>Cel</w:t>
      </w:r>
      <w:r w:rsidR="006F1DA4">
        <w:rPr>
          <w:rFonts w:cstheme="minorHAnsi"/>
          <w:shd w:val="clear" w:color="auto" w:fill="FFFFFF"/>
        </w:rPr>
        <w:t>em</w:t>
      </w:r>
      <w:r w:rsidRPr="00C52B67">
        <w:rPr>
          <w:rFonts w:cstheme="minorHAnsi"/>
          <w:shd w:val="clear" w:color="auto" w:fill="FFFFFF"/>
        </w:rPr>
        <w:t xml:space="preserve"> związanymi z poprawą produktywności</w:t>
      </w:r>
      <w:r w:rsidR="006343E1">
        <w:rPr>
          <w:rFonts w:cstheme="minorHAnsi"/>
          <w:shd w:val="clear" w:color="auto" w:fill="FFFFFF"/>
        </w:rPr>
        <w:t xml:space="preserve"> </w:t>
      </w:r>
      <w:r w:rsidR="006343E1" w:rsidRPr="00C52B67">
        <w:rPr>
          <w:rFonts w:cstheme="minorHAnsi"/>
          <w:shd w:val="clear" w:color="auto" w:fill="FFFFFF"/>
        </w:rPr>
        <w:t>w</w:t>
      </w:r>
      <w:r w:rsidR="006343E1">
        <w:rPr>
          <w:rFonts w:cstheme="minorHAnsi"/>
          <w:shd w:val="clear" w:color="auto" w:fill="FFFFFF"/>
        </w:rPr>
        <w:t> </w:t>
      </w:r>
      <w:r w:rsidRPr="00C52B67">
        <w:rPr>
          <w:rFonts w:cstheme="minorHAnsi"/>
          <w:shd w:val="clear" w:color="auto" w:fill="FFFFFF"/>
        </w:rPr>
        <w:t xml:space="preserve">procesie inwestycyjnym jest </w:t>
      </w:r>
      <w:r w:rsidRPr="00C52B67">
        <w:rPr>
          <w:shd w:val="clear" w:color="auto" w:fill="FFFFFF"/>
        </w:rPr>
        <w:t>wzrost realnej wydajności pracy (mierzonej w przeliczeniu na pracownika albo na godzinę czasu pracy)</w:t>
      </w:r>
      <w:r w:rsidR="006343E1">
        <w:rPr>
          <w:shd w:val="clear" w:color="auto" w:fill="FFFFFF"/>
        </w:rPr>
        <w:t xml:space="preserve"> </w:t>
      </w:r>
      <w:r w:rsidR="006343E1" w:rsidRPr="00C52B67">
        <w:rPr>
          <w:shd w:val="clear" w:color="auto" w:fill="FFFFFF"/>
        </w:rPr>
        <w:t>w</w:t>
      </w:r>
      <w:r w:rsidR="006343E1">
        <w:rPr>
          <w:shd w:val="clear" w:color="auto" w:fill="FFFFFF"/>
        </w:rPr>
        <w:t> </w:t>
      </w:r>
      <w:r w:rsidRPr="00C52B67">
        <w:rPr>
          <w:shd w:val="clear" w:color="auto" w:fill="FFFFFF"/>
        </w:rPr>
        <w:t>całej gospodarce ze szczególnym uwzględnieniem nowych inwestycji – czyli zwiększenie liczby</w:t>
      </w:r>
      <w:r w:rsidR="006343E1">
        <w:rPr>
          <w:shd w:val="clear" w:color="auto" w:fill="FFFFFF"/>
        </w:rPr>
        <w:t xml:space="preserve"> </w:t>
      </w:r>
      <w:r w:rsidR="006343E1" w:rsidRPr="00C52B67">
        <w:rPr>
          <w:shd w:val="clear" w:color="auto" w:fill="FFFFFF"/>
        </w:rPr>
        <w:t>i</w:t>
      </w:r>
      <w:r w:rsidR="006343E1">
        <w:rPr>
          <w:shd w:val="clear" w:color="auto" w:fill="FFFFFF"/>
        </w:rPr>
        <w:t> </w:t>
      </w:r>
      <w:r w:rsidRPr="00C52B67">
        <w:rPr>
          <w:shd w:val="clear" w:color="auto" w:fill="FFFFFF"/>
        </w:rPr>
        <w:t>wartości nowych inwestycji</w:t>
      </w:r>
      <w:r w:rsidR="006343E1">
        <w:rPr>
          <w:shd w:val="clear" w:color="auto" w:fill="FFFFFF"/>
        </w:rPr>
        <w:t xml:space="preserve"> </w:t>
      </w:r>
      <w:r w:rsidR="006343E1" w:rsidRPr="00C52B67">
        <w:rPr>
          <w:shd w:val="clear" w:color="auto" w:fill="FFFFFF"/>
        </w:rPr>
        <w:t>o</w:t>
      </w:r>
      <w:r w:rsidR="006343E1">
        <w:rPr>
          <w:shd w:val="clear" w:color="auto" w:fill="FFFFFF"/>
        </w:rPr>
        <w:t> </w:t>
      </w:r>
      <w:r w:rsidRPr="00C52B67">
        <w:rPr>
          <w:shd w:val="clear" w:color="auto" w:fill="FFFFFF"/>
        </w:rPr>
        <w:t>wysokim poziomie produktywności oraz liczby</w:t>
      </w:r>
      <w:r w:rsidR="006343E1">
        <w:rPr>
          <w:shd w:val="clear" w:color="auto" w:fill="FFFFFF"/>
        </w:rPr>
        <w:t xml:space="preserve"> </w:t>
      </w:r>
      <w:r w:rsidR="006343E1" w:rsidRPr="00C52B67">
        <w:rPr>
          <w:shd w:val="clear" w:color="auto" w:fill="FFFFFF"/>
        </w:rPr>
        <w:t>i</w:t>
      </w:r>
      <w:r w:rsidR="006343E1">
        <w:rPr>
          <w:shd w:val="clear" w:color="auto" w:fill="FFFFFF"/>
        </w:rPr>
        <w:t> </w:t>
      </w:r>
      <w:r w:rsidRPr="00C52B67">
        <w:rPr>
          <w:shd w:val="clear" w:color="auto" w:fill="FFFFFF"/>
        </w:rPr>
        <w:t>wartości reinwestycji podnoszących poziom produktywności istniejących zakładów</w:t>
      </w:r>
      <w:r w:rsidRPr="00C52B67">
        <w:rPr>
          <w:rStyle w:val="Odwoanieprzypisudolnego"/>
          <w:color w:val="244061" w:themeColor="accent1" w:themeShade="80"/>
          <w:shd w:val="clear" w:color="auto" w:fill="FFFFFF"/>
        </w:rPr>
        <w:footnoteReference w:id="33"/>
      </w:r>
      <w:r w:rsidRPr="00C52B67">
        <w:rPr>
          <w:shd w:val="clear" w:color="auto" w:fill="FFFFFF"/>
        </w:rPr>
        <w:t>.</w:t>
      </w:r>
    </w:p>
    <w:p w14:paraId="5DE229DF" w14:textId="18506E9D" w:rsidR="00EC5ABF" w:rsidRPr="00C52B67" w:rsidRDefault="00EC5ABF" w:rsidP="00EC5ABF">
      <w:r w:rsidRPr="00C52B67">
        <w:t>Obecny trend wspierania inwestycji, dostrzegalny we wszystkich państwach Europy Środkowo-Wschodniej (obszaru wzajemnej konkurencji</w:t>
      </w:r>
      <w:r w:rsidR="006343E1">
        <w:t xml:space="preserve"> </w:t>
      </w:r>
      <w:r w:rsidR="006343E1" w:rsidRPr="00C52B67">
        <w:t>w</w:t>
      </w:r>
      <w:r w:rsidR="006343E1">
        <w:t> </w:t>
      </w:r>
      <w:r w:rsidRPr="00C52B67">
        <w:t>zakresie przyciągania inwestycji zagranicznych), orientuje się na dodatkowe zachęty inwestycyjne dla projektów innowacyjnych,</w:t>
      </w:r>
      <w:r w:rsidR="006343E1">
        <w:t xml:space="preserve"> </w:t>
      </w:r>
      <w:r w:rsidR="006343E1" w:rsidRPr="00C52B67">
        <w:t>z</w:t>
      </w:r>
      <w:r w:rsidR="006343E1">
        <w:t> </w:t>
      </w:r>
      <w:r w:rsidRPr="00C52B67">
        <w:t xml:space="preserve">obszaru B+R </w:t>
      </w:r>
      <w:r w:rsidR="006F1DA4" w:rsidRPr="00C52B67">
        <w:t>oraz</w:t>
      </w:r>
      <w:r w:rsidR="006F1DA4">
        <w:t xml:space="preserve"> dla </w:t>
      </w:r>
      <w:r w:rsidRPr="00C52B67">
        <w:t>projektów realizujących automatyzację i robotyzację. Główne formy ułatwień polegają na obniżeniu kryteriów wejścia do programu wsparcia i/lub na korzystniejszych warunkach udzielania</w:t>
      </w:r>
      <w:r w:rsidR="006343E1">
        <w:t xml:space="preserve"> </w:t>
      </w:r>
      <w:r w:rsidR="006343E1" w:rsidRPr="00C52B67">
        <w:t>i</w:t>
      </w:r>
      <w:r w:rsidR="006343E1">
        <w:t> </w:t>
      </w:r>
      <w:r w:rsidRPr="00C52B67">
        <w:t>rozliczania pomocy. Polska pozostaje</w:t>
      </w:r>
      <w:r w:rsidR="006343E1">
        <w:t xml:space="preserve"> </w:t>
      </w:r>
      <w:r w:rsidR="006343E1" w:rsidRPr="00C52B67">
        <w:t>w</w:t>
      </w:r>
      <w:r w:rsidR="006343E1">
        <w:t> </w:t>
      </w:r>
      <w:r w:rsidRPr="00C52B67">
        <w:t>stosunkowo korzystnej sytuacji ze względu na wysoką intensywność pomocy publicznej na tle innych państw regionu, jednak przewaga ta będzie stopniowo zanikać</w:t>
      </w:r>
      <w:r w:rsidR="006343E1">
        <w:t xml:space="preserve"> </w:t>
      </w:r>
      <w:r w:rsidR="006343E1" w:rsidRPr="00C52B67">
        <w:t>w</w:t>
      </w:r>
      <w:r w:rsidR="006343E1">
        <w:t> </w:t>
      </w:r>
      <w:r w:rsidRPr="00C52B67">
        <w:t>przypadku dynamicznego rozwoju gospodarczego (pomimo stosunkowo mało elastycznego systemu modyfikacji poziomów intensywności pomocy)</w:t>
      </w:r>
      <w:r w:rsidRPr="00C52B67">
        <w:rPr>
          <w:rStyle w:val="Odwoanieprzypisudolnego"/>
          <w:color w:val="244061" w:themeColor="accent1" w:themeShade="80"/>
        </w:rPr>
        <w:footnoteReference w:id="34"/>
      </w:r>
      <w:r w:rsidRPr="00C52B67">
        <w:t>.</w:t>
      </w:r>
    </w:p>
    <w:p w14:paraId="01006E3A" w14:textId="556F4840" w:rsidR="00EC5ABF" w:rsidRPr="00EC5ABF" w:rsidRDefault="00EC5ABF" w:rsidP="00D01FC4">
      <w:pPr>
        <w:rPr>
          <w:rFonts w:cstheme="minorHAnsi"/>
          <w:shd w:val="clear" w:color="auto" w:fill="FFFFFF"/>
        </w:rPr>
      </w:pPr>
      <w:r w:rsidRPr="00C52B67">
        <w:t>Polska oferta wspierania inwestycji oraz klimat inwestycyjny są oceniana jako korzystne</w:t>
      </w:r>
      <w:r w:rsidR="006343E1">
        <w:t xml:space="preserve"> </w:t>
      </w:r>
      <w:r w:rsidR="006343E1" w:rsidRPr="00C52B67">
        <w:t>i</w:t>
      </w:r>
      <w:r w:rsidR="006343E1">
        <w:t> </w:t>
      </w:r>
      <w:r w:rsidRPr="00C52B67">
        <w:t>stabilne.</w:t>
      </w:r>
      <w:r w:rsidRPr="00C52B67">
        <w:rPr>
          <w:rFonts w:cstheme="minorHAnsi"/>
        </w:rPr>
        <w:t xml:space="preserve"> </w:t>
      </w:r>
      <w:r w:rsidRPr="00C52B67">
        <w:rPr>
          <w:rFonts w:cstheme="minorHAnsi"/>
          <w:shd w:val="clear" w:color="auto" w:fill="FFFFFF"/>
        </w:rPr>
        <w:t>94% inwestorów zagranicznych</w:t>
      </w:r>
      <w:r w:rsidRPr="00C52B67">
        <w:rPr>
          <w:rStyle w:val="Odwoanieprzypisudolnego"/>
          <w:rFonts w:cstheme="minorHAnsi"/>
          <w:color w:val="244061" w:themeColor="accent1" w:themeShade="80"/>
          <w:shd w:val="clear" w:color="auto" w:fill="FFFFFF"/>
        </w:rPr>
        <w:footnoteReference w:id="35"/>
      </w:r>
      <w:r w:rsidRPr="00C52B67">
        <w:rPr>
          <w:rFonts w:cstheme="minorHAnsi"/>
          <w:shd w:val="clear" w:color="auto" w:fill="FFFFFF"/>
        </w:rPr>
        <w:t xml:space="preserve"> jest zadowolonych</w:t>
      </w:r>
      <w:r w:rsidR="006343E1">
        <w:rPr>
          <w:rFonts w:cstheme="minorHAnsi"/>
          <w:shd w:val="clear" w:color="auto" w:fill="FFFFFF"/>
        </w:rPr>
        <w:t xml:space="preserve"> </w:t>
      </w:r>
      <w:r w:rsidR="006343E1" w:rsidRPr="00C52B67">
        <w:rPr>
          <w:rFonts w:cstheme="minorHAnsi"/>
          <w:shd w:val="clear" w:color="auto" w:fill="FFFFFF"/>
        </w:rPr>
        <w:t>z</w:t>
      </w:r>
      <w:r w:rsidR="006343E1">
        <w:rPr>
          <w:rFonts w:cstheme="minorHAnsi"/>
          <w:shd w:val="clear" w:color="auto" w:fill="FFFFFF"/>
        </w:rPr>
        <w:t> </w:t>
      </w:r>
      <w:r w:rsidRPr="00C52B67">
        <w:rPr>
          <w:rFonts w:cstheme="minorHAnsi"/>
          <w:shd w:val="clear" w:color="auto" w:fill="FFFFFF"/>
        </w:rPr>
        <w:t>decyzji</w:t>
      </w:r>
      <w:r w:rsidR="006343E1">
        <w:rPr>
          <w:rFonts w:cstheme="minorHAnsi"/>
          <w:shd w:val="clear" w:color="auto" w:fill="FFFFFF"/>
        </w:rPr>
        <w:t xml:space="preserve"> </w:t>
      </w:r>
      <w:r w:rsidR="006343E1" w:rsidRPr="00C52B67">
        <w:rPr>
          <w:rFonts w:cstheme="minorHAnsi"/>
          <w:shd w:val="clear" w:color="auto" w:fill="FFFFFF"/>
        </w:rPr>
        <w:t>o</w:t>
      </w:r>
      <w:r w:rsidR="006343E1">
        <w:rPr>
          <w:rFonts w:cstheme="minorHAnsi"/>
          <w:shd w:val="clear" w:color="auto" w:fill="FFFFFF"/>
        </w:rPr>
        <w:t> </w:t>
      </w:r>
      <w:r w:rsidRPr="00C52B67">
        <w:rPr>
          <w:rFonts w:cstheme="minorHAnsi"/>
          <w:shd w:val="clear" w:color="auto" w:fill="FFFFFF"/>
        </w:rPr>
        <w:t>zainwestowaniu</w:t>
      </w:r>
      <w:r w:rsidR="006343E1">
        <w:rPr>
          <w:rFonts w:cstheme="minorHAnsi"/>
          <w:shd w:val="clear" w:color="auto" w:fill="FFFFFF"/>
        </w:rPr>
        <w:t xml:space="preserve"> </w:t>
      </w:r>
      <w:r w:rsidR="006343E1" w:rsidRPr="00C52B67">
        <w:rPr>
          <w:rFonts w:cstheme="minorHAnsi"/>
          <w:shd w:val="clear" w:color="auto" w:fill="FFFFFF"/>
        </w:rPr>
        <w:t>w</w:t>
      </w:r>
      <w:r w:rsidR="006343E1">
        <w:rPr>
          <w:rFonts w:cstheme="minorHAnsi"/>
          <w:shd w:val="clear" w:color="auto" w:fill="FFFFFF"/>
        </w:rPr>
        <w:t> </w:t>
      </w:r>
      <w:r w:rsidRPr="00C52B67">
        <w:rPr>
          <w:rFonts w:cstheme="minorHAnsi"/>
          <w:shd w:val="clear" w:color="auto" w:fill="FFFFFF"/>
        </w:rPr>
        <w:t>Polsce</w:t>
      </w:r>
      <w:r w:rsidR="006343E1">
        <w:rPr>
          <w:rFonts w:cstheme="minorHAnsi"/>
          <w:shd w:val="clear" w:color="auto" w:fill="FFFFFF"/>
        </w:rPr>
        <w:t xml:space="preserve"> </w:t>
      </w:r>
      <w:r w:rsidR="006343E1" w:rsidRPr="00C52B67">
        <w:rPr>
          <w:rFonts w:cstheme="minorHAnsi"/>
          <w:shd w:val="clear" w:color="auto" w:fill="FFFFFF"/>
        </w:rPr>
        <w:t>i</w:t>
      </w:r>
      <w:r w:rsidR="006343E1">
        <w:rPr>
          <w:rFonts w:cstheme="minorHAnsi"/>
          <w:shd w:val="clear" w:color="auto" w:fill="FFFFFF"/>
        </w:rPr>
        <w:t> </w:t>
      </w:r>
      <w:r w:rsidRPr="00C52B67">
        <w:rPr>
          <w:rFonts w:cstheme="minorHAnsi"/>
          <w:shd w:val="clear" w:color="auto" w:fill="FFFFFF"/>
        </w:rPr>
        <w:t>zrobiłoby ten krok ponownie. Wyniki pokazują</w:t>
      </w:r>
      <w:r w:rsidR="00477C54">
        <w:rPr>
          <w:rFonts w:cstheme="minorHAnsi"/>
          <w:shd w:val="clear" w:color="auto" w:fill="FFFFFF"/>
        </w:rPr>
        <w:t>, że </w:t>
      </w:r>
      <w:r w:rsidRPr="00C52B67">
        <w:rPr>
          <w:rFonts w:cstheme="minorHAnsi"/>
          <w:shd w:val="clear" w:color="auto" w:fill="FFFFFF"/>
        </w:rPr>
        <w:t>ich ocena warunków do inwestycji</w:t>
      </w:r>
      <w:r w:rsidR="006343E1">
        <w:rPr>
          <w:rFonts w:cstheme="minorHAnsi"/>
          <w:shd w:val="clear" w:color="auto" w:fill="FFFFFF"/>
        </w:rPr>
        <w:t xml:space="preserve"> </w:t>
      </w:r>
      <w:r w:rsidR="006343E1" w:rsidRPr="00C52B67">
        <w:rPr>
          <w:rFonts w:cstheme="minorHAnsi"/>
          <w:shd w:val="clear" w:color="auto" w:fill="FFFFFF"/>
        </w:rPr>
        <w:t>w</w:t>
      </w:r>
      <w:r w:rsidR="006343E1">
        <w:rPr>
          <w:rFonts w:cstheme="minorHAnsi"/>
          <w:shd w:val="clear" w:color="auto" w:fill="FFFFFF"/>
        </w:rPr>
        <w:t> </w:t>
      </w:r>
      <w:r w:rsidRPr="00C52B67">
        <w:rPr>
          <w:rFonts w:cstheme="minorHAnsi"/>
          <w:shd w:val="clear" w:color="auto" w:fill="FFFFFF"/>
        </w:rPr>
        <w:t>Polsce od 2014 r</w:t>
      </w:r>
      <w:r w:rsidR="006F1DA4">
        <w:rPr>
          <w:rFonts w:cstheme="minorHAnsi"/>
          <w:shd w:val="clear" w:color="auto" w:fill="FFFFFF"/>
        </w:rPr>
        <w:t>.</w:t>
      </w:r>
      <w:r w:rsidRPr="00C52B67">
        <w:rPr>
          <w:rFonts w:cstheme="minorHAnsi"/>
          <w:shd w:val="clear" w:color="auto" w:fill="FFFFFF"/>
        </w:rPr>
        <w:t xml:space="preserve"> utrzymuje się na wysokim poziomie (3,6–3,7</w:t>
      </w:r>
      <w:r w:rsidR="006F1DA4">
        <w:rPr>
          <w:rFonts w:cstheme="minorHAnsi"/>
          <w:shd w:val="clear" w:color="auto" w:fill="FFFFFF"/>
        </w:rPr>
        <w:t> </w:t>
      </w:r>
      <w:r w:rsidRPr="00C52B67">
        <w:rPr>
          <w:rFonts w:cstheme="minorHAnsi"/>
          <w:shd w:val="clear" w:color="auto" w:fill="FFFFFF"/>
        </w:rPr>
        <w:t>pkt na 5 możliwych). Komponenty oceny związane</w:t>
      </w:r>
      <w:r w:rsidR="006343E1">
        <w:rPr>
          <w:rFonts w:cstheme="minorHAnsi"/>
          <w:shd w:val="clear" w:color="auto" w:fill="FFFFFF"/>
        </w:rPr>
        <w:t xml:space="preserve"> </w:t>
      </w:r>
      <w:r w:rsidR="006343E1" w:rsidRPr="00C52B67">
        <w:rPr>
          <w:rFonts w:cstheme="minorHAnsi"/>
          <w:shd w:val="clear" w:color="auto" w:fill="FFFFFF"/>
        </w:rPr>
        <w:t>z</w:t>
      </w:r>
      <w:r w:rsidR="006343E1">
        <w:rPr>
          <w:rFonts w:cstheme="minorHAnsi"/>
          <w:shd w:val="clear" w:color="auto" w:fill="FFFFFF"/>
        </w:rPr>
        <w:t> </w:t>
      </w:r>
      <w:r w:rsidRPr="00C52B67">
        <w:rPr>
          <w:rFonts w:cstheme="minorHAnsi"/>
          <w:shd w:val="clear" w:color="auto" w:fill="FFFFFF"/>
        </w:rPr>
        <w:t>ofertą wsparcia publicznego oraz współpraca</w:t>
      </w:r>
      <w:r w:rsidR="006343E1">
        <w:rPr>
          <w:rFonts w:cstheme="minorHAnsi"/>
          <w:shd w:val="clear" w:color="auto" w:fill="FFFFFF"/>
        </w:rPr>
        <w:t xml:space="preserve"> </w:t>
      </w:r>
      <w:r w:rsidR="006343E1" w:rsidRPr="00C52B67">
        <w:rPr>
          <w:rFonts w:cstheme="minorHAnsi"/>
          <w:shd w:val="clear" w:color="auto" w:fill="FFFFFF"/>
        </w:rPr>
        <w:t>z</w:t>
      </w:r>
      <w:r w:rsidR="006343E1">
        <w:rPr>
          <w:rFonts w:cstheme="minorHAnsi"/>
          <w:shd w:val="clear" w:color="auto" w:fill="FFFFFF"/>
        </w:rPr>
        <w:t> </w:t>
      </w:r>
      <w:r w:rsidRPr="00C52B67">
        <w:rPr>
          <w:rFonts w:cstheme="minorHAnsi"/>
          <w:shd w:val="clear" w:color="auto" w:fill="FFFFFF"/>
        </w:rPr>
        <w:t>administracją są oceniane umiarkowanie korzystnie – m</w:t>
      </w:r>
      <w:r w:rsidRPr="00C52B67">
        <w:t>ożliwość pozyskania finansowania (3,52),</w:t>
      </w:r>
      <w:r w:rsidR="006343E1">
        <w:t xml:space="preserve"> </w:t>
      </w:r>
      <w:r w:rsidR="006343E1" w:rsidRPr="00C52B67">
        <w:t>a</w:t>
      </w:r>
      <w:r w:rsidR="006343E1">
        <w:t> </w:t>
      </w:r>
      <w:r w:rsidRPr="00C52B67">
        <w:t>także system pomocy publicznej dla inwestorów (3,22) oraz współpraca</w:t>
      </w:r>
      <w:r w:rsidR="006343E1">
        <w:t xml:space="preserve"> </w:t>
      </w:r>
      <w:r w:rsidR="006343E1" w:rsidRPr="00C52B67">
        <w:t>z</w:t>
      </w:r>
      <w:r w:rsidR="006343E1">
        <w:t> </w:t>
      </w:r>
      <w:r w:rsidRPr="00C52B67">
        <w:t>administracją centralną (3,20). Jednocześnie najsłabiej</w:t>
      </w:r>
      <w:r w:rsidR="006343E1">
        <w:t xml:space="preserve"> </w:t>
      </w:r>
      <w:r w:rsidR="006343E1" w:rsidRPr="00C52B67">
        <w:t>w</w:t>
      </w:r>
      <w:r w:rsidR="006343E1">
        <w:t> </w:t>
      </w:r>
      <w:r w:rsidRPr="00C52B67">
        <w:t>badaniu wypadają aspekty związane ze stabilnością stanowienia</w:t>
      </w:r>
      <w:r w:rsidR="006343E1">
        <w:t xml:space="preserve"> </w:t>
      </w:r>
      <w:r w:rsidR="006343E1" w:rsidRPr="00C52B67">
        <w:t>i</w:t>
      </w:r>
      <w:r w:rsidR="006343E1">
        <w:t> </w:t>
      </w:r>
      <w:r w:rsidRPr="00C52B67">
        <w:t>stosowania prawa – jasność</w:t>
      </w:r>
      <w:r w:rsidR="006343E1">
        <w:t xml:space="preserve"> </w:t>
      </w:r>
      <w:r w:rsidR="006343E1" w:rsidRPr="00C52B67">
        <w:t>i</w:t>
      </w:r>
      <w:r w:rsidR="006343E1">
        <w:t> </w:t>
      </w:r>
      <w:r w:rsidRPr="00C52B67">
        <w:t>spójność przepisów prawnych (2,75), efektywność sądownictwa gospodarczego (2,73) oraz stałość i przewidywalność prawa (2,53).</w:t>
      </w:r>
    </w:p>
    <w:p w14:paraId="3F30CEBD" w14:textId="77777777" w:rsidR="00ED7916" w:rsidRDefault="00ED7916">
      <w:pPr>
        <w:spacing w:before="0" w:after="0" w:line="240" w:lineRule="auto"/>
        <w:jc w:val="left"/>
        <w:rPr>
          <w:rFonts w:eastAsia="Times New Roman" w:cs="Times New Roman"/>
          <w:b/>
          <w:bCs/>
          <w:color w:val="4F81BD"/>
          <w:szCs w:val="26"/>
        </w:rPr>
      </w:pPr>
      <w:bookmarkStart w:id="95" w:name="_Toc31808512"/>
      <w:r>
        <w:br w:type="page"/>
      </w:r>
    </w:p>
    <w:p w14:paraId="70FB306B" w14:textId="2933B198" w:rsidR="006A0492" w:rsidRPr="003D6D53" w:rsidRDefault="00557F39" w:rsidP="00D01FC4">
      <w:pPr>
        <w:pStyle w:val="Nagwek2"/>
      </w:pPr>
      <w:bookmarkStart w:id="96" w:name="_Toc106968796"/>
      <w:r w:rsidRPr="00CA48F5">
        <w:lastRenderedPageBreak/>
        <w:t>Literatura</w:t>
      </w:r>
      <w:bookmarkEnd w:id="95"/>
      <w:bookmarkEnd w:id="96"/>
    </w:p>
    <w:p w14:paraId="38E8BEB0" w14:textId="4BB8D50C" w:rsidR="0082601F" w:rsidRPr="00CA48F5" w:rsidRDefault="001C57C2" w:rsidP="0037394A">
      <w:pPr>
        <w:spacing w:after="0" w:line="240" w:lineRule="auto"/>
        <w:rPr>
          <w:rStyle w:val="Hipercze"/>
          <w:rFonts w:cs="Calibri"/>
          <w:sz w:val="21"/>
          <w:szCs w:val="21"/>
        </w:rPr>
      </w:pPr>
      <w:r w:rsidRPr="00254AB9">
        <w:rPr>
          <w:rFonts w:cs="Calibri"/>
          <w:sz w:val="21"/>
          <w:szCs w:val="21"/>
        </w:rPr>
        <w:t>ABSL</w:t>
      </w:r>
      <w:r w:rsidR="00075037" w:rsidRPr="00254AB9">
        <w:rPr>
          <w:rFonts w:cs="Calibri"/>
          <w:sz w:val="21"/>
          <w:szCs w:val="21"/>
        </w:rPr>
        <w:t xml:space="preserve"> </w:t>
      </w:r>
      <w:r w:rsidRPr="00254AB9">
        <w:rPr>
          <w:rFonts w:cs="Calibri"/>
          <w:sz w:val="21"/>
          <w:szCs w:val="21"/>
        </w:rPr>
        <w:t>(2017)</w:t>
      </w:r>
      <w:r w:rsidR="00075037" w:rsidRPr="00254AB9">
        <w:rPr>
          <w:rFonts w:cs="Calibri"/>
          <w:sz w:val="21"/>
          <w:szCs w:val="21"/>
        </w:rPr>
        <w:t>.</w:t>
      </w:r>
      <w:r w:rsidRPr="00254AB9">
        <w:rPr>
          <w:rFonts w:cs="Calibri"/>
          <w:sz w:val="21"/>
          <w:szCs w:val="21"/>
        </w:rPr>
        <w:t xml:space="preserve"> </w:t>
      </w:r>
      <w:r w:rsidRPr="00254AB9">
        <w:rPr>
          <w:rFonts w:cs="Calibri"/>
          <w:i/>
          <w:sz w:val="21"/>
          <w:szCs w:val="21"/>
        </w:rPr>
        <w:t>Sektor nowoczesnych usług biznesowych</w:t>
      </w:r>
      <w:r w:rsidR="006343E1">
        <w:rPr>
          <w:rFonts w:cs="Calibri"/>
          <w:i/>
          <w:sz w:val="21"/>
          <w:szCs w:val="21"/>
        </w:rPr>
        <w:t xml:space="preserve"> </w:t>
      </w:r>
      <w:r w:rsidR="006343E1" w:rsidRPr="00254AB9">
        <w:rPr>
          <w:rFonts w:cs="Calibri"/>
          <w:i/>
          <w:sz w:val="21"/>
          <w:szCs w:val="21"/>
        </w:rPr>
        <w:t>w</w:t>
      </w:r>
      <w:r w:rsidR="006343E1">
        <w:rPr>
          <w:rFonts w:cs="Calibri"/>
          <w:i/>
          <w:sz w:val="21"/>
          <w:szCs w:val="21"/>
        </w:rPr>
        <w:t> </w:t>
      </w:r>
      <w:r w:rsidRPr="00254AB9">
        <w:rPr>
          <w:rFonts w:cs="Calibri"/>
          <w:i/>
          <w:sz w:val="21"/>
          <w:szCs w:val="21"/>
        </w:rPr>
        <w:t>Polsce 2017</w:t>
      </w:r>
      <w:r w:rsidRPr="00254AB9">
        <w:rPr>
          <w:rFonts w:cs="Calibri"/>
          <w:sz w:val="21"/>
          <w:szCs w:val="21"/>
        </w:rPr>
        <w:t xml:space="preserve">, </w:t>
      </w:r>
      <w:r w:rsidR="00075037" w:rsidRPr="00254AB9">
        <w:rPr>
          <w:rFonts w:cs="Calibri"/>
          <w:sz w:val="21"/>
          <w:szCs w:val="21"/>
        </w:rPr>
        <w:t xml:space="preserve">ABSL, Baker &amp; McKenzie, JLL, Randstad </w:t>
      </w:r>
      <w:r w:rsidRPr="00254AB9">
        <w:rPr>
          <w:rFonts w:cs="Calibri"/>
          <w:sz w:val="21"/>
          <w:szCs w:val="21"/>
        </w:rPr>
        <w:t>Kraków</w:t>
      </w:r>
      <w:r w:rsidR="009A31E8">
        <w:rPr>
          <w:rFonts w:cs="Calibri"/>
          <w:sz w:val="21"/>
          <w:szCs w:val="21"/>
        </w:rPr>
        <w:t>.</w:t>
      </w:r>
      <w:r w:rsidR="003D6D53">
        <w:rPr>
          <w:rFonts w:cs="Calibri"/>
          <w:sz w:val="21"/>
          <w:szCs w:val="21"/>
        </w:rPr>
        <w:t xml:space="preserve"> </w:t>
      </w:r>
      <w:r w:rsidR="0082601F" w:rsidRPr="00CA48F5">
        <w:rPr>
          <w:rFonts w:cs="Calibri"/>
          <w:sz w:val="21"/>
          <w:szCs w:val="21"/>
        </w:rPr>
        <w:t>http://absl.pl/pl/publikacje/</w:t>
      </w:r>
    </w:p>
    <w:p w14:paraId="53E83DFA" w14:textId="1657CD59" w:rsidR="003D6D53" w:rsidRDefault="001F4F4E" w:rsidP="001F4F4E">
      <w:pPr>
        <w:spacing w:after="0" w:line="240" w:lineRule="auto"/>
        <w:rPr>
          <w:rFonts w:cs="Calibri"/>
          <w:sz w:val="21"/>
          <w:szCs w:val="21"/>
          <w:lang w:val="en-GB"/>
        </w:rPr>
      </w:pPr>
      <w:r w:rsidRPr="009760C6">
        <w:rPr>
          <w:lang w:val="en-US"/>
        </w:rPr>
        <w:t xml:space="preserve">ABSL (2018). </w:t>
      </w:r>
      <w:r w:rsidRPr="003D6D53">
        <w:rPr>
          <w:i/>
          <w:lang w:val="en-US"/>
        </w:rPr>
        <w:t>Business Services Sector In Poland 2018</w:t>
      </w:r>
      <w:r w:rsidRPr="003D6D53">
        <w:rPr>
          <w:lang w:val="en-US"/>
        </w:rPr>
        <w:t xml:space="preserve">, </w:t>
      </w:r>
      <w:r w:rsidRPr="003D6D53">
        <w:rPr>
          <w:rFonts w:cs="Calibri"/>
          <w:sz w:val="21"/>
          <w:szCs w:val="21"/>
          <w:lang w:val="en-US"/>
        </w:rPr>
        <w:t>ABSL, JLL, Randstad Polska &amp; Randstad Sou</w:t>
      </w:r>
      <w:r w:rsidRPr="00254AB9">
        <w:rPr>
          <w:rFonts w:cs="Calibri"/>
          <w:sz w:val="21"/>
          <w:szCs w:val="21"/>
          <w:lang w:val="en-GB"/>
        </w:rPr>
        <w:t>rceright, EY, Everest Group</w:t>
      </w:r>
      <w:r>
        <w:rPr>
          <w:rFonts w:ascii="Roboto-Regular" w:hAnsi="Roboto-Regular" w:cs="Roboto-Regular"/>
          <w:color w:val="565655"/>
          <w:sz w:val="20"/>
          <w:szCs w:val="20"/>
          <w:lang w:val="en-GB"/>
        </w:rPr>
        <w:t xml:space="preserve">, </w:t>
      </w:r>
      <w:r w:rsidRPr="00254AB9">
        <w:rPr>
          <w:rFonts w:cs="Calibri"/>
          <w:sz w:val="21"/>
          <w:szCs w:val="21"/>
          <w:lang w:val="en-GB"/>
        </w:rPr>
        <w:t>Kraków</w:t>
      </w:r>
      <w:r w:rsidR="003D6D53">
        <w:rPr>
          <w:rFonts w:cs="Calibri"/>
          <w:sz w:val="21"/>
          <w:szCs w:val="21"/>
          <w:lang w:val="en-GB"/>
        </w:rPr>
        <w:t xml:space="preserve"> </w:t>
      </w:r>
    </w:p>
    <w:p w14:paraId="0F9E8A12" w14:textId="70E0DBE5" w:rsidR="001F4F4E" w:rsidRPr="003D6D53" w:rsidRDefault="002337F6" w:rsidP="001F4F4E">
      <w:pPr>
        <w:spacing w:after="0" w:line="240" w:lineRule="auto"/>
        <w:rPr>
          <w:rStyle w:val="Hipercze"/>
          <w:rFonts w:cs="Calibri"/>
          <w:sz w:val="21"/>
          <w:szCs w:val="21"/>
          <w:lang w:val="en-GB"/>
        </w:rPr>
      </w:pPr>
      <w:r w:rsidRPr="00CA48F5">
        <w:rPr>
          <w:rFonts w:cs="Calibri"/>
          <w:sz w:val="21"/>
          <w:szCs w:val="21"/>
          <w:lang w:val="en-GB"/>
        </w:rPr>
        <w:t>http://absl.pl/wp-content/uploads/2018/06/raport_absl_2018_EN_180527_epub.pdf</w:t>
      </w:r>
    </w:p>
    <w:p w14:paraId="50239DBE" w14:textId="416D86DB" w:rsidR="003D6D53" w:rsidRDefault="00FF4AF1" w:rsidP="001F4F4E">
      <w:pPr>
        <w:spacing w:after="0" w:line="240" w:lineRule="auto"/>
        <w:rPr>
          <w:rFonts w:cs="Calibri"/>
          <w:sz w:val="21"/>
          <w:szCs w:val="21"/>
          <w:lang w:val="en-GB"/>
        </w:rPr>
      </w:pPr>
      <w:r w:rsidRPr="001F4F4E">
        <w:rPr>
          <w:lang w:val="en-GB"/>
        </w:rPr>
        <w:t>ABSL (201</w:t>
      </w:r>
      <w:r>
        <w:rPr>
          <w:lang w:val="en-GB"/>
        </w:rPr>
        <w:t>9</w:t>
      </w:r>
      <w:r w:rsidRPr="001F4F4E">
        <w:rPr>
          <w:lang w:val="en-GB"/>
        </w:rPr>
        <w:t xml:space="preserve">). </w:t>
      </w:r>
      <w:r w:rsidRPr="001F4F4E">
        <w:rPr>
          <w:i/>
          <w:lang w:val="en-GB"/>
        </w:rPr>
        <w:t>Business Services Sector In Poland 201</w:t>
      </w:r>
      <w:r>
        <w:rPr>
          <w:i/>
          <w:lang w:val="en-GB"/>
        </w:rPr>
        <w:t>9</w:t>
      </w:r>
      <w:r w:rsidRPr="001F4F4E">
        <w:rPr>
          <w:lang w:val="en-GB"/>
        </w:rPr>
        <w:t xml:space="preserve">, </w:t>
      </w:r>
      <w:r w:rsidRPr="00254AB9">
        <w:rPr>
          <w:rFonts w:cs="Calibri"/>
          <w:sz w:val="21"/>
          <w:szCs w:val="21"/>
          <w:lang w:val="en-GB"/>
        </w:rPr>
        <w:t>ABSL, JLL, Randstad Polska &amp; Randstad Sourceright, EY, Everest Group</w:t>
      </w:r>
      <w:r>
        <w:rPr>
          <w:rFonts w:ascii="Roboto-Regular" w:hAnsi="Roboto-Regular" w:cs="Roboto-Regular"/>
          <w:color w:val="565655"/>
          <w:sz w:val="20"/>
          <w:szCs w:val="20"/>
          <w:lang w:val="en-GB"/>
        </w:rPr>
        <w:t xml:space="preserve">, </w:t>
      </w:r>
      <w:r w:rsidRPr="00254AB9">
        <w:rPr>
          <w:rFonts w:cs="Calibri"/>
          <w:sz w:val="21"/>
          <w:szCs w:val="21"/>
          <w:lang w:val="en-GB"/>
        </w:rPr>
        <w:t>Kraków</w:t>
      </w:r>
      <w:r w:rsidR="003D6D53">
        <w:rPr>
          <w:rFonts w:cs="Calibri"/>
          <w:sz w:val="21"/>
          <w:szCs w:val="21"/>
          <w:lang w:val="en-GB"/>
        </w:rPr>
        <w:t xml:space="preserve"> </w:t>
      </w:r>
    </w:p>
    <w:p w14:paraId="01676DA0" w14:textId="06290FEA" w:rsidR="00FF4AF1" w:rsidRPr="00254AB9" w:rsidRDefault="00EE5A79" w:rsidP="001F4F4E">
      <w:pPr>
        <w:spacing w:after="0" w:line="240" w:lineRule="auto"/>
        <w:rPr>
          <w:rFonts w:cs="Calibri"/>
          <w:sz w:val="21"/>
          <w:szCs w:val="21"/>
          <w:lang w:val="en-GB"/>
        </w:rPr>
      </w:pPr>
      <w:r w:rsidRPr="00CA48F5">
        <w:rPr>
          <w:rFonts w:cs="Calibri"/>
          <w:sz w:val="21"/>
          <w:szCs w:val="21"/>
          <w:lang w:val="en-GB"/>
        </w:rPr>
        <w:t>https://absl.pl/wp-content/uploads/2019/06/raport_absl_2019_EN_190602_epub.pdf</w:t>
      </w:r>
      <w:r>
        <w:rPr>
          <w:rFonts w:cs="Calibri"/>
          <w:sz w:val="21"/>
          <w:szCs w:val="21"/>
          <w:lang w:val="en-GB"/>
        </w:rPr>
        <w:t xml:space="preserve"> </w:t>
      </w:r>
    </w:p>
    <w:p w14:paraId="77E5404E" w14:textId="77777777" w:rsidR="0082601F" w:rsidRPr="009760C6" w:rsidRDefault="001C57C2" w:rsidP="0037394A">
      <w:pPr>
        <w:spacing w:after="0" w:line="240" w:lineRule="auto"/>
        <w:rPr>
          <w:lang w:val="en-US"/>
        </w:rPr>
      </w:pPr>
      <w:r w:rsidRPr="003D6D53">
        <w:rPr>
          <w:rFonts w:cs="Calibri"/>
          <w:sz w:val="21"/>
          <w:szCs w:val="21"/>
        </w:rPr>
        <w:t xml:space="preserve">Augustyński I. (2017). </w:t>
      </w:r>
      <w:r w:rsidRPr="003D6D53">
        <w:rPr>
          <w:rFonts w:cs="Calibri"/>
          <w:i/>
          <w:sz w:val="21"/>
          <w:szCs w:val="21"/>
        </w:rPr>
        <w:t>Iluzje specjalnych str</w:t>
      </w:r>
      <w:r w:rsidRPr="00254AB9">
        <w:rPr>
          <w:rFonts w:cs="Calibri"/>
          <w:i/>
          <w:sz w:val="21"/>
          <w:szCs w:val="21"/>
        </w:rPr>
        <w:t>ef ekonomicznych</w:t>
      </w:r>
      <w:r w:rsidRPr="00254AB9">
        <w:rPr>
          <w:rFonts w:cs="Calibri"/>
          <w:sz w:val="21"/>
          <w:szCs w:val="21"/>
        </w:rPr>
        <w:t>, [w:] Prace Naukowe Uniwersytetu Ekonomicznego we Wrocławiu, nr 466.</w:t>
      </w:r>
      <w:r w:rsidR="003D6D53">
        <w:rPr>
          <w:rFonts w:cs="Calibri"/>
          <w:sz w:val="21"/>
          <w:szCs w:val="21"/>
        </w:rPr>
        <w:t xml:space="preserve"> </w:t>
      </w:r>
      <w:r w:rsidR="0082601F" w:rsidRPr="009760C6">
        <w:rPr>
          <w:lang w:val="en-US"/>
        </w:rPr>
        <w:t>DOI: 10.15611/pn.2017.466.01</w:t>
      </w:r>
    </w:p>
    <w:p w14:paraId="30E0DE7C" w14:textId="74AE6A7E" w:rsidR="0082601F" w:rsidRPr="003D6D53" w:rsidRDefault="001C57C2" w:rsidP="0037394A">
      <w:pPr>
        <w:spacing w:after="0" w:line="240" w:lineRule="auto"/>
        <w:rPr>
          <w:sz w:val="21"/>
          <w:szCs w:val="21"/>
          <w:lang w:val="en-US"/>
        </w:rPr>
      </w:pPr>
      <w:r w:rsidRPr="003D6D53">
        <w:rPr>
          <w:sz w:val="21"/>
          <w:szCs w:val="21"/>
          <w:lang w:val="en-US"/>
        </w:rPr>
        <w:t>Bank Światowy (2018)</w:t>
      </w:r>
      <w:r w:rsidR="009A31E8">
        <w:rPr>
          <w:sz w:val="21"/>
          <w:szCs w:val="21"/>
          <w:lang w:val="en-US"/>
        </w:rPr>
        <w:t>.</w:t>
      </w:r>
      <w:r w:rsidRPr="003D6D53">
        <w:rPr>
          <w:sz w:val="21"/>
          <w:szCs w:val="21"/>
          <w:lang w:val="en-US"/>
        </w:rPr>
        <w:t xml:space="preserve"> Raport Doing Business 20</w:t>
      </w:r>
      <w:r w:rsidR="00251321" w:rsidRPr="003D6D53">
        <w:rPr>
          <w:sz w:val="21"/>
          <w:szCs w:val="21"/>
          <w:lang w:val="en-US"/>
        </w:rPr>
        <w:t>19</w:t>
      </w:r>
      <w:r w:rsidRPr="003D6D53">
        <w:rPr>
          <w:sz w:val="21"/>
          <w:szCs w:val="21"/>
          <w:lang w:val="en-US"/>
        </w:rPr>
        <w:t>.</w:t>
      </w:r>
      <w:r w:rsidR="003D6D53">
        <w:rPr>
          <w:sz w:val="21"/>
          <w:szCs w:val="21"/>
          <w:lang w:val="en-US"/>
        </w:rPr>
        <w:t xml:space="preserve"> </w:t>
      </w:r>
      <w:r w:rsidR="00251321" w:rsidRPr="003D6D53">
        <w:rPr>
          <w:lang w:val="en-US"/>
        </w:rPr>
        <w:t>https://www.doingbusiness.org/en/data</w:t>
      </w:r>
    </w:p>
    <w:p w14:paraId="3DC3FA83" w14:textId="29AAD09F" w:rsidR="0037058C" w:rsidRPr="00CB07D4" w:rsidRDefault="0037058C" w:rsidP="0037394A">
      <w:pPr>
        <w:spacing w:after="0" w:line="240" w:lineRule="auto"/>
        <w:rPr>
          <w:sz w:val="21"/>
          <w:lang w:val="en-US"/>
        </w:rPr>
      </w:pPr>
      <w:r w:rsidRPr="009760C6">
        <w:rPr>
          <w:rFonts w:cs="Calibri"/>
          <w:sz w:val="21"/>
          <w:szCs w:val="21"/>
          <w:lang w:val="en-US"/>
        </w:rPr>
        <w:t xml:space="preserve">Coase R. </w:t>
      </w:r>
      <w:r w:rsidRPr="00CB07D4">
        <w:rPr>
          <w:sz w:val="21"/>
          <w:lang w:val="en-US"/>
        </w:rPr>
        <w:t>(1988</w:t>
      </w:r>
      <w:r w:rsidRPr="004042CB">
        <w:rPr>
          <w:rFonts w:cs="Calibri"/>
          <w:sz w:val="21"/>
          <w:szCs w:val="21"/>
          <w:lang w:val="en-US"/>
        </w:rPr>
        <w:t>)</w:t>
      </w:r>
      <w:r w:rsidR="009A31E8" w:rsidRPr="00CB07D4">
        <w:rPr>
          <w:rFonts w:cs="Calibri"/>
          <w:sz w:val="21"/>
          <w:szCs w:val="21"/>
          <w:lang w:val="en-US"/>
        </w:rPr>
        <w:t>.</w:t>
      </w:r>
      <w:r w:rsidRPr="00CB07D4">
        <w:rPr>
          <w:sz w:val="21"/>
          <w:lang w:val="en-US"/>
        </w:rPr>
        <w:t xml:space="preserve"> </w:t>
      </w:r>
      <w:r w:rsidRPr="00CB07D4">
        <w:rPr>
          <w:i/>
          <w:sz w:val="21"/>
          <w:lang w:val="en-US"/>
        </w:rPr>
        <w:t>The Firm, the Market and the Law</w:t>
      </w:r>
    </w:p>
    <w:p w14:paraId="226E47A9" w14:textId="77777777" w:rsidR="008B1384" w:rsidRPr="00254AB9" w:rsidRDefault="008B1384" w:rsidP="0037394A">
      <w:pPr>
        <w:spacing w:after="0" w:line="240" w:lineRule="auto"/>
        <w:rPr>
          <w:rFonts w:cs="Calibri"/>
          <w:sz w:val="21"/>
          <w:szCs w:val="21"/>
        </w:rPr>
      </w:pPr>
      <w:r w:rsidRPr="00254AB9">
        <w:rPr>
          <w:rFonts w:cs="Calibri"/>
          <w:sz w:val="21"/>
          <w:szCs w:val="21"/>
        </w:rPr>
        <w:t xml:space="preserve">Czapiński </w:t>
      </w:r>
      <w:r w:rsidRPr="007B0DD3">
        <w:t xml:space="preserve">J., </w:t>
      </w:r>
      <w:r w:rsidRPr="00A02231">
        <w:t xml:space="preserve">Panek T. (2015). </w:t>
      </w:r>
      <w:r w:rsidR="00366EC2">
        <w:rPr>
          <w:i/>
        </w:rPr>
        <w:t>Diagnoza społeczna</w:t>
      </w:r>
      <w:r>
        <w:t>.</w:t>
      </w:r>
      <w:r w:rsidR="003D6D53">
        <w:t xml:space="preserve"> </w:t>
      </w:r>
      <w:r w:rsidRPr="00254AB9">
        <w:rPr>
          <w:rFonts w:cs="Calibri"/>
          <w:sz w:val="21"/>
          <w:szCs w:val="21"/>
        </w:rPr>
        <w:t>http://www.diagnoza.com/</w:t>
      </w:r>
    </w:p>
    <w:p w14:paraId="7BBFF096" w14:textId="6923AA41" w:rsidR="00075037" w:rsidRPr="00254AB9" w:rsidRDefault="001C57C2" w:rsidP="00CB07D4">
      <w:pPr>
        <w:spacing w:after="0" w:line="240" w:lineRule="auto"/>
        <w:jc w:val="left"/>
        <w:rPr>
          <w:rFonts w:cs="Calibri"/>
          <w:sz w:val="21"/>
          <w:szCs w:val="21"/>
        </w:rPr>
      </w:pPr>
      <w:r w:rsidRPr="00254AB9">
        <w:rPr>
          <w:rFonts w:cs="Calibri"/>
          <w:sz w:val="21"/>
          <w:szCs w:val="21"/>
        </w:rPr>
        <w:t xml:space="preserve">Czernek K. (2017). </w:t>
      </w:r>
      <w:r w:rsidRPr="00254AB9">
        <w:rPr>
          <w:rFonts w:cs="Calibri"/>
          <w:i/>
          <w:sz w:val="21"/>
          <w:szCs w:val="21"/>
        </w:rPr>
        <w:t>Zakorzenienie społeczne jako stymulanta zaufania</w:t>
      </w:r>
      <w:r w:rsidR="006343E1">
        <w:rPr>
          <w:rFonts w:cs="Calibri"/>
          <w:i/>
          <w:sz w:val="21"/>
          <w:szCs w:val="21"/>
        </w:rPr>
        <w:t xml:space="preserve"> </w:t>
      </w:r>
      <w:r w:rsidR="006343E1" w:rsidRPr="00254AB9">
        <w:rPr>
          <w:rFonts w:cs="Calibri"/>
          <w:i/>
          <w:sz w:val="21"/>
          <w:szCs w:val="21"/>
        </w:rPr>
        <w:t>w</w:t>
      </w:r>
      <w:r w:rsidR="006343E1">
        <w:rPr>
          <w:rFonts w:cs="Calibri"/>
          <w:i/>
          <w:sz w:val="21"/>
          <w:szCs w:val="21"/>
        </w:rPr>
        <w:t> </w:t>
      </w:r>
      <w:r w:rsidRPr="00254AB9">
        <w:rPr>
          <w:rFonts w:cs="Calibri"/>
          <w:i/>
          <w:sz w:val="21"/>
          <w:szCs w:val="21"/>
        </w:rPr>
        <w:t>kooperacji przedsiębiorstw</w:t>
      </w:r>
      <w:r w:rsidR="00CA48F5">
        <w:rPr>
          <w:rFonts w:cs="Calibri"/>
          <w:i/>
          <w:sz w:val="21"/>
          <w:szCs w:val="21"/>
        </w:rPr>
        <w:t>,</w:t>
      </w:r>
      <w:r w:rsidRPr="00254AB9">
        <w:rPr>
          <w:rFonts w:cs="Calibri"/>
          <w:sz w:val="21"/>
          <w:szCs w:val="21"/>
        </w:rPr>
        <w:t xml:space="preserve"> [w:] Organizacja</w:t>
      </w:r>
      <w:r w:rsidR="006343E1">
        <w:rPr>
          <w:rFonts w:cs="Calibri"/>
          <w:sz w:val="21"/>
          <w:szCs w:val="21"/>
        </w:rPr>
        <w:t xml:space="preserve"> </w:t>
      </w:r>
      <w:r w:rsidR="006343E1" w:rsidRPr="00254AB9">
        <w:rPr>
          <w:rFonts w:cs="Calibri"/>
          <w:sz w:val="21"/>
          <w:szCs w:val="21"/>
        </w:rPr>
        <w:t>i</w:t>
      </w:r>
      <w:r w:rsidR="006343E1">
        <w:rPr>
          <w:rFonts w:cs="Calibri"/>
          <w:sz w:val="21"/>
          <w:szCs w:val="21"/>
        </w:rPr>
        <w:t> </w:t>
      </w:r>
      <w:r w:rsidR="009A31E8">
        <w:rPr>
          <w:rFonts w:cs="Calibri"/>
          <w:sz w:val="21"/>
          <w:szCs w:val="21"/>
        </w:rPr>
        <w:t>K</w:t>
      </w:r>
      <w:r w:rsidRPr="00254AB9">
        <w:rPr>
          <w:rFonts w:cs="Calibri"/>
          <w:sz w:val="21"/>
          <w:szCs w:val="21"/>
        </w:rPr>
        <w:t xml:space="preserve">ierowanie, nr 2 (176), s. 199 – 213 </w:t>
      </w:r>
      <w:r w:rsidR="003D6D53">
        <w:rPr>
          <w:rFonts w:cs="Calibri"/>
          <w:sz w:val="21"/>
          <w:szCs w:val="21"/>
        </w:rPr>
        <w:t xml:space="preserve"> </w:t>
      </w:r>
      <w:r w:rsidR="00075037" w:rsidRPr="00CA48F5">
        <w:rPr>
          <w:rFonts w:cs="Calibri"/>
          <w:sz w:val="21"/>
          <w:szCs w:val="21"/>
        </w:rPr>
        <w:t>http://kolegia.sgh.waw.pl/pl/KZiF/czasopisma/oik/numery/Documents/2017_NR_2_(176).pdf</w:t>
      </w:r>
    </w:p>
    <w:p w14:paraId="0D7DB4AA" w14:textId="28D829B1" w:rsidR="003D6D53" w:rsidRDefault="001C57C2" w:rsidP="0037394A">
      <w:pPr>
        <w:spacing w:after="0" w:line="240" w:lineRule="auto"/>
        <w:rPr>
          <w:rFonts w:cs="Calibri"/>
          <w:sz w:val="21"/>
          <w:szCs w:val="21"/>
        </w:rPr>
      </w:pPr>
      <w:r w:rsidRPr="00254AB9">
        <w:rPr>
          <w:rFonts w:cs="Calibri"/>
          <w:sz w:val="21"/>
          <w:szCs w:val="21"/>
        </w:rPr>
        <w:t>Deloitte (2016a)</w:t>
      </w:r>
      <w:r w:rsidR="00075037" w:rsidRPr="00254AB9">
        <w:rPr>
          <w:rFonts w:cs="Calibri"/>
          <w:sz w:val="21"/>
          <w:szCs w:val="21"/>
        </w:rPr>
        <w:t>.</w:t>
      </w:r>
      <w:r w:rsidRPr="00254AB9">
        <w:rPr>
          <w:rFonts w:cs="Calibri"/>
          <w:sz w:val="21"/>
          <w:szCs w:val="21"/>
        </w:rPr>
        <w:t xml:space="preserve"> </w:t>
      </w:r>
      <w:r w:rsidRPr="00254AB9">
        <w:rPr>
          <w:rFonts w:cs="Calibri"/>
          <w:i/>
          <w:sz w:val="21"/>
          <w:szCs w:val="21"/>
        </w:rPr>
        <w:t>Badania</w:t>
      </w:r>
      <w:r w:rsidR="006343E1">
        <w:rPr>
          <w:rFonts w:cs="Calibri"/>
          <w:i/>
          <w:sz w:val="21"/>
          <w:szCs w:val="21"/>
        </w:rPr>
        <w:t xml:space="preserve"> </w:t>
      </w:r>
      <w:r w:rsidR="006343E1" w:rsidRPr="00254AB9">
        <w:rPr>
          <w:rFonts w:cs="Calibri"/>
          <w:i/>
          <w:sz w:val="21"/>
          <w:szCs w:val="21"/>
        </w:rPr>
        <w:t>i</w:t>
      </w:r>
      <w:r w:rsidR="006343E1">
        <w:rPr>
          <w:rFonts w:cs="Calibri"/>
          <w:i/>
          <w:sz w:val="21"/>
          <w:szCs w:val="21"/>
        </w:rPr>
        <w:t> </w:t>
      </w:r>
      <w:r w:rsidRPr="00254AB9">
        <w:rPr>
          <w:rFonts w:cs="Calibri"/>
          <w:i/>
          <w:sz w:val="21"/>
          <w:szCs w:val="21"/>
        </w:rPr>
        <w:t>rozwój</w:t>
      </w:r>
      <w:r w:rsidR="006343E1">
        <w:rPr>
          <w:rFonts w:cs="Calibri"/>
          <w:i/>
          <w:sz w:val="21"/>
          <w:szCs w:val="21"/>
        </w:rPr>
        <w:t xml:space="preserve"> </w:t>
      </w:r>
      <w:r w:rsidR="006343E1" w:rsidRPr="00254AB9">
        <w:rPr>
          <w:rFonts w:cs="Calibri"/>
          <w:i/>
          <w:sz w:val="21"/>
          <w:szCs w:val="21"/>
        </w:rPr>
        <w:t>w</w:t>
      </w:r>
      <w:r w:rsidR="006343E1">
        <w:rPr>
          <w:rFonts w:cs="Calibri"/>
          <w:i/>
          <w:sz w:val="21"/>
          <w:szCs w:val="21"/>
        </w:rPr>
        <w:t> </w:t>
      </w:r>
      <w:r w:rsidRPr="00254AB9">
        <w:rPr>
          <w:rFonts w:cs="Calibri"/>
          <w:i/>
          <w:sz w:val="21"/>
          <w:szCs w:val="21"/>
        </w:rPr>
        <w:t>przedsiębiorstwach</w:t>
      </w:r>
      <w:r w:rsidRPr="00254AB9">
        <w:rPr>
          <w:rFonts w:cs="Calibri"/>
          <w:sz w:val="21"/>
          <w:szCs w:val="21"/>
        </w:rPr>
        <w:t xml:space="preserve"> </w:t>
      </w:r>
    </w:p>
    <w:p w14:paraId="2A888F23" w14:textId="473689E3" w:rsidR="00075037" w:rsidRPr="00254AB9" w:rsidRDefault="00075037" w:rsidP="0037394A">
      <w:pPr>
        <w:spacing w:after="0" w:line="240" w:lineRule="auto"/>
        <w:rPr>
          <w:rFonts w:cs="Calibri"/>
          <w:sz w:val="21"/>
          <w:szCs w:val="21"/>
        </w:rPr>
      </w:pPr>
      <w:r w:rsidRPr="00CA48F5">
        <w:rPr>
          <w:rFonts w:cs="Calibri"/>
          <w:sz w:val="21"/>
          <w:szCs w:val="21"/>
        </w:rPr>
        <w:t>https://www2.deloitte.com/pl/pl/pages/zarzadzania-procesami-i-strategiczne/articles/innowacje/badania-i-rozwoj-w-przedsiebiorstwach-2016-raport.html</w:t>
      </w:r>
    </w:p>
    <w:p w14:paraId="53E80017" w14:textId="07C43D6D" w:rsidR="001C57C2" w:rsidRPr="00254AB9" w:rsidRDefault="001C57C2" w:rsidP="0037394A">
      <w:pPr>
        <w:spacing w:after="0" w:line="240" w:lineRule="auto"/>
        <w:rPr>
          <w:rFonts w:cs="Calibri"/>
          <w:sz w:val="21"/>
          <w:szCs w:val="21"/>
        </w:rPr>
      </w:pPr>
      <w:r w:rsidRPr="00254AB9">
        <w:rPr>
          <w:rFonts w:cs="Calibri"/>
          <w:sz w:val="21"/>
          <w:szCs w:val="21"/>
        </w:rPr>
        <w:t>Deloitte (2016b)</w:t>
      </w:r>
      <w:r w:rsidR="00075037" w:rsidRPr="00254AB9">
        <w:rPr>
          <w:rFonts w:cs="Calibri"/>
          <w:sz w:val="21"/>
          <w:szCs w:val="21"/>
        </w:rPr>
        <w:t>.</w:t>
      </w:r>
      <w:r w:rsidRPr="00254AB9">
        <w:rPr>
          <w:rFonts w:cs="Calibri"/>
          <w:sz w:val="21"/>
          <w:szCs w:val="21"/>
        </w:rPr>
        <w:t xml:space="preserve"> </w:t>
      </w:r>
      <w:r w:rsidR="00075037" w:rsidRPr="00254AB9">
        <w:rPr>
          <w:rFonts w:cs="Calibri"/>
          <w:i/>
          <w:sz w:val="21"/>
          <w:szCs w:val="21"/>
        </w:rPr>
        <w:t>Diagnoza ekosystemu startupów</w:t>
      </w:r>
      <w:r w:rsidR="006343E1">
        <w:rPr>
          <w:rFonts w:cs="Calibri"/>
          <w:i/>
          <w:sz w:val="21"/>
          <w:szCs w:val="21"/>
        </w:rPr>
        <w:t xml:space="preserve"> </w:t>
      </w:r>
      <w:r w:rsidR="006343E1" w:rsidRPr="00254AB9">
        <w:rPr>
          <w:rFonts w:cs="Calibri"/>
          <w:i/>
          <w:sz w:val="21"/>
          <w:szCs w:val="21"/>
        </w:rPr>
        <w:t>w</w:t>
      </w:r>
      <w:r w:rsidR="006343E1">
        <w:rPr>
          <w:rFonts w:cs="Calibri"/>
          <w:i/>
          <w:sz w:val="21"/>
          <w:szCs w:val="21"/>
        </w:rPr>
        <w:t> </w:t>
      </w:r>
      <w:r w:rsidR="00075037" w:rsidRPr="00254AB9">
        <w:rPr>
          <w:rFonts w:cs="Calibri"/>
          <w:i/>
          <w:sz w:val="21"/>
          <w:szCs w:val="21"/>
        </w:rPr>
        <w:t>Polsce</w:t>
      </w:r>
      <w:r w:rsidRPr="00254AB9">
        <w:rPr>
          <w:rFonts w:cs="Calibri"/>
          <w:sz w:val="21"/>
          <w:szCs w:val="21"/>
        </w:rPr>
        <w:t xml:space="preserve">, Warszawa </w:t>
      </w:r>
    </w:p>
    <w:p w14:paraId="06584C0C" w14:textId="5606821E" w:rsidR="00075037" w:rsidRPr="00254AB9" w:rsidRDefault="00075037" w:rsidP="0037394A">
      <w:pPr>
        <w:spacing w:after="0" w:line="240" w:lineRule="auto"/>
        <w:rPr>
          <w:rFonts w:cs="Calibri"/>
          <w:sz w:val="21"/>
          <w:szCs w:val="21"/>
        </w:rPr>
      </w:pPr>
      <w:r w:rsidRPr="00CA48F5">
        <w:rPr>
          <w:rFonts w:cs="Calibri"/>
          <w:sz w:val="21"/>
          <w:szCs w:val="21"/>
        </w:rPr>
        <w:t>https://www2.deloitte.com/pl/pl/pages/zarzadzania-procesami-i-strategiczne/articles/innowacje/startup-ankieta2016-2.html</w:t>
      </w:r>
    </w:p>
    <w:p w14:paraId="046A2C19" w14:textId="77777777" w:rsidR="005E4C2C" w:rsidRPr="00254AB9" w:rsidRDefault="005E4C2C" w:rsidP="0037394A">
      <w:pPr>
        <w:spacing w:after="0" w:line="240" w:lineRule="auto"/>
        <w:rPr>
          <w:rFonts w:cs="Calibri"/>
          <w:sz w:val="21"/>
          <w:szCs w:val="21"/>
        </w:rPr>
      </w:pPr>
      <w:r w:rsidRPr="00254AB9">
        <w:rPr>
          <w:rFonts w:cs="Calibri"/>
          <w:sz w:val="21"/>
          <w:szCs w:val="21"/>
        </w:rPr>
        <w:t>Eurostat (201</w:t>
      </w:r>
      <w:r w:rsidR="00251321">
        <w:rPr>
          <w:rFonts w:cs="Calibri"/>
          <w:sz w:val="21"/>
          <w:szCs w:val="21"/>
        </w:rPr>
        <w:t>9</w:t>
      </w:r>
      <w:r w:rsidRPr="00254AB9">
        <w:rPr>
          <w:rFonts w:cs="Calibri"/>
          <w:sz w:val="21"/>
          <w:szCs w:val="21"/>
        </w:rPr>
        <w:t xml:space="preserve">). </w:t>
      </w:r>
      <w:r w:rsidRPr="00254AB9">
        <w:rPr>
          <w:rFonts w:cs="Calibri"/>
          <w:i/>
          <w:sz w:val="21"/>
          <w:szCs w:val="21"/>
        </w:rPr>
        <w:t xml:space="preserve">Bilans przedsiębiorstw. </w:t>
      </w:r>
      <w:r w:rsidRPr="00254AB9">
        <w:rPr>
          <w:rFonts w:cs="Calibri"/>
          <w:sz w:val="21"/>
          <w:szCs w:val="21"/>
        </w:rPr>
        <w:t>[nasa_10_f_bs]</w:t>
      </w:r>
    </w:p>
    <w:p w14:paraId="782A7659" w14:textId="0E753513" w:rsidR="001C57C2" w:rsidRPr="00254AB9" w:rsidRDefault="001C57C2" w:rsidP="0037394A">
      <w:pPr>
        <w:spacing w:after="0" w:line="240" w:lineRule="auto"/>
        <w:rPr>
          <w:rFonts w:cs="Calibri"/>
          <w:sz w:val="21"/>
          <w:szCs w:val="21"/>
        </w:rPr>
      </w:pPr>
      <w:r w:rsidRPr="00254AB9">
        <w:rPr>
          <w:rFonts w:cs="Calibri"/>
          <w:sz w:val="21"/>
          <w:szCs w:val="21"/>
        </w:rPr>
        <w:t>Fundacja StartUp Poland (2018)</w:t>
      </w:r>
      <w:r w:rsidR="00075037" w:rsidRPr="00254AB9">
        <w:rPr>
          <w:rFonts w:cs="Calibri"/>
          <w:sz w:val="21"/>
          <w:szCs w:val="21"/>
        </w:rPr>
        <w:t>.</w:t>
      </w:r>
      <w:r w:rsidRPr="00254AB9">
        <w:rPr>
          <w:rFonts w:cs="Calibri"/>
          <w:sz w:val="21"/>
          <w:szCs w:val="21"/>
        </w:rPr>
        <w:t xml:space="preserve"> </w:t>
      </w:r>
      <w:r w:rsidRPr="00254AB9">
        <w:rPr>
          <w:rFonts w:cs="Calibri"/>
          <w:i/>
          <w:sz w:val="21"/>
          <w:szCs w:val="21"/>
        </w:rPr>
        <w:t>Złota Księga Venture Capital 2018</w:t>
      </w:r>
      <w:r w:rsidRPr="00254AB9">
        <w:rPr>
          <w:rFonts w:cs="Calibri"/>
          <w:sz w:val="21"/>
          <w:szCs w:val="21"/>
        </w:rPr>
        <w:t>, Warszawa</w:t>
      </w:r>
    </w:p>
    <w:p w14:paraId="100B282D" w14:textId="5A76D003" w:rsidR="00075037" w:rsidRPr="00254AB9" w:rsidRDefault="00075037" w:rsidP="0037394A">
      <w:pPr>
        <w:spacing w:after="0" w:line="240" w:lineRule="auto"/>
        <w:rPr>
          <w:rFonts w:cs="Calibri"/>
          <w:sz w:val="21"/>
          <w:szCs w:val="21"/>
        </w:rPr>
      </w:pPr>
      <w:r w:rsidRPr="00CA48F5">
        <w:rPr>
          <w:rFonts w:cs="Calibri"/>
          <w:sz w:val="21"/>
          <w:szCs w:val="21"/>
        </w:rPr>
        <w:t>http://startuppoland.org/knowledge/zlota-ksiega-venture-capital-w-polsce-2018/</w:t>
      </w:r>
    </w:p>
    <w:p w14:paraId="1710F2EF" w14:textId="2BFE706B" w:rsidR="001C57C2" w:rsidRPr="00254AB9" w:rsidRDefault="001C57C2" w:rsidP="0037394A">
      <w:pPr>
        <w:spacing w:after="0" w:line="240" w:lineRule="auto"/>
        <w:rPr>
          <w:rFonts w:cs="Calibri"/>
          <w:sz w:val="21"/>
          <w:szCs w:val="21"/>
        </w:rPr>
      </w:pPr>
      <w:r w:rsidRPr="00254AB9">
        <w:rPr>
          <w:rFonts w:cs="Calibri"/>
          <w:sz w:val="21"/>
          <w:szCs w:val="21"/>
        </w:rPr>
        <w:t xml:space="preserve">Gajewski M., Kubajek R., Pietrzak B., Szczucki J., Witkowska J., Przybyłowski M., Tamowicz P., Zamojska A. (2017). </w:t>
      </w:r>
      <w:r w:rsidRPr="00254AB9">
        <w:rPr>
          <w:rFonts w:cs="Calibri"/>
          <w:i/>
          <w:sz w:val="21"/>
          <w:szCs w:val="21"/>
        </w:rPr>
        <w:t>Efektywność systemu funduszy venture capital wspartych przez KFK S.A. ze środków POIG, 2007</w:t>
      </w:r>
      <w:r w:rsidR="009A31E8">
        <w:rPr>
          <w:rFonts w:ascii="Times New Roman" w:hAnsi="Times New Roman" w:cs="Times New Roman"/>
          <w:i/>
          <w:sz w:val="21"/>
          <w:szCs w:val="21"/>
        </w:rPr>
        <w:t>–</w:t>
      </w:r>
      <w:r w:rsidRPr="00254AB9">
        <w:rPr>
          <w:rFonts w:cs="Calibri"/>
          <w:i/>
          <w:sz w:val="21"/>
          <w:szCs w:val="21"/>
        </w:rPr>
        <w:t>2013</w:t>
      </w:r>
      <w:r w:rsidRPr="00254AB9">
        <w:rPr>
          <w:rFonts w:cs="Calibri"/>
          <w:sz w:val="21"/>
          <w:szCs w:val="21"/>
        </w:rPr>
        <w:t>, PAG Uniconsult, Taylor Economics, Warszawa</w:t>
      </w:r>
    </w:p>
    <w:p w14:paraId="0044713A" w14:textId="595CAEA8" w:rsidR="00075037" w:rsidRPr="00254AB9" w:rsidRDefault="00075037" w:rsidP="0037394A">
      <w:pPr>
        <w:spacing w:after="0" w:line="240" w:lineRule="auto"/>
        <w:rPr>
          <w:rFonts w:cs="Calibri"/>
          <w:sz w:val="21"/>
          <w:szCs w:val="21"/>
        </w:rPr>
      </w:pPr>
      <w:r w:rsidRPr="00CA48F5">
        <w:rPr>
          <w:rFonts w:cs="Calibri"/>
          <w:sz w:val="21"/>
          <w:szCs w:val="21"/>
        </w:rPr>
        <w:t>https://www.ewaluacja.gov.pl/strony/badania-i-analizy/wyniki-badan-ewaluacyjnych/badania-ewaluacyjne/efektywnosc-systemu-funduszy-venture-capital-wspartych-przez-kfk-sa-ze-srodkow-po-ig-2007-2013/</w:t>
      </w:r>
    </w:p>
    <w:p w14:paraId="5CB86C99" w14:textId="32297BF8" w:rsidR="001C57C2" w:rsidRPr="00254AB9" w:rsidRDefault="001C57C2" w:rsidP="0037394A">
      <w:pPr>
        <w:spacing w:after="0" w:line="240" w:lineRule="auto"/>
        <w:rPr>
          <w:rFonts w:cs="Calibri"/>
          <w:sz w:val="21"/>
          <w:szCs w:val="21"/>
        </w:rPr>
      </w:pPr>
      <w:r w:rsidRPr="00254AB9">
        <w:rPr>
          <w:rFonts w:cs="Calibri"/>
          <w:sz w:val="21"/>
          <w:szCs w:val="21"/>
        </w:rPr>
        <w:t>Gajewski M., Szczucki J., Tamowicz P., Przybyłowski M. et al. (2015</w:t>
      </w:r>
      <w:r w:rsidRPr="00254AB9">
        <w:rPr>
          <w:rFonts w:cs="Calibri"/>
          <w:i/>
          <w:sz w:val="21"/>
          <w:szCs w:val="21"/>
        </w:rPr>
        <w:t>). Ocena stanu gotowości sektora badawczo-</w:t>
      </w:r>
      <w:r w:rsidR="009A31E8">
        <w:rPr>
          <w:rFonts w:cs="Calibri"/>
          <w:i/>
          <w:sz w:val="21"/>
          <w:szCs w:val="21"/>
        </w:rPr>
        <w:br/>
        <w:t>-</w:t>
      </w:r>
      <w:r w:rsidRPr="00254AB9">
        <w:rPr>
          <w:rFonts w:cs="Calibri"/>
          <w:i/>
          <w:sz w:val="21"/>
          <w:szCs w:val="21"/>
        </w:rPr>
        <w:t>rozwojowego</w:t>
      </w:r>
      <w:r w:rsidR="006343E1">
        <w:rPr>
          <w:rFonts w:cs="Calibri"/>
          <w:i/>
          <w:sz w:val="21"/>
          <w:szCs w:val="21"/>
        </w:rPr>
        <w:t xml:space="preserve"> </w:t>
      </w:r>
      <w:r w:rsidR="006343E1" w:rsidRPr="00254AB9">
        <w:rPr>
          <w:rFonts w:cs="Calibri"/>
          <w:i/>
          <w:sz w:val="21"/>
          <w:szCs w:val="21"/>
        </w:rPr>
        <w:t>w</w:t>
      </w:r>
      <w:r w:rsidR="006343E1">
        <w:rPr>
          <w:rFonts w:cs="Calibri"/>
          <w:i/>
          <w:sz w:val="21"/>
          <w:szCs w:val="21"/>
        </w:rPr>
        <w:t> </w:t>
      </w:r>
      <w:r w:rsidRPr="00254AB9">
        <w:rPr>
          <w:rFonts w:cs="Calibri"/>
          <w:i/>
          <w:sz w:val="21"/>
          <w:szCs w:val="21"/>
        </w:rPr>
        <w:t>Polsce do skorzystania</w:t>
      </w:r>
      <w:r w:rsidR="006343E1">
        <w:rPr>
          <w:rFonts w:cs="Calibri"/>
          <w:i/>
          <w:sz w:val="21"/>
          <w:szCs w:val="21"/>
        </w:rPr>
        <w:t xml:space="preserve"> </w:t>
      </w:r>
      <w:r w:rsidR="006343E1" w:rsidRPr="00254AB9">
        <w:rPr>
          <w:rFonts w:cs="Calibri"/>
          <w:i/>
          <w:sz w:val="21"/>
          <w:szCs w:val="21"/>
        </w:rPr>
        <w:t>z</w:t>
      </w:r>
      <w:r w:rsidR="006343E1">
        <w:rPr>
          <w:rFonts w:cs="Calibri"/>
          <w:i/>
          <w:sz w:val="21"/>
          <w:szCs w:val="21"/>
        </w:rPr>
        <w:t> </w:t>
      </w:r>
      <w:r w:rsidRPr="00254AB9">
        <w:rPr>
          <w:rFonts w:cs="Calibri"/>
          <w:i/>
          <w:sz w:val="21"/>
          <w:szCs w:val="21"/>
        </w:rPr>
        <w:t>możliwości wsparcia</w:t>
      </w:r>
      <w:r w:rsidR="006343E1">
        <w:rPr>
          <w:rFonts w:cs="Calibri"/>
          <w:i/>
          <w:sz w:val="21"/>
          <w:szCs w:val="21"/>
        </w:rPr>
        <w:t xml:space="preserve"> </w:t>
      </w:r>
      <w:r w:rsidR="006343E1" w:rsidRPr="00254AB9">
        <w:rPr>
          <w:rFonts w:cs="Calibri"/>
          <w:i/>
          <w:sz w:val="21"/>
          <w:szCs w:val="21"/>
        </w:rPr>
        <w:t>z</w:t>
      </w:r>
      <w:r w:rsidR="006343E1">
        <w:rPr>
          <w:rFonts w:cs="Calibri"/>
          <w:i/>
          <w:sz w:val="21"/>
          <w:szCs w:val="21"/>
        </w:rPr>
        <w:t> </w:t>
      </w:r>
      <w:r w:rsidRPr="00254AB9">
        <w:rPr>
          <w:rFonts w:cs="Calibri"/>
          <w:i/>
          <w:sz w:val="21"/>
          <w:szCs w:val="21"/>
        </w:rPr>
        <w:t>publiczno-prywatnych inwestycyjnych instrumentów finansowych</w:t>
      </w:r>
      <w:r w:rsidR="006343E1">
        <w:rPr>
          <w:rFonts w:cs="Calibri"/>
          <w:i/>
          <w:sz w:val="21"/>
          <w:szCs w:val="21"/>
        </w:rPr>
        <w:t xml:space="preserve"> </w:t>
      </w:r>
      <w:r w:rsidR="006343E1" w:rsidRPr="00254AB9">
        <w:rPr>
          <w:rFonts w:cs="Calibri"/>
          <w:i/>
          <w:sz w:val="21"/>
          <w:szCs w:val="21"/>
        </w:rPr>
        <w:t>w</w:t>
      </w:r>
      <w:r w:rsidR="006343E1">
        <w:rPr>
          <w:rFonts w:cs="Calibri"/>
          <w:i/>
          <w:sz w:val="21"/>
          <w:szCs w:val="21"/>
        </w:rPr>
        <w:t> </w:t>
      </w:r>
      <w:r w:rsidRPr="00254AB9">
        <w:rPr>
          <w:rFonts w:cs="Calibri"/>
          <w:i/>
          <w:sz w:val="21"/>
          <w:szCs w:val="21"/>
        </w:rPr>
        <w:t>latach 2014</w:t>
      </w:r>
      <w:r w:rsidR="009A31E8">
        <w:rPr>
          <w:rFonts w:ascii="Times New Roman" w:hAnsi="Times New Roman" w:cs="Times New Roman"/>
          <w:i/>
          <w:sz w:val="21"/>
          <w:szCs w:val="21"/>
        </w:rPr>
        <w:t>–</w:t>
      </w:r>
      <w:r w:rsidRPr="00254AB9">
        <w:rPr>
          <w:rFonts w:cs="Calibri"/>
          <w:i/>
          <w:sz w:val="21"/>
          <w:szCs w:val="21"/>
        </w:rPr>
        <w:t>2020 oraz możliwości wdrażania tych instrumentów przez Narodowe Centrum Badań</w:t>
      </w:r>
      <w:r w:rsidR="006343E1">
        <w:rPr>
          <w:rFonts w:cs="Calibri"/>
          <w:i/>
          <w:sz w:val="21"/>
          <w:szCs w:val="21"/>
        </w:rPr>
        <w:t xml:space="preserve"> </w:t>
      </w:r>
      <w:r w:rsidR="006343E1" w:rsidRPr="00254AB9">
        <w:rPr>
          <w:rFonts w:cs="Calibri"/>
          <w:i/>
          <w:sz w:val="21"/>
          <w:szCs w:val="21"/>
        </w:rPr>
        <w:t>i</w:t>
      </w:r>
      <w:r w:rsidR="006343E1">
        <w:rPr>
          <w:rFonts w:cs="Calibri"/>
          <w:i/>
          <w:sz w:val="21"/>
          <w:szCs w:val="21"/>
        </w:rPr>
        <w:t> </w:t>
      </w:r>
      <w:r w:rsidRPr="00254AB9">
        <w:rPr>
          <w:rFonts w:cs="Calibri"/>
          <w:i/>
          <w:sz w:val="21"/>
          <w:szCs w:val="21"/>
        </w:rPr>
        <w:t>Rozwoju</w:t>
      </w:r>
      <w:r w:rsidRPr="00254AB9">
        <w:rPr>
          <w:rFonts w:cs="Calibri"/>
          <w:sz w:val="21"/>
          <w:szCs w:val="21"/>
        </w:rPr>
        <w:t>, PAG Uniconsult, IMAPP, Taylor Economics, IBS, Warszawa</w:t>
      </w:r>
    </w:p>
    <w:p w14:paraId="2A2B2212" w14:textId="041D3433" w:rsidR="00075037" w:rsidRPr="00254AB9" w:rsidRDefault="00075037" w:rsidP="0037394A">
      <w:pPr>
        <w:spacing w:after="0" w:line="240" w:lineRule="auto"/>
        <w:rPr>
          <w:rFonts w:cs="Calibri"/>
          <w:sz w:val="21"/>
          <w:szCs w:val="21"/>
        </w:rPr>
      </w:pPr>
      <w:r w:rsidRPr="00CA48F5">
        <w:rPr>
          <w:rFonts w:cs="Calibri"/>
          <w:sz w:val="21"/>
          <w:szCs w:val="21"/>
        </w:rPr>
        <w:t>http://www.ncbr.gov.pl/programy-krajowe/bridge/bridge-vc/aktualnosci/art,3581,raport-koncowy-ocena-stanu-gotowosci-sektora-badawczo-rozwojowego-w-polsce-do-skorzystania-z-mozliwosci-wsparcia-z-publiczno-pry.html</w:t>
      </w:r>
    </w:p>
    <w:p w14:paraId="53C6D166" w14:textId="7C85B8D9" w:rsidR="001C57C2" w:rsidRPr="008F21C9" w:rsidRDefault="001C57C2" w:rsidP="0037394A">
      <w:pPr>
        <w:spacing w:after="0" w:line="240" w:lineRule="auto"/>
        <w:rPr>
          <w:lang w:val="en-GB"/>
        </w:rPr>
      </w:pPr>
      <w:r w:rsidRPr="008F21C9">
        <w:rPr>
          <w:lang w:val="en-GB"/>
        </w:rPr>
        <w:t>GEM/PARP (20</w:t>
      </w:r>
      <w:r w:rsidR="00132410">
        <w:rPr>
          <w:lang w:val="en-GB"/>
        </w:rPr>
        <w:t>20</w:t>
      </w:r>
      <w:r w:rsidRPr="008F21C9">
        <w:rPr>
          <w:lang w:val="en-GB"/>
        </w:rPr>
        <w:t>)</w:t>
      </w:r>
      <w:r w:rsidR="00075037" w:rsidRPr="008F21C9">
        <w:rPr>
          <w:lang w:val="en-GB"/>
        </w:rPr>
        <w:t>.</w:t>
      </w:r>
      <w:r w:rsidRPr="008F21C9">
        <w:rPr>
          <w:lang w:val="en-GB"/>
        </w:rPr>
        <w:t xml:space="preserve"> </w:t>
      </w:r>
      <w:r w:rsidRPr="008F21C9">
        <w:rPr>
          <w:i/>
          <w:lang w:val="en-GB"/>
        </w:rPr>
        <w:t>Global Entrepreneurship Monitor – Polska</w:t>
      </w:r>
    </w:p>
    <w:p w14:paraId="0D5C0D20" w14:textId="0A3AC1EA" w:rsidR="00075037" w:rsidRPr="008F21C9" w:rsidRDefault="00075037" w:rsidP="0037394A">
      <w:pPr>
        <w:spacing w:after="0" w:line="240" w:lineRule="auto"/>
        <w:rPr>
          <w:lang w:val="en-GB"/>
        </w:rPr>
      </w:pPr>
      <w:r w:rsidRPr="00CA48F5">
        <w:rPr>
          <w:lang w:val="en-GB"/>
        </w:rPr>
        <w:t>https://badania.parp.gov.pl/global-entrepreneurship-monitor-gem</w:t>
      </w:r>
    </w:p>
    <w:p w14:paraId="1F703AA7" w14:textId="31116248" w:rsidR="001C57C2" w:rsidRPr="00254AB9" w:rsidRDefault="001C57C2" w:rsidP="0037394A">
      <w:pPr>
        <w:spacing w:after="0" w:line="240" w:lineRule="auto"/>
        <w:rPr>
          <w:rFonts w:cs="Calibri"/>
          <w:sz w:val="21"/>
          <w:szCs w:val="21"/>
          <w:lang w:val="en-GB"/>
        </w:rPr>
      </w:pPr>
      <w:r w:rsidRPr="00254AB9">
        <w:rPr>
          <w:rFonts w:cs="Calibri"/>
          <w:sz w:val="21"/>
          <w:szCs w:val="21"/>
          <w:lang w:val="en-GB"/>
        </w:rPr>
        <w:t>GrowthUp (2017)</w:t>
      </w:r>
      <w:r w:rsidR="00075037" w:rsidRPr="00254AB9">
        <w:rPr>
          <w:rFonts w:cs="Calibri"/>
          <w:sz w:val="21"/>
          <w:szCs w:val="21"/>
          <w:lang w:val="en-GB"/>
        </w:rPr>
        <w:t>.</w:t>
      </w:r>
      <w:r w:rsidRPr="00254AB9">
        <w:rPr>
          <w:rFonts w:cs="Calibri"/>
          <w:sz w:val="21"/>
          <w:szCs w:val="21"/>
          <w:lang w:val="en-GB"/>
        </w:rPr>
        <w:t xml:space="preserve"> </w:t>
      </w:r>
      <w:r w:rsidRPr="00254AB9">
        <w:rPr>
          <w:rFonts w:cs="Calibri"/>
          <w:i/>
          <w:sz w:val="21"/>
          <w:szCs w:val="21"/>
          <w:lang w:val="en-GB"/>
        </w:rPr>
        <w:t>Polish Venture Capital Report 2016</w:t>
      </w:r>
      <w:r w:rsidRPr="00254AB9">
        <w:rPr>
          <w:rFonts w:cs="Calibri"/>
          <w:sz w:val="21"/>
          <w:szCs w:val="21"/>
          <w:lang w:val="en-GB"/>
        </w:rPr>
        <w:t>, Warszawa</w:t>
      </w:r>
    </w:p>
    <w:p w14:paraId="2F86CAB9" w14:textId="7910B0A6" w:rsidR="00075037" w:rsidRPr="00254AB9" w:rsidRDefault="00075037" w:rsidP="0037394A">
      <w:pPr>
        <w:spacing w:after="0" w:line="240" w:lineRule="auto"/>
        <w:rPr>
          <w:rFonts w:cs="Calibri"/>
          <w:sz w:val="21"/>
          <w:szCs w:val="21"/>
          <w:lang w:val="en-GB"/>
        </w:rPr>
      </w:pPr>
      <w:r w:rsidRPr="00CA48F5">
        <w:rPr>
          <w:rFonts w:cs="Calibri"/>
          <w:sz w:val="21"/>
          <w:szCs w:val="21"/>
          <w:lang w:val="en-GB"/>
        </w:rPr>
        <w:t>https://toplead.com.ua/ru/get_file/id/polish-venture-capital-report-2016.pdf</w:t>
      </w:r>
    </w:p>
    <w:p w14:paraId="611BDB92" w14:textId="02F42AF8" w:rsidR="001C57C2" w:rsidRPr="00254AB9" w:rsidRDefault="001C57C2" w:rsidP="0037394A">
      <w:pPr>
        <w:spacing w:after="0" w:line="240" w:lineRule="auto"/>
        <w:rPr>
          <w:rFonts w:cs="Calibri"/>
          <w:sz w:val="21"/>
          <w:szCs w:val="21"/>
        </w:rPr>
      </w:pPr>
      <w:r w:rsidRPr="00254AB9">
        <w:rPr>
          <w:rFonts w:cs="Calibri"/>
          <w:sz w:val="21"/>
          <w:szCs w:val="21"/>
        </w:rPr>
        <w:lastRenderedPageBreak/>
        <w:t>Gryczka M. (2010)</w:t>
      </w:r>
      <w:r w:rsidR="00075037" w:rsidRPr="00254AB9">
        <w:rPr>
          <w:rFonts w:cs="Calibri"/>
          <w:sz w:val="21"/>
          <w:szCs w:val="21"/>
        </w:rPr>
        <w:t>.</w:t>
      </w:r>
      <w:r w:rsidRPr="00254AB9">
        <w:rPr>
          <w:rFonts w:cs="Calibri"/>
          <w:sz w:val="21"/>
          <w:szCs w:val="21"/>
        </w:rPr>
        <w:t xml:space="preserve"> </w:t>
      </w:r>
      <w:r w:rsidRPr="00254AB9">
        <w:rPr>
          <w:rFonts w:cs="Calibri"/>
          <w:i/>
          <w:sz w:val="21"/>
          <w:szCs w:val="21"/>
        </w:rPr>
        <w:t>Ocena celów funkcjonowania Specjalnych Stref Ekonomicznych</w:t>
      </w:r>
      <w:r w:rsidR="006343E1">
        <w:rPr>
          <w:rFonts w:cs="Calibri"/>
          <w:i/>
          <w:sz w:val="21"/>
          <w:szCs w:val="21"/>
        </w:rPr>
        <w:t xml:space="preserve"> </w:t>
      </w:r>
      <w:r w:rsidR="006343E1" w:rsidRPr="00254AB9">
        <w:rPr>
          <w:rFonts w:cs="Calibri"/>
          <w:i/>
          <w:sz w:val="21"/>
          <w:szCs w:val="21"/>
        </w:rPr>
        <w:t>w</w:t>
      </w:r>
      <w:r w:rsidR="006343E1">
        <w:rPr>
          <w:rFonts w:cs="Calibri"/>
          <w:i/>
          <w:sz w:val="21"/>
          <w:szCs w:val="21"/>
        </w:rPr>
        <w:t> </w:t>
      </w:r>
      <w:r w:rsidRPr="00254AB9">
        <w:rPr>
          <w:rFonts w:cs="Calibri"/>
          <w:i/>
          <w:sz w:val="21"/>
          <w:szCs w:val="21"/>
        </w:rPr>
        <w:t>Polsce i dotychczasowych efektów ich realizacji</w:t>
      </w:r>
      <w:r w:rsidRPr="00254AB9">
        <w:rPr>
          <w:rFonts w:cs="Calibri"/>
          <w:sz w:val="21"/>
          <w:szCs w:val="21"/>
        </w:rPr>
        <w:t>, [w:] Studia</w:t>
      </w:r>
      <w:r w:rsidR="006343E1">
        <w:rPr>
          <w:rFonts w:cs="Calibri"/>
          <w:sz w:val="21"/>
          <w:szCs w:val="21"/>
        </w:rPr>
        <w:t xml:space="preserve"> </w:t>
      </w:r>
      <w:r w:rsidR="006343E1" w:rsidRPr="00254AB9">
        <w:rPr>
          <w:rFonts w:cs="Calibri"/>
          <w:sz w:val="21"/>
          <w:szCs w:val="21"/>
        </w:rPr>
        <w:t>i</w:t>
      </w:r>
      <w:r w:rsidR="006343E1">
        <w:rPr>
          <w:rFonts w:cs="Calibri"/>
          <w:sz w:val="21"/>
          <w:szCs w:val="21"/>
        </w:rPr>
        <w:t> </w:t>
      </w:r>
      <w:r w:rsidRPr="00254AB9">
        <w:rPr>
          <w:rFonts w:cs="Calibri"/>
          <w:sz w:val="21"/>
          <w:szCs w:val="21"/>
        </w:rPr>
        <w:t>Prace Wydziału Nauk Ekonomicznych</w:t>
      </w:r>
      <w:r w:rsidR="006343E1">
        <w:rPr>
          <w:rFonts w:cs="Calibri"/>
          <w:sz w:val="21"/>
          <w:szCs w:val="21"/>
        </w:rPr>
        <w:t xml:space="preserve"> </w:t>
      </w:r>
      <w:r w:rsidR="006343E1" w:rsidRPr="00254AB9">
        <w:rPr>
          <w:rFonts w:cs="Calibri"/>
          <w:sz w:val="21"/>
          <w:szCs w:val="21"/>
        </w:rPr>
        <w:t>i</w:t>
      </w:r>
      <w:r w:rsidR="006343E1">
        <w:rPr>
          <w:rFonts w:cs="Calibri"/>
          <w:sz w:val="21"/>
          <w:szCs w:val="21"/>
        </w:rPr>
        <w:t> </w:t>
      </w:r>
      <w:r w:rsidRPr="00254AB9">
        <w:rPr>
          <w:rFonts w:cs="Calibri"/>
          <w:sz w:val="21"/>
          <w:szCs w:val="21"/>
        </w:rPr>
        <w:t>Zarządzania, nr 13</w:t>
      </w:r>
    </w:p>
    <w:p w14:paraId="04C34B02" w14:textId="45A02ED2" w:rsidR="00075037" w:rsidRPr="00254AB9" w:rsidRDefault="00075037" w:rsidP="0037394A">
      <w:pPr>
        <w:spacing w:after="0" w:line="240" w:lineRule="auto"/>
        <w:rPr>
          <w:rFonts w:cs="Calibri"/>
          <w:sz w:val="21"/>
          <w:szCs w:val="21"/>
        </w:rPr>
      </w:pPr>
      <w:r w:rsidRPr="00CA48F5">
        <w:rPr>
          <w:rFonts w:cs="Calibri"/>
          <w:sz w:val="21"/>
          <w:szCs w:val="21"/>
        </w:rPr>
        <w:t>https://wneiz.pl/nauka_wneiz/sip/sip13-2009/SiP-13-19.pdf</w:t>
      </w:r>
    </w:p>
    <w:p w14:paraId="4F0AC363" w14:textId="6C211228" w:rsidR="002C5546" w:rsidRDefault="002C5546" w:rsidP="0037394A">
      <w:pPr>
        <w:spacing w:after="0" w:line="240" w:lineRule="auto"/>
        <w:rPr>
          <w:sz w:val="21"/>
          <w:szCs w:val="21"/>
        </w:rPr>
      </w:pPr>
      <w:r w:rsidRPr="00523186">
        <w:rPr>
          <w:sz w:val="21"/>
          <w:szCs w:val="21"/>
        </w:rPr>
        <w:t>GUS (20</w:t>
      </w:r>
      <w:r>
        <w:rPr>
          <w:sz w:val="21"/>
          <w:szCs w:val="21"/>
        </w:rPr>
        <w:t>20</w:t>
      </w:r>
      <w:r w:rsidRPr="00523186">
        <w:rPr>
          <w:sz w:val="21"/>
          <w:szCs w:val="21"/>
        </w:rPr>
        <w:t>).</w:t>
      </w:r>
      <w:r w:rsidRPr="00593C24">
        <w:rPr>
          <w:sz w:val="21"/>
          <w:szCs w:val="21"/>
        </w:rPr>
        <w:t xml:space="preserve"> </w:t>
      </w:r>
      <w:r w:rsidRPr="006365AA">
        <w:rPr>
          <w:i/>
          <w:sz w:val="21"/>
          <w:szCs w:val="21"/>
        </w:rPr>
        <w:t>Działalność przedsiębiorstw niefinansowych</w:t>
      </w:r>
      <w:r w:rsidR="006343E1">
        <w:rPr>
          <w:i/>
          <w:sz w:val="21"/>
          <w:szCs w:val="21"/>
        </w:rPr>
        <w:t xml:space="preserve"> </w:t>
      </w:r>
      <w:r w:rsidR="006343E1" w:rsidRPr="006365AA">
        <w:rPr>
          <w:i/>
          <w:sz w:val="21"/>
          <w:szCs w:val="21"/>
        </w:rPr>
        <w:t>w</w:t>
      </w:r>
      <w:r w:rsidR="006343E1">
        <w:rPr>
          <w:i/>
          <w:sz w:val="21"/>
          <w:szCs w:val="21"/>
        </w:rPr>
        <w:t> </w:t>
      </w:r>
      <w:r w:rsidRPr="006365AA">
        <w:rPr>
          <w:i/>
          <w:sz w:val="21"/>
          <w:szCs w:val="21"/>
        </w:rPr>
        <w:t>201</w:t>
      </w:r>
      <w:r>
        <w:rPr>
          <w:i/>
          <w:sz w:val="21"/>
          <w:szCs w:val="21"/>
        </w:rPr>
        <w:t>8</w:t>
      </w:r>
      <w:r w:rsidRPr="006365AA">
        <w:rPr>
          <w:i/>
          <w:sz w:val="21"/>
          <w:szCs w:val="21"/>
        </w:rPr>
        <w:t xml:space="preserve"> r.</w:t>
      </w:r>
      <w:r w:rsidRPr="00523186">
        <w:rPr>
          <w:sz w:val="21"/>
          <w:szCs w:val="21"/>
        </w:rPr>
        <w:t>, Warszawa</w:t>
      </w:r>
    </w:p>
    <w:p w14:paraId="53212C78" w14:textId="4BC26CDD" w:rsidR="001C57C2" w:rsidRPr="00593C24" w:rsidRDefault="001C57C2" w:rsidP="0037394A">
      <w:pPr>
        <w:spacing w:after="0" w:line="240" w:lineRule="auto"/>
        <w:rPr>
          <w:sz w:val="21"/>
          <w:szCs w:val="21"/>
        </w:rPr>
      </w:pPr>
      <w:r w:rsidRPr="00523186">
        <w:rPr>
          <w:sz w:val="21"/>
          <w:szCs w:val="21"/>
        </w:rPr>
        <w:t>GUS (201</w:t>
      </w:r>
      <w:r w:rsidR="004C629F">
        <w:rPr>
          <w:sz w:val="21"/>
          <w:szCs w:val="21"/>
        </w:rPr>
        <w:t>9</w:t>
      </w:r>
      <w:r w:rsidRPr="00523186">
        <w:rPr>
          <w:sz w:val="21"/>
          <w:szCs w:val="21"/>
        </w:rPr>
        <w:t>)</w:t>
      </w:r>
      <w:r w:rsidR="00075037" w:rsidRPr="00523186">
        <w:rPr>
          <w:sz w:val="21"/>
          <w:szCs w:val="21"/>
        </w:rPr>
        <w:t>.</w:t>
      </w:r>
      <w:r w:rsidRPr="00593C24">
        <w:rPr>
          <w:sz w:val="21"/>
          <w:szCs w:val="21"/>
        </w:rPr>
        <w:t xml:space="preserve"> </w:t>
      </w:r>
      <w:r w:rsidR="0098359D" w:rsidRPr="0054565D">
        <w:rPr>
          <w:sz w:val="21"/>
          <w:szCs w:val="21"/>
        </w:rPr>
        <w:t>Dane</w:t>
      </w:r>
      <w:r w:rsidR="006343E1">
        <w:rPr>
          <w:sz w:val="21"/>
          <w:szCs w:val="21"/>
        </w:rPr>
        <w:t xml:space="preserve"> </w:t>
      </w:r>
      <w:r w:rsidR="006343E1" w:rsidRPr="0054565D">
        <w:rPr>
          <w:sz w:val="21"/>
          <w:szCs w:val="21"/>
        </w:rPr>
        <w:t>z</w:t>
      </w:r>
      <w:r w:rsidR="006343E1">
        <w:rPr>
          <w:sz w:val="21"/>
          <w:szCs w:val="21"/>
        </w:rPr>
        <w:t> </w:t>
      </w:r>
      <w:r w:rsidR="0098359D" w:rsidRPr="0054565D">
        <w:rPr>
          <w:sz w:val="21"/>
          <w:szCs w:val="21"/>
        </w:rPr>
        <w:t>bazy STRATEG</w:t>
      </w:r>
    </w:p>
    <w:p w14:paraId="3AB3DFE5" w14:textId="4D090C0C" w:rsidR="00075037" w:rsidRDefault="0098359D" w:rsidP="0037394A">
      <w:pPr>
        <w:spacing w:after="0" w:line="240" w:lineRule="auto"/>
        <w:rPr>
          <w:sz w:val="21"/>
          <w:szCs w:val="21"/>
        </w:rPr>
      </w:pPr>
      <w:r w:rsidRPr="00CA48F5">
        <w:rPr>
          <w:sz w:val="21"/>
          <w:szCs w:val="21"/>
        </w:rPr>
        <w:t>https://strateg.stat.gov.pl/</w:t>
      </w:r>
    </w:p>
    <w:p w14:paraId="6F5F36EB" w14:textId="2B90CAE9" w:rsidR="00CC350A" w:rsidRDefault="00CC350A" w:rsidP="00CC350A">
      <w:pPr>
        <w:spacing w:after="0" w:line="240" w:lineRule="auto"/>
        <w:rPr>
          <w:sz w:val="21"/>
          <w:szCs w:val="21"/>
        </w:rPr>
      </w:pPr>
      <w:r>
        <w:rPr>
          <w:sz w:val="21"/>
          <w:szCs w:val="21"/>
        </w:rPr>
        <w:t xml:space="preserve">GUS (2021). </w:t>
      </w:r>
      <w:r w:rsidRPr="00CA48F5">
        <w:rPr>
          <w:i/>
          <w:sz w:val="21"/>
          <w:szCs w:val="21"/>
        </w:rPr>
        <w:t>Działalność innowacyjna przedsiębiorstw</w:t>
      </w:r>
      <w:r w:rsidRPr="00CA48F5">
        <w:rPr>
          <w:i/>
          <w:sz w:val="21"/>
        </w:rPr>
        <w:t xml:space="preserve"> </w:t>
      </w:r>
      <w:r w:rsidRPr="00CA48F5">
        <w:rPr>
          <w:i/>
          <w:sz w:val="21"/>
          <w:szCs w:val="21"/>
        </w:rPr>
        <w:t>latach 2018-2020</w:t>
      </w:r>
      <w:r>
        <w:rPr>
          <w:sz w:val="21"/>
          <w:szCs w:val="21"/>
        </w:rPr>
        <w:t>, GUS, Warszawa, Szczecin, 2021</w:t>
      </w:r>
    </w:p>
    <w:p w14:paraId="32CADA38" w14:textId="12640B6D" w:rsidR="00CC350A" w:rsidRDefault="00CC350A" w:rsidP="00CC350A">
      <w:pPr>
        <w:spacing w:after="0" w:line="240" w:lineRule="auto"/>
        <w:rPr>
          <w:sz w:val="21"/>
          <w:szCs w:val="21"/>
        </w:rPr>
      </w:pPr>
      <w:r w:rsidRPr="001B572F">
        <w:rPr>
          <w:sz w:val="21"/>
          <w:szCs w:val="21"/>
        </w:rPr>
        <w:t>https://stat.gov.pl/obszary-tematyczne/nauka-i-technika-spoleczenstwo-informacyjne/nauka-i-technika/dzialalnosc-innowacyjna-przedsiebiorstw-w-latach-2018-2020,2,20.html</w:t>
      </w:r>
    </w:p>
    <w:p w14:paraId="465481E7" w14:textId="23171D81" w:rsidR="001C57C2" w:rsidRPr="00523186" w:rsidRDefault="001C57C2" w:rsidP="0037394A">
      <w:pPr>
        <w:spacing w:after="0" w:line="240" w:lineRule="auto"/>
        <w:rPr>
          <w:sz w:val="21"/>
          <w:szCs w:val="21"/>
        </w:rPr>
      </w:pPr>
      <w:r w:rsidRPr="00593C24">
        <w:rPr>
          <w:sz w:val="21"/>
          <w:szCs w:val="21"/>
        </w:rPr>
        <w:t>GUS (201</w:t>
      </w:r>
      <w:r w:rsidR="00251321">
        <w:rPr>
          <w:sz w:val="21"/>
          <w:szCs w:val="21"/>
        </w:rPr>
        <w:t>8a</w:t>
      </w:r>
      <w:r w:rsidRPr="00593C24">
        <w:rPr>
          <w:sz w:val="21"/>
          <w:szCs w:val="21"/>
        </w:rPr>
        <w:t>)</w:t>
      </w:r>
      <w:r w:rsidR="00075037" w:rsidRPr="00062AC8">
        <w:rPr>
          <w:sz w:val="21"/>
          <w:szCs w:val="21"/>
        </w:rPr>
        <w:t>.</w:t>
      </w:r>
      <w:r w:rsidRPr="00462852">
        <w:rPr>
          <w:sz w:val="21"/>
          <w:szCs w:val="21"/>
        </w:rPr>
        <w:t xml:space="preserve"> </w:t>
      </w:r>
      <w:r w:rsidRPr="006365AA">
        <w:rPr>
          <w:i/>
          <w:sz w:val="21"/>
          <w:szCs w:val="21"/>
        </w:rPr>
        <w:t>Działalność przedsiębiorstw niefinansowych</w:t>
      </w:r>
      <w:r w:rsidR="006343E1">
        <w:rPr>
          <w:i/>
          <w:sz w:val="21"/>
          <w:szCs w:val="21"/>
        </w:rPr>
        <w:t xml:space="preserve"> </w:t>
      </w:r>
      <w:r w:rsidR="006343E1" w:rsidRPr="006365AA">
        <w:rPr>
          <w:i/>
          <w:sz w:val="21"/>
          <w:szCs w:val="21"/>
        </w:rPr>
        <w:t>w</w:t>
      </w:r>
      <w:r w:rsidR="006343E1">
        <w:rPr>
          <w:i/>
          <w:sz w:val="21"/>
          <w:szCs w:val="21"/>
        </w:rPr>
        <w:t> </w:t>
      </w:r>
      <w:r w:rsidRPr="006365AA">
        <w:rPr>
          <w:i/>
          <w:sz w:val="21"/>
          <w:szCs w:val="21"/>
        </w:rPr>
        <w:t>201</w:t>
      </w:r>
      <w:r w:rsidR="00251321">
        <w:rPr>
          <w:i/>
          <w:sz w:val="21"/>
          <w:szCs w:val="21"/>
        </w:rPr>
        <w:t>7</w:t>
      </w:r>
      <w:r w:rsidRPr="006365AA">
        <w:rPr>
          <w:i/>
          <w:sz w:val="21"/>
          <w:szCs w:val="21"/>
        </w:rPr>
        <w:t xml:space="preserve"> r.</w:t>
      </w:r>
      <w:r w:rsidRPr="00523186">
        <w:rPr>
          <w:sz w:val="21"/>
          <w:szCs w:val="21"/>
        </w:rPr>
        <w:t xml:space="preserve">, Warszawa </w:t>
      </w:r>
    </w:p>
    <w:p w14:paraId="33085189" w14:textId="77777777" w:rsidR="00075037" w:rsidRPr="00523186" w:rsidRDefault="00251321" w:rsidP="0037394A">
      <w:pPr>
        <w:spacing w:after="0" w:line="240" w:lineRule="auto"/>
        <w:rPr>
          <w:sz w:val="21"/>
          <w:szCs w:val="21"/>
        </w:rPr>
      </w:pPr>
      <w:r w:rsidRPr="00251321">
        <w:t>https://stat.gov.pl/obszary-tematyczne/podmioty-gospodarcze-wyniki-finansowe/przedsiebiorstwa-niefinansowe/dzialalnosc-przedsiebiorstw-niefinansowych-w-2017-roku,2,14.html</w:t>
      </w:r>
    </w:p>
    <w:p w14:paraId="612CCDB5" w14:textId="48D3AD96" w:rsidR="001C57C2" w:rsidRPr="00523186" w:rsidRDefault="001C57C2" w:rsidP="0037394A">
      <w:pPr>
        <w:spacing w:after="0" w:line="240" w:lineRule="auto"/>
        <w:rPr>
          <w:sz w:val="21"/>
          <w:szCs w:val="21"/>
        </w:rPr>
      </w:pPr>
      <w:r w:rsidRPr="00593C24">
        <w:rPr>
          <w:sz w:val="21"/>
          <w:szCs w:val="21"/>
        </w:rPr>
        <w:t>GUS (201</w:t>
      </w:r>
      <w:r w:rsidR="00D77801">
        <w:rPr>
          <w:sz w:val="21"/>
          <w:szCs w:val="21"/>
        </w:rPr>
        <w:t>8</w:t>
      </w:r>
      <w:r w:rsidR="00F87A3E">
        <w:rPr>
          <w:sz w:val="21"/>
          <w:szCs w:val="21"/>
        </w:rPr>
        <w:t>b</w:t>
      </w:r>
      <w:r w:rsidRPr="00462852">
        <w:rPr>
          <w:sz w:val="21"/>
          <w:szCs w:val="21"/>
        </w:rPr>
        <w:t xml:space="preserve">) </w:t>
      </w:r>
      <w:r w:rsidRPr="006365AA">
        <w:rPr>
          <w:i/>
          <w:sz w:val="21"/>
          <w:szCs w:val="21"/>
        </w:rPr>
        <w:t>Środki trwałe</w:t>
      </w:r>
      <w:r w:rsidR="006343E1">
        <w:rPr>
          <w:i/>
          <w:sz w:val="21"/>
          <w:szCs w:val="21"/>
        </w:rPr>
        <w:t xml:space="preserve"> </w:t>
      </w:r>
      <w:r w:rsidR="006343E1" w:rsidRPr="006365AA">
        <w:rPr>
          <w:i/>
          <w:sz w:val="21"/>
          <w:szCs w:val="21"/>
        </w:rPr>
        <w:t>w</w:t>
      </w:r>
      <w:r w:rsidR="006343E1">
        <w:rPr>
          <w:i/>
          <w:sz w:val="21"/>
          <w:szCs w:val="21"/>
        </w:rPr>
        <w:t> </w:t>
      </w:r>
      <w:r w:rsidRPr="006365AA">
        <w:rPr>
          <w:i/>
          <w:sz w:val="21"/>
          <w:szCs w:val="21"/>
        </w:rPr>
        <w:t>gospodarce narodowej</w:t>
      </w:r>
      <w:r w:rsidR="006343E1">
        <w:rPr>
          <w:i/>
          <w:sz w:val="21"/>
          <w:szCs w:val="21"/>
        </w:rPr>
        <w:t xml:space="preserve"> </w:t>
      </w:r>
      <w:r w:rsidR="006343E1" w:rsidRPr="006365AA">
        <w:rPr>
          <w:i/>
          <w:sz w:val="21"/>
          <w:szCs w:val="21"/>
        </w:rPr>
        <w:t>w</w:t>
      </w:r>
      <w:r w:rsidR="006343E1">
        <w:rPr>
          <w:i/>
          <w:sz w:val="21"/>
          <w:szCs w:val="21"/>
        </w:rPr>
        <w:t> </w:t>
      </w:r>
      <w:r w:rsidRPr="006365AA">
        <w:rPr>
          <w:i/>
          <w:sz w:val="21"/>
          <w:szCs w:val="21"/>
        </w:rPr>
        <w:t>201</w:t>
      </w:r>
      <w:r w:rsidR="00D77801">
        <w:rPr>
          <w:i/>
          <w:sz w:val="21"/>
          <w:szCs w:val="21"/>
        </w:rPr>
        <w:t>7</w:t>
      </w:r>
      <w:r w:rsidRPr="006365AA">
        <w:rPr>
          <w:i/>
          <w:sz w:val="21"/>
          <w:szCs w:val="21"/>
        </w:rPr>
        <w:t xml:space="preserve"> roku</w:t>
      </w:r>
      <w:r w:rsidRPr="00523186">
        <w:rPr>
          <w:sz w:val="21"/>
          <w:szCs w:val="21"/>
        </w:rPr>
        <w:t>, Warszawa</w:t>
      </w:r>
    </w:p>
    <w:p w14:paraId="0EDC89E6" w14:textId="77777777" w:rsidR="00075037" w:rsidRPr="00523186" w:rsidRDefault="00D77801" w:rsidP="0037394A">
      <w:pPr>
        <w:spacing w:after="0" w:line="240" w:lineRule="auto"/>
        <w:rPr>
          <w:sz w:val="21"/>
          <w:szCs w:val="21"/>
        </w:rPr>
      </w:pPr>
      <w:r w:rsidRPr="00D77801">
        <w:t>https://stat.gov.pl/obszary-tematyczne/przemysl-budownictwo-srodki-trwale/srodki-trwale/srodki-trwale-w-gospodarce-narodowej-w-2017-roku,1,15.html</w:t>
      </w:r>
    </w:p>
    <w:p w14:paraId="3DA2FAAC" w14:textId="7BB73785" w:rsidR="001C57C2" w:rsidRPr="00523186" w:rsidRDefault="001C57C2" w:rsidP="0037394A">
      <w:pPr>
        <w:spacing w:after="0" w:line="240" w:lineRule="auto"/>
        <w:rPr>
          <w:sz w:val="21"/>
          <w:szCs w:val="21"/>
          <w:lang w:val="en-GB"/>
        </w:rPr>
      </w:pPr>
      <w:r w:rsidRPr="00593C24">
        <w:rPr>
          <w:sz w:val="21"/>
          <w:szCs w:val="21"/>
          <w:lang w:val="en-GB"/>
        </w:rPr>
        <w:t>Invest Europe\EDC (201</w:t>
      </w:r>
      <w:r w:rsidR="00F87A3E">
        <w:rPr>
          <w:sz w:val="21"/>
          <w:szCs w:val="21"/>
          <w:lang w:val="en-GB"/>
        </w:rPr>
        <w:t>8</w:t>
      </w:r>
      <w:r w:rsidRPr="00593C24">
        <w:rPr>
          <w:sz w:val="21"/>
          <w:szCs w:val="21"/>
          <w:lang w:val="en-GB"/>
        </w:rPr>
        <w:t>)</w:t>
      </w:r>
      <w:r w:rsidR="00075037" w:rsidRPr="00062AC8">
        <w:rPr>
          <w:sz w:val="21"/>
          <w:szCs w:val="21"/>
          <w:lang w:val="en-GB"/>
        </w:rPr>
        <w:t>.</w:t>
      </w:r>
      <w:r w:rsidRPr="00462852">
        <w:rPr>
          <w:sz w:val="21"/>
          <w:szCs w:val="21"/>
          <w:lang w:val="en-GB"/>
        </w:rPr>
        <w:t xml:space="preserve"> </w:t>
      </w:r>
      <w:r w:rsidRPr="006365AA">
        <w:rPr>
          <w:i/>
          <w:sz w:val="21"/>
          <w:szCs w:val="21"/>
          <w:lang w:val="en-GB"/>
        </w:rPr>
        <w:t>Central and Eastern Europe Statistics 201</w:t>
      </w:r>
      <w:r w:rsidR="00F87A3E">
        <w:rPr>
          <w:i/>
          <w:sz w:val="21"/>
          <w:szCs w:val="21"/>
          <w:lang w:val="en-GB"/>
        </w:rPr>
        <w:t>7</w:t>
      </w:r>
    </w:p>
    <w:p w14:paraId="30776237" w14:textId="3BCA3BA3" w:rsidR="00075037" w:rsidRDefault="00F87A3E" w:rsidP="0037394A">
      <w:pPr>
        <w:spacing w:after="0" w:line="240" w:lineRule="auto"/>
        <w:rPr>
          <w:sz w:val="21"/>
          <w:szCs w:val="21"/>
          <w:lang w:val="en-GB"/>
        </w:rPr>
      </w:pPr>
      <w:r w:rsidRPr="00CA48F5">
        <w:rPr>
          <w:sz w:val="21"/>
          <w:szCs w:val="21"/>
          <w:lang w:val="en-GB"/>
        </w:rPr>
        <w:t>https://www.investeurope.eu/media/727455/Invest-Europe-CEE-Activity-Report-2017-05072018.pdf</w:t>
      </w:r>
    </w:p>
    <w:p w14:paraId="6EFFA7A0" w14:textId="3ED9D5F6" w:rsidR="001C57C2" w:rsidRPr="006365AA" w:rsidRDefault="00866165" w:rsidP="0037394A">
      <w:pPr>
        <w:spacing w:after="0" w:line="240" w:lineRule="auto"/>
        <w:rPr>
          <w:sz w:val="21"/>
          <w:szCs w:val="21"/>
          <w:lang w:val="en-GB"/>
        </w:rPr>
      </w:pPr>
      <w:r w:rsidRPr="00593C24">
        <w:rPr>
          <w:sz w:val="21"/>
          <w:szCs w:val="21"/>
          <w:lang w:val="en-GB"/>
        </w:rPr>
        <w:t>K</w:t>
      </w:r>
      <w:r w:rsidR="00075037" w:rsidRPr="00062AC8">
        <w:rPr>
          <w:sz w:val="21"/>
          <w:szCs w:val="21"/>
          <w:lang w:val="en-GB"/>
        </w:rPr>
        <w:t>E</w:t>
      </w:r>
      <w:r w:rsidR="001C57C2" w:rsidRPr="00462852">
        <w:rPr>
          <w:sz w:val="21"/>
          <w:szCs w:val="21"/>
          <w:lang w:val="en-GB"/>
        </w:rPr>
        <w:t xml:space="preserve"> (201</w:t>
      </w:r>
      <w:r w:rsidR="0051241E">
        <w:rPr>
          <w:sz w:val="21"/>
          <w:szCs w:val="21"/>
          <w:lang w:val="en-GB"/>
        </w:rPr>
        <w:t>8</w:t>
      </w:r>
      <w:r w:rsidR="001C57C2" w:rsidRPr="00462852">
        <w:rPr>
          <w:sz w:val="21"/>
          <w:szCs w:val="21"/>
          <w:lang w:val="en-GB"/>
        </w:rPr>
        <w:t>a)</w:t>
      </w:r>
      <w:r w:rsidRPr="00462852">
        <w:rPr>
          <w:sz w:val="21"/>
          <w:szCs w:val="21"/>
          <w:lang w:val="en-GB"/>
        </w:rPr>
        <w:t>.</w:t>
      </w:r>
      <w:r w:rsidR="001C57C2" w:rsidRPr="00462852">
        <w:rPr>
          <w:sz w:val="21"/>
          <w:szCs w:val="21"/>
          <w:lang w:val="en-GB"/>
        </w:rPr>
        <w:t xml:space="preserve"> </w:t>
      </w:r>
      <w:r w:rsidR="001C57C2" w:rsidRPr="006365AA">
        <w:rPr>
          <w:i/>
          <w:sz w:val="21"/>
          <w:szCs w:val="21"/>
          <w:lang w:val="en-GB"/>
        </w:rPr>
        <w:t>SBA Fact Sheet Poland</w:t>
      </w:r>
      <w:r w:rsidR="001C57C2" w:rsidRPr="00523186">
        <w:rPr>
          <w:sz w:val="21"/>
          <w:szCs w:val="21"/>
          <w:lang w:val="en-GB"/>
        </w:rPr>
        <w:t xml:space="preserve"> </w:t>
      </w:r>
    </w:p>
    <w:p w14:paraId="60CEA88C" w14:textId="77777777" w:rsidR="00866165" w:rsidRPr="006365AA" w:rsidRDefault="0098359D" w:rsidP="0037394A">
      <w:pPr>
        <w:spacing w:after="0" w:line="240" w:lineRule="auto"/>
        <w:rPr>
          <w:sz w:val="21"/>
          <w:szCs w:val="21"/>
          <w:lang w:val="en-GB"/>
        </w:rPr>
      </w:pPr>
      <w:r w:rsidRPr="0054565D">
        <w:rPr>
          <w:lang w:val="en-GB"/>
        </w:rPr>
        <w:t>https://ec.europa.eu/docsroom/documents/32581/attachments/22/translations/en/renditions/native</w:t>
      </w:r>
    </w:p>
    <w:p w14:paraId="7324F3C6" w14:textId="762604BD" w:rsidR="00523186" w:rsidRPr="00254AB9" w:rsidRDefault="00523186" w:rsidP="0037394A">
      <w:pPr>
        <w:spacing w:after="0" w:line="240" w:lineRule="auto"/>
        <w:rPr>
          <w:rFonts w:cs="Calibri"/>
          <w:sz w:val="21"/>
          <w:szCs w:val="21"/>
        </w:rPr>
      </w:pPr>
      <w:r w:rsidRPr="00254AB9">
        <w:rPr>
          <w:rFonts w:cs="Calibri"/>
          <w:sz w:val="21"/>
          <w:szCs w:val="21"/>
        </w:rPr>
        <w:t>MIiR (201</w:t>
      </w:r>
      <w:r w:rsidR="00F87A3E">
        <w:rPr>
          <w:rFonts w:cs="Calibri"/>
          <w:sz w:val="21"/>
          <w:szCs w:val="21"/>
        </w:rPr>
        <w:t>9</w:t>
      </w:r>
      <w:r w:rsidR="00CA48F5">
        <w:rPr>
          <w:rFonts w:cs="Calibri"/>
          <w:sz w:val="21"/>
          <w:szCs w:val="21"/>
        </w:rPr>
        <w:t>).</w:t>
      </w:r>
    </w:p>
    <w:p w14:paraId="6BA8E8DD" w14:textId="77777777" w:rsidR="00523186" w:rsidRPr="00254AB9" w:rsidRDefault="00F87A3E" w:rsidP="0037394A">
      <w:pPr>
        <w:spacing w:after="0" w:line="240" w:lineRule="auto"/>
        <w:rPr>
          <w:rFonts w:cs="Calibri"/>
          <w:sz w:val="21"/>
          <w:szCs w:val="21"/>
        </w:rPr>
      </w:pPr>
      <w:r w:rsidRPr="00F87A3E">
        <w:t>https://www.funduszeeuropejskie.gov.pl/strony/o-funduszach/raporty/raporty-sprawozdania/#/domyslne=1</w:t>
      </w:r>
    </w:p>
    <w:p w14:paraId="49FA62E4" w14:textId="4654E40C" w:rsidR="001C57C2" w:rsidRPr="00254AB9" w:rsidRDefault="001C57C2" w:rsidP="0037394A">
      <w:pPr>
        <w:spacing w:after="0" w:line="240" w:lineRule="auto"/>
        <w:rPr>
          <w:rFonts w:cs="Calibri"/>
          <w:sz w:val="21"/>
          <w:szCs w:val="21"/>
        </w:rPr>
      </w:pPr>
      <w:r w:rsidRPr="00670C47">
        <w:rPr>
          <w:rFonts w:cs="Calibri"/>
          <w:sz w:val="21"/>
          <w:szCs w:val="21"/>
        </w:rPr>
        <w:t>NBP (201</w:t>
      </w:r>
      <w:r w:rsidR="009E75F1" w:rsidRPr="00670C47">
        <w:rPr>
          <w:rFonts w:cs="Calibri"/>
          <w:sz w:val="21"/>
          <w:szCs w:val="21"/>
        </w:rPr>
        <w:t>9</w:t>
      </w:r>
      <w:r w:rsidRPr="00670C47">
        <w:rPr>
          <w:rFonts w:cs="Calibri"/>
          <w:sz w:val="21"/>
          <w:szCs w:val="21"/>
        </w:rPr>
        <w:t>)</w:t>
      </w:r>
      <w:r w:rsidR="00866165" w:rsidRPr="00670C47">
        <w:rPr>
          <w:rFonts w:cs="Calibri"/>
          <w:sz w:val="21"/>
          <w:szCs w:val="21"/>
        </w:rPr>
        <w:t>.</w:t>
      </w:r>
      <w:r w:rsidRPr="00670C47">
        <w:rPr>
          <w:rFonts w:cs="Calibri"/>
          <w:sz w:val="21"/>
          <w:szCs w:val="21"/>
        </w:rPr>
        <w:t xml:space="preserve"> </w:t>
      </w:r>
      <w:r w:rsidRPr="00670C47">
        <w:rPr>
          <w:rFonts w:cs="Calibri"/>
          <w:i/>
          <w:sz w:val="21"/>
          <w:szCs w:val="21"/>
        </w:rPr>
        <w:t>Szybki monitoring – analiza sytuacji sektora przedsiębiorstw (kwiecień)</w:t>
      </w:r>
      <w:r w:rsidRPr="00670C47">
        <w:rPr>
          <w:rFonts w:cs="Calibri"/>
          <w:sz w:val="21"/>
          <w:szCs w:val="21"/>
        </w:rPr>
        <w:t xml:space="preserve">, </w:t>
      </w:r>
      <w:r w:rsidR="00983094">
        <w:rPr>
          <w:rFonts w:cs="Calibri"/>
          <w:sz w:val="21"/>
          <w:szCs w:val="21"/>
        </w:rPr>
        <w:t>n</w:t>
      </w:r>
      <w:r w:rsidR="009E75F1" w:rsidRPr="00670C47">
        <w:rPr>
          <w:rFonts w:cs="Calibri"/>
          <w:sz w:val="21"/>
          <w:szCs w:val="21"/>
        </w:rPr>
        <w:t>r 03/19 (lipiec 2019 r.</w:t>
      </w:r>
      <w:r w:rsidR="00983094">
        <w:rPr>
          <w:rFonts w:cs="Calibri"/>
          <w:sz w:val="21"/>
          <w:szCs w:val="21"/>
        </w:rPr>
        <w:t>)</w:t>
      </w:r>
      <w:r w:rsidR="009E75F1" w:rsidRPr="00670C47">
        <w:rPr>
          <w:rFonts w:cs="Calibri"/>
          <w:sz w:val="21"/>
          <w:szCs w:val="21"/>
        </w:rPr>
        <w:t>,</w:t>
      </w:r>
      <w:r w:rsidR="009E75F1">
        <w:rPr>
          <w:rFonts w:cs="Calibri"/>
          <w:sz w:val="21"/>
          <w:szCs w:val="21"/>
        </w:rPr>
        <w:t xml:space="preserve"> </w:t>
      </w:r>
      <w:r w:rsidRPr="00670C47">
        <w:rPr>
          <w:rFonts w:cs="Calibri"/>
          <w:sz w:val="21"/>
          <w:szCs w:val="21"/>
        </w:rPr>
        <w:t>Warszawa</w:t>
      </w:r>
      <w:r w:rsidRPr="00254AB9">
        <w:rPr>
          <w:rFonts w:cs="Calibri"/>
          <w:sz w:val="21"/>
          <w:szCs w:val="21"/>
        </w:rPr>
        <w:t xml:space="preserve"> </w:t>
      </w:r>
    </w:p>
    <w:p w14:paraId="25B0A15E" w14:textId="6B947D86" w:rsidR="00866165" w:rsidRDefault="009E75F1" w:rsidP="0037394A">
      <w:pPr>
        <w:spacing w:after="0" w:line="240" w:lineRule="auto"/>
        <w:rPr>
          <w:rFonts w:cs="Calibri"/>
          <w:sz w:val="21"/>
          <w:szCs w:val="21"/>
        </w:rPr>
      </w:pPr>
      <w:r w:rsidRPr="00CA48F5">
        <w:rPr>
          <w:rFonts w:cs="Calibri"/>
          <w:sz w:val="21"/>
          <w:szCs w:val="21"/>
        </w:rPr>
        <w:t>https://www.nbp.pl/publikacje/koniunktura/raport_3_kw_2019.pdf</w:t>
      </w:r>
    </w:p>
    <w:p w14:paraId="042B5324" w14:textId="41BD7A6C" w:rsidR="001C57C2" w:rsidRPr="00254AB9" w:rsidRDefault="001C57C2" w:rsidP="0037394A">
      <w:pPr>
        <w:spacing w:after="0" w:line="240" w:lineRule="auto"/>
        <w:rPr>
          <w:rFonts w:cs="Calibri"/>
          <w:sz w:val="21"/>
          <w:szCs w:val="21"/>
        </w:rPr>
      </w:pPr>
      <w:r w:rsidRPr="00254AB9">
        <w:rPr>
          <w:rFonts w:cs="Calibri"/>
          <w:sz w:val="21"/>
          <w:szCs w:val="21"/>
        </w:rPr>
        <w:t>NIK (2017)</w:t>
      </w:r>
      <w:r w:rsidR="00866165" w:rsidRPr="00254AB9">
        <w:rPr>
          <w:rFonts w:cs="Calibri"/>
          <w:sz w:val="21"/>
          <w:szCs w:val="21"/>
        </w:rPr>
        <w:t>.</w:t>
      </w:r>
      <w:r w:rsidRPr="00254AB9">
        <w:rPr>
          <w:rFonts w:cs="Calibri"/>
          <w:sz w:val="21"/>
          <w:szCs w:val="21"/>
        </w:rPr>
        <w:t xml:space="preserve"> </w:t>
      </w:r>
      <w:r w:rsidRPr="00254AB9">
        <w:rPr>
          <w:rFonts w:cs="Calibri"/>
          <w:i/>
          <w:sz w:val="21"/>
          <w:szCs w:val="21"/>
        </w:rPr>
        <w:t>Informacja</w:t>
      </w:r>
      <w:r w:rsidR="006343E1">
        <w:rPr>
          <w:rFonts w:cs="Calibri"/>
          <w:i/>
          <w:sz w:val="21"/>
          <w:szCs w:val="21"/>
        </w:rPr>
        <w:t xml:space="preserve"> </w:t>
      </w:r>
      <w:r w:rsidR="006343E1" w:rsidRPr="00254AB9">
        <w:rPr>
          <w:rFonts w:cs="Calibri"/>
          <w:i/>
          <w:sz w:val="21"/>
          <w:szCs w:val="21"/>
        </w:rPr>
        <w:t>o</w:t>
      </w:r>
      <w:r w:rsidR="006343E1">
        <w:rPr>
          <w:rFonts w:cs="Calibri"/>
          <w:i/>
          <w:sz w:val="21"/>
          <w:szCs w:val="21"/>
        </w:rPr>
        <w:t> </w:t>
      </w:r>
      <w:r w:rsidRPr="00254AB9">
        <w:rPr>
          <w:rFonts w:cs="Calibri"/>
          <w:i/>
          <w:sz w:val="21"/>
          <w:szCs w:val="21"/>
        </w:rPr>
        <w:t>wynikach kontroli: Realizacja programu wspierania inwestycji</w:t>
      </w:r>
      <w:r w:rsidR="006343E1">
        <w:rPr>
          <w:rFonts w:cs="Calibri"/>
          <w:i/>
          <w:sz w:val="21"/>
          <w:szCs w:val="21"/>
        </w:rPr>
        <w:t xml:space="preserve"> </w:t>
      </w:r>
      <w:r w:rsidR="006343E1" w:rsidRPr="00254AB9">
        <w:rPr>
          <w:rFonts w:cs="Calibri"/>
          <w:i/>
          <w:sz w:val="21"/>
          <w:szCs w:val="21"/>
        </w:rPr>
        <w:t>o</w:t>
      </w:r>
      <w:r w:rsidR="006343E1">
        <w:rPr>
          <w:rFonts w:cs="Calibri"/>
          <w:i/>
          <w:sz w:val="21"/>
          <w:szCs w:val="21"/>
        </w:rPr>
        <w:t> </w:t>
      </w:r>
      <w:r w:rsidRPr="00254AB9">
        <w:rPr>
          <w:rFonts w:cs="Calibri"/>
          <w:i/>
          <w:sz w:val="21"/>
          <w:szCs w:val="21"/>
        </w:rPr>
        <w:t>istotnym znaczeniu dla gospodarki polskiej na lata 2011–2020</w:t>
      </w:r>
      <w:r w:rsidR="00866165" w:rsidRPr="00254AB9">
        <w:rPr>
          <w:rFonts w:cs="Calibri"/>
          <w:sz w:val="21"/>
          <w:szCs w:val="21"/>
        </w:rPr>
        <w:t xml:space="preserve"> (</w:t>
      </w:r>
      <w:r w:rsidRPr="00254AB9">
        <w:rPr>
          <w:rFonts w:cs="Calibri"/>
          <w:sz w:val="21"/>
          <w:szCs w:val="21"/>
        </w:rPr>
        <w:t>KGP 410.008.00.2016</w:t>
      </w:r>
      <w:r w:rsidR="00866165" w:rsidRPr="00254AB9">
        <w:rPr>
          <w:rFonts w:cs="Calibri"/>
          <w:sz w:val="21"/>
          <w:szCs w:val="21"/>
        </w:rPr>
        <w:t>)</w:t>
      </w:r>
      <w:r w:rsidRPr="00254AB9">
        <w:rPr>
          <w:rFonts w:cs="Calibri"/>
          <w:sz w:val="21"/>
          <w:szCs w:val="21"/>
        </w:rPr>
        <w:t>, Warszawa</w:t>
      </w:r>
    </w:p>
    <w:p w14:paraId="0D214434" w14:textId="389FE925" w:rsidR="00866165" w:rsidRPr="00254AB9" w:rsidRDefault="00866165" w:rsidP="0037394A">
      <w:pPr>
        <w:spacing w:after="0" w:line="240" w:lineRule="auto"/>
        <w:rPr>
          <w:rFonts w:cs="Calibri"/>
          <w:sz w:val="21"/>
          <w:szCs w:val="21"/>
        </w:rPr>
      </w:pPr>
      <w:r w:rsidRPr="00CA48F5">
        <w:rPr>
          <w:rFonts w:cs="Calibri"/>
          <w:sz w:val="21"/>
          <w:szCs w:val="21"/>
        </w:rPr>
        <w:t>https://www.nik.gov.pl/kontrole/P/16/019/KGP/</w:t>
      </w:r>
    </w:p>
    <w:p w14:paraId="5042343D" w14:textId="1D0E67D0" w:rsidR="001C57C2" w:rsidRPr="00254AB9" w:rsidRDefault="001C57C2" w:rsidP="0037394A">
      <w:pPr>
        <w:spacing w:after="0" w:line="240" w:lineRule="auto"/>
        <w:rPr>
          <w:rFonts w:cs="Calibri"/>
          <w:sz w:val="21"/>
          <w:szCs w:val="21"/>
          <w:lang w:val="en-GB"/>
        </w:rPr>
      </w:pPr>
      <w:r w:rsidRPr="00254AB9">
        <w:rPr>
          <w:rFonts w:cs="Calibri"/>
          <w:sz w:val="21"/>
          <w:szCs w:val="21"/>
          <w:lang w:val="en-GB"/>
        </w:rPr>
        <w:t>OECD (2018a)</w:t>
      </w:r>
      <w:r w:rsidR="00866165" w:rsidRPr="00254AB9">
        <w:rPr>
          <w:rFonts w:cs="Calibri"/>
          <w:sz w:val="21"/>
          <w:szCs w:val="21"/>
          <w:lang w:val="en-GB"/>
        </w:rPr>
        <w:t>.</w:t>
      </w:r>
      <w:r w:rsidRPr="00254AB9">
        <w:rPr>
          <w:rFonts w:cs="Calibri"/>
          <w:sz w:val="21"/>
          <w:szCs w:val="21"/>
          <w:lang w:val="en-GB"/>
        </w:rPr>
        <w:t xml:space="preserve"> </w:t>
      </w:r>
      <w:r w:rsidRPr="00254AB9">
        <w:rPr>
          <w:rFonts w:cs="Calibri"/>
          <w:i/>
          <w:sz w:val="21"/>
          <w:szCs w:val="21"/>
          <w:lang w:val="en-GB"/>
        </w:rPr>
        <w:t>Entrepreneurship at</w:t>
      </w:r>
      <w:r w:rsidR="006343E1">
        <w:rPr>
          <w:rFonts w:cs="Calibri"/>
          <w:i/>
          <w:sz w:val="21"/>
          <w:szCs w:val="21"/>
          <w:lang w:val="en-GB"/>
        </w:rPr>
        <w:t xml:space="preserve"> </w:t>
      </w:r>
      <w:r w:rsidR="006343E1" w:rsidRPr="00254AB9">
        <w:rPr>
          <w:rFonts w:cs="Calibri"/>
          <w:i/>
          <w:sz w:val="21"/>
          <w:szCs w:val="21"/>
          <w:lang w:val="en-GB"/>
        </w:rPr>
        <w:t>a</w:t>
      </w:r>
      <w:r w:rsidR="006343E1">
        <w:rPr>
          <w:rFonts w:cs="Calibri"/>
          <w:i/>
          <w:sz w:val="21"/>
          <w:szCs w:val="21"/>
          <w:lang w:val="en-GB"/>
        </w:rPr>
        <w:t> </w:t>
      </w:r>
      <w:r w:rsidRPr="00254AB9">
        <w:rPr>
          <w:rFonts w:cs="Calibri"/>
          <w:i/>
          <w:sz w:val="21"/>
          <w:szCs w:val="21"/>
          <w:lang w:val="en-GB"/>
        </w:rPr>
        <w:t>Glance 2017</w:t>
      </w:r>
      <w:r w:rsidRPr="00254AB9">
        <w:rPr>
          <w:rFonts w:cs="Calibri"/>
          <w:sz w:val="21"/>
          <w:szCs w:val="21"/>
          <w:lang w:val="en-GB"/>
        </w:rPr>
        <w:t>, Paris</w:t>
      </w:r>
    </w:p>
    <w:p w14:paraId="16DAEE97" w14:textId="05A5315C" w:rsidR="00866165" w:rsidRPr="00254AB9" w:rsidRDefault="00866165" w:rsidP="0037394A">
      <w:pPr>
        <w:spacing w:after="0" w:line="240" w:lineRule="auto"/>
        <w:rPr>
          <w:rFonts w:cs="Calibri"/>
          <w:sz w:val="21"/>
          <w:szCs w:val="21"/>
          <w:lang w:val="en-GB"/>
        </w:rPr>
      </w:pPr>
      <w:r w:rsidRPr="00CA48F5">
        <w:rPr>
          <w:rFonts w:cs="Calibri"/>
          <w:sz w:val="21"/>
          <w:szCs w:val="21"/>
          <w:lang w:val="en-GB"/>
        </w:rPr>
        <w:t>http://www.oecd.org/sdd/business-stats/entrepreneurship-at-a-glance-22266941.htm</w:t>
      </w:r>
    </w:p>
    <w:p w14:paraId="67FFD5F1" w14:textId="4CB16397" w:rsidR="001C57C2" w:rsidRPr="00254AB9" w:rsidRDefault="001C57C2" w:rsidP="0037394A">
      <w:pPr>
        <w:spacing w:after="0" w:line="240" w:lineRule="auto"/>
        <w:rPr>
          <w:rFonts w:cs="Calibri"/>
          <w:sz w:val="21"/>
          <w:szCs w:val="21"/>
          <w:lang w:val="en-GB"/>
        </w:rPr>
      </w:pPr>
      <w:r w:rsidRPr="00254AB9">
        <w:rPr>
          <w:rFonts w:cs="Calibri"/>
          <w:sz w:val="21"/>
          <w:szCs w:val="21"/>
          <w:lang w:val="en-GB"/>
        </w:rPr>
        <w:t>OECD (2018b)</w:t>
      </w:r>
      <w:r w:rsidR="00866165" w:rsidRPr="00254AB9">
        <w:rPr>
          <w:rFonts w:cs="Calibri"/>
          <w:sz w:val="21"/>
          <w:szCs w:val="21"/>
          <w:lang w:val="en-GB"/>
        </w:rPr>
        <w:t>.</w:t>
      </w:r>
      <w:r w:rsidRPr="00254AB9">
        <w:rPr>
          <w:rFonts w:cs="Calibri"/>
          <w:sz w:val="21"/>
          <w:szCs w:val="21"/>
          <w:lang w:val="en-GB"/>
        </w:rPr>
        <w:t xml:space="preserve"> </w:t>
      </w:r>
      <w:r w:rsidRPr="00254AB9">
        <w:rPr>
          <w:rFonts w:cs="Calibri"/>
          <w:i/>
          <w:sz w:val="21"/>
          <w:szCs w:val="21"/>
          <w:lang w:val="en-GB"/>
        </w:rPr>
        <w:t>OECD Economic Surveys Poland 2018</w:t>
      </w:r>
      <w:r w:rsidRPr="00254AB9">
        <w:rPr>
          <w:rFonts w:cs="Calibri"/>
          <w:sz w:val="21"/>
          <w:szCs w:val="21"/>
          <w:lang w:val="en-GB"/>
        </w:rPr>
        <w:t>, Paris</w:t>
      </w:r>
    </w:p>
    <w:p w14:paraId="5CBF7C81" w14:textId="564A6063" w:rsidR="00866165" w:rsidRPr="00254AB9" w:rsidRDefault="00866165" w:rsidP="0037394A">
      <w:pPr>
        <w:spacing w:after="0" w:line="240" w:lineRule="auto"/>
        <w:rPr>
          <w:rFonts w:cs="Calibri"/>
          <w:sz w:val="21"/>
          <w:szCs w:val="21"/>
          <w:lang w:val="en-GB"/>
        </w:rPr>
      </w:pPr>
      <w:r w:rsidRPr="00CA48F5">
        <w:rPr>
          <w:rFonts w:cs="Calibri"/>
          <w:sz w:val="21"/>
          <w:szCs w:val="21"/>
          <w:lang w:val="en-GB"/>
        </w:rPr>
        <w:t>http://www.oecd.org/poland/economic-survey-poland.htm</w:t>
      </w:r>
    </w:p>
    <w:p w14:paraId="391847AA" w14:textId="4C466734" w:rsidR="001C57C2" w:rsidRPr="00254AB9" w:rsidRDefault="001C57C2" w:rsidP="0037394A">
      <w:pPr>
        <w:spacing w:after="0" w:line="240" w:lineRule="auto"/>
        <w:rPr>
          <w:rFonts w:cs="Calibri"/>
          <w:sz w:val="21"/>
          <w:szCs w:val="21"/>
        </w:rPr>
      </w:pPr>
      <w:r w:rsidRPr="00254AB9">
        <w:rPr>
          <w:rFonts w:cs="Calibri"/>
          <w:sz w:val="21"/>
          <w:szCs w:val="21"/>
        </w:rPr>
        <w:t>PARP (2016)</w:t>
      </w:r>
      <w:r w:rsidR="00866165" w:rsidRPr="00254AB9">
        <w:rPr>
          <w:rFonts w:cs="Calibri"/>
          <w:sz w:val="21"/>
          <w:szCs w:val="21"/>
        </w:rPr>
        <w:t>.</w:t>
      </w:r>
      <w:r w:rsidRPr="00254AB9">
        <w:rPr>
          <w:rFonts w:cs="Calibri"/>
          <w:sz w:val="21"/>
          <w:szCs w:val="21"/>
        </w:rPr>
        <w:t xml:space="preserve"> </w:t>
      </w:r>
      <w:r w:rsidRPr="00254AB9">
        <w:rPr>
          <w:rFonts w:cs="Calibri"/>
          <w:i/>
          <w:sz w:val="21"/>
          <w:szCs w:val="21"/>
        </w:rPr>
        <w:t>Raport</w:t>
      </w:r>
      <w:r w:rsidR="006343E1">
        <w:rPr>
          <w:rFonts w:cs="Calibri"/>
          <w:i/>
          <w:sz w:val="21"/>
          <w:szCs w:val="21"/>
        </w:rPr>
        <w:t xml:space="preserve"> </w:t>
      </w:r>
      <w:r w:rsidR="006343E1" w:rsidRPr="00254AB9">
        <w:rPr>
          <w:rFonts w:cs="Calibri"/>
          <w:i/>
          <w:sz w:val="21"/>
          <w:szCs w:val="21"/>
        </w:rPr>
        <w:t>z</w:t>
      </w:r>
      <w:r w:rsidR="006343E1">
        <w:rPr>
          <w:rFonts w:cs="Calibri"/>
          <w:i/>
          <w:sz w:val="21"/>
          <w:szCs w:val="21"/>
        </w:rPr>
        <w:t> </w:t>
      </w:r>
      <w:r w:rsidRPr="00254AB9">
        <w:rPr>
          <w:rFonts w:cs="Calibri"/>
          <w:i/>
          <w:sz w:val="21"/>
          <w:szCs w:val="21"/>
        </w:rPr>
        <w:t>inwentaryzacji klastrów</w:t>
      </w:r>
      <w:r w:rsidR="006343E1">
        <w:rPr>
          <w:rFonts w:cs="Calibri"/>
          <w:i/>
          <w:sz w:val="21"/>
          <w:szCs w:val="21"/>
        </w:rPr>
        <w:t xml:space="preserve"> </w:t>
      </w:r>
      <w:r w:rsidR="006343E1" w:rsidRPr="00254AB9">
        <w:rPr>
          <w:rFonts w:cs="Calibri"/>
          <w:i/>
          <w:sz w:val="21"/>
          <w:szCs w:val="21"/>
        </w:rPr>
        <w:t>w</w:t>
      </w:r>
      <w:r w:rsidR="006343E1">
        <w:rPr>
          <w:rFonts w:cs="Calibri"/>
          <w:i/>
          <w:sz w:val="21"/>
          <w:szCs w:val="21"/>
        </w:rPr>
        <w:t> </w:t>
      </w:r>
      <w:r w:rsidRPr="00254AB9">
        <w:rPr>
          <w:rFonts w:cs="Calibri"/>
          <w:i/>
          <w:sz w:val="21"/>
          <w:szCs w:val="21"/>
        </w:rPr>
        <w:t>Polsce 2015</w:t>
      </w:r>
      <w:r w:rsidRPr="00254AB9">
        <w:rPr>
          <w:rFonts w:cs="Calibri"/>
          <w:sz w:val="21"/>
          <w:szCs w:val="21"/>
        </w:rPr>
        <w:t>, Warszawa</w:t>
      </w:r>
    </w:p>
    <w:p w14:paraId="738226B0" w14:textId="5C50E2C9" w:rsidR="00866165" w:rsidRPr="00254AB9" w:rsidRDefault="00866165" w:rsidP="0037394A">
      <w:pPr>
        <w:spacing w:after="0" w:line="240" w:lineRule="auto"/>
        <w:rPr>
          <w:rFonts w:cs="Calibri"/>
          <w:sz w:val="21"/>
          <w:szCs w:val="21"/>
        </w:rPr>
      </w:pPr>
      <w:r w:rsidRPr="00CA48F5">
        <w:rPr>
          <w:rFonts w:cs="Calibri"/>
          <w:sz w:val="21"/>
          <w:szCs w:val="21"/>
        </w:rPr>
        <w:t>http://www.parp.gov.pl/publikacje/ebook/3</w:t>
      </w:r>
    </w:p>
    <w:p w14:paraId="63131749" w14:textId="179A0506" w:rsidR="00866165" w:rsidRPr="00254AB9" w:rsidRDefault="00CA48F5" w:rsidP="0037394A">
      <w:pPr>
        <w:spacing w:after="0" w:line="240" w:lineRule="auto"/>
        <w:rPr>
          <w:rFonts w:cs="Calibri"/>
          <w:sz w:val="21"/>
          <w:szCs w:val="21"/>
        </w:rPr>
      </w:pPr>
      <w:r>
        <w:rPr>
          <w:rFonts w:cs="Calibri"/>
          <w:sz w:val="21"/>
          <w:szCs w:val="21"/>
        </w:rPr>
        <w:t>Polski Związek Faktorów (2018).</w:t>
      </w:r>
    </w:p>
    <w:p w14:paraId="6E713457" w14:textId="2FA11DCC" w:rsidR="001C57C2" w:rsidRPr="00254AB9" w:rsidRDefault="00866165" w:rsidP="0037394A">
      <w:pPr>
        <w:spacing w:after="0" w:line="240" w:lineRule="auto"/>
        <w:rPr>
          <w:rFonts w:cs="Calibri"/>
          <w:sz w:val="21"/>
          <w:szCs w:val="21"/>
        </w:rPr>
      </w:pPr>
      <w:r w:rsidRPr="00CA48F5">
        <w:rPr>
          <w:rFonts w:cs="Calibri"/>
          <w:sz w:val="21"/>
          <w:szCs w:val="21"/>
        </w:rPr>
        <w:t>http://faktoring.pl/analizy-i-statystyki/</w:t>
      </w:r>
    </w:p>
    <w:p w14:paraId="07F1F23B" w14:textId="3A6052F1" w:rsidR="00866165" w:rsidRPr="00254AB9" w:rsidRDefault="001C57C2" w:rsidP="0037394A">
      <w:pPr>
        <w:spacing w:after="0" w:line="240" w:lineRule="auto"/>
        <w:rPr>
          <w:rFonts w:cs="Calibri"/>
          <w:sz w:val="21"/>
          <w:szCs w:val="21"/>
        </w:rPr>
      </w:pPr>
      <w:r w:rsidRPr="00254AB9">
        <w:rPr>
          <w:rFonts w:cs="Calibri"/>
          <w:sz w:val="21"/>
          <w:szCs w:val="21"/>
        </w:rPr>
        <w:t>Polski Związek Leasingu (2018)</w:t>
      </w:r>
      <w:r w:rsidR="00866165" w:rsidRPr="00254AB9">
        <w:rPr>
          <w:rFonts w:cs="Calibri"/>
          <w:sz w:val="21"/>
          <w:szCs w:val="21"/>
        </w:rPr>
        <w:t>.</w:t>
      </w:r>
      <w:r w:rsidRPr="00254AB9">
        <w:rPr>
          <w:rFonts w:cs="Calibri"/>
          <w:sz w:val="21"/>
          <w:szCs w:val="21"/>
        </w:rPr>
        <w:t xml:space="preserve"> </w:t>
      </w:r>
      <w:r w:rsidR="00866165" w:rsidRPr="00254AB9">
        <w:rPr>
          <w:rFonts w:cs="Calibri"/>
          <w:sz w:val="21"/>
          <w:szCs w:val="21"/>
        </w:rPr>
        <w:t>Dane statystyczne</w:t>
      </w:r>
    </w:p>
    <w:p w14:paraId="67E68863" w14:textId="7053D3B2" w:rsidR="001C57C2" w:rsidRPr="00254AB9" w:rsidRDefault="00866165" w:rsidP="0037394A">
      <w:pPr>
        <w:spacing w:after="0" w:line="240" w:lineRule="auto"/>
        <w:rPr>
          <w:rFonts w:cs="Calibri"/>
          <w:sz w:val="21"/>
          <w:szCs w:val="21"/>
        </w:rPr>
      </w:pPr>
      <w:r w:rsidRPr="00CA48F5">
        <w:rPr>
          <w:rFonts w:cs="Calibri"/>
          <w:sz w:val="21"/>
          <w:szCs w:val="21"/>
        </w:rPr>
        <w:t>http://www.leasing.org.pl/</w:t>
      </w:r>
    </w:p>
    <w:p w14:paraId="120B3EB2" w14:textId="77777777" w:rsidR="00866165" w:rsidRPr="00254AB9" w:rsidRDefault="001C57C2" w:rsidP="0037394A">
      <w:pPr>
        <w:spacing w:after="0" w:line="240" w:lineRule="auto"/>
        <w:rPr>
          <w:rFonts w:cs="Calibri"/>
          <w:sz w:val="21"/>
          <w:szCs w:val="21"/>
        </w:rPr>
      </w:pPr>
      <w:r w:rsidRPr="00254AB9">
        <w:rPr>
          <w:rFonts w:cs="Calibri"/>
          <w:sz w:val="21"/>
          <w:szCs w:val="21"/>
        </w:rPr>
        <w:t xml:space="preserve">StartUp Yard (2017) </w:t>
      </w:r>
      <w:r w:rsidR="00866165" w:rsidRPr="00254AB9">
        <w:rPr>
          <w:rFonts w:cs="Calibri"/>
          <w:sz w:val="21"/>
          <w:szCs w:val="21"/>
        </w:rPr>
        <w:t>Strona internetowa</w:t>
      </w:r>
    </w:p>
    <w:p w14:paraId="5470E863" w14:textId="5B729785" w:rsidR="001C57C2" w:rsidRPr="00254AB9" w:rsidRDefault="00866165" w:rsidP="0037394A">
      <w:pPr>
        <w:spacing w:after="0" w:line="240" w:lineRule="auto"/>
        <w:rPr>
          <w:rFonts w:cs="Calibri"/>
          <w:sz w:val="21"/>
          <w:szCs w:val="21"/>
        </w:rPr>
      </w:pPr>
      <w:r w:rsidRPr="00CA48F5">
        <w:t>http://startupyard.com/is-the-polish-government-drowning-its-innovators-in-money/</w:t>
      </w:r>
    </w:p>
    <w:p w14:paraId="0A9000E0" w14:textId="5CDFF75B" w:rsidR="00866165" w:rsidRPr="00254AB9" w:rsidRDefault="001C57C2" w:rsidP="0037394A">
      <w:pPr>
        <w:spacing w:after="0" w:line="240" w:lineRule="auto"/>
        <w:rPr>
          <w:rFonts w:cs="Calibri"/>
          <w:sz w:val="21"/>
          <w:szCs w:val="21"/>
        </w:rPr>
      </w:pPr>
      <w:r w:rsidRPr="00254AB9">
        <w:rPr>
          <w:rFonts w:cs="Calibri"/>
          <w:sz w:val="21"/>
          <w:szCs w:val="21"/>
        </w:rPr>
        <w:lastRenderedPageBreak/>
        <w:t>Stowarzyszenie Organizatorów Ośrodków Innowacji i Przedsiębiorczości</w:t>
      </w:r>
      <w:r w:rsidR="006343E1">
        <w:rPr>
          <w:rFonts w:cs="Calibri"/>
          <w:sz w:val="21"/>
          <w:szCs w:val="21"/>
        </w:rPr>
        <w:t xml:space="preserve"> </w:t>
      </w:r>
      <w:r w:rsidR="006343E1" w:rsidRPr="00254AB9">
        <w:rPr>
          <w:rFonts w:cs="Calibri"/>
          <w:sz w:val="21"/>
          <w:szCs w:val="21"/>
        </w:rPr>
        <w:t>w</w:t>
      </w:r>
      <w:r w:rsidR="006343E1">
        <w:rPr>
          <w:rFonts w:cs="Calibri"/>
          <w:sz w:val="21"/>
          <w:szCs w:val="21"/>
        </w:rPr>
        <w:t> </w:t>
      </w:r>
      <w:r w:rsidRPr="00254AB9">
        <w:rPr>
          <w:rFonts w:cs="Calibri"/>
          <w:sz w:val="21"/>
          <w:szCs w:val="21"/>
        </w:rPr>
        <w:t>Polsce (2018)</w:t>
      </w:r>
      <w:r w:rsidR="00866165" w:rsidRPr="00254AB9">
        <w:rPr>
          <w:rFonts w:cs="Calibri"/>
          <w:sz w:val="21"/>
          <w:szCs w:val="21"/>
        </w:rPr>
        <w:t>. Strona internetowa</w:t>
      </w:r>
    </w:p>
    <w:p w14:paraId="517E3BDC" w14:textId="77777777" w:rsidR="001C57C2" w:rsidRPr="00254AB9" w:rsidRDefault="00000000" w:rsidP="0037394A">
      <w:pPr>
        <w:spacing w:after="0" w:line="240" w:lineRule="auto"/>
        <w:rPr>
          <w:rFonts w:cs="Calibri"/>
          <w:sz w:val="21"/>
          <w:szCs w:val="21"/>
        </w:rPr>
      </w:pPr>
      <w:hyperlink r:id="rId76" w:history="1">
        <w:r w:rsidR="001C57C2" w:rsidRPr="00254AB9">
          <w:rPr>
            <w:rFonts w:cs="Calibri"/>
            <w:sz w:val="21"/>
            <w:szCs w:val="21"/>
          </w:rPr>
          <w:t>http://www.sooipp.org.pl/</w:t>
        </w:r>
      </w:hyperlink>
    </w:p>
    <w:p w14:paraId="72CB4062" w14:textId="7535AD00" w:rsidR="001C57C2" w:rsidRPr="00254AB9" w:rsidRDefault="001C57C2" w:rsidP="0037394A">
      <w:pPr>
        <w:spacing w:after="0" w:line="240" w:lineRule="auto"/>
        <w:rPr>
          <w:rFonts w:cs="Calibri"/>
          <w:sz w:val="21"/>
          <w:szCs w:val="21"/>
        </w:rPr>
      </w:pPr>
      <w:r w:rsidRPr="00254AB9">
        <w:rPr>
          <w:rFonts w:cs="Calibri"/>
          <w:sz w:val="21"/>
          <w:szCs w:val="21"/>
        </w:rPr>
        <w:t>Ustawa</w:t>
      </w:r>
      <w:r w:rsidR="006343E1">
        <w:rPr>
          <w:rFonts w:cs="Calibri"/>
          <w:sz w:val="21"/>
          <w:szCs w:val="21"/>
        </w:rPr>
        <w:t xml:space="preserve"> </w:t>
      </w:r>
      <w:r w:rsidR="006343E1" w:rsidRPr="00254AB9">
        <w:rPr>
          <w:rFonts w:cs="Calibri"/>
          <w:sz w:val="21"/>
          <w:szCs w:val="21"/>
        </w:rPr>
        <w:t>z</w:t>
      </w:r>
      <w:r w:rsidR="006343E1">
        <w:rPr>
          <w:rFonts w:cs="Calibri"/>
          <w:sz w:val="21"/>
          <w:szCs w:val="21"/>
        </w:rPr>
        <w:t> </w:t>
      </w:r>
      <w:r w:rsidRPr="00254AB9">
        <w:rPr>
          <w:rFonts w:cs="Calibri"/>
          <w:sz w:val="21"/>
          <w:szCs w:val="21"/>
        </w:rPr>
        <w:t>dnia 4 listopada 2016 r.</w:t>
      </w:r>
      <w:r w:rsidR="006343E1">
        <w:rPr>
          <w:rFonts w:cs="Calibri"/>
          <w:sz w:val="21"/>
          <w:szCs w:val="21"/>
        </w:rPr>
        <w:t xml:space="preserve"> </w:t>
      </w:r>
      <w:r w:rsidR="006343E1" w:rsidRPr="00254AB9">
        <w:rPr>
          <w:rFonts w:cs="Calibri"/>
          <w:sz w:val="21"/>
          <w:szCs w:val="21"/>
        </w:rPr>
        <w:t>o</w:t>
      </w:r>
      <w:r w:rsidR="006343E1">
        <w:rPr>
          <w:rFonts w:cs="Calibri"/>
          <w:sz w:val="21"/>
          <w:szCs w:val="21"/>
        </w:rPr>
        <w:t> </w:t>
      </w:r>
      <w:r w:rsidRPr="00254AB9">
        <w:rPr>
          <w:rFonts w:cs="Calibri"/>
          <w:sz w:val="21"/>
          <w:szCs w:val="21"/>
        </w:rPr>
        <w:t>zmianie niektórych ustaw określających warunki prowadzenia działalności innowacyjnej (Dz. U.</w:t>
      </w:r>
      <w:r w:rsidR="006343E1">
        <w:rPr>
          <w:rFonts w:cs="Calibri"/>
          <w:sz w:val="21"/>
          <w:szCs w:val="21"/>
        </w:rPr>
        <w:t xml:space="preserve"> </w:t>
      </w:r>
      <w:r w:rsidR="006343E1" w:rsidRPr="00254AB9">
        <w:rPr>
          <w:rFonts w:cs="Calibri"/>
          <w:sz w:val="21"/>
          <w:szCs w:val="21"/>
        </w:rPr>
        <w:t>z</w:t>
      </w:r>
      <w:r w:rsidR="006343E1">
        <w:rPr>
          <w:rFonts w:cs="Calibri"/>
          <w:sz w:val="21"/>
          <w:szCs w:val="21"/>
        </w:rPr>
        <w:t> </w:t>
      </w:r>
      <w:r w:rsidRPr="00254AB9">
        <w:rPr>
          <w:rFonts w:cs="Calibri"/>
          <w:sz w:val="21"/>
          <w:szCs w:val="21"/>
        </w:rPr>
        <w:t>2016 r. poz. 1933)</w:t>
      </w:r>
    </w:p>
    <w:p w14:paraId="7A71EB28" w14:textId="185AC9AD" w:rsidR="00866165" w:rsidRPr="00254AB9" w:rsidRDefault="001C57C2" w:rsidP="0037394A">
      <w:pPr>
        <w:spacing w:after="0" w:line="240" w:lineRule="auto"/>
        <w:rPr>
          <w:rFonts w:cs="Calibri"/>
          <w:sz w:val="21"/>
          <w:szCs w:val="21"/>
        </w:rPr>
      </w:pPr>
      <w:r w:rsidRPr="00254AB9">
        <w:rPr>
          <w:rFonts w:cs="Calibri"/>
          <w:sz w:val="21"/>
          <w:szCs w:val="21"/>
        </w:rPr>
        <w:t>Ustawa</w:t>
      </w:r>
      <w:r w:rsidR="006343E1">
        <w:rPr>
          <w:rFonts w:cs="Calibri"/>
          <w:sz w:val="21"/>
          <w:szCs w:val="21"/>
        </w:rPr>
        <w:t xml:space="preserve"> </w:t>
      </w:r>
      <w:r w:rsidR="006343E1" w:rsidRPr="00254AB9">
        <w:rPr>
          <w:rFonts w:cs="Calibri"/>
          <w:sz w:val="21"/>
          <w:szCs w:val="21"/>
        </w:rPr>
        <w:t>z</w:t>
      </w:r>
      <w:r w:rsidR="006343E1">
        <w:rPr>
          <w:rFonts w:cs="Calibri"/>
          <w:sz w:val="21"/>
          <w:szCs w:val="21"/>
        </w:rPr>
        <w:t> </w:t>
      </w:r>
      <w:r w:rsidRPr="00254AB9">
        <w:rPr>
          <w:rFonts w:cs="Calibri"/>
          <w:sz w:val="21"/>
          <w:szCs w:val="21"/>
        </w:rPr>
        <w:t>dnia 9 listopada 2017 r.</w:t>
      </w:r>
      <w:r w:rsidR="006343E1">
        <w:rPr>
          <w:rFonts w:cs="Calibri"/>
          <w:sz w:val="21"/>
          <w:szCs w:val="21"/>
        </w:rPr>
        <w:t xml:space="preserve"> </w:t>
      </w:r>
      <w:r w:rsidR="006343E1" w:rsidRPr="00254AB9">
        <w:rPr>
          <w:rFonts w:cs="Calibri"/>
          <w:sz w:val="21"/>
          <w:szCs w:val="21"/>
        </w:rPr>
        <w:t>o</w:t>
      </w:r>
      <w:r w:rsidR="006343E1">
        <w:rPr>
          <w:rFonts w:cs="Calibri"/>
          <w:sz w:val="21"/>
          <w:szCs w:val="21"/>
        </w:rPr>
        <w:t> </w:t>
      </w:r>
      <w:r w:rsidRPr="00254AB9">
        <w:rPr>
          <w:rFonts w:cs="Calibri"/>
          <w:sz w:val="21"/>
          <w:szCs w:val="21"/>
        </w:rPr>
        <w:t>zmianie niektórych ustaw</w:t>
      </w:r>
      <w:r w:rsidR="006343E1">
        <w:rPr>
          <w:rFonts w:cs="Calibri"/>
          <w:sz w:val="21"/>
          <w:szCs w:val="21"/>
        </w:rPr>
        <w:t xml:space="preserve"> </w:t>
      </w:r>
      <w:r w:rsidR="006343E1" w:rsidRPr="00254AB9">
        <w:rPr>
          <w:rFonts w:cs="Calibri"/>
          <w:sz w:val="21"/>
          <w:szCs w:val="21"/>
        </w:rPr>
        <w:t>w</w:t>
      </w:r>
      <w:r w:rsidR="006343E1">
        <w:rPr>
          <w:rFonts w:cs="Calibri"/>
          <w:sz w:val="21"/>
          <w:szCs w:val="21"/>
        </w:rPr>
        <w:t> </w:t>
      </w:r>
      <w:r w:rsidRPr="00254AB9">
        <w:rPr>
          <w:rFonts w:cs="Calibri"/>
          <w:sz w:val="21"/>
          <w:szCs w:val="21"/>
        </w:rPr>
        <w:t>celu poprawy otoczenia prawnego działalności innowacyjnej (Dz. U.</w:t>
      </w:r>
      <w:r w:rsidR="006343E1">
        <w:rPr>
          <w:rFonts w:cs="Calibri"/>
          <w:sz w:val="21"/>
          <w:szCs w:val="21"/>
        </w:rPr>
        <w:t xml:space="preserve"> </w:t>
      </w:r>
      <w:r w:rsidR="006343E1" w:rsidRPr="00254AB9">
        <w:rPr>
          <w:rFonts w:cs="Calibri"/>
          <w:sz w:val="21"/>
          <w:szCs w:val="21"/>
        </w:rPr>
        <w:t>z</w:t>
      </w:r>
      <w:r w:rsidR="006343E1">
        <w:rPr>
          <w:rFonts w:cs="Calibri"/>
          <w:sz w:val="21"/>
          <w:szCs w:val="21"/>
        </w:rPr>
        <w:t> </w:t>
      </w:r>
      <w:r w:rsidRPr="00254AB9">
        <w:rPr>
          <w:rFonts w:cs="Calibri"/>
          <w:sz w:val="21"/>
          <w:szCs w:val="21"/>
        </w:rPr>
        <w:t>2017 r. poz. 2201)</w:t>
      </w:r>
    </w:p>
    <w:p w14:paraId="52FC2657" w14:textId="5B48B1A3" w:rsidR="00075037" w:rsidRPr="00254AB9" w:rsidRDefault="001C57C2" w:rsidP="00866165">
      <w:pPr>
        <w:spacing w:after="0" w:line="240" w:lineRule="auto"/>
        <w:rPr>
          <w:rFonts w:cs="Calibri"/>
          <w:sz w:val="21"/>
          <w:szCs w:val="21"/>
        </w:rPr>
      </w:pPr>
      <w:r w:rsidRPr="00254AB9">
        <w:rPr>
          <w:rFonts w:cs="Calibri"/>
          <w:sz w:val="21"/>
          <w:szCs w:val="21"/>
        </w:rPr>
        <w:t>Wasiluk A. (2013). Zaufanie</w:t>
      </w:r>
      <w:r w:rsidR="006343E1">
        <w:rPr>
          <w:rFonts w:cs="Calibri"/>
          <w:sz w:val="21"/>
          <w:szCs w:val="21"/>
        </w:rPr>
        <w:t xml:space="preserve"> </w:t>
      </w:r>
      <w:r w:rsidR="006343E1" w:rsidRPr="00254AB9">
        <w:rPr>
          <w:rFonts w:cs="Calibri"/>
          <w:sz w:val="21"/>
          <w:szCs w:val="21"/>
        </w:rPr>
        <w:t>i</w:t>
      </w:r>
      <w:r w:rsidR="006343E1">
        <w:rPr>
          <w:rFonts w:cs="Calibri"/>
          <w:sz w:val="21"/>
          <w:szCs w:val="21"/>
        </w:rPr>
        <w:t> </w:t>
      </w:r>
      <w:r w:rsidRPr="00254AB9">
        <w:rPr>
          <w:rFonts w:cs="Calibri"/>
          <w:sz w:val="21"/>
          <w:szCs w:val="21"/>
        </w:rPr>
        <w:t>współpraca pomiędzy przedsiębiorstwami</w:t>
      </w:r>
      <w:r w:rsidR="006343E1">
        <w:rPr>
          <w:rFonts w:cs="Calibri"/>
          <w:sz w:val="21"/>
          <w:szCs w:val="21"/>
        </w:rPr>
        <w:t xml:space="preserve"> </w:t>
      </w:r>
      <w:r w:rsidR="006343E1" w:rsidRPr="00254AB9">
        <w:rPr>
          <w:rFonts w:cs="Calibri"/>
          <w:sz w:val="21"/>
          <w:szCs w:val="21"/>
        </w:rPr>
        <w:t>w</w:t>
      </w:r>
      <w:r w:rsidR="006343E1">
        <w:rPr>
          <w:rFonts w:cs="Calibri"/>
          <w:sz w:val="21"/>
          <w:szCs w:val="21"/>
        </w:rPr>
        <w:t> </w:t>
      </w:r>
      <w:r w:rsidRPr="00254AB9">
        <w:rPr>
          <w:rFonts w:cs="Calibri"/>
          <w:sz w:val="21"/>
          <w:szCs w:val="21"/>
        </w:rPr>
        <w:t>perspektywie budowy</w:t>
      </w:r>
      <w:r w:rsidR="006343E1">
        <w:rPr>
          <w:rFonts w:cs="Calibri"/>
          <w:sz w:val="21"/>
          <w:szCs w:val="21"/>
        </w:rPr>
        <w:t xml:space="preserve"> </w:t>
      </w:r>
      <w:r w:rsidR="006343E1" w:rsidRPr="00254AB9">
        <w:rPr>
          <w:rFonts w:cs="Calibri"/>
          <w:sz w:val="21"/>
          <w:szCs w:val="21"/>
        </w:rPr>
        <w:t>i</w:t>
      </w:r>
      <w:r w:rsidR="006343E1">
        <w:rPr>
          <w:rFonts w:cs="Calibri"/>
          <w:sz w:val="21"/>
          <w:szCs w:val="21"/>
        </w:rPr>
        <w:t> </w:t>
      </w:r>
      <w:r w:rsidRPr="00254AB9">
        <w:rPr>
          <w:rFonts w:cs="Calibri"/>
          <w:sz w:val="21"/>
          <w:szCs w:val="21"/>
        </w:rPr>
        <w:t>rozwoju struktur klastrowych, [w:] Ekonomia</w:t>
      </w:r>
      <w:r w:rsidR="006343E1">
        <w:rPr>
          <w:rFonts w:cs="Calibri"/>
          <w:sz w:val="21"/>
          <w:szCs w:val="21"/>
        </w:rPr>
        <w:t xml:space="preserve"> </w:t>
      </w:r>
      <w:r w:rsidR="006343E1" w:rsidRPr="00254AB9">
        <w:rPr>
          <w:rFonts w:cs="Calibri"/>
          <w:sz w:val="21"/>
          <w:szCs w:val="21"/>
        </w:rPr>
        <w:t>i</w:t>
      </w:r>
      <w:r w:rsidR="006343E1">
        <w:rPr>
          <w:rFonts w:cs="Calibri"/>
          <w:sz w:val="21"/>
          <w:szCs w:val="21"/>
        </w:rPr>
        <w:t> </w:t>
      </w:r>
      <w:r w:rsidRPr="00254AB9">
        <w:rPr>
          <w:rFonts w:cs="Calibri"/>
          <w:sz w:val="21"/>
          <w:szCs w:val="21"/>
        </w:rPr>
        <w:t xml:space="preserve">Zarządzanie, </w:t>
      </w:r>
      <w:r w:rsidR="00983094">
        <w:rPr>
          <w:rFonts w:cs="Calibri"/>
          <w:sz w:val="21"/>
          <w:szCs w:val="21"/>
        </w:rPr>
        <w:t>v</w:t>
      </w:r>
      <w:r w:rsidRPr="00254AB9">
        <w:rPr>
          <w:rFonts w:cs="Calibri"/>
          <w:sz w:val="21"/>
          <w:szCs w:val="21"/>
        </w:rPr>
        <w:t xml:space="preserve">ol. 5, </w:t>
      </w:r>
      <w:r w:rsidR="00983094">
        <w:rPr>
          <w:rFonts w:cs="Calibri"/>
          <w:sz w:val="21"/>
          <w:szCs w:val="21"/>
        </w:rPr>
        <w:t>nr</w:t>
      </w:r>
      <w:r w:rsidRPr="00254AB9">
        <w:rPr>
          <w:rFonts w:cs="Calibri"/>
          <w:sz w:val="21"/>
          <w:szCs w:val="21"/>
        </w:rPr>
        <w:t xml:space="preserve"> 4, s. 49–66 </w:t>
      </w:r>
      <w:r w:rsidR="00866165" w:rsidRPr="00254AB9">
        <w:rPr>
          <w:rFonts w:cs="Calibri"/>
          <w:sz w:val="21"/>
          <w:szCs w:val="21"/>
        </w:rPr>
        <w:t>DOI: 10.12846/j.em.2013.04.04</w:t>
      </w:r>
    </w:p>
    <w:p w14:paraId="2E57B7E4" w14:textId="0C2BF884" w:rsidR="00075037" w:rsidRPr="00254AB9" w:rsidRDefault="00075037" w:rsidP="00075037">
      <w:pPr>
        <w:spacing w:after="0" w:line="240" w:lineRule="auto"/>
        <w:rPr>
          <w:rFonts w:cs="Calibri"/>
          <w:sz w:val="21"/>
          <w:szCs w:val="21"/>
        </w:rPr>
      </w:pPr>
      <w:r w:rsidRPr="00254AB9">
        <w:rPr>
          <w:rFonts w:cs="Calibri"/>
          <w:sz w:val="21"/>
          <w:szCs w:val="21"/>
        </w:rPr>
        <w:t>Załęski W., Kowalczyk A., Krawczyk K., Grudzień K.</w:t>
      </w:r>
      <w:r w:rsidR="00983094">
        <w:rPr>
          <w:rFonts w:cs="Calibri"/>
          <w:sz w:val="21"/>
          <w:szCs w:val="21"/>
        </w:rPr>
        <w:t>,</w:t>
      </w:r>
      <w:r w:rsidRPr="00254AB9">
        <w:rPr>
          <w:rFonts w:cs="Calibri"/>
          <w:sz w:val="21"/>
          <w:szCs w:val="21"/>
        </w:rPr>
        <w:t xml:space="preserve"> Szawiec P. (2017)</w:t>
      </w:r>
      <w:r w:rsidR="00983094">
        <w:rPr>
          <w:rFonts w:cs="Calibri"/>
          <w:sz w:val="21"/>
          <w:szCs w:val="21"/>
        </w:rPr>
        <w:t>.</w:t>
      </w:r>
      <w:r w:rsidRPr="00254AB9">
        <w:rPr>
          <w:rFonts w:cs="Calibri"/>
          <w:sz w:val="21"/>
          <w:szCs w:val="21"/>
        </w:rPr>
        <w:t xml:space="preserve"> </w:t>
      </w:r>
      <w:r w:rsidRPr="00254AB9">
        <w:rPr>
          <w:rFonts w:cs="Calibri"/>
          <w:i/>
          <w:sz w:val="21"/>
          <w:szCs w:val="21"/>
        </w:rPr>
        <w:t>Skala oddziaływania Specjalnych Stref Ekonomicznych na lokalne</w:t>
      </w:r>
      <w:r w:rsidR="006343E1">
        <w:rPr>
          <w:rFonts w:cs="Calibri"/>
          <w:i/>
          <w:sz w:val="21"/>
          <w:szCs w:val="21"/>
        </w:rPr>
        <w:t xml:space="preserve"> </w:t>
      </w:r>
      <w:r w:rsidR="006343E1" w:rsidRPr="00254AB9">
        <w:rPr>
          <w:rFonts w:cs="Calibri"/>
          <w:i/>
          <w:sz w:val="21"/>
          <w:szCs w:val="21"/>
        </w:rPr>
        <w:t>i</w:t>
      </w:r>
      <w:r w:rsidR="006343E1">
        <w:rPr>
          <w:rFonts w:cs="Calibri"/>
          <w:i/>
          <w:sz w:val="21"/>
          <w:szCs w:val="21"/>
        </w:rPr>
        <w:t> </w:t>
      </w:r>
      <w:r w:rsidRPr="00254AB9">
        <w:rPr>
          <w:rFonts w:cs="Calibri"/>
          <w:i/>
          <w:sz w:val="21"/>
          <w:szCs w:val="21"/>
        </w:rPr>
        <w:t>regionalne Mikro, Małe</w:t>
      </w:r>
      <w:r w:rsidR="006343E1">
        <w:rPr>
          <w:rFonts w:cs="Calibri"/>
          <w:i/>
          <w:sz w:val="21"/>
          <w:szCs w:val="21"/>
        </w:rPr>
        <w:t xml:space="preserve"> </w:t>
      </w:r>
      <w:r w:rsidR="006343E1" w:rsidRPr="00254AB9">
        <w:rPr>
          <w:rFonts w:cs="Calibri"/>
          <w:i/>
          <w:sz w:val="21"/>
          <w:szCs w:val="21"/>
        </w:rPr>
        <w:t>i</w:t>
      </w:r>
      <w:r w:rsidR="006343E1">
        <w:rPr>
          <w:rFonts w:cs="Calibri"/>
          <w:i/>
          <w:sz w:val="21"/>
          <w:szCs w:val="21"/>
        </w:rPr>
        <w:t> </w:t>
      </w:r>
      <w:r w:rsidRPr="00254AB9">
        <w:rPr>
          <w:rFonts w:cs="Calibri"/>
          <w:i/>
          <w:sz w:val="21"/>
          <w:szCs w:val="21"/>
        </w:rPr>
        <w:t>Średnie przedsiębiorstwa,</w:t>
      </w:r>
      <w:r w:rsidR="006343E1">
        <w:rPr>
          <w:rFonts w:cs="Calibri"/>
          <w:i/>
          <w:sz w:val="21"/>
          <w:szCs w:val="21"/>
        </w:rPr>
        <w:t xml:space="preserve"> </w:t>
      </w:r>
      <w:r w:rsidR="006343E1" w:rsidRPr="00254AB9">
        <w:rPr>
          <w:rFonts w:cs="Calibri"/>
          <w:i/>
          <w:sz w:val="21"/>
          <w:szCs w:val="21"/>
        </w:rPr>
        <w:t>z</w:t>
      </w:r>
      <w:r w:rsidR="006343E1">
        <w:rPr>
          <w:rFonts w:cs="Calibri"/>
          <w:i/>
          <w:sz w:val="21"/>
          <w:szCs w:val="21"/>
        </w:rPr>
        <w:t> </w:t>
      </w:r>
      <w:r w:rsidRPr="00254AB9">
        <w:rPr>
          <w:rFonts w:cs="Calibri"/>
          <w:i/>
          <w:sz w:val="21"/>
          <w:szCs w:val="21"/>
        </w:rPr>
        <w:t>uwzględnieniem wpływu funduszy europejskich</w:t>
      </w:r>
      <w:r w:rsidRPr="00254AB9">
        <w:rPr>
          <w:rFonts w:cs="Calibri"/>
          <w:sz w:val="21"/>
          <w:szCs w:val="21"/>
        </w:rPr>
        <w:t xml:space="preserve">, </w:t>
      </w:r>
      <w:r w:rsidR="00983094">
        <w:rPr>
          <w:rFonts w:cs="Calibri"/>
          <w:sz w:val="21"/>
          <w:szCs w:val="21"/>
        </w:rPr>
        <w:t>B</w:t>
      </w:r>
      <w:r w:rsidRPr="00254AB9">
        <w:rPr>
          <w:rFonts w:cs="Calibri"/>
          <w:sz w:val="21"/>
          <w:szCs w:val="21"/>
        </w:rPr>
        <w:t xml:space="preserve">luehill solutions oraz Quality Watch consulting &amp; research, Warszawa. Ekspertyza na zlecenie Ministerstwa Rozwoju </w:t>
      </w:r>
    </w:p>
    <w:p w14:paraId="763668F6" w14:textId="77777777" w:rsidR="00075037" w:rsidRPr="00254AB9" w:rsidRDefault="00075037" w:rsidP="0037394A">
      <w:pPr>
        <w:spacing w:after="0" w:line="240" w:lineRule="auto"/>
        <w:rPr>
          <w:rFonts w:cs="Calibri"/>
          <w:sz w:val="21"/>
          <w:szCs w:val="21"/>
        </w:rPr>
      </w:pPr>
    </w:p>
    <w:p w14:paraId="20659BFB" w14:textId="77777777" w:rsidR="00A413C1" w:rsidRPr="00254AB9" w:rsidRDefault="00A413C1" w:rsidP="00557F39">
      <w:pPr>
        <w:spacing w:after="0" w:line="240" w:lineRule="auto"/>
        <w:rPr>
          <w:rFonts w:cs="Calibri"/>
          <w:sz w:val="21"/>
          <w:szCs w:val="21"/>
        </w:rPr>
      </w:pPr>
    </w:p>
    <w:p w14:paraId="751DB456" w14:textId="77777777" w:rsidR="00333F81" w:rsidRPr="00CB07D4" w:rsidRDefault="00333F81" w:rsidP="00333F81">
      <w:pPr>
        <w:spacing w:after="0" w:line="240" w:lineRule="auto"/>
        <w:rPr>
          <w:b/>
          <w:sz w:val="21"/>
        </w:rPr>
      </w:pPr>
    </w:p>
    <w:p w14:paraId="0F9C4460" w14:textId="77777777" w:rsidR="008952F1" w:rsidRPr="00CB07D4" w:rsidRDefault="008952F1" w:rsidP="006365AA">
      <w:pPr>
        <w:spacing w:after="0" w:line="240" w:lineRule="auto"/>
        <w:rPr>
          <w:sz w:val="21"/>
        </w:rPr>
      </w:pPr>
    </w:p>
    <w:p w14:paraId="78F7D789" w14:textId="77777777" w:rsidR="009C5EC8" w:rsidRPr="00CB07D4" w:rsidRDefault="009C5EC8" w:rsidP="009005F8"/>
    <w:p w14:paraId="5714999B" w14:textId="1821D737" w:rsidR="001018C4" w:rsidRPr="00254AB9" w:rsidRDefault="001018C4" w:rsidP="00EA60A4">
      <w:pPr>
        <w:pStyle w:val="Nagwek1"/>
        <w:pageBreakBefore/>
        <w:numPr>
          <w:ilvl w:val="0"/>
          <w:numId w:val="1"/>
        </w:numPr>
        <w:spacing w:before="0" w:line="240" w:lineRule="auto"/>
        <w:ind w:left="714" w:hanging="357"/>
        <w:rPr>
          <w:rFonts w:ascii="Calibri" w:hAnsi="Calibri" w:cs="Calibri"/>
          <w:sz w:val="32"/>
          <w:szCs w:val="32"/>
        </w:rPr>
      </w:pPr>
      <w:bookmarkStart w:id="97" w:name="_Toc511921181"/>
      <w:bookmarkStart w:id="98" w:name="_Toc31808513"/>
      <w:bookmarkStart w:id="99" w:name="_Toc106968797"/>
      <w:r w:rsidRPr="00254AB9">
        <w:rPr>
          <w:rFonts w:ascii="Calibri" w:hAnsi="Calibri" w:cs="Calibri"/>
          <w:sz w:val="32"/>
          <w:szCs w:val="32"/>
        </w:rPr>
        <w:lastRenderedPageBreak/>
        <w:t>Cyfryzacja gospodarki</w:t>
      </w:r>
      <w:r w:rsidR="006343E1">
        <w:rPr>
          <w:rFonts w:ascii="Calibri" w:hAnsi="Calibri" w:cs="Calibri"/>
          <w:sz w:val="32"/>
          <w:szCs w:val="32"/>
        </w:rPr>
        <w:t xml:space="preserve"> </w:t>
      </w:r>
      <w:r w:rsidR="006343E1" w:rsidRPr="00254AB9">
        <w:rPr>
          <w:rFonts w:ascii="Calibri" w:hAnsi="Calibri" w:cs="Calibri"/>
          <w:sz w:val="32"/>
          <w:szCs w:val="32"/>
        </w:rPr>
        <w:t>i</w:t>
      </w:r>
      <w:r w:rsidR="006343E1">
        <w:rPr>
          <w:rFonts w:ascii="Calibri" w:hAnsi="Calibri" w:cs="Calibri"/>
          <w:sz w:val="32"/>
          <w:szCs w:val="32"/>
        </w:rPr>
        <w:t> </w:t>
      </w:r>
      <w:r w:rsidRPr="00254AB9">
        <w:rPr>
          <w:rFonts w:ascii="Calibri" w:hAnsi="Calibri" w:cs="Calibri"/>
          <w:sz w:val="32"/>
          <w:szCs w:val="32"/>
        </w:rPr>
        <w:t>przemysłu</w:t>
      </w:r>
      <w:bookmarkEnd w:id="97"/>
      <w:bookmarkEnd w:id="98"/>
      <w:bookmarkEnd w:id="99"/>
    </w:p>
    <w:p w14:paraId="1ED30267" w14:textId="77777777" w:rsidR="00B620BC" w:rsidRDefault="00B620BC" w:rsidP="00A9445F">
      <w:pPr>
        <w:pStyle w:val="Nagwek2"/>
        <w:numPr>
          <w:ilvl w:val="1"/>
          <w:numId w:val="11"/>
        </w:numPr>
        <w:suppressAutoHyphens/>
      </w:pPr>
      <w:bookmarkStart w:id="100" w:name="_Toc511921182"/>
      <w:bookmarkStart w:id="101" w:name="_Toc31808514"/>
      <w:bookmarkStart w:id="102" w:name="_Toc106968798"/>
      <w:r>
        <w:t>Wprowadzenie</w:t>
      </w:r>
      <w:bookmarkEnd w:id="100"/>
      <w:bookmarkEnd w:id="101"/>
      <w:bookmarkEnd w:id="102"/>
    </w:p>
    <w:p w14:paraId="200FE79C" w14:textId="59AB3E2B" w:rsidR="00B620BC" w:rsidRDefault="00B620BC" w:rsidP="00B620BC">
      <w:r>
        <w:t>W 2017 r.</w:t>
      </w:r>
      <w:r w:rsidR="006343E1">
        <w:t xml:space="preserve"> w </w:t>
      </w:r>
      <w:r>
        <w:t>pierwszej szóstce najcenniejszych firm świata (według sumy wartości akcji posiadanych przez udziałowców) znajdowało się pięć firm działających</w:t>
      </w:r>
      <w:r w:rsidR="006343E1">
        <w:t xml:space="preserve"> w </w:t>
      </w:r>
      <w:r>
        <w:t>obszarze technologii cyfrowych (PWC, 2017). W państwach rozwiniętych systemy teleinformatyczne wkroczyły już</w:t>
      </w:r>
      <w:r w:rsidR="006343E1">
        <w:t xml:space="preserve"> w </w:t>
      </w:r>
      <w:r>
        <w:t>życie większości ludzi oraz we wszystkie aspekty funkcjonowania gospodarki. Mimo to zarówno</w:t>
      </w:r>
      <w:r w:rsidR="006343E1">
        <w:t xml:space="preserve"> w </w:t>
      </w:r>
      <w:r>
        <w:t>mediach szerokiego zasięgu</w:t>
      </w:r>
      <w:r w:rsidR="007F37D0">
        <w:t>,</w:t>
      </w:r>
      <w:r>
        <w:t xml:space="preserve"> jak i w publikacjach specjalistycznych często pojawiają się opinie</w:t>
      </w:r>
      <w:r w:rsidR="00477C54">
        <w:t>, że </w:t>
      </w:r>
      <w:r>
        <w:t xml:space="preserve">prawdziwe rewolucja cyfrowa dopiero się rozpoczyna, gdyż przełomowe technologie, takie jak wykorzystanie Big Data, sieć semantyczna, Internet </w:t>
      </w:r>
      <w:r w:rsidR="00C14A83">
        <w:t>r</w:t>
      </w:r>
      <w:r>
        <w:t>zeczy czy sztuczna inteligencja są na względnie wczesnych etapach rozwoju i upowszechnienia. Dość powszechnie prognozuje się</w:t>
      </w:r>
      <w:r w:rsidR="00477C54">
        <w:t>, że </w:t>
      </w:r>
      <w:r w:rsidR="006343E1">
        <w:t>w </w:t>
      </w:r>
      <w:r>
        <w:t>najbliższych latach kluczowymi trendami</w:t>
      </w:r>
      <w:r w:rsidR="006343E1">
        <w:t xml:space="preserve"> w </w:t>
      </w:r>
      <w:r>
        <w:t xml:space="preserve">ICT będą właśnie Big Data, Internet </w:t>
      </w:r>
      <w:r w:rsidR="00C14A83">
        <w:t>r</w:t>
      </w:r>
      <w:r>
        <w:t>zeczy, technologie przetwarzania</w:t>
      </w:r>
      <w:r w:rsidR="006343E1">
        <w:t xml:space="preserve"> w </w:t>
      </w:r>
      <w:r>
        <w:t>chmurze oraz cyberbezpieczeństwo (Investin, 2017). Rośnie również rynek produktów</w:t>
      </w:r>
      <w:r w:rsidR="006343E1">
        <w:t xml:space="preserve"> z </w:t>
      </w:r>
      <w:r>
        <w:t>obszaru rzeczywistości wirtualnej (VR) i rozszerzonej (AR). Postęp</w:t>
      </w:r>
      <w:r w:rsidR="006343E1">
        <w:t xml:space="preserve"> w </w:t>
      </w:r>
      <w:r>
        <w:t xml:space="preserve">sferach zarówno </w:t>
      </w:r>
      <w:r>
        <w:rPr>
          <w:i/>
        </w:rPr>
        <w:t>hardware</w:t>
      </w:r>
      <w:r w:rsidR="00C14A83">
        <w:t>,</w:t>
      </w:r>
      <w:r>
        <w:t xml:space="preserve"> jak i </w:t>
      </w:r>
      <w:r>
        <w:rPr>
          <w:i/>
        </w:rPr>
        <w:t>software</w:t>
      </w:r>
      <w:r>
        <w:t xml:space="preserve"> sprawia</w:t>
      </w:r>
      <w:r w:rsidR="00477C54">
        <w:t>, że </w:t>
      </w:r>
      <w:r>
        <w:t>potencjalnie dowolny obiekt na Ziemi będzie można zamienić</w:t>
      </w:r>
      <w:r w:rsidR="006343E1">
        <w:t xml:space="preserve"> w </w:t>
      </w:r>
      <w:r>
        <w:t>komputer wydający</w:t>
      </w:r>
      <w:r w:rsidR="006343E1">
        <w:t xml:space="preserve"> i </w:t>
      </w:r>
      <w:r>
        <w:t>przyjmujący polecenia od innych komputerów. Montaż czujników na wszelkiego rodzaju urządzeniach oraz połączenie ich w sieć,</w:t>
      </w:r>
      <w:r w:rsidR="006343E1">
        <w:t xml:space="preserve"> w </w:t>
      </w:r>
      <w:r w:rsidR="00C14A83">
        <w:t xml:space="preserve">której </w:t>
      </w:r>
      <w:r>
        <w:t xml:space="preserve">ramach bieżące decyzje – na każdym ogniwie łańcucha wartości – </w:t>
      </w:r>
      <w:r w:rsidR="00C14A83">
        <w:t xml:space="preserve">są </w:t>
      </w:r>
      <w:r>
        <w:t>podejmowane w dużej mierze</w:t>
      </w:r>
      <w:r w:rsidR="006343E1">
        <w:t xml:space="preserve"> w </w:t>
      </w:r>
      <w:r>
        <w:t>sposób zautomatyzowany,</w:t>
      </w:r>
      <w:r w:rsidR="006343E1">
        <w:t xml:space="preserve"> w </w:t>
      </w:r>
      <w:r>
        <w:t>czasie rzeczywistym, z wykorzystaniem algorytmów uczenia maszynowego jest istotą coraz bardziej popularnej koncepcji „Przemysłu 4.0”, która</w:t>
      </w:r>
      <w:r w:rsidR="006343E1">
        <w:t xml:space="preserve"> w </w:t>
      </w:r>
      <w:r>
        <w:t xml:space="preserve">Polsce jest na początkowym etapie wdrażania. </w:t>
      </w:r>
    </w:p>
    <w:p w14:paraId="1D351C5F" w14:textId="6003A0CA" w:rsidR="00B620BC" w:rsidRDefault="00B620BC" w:rsidP="00B620BC">
      <w:r>
        <w:t>Pole do tworzenia innowacyjnych usług opartych na oprogramowaniu wydaje się ograniczone jedynie kreatywnością przedsiębiorców i programistów. W celu zapewnienia sprzyjających warunków dla pobudzania</w:t>
      </w:r>
      <w:r w:rsidR="006343E1">
        <w:t xml:space="preserve"> i </w:t>
      </w:r>
      <w:r>
        <w:t>wykorzystania tej kreatywności konieczny jest, obok rozwiązań prawnych horyzontalnie wspierających przedsiębiorczość i innowacyjność</w:t>
      </w:r>
      <w:r w:rsidR="006343E1">
        <w:t xml:space="preserve"> w </w:t>
      </w:r>
      <w:r>
        <w:t>gospodarce, rozwój kilku wymiarów społeczeństwa informacyjnego.</w:t>
      </w:r>
      <w:r w:rsidR="006343E1">
        <w:t xml:space="preserve"> W </w:t>
      </w:r>
      <w:r>
        <w:t>większości dokumentów analitycznych, strategicznych i programowych dotyczących cyfryzacji przyjęło się wyróżniać te wymiary</w:t>
      </w:r>
      <w:r w:rsidR="006343E1">
        <w:t xml:space="preserve"> w </w:t>
      </w:r>
      <w:r>
        <w:t>następującym układzie:</w:t>
      </w:r>
    </w:p>
    <w:p w14:paraId="198E340B" w14:textId="77777777" w:rsidR="00B620BC" w:rsidRDefault="00C14A83" w:rsidP="00CB07D4">
      <w:pPr>
        <w:suppressAutoHyphens/>
      </w:pPr>
      <w:r>
        <w:t xml:space="preserve">1. </w:t>
      </w:r>
      <w:r w:rsidR="00B620BC">
        <w:t>infrastruktura (sieci),</w:t>
      </w:r>
    </w:p>
    <w:p w14:paraId="7F6F4111" w14:textId="54670CD4" w:rsidR="00B620BC" w:rsidRDefault="00C14A83" w:rsidP="00CB07D4">
      <w:pPr>
        <w:suppressAutoHyphens/>
      </w:pPr>
      <w:r>
        <w:t xml:space="preserve">2. </w:t>
      </w:r>
      <w:r w:rsidR="00B620BC">
        <w:t>e-administracja (w tym cyberbezpieczeństwo)</w:t>
      </w:r>
      <w:r w:rsidR="006343E1">
        <w:t xml:space="preserve"> i </w:t>
      </w:r>
      <w:r w:rsidR="00B620BC">
        <w:t>otwarty rząd,</w:t>
      </w:r>
    </w:p>
    <w:p w14:paraId="6A20166B" w14:textId="77777777" w:rsidR="00B620BC" w:rsidRDefault="00C14A83" w:rsidP="00CB07D4">
      <w:pPr>
        <w:suppressAutoHyphens/>
      </w:pPr>
      <w:r>
        <w:t xml:space="preserve">3. </w:t>
      </w:r>
      <w:r w:rsidR="00B620BC">
        <w:t>umiejętności cyfrowe,</w:t>
      </w:r>
    </w:p>
    <w:p w14:paraId="6C0900C7" w14:textId="77777777" w:rsidR="00B620BC" w:rsidRDefault="00C14A83" w:rsidP="00CB07D4">
      <w:pPr>
        <w:suppressAutoHyphens/>
      </w:pPr>
      <w:r>
        <w:t xml:space="preserve">4. </w:t>
      </w:r>
      <w:r w:rsidR="00B620BC">
        <w:t>gospodarka elektroniczna:</w:t>
      </w:r>
    </w:p>
    <w:p w14:paraId="306FC070" w14:textId="77777777" w:rsidR="00B620BC" w:rsidRDefault="00C14A83" w:rsidP="00CB07D4">
      <w:pPr>
        <w:suppressAutoHyphens/>
        <w:ind w:left="284"/>
      </w:pPr>
      <w:r>
        <w:rPr>
          <w:rFonts w:ascii="Times New Roman" w:hAnsi="Times New Roman" w:cs="Times New Roman"/>
          <w:highlight w:val="lightGray"/>
        </w:rPr>
        <w:t>–</w:t>
      </w:r>
      <w:r>
        <w:rPr>
          <w:rFonts w:ascii="Arial" w:hAnsi="Arial"/>
        </w:rPr>
        <w:t xml:space="preserve"> </w:t>
      </w:r>
      <w:r w:rsidR="00B620BC">
        <w:t>podaż IT (sektor IT),</w:t>
      </w:r>
    </w:p>
    <w:p w14:paraId="4A366320" w14:textId="0D04CEF2" w:rsidR="00B620BC" w:rsidRDefault="00C14A83" w:rsidP="00CB07D4">
      <w:pPr>
        <w:suppressAutoHyphens/>
        <w:ind w:left="284"/>
      </w:pPr>
      <w:r>
        <w:rPr>
          <w:rFonts w:ascii="Times New Roman" w:hAnsi="Times New Roman" w:cs="Times New Roman"/>
          <w:highlight w:val="lightGray"/>
        </w:rPr>
        <w:t>–</w:t>
      </w:r>
      <w:r>
        <w:rPr>
          <w:rFonts w:ascii="Arial" w:hAnsi="Arial"/>
        </w:rPr>
        <w:t xml:space="preserve"> </w:t>
      </w:r>
      <w:r w:rsidR="00B620BC">
        <w:t>popyt na IT (upowszechnienie korzystania</w:t>
      </w:r>
      <w:r w:rsidR="006343E1">
        <w:t xml:space="preserve"> z </w:t>
      </w:r>
      <w:r w:rsidR="00B620BC">
        <w:t>produktów, usług</w:t>
      </w:r>
      <w:r w:rsidR="006343E1">
        <w:t xml:space="preserve"> i </w:t>
      </w:r>
      <w:r w:rsidR="00B620BC">
        <w:t>technologii cyfrowych w przedsiębiorstwach).</w:t>
      </w:r>
    </w:p>
    <w:p w14:paraId="2385A5AF" w14:textId="001D9545" w:rsidR="00B620BC" w:rsidRDefault="00B620BC" w:rsidP="00B620BC">
      <w:r>
        <w:t>Stosunkowo niedawno pojawiły się również pojęcia „gospodarki opartej na danych” oraz „przemysłu 4.0 / przemysłu+” (MC, 2017).</w:t>
      </w:r>
      <w:r w:rsidR="006343E1">
        <w:t xml:space="preserve"> W </w:t>
      </w:r>
      <w:r>
        <w:t>niniejszej diagnozie zjawiska te są analizowane</w:t>
      </w:r>
      <w:r w:rsidR="006343E1">
        <w:t xml:space="preserve"> w </w:t>
      </w:r>
      <w:r>
        <w:t>ramach szeroko pojętej gospodarki elektronicznej. Spośród czterech ww. wymiarów społeczeństwa informacyjnego temat e</w:t>
      </w:r>
      <w:r>
        <w:noBreakHyphen/>
        <w:t>administracji został potraktowany jedynie wzmiankowo,</w:t>
      </w:r>
      <w:r w:rsidR="006343E1">
        <w:t xml:space="preserve"> w </w:t>
      </w:r>
      <w:r>
        <w:t xml:space="preserve">komentarzu do unijnego wskaźnika DESI. Jest to obszar objęty </w:t>
      </w:r>
      <w:r w:rsidR="004F4162">
        <w:t>s</w:t>
      </w:r>
      <w:r w:rsidRPr="004F4162">
        <w:t xml:space="preserve">trategią </w:t>
      </w:r>
      <w:r w:rsidR="004F4162">
        <w:t>„</w:t>
      </w:r>
      <w:r>
        <w:t xml:space="preserve">Sprawne Państwo </w:t>
      </w:r>
      <w:r w:rsidR="004F4162">
        <w:t>2020”</w:t>
      </w:r>
      <w:r>
        <w:t xml:space="preserve"> i jej diagnozą. Jakkolwiek działania państwa w obszarze e</w:t>
      </w:r>
      <w:r>
        <w:noBreakHyphen/>
        <w:t>administracji mogą mieć istotny wpływ na gospodarkę poprzez np. politykę zakupową państwa</w:t>
      </w:r>
      <w:r w:rsidR="006343E1">
        <w:t xml:space="preserve"> w </w:t>
      </w:r>
      <w:r>
        <w:t xml:space="preserve">sferze IT, jakość państwowego systemu cyberbezpieczeństwa czy też otwartość, jakość i dostępność danych publicznych, które jak wskazuje m.in. WISE (2014) są nadal w Polsce niskie, to jednak </w:t>
      </w:r>
      <w:r w:rsidR="006343E1">
        <w:t xml:space="preserve"> w </w:t>
      </w:r>
      <w:r>
        <w:t>niniejszym opracowaniu zdecydowano się je pominąć. Są to tematy na tyle obszerne</w:t>
      </w:r>
      <w:r w:rsidR="00477C54">
        <w:t>, że </w:t>
      </w:r>
      <w:r>
        <w:t>zasługują na ujęcie</w:t>
      </w:r>
      <w:r w:rsidR="006343E1">
        <w:t xml:space="preserve"> w </w:t>
      </w:r>
      <w:r>
        <w:t xml:space="preserve">odrębnych dokumentach strategicznych, którymi są </w:t>
      </w:r>
      <w:r w:rsidRPr="00CB07D4">
        <w:rPr>
          <w:i/>
        </w:rPr>
        <w:t>Program Zintegrowanej Informatyzacji Państwa</w:t>
      </w:r>
      <w:r>
        <w:t xml:space="preserve"> (dokument wykonawczy dotychczasowej strategii </w:t>
      </w:r>
      <w:r w:rsidR="004F4162">
        <w:t>„</w:t>
      </w:r>
      <w:r>
        <w:t xml:space="preserve">Sprawne </w:t>
      </w:r>
      <w:r>
        <w:lastRenderedPageBreak/>
        <w:t>Państwo</w:t>
      </w:r>
      <w:r w:rsidR="004F4162">
        <w:t xml:space="preserve"> 2020”</w:t>
      </w:r>
      <w:r w:rsidRPr="00CB07D4">
        <w:rPr>
          <w:rStyle w:val="Znakiprzypiswdolnych"/>
          <w:sz w:val="21"/>
          <w:vertAlign w:val="superscript"/>
        </w:rPr>
        <w:footnoteReference w:id="36"/>
      </w:r>
      <w:r>
        <w:t xml:space="preserve"> oraz </w:t>
      </w:r>
      <w:r w:rsidRPr="00CB07D4">
        <w:rPr>
          <w:i/>
        </w:rPr>
        <w:t>Program Otwierania Danych Publicznych</w:t>
      </w:r>
      <w:r w:rsidRPr="00CB07D4">
        <w:rPr>
          <w:rStyle w:val="Znakiprzypiswdolnych"/>
          <w:sz w:val="21"/>
          <w:vertAlign w:val="superscript"/>
        </w:rPr>
        <w:footnoteReference w:id="37"/>
      </w:r>
      <w:r>
        <w:t>. Podobnie proponuje się potraktować temat sieci szerokopasmowych. Ich rozwój, tj. zapewnienie powszechnej możliwości dostępu do usług</w:t>
      </w:r>
      <w:r w:rsidR="006343E1">
        <w:t xml:space="preserve"> o </w:t>
      </w:r>
      <w:r>
        <w:t>wysokiej prędkości transferu danych</w:t>
      </w:r>
      <w:r w:rsidR="006343E1">
        <w:t xml:space="preserve"> w </w:t>
      </w:r>
      <w:r>
        <w:t>obie strony, jest kwestią</w:t>
      </w:r>
      <w:r w:rsidR="006343E1">
        <w:t xml:space="preserve"> o </w:t>
      </w:r>
      <w:r>
        <w:t>fundamentalnym znaczeniu dla cyfryzacji gospodarki i przemysłu. Niemniej jednak proces analizy sytuacji</w:t>
      </w:r>
      <w:r w:rsidR="006343E1">
        <w:t xml:space="preserve"> w </w:t>
      </w:r>
      <w:r>
        <w:t>tym zakresie, formułowania polityki publicznej oraz jej wdrażania</w:t>
      </w:r>
      <w:r w:rsidR="006343E1">
        <w:t xml:space="preserve"> i </w:t>
      </w:r>
      <w:r>
        <w:t>monitorowania toczy się</w:t>
      </w:r>
      <w:r w:rsidR="006343E1">
        <w:t xml:space="preserve"> w </w:t>
      </w:r>
      <w:r>
        <w:t>ramach procesu aktualizacji strategii Sprawne Państwo</w:t>
      </w:r>
      <w:r w:rsidR="006343E1">
        <w:t xml:space="preserve"> i </w:t>
      </w:r>
      <w:r>
        <w:t>jej dokumentu wykonawczego – Narodowego Planu Szerokopasmowego</w:t>
      </w:r>
      <w:r w:rsidRPr="00CB07D4">
        <w:rPr>
          <w:rStyle w:val="Znakiprzypiswdolnych"/>
          <w:sz w:val="21"/>
          <w:vertAlign w:val="superscript"/>
        </w:rPr>
        <w:footnoteReference w:id="38"/>
      </w:r>
      <w:r>
        <w:t>. Stąd</w:t>
      </w:r>
      <w:r w:rsidR="006343E1">
        <w:t xml:space="preserve"> w </w:t>
      </w:r>
      <w:r>
        <w:t>niniejszej diagnozie kwestii dostępu do sieci poświęcono stosunkowo niewiele miejsca.</w:t>
      </w:r>
    </w:p>
    <w:tbl>
      <w:tblPr>
        <w:tblW w:w="9111" w:type="dxa"/>
        <w:tblInd w:w="201" w:type="dxa"/>
        <w:tblLayout w:type="fixed"/>
        <w:tblLook w:val="0000" w:firstRow="0" w:lastRow="0" w:firstColumn="0" w:lastColumn="0" w:noHBand="0" w:noVBand="0"/>
      </w:tblPr>
      <w:tblGrid>
        <w:gridCol w:w="4678"/>
        <w:gridCol w:w="4433"/>
      </w:tblGrid>
      <w:tr w:rsidR="00B620BC" w14:paraId="69DE21DB" w14:textId="77777777" w:rsidTr="00CB07D4">
        <w:trPr>
          <w:trHeight w:val="303"/>
        </w:trPr>
        <w:tc>
          <w:tcPr>
            <w:tcW w:w="9111" w:type="dxa"/>
            <w:gridSpan w:val="2"/>
            <w:tcBorders>
              <w:top w:val="single" w:sz="4" w:space="0" w:color="BFBFBF"/>
              <w:left w:val="single" w:sz="4" w:space="0" w:color="BFBFBF"/>
              <w:bottom w:val="single" w:sz="4" w:space="0" w:color="BFBFBF"/>
              <w:right w:val="single" w:sz="4" w:space="0" w:color="BFBFBF"/>
            </w:tcBorders>
            <w:shd w:val="clear" w:color="auto" w:fill="auto"/>
          </w:tcPr>
          <w:p w14:paraId="5931E2FE" w14:textId="07225F88" w:rsidR="00B620BC" w:rsidRDefault="00FC6E8F" w:rsidP="00332B11">
            <w:pPr>
              <w:widowControl w:val="0"/>
              <w:spacing w:after="0" w:line="240" w:lineRule="auto"/>
            </w:pPr>
            <w:r>
              <w:rPr>
                <w:rFonts w:cs="Calibri"/>
                <w:b/>
                <w:sz w:val="21"/>
                <w:szCs w:val="21"/>
              </w:rPr>
              <w:t>Wykres 49</w:t>
            </w:r>
            <w:r w:rsidR="00B620BC">
              <w:rPr>
                <w:rFonts w:cs="Calibri"/>
                <w:b/>
                <w:sz w:val="21"/>
                <w:szCs w:val="21"/>
              </w:rPr>
              <w:t>. Polska na tle Europy</w:t>
            </w:r>
            <w:r w:rsidR="006343E1">
              <w:rPr>
                <w:rFonts w:cs="Calibri"/>
                <w:b/>
                <w:sz w:val="21"/>
                <w:szCs w:val="21"/>
              </w:rPr>
              <w:t xml:space="preserve"> w </w:t>
            </w:r>
            <w:r w:rsidR="00B620BC">
              <w:rPr>
                <w:rFonts w:cs="Calibri"/>
                <w:b/>
                <w:sz w:val="21"/>
                <w:szCs w:val="21"/>
              </w:rPr>
              <w:t>świetle głównych wymiarów społeczeństwa informacyjnego</w:t>
            </w:r>
          </w:p>
        </w:tc>
      </w:tr>
      <w:tr w:rsidR="00CB07D4" w14:paraId="0E3B8EBB" w14:textId="77777777" w:rsidTr="00CB07D4">
        <w:trPr>
          <w:trHeight w:val="1685"/>
        </w:trPr>
        <w:tc>
          <w:tcPr>
            <w:tcW w:w="9111" w:type="dxa"/>
            <w:gridSpan w:val="2"/>
            <w:tcBorders>
              <w:top w:val="single" w:sz="4" w:space="0" w:color="BFBFBF"/>
              <w:left w:val="single" w:sz="4" w:space="0" w:color="BFBFBF"/>
              <w:bottom w:val="single" w:sz="4" w:space="0" w:color="BFBFBF"/>
              <w:right w:val="single" w:sz="4" w:space="0" w:color="BFBFBF"/>
            </w:tcBorders>
            <w:shd w:val="clear" w:color="auto" w:fill="auto"/>
          </w:tcPr>
          <w:p w14:paraId="27EBB394" w14:textId="77777777" w:rsidR="00CB07D4" w:rsidRDefault="00CB07D4" w:rsidP="00EF36FC">
            <w:pPr>
              <w:widowControl w:val="0"/>
            </w:pPr>
            <w:r>
              <w:t>Wskaźnik</w:t>
            </w:r>
            <w:r>
              <w:rPr>
                <w:b/>
              </w:rPr>
              <w:t xml:space="preserve"> Digital Economy and Society Index (DESI)</w:t>
            </w:r>
            <w:r>
              <w:t xml:space="preserve"> opracowany przez Komisję Europejską jest najlepszym narzędziem do kompleksowych porównań państw UE pod kątem stopnia rozwoju społeczeństwa informacyjnego. Wskaźnik główny składa się z 5 wymiarów, z których każdy również ma charakter wskaźnika syntetycznego. W 2020 r. Polska w ogólnym rankingu zajęła 24. pozycję na 27 państw. Nasz wynik w indeksie poprawia się, ale nie szybciej niż w innych państwach, przez co nie awansujemy w rankingu.</w:t>
            </w:r>
          </w:p>
          <w:p w14:paraId="1854F4AF" w14:textId="77777777" w:rsidR="00CB07D4" w:rsidRPr="00CB07D4" w:rsidRDefault="00CB07D4" w:rsidP="00EF36FC">
            <w:pPr>
              <w:widowControl w:val="0"/>
              <w:spacing w:after="0" w:line="240" w:lineRule="auto"/>
            </w:pPr>
          </w:p>
        </w:tc>
      </w:tr>
      <w:tr w:rsidR="00B620BC" w14:paraId="273D8121" w14:textId="77777777" w:rsidTr="00CB07D4">
        <w:trPr>
          <w:trHeight w:val="2809"/>
        </w:trPr>
        <w:tc>
          <w:tcPr>
            <w:tcW w:w="4678" w:type="dxa"/>
            <w:tcBorders>
              <w:top w:val="single" w:sz="4" w:space="0" w:color="BFBFBF"/>
              <w:left w:val="single" w:sz="4" w:space="0" w:color="BFBFBF"/>
              <w:bottom w:val="single" w:sz="4" w:space="0" w:color="BFBFBF"/>
              <w:right w:val="single" w:sz="4" w:space="0" w:color="BFBFBF"/>
            </w:tcBorders>
            <w:shd w:val="clear" w:color="auto" w:fill="auto"/>
          </w:tcPr>
          <w:p w14:paraId="5A36D1B5" w14:textId="1DDF5568" w:rsidR="00B620BC" w:rsidRDefault="00177D9B" w:rsidP="00EF36FC">
            <w:pPr>
              <w:widowControl w:val="0"/>
              <w:spacing w:after="0" w:line="240" w:lineRule="auto"/>
            </w:pPr>
            <w:r>
              <w:object w:dxaOrig="6780" w:dyaOrig="3570" w14:anchorId="6E71683A">
                <v:shape id="_x0000_i1028" type="#_x0000_t75" style="width:210.75pt;height:111pt" o:ole="">
                  <v:imagedata r:id="rId77" o:title=""/>
                </v:shape>
                <o:OLEObject Type="Embed" ProgID="PBrush" ShapeID="_x0000_i1028" DrawAspect="Content" ObjectID="_1719297192" r:id="rId78"/>
              </w:object>
            </w:r>
          </w:p>
        </w:tc>
        <w:tc>
          <w:tcPr>
            <w:tcW w:w="4433" w:type="dxa"/>
            <w:tcBorders>
              <w:top w:val="single" w:sz="4" w:space="0" w:color="BFBFBF"/>
              <w:left w:val="single" w:sz="4" w:space="0" w:color="BFBFBF"/>
              <w:bottom w:val="single" w:sz="4" w:space="0" w:color="BFBFBF"/>
              <w:right w:val="single" w:sz="4" w:space="0" w:color="BFBFBF"/>
            </w:tcBorders>
            <w:shd w:val="clear" w:color="auto" w:fill="auto"/>
          </w:tcPr>
          <w:p w14:paraId="0417FC7A" w14:textId="1BDC3679" w:rsidR="00B620BC" w:rsidRDefault="00177D9B" w:rsidP="00EF36FC">
            <w:pPr>
              <w:widowControl w:val="0"/>
              <w:spacing w:after="0" w:line="240" w:lineRule="auto"/>
            </w:pPr>
            <w:r>
              <w:object w:dxaOrig="4485" w:dyaOrig="2250" w14:anchorId="39EC2814">
                <v:shape id="_x0000_i1029" type="#_x0000_t75" style="width:222.75pt;height:111.75pt" o:ole="">
                  <v:imagedata r:id="rId79" o:title=""/>
                </v:shape>
                <o:OLEObject Type="Embed" ProgID="PBrush" ShapeID="_x0000_i1029" DrawAspect="Content" ObjectID="_1719297193" r:id="rId80"/>
              </w:object>
            </w:r>
          </w:p>
        </w:tc>
      </w:tr>
      <w:tr w:rsidR="00B620BC" w14:paraId="0414608B" w14:textId="77777777" w:rsidTr="00CB07D4">
        <w:trPr>
          <w:trHeight w:val="2490"/>
        </w:trPr>
        <w:tc>
          <w:tcPr>
            <w:tcW w:w="4678" w:type="dxa"/>
            <w:tcBorders>
              <w:top w:val="single" w:sz="4" w:space="0" w:color="BFBFBF"/>
              <w:left w:val="single" w:sz="4" w:space="0" w:color="BFBFBF"/>
              <w:bottom w:val="single" w:sz="4" w:space="0" w:color="BFBFBF"/>
              <w:right w:val="single" w:sz="4" w:space="0" w:color="BFBFBF"/>
            </w:tcBorders>
            <w:shd w:val="clear" w:color="auto" w:fill="auto"/>
          </w:tcPr>
          <w:p w14:paraId="7D8F9A4A" w14:textId="6A228291" w:rsidR="00B620BC" w:rsidRDefault="00F400A0" w:rsidP="00177D9B">
            <w:pPr>
              <w:widowControl w:val="0"/>
              <w:spacing w:after="0" w:line="240" w:lineRule="auto"/>
            </w:pPr>
            <w:r>
              <w:t xml:space="preserve"> </w:t>
            </w:r>
            <w:r w:rsidR="00177D9B">
              <w:object w:dxaOrig="4485" w:dyaOrig="2445" w14:anchorId="6622A31B">
                <v:shape id="_x0000_i1030" type="#_x0000_t75" style="width:211.5pt;height:115.5pt" o:ole="">
                  <v:imagedata r:id="rId81" o:title=""/>
                </v:shape>
                <o:OLEObject Type="Embed" ProgID="PBrush" ShapeID="_x0000_i1030" DrawAspect="Content" ObjectID="_1719297194" r:id="rId82"/>
              </w:object>
            </w:r>
          </w:p>
        </w:tc>
        <w:tc>
          <w:tcPr>
            <w:tcW w:w="4433" w:type="dxa"/>
            <w:tcBorders>
              <w:top w:val="single" w:sz="4" w:space="0" w:color="BFBFBF"/>
              <w:left w:val="single" w:sz="4" w:space="0" w:color="BFBFBF"/>
              <w:bottom w:val="single" w:sz="4" w:space="0" w:color="BFBFBF"/>
              <w:right w:val="single" w:sz="4" w:space="0" w:color="BFBFBF"/>
            </w:tcBorders>
            <w:shd w:val="clear" w:color="auto" w:fill="auto"/>
          </w:tcPr>
          <w:p w14:paraId="091EF7C8" w14:textId="48F7E0DF" w:rsidR="00B620BC" w:rsidRDefault="00177D9B" w:rsidP="00EF36FC">
            <w:pPr>
              <w:widowControl w:val="0"/>
              <w:spacing w:after="0" w:line="240" w:lineRule="auto"/>
              <w:rPr>
                <w:i/>
                <w:lang w:val="fr-FR"/>
              </w:rPr>
            </w:pPr>
            <w:r>
              <w:object w:dxaOrig="4485" w:dyaOrig="2280" w14:anchorId="4A93FDBD">
                <v:shape id="_x0000_i1031" type="#_x0000_t75" style="width:222.75pt;height:113.25pt" o:ole="">
                  <v:imagedata r:id="rId83" o:title=""/>
                </v:shape>
                <o:OLEObject Type="Embed" ProgID="PBrush" ShapeID="_x0000_i1031" DrawAspect="Content" ObjectID="_1719297195" r:id="rId84"/>
              </w:object>
            </w:r>
          </w:p>
        </w:tc>
      </w:tr>
    </w:tbl>
    <w:p w14:paraId="1CC86068" w14:textId="6B3025DB" w:rsidR="00B620BC" w:rsidRDefault="00B620BC" w:rsidP="00B620BC">
      <w:pPr>
        <w:spacing w:after="0" w:line="240" w:lineRule="auto"/>
      </w:pPr>
      <w:r>
        <w:rPr>
          <w:i/>
          <w:lang w:val="fr-FR"/>
        </w:rPr>
        <w:t>Źródło: EU (20</w:t>
      </w:r>
      <w:r w:rsidR="00177D9B">
        <w:rPr>
          <w:i/>
          <w:lang w:val="fr-FR"/>
        </w:rPr>
        <w:t>20</w:t>
      </w:r>
      <w:r>
        <w:rPr>
          <w:i/>
          <w:lang w:val="fr-FR"/>
        </w:rPr>
        <w:t>)</w:t>
      </w:r>
    </w:p>
    <w:p w14:paraId="4E273A31" w14:textId="7CB75D6F" w:rsidR="00B620BC" w:rsidRDefault="00B620BC" w:rsidP="00B620BC">
      <w:r>
        <w:t>Niska pozycja Polski według unijnego wskaźnika DESI pokazuje</w:t>
      </w:r>
      <w:r w:rsidR="00477C54">
        <w:t>, że </w:t>
      </w:r>
      <w:r>
        <w:t>ogólnie</w:t>
      </w:r>
      <w:r w:rsidR="006343E1">
        <w:t xml:space="preserve"> w </w:t>
      </w:r>
      <w:r>
        <w:t>kwestii cyfryzacji wciąż mamy istotne zaległości do nadrobienia.</w:t>
      </w:r>
      <w:r w:rsidR="00177D9B" w:rsidRPr="00177D9B">
        <w:t xml:space="preserve"> </w:t>
      </w:r>
      <w:r w:rsidR="00177D9B">
        <w:t xml:space="preserve">W obszarze umiejętności cyfrowych dystans między Polską a średnią UE utrzymuje się na mniej więcej stałym poziomie. </w:t>
      </w:r>
      <w:r w:rsidR="006343E1">
        <w:t xml:space="preserve"> W </w:t>
      </w:r>
      <w:r>
        <w:t xml:space="preserve">obszarze </w:t>
      </w:r>
      <w:r w:rsidR="00177D9B">
        <w:t>łączności</w:t>
      </w:r>
      <w:r>
        <w:t xml:space="preserve"> różnica przez cały okres od 201</w:t>
      </w:r>
      <w:r w:rsidR="00177D9B">
        <w:t>6 r. utrzymywała się, za wyjątkiem</w:t>
      </w:r>
      <w:r>
        <w:t xml:space="preserve"> odczytu</w:t>
      </w:r>
      <w:r w:rsidR="00177D9B">
        <w:t xml:space="preserve"> z edycji raportu 2020 r. (dane za 2019 r.)</w:t>
      </w:r>
      <w:r>
        <w:t xml:space="preserve">. </w:t>
      </w:r>
      <w:r w:rsidR="00996F18">
        <w:t xml:space="preserve">W obszarze cyfrowych usług </w:t>
      </w:r>
      <w:r w:rsidR="00996F18">
        <w:lastRenderedPageBreak/>
        <w:t xml:space="preserve">publicznych </w:t>
      </w:r>
      <w:r w:rsidR="003B7B8D">
        <w:t>l</w:t>
      </w:r>
      <w:r>
        <w:t>uka</w:t>
      </w:r>
      <w:r w:rsidR="006343E1">
        <w:t xml:space="preserve"> w </w:t>
      </w:r>
      <w:r>
        <w:t>trzech kolejnych edycjach badania się pogłębiała, by nieco się zmniejszyć</w:t>
      </w:r>
      <w:r w:rsidR="006343E1">
        <w:t xml:space="preserve"> w </w:t>
      </w:r>
      <w:r>
        <w:t xml:space="preserve">roku 2019. </w:t>
      </w:r>
      <w:r w:rsidR="00996F18">
        <w:t>różnica pozostaje na podobnym poziomie.</w:t>
      </w:r>
    </w:p>
    <w:p w14:paraId="51F03D6C" w14:textId="2188538D" w:rsidR="00B620BC" w:rsidRDefault="00B620BC" w:rsidP="00B620BC">
      <w:r>
        <w:t>W wymiarze wykorzystania IT</w:t>
      </w:r>
      <w:r w:rsidR="006343E1">
        <w:t xml:space="preserve"> w </w:t>
      </w:r>
      <w:r>
        <w:t>biznesie i handlu</w:t>
      </w:r>
      <w:r w:rsidRPr="007B7CEC">
        <w:rPr>
          <w:rStyle w:val="Znakiprzypiswdolnych"/>
          <w:sz w:val="21"/>
          <w:vertAlign w:val="superscript"/>
        </w:rPr>
        <w:footnoteReference w:id="39"/>
      </w:r>
      <w:r>
        <w:t xml:space="preserve"> obserwujemy coroczny wzrost</w:t>
      </w:r>
      <w:r w:rsidR="006343E1">
        <w:t xml:space="preserve"> w </w:t>
      </w:r>
      <w:r>
        <w:t>tempie zbliżonym do innych krajów, co – przy utrzymującej się dużej różnicy – obciąża pozycję Polski</w:t>
      </w:r>
      <w:r w:rsidR="006343E1">
        <w:t xml:space="preserve"> w </w:t>
      </w:r>
      <w:r>
        <w:t>rankingu i sygnalizuje ryzyko zwiększania się luki technologicznej między Polską</w:t>
      </w:r>
      <w:r w:rsidR="006343E1">
        <w:t xml:space="preserve"> a </w:t>
      </w:r>
      <w:r>
        <w:t xml:space="preserve">bardziej rozwiniętymi gospodarkami UE. Temat ten oraz temat umiejętności cyfrowych zostaną szerzej omówione w kolejnych podrozdziałach, natomiast najpierw warto zwrócić uwagę na kwestię dostępności </w:t>
      </w:r>
      <w:r w:rsidR="003B7B8D">
        <w:t>I</w:t>
      </w:r>
      <w:r>
        <w:t>nternetu, korzystania</w:t>
      </w:r>
      <w:r w:rsidR="006343E1">
        <w:t xml:space="preserve"> z </w:t>
      </w:r>
      <w:r>
        <w:t>niego oraz głównych przyczyn niekorzystania.</w:t>
      </w:r>
    </w:p>
    <w:p w14:paraId="087126FD" w14:textId="67190657" w:rsidR="00B620BC" w:rsidRDefault="00B620BC" w:rsidP="00A9445F">
      <w:pPr>
        <w:pStyle w:val="Nagwek2"/>
        <w:numPr>
          <w:ilvl w:val="1"/>
          <w:numId w:val="11"/>
        </w:numPr>
        <w:suppressAutoHyphens/>
      </w:pPr>
      <w:bookmarkStart w:id="103" w:name="_Toc511921183"/>
      <w:bookmarkStart w:id="104" w:name="_Toc31808515"/>
      <w:bookmarkStart w:id="105" w:name="_Toc106968799"/>
      <w:r>
        <w:t>Dostęp</w:t>
      </w:r>
      <w:r w:rsidR="006343E1">
        <w:t xml:space="preserve"> i </w:t>
      </w:r>
      <w:r>
        <w:t>korzystanie</w:t>
      </w:r>
      <w:r w:rsidR="006343E1">
        <w:t xml:space="preserve"> z </w:t>
      </w:r>
      <w:r>
        <w:t>Internetu</w:t>
      </w:r>
      <w:bookmarkEnd w:id="103"/>
      <w:bookmarkEnd w:id="104"/>
      <w:bookmarkEnd w:id="105"/>
    </w:p>
    <w:p w14:paraId="77F167B6" w14:textId="41E57DEF" w:rsidR="00B620BC" w:rsidRDefault="00B620BC" w:rsidP="00B620BC">
      <w:r w:rsidRPr="007A3554">
        <w:t xml:space="preserve">Udział gospodarstw domowych </w:t>
      </w:r>
      <w:r w:rsidR="003B7B8D">
        <w:t>m</w:t>
      </w:r>
      <w:r w:rsidRPr="007A3554">
        <w:t>ających</w:t>
      </w:r>
      <w:r w:rsidR="006343E1" w:rsidRPr="007A3554">
        <w:t xml:space="preserve"> w </w:t>
      </w:r>
      <w:r w:rsidRPr="007A3554">
        <w:t>domu łącze internetowe systematycznie rośnie.</w:t>
      </w:r>
      <w:r w:rsidR="006343E1" w:rsidRPr="007A3554">
        <w:t xml:space="preserve"> W </w:t>
      </w:r>
      <w:r w:rsidRPr="007A3554">
        <w:t>2020 r. dostęp do Internetu</w:t>
      </w:r>
      <w:r w:rsidR="006343E1" w:rsidRPr="007A3554">
        <w:t xml:space="preserve"> w </w:t>
      </w:r>
      <w:r w:rsidRPr="007A3554">
        <w:t>domu posiadało 90,4% gospodarstw domowych,</w:t>
      </w:r>
      <w:r w:rsidR="006343E1" w:rsidRPr="007A3554">
        <w:t xml:space="preserve"> o </w:t>
      </w:r>
      <w:r w:rsidRPr="007A3554">
        <w:t xml:space="preserve">3,7 punktu procentowego więcej niż </w:t>
      </w:r>
      <w:r w:rsidR="003B7B8D">
        <w:t xml:space="preserve">w </w:t>
      </w:r>
      <w:r w:rsidRPr="007A3554">
        <w:t>poprzednim roku. Poziom tego wskaźnika jest zróżnicowany</w:t>
      </w:r>
      <w:r w:rsidR="006343E1" w:rsidRPr="007A3554">
        <w:t xml:space="preserve"> i </w:t>
      </w:r>
      <w:r w:rsidRPr="007A3554">
        <w:t>zależy od typu gospodarstwa domowego, stopnia urbanizacji, miejsca zamieszkania oraz regionu. Zgodnie</w:t>
      </w:r>
      <w:r w:rsidR="006343E1" w:rsidRPr="007A3554">
        <w:t xml:space="preserve"> z </w:t>
      </w:r>
      <w:r w:rsidRPr="007A3554">
        <w:t>danymi GUS (2020) zdecydowanie częściej dostęp do Internetu mają gospodarstwa domowe</w:t>
      </w:r>
      <w:r w:rsidR="006343E1" w:rsidRPr="007A3554">
        <w:t xml:space="preserve"> z </w:t>
      </w:r>
      <w:r w:rsidRPr="007A3554">
        <w:t>dziećmi niż bez nich. Odsetek ten jest również nieco wyższy</w:t>
      </w:r>
      <w:r w:rsidR="006343E1" w:rsidRPr="007A3554">
        <w:t xml:space="preserve"> w </w:t>
      </w:r>
      <w:r w:rsidRPr="007A3554">
        <w:t>miastach dużych niż</w:t>
      </w:r>
      <w:r w:rsidR="006343E1" w:rsidRPr="007A3554">
        <w:t xml:space="preserve"> w </w:t>
      </w:r>
      <w:r w:rsidRPr="007A3554">
        <w:t>średnich</w:t>
      </w:r>
      <w:r w:rsidR="006343E1" w:rsidRPr="007A3554">
        <w:t xml:space="preserve"> i </w:t>
      </w:r>
      <w:r w:rsidRPr="007A3554">
        <w:t>na wsi</w:t>
      </w:r>
      <w:r w:rsidR="003B7B8D">
        <w:t>,</w:t>
      </w:r>
      <w:r w:rsidR="006343E1" w:rsidRPr="007A3554">
        <w:t xml:space="preserve"> a </w:t>
      </w:r>
      <w:r w:rsidRPr="007A3554">
        <w:t>także na obszarze Polski centralnej</w:t>
      </w:r>
      <w:r w:rsidR="006343E1" w:rsidRPr="007A3554">
        <w:t xml:space="preserve"> w </w:t>
      </w:r>
      <w:r w:rsidRPr="007A3554">
        <w:t>porównaniu</w:t>
      </w:r>
      <w:r w:rsidR="006343E1" w:rsidRPr="007A3554">
        <w:t xml:space="preserve"> z </w:t>
      </w:r>
      <w:r w:rsidRPr="007A3554">
        <w:t>pozostałymi regionami. Jeśli chodzi</w:t>
      </w:r>
      <w:r w:rsidR="006343E1" w:rsidRPr="007A3554">
        <w:t xml:space="preserve"> o </w:t>
      </w:r>
      <w:r w:rsidRPr="007A3554">
        <w:t>poszczególne województwa, pod względem odsetka gospodarstw domowych posiadających dostęp do Internetu przodowało województwo mazowieckie (por. </w:t>
      </w:r>
      <w:r w:rsidRPr="007A3554">
        <w:fldChar w:fldCharType="begin"/>
      </w:r>
      <w:r w:rsidRPr="007A3554">
        <w:instrText xml:space="preserve"> REF _Ref516668504 \h </w:instrText>
      </w:r>
      <w:r w:rsidR="007A3554">
        <w:instrText xml:space="preserve"> \* MERGEFORMAT </w:instrText>
      </w:r>
      <w:r w:rsidRPr="007A3554">
        <w:fldChar w:fldCharType="separate"/>
      </w:r>
      <w:r w:rsidR="007B7CEC" w:rsidRPr="007B7CEC">
        <w:t>Wykres</w:t>
      </w:r>
      <w:r w:rsidRPr="007A3554">
        <w:fldChar w:fldCharType="end"/>
      </w:r>
      <w:r w:rsidR="00332B11">
        <w:t xml:space="preserve"> </w:t>
      </w:r>
      <w:r w:rsidR="00FC6E8F">
        <w:t>50</w:t>
      </w:r>
      <w:r w:rsidRPr="007A3554">
        <w:t>).</w:t>
      </w:r>
    </w:p>
    <w:tbl>
      <w:tblPr>
        <w:tblW w:w="0" w:type="auto"/>
        <w:tblInd w:w="216" w:type="dxa"/>
        <w:tblLayout w:type="fixed"/>
        <w:tblLook w:val="0000" w:firstRow="0" w:lastRow="0" w:firstColumn="0" w:lastColumn="0" w:noHBand="0" w:noVBand="0"/>
      </w:tblPr>
      <w:tblGrid>
        <w:gridCol w:w="8526"/>
      </w:tblGrid>
      <w:tr w:rsidR="00B620BC" w14:paraId="7E2F0DBD" w14:textId="77777777" w:rsidTr="007A3554">
        <w:trPr>
          <w:trHeight w:val="3544"/>
        </w:trPr>
        <w:tc>
          <w:tcPr>
            <w:tcW w:w="8526" w:type="dxa"/>
            <w:shd w:val="clear" w:color="auto" w:fill="auto"/>
          </w:tcPr>
          <w:p w14:paraId="0324ACFA" w14:textId="18E303D4" w:rsidR="00B620BC" w:rsidRDefault="00B620BC" w:rsidP="00EF36FC">
            <w:pPr>
              <w:widowControl w:val="0"/>
              <w:spacing w:before="0" w:after="0" w:line="240" w:lineRule="auto"/>
            </w:pPr>
            <w:bookmarkStart w:id="106" w:name="_Ref516668504"/>
            <w:r>
              <w:rPr>
                <w:rFonts w:cs="Calibri"/>
                <w:b/>
                <w:sz w:val="21"/>
                <w:szCs w:val="21"/>
              </w:rPr>
              <w:t>Wykres</w:t>
            </w:r>
            <w:bookmarkEnd w:id="106"/>
            <w:r w:rsidR="00FC6E8F">
              <w:rPr>
                <w:rFonts w:cs="Calibri"/>
                <w:b/>
                <w:sz w:val="21"/>
                <w:szCs w:val="21"/>
              </w:rPr>
              <w:t xml:space="preserve"> 50</w:t>
            </w:r>
            <w:r>
              <w:rPr>
                <w:rFonts w:cs="Calibri"/>
                <w:b/>
                <w:sz w:val="21"/>
                <w:szCs w:val="21"/>
              </w:rPr>
              <w:t xml:space="preserve">. Odsetek gospodarstw domowych </w:t>
            </w:r>
            <w:r w:rsidR="006343E1">
              <w:rPr>
                <w:rFonts w:cs="Calibri"/>
                <w:b/>
                <w:sz w:val="21"/>
                <w:szCs w:val="21"/>
              </w:rPr>
              <w:t xml:space="preserve"> z </w:t>
            </w:r>
            <w:r>
              <w:rPr>
                <w:rFonts w:cs="Calibri"/>
                <w:b/>
                <w:sz w:val="21"/>
                <w:szCs w:val="21"/>
              </w:rPr>
              <w:t xml:space="preserve">dostępem do </w:t>
            </w:r>
            <w:r w:rsidR="003B7B8D">
              <w:rPr>
                <w:rFonts w:cs="Calibri"/>
                <w:b/>
                <w:sz w:val="21"/>
                <w:szCs w:val="21"/>
              </w:rPr>
              <w:t>I</w:t>
            </w:r>
            <w:r>
              <w:rPr>
                <w:rFonts w:cs="Calibri"/>
                <w:b/>
                <w:sz w:val="21"/>
                <w:szCs w:val="21"/>
              </w:rPr>
              <w:t>nternetu (2020 r.)</w:t>
            </w:r>
          </w:p>
          <w:p w14:paraId="310CB00A" w14:textId="7B2DDA4A" w:rsidR="00B620BC" w:rsidRPr="00CB07D4" w:rsidRDefault="00B620BC" w:rsidP="00EF36FC">
            <w:pPr>
              <w:widowControl w:val="0"/>
              <w:spacing w:before="0" w:after="0" w:line="240" w:lineRule="auto"/>
              <w:rPr>
                <w:i/>
              </w:rPr>
            </w:pPr>
            <w:r w:rsidRPr="00CB07D4">
              <w:rPr>
                <w:i/>
              </w:rPr>
              <w:t xml:space="preserve">Źródło: Opracowanie </w:t>
            </w:r>
            <w:r w:rsidR="003A56DA" w:rsidRPr="00CB07D4">
              <w:rPr>
                <w:i/>
              </w:rPr>
              <w:t>MRiT</w:t>
            </w:r>
            <w:r w:rsidR="003A5EA7" w:rsidRPr="00CB07D4">
              <w:rPr>
                <w:i/>
              </w:rPr>
              <w:t xml:space="preserve"> </w:t>
            </w:r>
            <w:r w:rsidRPr="00CB07D4">
              <w:rPr>
                <w:i/>
              </w:rPr>
              <w:t>na podstawie danych GUS (2020b</w:t>
            </w:r>
            <w:r w:rsidR="003B7B8D" w:rsidRPr="00CB07D4">
              <w:rPr>
                <w:i/>
              </w:rPr>
              <w:t>)</w:t>
            </w:r>
          </w:p>
          <w:p w14:paraId="3DFF1756" w14:textId="3B6F789F" w:rsidR="00B620BC" w:rsidRDefault="00B620BC" w:rsidP="007A3554">
            <w:pPr>
              <w:widowControl w:val="0"/>
              <w:spacing w:before="0" w:after="0" w:line="240" w:lineRule="auto"/>
            </w:pPr>
            <w:r>
              <w:rPr>
                <w:noProof/>
                <w:lang w:eastAsia="pl-PL"/>
              </w:rPr>
              <w:drawing>
                <wp:anchor distT="0" distB="0" distL="0" distR="0" simplePos="0" relativeHeight="251658752" behindDoc="0" locked="0" layoutInCell="1" allowOverlap="1" wp14:anchorId="44878FA9" wp14:editId="4D8837AF">
                  <wp:simplePos x="0" y="0"/>
                  <wp:positionH relativeFrom="column">
                    <wp:posOffset>0</wp:posOffset>
                  </wp:positionH>
                  <wp:positionV relativeFrom="paragraph">
                    <wp:posOffset>130810</wp:posOffset>
                  </wp:positionV>
                  <wp:extent cx="5275580" cy="2233930"/>
                  <wp:effectExtent l="0" t="0" r="1270" b="0"/>
                  <wp:wrapSquare wrapText="largest"/>
                  <wp:docPr id="239" name="Obraz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5">
                            <a:extLst>
                              <a:ext uri="{28A0092B-C50C-407E-A947-70E740481C1C}">
                                <a14:useLocalDpi xmlns:a14="http://schemas.microsoft.com/office/drawing/2010/main" val="0"/>
                              </a:ext>
                            </a:extLst>
                          </a:blip>
                          <a:srcRect l="-6" t="-17" r="-6" b="-17"/>
                          <a:stretch>
                            <a:fillRect/>
                          </a:stretch>
                        </pic:blipFill>
                        <pic:spPr bwMode="auto">
                          <a:xfrm>
                            <a:off x="0" y="0"/>
                            <a:ext cx="5275580" cy="22339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bl>
    <w:p w14:paraId="5F11053F" w14:textId="291C49FC" w:rsidR="00B620BC" w:rsidRDefault="00B620BC" w:rsidP="00B620BC">
      <w:r>
        <w:t>Między rokiem 2014</w:t>
      </w:r>
      <w:r w:rsidR="006343E1">
        <w:t xml:space="preserve"> a </w:t>
      </w:r>
      <w:r>
        <w:t>2020 odsetek osób regularnie (co najmniej raz</w:t>
      </w:r>
      <w:r w:rsidR="006343E1">
        <w:t xml:space="preserve"> w </w:t>
      </w:r>
      <w:r>
        <w:t>tygodniu) korzystających</w:t>
      </w:r>
      <w:r w:rsidR="006343E1">
        <w:t xml:space="preserve"> z </w:t>
      </w:r>
      <w:r>
        <w:t>Internetu wzrósł</w:t>
      </w:r>
      <w:r w:rsidR="006343E1">
        <w:t xml:space="preserve"> w </w:t>
      </w:r>
      <w:r>
        <w:t>Polsce z 63</w:t>
      </w:r>
      <w:r w:rsidR="003B7B8D">
        <w:t>%</w:t>
      </w:r>
      <w:r>
        <w:t xml:space="preserve"> do 81,4%, czyli</w:t>
      </w:r>
      <w:r w:rsidR="006343E1">
        <w:t xml:space="preserve"> o </w:t>
      </w:r>
      <w:r>
        <w:t>18,4 punktu procentowego. Udział osób regularnie korzystających</w:t>
      </w:r>
      <w:r w:rsidR="006343E1">
        <w:t xml:space="preserve"> z </w:t>
      </w:r>
      <w:r>
        <w:t>Internetu różni się</w:t>
      </w:r>
      <w:r w:rsidR="006343E1">
        <w:t xml:space="preserve"> w </w:t>
      </w:r>
      <w:r>
        <w:t>zależności od wieku, aktywności zawodowej, poziomu wykształcenia</w:t>
      </w:r>
      <w:r w:rsidR="006343E1">
        <w:t xml:space="preserve"> i </w:t>
      </w:r>
      <w:r>
        <w:t>miejsca zamieszkania. Przykładowo, biorąc pod uwagę rodzaj aktywności zawodowej, największy odsetek regularnych użytkowników Internetu był wśród uczniów</w:t>
      </w:r>
      <w:r w:rsidR="006343E1">
        <w:t xml:space="preserve"> i </w:t>
      </w:r>
      <w:r>
        <w:t>studentów (99,8%) oraz pracujących na własny rachunek (96,0%),</w:t>
      </w:r>
      <w:r w:rsidR="006343E1">
        <w:t xml:space="preserve"> a </w:t>
      </w:r>
      <w:r>
        <w:t>najmniejszy –</w:t>
      </w:r>
      <w:r w:rsidR="006343E1">
        <w:t xml:space="preserve"> w </w:t>
      </w:r>
      <w:r>
        <w:t>grupie osób emerytowanych</w:t>
      </w:r>
      <w:r w:rsidR="006343E1">
        <w:t xml:space="preserve"> i </w:t>
      </w:r>
      <w:r>
        <w:t>innych biernych zawodowo (53,5%).</w:t>
      </w:r>
    </w:p>
    <w:p w14:paraId="2B032D30" w14:textId="77777777" w:rsidR="00B620BC" w:rsidRDefault="00B620BC" w:rsidP="00A9445F">
      <w:pPr>
        <w:pStyle w:val="Nagwek2"/>
        <w:numPr>
          <w:ilvl w:val="1"/>
          <w:numId w:val="11"/>
        </w:numPr>
        <w:suppressAutoHyphens/>
      </w:pPr>
      <w:bookmarkStart w:id="107" w:name="_Toc511921184"/>
      <w:bookmarkStart w:id="108" w:name="_Toc31808516"/>
      <w:bookmarkStart w:id="109" w:name="_Toc106968800"/>
      <w:r>
        <w:lastRenderedPageBreak/>
        <w:t>Umiejętności cyfrowe</w:t>
      </w:r>
      <w:bookmarkEnd w:id="107"/>
      <w:bookmarkEnd w:id="108"/>
      <w:bookmarkEnd w:id="109"/>
    </w:p>
    <w:p w14:paraId="33E9421C" w14:textId="755A6D64" w:rsidR="00B620BC" w:rsidRDefault="00B620BC" w:rsidP="00B620BC">
      <w:r>
        <w:t>Pod względem większości wskaźników dotyczących umiejętności cyfrowych Polskę wyprzedzają nie tylko rozwinięte gospodarki zachodnioeuropejskie, ale także część państw Europy Środkowej</w:t>
      </w:r>
      <w:r w:rsidR="006343E1">
        <w:t xml:space="preserve"> i </w:t>
      </w:r>
      <w:r>
        <w:t>Wschodniej (w tym nie tylko Estonia, którą często przywołuje się jako przykład pokazujący</w:t>
      </w:r>
      <w:r w:rsidR="00477C54">
        <w:t>, że </w:t>
      </w:r>
      <w:r>
        <w:t>kraj posowiecki jest</w:t>
      </w:r>
      <w:r w:rsidR="006343E1">
        <w:t xml:space="preserve"> w </w:t>
      </w:r>
      <w:r>
        <w:t>stanie dzięki przemyślanej polityce dokonać skoku technologicznego).</w:t>
      </w:r>
      <w:r w:rsidR="006343E1">
        <w:t xml:space="preserve"> I </w:t>
      </w:r>
      <w:r>
        <w:t>tak:</w:t>
      </w:r>
    </w:p>
    <w:p w14:paraId="169A0471" w14:textId="226A3C4B" w:rsidR="00B620BC" w:rsidRDefault="00B620BC" w:rsidP="00A9445F">
      <w:pPr>
        <w:numPr>
          <w:ilvl w:val="0"/>
          <w:numId w:val="14"/>
        </w:numPr>
        <w:suppressAutoHyphens/>
      </w:pPr>
      <w:r>
        <w:t>w Polsce</w:t>
      </w:r>
      <w:r w:rsidR="006343E1">
        <w:t xml:space="preserve"> w </w:t>
      </w:r>
      <w:r>
        <w:t>2020 r.</w:t>
      </w:r>
      <w:r w:rsidR="006343E1">
        <w:t xml:space="preserve"> z </w:t>
      </w:r>
      <w:r w:rsidR="003B7B8D">
        <w:t>I</w:t>
      </w:r>
      <w:r>
        <w:t>nternetu regularnie, tj. co najmniej raz</w:t>
      </w:r>
      <w:r w:rsidR="006343E1">
        <w:t xml:space="preserve"> w </w:t>
      </w:r>
      <w:r>
        <w:t>tygodniu, korzystało 81,4% osób</w:t>
      </w:r>
      <w:r w:rsidR="006343E1">
        <w:t xml:space="preserve"> w </w:t>
      </w:r>
      <w:r>
        <w:t>wieku 16</w:t>
      </w:r>
      <w:r w:rsidR="003B7B8D">
        <w:rPr>
          <w:rFonts w:ascii="Times New Roman" w:hAnsi="Times New Roman" w:cs="Times New Roman"/>
        </w:rPr>
        <w:t>–</w:t>
      </w:r>
      <w:r>
        <w:t>74 lat, przy średniej UE wynoszącej</w:t>
      </w:r>
      <w:r w:rsidR="006343E1">
        <w:t xml:space="preserve"> w </w:t>
      </w:r>
      <w:r>
        <w:t>2019 r. 84%. podczas użytkowania Internetu</w:t>
      </w:r>
      <w:r w:rsidR="006343E1">
        <w:t xml:space="preserve"> w </w:t>
      </w:r>
      <w:r>
        <w:t>sprawach prywatnych, najczęściej wykonywanymi czynnościami było korzystanie</w:t>
      </w:r>
      <w:r w:rsidR="006343E1">
        <w:t xml:space="preserve"> z </w:t>
      </w:r>
      <w:r>
        <w:t>poczty elektronicznej oraz czytanie online wiadomości, gazet lub czasopism (odpowiednio 65,9% oraz 65,4% Polaków</w:t>
      </w:r>
      <w:r w:rsidR="006343E1">
        <w:t xml:space="preserve"> w </w:t>
      </w:r>
      <w:r>
        <w:t xml:space="preserve">wieku </w:t>
      </w:r>
      <w:r w:rsidR="003B7B8D">
        <w:br/>
      </w:r>
      <w:r>
        <w:t>16</w:t>
      </w:r>
      <w:r w:rsidR="003B7B8D">
        <w:rPr>
          <w:rFonts w:ascii="Times New Roman" w:hAnsi="Times New Roman" w:cs="Times New Roman"/>
        </w:rPr>
        <w:t>–</w:t>
      </w:r>
      <w:r>
        <w:t xml:space="preserve">74 lata). </w:t>
      </w:r>
    </w:p>
    <w:p w14:paraId="2DA9157B" w14:textId="053C62ED" w:rsidR="00B620BC" w:rsidRDefault="00B620BC" w:rsidP="00A9445F">
      <w:pPr>
        <w:numPr>
          <w:ilvl w:val="0"/>
          <w:numId w:val="14"/>
        </w:numPr>
        <w:suppressAutoHyphens/>
      </w:pPr>
      <w:r>
        <w:t>biorąc pod uwagę cele korzystania</w:t>
      </w:r>
      <w:r w:rsidR="006343E1">
        <w:t xml:space="preserve"> z </w:t>
      </w:r>
      <w:r>
        <w:t>Internetu</w:t>
      </w:r>
      <w:r w:rsidR="006343E1">
        <w:t xml:space="preserve"> w </w:t>
      </w:r>
      <w:r>
        <w:t>sprawach prywatnych,</w:t>
      </w:r>
      <w:r w:rsidR="006343E1">
        <w:t xml:space="preserve"> w </w:t>
      </w:r>
      <w:r>
        <w:t>UE</w:t>
      </w:r>
      <w:r w:rsidR="006343E1">
        <w:t xml:space="preserve"> w </w:t>
      </w:r>
      <w:r>
        <w:t>2019 r. najbardziej popularne było wysyłanie, odbieranie poczty elektronicznej (73%) oraz wyszukiwanie informacji</w:t>
      </w:r>
      <w:r w:rsidR="006343E1">
        <w:t xml:space="preserve"> o </w:t>
      </w:r>
      <w:r>
        <w:t>towarach</w:t>
      </w:r>
      <w:r w:rsidR="006343E1">
        <w:t xml:space="preserve"> i </w:t>
      </w:r>
      <w:r>
        <w:t>usługach (66%)</w:t>
      </w:r>
      <w:r w:rsidR="003B7B8D">
        <w:t>;</w:t>
      </w:r>
      <w:r w:rsidR="006343E1">
        <w:t xml:space="preserve"> </w:t>
      </w:r>
      <w:r w:rsidR="003B7B8D">
        <w:t>z</w:t>
      </w:r>
      <w:r w:rsidR="006343E1">
        <w:t> </w:t>
      </w:r>
      <w:r>
        <w:t>obu czynności</w:t>
      </w:r>
      <w:r w:rsidR="006343E1">
        <w:t xml:space="preserve"> w </w:t>
      </w:r>
      <w:r>
        <w:t>Polsce korzystał mniejszy odsetek osób (odpowiednio 65% oraz 62%</w:t>
      </w:r>
      <w:r w:rsidR="006343E1">
        <w:t xml:space="preserve"> w </w:t>
      </w:r>
      <w:r>
        <w:t>2019 r.)</w:t>
      </w:r>
      <w:r w:rsidR="003B7B8D">
        <w:t>;</w:t>
      </w:r>
      <w:r>
        <w:t xml:space="preserve"> mniejszy odsetek Polaków korzystał</w:t>
      </w:r>
      <w:r w:rsidR="006343E1">
        <w:t xml:space="preserve"> z </w:t>
      </w:r>
      <w:r>
        <w:t>usług bankowych –</w:t>
      </w:r>
      <w:r w:rsidR="006343E1">
        <w:t xml:space="preserve"> w </w:t>
      </w:r>
      <w:r>
        <w:t>2019 r. wyniósł on 47%, tj.</w:t>
      </w:r>
      <w:r w:rsidR="006343E1">
        <w:t xml:space="preserve"> o </w:t>
      </w:r>
      <w:r>
        <w:t>8 punktów procentowych mniej niż średnio</w:t>
      </w:r>
      <w:r w:rsidR="006343E1">
        <w:t xml:space="preserve"> w </w:t>
      </w:r>
      <w:r>
        <w:t>UE (55%)</w:t>
      </w:r>
      <w:r w:rsidR="003B7B8D">
        <w:t>;</w:t>
      </w:r>
      <w:r>
        <w:t xml:space="preserve"> </w:t>
      </w:r>
      <w:r w:rsidR="003B7B8D">
        <w:t>n</w:t>
      </w:r>
      <w:r>
        <w:t>a podobnym poziomie kształtuje się korzystanie</w:t>
      </w:r>
      <w:r w:rsidR="006343E1">
        <w:t xml:space="preserve"> z </w:t>
      </w:r>
      <w:r w:rsidR="007A3554">
        <w:t>serwisów społeczn</w:t>
      </w:r>
      <w:r>
        <w:t>ościowych (53%</w:t>
      </w:r>
      <w:r w:rsidR="006343E1">
        <w:t xml:space="preserve"> w </w:t>
      </w:r>
      <w:r>
        <w:t>Polsce vs 54%</w:t>
      </w:r>
      <w:r w:rsidR="006343E1">
        <w:t xml:space="preserve"> w </w:t>
      </w:r>
      <w:r>
        <w:t>UE-27),co najmniej podstawowe umiejętności cyfrowe posiadało</w:t>
      </w:r>
      <w:r w:rsidR="006343E1">
        <w:t xml:space="preserve"> w </w:t>
      </w:r>
      <w:r>
        <w:t>2019 r. 44% Polaków, przy średniej UE wynoszącej 58%</w:t>
      </w:r>
      <w:r w:rsidR="006B31E8">
        <w:t>;</w:t>
      </w:r>
      <w:r>
        <w:t xml:space="preserve"> </w:t>
      </w:r>
      <w:r w:rsidR="006B31E8">
        <w:t>p</w:t>
      </w:r>
      <w:r>
        <w:t>onadpodstawowe umiejętności miało odpowiednio 21% osób</w:t>
      </w:r>
      <w:r w:rsidR="006343E1">
        <w:t xml:space="preserve"> w </w:t>
      </w:r>
      <w:r>
        <w:t>Polsce oraz 33% średnio</w:t>
      </w:r>
      <w:r w:rsidR="006343E1">
        <w:t xml:space="preserve"> w </w:t>
      </w:r>
      <w:r>
        <w:t>UE,</w:t>
      </w:r>
    </w:p>
    <w:p w14:paraId="4AA9CC86" w14:textId="78ABD2FE" w:rsidR="00B620BC" w:rsidRDefault="00B620BC" w:rsidP="00A9445F">
      <w:pPr>
        <w:numPr>
          <w:ilvl w:val="0"/>
          <w:numId w:val="14"/>
        </w:numPr>
        <w:suppressAutoHyphens/>
      </w:pPr>
      <w:r>
        <w:t xml:space="preserve">odsetek osób zatrudnionych jako specjaliści </w:t>
      </w:r>
      <w:r w:rsidR="007A3554">
        <w:t>ICT wyni</w:t>
      </w:r>
      <w:r>
        <w:t>ó</w:t>
      </w:r>
      <w:r w:rsidR="007A3554">
        <w:t>s</w:t>
      </w:r>
      <w:r>
        <w:t>ł</w:t>
      </w:r>
      <w:r w:rsidR="006343E1">
        <w:t xml:space="preserve"> w </w:t>
      </w:r>
      <w:r>
        <w:t>Polsce</w:t>
      </w:r>
      <w:r w:rsidR="006343E1">
        <w:t xml:space="preserve"> w </w:t>
      </w:r>
      <w:r>
        <w:t>2018 r. 3% przy średniej UE 3,9% przy zbliżonym odsetku absolwentów kierunków teleinformatycznych (odpowiednio 3,5%</w:t>
      </w:r>
      <w:r w:rsidR="007A3554">
        <w:t xml:space="preserve"> i </w:t>
      </w:r>
      <w:r>
        <w:t>3,6%</w:t>
      </w:r>
      <w:r w:rsidR="006343E1">
        <w:t xml:space="preserve"> w </w:t>
      </w:r>
      <w:r>
        <w:t>2017</w:t>
      </w:r>
      <w:r w:rsidR="006B31E8">
        <w:t> </w:t>
      </w:r>
      <w:r>
        <w:t>r.).</w:t>
      </w:r>
    </w:p>
    <w:p w14:paraId="0B2CC167" w14:textId="72CA639D" w:rsidR="00B620BC" w:rsidRDefault="00B620BC" w:rsidP="00B620BC">
      <w:pPr>
        <w:suppressAutoHyphens/>
      </w:pPr>
      <w:r>
        <w:t>Względnie niskie odsetki specjalistów oraz absolwentów IT skłaniają do alternatywnego spojrzenia na sukcesy młodych polskich programistów</w:t>
      </w:r>
      <w:r w:rsidR="006343E1">
        <w:t xml:space="preserve"> w </w:t>
      </w:r>
      <w:r>
        <w:t>międzynarodowych konkursach. Ponieważ nie przekładają się one, jak dotąd, na poziom ucyfrowienia polskiej gospodarki, należy rozważyć tezę</w:t>
      </w:r>
      <w:r w:rsidR="00477C54">
        <w:t>, że </w:t>
      </w:r>
      <w:r>
        <w:t>są one</w:t>
      </w:r>
      <w:r w:rsidR="006343E1">
        <w:t xml:space="preserve"> w </w:t>
      </w:r>
      <w:r>
        <w:t xml:space="preserve">większym stopniu pochodną indywidualnych wysiłków nieprzeciętnie utalentowanych jednostek (w tym dydaktycznych opiekunów zespołów) niż skutecznego, systemowego podejścia do kształcenia w powiązaniu z potrzebami rynku pracy. </w:t>
      </w:r>
    </w:p>
    <w:p w14:paraId="70A10B09" w14:textId="77777777" w:rsidR="00B620BC" w:rsidRDefault="00B620BC" w:rsidP="00A9445F">
      <w:pPr>
        <w:pStyle w:val="Nagwek2"/>
        <w:numPr>
          <w:ilvl w:val="1"/>
          <w:numId w:val="11"/>
        </w:numPr>
        <w:suppressAutoHyphens/>
      </w:pPr>
      <w:bookmarkStart w:id="110" w:name="_Toc511921185"/>
      <w:bookmarkStart w:id="111" w:name="_Toc31808517"/>
      <w:bookmarkStart w:id="112" w:name="_Toc106968801"/>
      <w:r>
        <w:t>Przedsiębiorstwa – popyt na IT</w:t>
      </w:r>
      <w:r w:rsidRPr="00CB07D4">
        <w:rPr>
          <w:rStyle w:val="Znakiprzypiswdolnych"/>
          <w:b w:val="0"/>
          <w:vertAlign w:val="superscript"/>
        </w:rPr>
        <w:footnoteReference w:id="40"/>
      </w:r>
      <w:bookmarkEnd w:id="110"/>
      <w:bookmarkEnd w:id="111"/>
      <w:bookmarkEnd w:id="112"/>
    </w:p>
    <w:p w14:paraId="6D313D0C" w14:textId="4C18FF45" w:rsidR="00B620BC" w:rsidRDefault="00B620BC" w:rsidP="00B620BC">
      <w:r>
        <w:t>Działalność wszelkiego rodzaju przedsiębiorstw stanowi pole do wykorzystania potencjału informacji i technologii informacyjnych. Każdy element, struktura</w:t>
      </w:r>
      <w:r w:rsidR="006343E1">
        <w:t xml:space="preserve"> i </w:t>
      </w:r>
      <w:r>
        <w:t>proces działalności gospodarczej mogą zostać zanalizowane celem optymalizacji</w:t>
      </w:r>
      <w:r w:rsidR="006B31E8">
        <w:t>,</w:t>
      </w:r>
      <w:r w:rsidR="006343E1">
        <w:t xml:space="preserve"> a </w:t>
      </w:r>
      <w:r>
        <w:t>następnie – zdigitalizowane. Nie jest zatem przesadą stwierdzenie</w:t>
      </w:r>
      <w:r w:rsidR="00477C54">
        <w:t>, że </w:t>
      </w:r>
      <w:r>
        <w:t>„zastosowanie możliwości cyfrowych</w:t>
      </w:r>
      <w:r w:rsidR="006343E1">
        <w:t xml:space="preserve"> w </w:t>
      </w:r>
      <w:r>
        <w:t>100% wymaga całkowitej zmiany sposobu myślenia o funkcjonowaniu firmy” – czyli ścisłego zintegrowania planowania rozwoju IT z planowaniem rozwoju przedsiębiorstwa</w:t>
      </w:r>
      <w:r w:rsidR="006343E1">
        <w:t xml:space="preserve"> i </w:t>
      </w:r>
      <w:r>
        <w:t>wszystkich jego procesów, od projektowania produktu po obsługę klienta (Investin, 2017, s. 15). Prezesi zarządów firm, zwłaszcza większych, zdają sobie</w:t>
      </w:r>
      <w:r w:rsidR="006343E1">
        <w:t xml:space="preserve"> z </w:t>
      </w:r>
      <w:r>
        <w:t>tego sprawę</w:t>
      </w:r>
      <w:r w:rsidR="006343E1">
        <w:t xml:space="preserve"> i </w:t>
      </w:r>
      <w:r>
        <w:t>są świadomi wyzwań</w:t>
      </w:r>
      <w:r w:rsidR="006343E1">
        <w:t xml:space="preserve"> z </w:t>
      </w:r>
      <w:r>
        <w:t>tym związanych. Za największe uznają trudności</w:t>
      </w:r>
      <w:r w:rsidR="006343E1">
        <w:t xml:space="preserve"> w </w:t>
      </w:r>
      <w:r>
        <w:t>integracji nowych technologii</w:t>
      </w:r>
      <w:r w:rsidR="006343E1">
        <w:t xml:space="preserve"> z </w:t>
      </w:r>
      <w:r>
        <w:t>dotychczasowymi oraz efektywne wykorzystanie ogromnej liczby dostępnych danych. Problemem jest też niedobór wykwalifikowanych pracowników, zwłaszcza</w:t>
      </w:r>
      <w:r w:rsidR="006343E1">
        <w:t xml:space="preserve"> w </w:t>
      </w:r>
      <w:r>
        <w:t xml:space="preserve">obszarach analizy danych, </w:t>
      </w:r>
      <w:r w:rsidRPr="00CB07D4">
        <w:rPr>
          <w:i/>
        </w:rPr>
        <w:t>user</w:t>
      </w:r>
      <w:r>
        <w:t xml:space="preserve"> </w:t>
      </w:r>
      <w:r w:rsidRPr="00CB07D4">
        <w:rPr>
          <w:i/>
        </w:rPr>
        <w:t>experience</w:t>
      </w:r>
      <w:r>
        <w:t xml:space="preserve">, architektury systemów oraz planowania strategicznego (Investin, 2017). </w:t>
      </w:r>
    </w:p>
    <w:p w14:paraId="14FFDB0A" w14:textId="7BC4DBD6" w:rsidR="00B620BC" w:rsidRDefault="00B620BC" w:rsidP="00B620BC">
      <w:r>
        <w:t>Teza</w:t>
      </w:r>
      <w:r w:rsidR="006343E1">
        <w:t xml:space="preserve"> o </w:t>
      </w:r>
      <w:r>
        <w:t>potencjale nowych technologii do bardzo daleko idącego przeobrażenia sposobów funkcjonowania przedsiębiorstw nabiera dodatkowego znaczenia</w:t>
      </w:r>
      <w:r w:rsidR="006343E1">
        <w:t xml:space="preserve"> w </w:t>
      </w:r>
      <w:r>
        <w:t>świetle koncepcji Przemysłu 4.0. „Czwarta rewolucja przemysłowa” ma nie tylko wymiar techniczny, ale także strategiczny. Towarzyszy jej zmiana nastawienia</w:t>
      </w:r>
      <w:r w:rsidR="006343E1">
        <w:t xml:space="preserve"> </w:t>
      </w:r>
      <w:r w:rsidR="006343E1">
        <w:lastRenderedPageBreak/>
        <w:t>w </w:t>
      </w:r>
      <w:r>
        <w:t>przetwórstwie przemysłowym</w:t>
      </w:r>
      <w:r w:rsidR="006343E1">
        <w:t xml:space="preserve"> z </w:t>
      </w:r>
      <w:r>
        <w:t xml:space="preserve">masowej produkcji na masową personalizację. </w:t>
      </w:r>
      <w:r w:rsidRPr="00CB07D4">
        <w:t>Cl</w:t>
      </w:r>
      <w:r w:rsidR="007A3554" w:rsidRPr="00CB07D4">
        <w:t>ou</w:t>
      </w:r>
      <w:r>
        <w:t xml:space="preserve"> modelowej strategii biznesowej innowacyjnej firmy ma nie polegać już na standaryzacji produktu</w:t>
      </w:r>
      <w:r w:rsidR="006343E1">
        <w:t xml:space="preserve"> i </w:t>
      </w:r>
      <w:r>
        <w:t>cięciu kosztów przez efekt skali, ale na elastycznych liniach produkcyjnych dynamicznie adaptujących się do zmiennego popytu. Następować ma skracanie serii, skracanie cyklu produkcyjnego, możliwość decentralizacji produkcji, produkcja na życzenie</w:t>
      </w:r>
      <w:r w:rsidR="006343E1">
        <w:t xml:space="preserve"> i </w:t>
      </w:r>
      <w:r>
        <w:t xml:space="preserve">ograniczanie zapasów. W tym ujęciu wśród kluczowych technologii umożliwiających transformację cyfrową przemysłu obok sensorów, </w:t>
      </w:r>
      <w:r w:rsidR="006B31E8">
        <w:t>B</w:t>
      </w:r>
      <w:r>
        <w:t xml:space="preserve">ig </w:t>
      </w:r>
      <w:r w:rsidR="006B31E8">
        <w:t>D</w:t>
      </w:r>
      <w:r>
        <w:t>ata, uczenia maszynowego i integracji baz danych wyróżnić należałoby druk 3D jako sposób wytworzenia nieskończenie różnorodnych produktów za pomocą zasadniczo wystandaryzowanej maszyny (Roland Berger, 2016).</w:t>
      </w:r>
    </w:p>
    <w:p w14:paraId="3682D4D7" w14:textId="0FB39E50" w:rsidR="00B620BC" w:rsidRDefault="00B620BC" w:rsidP="00B620BC">
      <w:r>
        <w:t>Efektywne wykorzystanie rozwiązań cyfrowych często wymaga daleko idącej zmiany w sposobie funkcjonowania firmy. Barierą mo</w:t>
      </w:r>
      <w:r w:rsidR="006B31E8">
        <w:t>gą</w:t>
      </w:r>
      <w:r>
        <w:t xml:space="preserve"> być niski poziom umiejętności cyfrowych, brak bardziej zaawansowanych umiejętności</w:t>
      </w:r>
      <w:r w:rsidR="006343E1">
        <w:t xml:space="preserve"> w </w:t>
      </w:r>
      <w:r>
        <w:t>rodzaju planowania strategicznego oraz brak zasobów na ponoszenie zwiększonych nakładów</w:t>
      </w:r>
      <w:r w:rsidR="006343E1">
        <w:t xml:space="preserve"> w </w:t>
      </w:r>
      <w:r>
        <w:t>okresie przejściowym między porzuceniem starych rozwiązań</w:t>
      </w:r>
      <w:r w:rsidR="006343E1">
        <w:t xml:space="preserve"> a </w:t>
      </w:r>
      <w:r>
        <w:t>pełnym wdrożeniem nowych. Brak zasobów wydaje się tym bardziej kluczową barierą</w:t>
      </w:r>
      <w:r w:rsidR="006B31E8">
        <w:t>,</w:t>
      </w:r>
      <w:r>
        <w:t xml:space="preserve"> jeśli uwzględnimy fakt</w:t>
      </w:r>
      <w:r w:rsidR="00477C54">
        <w:t>, że </w:t>
      </w:r>
      <w:r>
        <w:t>przedsiębiorstwa</w:t>
      </w:r>
      <w:r w:rsidR="006343E1">
        <w:t xml:space="preserve"> w </w:t>
      </w:r>
      <w:r>
        <w:t>Polsce są</w:t>
      </w:r>
      <w:r w:rsidR="006343E1">
        <w:t xml:space="preserve"> z </w:t>
      </w:r>
      <w:r>
        <w:t>reguły mniejsze niż</w:t>
      </w:r>
      <w:r w:rsidR="006343E1">
        <w:t xml:space="preserve"> w </w:t>
      </w:r>
      <w:r>
        <w:t>Europie Zachodniej, zatem</w:t>
      </w:r>
      <w:r w:rsidR="006343E1">
        <w:t xml:space="preserve"> w </w:t>
      </w:r>
      <w:r>
        <w:t>mniejszym stopniu odnoszą ekonomiczne korzyści</w:t>
      </w:r>
      <w:r w:rsidR="006343E1">
        <w:t xml:space="preserve"> z </w:t>
      </w:r>
      <w:r>
        <w:t>kumulacji wiedzy, kapitału oraz efektów skali</w:t>
      </w:r>
      <w:r w:rsidR="006343E1">
        <w:t xml:space="preserve"> i </w:t>
      </w:r>
      <w:r>
        <w:t>sieci. Istotne znaczenie jako powód niewdrażania technologii cyfrowych może mieć również brak umiejętności identyfikacji spośród wielu dostępnych rozwiązań cyfrowych tych rozwiązań,</w:t>
      </w:r>
      <w:r w:rsidR="006343E1">
        <w:t xml:space="preserve"> z </w:t>
      </w:r>
      <w:r>
        <w:t>których dana firma</w:t>
      </w:r>
      <w:r w:rsidR="006343E1">
        <w:t xml:space="preserve"> w </w:t>
      </w:r>
      <w:r>
        <w:t>jej konkretnym kontekście odniosłaby największe korzyści.</w:t>
      </w:r>
    </w:p>
    <w:p w14:paraId="542C1D83" w14:textId="70A6E9A1" w:rsidR="00B620BC" w:rsidRDefault="00B620BC" w:rsidP="00B620BC">
      <w:r>
        <w:t>Wykorzystanie IT wśród przedsiębiorstw jest tym wymiarem DESI,</w:t>
      </w:r>
      <w:r w:rsidR="006343E1">
        <w:t xml:space="preserve"> w </w:t>
      </w:r>
      <w:r>
        <w:t>którym Polska najwyraźniej odstaje od innych państw UE. Według wskaźnika syntetycznego</w:t>
      </w:r>
      <w:r w:rsidR="006343E1">
        <w:t xml:space="preserve"> w </w:t>
      </w:r>
      <w:r>
        <w:t>raporcie</w:t>
      </w:r>
      <w:r w:rsidR="006343E1">
        <w:t xml:space="preserve"> z</w:t>
      </w:r>
      <w:r>
        <w:t xml:space="preserve"> 2019 </w:t>
      </w:r>
      <w:r w:rsidR="006B31E8">
        <w:t>r.</w:t>
      </w:r>
      <w:r>
        <w:t xml:space="preserve"> zajmuje trzecie miejsce od końca (przed Bułgarią</w:t>
      </w:r>
      <w:r w:rsidR="006343E1">
        <w:t xml:space="preserve"> i </w:t>
      </w:r>
      <w:r>
        <w:t>Rumunią), na co składają się m.in. następujące fakty:</w:t>
      </w:r>
    </w:p>
    <w:p w14:paraId="3B750986" w14:textId="7A095C00" w:rsidR="00B620BC" w:rsidRDefault="006B31E8" w:rsidP="00CB07D4">
      <w:pPr>
        <w:suppressAutoHyphens/>
        <w:ind w:left="567" w:hanging="283"/>
      </w:pPr>
      <w:r>
        <w:t xml:space="preserve">1. </w:t>
      </w:r>
      <w:r w:rsidR="00B620BC">
        <w:t>względnie niski poziom upowszechnienia wśród przedsiębiorców systemów ERP (korzysta</w:t>
      </w:r>
      <w:r w:rsidR="006343E1">
        <w:t xml:space="preserve"> z </w:t>
      </w:r>
      <w:r w:rsidR="00B620BC">
        <w:t>nich w Polsce 2</w:t>
      </w:r>
      <w:r w:rsidR="00996F18">
        <w:t>8</w:t>
      </w:r>
      <w:r w:rsidR="00B620BC">
        <w:t>,</w:t>
      </w:r>
      <w:r w:rsidR="00996F18">
        <w:t>5</w:t>
      </w:r>
      <w:r w:rsidR="00B620BC">
        <w:t>% firm wobec średniej 3</w:t>
      </w:r>
      <w:r w:rsidR="00AC2D6E">
        <w:t>6</w:t>
      </w:r>
      <w:r w:rsidR="00B620BC">
        <w:t>%)</w:t>
      </w:r>
      <w:r w:rsidR="00B620BC" w:rsidRPr="007B7CEC">
        <w:rPr>
          <w:rStyle w:val="Znakiprzypiswdolnych"/>
          <w:sz w:val="21"/>
          <w:vertAlign w:val="superscript"/>
        </w:rPr>
        <w:footnoteReference w:id="41"/>
      </w:r>
      <w:r w:rsidR="00B620BC">
        <w:t>,</w:t>
      </w:r>
    </w:p>
    <w:p w14:paraId="13FB38D7" w14:textId="382A5A0F" w:rsidR="00B620BC" w:rsidRDefault="006B31E8" w:rsidP="00CB07D4">
      <w:pPr>
        <w:suppressAutoHyphens/>
        <w:ind w:left="567" w:hanging="283"/>
      </w:pPr>
      <w:r>
        <w:t xml:space="preserve">2. </w:t>
      </w:r>
      <w:r w:rsidR="00B620BC">
        <w:t xml:space="preserve">niski odsetek przedsiębiorstw wykorzystujących co najmniej dwa rodzaje </w:t>
      </w:r>
      <w:r w:rsidR="00B620BC" w:rsidRPr="00CB07D4">
        <w:rPr>
          <w:i/>
        </w:rPr>
        <w:t>social media</w:t>
      </w:r>
      <w:r w:rsidR="00B620BC">
        <w:t xml:space="preserve"> (</w:t>
      </w:r>
      <w:r w:rsidR="00AC2D6E">
        <w:t>14,1</w:t>
      </w:r>
      <w:r w:rsidR="00B620BC">
        <w:t xml:space="preserve">% wobec średniej </w:t>
      </w:r>
      <w:r w:rsidR="00B9444F">
        <w:t>23</w:t>
      </w:r>
      <w:r w:rsidR="00B620BC">
        <w:t xml:space="preserve">%), </w:t>
      </w:r>
    </w:p>
    <w:p w14:paraId="27C05DCF" w14:textId="2FE5D41A" w:rsidR="00B620BC" w:rsidRDefault="006B31E8" w:rsidP="00CB07D4">
      <w:pPr>
        <w:suppressAutoHyphens/>
        <w:ind w:left="567" w:hanging="283"/>
      </w:pPr>
      <w:r>
        <w:t xml:space="preserve">3. </w:t>
      </w:r>
      <w:r w:rsidR="00B620BC">
        <w:t>relatywnie bardzo niski odsetek przedsiębiorstw korzystających</w:t>
      </w:r>
      <w:r w:rsidR="006343E1">
        <w:t xml:space="preserve"> z </w:t>
      </w:r>
      <w:r w:rsidR="00B620BC">
        <w:t>usług</w:t>
      </w:r>
      <w:r w:rsidR="006343E1">
        <w:t xml:space="preserve"> w </w:t>
      </w:r>
      <w:r w:rsidR="00B620BC">
        <w:t>modelu chmury obliczeniowej (</w:t>
      </w:r>
      <w:r w:rsidR="00B9444F">
        <w:t>14,8</w:t>
      </w:r>
      <w:r w:rsidR="00B620BC">
        <w:t xml:space="preserve">% wobec średniej UE </w:t>
      </w:r>
      <w:r w:rsidR="00B9444F">
        <w:t>26</w:t>
      </w:r>
      <w:r w:rsidR="00B620BC">
        <w:t>%)</w:t>
      </w:r>
      <w:r w:rsidR="00B620BC" w:rsidRPr="007B7CEC">
        <w:rPr>
          <w:rStyle w:val="Znakiprzypiswdolnych"/>
          <w:sz w:val="21"/>
          <w:vertAlign w:val="superscript"/>
        </w:rPr>
        <w:footnoteReference w:id="42"/>
      </w:r>
      <w:r w:rsidR="00B620BC">
        <w:t>,</w:t>
      </w:r>
    </w:p>
    <w:p w14:paraId="19DB8F8A" w14:textId="5E17A060" w:rsidR="00B620BC" w:rsidRDefault="006B31E8" w:rsidP="00CB07D4">
      <w:pPr>
        <w:suppressAutoHyphens/>
        <w:ind w:left="360"/>
      </w:pPr>
      <w:r>
        <w:t xml:space="preserve">4. </w:t>
      </w:r>
      <w:r w:rsidR="00B620BC">
        <w:t xml:space="preserve">relatywnie niski odsetek MŚP prowadzących sprzedaż przez </w:t>
      </w:r>
      <w:r w:rsidR="00606ACD">
        <w:t>I</w:t>
      </w:r>
      <w:r w:rsidR="00B620BC">
        <w:t>nternet (11,8internet (</w:t>
      </w:r>
      <w:r w:rsidR="00B9444F">
        <w:t>13</w:t>
      </w:r>
      <w:r w:rsidR="00B620BC">
        <w:t xml:space="preserve">% wobec średniej unijnej </w:t>
      </w:r>
      <w:r w:rsidR="00B9444F">
        <w:t>17</w:t>
      </w:r>
      <w:r w:rsidR="00B620BC">
        <w:t>%),</w:t>
      </w:r>
    </w:p>
    <w:p w14:paraId="171E6399" w14:textId="4B707152" w:rsidR="00B620BC" w:rsidRDefault="006B31E8" w:rsidP="00CB07D4">
      <w:pPr>
        <w:suppressAutoHyphens/>
        <w:ind w:left="360"/>
      </w:pPr>
      <w:r>
        <w:t xml:space="preserve">5. </w:t>
      </w:r>
      <w:r w:rsidR="00B620BC">
        <w:t xml:space="preserve">niski odsetek MŚP prowadzących transgraniczną sprzedaż przez </w:t>
      </w:r>
      <w:r w:rsidR="00606ACD">
        <w:t>I</w:t>
      </w:r>
      <w:r w:rsidR="00B620BC">
        <w:t>nternet (3,9internet (</w:t>
      </w:r>
      <w:r w:rsidR="00B9444F">
        <w:t>5</w:t>
      </w:r>
      <w:r w:rsidR="00B620BC">
        <w:t>% wobec średniej 8,4%).</w:t>
      </w:r>
      <w:r w:rsidR="00E60A8D">
        <w:rPr>
          <w:rStyle w:val="Odwoanieprzypisudolnego"/>
        </w:rPr>
        <w:footnoteReference w:id="43"/>
      </w:r>
    </w:p>
    <w:p w14:paraId="03DF9C7C" w14:textId="53DFA523" w:rsidR="00B620BC" w:rsidRDefault="00B620BC" w:rsidP="00B620BC">
      <w:r>
        <w:t>Kilka</w:t>
      </w:r>
      <w:r w:rsidR="006343E1">
        <w:t xml:space="preserve"> z </w:t>
      </w:r>
      <w:r>
        <w:t>powyższych wskaźników można uznać za przybliżone odzwierciedlenie go</w:t>
      </w:r>
      <w:r w:rsidR="00ED7916">
        <w:t>towości do wdrożenia koncepcji p</w:t>
      </w:r>
      <w:r>
        <w:t xml:space="preserve">rzemysłu 4.0. Systemy ERP umożliwiają przepływ danych między różnymi działami firmy, a przez to </w:t>
      </w:r>
      <w:r>
        <w:lastRenderedPageBreak/>
        <w:t>uruchamianie algorytmów decyzyjnych na tych danych</w:t>
      </w:r>
      <w:r w:rsidR="006343E1">
        <w:t xml:space="preserve"> w </w:t>
      </w:r>
      <w:r>
        <w:t>czasie rzeczywistym. Obiekty wyposażone</w:t>
      </w:r>
      <w:r w:rsidR="006343E1">
        <w:t xml:space="preserve"> w </w:t>
      </w:r>
      <w:r>
        <w:t>chipy RFID również służą jako źródło danych</w:t>
      </w:r>
      <w:r w:rsidR="006343E1">
        <w:t xml:space="preserve"> w </w:t>
      </w:r>
      <w:r>
        <w:t xml:space="preserve">procesach np. logistyki czy kontroli jakości. Sprzedaż przez </w:t>
      </w:r>
      <w:r w:rsidR="00606ACD">
        <w:t>I</w:t>
      </w:r>
      <w:r>
        <w:t>nternet jest elementem automatyzacji kontaktów ze światem zewnętrznym</w:t>
      </w:r>
      <w:r w:rsidR="006343E1">
        <w:t xml:space="preserve"> i </w:t>
      </w:r>
      <w:r>
        <w:t>zapewne mając doświadczenie</w:t>
      </w:r>
      <w:r w:rsidR="006343E1">
        <w:t xml:space="preserve"> w </w:t>
      </w:r>
      <w:r>
        <w:t>segmencie automatyzacji sprzedaży czy zakupów</w:t>
      </w:r>
      <w:r w:rsidR="00606ACD">
        <w:t>,</w:t>
      </w:r>
      <w:r>
        <w:t xml:space="preserve"> łatwiej przejść do głębszej integracji działań między różnymi firmami</w:t>
      </w:r>
      <w:r w:rsidR="006343E1">
        <w:t xml:space="preserve"> w </w:t>
      </w:r>
      <w:r>
        <w:t>ramach łańcucha wartości</w:t>
      </w:r>
      <w:r w:rsidR="00606ACD">
        <w:t>,</w:t>
      </w:r>
      <w:r>
        <w:t xml:space="preserve"> niż rozpoczynać ją zupełnie od zera. Wartość informacyjną jako miernik gotowości do wdrożenia modelu 4.0 zawiera również wskaźnik dotyczący chmury obliczeniowej, mimo</w:t>
      </w:r>
      <w:r w:rsidR="00477C54">
        <w:t xml:space="preserve"> że </w:t>
      </w:r>
      <w:r>
        <w:t xml:space="preserve">mierzy on zakup wybranych usług </w:t>
      </w:r>
      <w:r>
        <w:rPr>
          <w:i/>
        </w:rPr>
        <w:t>cloud computing</w:t>
      </w:r>
      <w:r>
        <w:t xml:space="preserve"> na zewnątrz firmy,</w:t>
      </w:r>
      <w:r w:rsidR="006343E1">
        <w:t xml:space="preserve"> a </w:t>
      </w:r>
      <w:r>
        <w:t xml:space="preserve">w ramach wdrażania nowego modelu przemysłowego usługi takie mogą być świadczone </w:t>
      </w:r>
      <w:r>
        <w:rPr>
          <w:i/>
        </w:rPr>
        <w:t>inhouse</w:t>
      </w:r>
      <w:r>
        <w:t xml:space="preserve">. </w:t>
      </w:r>
    </w:p>
    <w:p w14:paraId="3482E17E" w14:textId="79B40DB1" w:rsidR="00B620BC" w:rsidRDefault="00B620BC" w:rsidP="00B620BC">
      <w:r>
        <w:t>Kolejną miarą gotowości gospodarki do wdrożenia modelu 4.0 może być poziom wykorzystywania przez przedsiębiorców analiz Big Data. Niezależnie od tego, czy są one wykonywane przez pracowników przedsiębiorstwa czy przez usługodawców zewnętrznych oraz czego dotyczą, opierają się one często na algorytmach uczenia maszynowego, zatem podnoszą kompetencje firm</w:t>
      </w:r>
      <w:r w:rsidR="006343E1">
        <w:t xml:space="preserve"> w </w:t>
      </w:r>
      <w:r>
        <w:t>zakresie ich wykorzystania, co może ułatwiać późniejszą adaptację tych algorytmów na potrzeby sterowania procesami biznesowymi. Pod względem odsetka firm (powyżej 9 pracowników) wykorzystujących analizy Big Data Polska z wynikiem 7,9% sytuuje się poniżej średniej unijnej wynoszącej 12,3%.</w:t>
      </w:r>
    </w:p>
    <w:tbl>
      <w:tblPr>
        <w:tblW w:w="0" w:type="auto"/>
        <w:tblInd w:w="216" w:type="dxa"/>
        <w:tblLayout w:type="fixed"/>
        <w:tblLook w:val="0000" w:firstRow="0" w:lastRow="0" w:firstColumn="0" w:lastColumn="0" w:noHBand="0" w:noVBand="0"/>
      </w:tblPr>
      <w:tblGrid>
        <w:gridCol w:w="8964"/>
      </w:tblGrid>
      <w:tr w:rsidR="00B620BC" w14:paraId="387F1EB7" w14:textId="77777777" w:rsidTr="00EF36FC">
        <w:tc>
          <w:tcPr>
            <w:tcW w:w="8964" w:type="dxa"/>
            <w:shd w:val="clear" w:color="auto" w:fill="auto"/>
          </w:tcPr>
          <w:p w14:paraId="1C116B34" w14:textId="22B0709F" w:rsidR="00B620BC" w:rsidRDefault="00B620BC" w:rsidP="00EF36FC">
            <w:pPr>
              <w:widowControl w:val="0"/>
              <w:spacing w:before="0" w:after="0" w:line="240" w:lineRule="auto"/>
            </w:pPr>
            <w:bookmarkStart w:id="113" w:name="_Ref516581225"/>
            <w:r>
              <w:rPr>
                <w:rFonts w:cs="Calibri"/>
                <w:b/>
                <w:sz w:val="21"/>
                <w:szCs w:val="21"/>
              </w:rPr>
              <w:t xml:space="preserve">Wykres </w:t>
            </w:r>
            <w:bookmarkEnd w:id="113"/>
            <w:r w:rsidR="00FC6E8F">
              <w:rPr>
                <w:rFonts w:cs="Calibri"/>
                <w:b/>
                <w:sz w:val="21"/>
                <w:szCs w:val="21"/>
              </w:rPr>
              <w:t>51</w:t>
            </w:r>
            <w:r>
              <w:rPr>
                <w:rFonts w:cs="Calibri"/>
                <w:b/>
                <w:sz w:val="21"/>
                <w:szCs w:val="21"/>
              </w:rPr>
              <w:t>. Odsetek przedsiębiorstw korzystających</w:t>
            </w:r>
            <w:r w:rsidR="006343E1">
              <w:rPr>
                <w:rFonts w:cs="Calibri"/>
                <w:b/>
                <w:sz w:val="21"/>
                <w:szCs w:val="21"/>
              </w:rPr>
              <w:t xml:space="preserve"> z </w:t>
            </w:r>
            <w:r>
              <w:rPr>
                <w:rFonts w:cs="Calibri"/>
                <w:b/>
                <w:sz w:val="21"/>
                <w:szCs w:val="21"/>
              </w:rPr>
              <w:t xml:space="preserve">analiz </w:t>
            </w:r>
            <w:r w:rsidR="00606ACD">
              <w:rPr>
                <w:rFonts w:cs="Calibri"/>
                <w:b/>
                <w:sz w:val="21"/>
                <w:szCs w:val="21"/>
              </w:rPr>
              <w:t>B</w:t>
            </w:r>
            <w:r>
              <w:rPr>
                <w:rFonts w:cs="Calibri"/>
                <w:b/>
                <w:sz w:val="21"/>
                <w:szCs w:val="21"/>
              </w:rPr>
              <w:t xml:space="preserve">ig </w:t>
            </w:r>
            <w:r w:rsidR="00606ACD">
              <w:rPr>
                <w:rFonts w:cs="Calibri"/>
                <w:b/>
                <w:sz w:val="21"/>
                <w:szCs w:val="21"/>
              </w:rPr>
              <w:t>D</w:t>
            </w:r>
            <w:r>
              <w:rPr>
                <w:rFonts w:cs="Calibri"/>
                <w:b/>
                <w:sz w:val="21"/>
                <w:szCs w:val="21"/>
              </w:rPr>
              <w:t>ata</w:t>
            </w:r>
            <w:r w:rsidR="006343E1">
              <w:rPr>
                <w:rFonts w:cs="Calibri"/>
                <w:b/>
                <w:sz w:val="21"/>
                <w:szCs w:val="21"/>
              </w:rPr>
              <w:t xml:space="preserve"> z </w:t>
            </w:r>
            <w:r>
              <w:rPr>
                <w:rFonts w:cs="Calibri"/>
                <w:b/>
                <w:sz w:val="21"/>
                <w:szCs w:val="21"/>
              </w:rPr>
              <w:t>dowolnych źródeł [2018]</w:t>
            </w:r>
          </w:p>
          <w:p w14:paraId="634A67DB" w14:textId="3A14A98A" w:rsidR="00B620BC" w:rsidRPr="00CB07D4" w:rsidRDefault="00B620BC" w:rsidP="00EF36FC">
            <w:pPr>
              <w:widowControl w:val="0"/>
              <w:spacing w:before="0" w:after="0" w:line="240" w:lineRule="auto"/>
              <w:rPr>
                <w:i/>
              </w:rPr>
            </w:pPr>
          </w:p>
        </w:tc>
      </w:tr>
      <w:tr w:rsidR="00B620BC" w14:paraId="09C85AD4" w14:textId="77777777" w:rsidTr="00EF36FC">
        <w:tc>
          <w:tcPr>
            <w:tcW w:w="8964" w:type="dxa"/>
            <w:shd w:val="clear" w:color="auto" w:fill="auto"/>
          </w:tcPr>
          <w:p w14:paraId="7FCA2A5E" w14:textId="3C6AE75E" w:rsidR="00B620BC" w:rsidRDefault="00D90BFB" w:rsidP="00EF36FC">
            <w:pPr>
              <w:widowControl w:val="0"/>
              <w:spacing w:after="0" w:line="240" w:lineRule="auto"/>
            </w:pPr>
            <w:r>
              <w:rPr>
                <w:noProof/>
                <w:lang w:eastAsia="pl-PL"/>
              </w:rPr>
              <w:drawing>
                <wp:inline distT="0" distB="0" distL="0" distR="0" wp14:anchorId="7A9E211F" wp14:editId="27B741FA">
                  <wp:extent cx="5709285" cy="2584450"/>
                  <wp:effectExtent l="0" t="0" r="5715" b="6350"/>
                  <wp:docPr id="427" name="Obraz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86">
                            <a:extLst>
                              <a:ext uri="{28A0092B-C50C-407E-A947-70E740481C1C}">
                                <a14:useLocalDpi xmlns:a14="http://schemas.microsoft.com/office/drawing/2010/main" val="0"/>
                              </a:ext>
                            </a:extLst>
                          </a:blip>
                          <a:srcRect l="-11" t="-24" r="-11" b="-24"/>
                          <a:stretch>
                            <a:fillRect/>
                          </a:stretch>
                        </pic:blipFill>
                        <pic:spPr bwMode="auto">
                          <a:xfrm>
                            <a:off x="0" y="0"/>
                            <a:ext cx="5709285" cy="2584450"/>
                          </a:xfrm>
                          <a:prstGeom prst="rect">
                            <a:avLst/>
                          </a:prstGeom>
                          <a:solidFill>
                            <a:srgbClr val="FFFFFF"/>
                          </a:solidFill>
                          <a:ln>
                            <a:noFill/>
                          </a:ln>
                        </pic:spPr>
                      </pic:pic>
                    </a:graphicData>
                  </a:graphic>
                </wp:inline>
              </w:drawing>
            </w:r>
          </w:p>
        </w:tc>
      </w:tr>
    </w:tbl>
    <w:p w14:paraId="1CD351B7" w14:textId="77777777" w:rsidR="00F00339" w:rsidRDefault="00F00339" w:rsidP="00B620BC"/>
    <w:p w14:paraId="71F28AC8" w14:textId="00C3086E" w:rsidR="00F00339" w:rsidRPr="00CB07D4" w:rsidRDefault="00F00339" w:rsidP="00B620BC">
      <w:pPr>
        <w:rPr>
          <w:sz w:val="20"/>
          <w:szCs w:val="20"/>
        </w:rPr>
      </w:pPr>
      <w:r w:rsidRPr="00CB07D4">
        <w:rPr>
          <w:i/>
          <w:sz w:val="20"/>
          <w:szCs w:val="20"/>
        </w:rPr>
        <w:t>Źródło: Opracowanie MRiT na podstawie danych Eurostat</w:t>
      </w:r>
    </w:p>
    <w:p w14:paraId="66512219" w14:textId="47893856" w:rsidR="00B620BC" w:rsidRDefault="00B620BC" w:rsidP="00B620BC">
      <w:r>
        <w:t>Jednym</w:t>
      </w:r>
      <w:r w:rsidR="006343E1">
        <w:t xml:space="preserve"> z </w:t>
      </w:r>
      <w:r>
        <w:t xml:space="preserve">najważniejszych przejawów poprawy procesów produkcyjnych ściśle związanym z koncepcją </w:t>
      </w:r>
      <w:r w:rsidR="00332B11">
        <w:t>p</w:t>
      </w:r>
      <w:r>
        <w:t xml:space="preserve">rzemysłu 4.0. jest robotyzacja. </w:t>
      </w:r>
      <w:r w:rsidR="00332B11">
        <w:t>Obec</w:t>
      </w:r>
      <w:r>
        <w:t>ny poziom robotyzacji polskiego przemysłu (</w:t>
      </w:r>
      <w:r w:rsidR="00332B11">
        <w:t>46</w:t>
      </w:r>
      <w:r>
        <w:t xml:space="preserve"> robot</w:t>
      </w:r>
      <w:r w:rsidR="00332B11">
        <w:t>ów</w:t>
      </w:r>
      <w:r>
        <w:t xml:space="preserve"> na 10 000 pracujących) jest bardzo niski. Wzrost liczby robotów</w:t>
      </w:r>
      <w:r w:rsidR="006343E1">
        <w:t xml:space="preserve"> w </w:t>
      </w:r>
      <w:r>
        <w:t>Polsce (przy czym optymalną sytuacją byłaby ich produkcja przez rodzimy przemysł) wydaje się jednym</w:t>
      </w:r>
      <w:r w:rsidR="006343E1">
        <w:t xml:space="preserve"> z </w:t>
      </w:r>
      <w:r>
        <w:t>pilniejszych działań</w:t>
      </w:r>
      <w:r w:rsidR="00606ACD">
        <w:t>,</w:t>
      </w:r>
      <w:r>
        <w:t xml:space="preserve"> jakie należałoby podjąć</w:t>
      </w:r>
      <w:r w:rsidR="006343E1">
        <w:t xml:space="preserve"> w </w:t>
      </w:r>
      <w:r>
        <w:t>celu zabezpieczenia trwałego wzrostu wydajności gospodarczej.</w:t>
      </w:r>
    </w:p>
    <w:p w14:paraId="579DB53C" w14:textId="764308F1" w:rsidR="00B620BC" w:rsidRDefault="00B620BC" w:rsidP="00B620BC">
      <w:r>
        <w:t>Inną kwestią jest zwiększenie zróżnicowania zastosowań robotów.</w:t>
      </w:r>
      <w:r w:rsidR="006343E1">
        <w:t xml:space="preserve"> W </w:t>
      </w:r>
      <w:r>
        <w:t xml:space="preserve">polskiej gospodarce roboty </w:t>
      </w:r>
      <w:r w:rsidR="00606ACD">
        <w:t xml:space="preserve">są </w:t>
      </w:r>
      <w:r>
        <w:t>wykorzystywane głównie</w:t>
      </w:r>
      <w:r w:rsidR="006343E1">
        <w:t xml:space="preserve"> w </w:t>
      </w:r>
      <w:r>
        <w:t>kilku branżach przemysłowych,</w:t>
      </w:r>
      <w:r w:rsidR="006343E1">
        <w:t xml:space="preserve"> w </w:t>
      </w:r>
      <w:r>
        <w:t>dużej części kontrolowanych przez kapitał zagraniczny. Wzrost ich zastosowania jest zatem nie tylko warunkiem rozwoju przemysłu 4.0</w:t>
      </w:r>
      <w:r w:rsidR="00606ACD">
        <w:t>,</w:t>
      </w:r>
      <w:r>
        <w:t xml:space="preserve"> ale także jednym</w:t>
      </w:r>
      <w:r w:rsidR="006343E1">
        <w:t xml:space="preserve"> z </w:t>
      </w:r>
      <w:r>
        <w:t>warunków wyrównania szans między firmami polskimi</w:t>
      </w:r>
      <w:r w:rsidR="006343E1">
        <w:t xml:space="preserve"> a </w:t>
      </w:r>
      <w:r>
        <w:t>firmami</w:t>
      </w:r>
      <w:r w:rsidR="006343E1">
        <w:t xml:space="preserve"> z </w:t>
      </w:r>
      <w:r>
        <w:t>kapitałem zagranicznym</w:t>
      </w:r>
      <w:r w:rsidR="00606ACD">
        <w:t>,</w:t>
      </w:r>
      <w:r>
        <w:t xml:space="preserve"> jeśli chodzi</w:t>
      </w:r>
      <w:r w:rsidR="006343E1">
        <w:t xml:space="preserve"> o </w:t>
      </w:r>
      <w:r>
        <w:t>konkurencję opartą na wydajności pracy</w:t>
      </w:r>
      <w:r w:rsidR="00606ACD">
        <w:t>,</w:t>
      </w:r>
      <w:r>
        <w:t xml:space="preserve"> oraz szansą na rozwój rodzimej kapitałowo przedsiębiorczości.</w:t>
      </w:r>
    </w:p>
    <w:tbl>
      <w:tblPr>
        <w:tblW w:w="0" w:type="auto"/>
        <w:tblInd w:w="108" w:type="dxa"/>
        <w:tblLayout w:type="fixed"/>
        <w:tblLook w:val="0000" w:firstRow="0" w:lastRow="0" w:firstColumn="0" w:lastColumn="0" w:noHBand="0" w:noVBand="0"/>
      </w:tblPr>
      <w:tblGrid>
        <w:gridCol w:w="9072"/>
      </w:tblGrid>
      <w:tr w:rsidR="00B620BC" w14:paraId="75444D71" w14:textId="77777777" w:rsidTr="00EF36FC">
        <w:tc>
          <w:tcPr>
            <w:tcW w:w="9072" w:type="dxa"/>
            <w:shd w:val="clear" w:color="auto" w:fill="auto"/>
          </w:tcPr>
          <w:p w14:paraId="1D3FC899" w14:textId="77777777" w:rsidR="00606ACD" w:rsidRDefault="00606ACD" w:rsidP="00332B11">
            <w:pPr>
              <w:widowControl w:val="0"/>
              <w:spacing w:after="0" w:line="240" w:lineRule="auto"/>
              <w:rPr>
                <w:rFonts w:cs="Calibri"/>
                <w:b/>
                <w:sz w:val="21"/>
                <w:szCs w:val="21"/>
              </w:rPr>
            </w:pPr>
          </w:p>
          <w:p w14:paraId="3AE85CA4" w14:textId="7565D0C2" w:rsidR="00B620BC" w:rsidRDefault="00B620BC" w:rsidP="00332B11">
            <w:pPr>
              <w:widowControl w:val="0"/>
              <w:spacing w:after="0" w:line="240" w:lineRule="auto"/>
              <w:rPr>
                <w:rFonts w:cs="Calibri"/>
                <w:b/>
                <w:sz w:val="21"/>
                <w:szCs w:val="21"/>
              </w:rPr>
            </w:pPr>
            <w:r>
              <w:rPr>
                <w:rFonts w:cs="Calibri"/>
                <w:b/>
                <w:sz w:val="21"/>
                <w:szCs w:val="21"/>
              </w:rPr>
              <w:lastRenderedPageBreak/>
              <w:t xml:space="preserve">Wykres </w:t>
            </w:r>
            <w:r w:rsidR="00332B11">
              <w:rPr>
                <w:rFonts w:cs="Calibri"/>
                <w:b/>
                <w:sz w:val="21"/>
                <w:szCs w:val="21"/>
              </w:rPr>
              <w:t>5</w:t>
            </w:r>
            <w:r w:rsidR="00FC6E8F">
              <w:rPr>
                <w:rFonts w:cs="Calibri"/>
                <w:b/>
                <w:sz w:val="21"/>
                <w:szCs w:val="21"/>
              </w:rPr>
              <w:t>2</w:t>
            </w:r>
            <w:r>
              <w:rPr>
                <w:rFonts w:cs="Calibri"/>
                <w:b/>
                <w:sz w:val="21"/>
                <w:szCs w:val="21"/>
              </w:rPr>
              <w:t xml:space="preserve">. Rozmieszczenie </w:t>
            </w:r>
            <w:r w:rsidR="00E85BF5">
              <w:rPr>
                <w:rFonts w:cs="Calibri"/>
                <w:b/>
                <w:sz w:val="21"/>
                <w:szCs w:val="21"/>
              </w:rPr>
              <w:t xml:space="preserve">przedsiębiorstw wykorzystujących </w:t>
            </w:r>
            <w:r>
              <w:rPr>
                <w:rFonts w:cs="Calibri"/>
                <w:b/>
                <w:sz w:val="21"/>
                <w:szCs w:val="21"/>
              </w:rPr>
              <w:t>robot</w:t>
            </w:r>
            <w:r w:rsidR="00E85BF5">
              <w:rPr>
                <w:rFonts w:cs="Calibri"/>
                <w:b/>
                <w:sz w:val="21"/>
                <w:szCs w:val="21"/>
              </w:rPr>
              <w:t>y</w:t>
            </w:r>
            <w:r w:rsidR="006343E1">
              <w:rPr>
                <w:rFonts w:cs="Calibri"/>
                <w:b/>
                <w:sz w:val="21"/>
                <w:szCs w:val="21"/>
              </w:rPr>
              <w:t xml:space="preserve"> w </w:t>
            </w:r>
            <w:r>
              <w:rPr>
                <w:rFonts w:cs="Calibri"/>
                <w:b/>
                <w:sz w:val="21"/>
                <w:szCs w:val="21"/>
              </w:rPr>
              <w:t xml:space="preserve">branżach przetwórstwa przemysłowego </w:t>
            </w:r>
            <w:r w:rsidR="006343E1">
              <w:rPr>
                <w:rFonts w:cs="Calibri"/>
                <w:b/>
                <w:sz w:val="21"/>
                <w:szCs w:val="21"/>
              </w:rPr>
              <w:t xml:space="preserve"> w </w:t>
            </w:r>
            <w:r>
              <w:rPr>
                <w:rFonts w:cs="Calibri"/>
                <w:b/>
                <w:sz w:val="21"/>
                <w:szCs w:val="21"/>
              </w:rPr>
              <w:t>2018 r.</w:t>
            </w:r>
          </w:p>
          <w:p w14:paraId="583E9E1B" w14:textId="4986025B" w:rsidR="00B620BC" w:rsidRDefault="00B620BC" w:rsidP="00E85BF5">
            <w:pPr>
              <w:widowControl w:val="0"/>
              <w:spacing w:after="0" w:line="240" w:lineRule="auto"/>
            </w:pPr>
          </w:p>
        </w:tc>
      </w:tr>
      <w:tr w:rsidR="00B620BC" w14:paraId="6C9BAA73" w14:textId="77777777" w:rsidTr="00EF36FC">
        <w:tc>
          <w:tcPr>
            <w:tcW w:w="9072" w:type="dxa"/>
            <w:shd w:val="clear" w:color="auto" w:fill="auto"/>
          </w:tcPr>
          <w:p w14:paraId="585BEDDF" w14:textId="2DD4620D" w:rsidR="00B620BC" w:rsidRDefault="00D90BFB" w:rsidP="00EF36FC">
            <w:pPr>
              <w:widowControl w:val="0"/>
              <w:spacing w:after="0" w:line="240" w:lineRule="auto"/>
              <w:rPr>
                <w:rFonts w:cs="Calibri"/>
                <w:color w:val="17365D"/>
                <w:sz w:val="21"/>
                <w:szCs w:val="21"/>
              </w:rPr>
            </w:pPr>
            <w:r>
              <w:rPr>
                <w:noProof/>
                <w:lang w:eastAsia="pl-PL"/>
              </w:rPr>
              <w:lastRenderedPageBreak/>
              <w:drawing>
                <wp:inline distT="0" distB="0" distL="0" distR="0" wp14:anchorId="3422AE9D" wp14:editId="1BAF441A">
                  <wp:extent cx="4404995" cy="2607945"/>
                  <wp:effectExtent l="0" t="0" r="0" b="1905"/>
                  <wp:docPr id="429" name="Obraz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87">
                            <a:extLst>
                              <a:ext uri="{28A0092B-C50C-407E-A947-70E740481C1C}">
                                <a14:useLocalDpi xmlns:a14="http://schemas.microsoft.com/office/drawing/2010/main" val="0"/>
                              </a:ext>
                            </a:extLst>
                          </a:blip>
                          <a:srcRect l="-14" t="-23" r="-14" b="-23"/>
                          <a:stretch>
                            <a:fillRect/>
                          </a:stretch>
                        </pic:blipFill>
                        <pic:spPr bwMode="auto">
                          <a:xfrm>
                            <a:off x="0" y="0"/>
                            <a:ext cx="4404995" cy="2607945"/>
                          </a:xfrm>
                          <a:prstGeom prst="rect">
                            <a:avLst/>
                          </a:prstGeom>
                          <a:solidFill>
                            <a:srgbClr val="FFFFFF"/>
                          </a:solidFill>
                          <a:ln>
                            <a:noFill/>
                          </a:ln>
                        </pic:spPr>
                      </pic:pic>
                    </a:graphicData>
                  </a:graphic>
                </wp:inline>
              </w:drawing>
            </w:r>
          </w:p>
          <w:p w14:paraId="59C16DBC" w14:textId="77777777" w:rsidR="00B620BC" w:rsidRDefault="00B620BC" w:rsidP="00EF36FC">
            <w:pPr>
              <w:widowControl w:val="0"/>
              <w:spacing w:after="0" w:line="240" w:lineRule="auto"/>
              <w:jc w:val="center"/>
              <w:rPr>
                <w:rFonts w:cs="Calibri"/>
                <w:color w:val="17365D"/>
                <w:sz w:val="21"/>
                <w:szCs w:val="21"/>
              </w:rPr>
            </w:pPr>
          </w:p>
        </w:tc>
      </w:tr>
      <w:tr w:rsidR="00B620BC" w14:paraId="7626CBEB" w14:textId="77777777" w:rsidTr="00EF36FC">
        <w:tc>
          <w:tcPr>
            <w:tcW w:w="9072" w:type="dxa"/>
            <w:shd w:val="clear" w:color="auto" w:fill="auto"/>
          </w:tcPr>
          <w:p w14:paraId="2AE6DFDC" w14:textId="77777777" w:rsidR="00B620BC" w:rsidRDefault="00B620BC" w:rsidP="00EF36FC">
            <w:pPr>
              <w:pStyle w:val="Bezodstpw2"/>
              <w:widowControl w:val="0"/>
            </w:pPr>
            <w:r>
              <w:t>Źródło: GUS (2018b)</w:t>
            </w:r>
          </w:p>
        </w:tc>
      </w:tr>
    </w:tbl>
    <w:p w14:paraId="696673C9" w14:textId="5DEB758D" w:rsidR="00FC6E8F" w:rsidRDefault="00B620BC" w:rsidP="00B620BC">
      <w:r>
        <w:t>Jeśli chodzi</w:t>
      </w:r>
      <w:r w:rsidR="006343E1">
        <w:t xml:space="preserve"> o </w:t>
      </w:r>
      <w:r>
        <w:t>wymiar terytorialny upowszechnienia IT</w:t>
      </w:r>
      <w:r w:rsidR="006343E1">
        <w:t xml:space="preserve"> w </w:t>
      </w:r>
      <w:r>
        <w:t xml:space="preserve">gospodarce, to </w:t>
      </w:r>
      <w:r w:rsidR="002228BB">
        <w:t xml:space="preserve">są </w:t>
      </w:r>
      <w:r>
        <w:t>zauważalne dość istotne zróżnicowania, nawet</w:t>
      </w:r>
      <w:r w:rsidR="006343E1">
        <w:t xml:space="preserve"> w </w:t>
      </w:r>
      <w:r>
        <w:t xml:space="preserve">przypadku wydawałoby się tak podstawowego wskaźnika jak odsetek przedsiębiorstw (zatrudniających powyżej 9 osób) </w:t>
      </w:r>
      <w:r w:rsidR="002228BB">
        <w:t>m</w:t>
      </w:r>
      <w:r>
        <w:t>ających stronę internetową.</w:t>
      </w:r>
      <w:r w:rsidR="006343E1">
        <w:t xml:space="preserve"> W </w:t>
      </w:r>
      <w:r>
        <w:t>2020 r. wahał się on od 62,6%</w:t>
      </w:r>
      <w:r w:rsidR="006343E1">
        <w:t xml:space="preserve"> w </w:t>
      </w:r>
      <w:r>
        <w:t>woj. warmińsko-mazurskim do 76%</w:t>
      </w:r>
      <w:r w:rsidR="006343E1">
        <w:t xml:space="preserve"> w </w:t>
      </w:r>
      <w:r>
        <w:t>woj. mazowieckim. Średnią dla Polski (71,3%) należy uznać za relatywnie niską na tle unijnym.</w:t>
      </w:r>
    </w:p>
    <w:tbl>
      <w:tblPr>
        <w:tblW w:w="0" w:type="auto"/>
        <w:tblInd w:w="216" w:type="dxa"/>
        <w:tblLayout w:type="fixed"/>
        <w:tblLook w:val="0000" w:firstRow="0" w:lastRow="0" w:firstColumn="0" w:lastColumn="0" w:noHBand="0" w:noVBand="0"/>
      </w:tblPr>
      <w:tblGrid>
        <w:gridCol w:w="8557"/>
      </w:tblGrid>
      <w:tr w:rsidR="00B620BC" w14:paraId="76B3C37B" w14:textId="77777777" w:rsidTr="00EF36FC">
        <w:trPr>
          <w:trHeight w:val="333"/>
        </w:trPr>
        <w:tc>
          <w:tcPr>
            <w:tcW w:w="8557" w:type="dxa"/>
            <w:shd w:val="clear" w:color="auto" w:fill="auto"/>
          </w:tcPr>
          <w:p w14:paraId="7D6DC1E1" w14:textId="3BDBAA27" w:rsidR="00B620BC" w:rsidRDefault="00B620BC" w:rsidP="00FC6E8F">
            <w:pPr>
              <w:widowControl w:val="0"/>
              <w:spacing w:after="0" w:line="240" w:lineRule="auto"/>
            </w:pPr>
            <w:r>
              <w:rPr>
                <w:rFonts w:cs="Calibri"/>
                <w:b/>
                <w:sz w:val="21"/>
                <w:szCs w:val="21"/>
              </w:rPr>
              <w:t xml:space="preserve">Wykres </w:t>
            </w:r>
            <w:r w:rsidR="00332B11">
              <w:rPr>
                <w:rFonts w:cs="Calibri"/>
                <w:b/>
                <w:sz w:val="21"/>
                <w:szCs w:val="21"/>
              </w:rPr>
              <w:t>5</w:t>
            </w:r>
            <w:r w:rsidR="00FC6E8F">
              <w:rPr>
                <w:rFonts w:cs="Calibri"/>
                <w:b/>
                <w:sz w:val="21"/>
                <w:szCs w:val="21"/>
              </w:rPr>
              <w:t>3</w:t>
            </w:r>
            <w:r>
              <w:rPr>
                <w:rFonts w:cs="Calibri"/>
                <w:b/>
                <w:sz w:val="21"/>
                <w:szCs w:val="21"/>
              </w:rPr>
              <w:t xml:space="preserve">. Przedsiębiorstwa </w:t>
            </w:r>
            <w:r w:rsidR="002228BB">
              <w:rPr>
                <w:rFonts w:cs="Calibri"/>
                <w:b/>
                <w:sz w:val="21"/>
                <w:szCs w:val="21"/>
              </w:rPr>
              <w:t>m</w:t>
            </w:r>
            <w:r>
              <w:rPr>
                <w:rFonts w:cs="Calibri"/>
                <w:b/>
                <w:sz w:val="21"/>
                <w:szCs w:val="21"/>
              </w:rPr>
              <w:t>ające stronę internetową</w:t>
            </w:r>
            <w:r w:rsidR="006343E1">
              <w:rPr>
                <w:rFonts w:cs="Calibri"/>
                <w:b/>
                <w:sz w:val="21"/>
                <w:szCs w:val="21"/>
              </w:rPr>
              <w:t xml:space="preserve"> w </w:t>
            </w:r>
            <w:r>
              <w:rPr>
                <w:rFonts w:cs="Calibri"/>
                <w:b/>
                <w:sz w:val="21"/>
                <w:szCs w:val="21"/>
              </w:rPr>
              <w:t>2020 r. (%)</w:t>
            </w:r>
          </w:p>
        </w:tc>
      </w:tr>
      <w:tr w:rsidR="00B620BC" w14:paraId="03FB0A64" w14:textId="77777777" w:rsidTr="00EF36FC">
        <w:trPr>
          <w:trHeight w:val="3724"/>
        </w:trPr>
        <w:tc>
          <w:tcPr>
            <w:tcW w:w="8557" w:type="dxa"/>
            <w:shd w:val="clear" w:color="auto" w:fill="auto"/>
          </w:tcPr>
          <w:p w14:paraId="695F3181" w14:textId="2E6BDBF3" w:rsidR="00B620BC" w:rsidRDefault="00B620BC" w:rsidP="00EF36FC">
            <w:pPr>
              <w:widowControl w:val="0"/>
              <w:snapToGrid w:val="0"/>
              <w:spacing w:after="0" w:line="240" w:lineRule="auto"/>
            </w:pPr>
            <w:r>
              <w:rPr>
                <w:noProof/>
                <w:lang w:eastAsia="pl-PL"/>
              </w:rPr>
              <w:drawing>
                <wp:anchor distT="0" distB="0" distL="0" distR="0" simplePos="0" relativeHeight="251659776" behindDoc="0" locked="0" layoutInCell="1" allowOverlap="1" wp14:anchorId="1F9F215C" wp14:editId="1299B971">
                  <wp:simplePos x="0" y="0"/>
                  <wp:positionH relativeFrom="column">
                    <wp:align>center</wp:align>
                  </wp:positionH>
                  <wp:positionV relativeFrom="paragraph">
                    <wp:align>top</wp:align>
                  </wp:positionV>
                  <wp:extent cx="5295265" cy="2264410"/>
                  <wp:effectExtent l="0" t="0" r="635" b="2540"/>
                  <wp:wrapSquare wrapText="largest"/>
                  <wp:docPr id="238" name="Obraz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8">
                            <a:extLst>
                              <a:ext uri="{28A0092B-C50C-407E-A947-70E740481C1C}">
                                <a14:useLocalDpi xmlns:a14="http://schemas.microsoft.com/office/drawing/2010/main" val="0"/>
                              </a:ext>
                            </a:extLst>
                          </a:blip>
                          <a:srcRect l="-6" t="-17" r="-6" b="-17"/>
                          <a:stretch>
                            <a:fillRect/>
                          </a:stretch>
                        </pic:blipFill>
                        <pic:spPr bwMode="auto">
                          <a:xfrm>
                            <a:off x="0" y="0"/>
                            <a:ext cx="5295265" cy="22644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r w:rsidR="00B620BC" w14:paraId="7EED23C5" w14:textId="77777777" w:rsidTr="00EF36FC">
        <w:trPr>
          <w:trHeight w:val="247"/>
        </w:trPr>
        <w:tc>
          <w:tcPr>
            <w:tcW w:w="8557" w:type="dxa"/>
            <w:shd w:val="clear" w:color="auto" w:fill="auto"/>
          </w:tcPr>
          <w:p w14:paraId="50CA60B7" w14:textId="06488E47" w:rsidR="00B620BC" w:rsidRPr="00CB07D4" w:rsidRDefault="00B620BC" w:rsidP="00EF36FC">
            <w:pPr>
              <w:pStyle w:val="Bezodstpw2"/>
              <w:widowControl w:val="0"/>
              <w:rPr>
                <w:rFonts w:ascii="Arial Narrow" w:hAnsi="Arial Narrow"/>
                <w:sz w:val="20"/>
              </w:rPr>
            </w:pPr>
            <w:r w:rsidRPr="00CB07D4">
              <w:rPr>
                <w:rFonts w:ascii="Arial Narrow" w:hAnsi="Arial Narrow"/>
                <w:sz w:val="20"/>
              </w:rPr>
              <w:t>Źródło: GUS (2020c)</w:t>
            </w:r>
          </w:p>
        </w:tc>
      </w:tr>
    </w:tbl>
    <w:p w14:paraId="6A822DDB" w14:textId="56959687" w:rsidR="00B620BC" w:rsidRDefault="00B620BC" w:rsidP="00B620BC">
      <w:r>
        <w:t xml:space="preserve">W zdecydowanej większości przypadków są to strony statyczne, tj. pozbawione interaktywnych funkcji jak personalizacja pod kątem indywidualnych potrzeb stałych użytkowników, możliwość zamówienia produktu według własnej specyfikacji czy możliwość zamówienia lub rezerwacji on-line (tzw. koszyk). Tę ostatnią funkcjonalność </w:t>
      </w:r>
      <w:r w:rsidR="002228BB">
        <w:lastRenderedPageBreak/>
        <w:t>mi</w:t>
      </w:r>
      <w:r>
        <w:t>ało na swojej stronie 13% krajowych firm niefinansowych (łącznie małych, średnich</w:t>
      </w:r>
      <w:r w:rsidR="006343E1">
        <w:t xml:space="preserve"> i </w:t>
      </w:r>
      <w:r>
        <w:t>dużych), przy czym wartość wskaźnika kształtowała się od 7,8%</w:t>
      </w:r>
      <w:r w:rsidR="006343E1">
        <w:t xml:space="preserve"> w </w:t>
      </w:r>
      <w:r>
        <w:t>woj</w:t>
      </w:r>
      <w:r w:rsidR="002228BB">
        <w:t>ewództwie</w:t>
      </w:r>
      <w:r>
        <w:t xml:space="preserve"> lubuskim do 17%</w:t>
      </w:r>
      <w:r w:rsidR="006343E1">
        <w:t xml:space="preserve"> w </w:t>
      </w:r>
      <w:r>
        <w:t>woj</w:t>
      </w:r>
      <w:r w:rsidR="002228BB">
        <w:t>ewództwie</w:t>
      </w:r>
      <w:r>
        <w:t xml:space="preserve"> mazowieckim.</w:t>
      </w:r>
    </w:p>
    <w:tbl>
      <w:tblPr>
        <w:tblW w:w="0" w:type="auto"/>
        <w:tblInd w:w="216" w:type="dxa"/>
        <w:tblLayout w:type="fixed"/>
        <w:tblLook w:val="0000" w:firstRow="0" w:lastRow="0" w:firstColumn="0" w:lastColumn="0" w:noHBand="0" w:noVBand="0"/>
      </w:tblPr>
      <w:tblGrid>
        <w:gridCol w:w="9010"/>
      </w:tblGrid>
      <w:tr w:rsidR="00B620BC" w14:paraId="14326450" w14:textId="77777777" w:rsidTr="00EF36FC">
        <w:trPr>
          <w:trHeight w:val="273"/>
        </w:trPr>
        <w:tc>
          <w:tcPr>
            <w:tcW w:w="9010" w:type="dxa"/>
            <w:shd w:val="clear" w:color="auto" w:fill="auto"/>
          </w:tcPr>
          <w:p w14:paraId="1F261CFA" w14:textId="6CA6BDB3" w:rsidR="00B620BC" w:rsidRPr="00AF2A9A" w:rsidRDefault="00B620BC" w:rsidP="00FC6E8F">
            <w:pPr>
              <w:widowControl w:val="0"/>
              <w:spacing w:after="0" w:line="240" w:lineRule="auto"/>
              <w:ind w:left="1094" w:hanging="992"/>
              <w:rPr>
                <w:rFonts w:cs="Calibri"/>
                <w:b/>
                <w:sz w:val="21"/>
                <w:szCs w:val="21"/>
              </w:rPr>
            </w:pPr>
            <w:r>
              <w:rPr>
                <w:rFonts w:cs="Calibri"/>
                <w:b/>
                <w:sz w:val="21"/>
                <w:szCs w:val="21"/>
              </w:rPr>
              <w:t xml:space="preserve">Wykres </w:t>
            </w:r>
            <w:r w:rsidR="00332B11">
              <w:rPr>
                <w:rFonts w:cs="Calibri"/>
                <w:b/>
                <w:sz w:val="21"/>
                <w:szCs w:val="21"/>
              </w:rPr>
              <w:t>5</w:t>
            </w:r>
            <w:r w:rsidR="00FC6E8F">
              <w:rPr>
                <w:rFonts w:cs="Calibri"/>
                <w:b/>
                <w:sz w:val="21"/>
                <w:szCs w:val="21"/>
              </w:rPr>
              <w:t>4</w:t>
            </w:r>
            <w:r>
              <w:rPr>
                <w:rFonts w:cs="Calibri"/>
                <w:b/>
                <w:sz w:val="21"/>
                <w:szCs w:val="21"/>
              </w:rPr>
              <w:t xml:space="preserve">. Przedsiębiorstwa </w:t>
            </w:r>
            <w:r w:rsidR="002228BB">
              <w:rPr>
                <w:rFonts w:cs="Calibri"/>
                <w:b/>
                <w:sz w:val="21"/>
                <w:szCs w:val="21"/>
              </w:rPr>
              <w:t>m</w:t>
            </w:r>
            <w:r>
              <w:rPr>
                <w:rFonts w:cs="Calibri"/>
                <w:b/>
                <w:sz w:val="21"/>
                <w:szCs w:val="21"/>
              </w:rPr>
              <w:t>ające stronę internetową</w:t>
            </w:r>
            <w:r w:rsidR="006343E1">
              <w:rPr>
                <w:rFonts w:cs="Calibri"/>
                <w:b/>
                <w:sz w:val="21"/>
                <w:szCs w:val="21"/>
              </w:rPr>
              <w:t xml:space="preserve"> z </w:t>
            </w:r>
            <w:r>
              <w:rPr>
                <w:rFonts w:cs="Calibri"/>
                <w:b/>
                <w:sz w:val="21"/>
                <w:szCs w:val="21"/>
              </w:rPr>
              <w:t>funkcją zamawiania lub rezerwacji on-line tzw.</w:t>
            </w:r>
            <w:r w:rsidR="002228BB">
              <w:rPr>
                <w:rFonts w:cs="Calibri"/>
                <w:b/>
                <w:sz w:val="21"/>
                <w:szCs w:val="21"/>
              </w:rPr>
              <w:t> </w:t>
            </w:r>
            <w:r>
              <w:rPr>
                <w:rFonts w:cs="Calibri"/>
                <w:b/>
                <w:sz w:val="21"/>
                <w:szCs w:val="21"/>
              </w:rPr>
              <w:t xml:space="preserve">koszyka </w:t>
            </w:r>
            <w:r w:rsidR="006343E1">
              <w:rPr>
                <w:rFonts w:cs="Calibri"/>
                <w:b/>
                <w:sz w:val="21"/>
                <w:szCs w:val="21"/>
              </w:rPr>
              <w:t xml:space="preserve"> w </w:t>
            </w:r>
            <w:r>
              <w:rPr>
                <w:rFonts w:cs="Calibri"/>
                <w:b/>
                <w:sz w:val="21"/>
                <w:szCs w:val="21"/>
              </w:rPr>
              <w:t>2020 r. (%)</w:t>
            </w:r>
          </w:p>
        </w:tc>
      </w:tr>
      <w:tr w:rsidR="00B620BC" w14:paraId="4733C419" w14:textId="77777777" w:rsidTr="00ED7916">
        <w:trPr>
          <w:trHeight w:val="3390"/>
        </w:trPr>
        <w:tc>
          <w:tcPr>
            <w:tcW w:w="9010" w:type="dxa"/>
            <w:shd w:val="clear" w:color="auto" w:fill="auto"/>
          </w:tcPr>
          <w:p w14:paraId="6C3EFB18" w14:textId="6CEE5C07" w:rsidR="00B620BC" w:rsidRPr="00CB07D4" w:rsidRDefault="00E60A8D" w:rsidP="00EF36FC">
            <w:pPr>
              <w:widowControl w:val="0"/>
              <w:snapToGrid w:val="0"/>
              <w:spacing w:after="0" w:line="240" w:lineRule="auto"/>
              <w:rPr>
                <w:i/>
                <w:sz w:val="20"/>
              </w:rPr>
            </w:pPr>
            <w:r w:rsidRPr="00CB07D4">
              <w:rPr>
                <w:i/>
                <w:sz w:val="20"/>
              </w:rPr>
              <w:t>Źródło: GUS (2020c)</w:t>
            </w:r>
            <w:r w:rsidR="00B620BC" w:rsidRPr="00CB07D4">
              <w:rPr>
                <w:i/>
                <w:noProof/>
                <w:sz w:val="20"/>
                <w:lang w:eastAsia="pl-PL"/>
              </w:rPr>
              <w:drawing>
                <wp:anchor distT="0" distB="0" distL="0" distR="0" simplePos="0" relativeHeight="251660800" behindDoc="0" locked="0" layoutInCell="1" allowOverlap="1" wp14:anchorId="36CF8D88" wp14:editId="6FA2EE85">
                  <wp:simplePos x="0" y="0"/>
                  <wp:positionH relativeFrom="column">
                    <wp:posOffset>17145</wp:posOffset>
                  </wp:positionH>
                  <wp:positionV relativeFrom="paragraph">
                    <wp:posOffset>2540</wp:posOffset>
                  </wp:positionV>
                  <wp:extent cx="5524500" cy="1898650"/>
                  <wp:effectExtent l="0" t="0" r="0" b="6350"/>
                  <wp:wrapSquare wrapText="largest"/>
                  <wp:docPr id="237" name="Obraz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9">
                            <a:extLst>
                              <a:ext uri="{28A0092B-C50C-407E-A947-70E740481C1C}">
                                <a14:useLocalDpi xmlns:a14="http://schemas.microsoft.com/office/drawing/2010/main" val="0"/>
                              </a:ext>
                            </a:extLst>
                          </a:blip>
                          <a:srcRect l="-6" t="-17" r="-6" b="-17"/>
                          <a:stretch>
                            <a:fillRect/>
                          </a:stretch>
                        </pic:blipFill>
                        <pic:spPr bwMode="auto">
                          <a:xfrm>
                            <a:off x="0" y="0"/>
                            <a:ext cx="5524500" cy="18986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bl>
    <w:p w14:paraId="5DB088DE" w14:textId="7918BD33" w:rsidR="00B620BC" w:rsidRDefault="00B620BC" w:rsidP="00B620BC">
      <w:r>
        <w:t>W 2019 r. media społecznościowe wykorzystywał</w:t>
      </w:r>
      <w:r w:rsidR="002228BB">
        <w:t>y</w:t>
      </w:r>
      <w:r>
        <w:t xml:space="preserve"> 35,4% przedsiębiorstw</w:t>
      </w:r>
      <w:r w:rsidR="006343E1">
        <w:t xml:space="preserve"> w </w:t>
      </w:r>
      <w:r>
        <w:t xml:space="preserve">Polsce. Najwięcej, bo </w:t>
      </w:r>
      <w:r w:rsidR="00B9444F">
        <w:t>44,1</w:t>
      </w:r>
      <w:r>
        <w:t>% w woj</w:t>
      </w:r>
      <w:r w:rsidR="002228BB">
        <w:t>ewództwie</w:t>
      </w:r>
      <w:r>
        <w:t xml:space="preserve"> maz</w:t>
      </w:r>
      <w:r w:rsidR="00B9444F">
        <w:t>owieckiem, najmniej – 26,6</w:t>
      </w:r>
      <w:r>
        <w:t>%</w:t>
      </w:r>
      <w:r w:rsidR="006343E1">
        <w:t xml:space="preserve"> w </w:t>
      </w:r>
      <w:r>
        <w:t>województwie świętokrzyskim. Jak już wskazano,</w:t>
      </w:r>
      <w:r w:rsidR="006343E1">
        <w:t xml:space="preserve"> w </w:t>
      </w:r>
      <w:r>
        <w:t xml:space="preserve">ramach unijnego wskaźnika DESI aspekt wykorzystywania mediów społecznościowych porównywany jest nieco ambitniej – tj. poprzez badanie odsetka przedsiębiorstw, które wykorzystywały dwa </w:t>
      </w:r>
      <w:r w:rsidR="002228BB">
        <w:t>rodzaje</w:t>
      </w:r>
      <w:r>
        <w:t xml:space="preserve"> lub więcej rodzajów mediów społecznościowych. Przy tak zdefiniowanym wskaźniku wykorzystywania </w:t>
      </w:r>
      <w:r w:rsidRPr="00E60A8D">
        <w:rPr>
          <w:i/>
          <w:iCs/>
        </w:rPr>
        <w:t>social media</w:t>
      </w:r>
      <w:r>
        <w:t xml:space="preserve"> Polska z wartością </w:t>
      </w:r>
      <w:r w:rsidR="00B9444F">
        <w:t>14,1</w:t>
      </w:r>
      <w:r>
        <w:t>%</w:t>
      </w:r>
      <w:r w:rsidR="006343E1">
        <w:t xml:space="preserve"> w </w:t>
      </w:r>
      <w:r>
        <w:t>2019</w:t>
      </w:r>
      <w:r w:rsidR="002228BB">
        <w:t xml:space="preserve"> r.</w:t>
      </w:r>
      <w:r>
        <w:t xml:space="preserve"> uzyskała trzeci najniższy wynik</w:t>
      </w:r>
      <w:r w:rsidR="006343E1">
        <w:t xml:space="preserve"> w </w:t>
      </w:r>
      <w:r>
        <w:t>UE,</w:t>
      </w:r>
      <w:r w:rsidR="006343E1">
        <w:t xml:space="preserve"> w </w:t>
      </w:r>
      <w:r>
        <w:t>znacz</w:t>
      </w:r>
      <w:r w:rsidR="00B9444F">
        <w:t>nej odległości od średniej EU-27</w:t>
      </w:r>
      <w:r>
        <w:t xml:space="preserve"> wynoszącej 2</w:t>
      </w:r>
      <w:r w:rsidR="00B9444F">
        <w:t>3</w:t>
      </w:r>
      <w:r>
        <w:t>%.</w:t>
      </w:r>
    </w:p>
    <w:tbl>
      <w:tblPr>
        <w:tblW w:w="0" w:type="auto"/>
        <w:tblInd w:w="216" w:type="dxa"/>
        <w:tblLayout w:type="fixed"/>
        <w:tblLook w:val="0000" w:firstRow="0" w:lastRow="0" w:firstColumn="0" w:lastColumn="0" w:noHBand="0" w:noVBand="0"/>
      </w:tblPr>
      <w:tblGrid>
        <w:gridCol w:w="8964"/>
      </w:tblGrid>
      <w:tr w:rsidR="00B620BC" w14:paraId="31260643" w14:textId="77777777" w:rsidTr="00EF36FC">
        <w:trPr>
          <w:trHeight w:val="270"/>
        </w:trPr>
        <w:tc>
          <w:tcPr>
            <w:tcW w:w="8964" w:type="dxa"/>
            <w:shd w:val="clear" w:color="auto" w:fill="auto"/>
          </w:tcPr>
          <w:p w14:paraId="587F928D" w14:textId="4C0823FA" w:rsidR="00B620BC" w:rsidRDefault="00332B11" w:rsidP="00FC6E8F">
            <w:pPr>
              <w:widowControl w:val="0"/>
              <w:spacing w:after="0" w:line="240" w:lineRule="auto"/>
            </w:pPr>
            <w:r>
              <w:rPr>
                <w:rFonts w:cs="Calibri"/>
                <w:b/>
                <w:sz w:val="21"/>
                <w:szCs w:val="21"/>
              </w:rPr>
              <w:t>Wykres 5</w:t>
            </w:r>
            <w:r w:rsidR="00FC6E8F">
              <w:rPr>
                <w:rFonts w:cs="Calibri"/>
                <w:b/>
                <w:sz w:val="21"/>
                <w:szCs w:val="21"/>
              </w:rPr>
              <w:t>5</w:t>
            </w:r>
            <w:r w:rsidR="00B620BC">
              <w:rPr>
                <w:rFonts w:cs="Calibri"/>
                <w:b/>
                <w:sz w:val="21"/>
                <w:szCs w:val="21"/>
              </w:rPr>
              <w:t>. Odsetek przedsiębiorstw wykorzystujących media społecznościowe</w:t>
            </w:r>
            <w:r w:rsidR="006343E1">
              <w:rPr>
                <w:rFonts w:cs="Calibri"/>
                <w:b/>
                <w:sz w:val="21"/>
                <w:szCs w:val="21"/>
              </w:rPr>
              <w:t xml:space="preserve"> w </w:t>
            </w:r>
            <w:r w:rsidR="00B620BC">
              <w:rPr>
                <w:rFonts w:cs="Calibri"/>
                <w:b/>
                <w:sz w:val="21"/>
                <w:szCs w:val="21"/>
              </w:rPr>
              <w:t>2019 r. (%)</w:t>
            </w:r>
          </w:p>
        </w:tc>
      </w:tr>
      <w:tr w:rsidR="00B620BC" w14:paraId="79C1F4AF" w14:textId="77777777" w:rsidTr="00EF36FC">
        <w:trPr>
          <w:trHeight w:val="3723"/>
        </w:trPr>
        <w:tc>
          <w:tcPr>
            <w:tcW w:w="8964" w:type="dxa"/>
            <w:shd w:val="clear" w:color="auto" w:fill="auto"/>
          </w:tcPr>
          <w:p w14:paraId="1ACB066B" w14:textId="2A2E463F" w:rsidR="00B620BC" w:rsidRPr="00CB07D4" w:rsidRDefault="00E60A8D" w:rsidP="00EF36FC">
            <w:pPr>
              <w:widowControl w:val="0"/>
              <w:spacing w:after="0" w:line="240" w:lineRule="auto"/>
              <w:rPr>
                <w:i/>
                <w:sz w:val="20"/>
              </w:rPr>
            </w:pPr>
            <w:r w:rsidRPr="00CB07D4">
              <w:rPr>
                <w:i/>
                <w:sz w:val="20"/>
              </w:rPr>
              <w:t>Źródło: GUS (2019)</w:t>
            </w:r>
            <w:r w:rsidR="00B620BC" w:rsidRPr="00CB07D4">
              <w:rPr>
                <w:i/>
                <w:noProof/>
                <w:sz w:val="20"/>
                <w:lang w:eastAsia="pl-PL"/>
              </w:rPr>
              <w:drawing>
                <wp:anchor distT="0" distB="0" distL="0" distR="0" simplePos="0" relativeHeight="251661824" behindDoc="0" locked="0" layoutInCell="1" allowOverlap="1" wp14:anchorId="53755C58" wp14:editId="5D6F232D">
                  <wp:simplePos x="0" y="0"/>
                  <wp:positionH relativeFrom="column">
                    <wp:align>center</wp:align>
                  </wp:positionH>
                  <wp:positionV relativeFrom="paragraph">
                    <wp:align>top</wp:align>
                  </wp:positionV>
                  <wp:extent cx="5554345" cy="2331085"/>
                  <wp:effectExtent l="0" t="0" r="8255" b="0"/>
                  <wp:wrapSquare wrapText="largest"/>
                  <wp:docPr id="236" name="Obraz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554345" cy="23310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bl>
    <w:p w14:paraId="508A9352" w14:textId="0908B5F4" w:rsidR="00B620BC" w:rsidRDefault="00B620BC" w:rsidP="00B620BC">
      <w:r>
        <w:t>Podsumowując tę część diagnozy</w:t>
      </w:r>
      <w:r w:rsidR="00044C5B">
        <w:t>,</w:t>
      </w:r>
      <w:r>
        <w:t xml:space="preserve"> należy podkreślić</w:t>
      </w:r>
      <w:r w:rsidR="00477C54">
        <w:t>, że </w:t>
      </w:r>
      <w:r w:rsidR="006343E1">
        <w:t>z </w:t>
      </w:r>
      <w:r>
        <w:t>dostępnych wskaźników wyłania się obraz niskiego poziomu cyfryzacji polskiej gospodarki na tle innych państw UE. Ponieważ cyfryzacja jest katalizatorem</w:t>
      </w:r>
      <w:r w:rsidR="006343E1">
        <w:t xml:space="preserve"> i </w:t>
      </w:r>
      <w:r>
        <w:t>warunkiem wzrostu wydajności pracy, taki stan rzeczy może stanowić barierę dla kontynuacji trendu poprawy produktywności polskiej gospodarki.</w:t>
      </w:r>
    </w:p>
    <w:p w14:paraId="6F428947" w14:textId="77777777" w:rsidR="00B620BC" w:rsidRDefault="00B620BC" w:rsidP="00A9445F">
      <w:pPr>
        <w:pStyle w:val="Nagwek2"/>
        <w:numPr>
          <w:ilvl w:val="1"/>
          <w:numId w:val="11"/>
        </w:numPr>
        <w:suppressAutoHyphens/>
      </w:pPr>
      <w:bookmarkStart w:id="114" w:name="_Toc511921186"/>
      <w:bookmarkStart w:id="115" w:name="_Toc31808518"/>
      <w:bookmarkStart w:id="116" w:name="_Toc106968802"/>
      <w:r>
        <w:t>Przedsiębiorstwa – podaż IT</w:t>
      </w:r>
      <w:bookmarkEnd w:id="114"/>
      <w:bookmarkEnd w:id="115"/>
      <w:bookmarkEnd w:id="116"/>
    </w:p>
    <w:p w14:paraId="6699567C" w14:textId="451F38F9" w:rsidR="00B620BC" w:rsidRDefault="00B620BC" w:rsidP="00B620BC">
      <w:r>
        <w:t xml:space="preserve">Technologie IT są powszechnie zaliczane do tzw. technologii powszechnego zastosowania (ang. </w:t>
      </w:r>
      <w:r w:rsidRPr="00CB07D4">
        <w:rPr>
          <w:i/>
        </w:rPr>
        <w:t>GPTs – General Purpose Technologies</w:t>
      </w:r>
      <w:r>
        <w:t>). Nie wnikając</w:t>
      </w:r>
      <w:r w:rsidR="006343E1">
        <w:t xml:space="preserve"> w </w:t>
      </w:r>
      <w:r>
        <w:t xml:space="preserve">kwestię poziomu ogólności, na jakim definiuje się informatyczne GPT (możliwe skrajności to IT jako jedna GPT oraz wszelkie „subtechnologie” jak sztuczna inteligencja, </w:t>
      </w:r>
      <w:r w:rsidRPr="00CB07D4">
        <w:rPr>
          <w:i/>
        </w:rPr>
        <w:lastRenderedPageBreak/>
        <w:t>blockchain</w:t>
      </w:r>
      <w:r>
        <w:t>, wirtualna/rozszerzona rzeczywistość itp. jako osobne GPT)</w:t>
      </w:r>
      <w:r w:rsidR="00044C5B">
        <w:t>,</w:t>
      </w:r>
      <w:r>
        <w:t xml:space="preserve"> to jednak nie ulega wątpliwości</w:t>
      </w:r>
      <w:r w:rsidR="00477C54">
        <w:t>, że </w:t>
      </w:r>
      <w:r>
        <w:t>ogólnie rzecz biorąc</w:t>
      </w:r>
      <w:r w:rsidR="00044C5B">
        <w:t>,</w:t>
      </w:r>
      <w:r>
        <w:t xml:space="preserve"> technologie IT spełniają następujące warunki:</w:t>
      </w:r>
    </w:p>
    <w:p w14:paraId="2397D041" w14:textId="4F167F4F" w:rsidR="00B620BC" w:rsidRDefault="00B620BC" w:rsidP="00A9445F">
      <w:pPr>
        <w:numPr>
          <w:ilvl w:val="0"/>
          <w:numId w:val="16"/>
        </w:numPr>
        <w:suppressAutoHyphens/>
      </w:pPr>
      <w:r>
        <w:t>mają szerokie zastosowanie</w:t>
      </w:r>
      <w:r w:rsidR="006343E1">
        <w:t xml:space="preserve"> w </w:t>
      </w:r>
      <w:r>
        <w:t>całej gospodarce,</w:t>
      </w:r>
    </w:p>
    <w:p w14:paraId="121D1519" w14:textId="59D9946D" w:rsidR="00B620BC" w:rsidRDefault="00B620BC" w:rsidP="00A9445F">
      <w:pPr>
        <w:numPr>
          <w:ilvl w:val="0"/>
          <w:numId w:val="16"/>
        </w:numPr>
        <w:suppressAutoHyphens/>
      </w:pPr>
      <w:r>
        <w:t>mają znaczny potencjał do poprawy</w:t>
      </w:r>
      <w:r w:rsidR="006343E1">
        <w:t xml:space="preserve"> w </w:t>
      </w:r>
      <w:r>
        <w:t>czasie zarówno pod względem jakości</w:t>
      </w:r>
      <w:r w:rsidR="00044C5B">
        <w:t>,</w:t>
      </w:r>
      <w:r>
        <w:t xml:space="preserve"> jak i efektywności wytwarzania, dzięki czemu klient ma dostęp do coraz lepszego produktu w coraz niższej cenie,</w:t>
      </w:r>
    </w:p>
    <w:p w14:paraId="00BF1E80" w14:textId="77764BAC" w:rsidR="00B620BC" w:rsidRDefault="00B620BC" w:rsidP="00A9445F">
      <w:pPr>
        <w:numPr>
          <w:ilvl w:val="0"/>
          <w:numId w:val="16"/>
        </w:numPr>
        <w:suppressAutoHyphens/>
      </w:pPr>
      <w:r>
        <w:t>stymulują innowacje poprzez ułatwianie wynajdowania</w:t>
      </w:r>
      <w:r w:rsidR="006343E1">
        <w:t xml:space="preserve"> i </w:t>
      </w:r>
      <w:r>
        <w:t>wdrażania nowych produktów lub procesów.</w:t>
      </w:r>
    </w:p>
    <w:p w14:paraId="3F01D3BD" w14:textId="51DFDA0A" w:rsidR="00B620BC" w:rsidRDefault="00B620BC" w:rsidP="00B620BC">
      <w:r>
        <w:t>GPT, do których najczęściej porównuje się IT</w:t>
      </w:r>
      <w:r w:rsidR="00044C5B">
        <w:t>,</w:t>
      </w:r>
      <w:r>
        <w:t xml:space="preserve"> to silnik parowy oraz elektryczność,</w:t>
      </w:r>
      <w:r w:rsidR="006343E1">
        <w:t xml:space="preserve"> a </w:t>
      </w:r>
      <w:r>
        <w:t>więc technologie napędzające pierwszą</w:t>
      </w:r>
      <w:r w:rsidR="006343E1">
        <w:t xml:space="preserve"> i </w:t>
      </w:r>
      <w:r>
        <w:t>drugą rewolucję przemysłową. Zgodnie</w:t>
      </w:r>
      <w:r w:rsidR="006343E1">
        <w:t xml:space="preserve"> z </w:t>
      </w:r>
      <w:r>
        <w:t>tą narracją IT odpowiada za trzecią (wprowadzenie komputerów</w:t>
      </w:r>
      <w:r w:rsidR="006343E1">
        <w:t xml:space="preserve"> i </w:t>
      </w:r>
      <w:r>
        <w:t>robotów) oraz czwartą (przemysł 4.0) rewolucję. Niewątpliwie beneficjentami wszystkich dotychczasowych fal przemian</w:t>
      </w:r>
      <w:r w:rsidR="006343E1">
        <w:t xml:space="preserve"> w </w:t>
      </w:r>
      <w:r>
        <w:t>największym stopniu okazywały się państwa, które najwcześniej upowszechniły kluczowe technologie, przy czym sukces tych państw zależał nie tylko od popytu</w:t>
      </w:r>
      <w:r w:rsidR="00044C5B">
        <w:t>,</w:t>
      </w:r>
      <w:r>
        <w:t xml:space="preserve"> ale</w:t>
      </w:r>
      <w:r w:rsidR="006343E1">
        <w:t xml:space="preserve"> w </w:t>
      </w:r>
      <w:r>
        <w:t>dużej mierze także od istnienia silnych</w:t>
      </w:r>
      <w:r w:rsidR="006343E1">
        <w:t xml:space="preserve"> i </w:t>
      </w:r>
      <w:r>
        <w:t>innowacyjnych krajowych dostawców tych technologii.</w:t>
      </w:r>
      <w:r w:rsidR="006343E1">
        <w:t xml:space="preserve"> W </w:t>
      </w:r>
      <w:r>
        <w:t>kontekście przemysłu 4.0 warto zwrócić uwagę</w:t>
      </w:r>
      <w:r w:rsidR="00477C54">
        <w:t>, że </w:t>
      </w:r>
      <w:r w:rsidR="006343E1">
        <w:t>w </w:t>
      </w:r>
      <w:r>
        <w:t>przypadku upowszechnienia się tej koncepcji</w:t>
      </w:r>
      <w:r w:rsidR="006343E1">
        <w:t xml:space="preserve"> w </w:t>
      </w:r>
      <w:r>
        <w:t>praktyce gospodarczej, niewątpliwymi zwycięzcami będą producenci robotów</w:t>
      </w:r>
      <w:r w:rsidR="006343E1">
        <w:t xml:space="preserve"> i </w:t>
      </w:r>
      <w:r>
        <w:t>cobotów</w:t>
      </w:r>
      <w:r w:rsidRPr="00CB07D4">
        <w:rPr>
          <w:rStyle w:val="Znakiprzypiswdolnych"/>
          <w:sz w:val="21"/>
          <w:vertAlign w:val="superscript"/>
        </w:rPr>
        <w:footnoteReference w:id="44"/>
      </w:r>
      <w:r>
        <w:t xml:space="preserve">, maszyn przemysłowych, drukarek 3D, czujników, systemów bazodanowych i  oprogramowania wspomagającego procesy biznesowe. Na europejskich rynkach finansowych jest już </w:t>
      </w:r>
      <w:r w:rsidR="00044C5B">
        <w:t>dostępny</w:t>
      </w:r>
      <w:r>
        <w:t xml:space="preserve"> certyfikat inwestycyjny bazujący na specjalistycznym indeksie Industry 4.0 Performance-Index, umożliwiający inwestowanie</w:t>
      </w:r>
      <w:r w:rsidR="006343E1">
        <w:t xml:space="preserve"> w </w:t>
      </w:r>
      <w:r>
        <w:t>dostawców rozwiązań dla przemysłu 4.0 i zapewne nie jest przypadkiem</w:t>
      </w:r>
      <w:r w:rsidR="00044C5B">
        <w:t>,</w:t>
      </w:r>
      <w:r>
        <w:t xml:space="preserve"> że</w:t>
      </w:r>
      <w:r w:rsidR="006343E1">
        <w:t xml:space="preserve"> w </w:t>
      </w:r>
      <w:r>
        <w:t>skład tego indeksu na etapie jego konstrukcji na 20 firm w koszyku znalazło się 7 firm</w:t>
      </w:r>
      <w:r w:rsidR="006343E1">
        <w:t xml:space="preserve"> z </w:t>
      </w:r>
      <w:r>
        <w:t>Niemiec – kraju,</w:t>
      </w:r>
      <w:r w:rsidR="006343E1">
        <w:t xml:space="preserve"> w </w:t>
      </w:r>
      <w:r>
        <w:t>którym narodziła się cała koncepcja</w:t>
      </w:r>
      <w:r w:rsidR="006343E1">
        <w:t xml:space="preserve"> i </w:t>
      </w:r>
      <w:r>
        <w:t>który najsilniej ją promuje</w:t>
      </w:r>
      <w:r w:rsidRPr="00CB07D4">
        <w:rPr>
          <w:rStyle w:val="Znakiprzypiswdolnych"/>
          <w:sz w:val="21"/>
          <w:vertAlign w:val="superscript"/>
        </w:rPr>
        <w:footnoteReference w:id="45"/>
      </w:r>
      <w:r>
        <w:t>. Stopień korzyści odniesionych przez Polskę</w:t>
      </w:r>
      <w:r w:rsidR="006343E1">
        <w:t xml:space="preserve"> z </w:t>
      </w:r>
      <w:r>
        <w:t>„czwartej rewolucji przemysłowej” niewątpliwie będzie zatem</w:t>
      </w:r>
      <w:r w:rsidR="006343E1">
        <w:t xml:space="preserve"> w </w:t>
      </w:r>
      <w:r>
        <w:t>dużej mierze zależał od tego,</w:t>
      </w:r>
      <w:r w:rsidR="006343E1">
        <w:t xml:space="preserve"> w </w:t>
      </w:r>
      <w:r>
        <w:t xml:space="preserve">jakim stopniu </w:t>
      </w:r>
      <w:r w:rsidR="00044C5B">
        <w:t>p</w:t>
      </w:r>
      <w:r>
        <w:t>olski sektor IT włączy się</w:t>
      </w:r>
      <w:r w:rsidR="006343E1">
        <w:t xml:space="preserve"> w </w:t>
      </w:r>
      <w:r>
        <w:t>po stronie podaży</w:t>
      </w:r>
      <w:r w:rsidR="006343E1">
        <w:t xml:space="preserve"> w </w:t>
      </w:r>
      <w:r>
        <w:t>tę falę zmian jako jej współtwórca.</w:t>
      </w:r>
    </w:p>
    <w:p w14:paraId="14B5EE1E" w14:textId="3B18FE32" w:rsidR="00ED7916" w:rsidRDefault="00B620BC" w:rsidP="00B620BC">
      <w:r>
        <w:t>W</w:t>
      </w:r>
      <w:r w:rsidR="00044C5B">
        <w:t>edłu</w:t>
      </w:r>
      <w:r>
        <w:t>g danych GUS (2018a)</w:t>
      </w:r>
      <w:r w:rsidR="006343E1">
        <w:t xml:space="preserve"> w </w:t>
      </w:r>
      <w:r>
        <w:t>201</w:t>
      </w:r>
      <w:r w:rsidR="007A3554">
        <w:t>7</w:t>
      </w:r>
      <w:r>
        <w:t xml:space="preserve"> r. sektor IT</w:t>
      </w:r>
      <w:r w:rsidR="006343E1">
        <w:t xml:space="preserve"> w </w:t>
      </w:r>
      <w:r>
        <w:t>Polsce stanowiło 2230 przedsiębiorstw, zatrudniających 236</w:t>
      </w:r>
      <w:r w:rsidR="00044C5B">
        <w:t> </w:t>
      </w:r>
      <w:r>
        <w:t>tys. pracowników i </w:t>
      </w:r>
      <w:r w:rsidRPr="00332B11">
        <w:t>generujących łącznie 4,9% przychodów ze sprzedaży uzyskanych przez wszystkie firmy produkcyjne i usługowe</w:t>
      </w:r>
      <w:r w:rsidR="006343E1" w:rsidRPr="00332B11">
        <w:t xml:space="preserve"> w </w:t>
      </w:r>
      <w:r w:rsidRPr="00332B11">
        <w:t>Polsce</w:t>
      </w:r>
      <w:r w:rsidRPr="00332B11">
        <w:rPr>
          <w:rStyle w:val="Znakiprzypiswdolnych"/>
          <w:sz w:val="21"/>
          <w:vertAlign w:val="superscript"/>
        </w:rPr>
        <w:footnoteReference w:id="46"/>
      </w:r>
      <w:r w:rsidRPr="00332B11">
        <w:t xml:space="preserve">. </w:t>
      </w:r>
      <w:r w:rsidRPr="00332B11">
        <w:fldChar w:fldCharType="begin"/>
      </w:r>
      <w:r w:rsidRPr="00332B11">
        <w:instrText xml:space="preserve"> REF _Ref516581335 \h </w:instrText>
      </w:r>
      <w:r w:rsidR="00D2560F" w:rsidRPr="00332B11">
        <w:instrText xml:space="preserve"> \* MERGEFORMAT </w:instrText>
      </w:r>
      <w:r w:rsidRPr="00332B11">
        <w:fldChar w:fldCharType="separate"/>
      </w:r>
      <w:r w:rsidR="007A3554" w:rsidRPr="00332B11">
        <w:t xml:space="preserve">Wykres </w:t>
      </w:r>
      <w:r w:rsidRPr="00332B11">
        <w:fldChar w:fldCharType="end"/>
      </w:r>
      <w:r w:rsidR="00332B11" w:rsidRPr="00332B11">
        <w:t>54</w:t>
      </w:r>
      <w:r w:rsidRPr="00332B11">
        <w:t xml:space="preserve"> pokazuje</w:t>
      </w:r>
      <w:r w:rsidR="00477C54">
        <w:t>, że </w:t>
      </w:r>
      <w:r>
        <w:t>jeśli chodzi</w:t>
      </w:r>
      <w:r w:rsidR="006343E1">
        <w:t xml:space="preserve"> o </w:t>
      </w:r>
      <w:r>
        <w:t>zatrudnienie, zdecydowanie przeważającą kategorią są usługi informatyczne,</w:t>
      </w:r>
      <w:r w:rsidR="006343E1">
        <w:t xml:space="preserve"> w </w:t>
      </w:r>
      <w:r>
        <w:t>których pracował</w:t>
      </w:r>
      <w:r w:rsidR="00044C5B">
        <w:t>o</w:t>
      </w:r>
      <w:r>
        <w:t xml:space="preserve"> ponad 141 tys. osób. W kategorii tej mieści się m.in. działalność</w:t>
      </w:r>
      <w:r w:rsidR="006343E1">
        <w:t xml:space="preserve"> w </w:t>
      </w:r>
      <w:r>
        <w:t>zakresie tworzenia oprogramowania. Pod względem przychodów również była to kategoria dominująca, jednak jej przewaga była znacznie mniejsza i druga</w:t>
      </w:r>
      <w:r w:rsidR="006343E1">
        <w:t xml:space="preserve"> w </w:t>
      </w:r>
      <w:r>
        <w:t>kolejności telekomunikacja niemal się</w:t>
      </w:r>
      <w:r w:rsidR="006343E1">
        <w:t xml:space="preserve"> z </w:t>
      </w:r>
      <w:r>
        <w:t>nią zrównała na poziomie ok. 28-procentowego udziału</w:t>
      </w:r>
      <w:r w:rsidR="006343E1">
        <w:t xml:space="preserve"> w </w:t>
      </w:r>
      <w:r>
        <w:t>całości przychodów sektora.</w:t>
      </w:r>
    </w:p>
    <w:p w14:paraId="48DC9204" w14:textId="77777777" w:rsidR="00ED7916" w:rsidRDefault="00ED7916">
      <w:pPr>
        <w:spacing w:before="0" w:after="0" w:line="240" w:lineRule="auto"/>
        <w:jc w:val="left"/>
      </w:pPr>
      <w:r>
        <w:br w:type="page"/>
      </w:r>
    </w:p>
    <w:p w14:paraId="7777698B" w14:textId="77777777" w:rsidR="00ED7916" w:rsidRDefault="00ED7916" w:rsidP="00B620BC"/>
    <w:tbl>
      <w:tblPr>
        <w:tblW w:w="0" w:type="auto"/>
        <w:tblInd w:w="216" w:type="dxa"/>
        <w:tblLayout w:type="fixed"/>
        <w:tblLook w:val="0000" w:firstRow="0" w:lastRow="0" w:firstColumn="0" w:lastColumn="0" w:noHBand="0" w:noVBand="0"/>
      </w:tblPr>
      <w:tblGrid>
        <w:gridCol w:w="8964"/>
      </w:tblGrid>
      <w:tr w:rsidR="00B620BC" w:rsidRPr="00332B11" w14:paraId="08046F89" w14:textId="77777777" w:rsidTr="00EF36FC">
        <w:tc>
          <w:tcPr>
            <w:tcW w:w="8964" w:type="dxa"/>
            <w:shd w:val="clear" w:color="auto" w:fill="auto"/>
          </w:tcPr>
          <w:p w14:paraId="55931E76" w14:textId="42EFB726" w:rsidR="00B620BC" w:rsidRPr="00ED7916" w:rsidRDefault="00B620BC" w:rsidP="00332B11">
            <w:pPr>
              <w:widowControl w:val="0"/>
              <w:spacing w:after="0" w:line="240" w:lineRule="auto"/>
              <w:rPr>
                <w:rFonts w:cs="Calibri"/>
                <w:b/>
                <w:sz w:val="21"/>
                <w:szCs w:val="21"/>
              </w:rPr>
            </w:pPr>
            <w:bookmarkStart w:id="117" w:name="_Ref516581335"/>
            <w:r w:rsidRPr="00332B11">
              <w:rPr>
                <w:rFonts w:cs="Calibri"/>
                <w:b/>
                <w:sz w:val="21"/>
                <w:szCs w:val="21"/>
              </w:rPr>
              <w:t xml:space="preserve">Wykres </w:t>
            </w:r>
            <w:r w:rsidRPr="00332B11">
              <w:rPr>
                <w:b/>
                <w:sz w:val="21"/>
              </w:rPr>
              <w:fldChar w:fldCharType="begin"/>
            </w:r>
            <w:r w:rsidRPr="00332B11">
              <w:rPr>
                <w:b/>
                <w:sz w:val="21"/>
              </w:rPr>
              <w:instrText xml:space="preserve"> SEQ "Rysunek" \* ARABIC </w:instrText>
            </w:r>
            <w:r w:rsidRPr="00332B11">
              <w:rPr>
                <w:b/>
                <w:sz w:val="21"/>
              </w:rPr>
              <w:fldChar w:fldCharType="separate"/>
            </w:r>
            <w:r w:rsidRPr="00332B11">
              <w:rPr>
                <w:b/>
                <w:sz w:val="21"/>
              </w:rPr>
              <w:t>5</w:t>
            </w:r>
            <w:r w:rsidRPr="00332B11">
              <w:rPr>
                <w:b/>
                <w:sz w:val="21"/>
              </w:rPr>
              <w:fldChar w:fldCharType="end"/>
            </w:r>
            <w:bookmarkEnd w:id="117"/>
            <w:r w:rsidR="00FC6E8F">
              <w:rPr>
                <w:b/>
                <w:sz w:val="21"/>
              </w:rPr>
              <w:t>6</w:t>
            </w:r>
            <w:r w:rsidRPr="00332B11">
              <w:rPr>
                <w:b/>
                <w:sz w:val="21"/>
              </w:rPr>
              <w:t>.</w:t>
            </w:r>
            <w:r w:rsidRPr="00332B11">
              <w:rPr>
                <w:rFonts w:cs="Calibri"/>
                <w:b/>
                <w:sz w:val="21"/>
                <w:szCs w:val="21"/>
              </w:rPr>
              <w:t xml:space="preserve"> Sektor ICT</w:t>
            </w:r>
            <w:r w:rsidR="006343E1" w:rsidRPr="00332B11">
              <w:rPr>
                <w:rFonts w:cs="Calibri"/>
                <w:b/>
                <w:sz w:val="21"/>
                <w:szCs w:val="21"/>
              </w:rPr>
              <w:t xml:space="preserve"> w </w:t>
            </w:r>
            <w:r w:rsidRPr="00332B11">
              <w:rPr>
                <w:rFonts w:cs="Calibri"/>
                <w:b/>
                <w:sz w:val="21"/>
                <w:szCs w:val="21"/>
              </w:rPr>
              <w:t>2017 r</w:t>
            </w:r>
            <w:r w:rsidR="00044C5B">
              <w:rPr>
                <w:rFonts w:cs="Calibri"/>
                <w:b/>
                <w:sz w:val="21"/>
                <w:szCs w:val="21"/>
              </w:rPr>
              <w:t>.</w:t>
            </w:r>
            <w:r w:rsidRPr="00332B11">
              <w:rPr>
                <w:rFonts w:cs="Calibri"/>
                <w:b/>
                <w:sz w:val="21"/>
                <w:szCs w:val="21"/>
              </w:rPr>
              <w:t>: zatrudnienie (osoby)</w:t>
            </w:r>
          </w:p>
        </w:tc>
      </w:tr>
      <w:tr w:rsidR="00B620BC" w:rsidRPr="00332B11" w14:paraId="54373F5D" w14:textId="77777777" w:rsidTr="00EF36FC">
        <w:tc>
          <w:tcPr>
            <w:tcW w:w="8964" w:type="dxa"/>
            <w:shd w:val="clear" w:color="auto" w:fill="auto"/>
          </w:tcPr>
          <w:p w14:paraId="461CA6C9" w14:textId="56005D3C" w:rsidR="00B620BC" w:rsidRPr="00332B11" w:rsidRDefault="00D90BFB" w:rsidP="00EF36FC">
            <w:pPr>
              <w:widowControl w:val="0"/>
              <w:spacing w:after="0" w:line="240" w:lineRule="auto"/>
              <w:rPr>
                <w:rFonts w:cs="Calibri"/>
                <w:sz w:val="21"/>
                <w:szCs w:val="21"/>
              </w:rPr>
            </w:pPr>
            <w:r w:rsidRPr="00332B11">
              <w:rPr>
                <w:noProof/>
                <w:lang w:eastAsia="pl-PL"/>
              </w:rPr>
              <w:drawing>
                <wp:inline distT="0" distB="0" distL="0" distR="0" wp14:anchorId="319193A7" wp14:editId="68F4F6CB">
                  <wp:extent cx="3283585" cy="1876425"/>
                  <wp:effectExtent l="0" t="0" r="0" b="9525"/>
                  <wp:docPr id="430" name="Obraz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91">
                            <a:extLst>
                              <a:ext uri="{28A0092B-C50C-407E-A947-70E740481C1C}">
                                <a14:useLocalDpi xmlns:a14="http://schemas.microsoft.com/office/drawing/2010/main" val="0"/>
                              </a:ext>
                            </a:extLst>
                          </a:blip>
                          <a:srcRect l="-18" t="-34" r="-18" b="-34"/>
                          <a:stretch>
                            <a:fillRect/>
                          </a:stretch>
                        </pic:blipFill>
                        <pic:spPr bwMode="auto">
                          <a:xfrm>
                            <a:off x="0" y="0"/>
                            <a:ext cx="3283585" cy="1876425"/>
                          </a:xfrm>
                          <a:prstGeom prst="rect">
                            <a:avLst/>
                          </a:prstGeom>
                          <a:solidFill>
                            <a:srgbClr val="FFFFFF"/>
                          </a:solidFill>
                          <a:ln>
                            <a:noFill/>
                          </a:ln>
                        </pic:spPr>
                      </pic:pic>
                    </a:graphicData>
                  </a:graphic>
                </wp:inline>
              </w:drawing>
            </w:r>
          </w:p>
        </w:tc>
      </w:tr>
      <w:tr w:rsidR="00B620BC" w:rsidRPr="00332B11" w14:paraId="5B2E3E8A" w14:textId="77777777" w:rsidTr="00EF36FC">
        <w:tc>
          <w:tcPr>
            <w:tcW w:w="8964" w:type="dxa"/>
            <w:shd w:val="clear" w:color="auto" w:fill="auto"/>
          </w:tcPr>
          <w:p w14:paraId="6686C486" w14:textId="0B019535" w:rsidR="00B620BC" w:rsidRPr="00FC6E8F" w:rsidRDefault="007A3554" w:rsidP="00332B11">
            <w:pPr>
              <w:widowControl w:val="0"/>
              <w:spacing w:after="0" w:line="240" w:lineRule="auto"/>
              <w:rPr>
                <w:rFonts w:cs="Calibri"/>
                <w:b/>
                <w:sz w:val="21"/>
                <w:szCs w:val="21"/>
              </w:rPr>
            </w:pPr>
            <w:r w:rsidRPr="00332B11">
              <w:rPr>
                <w:b/>
                <w:sz w:val="21"/>
              </w:rPr>
              <w:t xml:space="preserve">Wykres </w:t>
            </w:r>
            <w:r w:rsidR="00FC6E8F">
              <w:rPr>
                <w:b/>
                <w:sz w:val="21"/>
              </w:rPr>
              <w:t>57</w:t>
            </w:r>
            <w:r w:rsidR="00B620BC" w:rsidRPr="00332B11">
              <w:rPr>
                <w:rFonts w:cs="Calibri"/>
                <w:b/>
                <w:sz w:val="21"/>
                <w:szCs w:val="21"/>
              </w:rPr>
              <w:t>. Sektor ICT</w:t>
            </w:r>
            <w:r w:rsidR="006343E1" w:rsidRPr="00332B11">
              <w:rPr>
                <w:rFonts w:cs="Calibri"/>
                <w:b/>
                <w:sz w:val="21"/>
                <w:szCs w:val="21"/>
              </w:rPr>
              <w:t xml:space="preserve"> w </w:t>
            </w:r>
            <w:r w:rsidR="00B620BC" w:rsidRPr="00332B11">
              <w:rPr>
                <w:rFonts w:cs="Calibri"/>
                <w:b/>
                <w:sz w:val="21"/>
                <w:szCs w:val="21"/>
              </w:rPr>
              <w:t>2017 r</w:t>
            </w:r>
            <w:r w:rsidR="00044C5B">
              <w:rPr>
                <w:rFonts w:cs="Calibri"/>
                <w:b/>
                <w:sz w:val="21"/>
                <w:szCs w:val="21"/>
              </w:rPr>
              <w:t>.</w:t>
            </w:r>
            <w:r w:rsidR="00B620BC" w:rsidRPr="00332B11">
              <w:rPr>
                <w:rFonts w:cs="Calibri"/>
                <w:b/>
                <w:sz w:val="21"/>
                <w:szCs w:val="21"/>
              </w:rPr>
              <w:t>:</w:t>
            </w:r>
            <w:r w:rsidR="00FC6E8F">
              <w:rPr>
                <w:rFonts w:cs="Calibri"/>
                <w:b/>
                <w:sz w:val="21"/>
                <w:szCs w:val="21"/>
              </w:rPr>
              <w:t xml:space="preserve"> przychody ze sprzedaży (mln zł)</w:t>
            </w:r>
          </w:p>
        </w:tc>
      </w:tr>
      <w:tr w:rsidR="00B620BC" w14:paraId="5AFCA46F" w14:textId="77777777" w:rsidTr="00EF36FC">
        <w:tc>
          <w:tcPr>
            <w:tcW w:w="8964" w:type="dxa"/>
            <w:shd w:val="clear" w:color="auto" w:fill="auto"/>
          </w:tcPr>
          <w:p w14:paraId="71A38B68" w14:textId="2D9B9B0C" w:rsidR="00B620BC" w:rsidRDefault="00D90BFB" w:rsidP="00EF36FC">
            <w:pPr>
              <w:widowControl w:val="0"/>
              <w:spacing w:after="0" w:line="240" w:lineRule="auto"/>
              <w:rPr>
                <w:rFonts w:cs="Calibri"/>
                <w:sz w:val="21"/>
                <w:szCs w:val="21"/>
              </w:rPr>
            </w:pPr>
            <w:r w:rsidRPr="00332B11">
              <w:rPr>
                <w:noProof/>
                <w:lang w:eastAsia="pl-PL"/>
              </w:rPr>
              <w:drawing>
                <wp:inline distT="0" distB="0" distL="0" distR="0" wp14:anchorId="38DA469C" wp14:editId="3D74317F">
                  <wp:extent cx="3251835" cy="1844675"/>
                  <wp:effectExtent l="0" t="0" r="5715" b="3175"/>
                  <wp:docPr id="431" name="Obraz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92">
                            <a:extLst>
                              <a:ext uri="{28A0092B-C50C-407E-A947-70E740481C1C}">
                                <a14:useLocalDpi xmlns:a14="http://schemas.microsoft.com/office/drawing/2010/main" val="0"/>
                              </a:ext>
                            </a:extLst>
                          </a:blip>
                          <a:srcRect l="-18" t="-34" r="-18" b="-34"/>
                          <a:stretch>
                            <a:fillRect/>
                          </a:stretch>
                        </pic:blipFill>
                        <pic:spPr bwMode="auto">
                          <a:xfrm>
                            <a:off x="0" y="0"/>
                            <a:ext cx="3251835" cy="1844675"/>
                          </a:xfrm>
                          <a:prstGeom prst="rect">
                            <a:avLst/>
                          </a:prstGeom>
                          <a:solidFill>
                            <a:srgbClr val="FFFFFF"/>
                          </a:solidFill>
                          <a:ln>
                            <a:noFill/>
                          </a:ln>
                        </pic:spPr>
                      </pic:pic>
                    </a:graphicData>
                  </a:graphic>
                </wp:inline>
              </w:drawing>
            </w:r>
          </w:p>
          <w:p w14:paraId="2A27FC09" w14:textId="77777777" w:rsidR="00B620BC" w:rsidRDefault="00B620BC" w:rsidP="00EF36FC">
            <w:pPr>
              <w:widowControl w:val="0"/>
              <w:spacing w:after="0" w:line="240" w:lineRule="auto"/>
              <w:rPr>
                <w:rFonts w:cs="Calibri"/>
                <w:sz w:val="21"/>
                <w:szCs w:val="21"/>
              </w:rPr>
            </w:pPr>
          </w:p>
        </w:tc>
      </w:tr>
      <w:tr w:rsidR="00B620BC" w14:paraId="275704C9" w14:textId="77777777" w:rsidTr="00ED7916">
        <w:trPr>
          <w:trHeight w:val="187"/>
        </w:trPr>
        <w:tc>
          <w:tcPr>
            <w:tcW w:w="8964" w:type="dxa"/>
            <w:shd w:val="clear" w:color="auto" w:fill="auto"/>
          </w:tcPr>
          <w:p w14:paraId="293D14E3" w14:textId="024972FA" w:rsidR="00B620BC" w:rsidRPr="00CB07D4" w:rsidRDefault="00B620BC" w:rsidP="00EF36FC">
            <w:pPr>
              <w:pStyle w:val="Bezodstpw2"/>
              <w:widowControl w:val="0"/>
              <w:rPr>
                <w:rFonts w:ascii="Arial Narrow" w:hAnsi="Arial Narrow"/>
                <w:sz w:val="20"/>
              </w:rPr>
            </w:pPr>
            <w:r w:rsidRPr="00CB07D4">
              <w:rPr>
                <w:rFonts w:ascii="Arial Narrow" w:hAnsi="Arial Narrow"/>
                <w:sz w:val="20"/>
              </w:rPr>
              <w:t xml:space="preserve">Źródło: Opracowanie </w:t>
            </w:r>
            <w:r w:rsidR="003A56DA" w:rsidRPr="00CB07D4">
              <w:rPr>
                <w:rFonts w:ascii="Arial Narrow" w:hAnsi="Arial Narrow"/>
                <w:sz w:val="20"/>
              </w:rPr>
              <w:t>MRiT</w:t>
            </w:r>
            <w:r w:rsidR="003A5EA7" w:rsidRPr="00CB07D4">
              <w:rPr>
                <w:rFonts w:ascii="Arial Narrow" w:hAnsi="Arial Narrow"/>
                <w:sz w:val="20"/>
              </w:rPr>
              <w:t xml:space="preserve"> </w:t>
            </w:r>
            <w:r w:rsidRPr="00CB07D4">
              <w:rPr>
                <w:rFonts w:ascii="Arial Narrow" w:hAnsi="Arial Narrow"/>
                <w:sz w:val="20"/>
              </w:rPr>
              <w:t>na podstawie danych GUS (2018a, s. 22</w:t>
            </w:r>
            <w:r w:rsidR="00044C5B" w:rsidRPr="00CB07D4">
              <w:rPr>
                <w:rFonts w:ascii="Arial Narrow" w:hAnsi="Arial Narrow" w:cs="Times New Roman"/>
                <w:sz w:val="20"/>
                <w:szCs w:val="20"/>
              </w:rPr>
              <w:t>–</w:t>
            </w:r>
            <w:r w:rsidRPr="00CB07D4">
              <w:rPr>
                <w:rFonts w:ascii="Arial Narrow" w:hAnsi="Arial Narrow"/>
                <w:sz w:val="20"/>
              </w:rPr>
              <w:t>23)</w:t>
            </w:r>
          </w:p>
        </w:tc>
      </w:tr>
    </w:tbl>
    <w:p w14:paraId="505F4EF6" w14:textId="7310A3AD" w:rsidR="00B620BC" w:rsidRDefault="00B620BC" w:rsidP="00B620BC">
      <w:r>
        <w:t xml:space="preserve">Sektor </w:t>
      </w:r>
      <w:r w:rsidR="00341970">
        <w:t>ICT</w:t>
      </w:r>
      <w:r>
        <w:t xml:space="preserve"> poniósł</w:t>
      </w:r>
      <w:r w:rsidR="006343E1">
        <w:t xml:space="preserve"> w </w:t>
      </w:r>
      <w:r w:rsidR="00AE524C" w:rsidRPr="00254AB9">
        <w:t>20</w:t>
      </w:r>
      <w:r w:rsidR="005F5469">
        <w:t>20</w:t>
      </w:r>
      <w:r w:rsidR="00AE524C" w:rsidRPr="00254AB9">
        <w:t xml:space="preserve"> </w:t>
      </w:r>
      <w:r>
        <w:t xml:space="preserve">r. nakłady </w:t>
      </w:r>
      <w:r w:rsidR="00341970">
        <w:t xml:space="preserve">wewnętrzne </w:t>
      </w:r>
      <w:r>
        <w:t>na działalność B+R</w:t>
      </w:r>
      <w:r w:rsidR="006343E1">
        <w:t xml:space="preserve"> w </w:t>
      </w:r>
      <w:r>
        <w:t xml:space="preserve">wysokości </w:t>
      </w:r>
      <w:r w:rsidR="005F5469">
        <w:t>4,8</w:t>
      </w:r>
      <w:r>
        <w:t xml:space="preserve"> mld zł, co stanowiło 20,5%</w:t>
      </w:r>
      <w:r w:rsidR="00044C5B">
        <w:t> </w:t>
      </w:r>
      <w:r>
        <w:t>ogółu nakładów wewnętrznych na działalność B+R sektora przedsiębiorstw. Jest to relatywnie dużo</w:t>
      </w:r>
      <w:r w:rsidR="00044C5B">
        <w:t>,</w:t>
      </w:r>
      <w:r>
        <w:t xml:space="preserve"> zważywszy na fakt</w:t>
      </w:r>
      <w:r w:rsidR="00477C54">
        <w:t>, że </w:t>
      </w:r>
      <w:r>
        <w:t>jego udział w wartości dodanej szacuje się na 3,</w:t>
      </w:r>
      <w:r w:rsidR="005F5469">
        <w:t>6</w:t>
      </w:r>
      <w:r>
        <w:t xml:space="preserve">%. Ta dysproporcja obrazuje kluczową rolę </w:t>
      </w:r>
      <w:r w:rsidR="00341970">
        <w:t>ICT</w:t>
      </w:r>
      <w:r>
        <w:t xml:space="preserve"> w generowaniu innowacji we współczesnej gospodarce, zwłaszcza jeśli interpretując ją</w:t>
      </w:r>
      <w:r w:rsidR="008B7694">
        <w:t>,</w:t>
      </w:r>
      <w:r>
        <w:t xml:space="preserve"> będziemy pamiętać</w:t>
      </w:r>
      <w:r w:rsidR="00477C54">
        <w:t>, że </w:t>
      </w:r>
      <w:r>
        <w:t xml:space="preserve">technologie </w:t>
      </w:r>
      <w:r w:rsidR="00341970">
        <w:t>ICT</w:t>
      </w:r>
      <w:r>
        <w:t xml:space="preserve"> (np. aparatura</w:t>
      </w:r>
      <w:r w:rsidR="006343E1">
        <w:t xml:space="preserve"> i </w:t>
      </w:r>
      <w:r>
        <w:t>oprogramowanie naukowe oraz analityczne) wspomagają procesy badawczo-rozwojowe</w:t>
      </w:r>
      <w:r w:rsidR="006343E1">
        <w:t xml:space="preserve"> w </w:t>
      </w:r>
      <w:r>
        <w:t xml:space="preserve">innych branżach. </w:t>
      </w:r>
      <w:r w:rsidR="005F5469">
        <w:t>86,8</w:t>
      </w:r>
      <w:r>
        <w:t>% nakładów na działalność B+R</w:t>
      </w:r>
      <w:r w:rsidR="006343E1">
        <w:t xml:space="preserve"> w </w:t>
      </w:r>
      <w:r>
        <w:t>sektorze I</w:t>
      </w:r>
      <w:r w:rsidR="00341970">
        <w:t>C</w:t>
      </w:r>
      <w:r>
        <w:t>T poniosły przedsiębiorstwa usługowe (telekomunikacyjne</w:t>
      </w:r>
      <w:r w:rsidR="006343E1">
        <w:t xml:space="preserve"> i </w:t>
      </w:r>
      <w:r>
        <w:t>informatyczne,</w:t>
      </w:r>
      <w:r w:rsidR="006343E1">
        <w:t xml:space="preserve"> w </w:t>
      </w:r>
      <w:r>
        <w:t xml:space="preserve">mniejszym stopniu zapewne hurtownicy sprzętu). Udział przemysłu </w:t>
      </w:r>
      <w:r w:rsidR="00341970">
        <w:t>ICT</w:t>
      </w:r>
      <w:r>
        <w:t xml:space="preserve"> (produkcji) wyniósł </w:t>
      </w:r>
      <w:r w:rsidR="0060185B">
        <w:t>13,2</w:t>
      </w:r>
      <w:r>
        <w:t>%.</w:t>
      </w:r>
    </w:p>
    <w:p w14:paraId="73651931" w14:textId="3C0903FE" w:rsidR="00B620BC" w:rsidRDefault="00B620BC" w:rsidP="00B620BC">
      <w:r w:rsidRPr="00332B11">
        <w:t xml:space="preserve">Sektor </w:t>
      </w:r>
      <w:r w:rsidR="00341970" w:rsidRPr="00332B11">
        <w:t>ICT</w:t>
      </w:r>
      <w:r w:rsidRPr="00332B11">
        <w:t xml:space="preserve"> prezentuje się ponadprzeciętnie także pod względem wprowadzonych</w:t>
      </w:r>
      <w:r w:rsidR="006343E1" w:rsidRPr="00332B11">
        <w:t xml:space="preserve"> </w:t>
      </w:r>
      <w:r w:rsidRPr="00332B11">
        <w:t>innowacji.</w:t>
      </w:r>
      <w:r w:rsidR="006343E1" w:rsidRPr="00332B11">
        <w:t xml:space="preserve"> O </w:t>
      </w:r>
      <w:r w:rsidRPr="00332B11">
        <w:t xml:space="preserve">ile w całej gospodarce latach </w:t>
      </w:r>
      <w:r w:rsidR="00F051ED" w:rsidRPr="00332B11">
        <w:t>2014</w:t>
      </w:r>
      <w:r w:rsidR="008B7694">
        <w:rPr>
          <w:rFonts w:ascii="Times New Roman" w:hAnsi="Times New Roman" w:cs="Times New Roman"/>
        </w:rPr>
        <w:t>–</w:t>
      </w:r>
      <w:r w:rsidR="00F051ED" w:rsidRPr="00332B11">
        <w:t>201</w:t>
      </w:r>
      <w:r w:rsidR="00FE0C2C">
        <w:t>8</w:t>
      </w:r>
      <w:r w:rsidR="00FE0C2C" w:rsidRPr="00332B11">
        <w:t xml:space="preserve"> </w:t>
      </w:r>
      <w:r w:rsidRPr="00332B11">
        <w:t>innowacje produktowe lub procesowe</w:t>
      </w:r>
      <w:r w:rsidR="00FE0C2C" w:rsidRPr="00332B11">
        <w:t xml:space="preserve"> </w:t>
      </w:r>
      <w:r w:rsidRPr="00332B11">
        <w:t xml:space="preserve">wprowadziło </w:t>
      </w:r>
      <w:r w:rsidR="00FE0C2C">
        <w:t>31,1</w:t>
      </w:r>
      <w:r w:rsidRPr="00332B11">
        <w:t>% przedsiębiorstw,</w:t>
      </w:r>
      <w:r w:rsidR="006343E1" w:rsidRPr="00332B11">
        <w:t xml:space="preserve"> o </w:t>
      </w:r>
      <w:r w:rsidRPr="00332B11">
        <w:t>tyle</w:t>
      </w:r>
      <w:r w:rsidR="006343E1" w:rsidRPr="00332B11">
        <w:t xml:space="preserve"> w </w:t>
      </w:r>
      <w:r w:rsidRPr="00332B11">
        <w:t>sektorze usług ICT było to 38,8%</w:t>
      </w:r>
      <w:r w:rsidR="008B7694">
        <w:t>,</w:t>
      </w:r>
      <w:r w:rsidR="006343E1" w:rsidRPr="00332B11">
        <w:t xml:space="preserve"> a </w:t>
      </w:r>
      <w:r w:rsidRPr="00332B11">
        <w:t xml:space="preserve">w sektorze produkcji ICT – </w:t>
      </w:r>
      <w:r w:rsidR="00FE0C2C">
        <w:t>43,0</w:t>
      </w:r>
      <w:r w:rsidRPr="00332B11">
        <w:t xml:space="preserve">% (sektor ICT ogółem </w:t>
      </w:r>
      <w:r w:rsidR="00FE0C2C">
        <w:t>47,2</w:t>
      </w:r>
      <w:r w:rsidRPr="00332B11">
        <w:t>%)</w:t>
      </w:r>
      <w:r w:rsidR="000615CA">
        <w:t xml:space="preserve"> (GUS, 2021)</w:t>
      </w:r>
      <w:r w:rsidRPr="00332B11">
        <w:t>. Zupełnie</w:t>
      </w:r>
      <w:r>
        <w:t xml:space="preserve"> inna relatywna pozycja usług oraz produkcji </w:t>
      </w:r>
      <w:r w:rsidR="00341970">
        <w:t>ICT</w:t>
      </w:r>
      <w:r w:rsidR="006343E1">
        <w:t xml:space="preserve"> w </w:t>
      </w:r>
      <w:r>
        <w:t>świetle nakładów na działalność B+R oraz wprowadzonych innowacji może świadczyć</w:t>
      </w:r>
      <w:r w:rsidR="006343E1">
        <w:t xml:space="preserve"> o </w:t>
      </w:r>
      <w:r>
        <w:t>czasochłonności procesów B+R, także</w:t>
      </w:r>
      <w:r w:rsidR="006343E1">
        <w:t xml:space="preserve"> w</w:t>
      </w:r>
      <w:r w:rsidR="00F051ED" w:rsidRPr="00254AB9">
        <w:t xml:space="preserve"> </w:t>
      </w:r>
      <w:r w:rsidR="00341970">
        <w:t>ICT</w:t>
      </w:r>
      <w:r>
        <w:t>, ale również przypominać, jak bardzo mylące może być utożsamianie nakładów na B+R</w:t>
      </w:r>
      <w:r w:rsidR="006343E1">
        <w:t xml:space="preserve"> z </w:t>
      </w:r>
      <w:r>
        <w:t>działalnością innowacyjną – zwłaszcza jeśli jako innowację traktujemy produkt lub proces nowy</w:t>
      </w:r>
      <w:r w:rsidR="006343E1">
        <w:t xml:space="preserve"> w </w:t>
      </w:r>
      <w:r>
        <w:t>skali firmy,</w:t>
      </w:r>
      <w:r w:rsidR="006343E1">
        <w:t xml:space="preserve"> a </w:t>
      </w:r>
      <w:r>
        <w:t xml:space="preserve">niekoniecznie kraju lub świata. </w:t>
      </w:r>
    </w:p>
    <w:p w14:paraId="0884673D" w14:textId="0E828926" w:rsidR="00B620BC" w:rsidRDefault="00B620BC" w:rsidP="00B620BC">
      <w:r>
        <w:t>Jako polskie specjalizacje wskazuje się tworzenie oprogramowania na zamówienie</w:t>
      </w:r>
      <w:r w:rsidR="006343E1">
        <w:t xml:space="preserve"> w </w:t>
      </w:r>
      <w:r>
        <w:t>ramach usług outsourcingowych, innego rodzaju usługi</w:t>
      </w:r>
      <w:r w:rsidR="006343E1">
        <w:t xml:space="preserve"> w </w:t>
      </w:r>
      <w:r>
        <w:t>ramach ITO (</w:t>
      </w:r>
      <w:r w:rsidRPr="00CB07D4">
        <w:rPr>
          <w:i/>
        </w:rPr>
        <w:t>Information Technology Outsourcing</w:t>
      </w:r>
      <w:r>
        <w:t xml:space="preserve">) oraz tworzenie gier komputerowych. Obiecującym segmentem wydaje się też oprogramowanie dla klientów biznesowych. </w:t>
      </w:r>
      <w:r>
        <w:lastRenderedPageBreak/>
        <w:t>Branża IT jest silnie reprezentowana wśród start</w:t>
      </w:r>
      <w:r w:rsidR="008B7694">
        <w:t>-</w:t>
      </w:r>
      <w:r>
        <w:t>upów – połowa młodych firm nastawionych na szybki wzrost prowadzi działalność</w:t>
      </w:r>
      <w:r w:rsidR="006343E1">
        <w:t xml:space="preserve"> w </w:t>
      </w:r>
      <w:r>
        <w:t xml:space="preserve">obszarach takich jak właśnie oprogramowanie dla firm, technologie mobilne, e-commerce, </w:t>
      </w:r>
      <w:r w:rsidR="008B7694">
        <w:t>B</w:t>
      </w:r>
      <w:r>
        <w:t xml:space="preserve">ig </w:t>
      </w:r>
      <w:r w:rsidR="008B7694">
        <w:t>D</w:t>
      </w:r>
      <w:r>
        <w:t xml:space="preserve">ata czy </w:t>
      </w:r>
      <w:r w:rsidR="008B7694">
        <w:t>I</w:t>
      </w:r>
      <w:r>
        <w:t>nternet rzeczy. Żyznym gruntem jest dla nich postępująca</w:t>
      </w:r>
      <w:r w:rsidR="006343E1">
        <w:t xml:space="preserve"> z </w:t>
      </w:r>
      <w:r>
        <w:t>roku na roku informatyzacja społeczeństwa, natomiast problemem, jak zresztą</w:t>
      </w:r>
      <w:r w:rsidR="006343E1">
        <w:t xml:space="preserve"> w </w:t>
      </w:r>
      <w:r>
        <w:t>coraz większym stopniu</w:t>
      </w:r>
      <w:r w:rsidR="006343E1">
        <w:t xml:space="preserve"> w </w:t>
      </w:r>
      <w:r>
        <w:t>całej gospodarce, niedobór wykwalifikowanych pracowników. Co czwarty start</w:t>
      </w:r>
      <w:r w:rsidR="008B7694">
        <w:t>-</w:t>
      </w:r>
      <w:r>
        <w:t xml:space="preserve">up zatrudnia cudzoziemców w roli specjalistów IT (Investin, 2017).  </w:t>
      </w:r>
    </w:p>
    <w:p w14:paraId="5A793B24" w14:textId="2552EA3F" w:rsidR="00B620BC" w:rsidRDefault="00B620BC" w:rsidP="00B620BC">
      <w:r>
        <w:t>Kwestię</w:t>
      </w:r>
      <w:r w:rsidR="008B7694">
        <w:t>,</w:t>
      </w:r>
      <w:r>
        <w:t xml:space="preserve"> na ile polski sektor IT traktowany jako całość – abstrahując od sukcesów pojedynczych wyróżniających się firm – jest innowacyjny</w:t>
      </w:r>
      <w:r w:rsidR="006343E1">
        <w:t xml:space="preserve"> w </w:t>
      </w:r>
      <w:r>
        <w:t>skali międzynarodowej, można próbować zanalizować na podstawie danych dotyczących aplikacji patentowych składanych</w:t>
      </w:r>
      <w:r w:rsidR="006343E1">
        <w:t xml:space="preserve"> w </w:t>
      </w:r>
      <w:r>
        <w:t>ramach międzynarodowej procedury PCT.</w:t>
      </w:r>
      <w:r w:rsidR="006343E1">
        <w:t xml:space="preserve"> W </w:t>
      </w:r>
      <w:r>
        <w:t>2015 r. polscy wnioskodawcy złożyli 102 takie aplikacje</w:t>
      </w:r>
      <w:r w:rsidR="006343E1">
        <w:t xml:space="preserve"> i </w:t>
      </w:r>
      <w:r>
        <w:t>był to najwyższy wynik w historii, wpisujący się</w:t>
      </w:r>
      <w:r w:rsidR="006343E1">
        <w:t xml:space="preserve"> w </w:t>
      </w:r>
      <w:r>
        <w:t>długoterminowy trend rosnący. Niemniej jednak interpretacja tego wyniku zależy od tego,</w:t>
      </w:r>
      <w:r w:rsidR="006343E1">
        <w:t xml:space="preserve"> z </w:t>
      </w:r>
      <w:r>
        <w:t xml:space="preserve">kim się porównujemy (por. </w:t>
      </w:r>
      <w:r>
        <w:rPr>
          <w:bCs/>
        </w:rPr>
        <w:t>poniższa tabela</w:t>
      </w:r>
      <w:r>
        <w:t>). Szereg znacznie bogatszych, ale zarazem znacznie mniejszych państw Europy Zachodniej osiągnęło wyższe wartości wskaźnika, podobnie jak zbliżona rozmiarem do Polski gospodarka hiszpańska oraz dwukrotnie większa ludnościowo</w:t>
      </w:r>
      <w:r w:rsidR="008B7694">
        <w:t>,</w:t>
      </w:r>
      <w:r>
        <w:t xml:space="preserve"> ale nieznacznie uboższa w świetle PKB Turcja. Należy również pamiętać</w:t>
      </w:r>
      <w:r w:rsidR="00477C54">
        <w:t>, że </w:t>
      </w:r>
      <w:r>
        <w:t>Polska należy do krajów, w których zarówno według litery prawa</w:t>
      </w:r>
      <w:r w:rsidR="008B7694">
        <w:t>,</w:t>
      </w:r>
      <w:r>
        <w:t xml:space="preserve"> jak</w:t>
      </w:r>
      <w:r w:rsidR="006343E1">
        <w:t xml:space="preserve"> i </w:t>
      </w:r>
      <w:r>
        <w:t>praktyki jego stosowania raczej konsekwentnie przestrzega się zasady</w:t>
      </w:r>
      <w:r w:rsidR="00477C54">
        <w:t>, że </w:t>
      </w:r>
      <w:r>
        <w:t>ani algorytm, ani będący jego implementacją program komputerowy nie podlega ochronie patentowej (podlega natomiast prawnoautorskiej). Oznacza to</w:t>
      </w:r>
      <w:r w:rsidR="00477C54">
        <w:t>, że</w:t>
      </w:r>
      <w:r w:rsidR="008B7694" w:rsidRPr="008B7694">
        <w:t xml:space="preserve"> </w:t>
      </w:r>
      <w:r w:rsidR="008B7694">
        <w:t>polscy</w:t>
      </w:r>
      <w:r w:rsidR="00477C54">
        <w:t> </w:t>
      </w:r>
      <w:r>
        <w:t>twórcy oprogramowania mają mniejszą motywację do poszukiwania międzynarodowej ochrony patentowej,</w:t>
      </w:r>
      <w:r w:rsidR="006343E1">
        <w:t xml:space="preserve"> a </w:t>
      </w:r>
      <w:r>
        <w:t>zatem polskie aplikacje dotyczą prawdopodobnie przemysłowej produkcji szeroko pojętego sprzętu IT,</w:t>
      </w:r>
      <w:r w:rsidR="006343E1">
        <w:t xml:space="preserve"> w </w:t>
      </w:r>
      <w:r>
        <w:t>którym to obszarze – jak wskazano powyżej – lokuje się jedynie 5% nakładów sektora na działalność B+R.</w:t>
      </w:r>
    </w:p>
    <w:p w14:paraId="40AFB409" w14:textId="2F9A8580" w:rsidR="00ED7916" w:rsidRDefault="00ED7916" w:rsidP="00B620BC">
      <w:r>
        <w:rPr>
          <w:rFonts w:cs="Calibri"/>
          <w:b/>
          <w:bCs/>
          <w:sz w:val="20"/>
          <w:szCs w:val="20"/>
        </w:rPr>
        <w:t>Tabela 10</w:t>
      </w:r>
      <w:r>
        <w:rPr>
          <w:rFonts w:cs="Calibri"/>
          <w:sz w:val="20"/>
          <w:szCs w:val="20"/>
        </w:rPr>
        <w:t xml:space="preserve">. </w:t>
      </w:r>
      <w:r>
        <w:rPr>
          <w:rFonts w:cs="Calibri"/>
          <w:b/>
          <w:sz w:val="20"/>
          <w:szCs w:val="20"/>
        </w:rPr>
        <w:t>Aplikacje patentowe w sektorze ICT złożone przez państwa członkowskie w 2015 r.</w:t>
      </w:r>
    </w:p>
    <w:tbl>
      <w:tblPr>
        <w:tblW w:w="0" w:type="auto"/>
        <w:tblInd w:w="110" w:type="dxa"/>
        <w:tblLayout w:type="fixed"/>
        <w:tblCellMar>
          <w:left w:w="70" w:type="dxa"/>
          <w:right w:w="70" w:type="dxa"/>
        </w:tblCellMar>
        <w:tblLook w:val="0000" w:firstRow="0" w:lastRow="0" w:firstColumn="0" w:lastColumn="0" w:noHBand="0" w:noVBand="0"/>
      </w:tblPr>
      <w:tblGrid>
        <w:gridCol w:w="1977"/>
        <w:gridCol w:w="1177"/>
        <w:gridCol w:w="939"/>
        <w:gridCol w:w="1581"/>
        <w:gridCol w:w="3155"/>
      </w:tblGrid>
      <w:tr w:rsidR="00B620BC" w14:paraId="504EBFAC" w14:textId="77777777" w:rsidTr="00ED7916">
        <w:trPr>
          <w:trHeight w:val="296"/>
        </w:trPr>
        <w:tc>
          <w:tcPr>
            <w:tcW w:w="19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248C96" w14:textId="77777777" w:rsidR="00B620BC" w:rsidRDefault="00B620BC" w:rsidP="00EF36FC">
            <w:pPr>
              <w:widowControl w:val="0"/>
              <w:spacing w:after="0" w:line="240" w:lineRule="auto"/>
            </w:pPr>
            <w:r>
              <w:rPr>
                <w:rFonts w:eastAsia="Times New Roman" w:cs="Calibri"/>
                <w:color w:val="000000"/>
                <w:sz w:val="20"/>
                <w:szCs w:val="20"/>
                <w:lang w:eastAsia="pl-PL"/>
              </w:rPr>
              <w:t>USA</w:t>
            </w:r>
          </w:p>
        </w:tc>
        <w:tc>
          <w:tcPr>
            <w:tcW w:w="11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E3209BF" w14:textId="77777777" w:rsidR="00B620BC" w:rsidRDefault="00B620BC" w:rsidP="00EF36FC">
            <w:pPr>
              <w:widowControl w:val="0"/>
              <w:spacing w:after="0" w:line="240" w:lineRule="auto"/>
            </w:pPr>
            <w:r>
              <w:rPr>
                <w:rFonts w:eastAsia="Times New Roman" w:cs="Calibri"/>
                <w:color w:val="000000"/>
                <w:sz w:val="20"/>
                <w:szCs w:val="20"/>
                <w:lang w:eastAsia="pl-PL"/>
              </w:rPr>
              <w:t>17006</w:t>
            </w:r>
          </w:p>
        </w:tc>
        <w:tc>
          <w:tcPr>
            <w:tcW w:w="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ACA128" w14:textId="77777777" w:rsidR="00B620BC" w:rsidRDefault="00B620BC" w:rsidP="00EF36FC">
            <w:pPr>
              <w:widowControl w:val="0"/>
              <w:snapToGrid w:val="0"/>
              <w:spacing w:after="0" w:line="240" w:lineRule="auto"/>
              <w:rPr>
                <w:rFonts w:eastAsia="Times New Roman" w:cs="Calibri"/>
                <w:color w:val="000000"/>
                <w:sz w:val="20"/>
                <w:szCs w:val="20"/>
                <w:lang w:eastAsia="pl-PL"/>
              </w:rPr>
            </w:pPr>
          </w:p>
        </w:tc>
        <w:tc>
          <w:tcPr>
            <w:tcW w:w="15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AF3AEB" w14:textId="77777777" w:rsidR="00B620BC" w:rsidRDefault="00B620BC" w:rsidP="00EF36FC">
            <w:pPr>
              <w:widowControl w:val="0"/>
              <w:spacing w:after="0" w:line="240" w:lineRule="auto"/>
            </w:pPr>
            <w:r>
              <w:rPr>
                <w:rFonts w:eastAsia="Times New Roman" w:cs="Calibri"/>
                <w:color w:val="000000"/>
                <w:sz w:val="20"/>
                <w:szCs w:val="20"/>
                <w:lang w:eastAsia="pl-PL"/>
              </w:rPr>
              <w:t>Turcja</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743CD6" w14:textId="77777777" w:rsidR="00B620BC" w:rsidRDefault="00B620BC" w:rsidP="00EF36FC">
            <w:pPr>
              <w:widowControl w:val="0"/>
              <w:spacing w:after="0" w:line="240" w:lineRule="auto"/>
            </w:pPr>
            <w:r>
              <w:rPr>
                <w:rFonts w:eastAsia="Times New Roman" w:cs="Calibri"/>
                <w:color w:val="000000"/>
                <w:sz w:val="20"/>
                <w:szCs w:val="20"/>
                <w:lang w:eastAsia="pl-PL"/>
              </w:rPr>
              <w:t>148</w:t>
            </w:r>
          </w:p>
        </w:tc>
      </w:tr>
      <w:tr w:rsidR="00B620BC" w14:paraId="052266AF" w14:textId="77777777" w:rsidTr="00ED7916">
        <w:trPr>
          <w:trHeight w:val="296"/>
        </w:trPr>
        <w:tc>
          <w:tcPr>
            <w:tcW w:w="19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1C12D5" w14:textId="77777777" w:rsidR="00B620BC" w:rsidRDefault="00B620BC" w:rsidP="00EF36FC">
            <w:pPr>
              <w:widowControl w:val="0"/>
              <w:spacing w:after="0" w:line="240" w:lineRule="auto"/>
            </w:pPr>
            <w:r>
              <w:rPr>
                <w:rFonts w:eastAsia="Times New Roman" w:cs="Calibri"/>
                <w:color w:val="000000"/>
                <w:sz w:val="20"/>
                <w:szCs w:val="20"/>
                <w:lang w:eastAsia="pl-PL"/>
              </w:rPr>
              <w:t>Japonia</w:t>
            </w:r>
          </w:p>
        </w:tc>
        <w:tc>
          <w:tcPr>
            <w:tcW w:w="11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80B5E0D" w14:textId="77777777" w:rsidR="00B620BC" w:rsidRDefault="00B620BC" w:rsidP="00EF36FC">
            <w:pPr>
              <w:widowControl w:val="0"/>
              <w:spacing w:after="0" w:line="240" w:lineRule="auto"/>
            </w:pPr>
            <w:r>
              <w:rPr>
                <w:rFonts w:eastAsia="Times New Roman" w:cs="Calibri"/>
                <w:color w:val="000000"/>
                <w:sz w:val="20"/>
                <w:szCs w:val="20"/>
                <w:lang w:eastAsia="pl-PL"/>
              </w:rPr>
              <w:t>10485</w:t>
            </w:r>
          </w:p>
        </w:tc>
        <w:tc>
          <w:tcPr>
            <w:tcW w:w="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240F7D" w14:textId="77777777" w:rsidR="00B620BC" w:rsidRDefault="00B620BC" w:rsidP="00EF36FC">
            <w:pPr>
              <w:widowControl w:val="0"/>
              <w:snapToGrid w:val="0"/>
              <w:spacing w:after="0" w:line="240" w:lineRule="auto"/>
              <w:rPr>
                <w:rFonts w:eastAsia="Times New Roman" w:cs="Calibri"/>
                <w:color w:val="000000"/>
                <w:sz w:val="20"/>
                <w:szCs w:val="20"/>
                <w:lang w:eastAsia="pl-PL"/>
              </w:rPr>
            </w:pPr>
          </w:p>
        </w:tc>
        <w:tc>
          <w:tcPr>
            <w:tcW w:w="15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72DE10" w14:textId="77777777" w:rsidR="00B620BC" w:rsidRDefault="00B620BC" w:rsidP="00EF36FC">
            <w:pPr>
              <w:widowControl w:val="0"/>
              <w:spacing w:after="0" w:line="240" w:lineRule="auto"/>
            </w:pPr>
            <w:r>
              <w:rPr>
                <w:rFonts w:eastAsia="Times New Roman" w:cs="Calibri"/>
                <w:color w:val="000000"/>
                <w:sz w:val="20"/>
                <w:szCs w:val="20"/>
                <w:lang w:eastAsia="pl-PL"/>
              </w:rPr>
              <w:t>Irlandia</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BDF9BC" w14:textId="77777777" w:rsidR="00B620BC" w:rsidRDefault="00B620BC" w:rsidP="00EF36FC">
            <w:pPr>
              <w:widowControl w:val="0"/>
              <w:spacing w:after="0" w:line="240" w:lineRule="auto"/>
            </w:pPr>
            <w:r>
              <w:rPr>
                <w:rFonts w:eastAsia="Times New Roman" w:cs="Calibri"/>
                <w:color w:val="000000"/>
                <w:sz w:val="20"/>
                <w:szCs w:val="20"/>
                <w:lang w:eastAsia="pl-PL"/>
              </w:rPr>
              <w:t>135</w:t>
            </w:r>
          </w:p>
        </w:tc>
      </w:tr>
      <w:tr w:rsidR="00B620BC" w14:paraId="4C51543D" w14:textId="77777777" w:rsidTr="00ED7916">
        <w:trPr>
          <w:trHeight w:val="296"/>
        </w:trPr>
        <w:tc>
          <w:tcPr>
            <w:tcW w:w="19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CA02B2" w14:textId="77777777" w:rsidR="00B620BC" w:rsidRDefault="00B620BC" w:rsidP="00EF36FC">
            <w:pPr>
              <w:widowControl w:val="0"/>
              <w:spacing w:after="0" w:line="240" w:lineRule="auto"/>
            </w:pPr>
            <w:r>
              <w:rPr>
                <w:rFonts w:eastAsia="Times New Roman" w:cs="Calibri"/>
                <w:color w:val="000000"/>
                <w:sz w:val="20"/>
                <w:szCs w:val="20"/>
                <w:lang w:eastAsia="pl-PL"/>
              </w:rPr>
              <w:t>Korea</w:t>
            </w:r>
          </w:p>
        </w:tc>
        <w:tc>
          <w:tcPr>
            <w:tcW w:w="11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D62634" w14:textId="77777777" w:rsidR="00B620BC" w:rsidRDefault="00B620BC" w:rsidP="00EF36FC">
            <w:pPr>
              <w:widowControl w:val="0"/>
              <w:spacing w:after="0" w:line="240" w:lineRule="auto"/>
            </w:pPr>
            <w:r>
              <w:rPr>
                <w:rFonts w:eastAsia="Times New Roman" w:cs="Calibri"/>
                <w:color w:val="000000"/>
                <w:sz w:val="20"/>
                <w:szCs w:val="20"/>
                <w:lang w:eastAsia="pl-PL"/>
              </w:rPr>
              <w:t>5373</w:t>
            </w:r>
          </w:p>
        </w:tc>
        <w:tc>
          <w:tcPr>
            <w:tcW w:w="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8473ED" w14:textId="77777777" w:rsidR="00B620BC" w:rsidRDefault="00B620BC" w:rsidP="00EF36FC">
            <w:pPr>
              <w:widowControl w:val="0"/>
              <w:snapToGrid w:val="0"/>
              <w:spacing w:after="0" w:line="240" w:lineRule="auto"/>
              <w:rPr>
                <w:rFonts w:eastAsia="Times New Roman" w:cs="Calibri"/>
                <w:color w:val="000000"/>
                <w:sz w:val="20"/>
                <w:szCs w:val="20"/>
                <w:lang w:eastAsia="pl-PL"/>
              </w:rPr>
            </w:pPr>
          </w:p>
        </w:tc>
        <w:tc>
          <w:tcPr>
            <w:tcW w:w="15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603F89" w14:textId="77777777" w:rsidR="00B620BC" w:rsidRDefault="00B620BC" w:rsidP="00EF36FC">
            <w:pPr>
              <w:widowControl w:val="0"/>
              <w:spacing w:after="0" w:line="240" w:lineRule="auto"/>
            </w:pPr>
            <w:r>
              <w:rPr>
                <w:rFonts w:eastAsia="Times New Roman" w:cs="Calibri"/>
                <w:color w:val="000000"/>
                <w:sz w:val="20"/>
                <w:szCs w:val="20"/>
                <w:lang w:eastAsia="pl-PL"/>
              </w:rPr>
              <w:t>Polska</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724F19" w14:textId="77777777" w:rsidR="00B620BC" w:rsidRDefault="00B620BC" w:rsidP="00EF36FC">
            <w:pPr>
              <w:widowControl w:val="0"/>
              <w:spacing w:after="0" w:line="240" w:lineRule="auto"/>
            </w:pPr>
            <w:r>
              <w:rPr>
                <w:rFonts w:eastAsia="Times New Roman" w:cs="Calibri"/>
                <w:color w:val="000000"/>
                <w:sz w:val="20"/>
                <w:szCs w:val="20"/>
                <w:lang w:eastAsia="pl-PL"/>
              </w:rPr>
              <w:t>102</w:t>
            </w:r>
          </w:p>
        </w:tc>
      </w:tr>
      <w:tr w:rsidR="00B620BC" w14:paraId="0D0E8371" w14:textId="77777777" w:rsidTr="00ED7916">
        <w:trPr>
          <w:trHeight w:val="296"/>
        </w:trPr>
        <w:tc>
          <w:tcPr>
            <w:tcW w:w="19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19800D" w14:textId="77777777" w:rsidR="00B620BC" w:rsidRDefault="00B620BC" w:rsidP="00EF36FC">
            <w:pPr>
              <w:widowControl w:val="0"/>
              <w:spacing w:after="0" w:line="240" w:lineRule="auto"/>
            </w:pPr>
            <w:r>
              <w:rPr>
                <w:rFonts w:eastAsia="Times New Roman" w:cs="Calibri"/>
                <w:color w:val="000000"/>
                <w:sz w:val="20"/>
                <w:szCs w:val="20"/>
                <w:lang w:eastAsia="pl-PL"/>
              </w:rPr>
              <w:t>Niemcy</w:t>
            </w:r>
          </w:p>
        </w:tc>
        <w:tc>
          <w:tcPr>
            <w:tcW w:w="11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8524F08" w14:textId="77777777" w:rsidR="00B620BC" w:rsidRDefault="00B620BC" w:rsidP="00EF36FC">
            <w:pPr>
              <w:widowControl w:val="0"/>
              <w:spacing w:after="0" w:line="240" w:lineRule="auto"/>
            </w:pPr>
            <w:r>
              <w:rPr>
                <w:rFonts w:eastAsia="Times New Roman" w:cs="Calibri"/>
                <w:color w:val="000000"/>
                <w:sz w:val="20"/>
                <w:szCs w:val="20"/>
                <w:lang w:eastAsia="pl-PL"/>
              </w:rPr>
              <w:t>2557</w:t>
            </w:r>
          </w:p>
        </w:tc>
        <w:tc>
          <w:tcPr>
            <w:tcW w:w="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8AEDDB7" w14:textId="77777777" w:rsidR="00B620BC" w:rsidRDefault="00B620BC" w:rsidP="00EF36FC">
            <w:pPr>
              <w:widowControl w:val="0"/>
              <w:snapToGrid w:val="0"/>
              <w:spacing w:after="0" w:line="240" w:lineRule="auto"/>
              <w:rPr>
                <w:rFonts w:eastAsia="Times New Roman" w:cs="Calibri"/>
                <w:color w:val="000000"/>
                <w:sz w:val="20"/>
                <w:szCs w:val="20"/>
                <w:lang w:eastAsia="pl-PL"/>
              </w:rPr>
            </w:pPr>
          </w:p>
        </w:tc>
        <w:tc>
          <w:tcPr>
            <w:tcW w:w="15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7CA055" w14:textId="77777777" w:rsidR="00B620BC" w:rsidRDefault="00B620BC" w:rsidP="00EF36FC">
            <w:pPr>
              <w:widowControl w:val="0"/>
              <w:spacing w:after="0" w:line="240" w:lineRule="auto"/>
            </w:pPr>
            <w:r>
              <w:rPr>
                <w:rFonts w:eastAsia="Times New Roman" w:cs="Calibri"/>
                <w:color w:val="000000"/>
                <w:sz w:val="20"/>
                <w:szCs w:val="20"/>
                <w:lang w:eastAsia="pl-PL"/>
              </w:rPr>
              <w:t>Norwegia</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1F911B" w14:textId="77777777" w:rsidR="00B620BC" w:rsidRDefault="00B620BC" w:rsidP="00EF36FC">
            <w:pPr>
              <w:widowControl w:val="0"/>
              <w:spacing w:after="0" w:line="240" w:lineRule="auto"/>
            </w:pPr>
            <w:r>
              <w:rPr>
                <w:rFonts w:eastAsia="Times New Roman" w:cs="Calibri"/>
                <w:color w:val="000000"/>
                <w:sz w:val="20"/>
                <w:szCs w:val="20"/>
                <w:lang w:eastAsia="pl-PL"/>
              </w:rPr>
              <w:t>74</w:t>
            </w:r>
          </w:p>
        </w:tc>
      </w:tr>
      <w:tr w:rsidR="00B620BC" w14:paraId="47685952" w14:textId="77777777" w:rsidTr="00ED7916">
        <w:trPr>
          <w:trHeight w:val="296"/>
        </w:trPr>
        <w:tc>
          <w:tcPr>
            <w:tcW w:w="19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D5363C" w14:textId="77777777" w:rsidR="00B620BC" w:rsidRDefault="00B620BC" w:rsidP="00EF36FC">
            <w:pPr>
              <w:widowControl w:val="0"/>
              <w:spacing w:after="0" w:line="240" w:lineRule="auto"/>
            </w:pPr>
            <w:r>
              <w:rPr>
                <w:rFonts w:eastAsia="Times New Roman" w:cs="Calibri"/>
                <w:color w:val="000000"/>
                <w:sz w:val="20"/>
                <w:szCs w:val="20"/>
                <w:lang w:eastAsia="pl-PL"/>
              </w:rPr>
              <w:t>Szwecja</w:t>
            </w:r>
          </w:p>
        </w:tc>
        <w:tc>
          <w:tcPr>
            <w:tcW w:w="11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8E4769" w14:textId="77777777" w:rsidR="00B620BC" w:rsidRDefault="00B620BC" w:rsidP="00EF36FC">
            <w:pPr>
              <w:widowControl w:val="0"/>
              <w:spacing w:after="0" w:line="240" w:lineRule="auto"/>
            </w:pPr>
            <w:r>
              <w:rPr>
                <w:rFonts w:eastAsia="Times New Roman" w:cs="Calibri"/>
                <w:color w:val="000000"/>
                <w:sz w:val="20"/>
                <w:szCs w:val="20"/>
                <w:lang w:eastAsia="pl-PL"/>
              </w:rPr>
              <w:t>1439</w:t>
            </w:r>
          </w:p>
        </w:tc>
        <w:tc>
          <w:tcPr>
            <w:tcW w:w="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562FB0" w14:textId="77777777" w:rsidR="00B620BC" w:rsidRDefault="00B620BC" w:rsidP="00EF36FC">
            <w:pPr>
              <w:widowControl w:val="0"/>
              <w:snapToGrid w:val="0"/>
              <w:spacing w:after="0" w:line="240" w:lineRule="auto"/>
              <w:rPr>
                <w:rFonts w:eastAsia="Times New Roman" w:cs="Calibri"/>
                <w:color w:val="000000"/>
                <w:sz w:val="20"/>
                <w:szCs w:val="20"/>
                <w:lang w:eastAsia="pl-PL"/>
              </w:rPr>
            </w:pPr>
          </w:p>
        </w:tc>
        <w:tc>
          <w:tcPr>
            <w:tcW w:w="15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7015D2" w14:textId="77777777" w:rsidR="00B620BC" w:rsidRDefault="00B620BC" w:rsidP="00EF36FC">
            <w:pPr>
              <w:widowControl w:val="0"/>
              <w:spacing w:after="0" w:line="240" w:lineRule="auto"/>
            </w:pPr>
            <w:r>
              <w:rPr>
                <w:rFonts w:eastAsia="Times New Roman" w:cs="Calibri"/>
                <w:color w:val="000000"/>
                <w:sz w:val="20"/>
                <w:szCs w:val="20"/>
                <w:lang w:eastAsia="pl-PL"/>
              </w:rPr>
              <w:t>Węgry</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01CED4" w14:textId="77777777" w:rsidR="00B620BC" w:rsidRDefault="00B620BC" w:rsidP="00EF36FC">
            <w:pPr>
              <w:widowControl w:val="0"/>
              <w:spacing w:after="0" w:line="240" w:lineRule="auto"/>
            </w:pPr>
            <w:r>
              <w:rPr>
                <w:rFonts w:eastAsia="Times New Roman" w:cs="Calibri"/>
                <w:color w:val="000000"/>
                <w:sz w:val="20"/>
                <w:szCs w:val="20"/>
                <w:lang w:eastAsia="pl-PL"/>
              </w:rPr>
              <w:t>57</w:t>
            </w:r>
          </w:p>
        </w:tc>
      </w:tr>
      <w:tr w:rsidR="00B620BC" w14:paraId="10C5F48F" w14:textId="77777777" w:rsidTr="00ED7916">
        <w:trPr>
          <w:trHeight w:val="296"/>
        </w:trPr>
        <w:tc>
          <w:tcPr>
            <w:tcW w:w="19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3766C3" w14:textId="1B3D080F" w:rsidR="00B620BC" w:rsidRDefault="008B7694" w:rsidP="00EF36FC">
            <w:pPr>
              <w:widowControl w:val="0"/>
              <w:spacing w:after="0" w:line="240" w:lineRule="auto"/>
            </w:pPr>
            <w:r>
              <w:rPr>
                <w:rFonts w:eastAsia="Times New Roman" w:cs="Calibri"/>
                <w:color w:val="000000"/>
                <w:sz w:val="20"/>
                <w:szCs w:val="20"/>
                <w:lang w:eastAsia="pl-PL"/>
              </w:rPr>
              <w:t>Wielka Brytania</w:t>
            </w:r>
          </w:p>
        </w:tc>
        <w:tc>
          <w:tcPr>
            <w:tcW w:w="11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6DF90B" w14:textId="77777777" w:rsidR="00B620BC" w:rsidRDefault="00B620BC" w:rsidP="00EF36FC">
            <w:pPr>
              <w:widowControl w:val="0"/>
              <w:spacing w:after="0" w:line="240" w:lineRule="auto"/>
            </w:pPr>
            <w:r>
              <w:rPr>
                <w:rFonts w:eastAsia="Times New Roman" w:cs="Calibri"/>
                <w:color w:val="000000"/>
                <w:sz w:val="20"/>
                <w:szCs w:val="20"/>
                <w:lang w:eastAsia="pl-PL"/>
              </w:rPr>
              <w:t>1356</w:t>
            </w:r>
          </w:p>
        </w:tc>
        <w:tc>
          <w:tcPr>
            <w:tcW w:w="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F7E94B" w14:textId="77777777" w:rsidR="00B620BC" w:rsidRDefault="00B620BC" w:rsidP="00EF36FC">
            <w:pPr>
              <w:widowControl w:val="0"/>
              <w:snapToGrid w:val="0"/>
              <w:spacing w:after="0" w:line="240" w:lineRule="auto"/>
              <w:rPr>
                <w:rFonts w:eastAsia="Times New Roman" w:cs="Calibri"/>
                <w:color w:val="000000"/>
                <w:sz w:val="20"/>
                <w:szCs w:val="20"/>
                <w:lang w:eastAsia="pl-PL"/>
              </w:rPr>
            </w:pPr>
          </w:p>
        </w:tc>
        <w:tc>
          <w:tcPr>
            <w:tcW w:w="15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BDDB55" w14:textId="77777777" w:rsidR="00B620BC" w:rsidRDefault="00B620BC" w:rsidP="00EF36FC">
            <w:pPr>
              <w:widowControl w:val="0"/>
              <w:spacing w:after="0" w:line="240" w:lineRule="auto"/>
            </w:pPr>
            <w:r>
              <w:rPr>
                <w:rFonts w:eastAsia="Times New Roman" w:cs="Calibri"/>
                <w:color w:val="000000"/>
                <w:sz w:val="20"/>
                <w:szCs w:val="20"/>
                <w:lang w:eastAsia="pl-PL"/>
              </w:rPr>
              <w:t>Meksyk</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9413BD" w14:textId="77777777" w:rsidR="00B620BC" w:rsidRDefault="00B620BC" w:rsidP="00EF36FC">
            <w:pPr>
              <w:widowControl w:val="0"/>
              <w:spacing w:after="0" w:line="240" w:lineRule="auto"/>
            </w:pPr>
            <w:r>
              <w:rPr>
                <w:rFonts w:eastAsia="Times New Roman" w:cs="Calibri"/>
                <w:color w:val="000000"/>
                <w:sz w:val="20"/>
                <w:szCs w:val="20"/>
                <w:lang w:eastAsia="pl-PL"/>
              </w:rPr>
              <w:t>50</w:t>
            </w:r>
          </w:p>
        </w:tc>
      </w:tr>
      <w:tr w:rsidR="00B620BC" w14:paraId="5008EFF5" w14:textId="77777777" w:rsidTr="00ED7916">
        <w:trPr>
          <w:trHeight w:val="296"/>
        </w:trPr>
        <w:tc>
          <w:tcPr>
            <w:tcW w:w="19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43BC96" w14:textId="77777777" w:rsidR="00B620BC" w:rsidRDefault="00B620BC" w:rsidP="00EF36FC">
            <w:pPr>
              <w:widowControl w:val="0"/>
              <w:spacing w:after="0" w:line="240" w:lineRule="auto"/>
            </w:pPr>
            <w:r>
              <w:rPr>
                <w:rFonts w:eastAsia="Times New Roman" w:cs="Calibri"/>
                <w:color w:val="000000"/>
                <w:sz w:val="20"/>
                <w:szCs w:val="20"/>
                <w:lang w:eastAsia="pl-PL"/>
              </w:rPr>
              <w:t>Francja</w:t>
            </w:r>
          </w:p>
        </w:tc>
        <w:tc>
          <w:tcPr>
            <w:tcW w:w="11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A68787" w14:textId="77777777" w:rsidR="00B620BC" w:rsidRDefault="00B620BC" w:rsidP="00EF36FC">
            <w:pPr>
              <w:widowControl w:val="0"/>
              <w:spacing w:after="0" w:line="240" w:lineRule="auto"/>
            </w:pPr>
            <w:r>
              <w:rPr>
                <w:rFonts w:eastAsia="Times New Roman" w:cs="Calibri"/>
                <w:color w:val="000000"/>
                <w:sz w:val="20"/>
                <w:szCs w:val="20"/>
                <w:lang w:eastAsia="pl-PL"/>
              </w:rPr>
              <w:t>1352</w:t>
            </w:r>
          </w:p>
        </w:tc>
        <w:tc>
          <w:tcPr>
            <w:tcW w:w="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AA395C" w14:textId="77777777" w:rsidR="00B620BC" w:rsidRDefault="00B620BC" w:rsidP="00EF36FC">
            <w:pPr>
              <w:widowControl w:val="0"/>
              <w:snapToGrid w:val="0"/>
              <w:spacing w:after="0" w:line="240" w:lineRule="auto"/>
              <w:rPr>
                <w:rFonts w:eastAsia="Times New Roman" w:cs="Calibri"/>
                <w:color w:val="000000"/>
                <w:sz w:val="20"/>
                <w:szCs w:val="20"/>
                <w:lang w:eastAsia="pl-PL"/>
              </w:rPr>
            </w:pPr>
          </w:p>
        </w:tc>
        <w:tc>
          <w:tcPr>
            <w:tcW w:w="15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6746CF" w14:textId="77777777" w:rsidR="00B620BC" w:rsidRDefault="00B620BC" w:rsidP="00EF36FC">
            <w:pPr>
              <w:widowControl w:val="0"/>
              <w:spacing w:after="0" w:line="240" w:lineRule="auto"/>
            </w:pPr>
            <w:r>
              <w:rPr>
                <w:rFonts w:eastAsia="Times New Roman" w:cs="Calibri"/>
                <w:color w:val="000000"/>
                <w:sz w:val="20"/>
                <w:szCs w:val="20"/>
                <w:lang w:eastAsia="pl-PL"/>
              </w:rPr>
              <w:t>Nowa Zelandia</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141225" w14:textId="77777777" w:rsidR="00B620BC" w:rsidRDefault="00B620BC" w:rsidP="00EF36FC">
            <w:pPr>
              <w:widowControl w:val="0"/>
              <w:spacing w:after="0" w:line="240" w:lineRule="auto"/>
            </w:pPr>
            <w:r>
              <w:rPr>
                <w:rFonts w:eastAsia="Times New Roman" w:cs="Calibri"/>
                <w:color w:val="000000"/>
                <w:sz w:val="20"/>
                <w:szCs w:val="20"/>
                <w:lang w:eastAsia="pl-PL"/>
              </w:rPr>
              <w:t>37</w:t>
            </w:r>
          </w:p>
        </w:tc>
      </w:tr>
      <w:tr w:rsidR="00B620BC" w14:paraId="5452E060" w14:textId="77777777" w:rsidTr="00ED7916">
        <w:trPr>
          <w:trHeight w:val="296"/>
        </w:trPr>
        <w:tc>
          <w:tcPr>
            <w:tcW w:w="19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EA64AC" w14:textId="77777777" w:rsidR="00B620BC" w:rsidRDefault="00B620BC" w:rsidP="00EF36FC">
            <w:pPr>
              <w:widowControl w:val="0"/>
              <w:spacing w:after="0" w:line="240" w:lineRule="auto"/>
            </w:pPr>
            <w:r>
              <w:rPr>
                <w:rFonts w:eastAsia="Times New Roman" w:cs="Calibri"/>
                <w:color w:val="000000"/>
                <w:sz w:val="20"/>
                <w:szCs w:val="20"/>
                <w:lang w:eastAsia="pl-PL"/>
              </w:rPr>
              <w:t>Kanada</w:t>
            </w:r>
          </w:p>
        </w:tc>
        <w:tc>
          <w:tcPr>
            <w:tcW w:w="11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24C5B9" w14:textId="77777777" w:rsidR="00B620BC" w:rsidRDefault="00B620BC" w:rsidP="00EF36FC">
            <w:pPr>
              <w:widowControl w:val="0"/>
              <w:spacing w:after="0" w:line="240" w:lineRule="auto"/>
            </w:pPr>
            <w:r>
              <w:rPr>
                <w:rFonts w:eastAsia="Times New Roman" w:cs="Calibri"/>
                <w:color w:val="000000"/>
                <w:sz w:val="20"/>
                <w:szCs w:val="20"/>
                <w:lang w:eastAsia="pl-PL"/>
              </w:rPr>
              <w:t>921</w:t>
            </w:r>
          </w:p>
        </w:tc>
        <w:tc>
          <w:tcPr>
            <w:tcW w:w="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C1F644" w14:textId="77777777" w:rsidR="00B620BC" w:rsidRDefault="00B620BC" w:rsidP="00EF36FC">
            <w:pPr>
              <w:widowControl w:val="0"/>
              <w:snapToGrid w:val="0"/>
              <w:spacing w:after="0" w:line="240" w:lineRule="auto"/>
              <w:rPr>
                <w:rFonts w:eastAsia="Times New Roman" w:cs="Calibri"/>
                <w:color w:val="000000"/>
                <w:sz w:val="20"/>
                <w:szCs w:val="20"/>
                <w:lang w:eastAsia="pl-PL"/>
              </w:rPr>
            </w:pPr>
          </w:p>
        </w:tc>
        <w:tc>
          <w:tcPr>
            <w:tcW w:w="15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11780E" w14:textId="77777777" w:rsidR="00B620BC" w:rsidRDefault="00B620BC" w:rsidP="00EF36FC">
            <w:pPr>
              <w:widowControl w:val="0"/>
              <w:spacing w:after="0" w:line="240" w:lineRule="auto"/>
            </w:pPr>
            <w:r>
              <w:rPr>
                <w:rFonts w:eastAsia="Times New Roman" w:cs="Calibri"/>
                <w:color w:val="000000"/>
                <w:sz w:val="20"/>
                <w:szCs w:val="20"/>
                <w:lang w:eastAsia="pl-PL"/>
              </w:rPr>
              <w:t>Portugalia</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377365" w14:textId="77777777" w:rsidR="00B620BC" w:rsidRDefault="00B620BC" w:rsidP="00EF36FC">
            <w:pPr>
              <w:widowControl w:val="0"/>
              <w:spacing w:after="0" w:line="240" w:lineRule="auto"/>
            </w:pPr>
            <w:r>
              <w:rPr>
                <w:rFonts w:eastAsia="Times New Roman" w:cs="Calibri"/>
                <w:color w:val="000000"/>
                <w:sz w:val="20"/>
                <w:szCs w:val="20"/>
                <w:lang w:eastAsia="pl-PL"/>
              </w:rPr>
              <w:t>35</w:t>
            </w:r>
          </w:p>
        </w:tc>
      </w:tr>
      <w:tr w:rsidR="00B620BC" w14:paraId="36A39BFE" w14:textId="77777777" w:rsidTr="00ED7916">
        <w:trPr>
          <w:trHeight w:val="296"/>
        </w:trPr>
        <w:tc>
          <w:tcPr>
            <w:tcW w:w="19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76B84B" w14:textId="77777777" w:rsidR="00B620BC" w:rsidRDefault="00B620BC" w:rsidP="00EF36FC">
            <w:pPr>
              <w:widowControl w:val="0"/>
              <w:spacing w:after="0" w:line="240" w:lineRule="auto"/>
            </w:pPr>
            <w:r>
              <w:rPr>
                <w:rFonts w:eastAsia="Times New Roman" w:cs="Calibri"/>
                <w:color w:val="000000"/>
                <w:sz w:val="20"/>
                <w:szCs w:val="20"/>
                <w:lang w:eastAsia="pl-PL"/>
              </w:rPr>
              <w:t>Izrael</w:t>
            </w:r>
          </w:p>
        </w:tc>
        <w:tc>
          <w:tcPr>
            <w:tcW w:w="11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88BA90" w14:textId="77777777" w:rsidR="00B620BC" w:rsidRDefault="00B620BC" w:rsidP="00EF36FC">
            <w:pPr>
              <w:widowControl w:val="0"/>
              <w:spacing w:after="0" w:line="240" w:lineRule="auto"/>
            </w:pPr>
            <w:r>
              <w:rPr>
                <w:rFonts w:eastAsia="Times New Roman" w:cs="Calibri"/>
                <w:color w:val="000000"/>
                <w:sz w:val="20"/>
                <w:szCs w:val="20"/>
                <w:lang w:eastAsia="pl-PL"/>
              </w:rPr>
              <w:t>762</w:t>
            </w:r>
          </w:p>
        </w:tc>
        <w:tc>
          <w:tcPr>
            <w:tcW w:w="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69EB53" w14:textId="77777777" w:rsidR="00B620BC" w:rsidRDefault="00B620BC" w:rsidP="00EF36FC">
            <w:pPr>
              <w:widowControl w:val="0"/>
              <w:snapToGrid w:val="0"/>
              <w:spacing w:after="0" w:line="240" w:lineRule="auto"/>
              <w:rPr>
                <w:rFonts w:eastAsia="Times New Roman" w:cs="Calibri"/>
                <w:color w:val="000000"/>
                <w:sz w:val="20"/>
                <w:szCs w:val="20"/>
                <w:lang w:eastAsia="pl-PL"/>
              </w:rPr>
            </w:pPr>
          </w:p>
        </w:tc>
        <w:tc>
          <w:tcPr>
            <w:tcW w:w="15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758DCB" w14:textId="77777777" w:rsidR="00B620BC" w:rsidRDefault="00B620BC" w:rsidP="00EF36FC">
            <w:pPr>
              <w:widowControl w:val="0"/>
              <w:spacing w:after="0" w:line="240" w:lineRule="auto"/>
            </w:pPr>
            <w:r>
              <w:rPr>
                <w:rFonts w:eastAsia="Times New Roman" w:cs="Calibri"/>
                <w:color w:val="000000"/>
                <w:sz w:val="20"/>
                <w:szCs w:val="20"/>
                <w:lang w:eastAsia="pl-PL"/>
              </w:rPr>
              <w:t>Czechy</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CD78E5" w14:textId="77777777" w:rsidR="00B620BC" w:rsidRDefault="00B620BC" w:rsidP="00EF36FC">
            <w:pPr>
              <w:widowControl w:val="0"/>
              <w:spacing w:after="0" w:line="240" w:lineRule="auto"/>
            </w:pPr>
            <w:r>
              <w:rPr>
                <w:rFonts w:eastAsia="Times New Roman" w:cs="Calibri"/>
                <w:color w:val="000000"/>
                <w:sz w:val="20"/>
                <w:szCs w:val="20"/>
                <w:lang w:eastAsia="pl-PL"/>
              </w:rPr>
              <w:t>22</w:t>
            </w:r>
          </w:p>
        </w:tc>
      </w:tr>
      <w:tr w:rsidR="00B620BC" w14:paraId="4634838E" w14:textId="77777777" w:rsidTr="00ED7916">
        <w:trPr>
          <w:trHeight w:val="296"/>
        </w:trPr>
        <w:tc>
          <w:tcPr>
            <w:tcW w:w="19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A43EF5" w14:textId="77777777" w:rsidR="00B620BC" w:rsidRDefault="00B620BC" w:rsidP="00EF36FC">
            <w:pPr>
              <w:widowControl w:val="0"/>
              <w:spacing w:after="0" w:line="240" w:lineRule="auto"/>
            </w:pPr>
            <w:r>
              <w:rPr>
                <w:rFonts w:eastAsia="Times New Roman" w:cs="Calibri"/>
                <w:color w:val="000000"/>
                <w:sz w:val="20"/>
                <w:szCs w:val="20"/>
                <w:lang w:eastAsia="pl-PL"/>
              </w:rPr>
              <w:t>Holandia</w:t>
            </w:r>
          </w:p>
        </w:tc>
        <w:tc>
          <w:tcPr>
            <w:tcW w:w="11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110151E" w14:textId="77777777" w:rsidR="00B620BC" w:rsidRDefault="00B620BC" w:rsidP="00EF36FC">
            <w:pPr>
              <w:widowControl w:val="0"/>
              <w:spacing w:after="0" w:line="240" w:lineRule="auto"/>
            </w:pPr>
            <w:r>
              <w:rPr>
                <w:rFonts w:eastAsia="Times New Roman" w:cs="Calibri"/>
                <w:color w:val="000000"/>
                <w:sz w:val="20"/>
                <w:szCs w:val="20"/>
                <w:lang w:eastAsia="pl-PL"/>
              </w:rPr>
              <w:t>599</w:t>
            </w:r>
          </w:p>
        </w:tc>
        <w:tc>
          <w:tcPr>
            <w:tcW w:w="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07111E" w14:textId="77777777" w:rsidR="00B620BC" w:rsidRDefault="00B620BC" w:rsidP="00EF36FC">
            <w:pPr>
              <w:widowControl w:val="0"/>
              <w:snapToGrid w:val="0"/>
              <w:spacing w:after="0" w:line="240" w:lineRule="auto"/>
              <w:rPr>
                <w:rFonts w:eastAsia="Times New Roman" w:cs="Calibri"/>
                <w:color w:val="000000"/>
                <w:sz w:val="20"/>
                <w:szCs w:val="20"/>
                <w:lang w:eastAsia="pl-PL"/>
              </w:rPr>
            </w:pPr>
          </w:p>
        </w:tc>
        <w:tc>
          <w:tcPr>
            <w:tcW w:w="15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2870FB" w14:textId="77777777" w:rsidR="00B620BC" w:rsidRDefault="00B620BC" w:rsidP="00EF36FC">
            <w:pPr>
              <w:widowControl w:val="0"/>
              <w:spacing w:after="0" w:line="240" w:lineRule="auto"/>
            </w:pPr>
            <w:r>
              <w:rPr>
                <w:rFonts w:eastAsia="Times New Roman" w:cs="Calibri"/>
                <w:color w:val="000000"/>
                <w:sz w:val="20"/>
                <w:szCs w:val="20"/>
                <w:lang w:eastAsia="pl-PL"/>
              </w:rPr>
              <w:t>Chile</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833927" w14:textId="77777777" w:rsidR="00B620BC" w:rsidRDefault="00B620BC" w:rsidP="00EF36FC">
            <w:pPr>
              <w:widowControl w:val="0"/>
              <w:spacing w:after="0" w:line="240" w:lineRule="auto"/>
            </w:pPr>
            <w:r>
              <w:rPr>
                <w:rFonts w:eastAsia="Times New Roman" w:cs="Calibri"/>
                <w:color w:val="000000"/>
                <w:sz w:val="20"/>
                <w:szCs w:val="20"/>
                <w:lang w:eastAsia="pl-PL"/>
              </w:rPr>
              <w:t>18</w:t>
            </w:r>
          </w:p>
        </w:tc>
      </w:tr>
      <w:tr w:rsidR="00B620BC" w14:paraId="648EB25D" w14:textId="77777777" w:rsidTr="00ED7916">
        <w:trPr>
          <w:trHeight w:val="296"/>
        </w:trPr>
        <w:tc>
          <w:tcPr>
            <w:tcW w:w="19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A7B820" w14:textId="77777777" w:rsidR="00B620BC" w:rsidRDefault="00B620BC" w:rsidP="00EF36FC">
            <w:pPr>
              <w:widowControl w:val="0"/>
              <w:spacing w:after="0" w:line="240" w:lineRule="auto"/>
            </w:pPr>
            <w:r>
              <w:rPr>
                <w:rFonts w:eastAsia="Times New Roman" w:cs="Calibri"/>
                <w:color w:val="000000"/>
                <w:sz w:val="20"/>
                <w:szCs w:val="20"/>
                <w:lang w:eastAsia="pl-PL"/>
              </w:rPr>
              <w:t>Finlandia</w:t>
            </w:r>
          </w:p>
        </w:tc>
        <w:tc>
          <w:tcPr>
            <w:tcW w:w="11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4F7FCA" w14:textId="77777777" w:rsidR="00B620BC" w:rsidRDefault="00B620BC" w:rsidP="00EF36FC">
            <w:pPr>
              <w:widowControl w:val="0"/>
              <w:spacing w:after="0" w:line="240" w:lineRule="auto"/>
            </w:pPr>
            <w:r>
              <w:rPr>
                <w:rFonts w:eastAsia="Times New Roman" w:cs="Calibri"/>
                <w:color w:val="000000"/>
                <w:sz w:val="20"/>
                <w:szCs w:val="20"/>
                <w:lang w:eastAsia="pl-PL"/>
              </w:rPr>
              <w:t>501</w:t>
            </w:r>
          </w:p>
        </w:tc>
        <w:tc>
          <w:tcPr>
            <w:tcW w:w="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E62BE6" w14:textId="77777777" w:rsidR="00B620BC" w:rsidRDefault="00B620BC" w:rsidP="00EF36FC">
            <w:pPr>
              <w:widowControl w:val="0"/>
              <w:snapToGrid w:val="0"/>
              <w:spacing w:after="0" w:line="240" w:lineRule="auto"/>
              <w:rPr>
                <w:rFonts w:eastAsia="Times New Roman" w:cs="Calibri"/>
                <w:color w:val="000000"/>
                <w:sz w:val="20"/>
                <w:szCs w:val="20"/>
                <w:lang w:eastAsia="pl-PL"/>
              </w:rPr>
            </w:pPr>
          </w:p>
        </w:tc>
        <w:tc>
          <w:tcPr>
            <w:tcW w:w="15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2EBCEA" w14:textId="77777777" w:rsidR="00B620BC" w:rsidRDefault="00B620BC" w:rsidP="00EF36FC">
            <w:pPr>
              <w:widowControl w:val="0"/>
              <w:spacing w:after="0" w:line="240" w:lineRule="auto"/>
            </w:pPr>
            <w:r>
              <w:rPr>
                <w:rFonts w:eastAsia="Times New Roman" w:cs="Calibri"/>
                <w:color w:val="000000"/>
                <w:sz w:val="20"/>
                <w:szCs w:val="20"/>
                <w:lang w:eastAsia="pl-PL"/>
              </w:rPr>
              <w:t>Grecja</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125D36" w14:textId="77777777" w:rsidR="00B620BC" w:rsidRDefault="00B620BC" w:rsidP="00EF36FC">
            <w:pPr>
              <w:widowControl w:val="0"/>
              <w:spacing w:after="0" w:line="240" w:lineRule="auto"/>
            </w:pPr>
            <w:r>
              <w:rPr>
                <w:rFonts w:eastAsia="Times New Roman" w:cs="Calibri"/>
                <w:color w:val="000000"/>
                <w:sz w:val="20"/>
                <w:szCs w:val="20"/>
                <w:lang w:eastAsia="pl-PL"/>
              </w:rPr>
              <w:t>13</w:t>
            </w:r>
          </w:p>
        </w:tc>
      </w:tr>
      <w:tr w:rsidR="00B620BC" w14:paraId="234A3CFE" w14:textId="77777777" w:rsidTr="00ED7916">
        <w:trPr>
          <w:trHeight w:val="296"/>
        </w:trPr>
        <w:tc>
          <w:tcPr>
            <w:tcW w:w="19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5D7A24" w14:textId="77777777" w:rsidR="00B620BC" w:rsidRDefault="00B620BC" w:rsidP="00EF36FC">
            <w:pPr>
              <w:widowControl w:val="0"/>
              <w:spacing w:after="0" w:line="240" w:lineRule="auto"/>
            </w:pPr>
            <w:r>
              <w:rPr>
                <w:rFonts w:eastAsia="Times New Roman" w:cs="Calibri"/>
                <w:color w:val="000000"/>
                <w:sz w:val="20"/>
                <w:szCs w:val="20"/>
                <w:lang w:eastAsia="pl-PL"/>
              </w:rPr>
              <w:t>Australia</w:t>
            </w:r>
          </w:p>
        </w:tc>
        <w:tc>
          <w:tcPr>
            <w:tcW w:w="11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23A78D" w14:textId="77777777" w:rsidR="00B620BC" w:rsidRDefault="00B620BC" w:rsidP="00EF36FC">
            <w:pPr>
              <w:widowControl w:val="0"/>
              <w:spacing w:after="0" w:line="240" w:lineRule="auto"/>
            </w:pPr>
            <w:r>
              <w:rPr>
                <w:rFonts w:eastAsia="Times New Roman" w:cs="Calibri"/>
                <w:color w:val="000000"/>
                <w:sz w:val="20"/>
                <w:szCs w:val="20"/>
                <w:lang w:eastAsia="pl-PL"/>
              </w:rPr>
              <w:t>401</w:t>
            </w:r>
          </w:p>
        </w:tc>
        <w:tc>
          <w:tcPr>
            <w:tcW w:w="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DF71FD" w14:textId="77777777" w:rsidR="00B620BC" w:rsidRDefault="00B620BC" w:rsidP="00EF36FC">
            <w:pPr>
              <w:widowControl w:val="0"/>
              <w:snapToGrid w:val="0"/>
              <w:spacing w:after="0" w:line="240" w:lineRule="auto"/>
              <w:rPr>
                <w:rFonts w:eastAsia="Times New Roman" w:cs="Calibri"/>
                <w:color w:val="000000"/>
                <w:sz w:val="20"/>
                <w:szCs w:val="20"/>
                <w:lang w:eastAsia="pl-PL"/>
              </w:rPr>
            </w:pPr>
          </w:p>
        </w:tc>
        <w:tc>
          <w:tcPr>
            <w:tcW w:w="15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24BF5D" w14:textId="77777777" w:rsidR="00B620BC" w:rsidRDefault="00B620BC" w:rsidP="00EF36FC">
            <w:pPr>
              <w:widowControl w:val="0"/>
              <w:spacing w:after="0" w:line="240" w:lineRule="auto"/>
            </w:pPr>
            <w:r>
              <w:rPr>
                <w:rFonts w:eastAsia="Times New Roman" w:cs="Calibri"/>
                <w:color w:val="000000"/>
                <w:sz w:val="20"/>
                <w:szCs w:val="20"/>
                <w:lang w:eastAsia="pl-PL"/>
              </w:rPr>
              <w:t>Słowacja</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CE456D" w14:textId="77777777" w:rsidR="00B620BC" w:rsidRDefault="00B620BC" w:rsidP="00EF36FC">
            <w:pPr>
              <w:widowControl w:val="0"/>
              <w:spacing w:after="0" w:line="240" w:lineRule="auto"/>
            </w:pPr>
            <w:r>
              <w:rPr>
                <w:rFonts w:eastAsia="Times New Roman" w:cs="Calibri"/>
                <w:color w:val="000000"/>
                <w:sz w:val="20"/>
                <w:szCs w:val="20"/>
                <w:lang w:eastAsia="pl-PL"/>
              </w:rPr>
              <w:t>10</w:t>
            </w:r>
          </w:p>
        </w:tc>
      </w:tr>
      <w:tr w:rsidR="00B620BC" w14:paraId="12301C49" w14:textId="77777777" w:rsidTr="00ED7916">
        <w:trPr>
          <w:trHeight w:val="296"/>
        </w:trPr>
        <w:tc>
          <w:tcPr>
            <w:tcW w:w="19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12A04E" w14:textId="77777777" w:rsidR="00B620BC" w:rsidRDefault="00B620BC" w:rsidP="00EF36FC">
            <w:pPr>
              <w:widowControl w:val="0"/>
              <w:spacing w:after="0" w:line="240" w:lineRule="auto"/>
            </w:pPr>
            <w:r>
              <w:rPr>
                <w:rFonts w:eastAsia="Times New Roman" w:cs="Calibri"/>
                <w:color w:val="000000"/>
                <w:sz w:val="20"/>
                <w:szCs w:val="20"/>
                <w:lang w:eastAsia="pl-PL"/>
              </w:rPr>
              <w:t>Włochy</w:t>
            </w:r>
          </w:p>
        </w:tc>
        <w:tc>
          <w:tcPr>
            <w:tcW w:w="11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9CCDD7" w14:textId="77777777" w:rsidR="00B620BC" w:rsidRDefault="00B620BC" w:rsidP="00EF36FC">
            <w:pPr>
              <w:widowControl w:val="0"/>
              <w:spacing w:after="0" w:line="240" w:lineRule="auto"/>
            </w:pPr>
            <w:r>
              <w:rPr>
                <w:rFonts w:eastAsia="Times New Roman" w:cs="Calibri"/>
                <w:color w:val="000000"/>
                <w:sz w:val="20"/>
                <w:szCs w:val="20"/>
                <w:lang w:eastAsia="pl-PL"/>
              </w:rPr>
              <w:t>308</w:t>
            </w:r>
          </w:p>
        </w:tc>
        <w:tc>
          <w:tcPr>
            <w:tcW w:w="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919489" w14:textId="77777777" w:rsidR="00B620BC" w:rsidRDefault="00B620BC" w:rsidP="00EF36FC">
            <w:pPr>
              <w:widowControl w:val="0"/>
              <w:snapToGrid w:val="0"/>
              <w:spacing w:after="0" w:line="240" w:lineRule="auto"/>
              <w:rPr>
                <w:rFonts w:eastAsia="Times New Roman" w:cs="Calibri"/>
                <w:color w:val="000000"/>
                <w:sz w:val="20"/>
                <w:szCs w:val="20"/>
                <w:lang w:eastAsia="pl-PL"/>
              </w:rPr>
            </w:pPr>
          </w:p>
        </w:tc>
        <w:tc>
          <w:tcPr>
            <w:tcW w:w="15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FC2708" w14:textId="77777777" w:rsidR="00B620BC" w:rsidRDefault="00B620BC" w:rsidP="00EF36FC">
            <w:pPr>
              <w:widowControl w:val="0"/>
              <w:spacing w:after="0" w:line="240" w:lineRule="auto"/>
            </w:pPr>
            <w:r>
              <w:rPr>
                <w:rFonts w:eastAsia="Times New Roman" w:cs="Calibri"/>
                <w:color w:val="000000"/>
                <w:sz w:val="20"/>
                <w:szCs w:val="20"/>
                <w:lang w:eastAsia="pl-PL"/>
              </w:rPr>
              <w:t>Łotwa</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7240E3" w14:textId="77777777" w:rsidR="00B620BC" w:rsidRDefault="00B620BC" w:rsidP="00EF36FC">
            <w:pPr>
              <w:widowControl w:val="0"/>
              <w:spacing w:after="0" w:line="240" w:lineRule="auto"/>
            </w:pPr>
            <w:r>
              <w:rPr>
                <w:rFonts w:eastAsia="Times New Roman" w:cs="Calibri"/>
                <w:color w:val="000000"/>
                <w:sz w:val="20"/>
                <w:szCs w:val="20"/>
                <w:lang w:eastAsia="pl-PL"/>
              </w:rPr>
              <w:t>7</w:t>
            </w:r>
          </w:p>
        </w:tc>
      </w:tr>
      <w:tr w:rsidR="00B620BC" w14:paraId="767B19B0" w14:textId="77777777" w:rsidTr="00ED7916">
        <w:trPr>
          <w:trHeight w:val="296"/>
        </w:trPr>
        <w:tc>
          <w:tcPr>
            <w:tcW w:w="19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B9CB80" w14:textId="77777777" w:rsidR="00B620BC" w:rsidRDefault="00B620BC" w:rsidP="00EF36FC">
            <w:pPr>
              <w:widowControl w:val="0"/>
              <w:spacing w:after="0" w:line="240" w:lineRule="auto"/>
            </w:pPr>
            <w:r>
              <w:rPr>
                <w:rFonts w:eastAsia="Times New Roman" w:cs="Calibri"/>
                <w:color w:val="000000"/>
                <w:sz w:val="20"/>
                <w:szCs w:val="20"/>
                <w:lang w:eastAsia="pl-PL"/>
              </w:rPr>
              <w:t>Szwajcaria</w:t>
            </w:r>
          </w:p>
        </w:tc>
        <w:tc>
          <w:tcPr>
            <w:tcW w:w="11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C0C312" w14:textId="77777777" w:rsidR="00B620BC" w:rsidRDefault="00B620BC" w:rsidP="00EF36FC">
            <w:pPr>
              <w:widowControl w:val="0"/>
              <w:spacing w:after="0" w:line="240" w:lineRule="auto"/>
            </w:pPr>
            <w:r>
              <w:rPr>
                <w:rFonts w:eastAsia="Times New Roman" w:cs="Calibri"/>
                <w:color w:val="000000"/>
                <w:sz w:val="20"/>
                <w:szCs w:val="20"/>
                <w:lang w:eastAsia="pl-PL"/>
              </w:rPr>
              <w:t>261</w:t>
            </w:r>
          </w:p>
        </w:tc>
        <w:tc>
          <w:tcPr>
            <w:tcW w:w="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084DA7" w14:textId="77777777" w:rsidR="00B620BC" w:rsidRDefault="00B620BC" w:rsidP="00EF36FC">
            <w:pPr>
              <w:widowControl w:val="0"/>
              <w:snapToGrid w:val="0"/>
              <w:spacing w:after="0" w:line="240" w:lineRule="auto"/>
              <w:rPr>
                <w:rFonts w:eastAsia="Times New Roman" w:cs="Calibri"/>
                <w:color w:val="000000"/>
                <w:sz w:val="20"/>
                <w:szCs w:val="20"/>
                <w:lang w:eastAsia="pl-PL"/>
              </w:rPr>
            </w:pPr>
          </w:p>
        </w:tc>
        <w:tc>
          <w:tcPr>
            <w:tcW w:w="15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397B76A" w14:textId="77777777" w:rsidR="00B620BC" w:rsidRDefault="00B620BC" w:rsidP="00EF36FC">
            <w:pPr>
              <w:widowControl w:val="0"/>
              <w:spacing w:after="0" w:line="240" w:lineRule="auto"/>
            </w:pPr>
            <w:r>
              <w:rPr>
                <w:rFonts w:eastAsia="Times New Roman" w:cs="Calibri"/>
                <w:color w:val="000000"/>
                <w:sz w:val="20"/>
                <w:szCs w:val="20"/>
                <w:lang w:eastAsia="pl-PL"/>
              </w:rPr>
              <w:t>Słowenia</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643CBE" w14:textId="77777777" w:rsidR="00B620BC" w:rsidRDefault="00B620BC" w:rsidP="00EF36FC">
            <w:pPr>
              <w:widowControl w:val="0"/>
              <w:spacing w:after="0" w:line="240" w:lineRule="auto"/>
            </w:pPr>
            <w:r>
              <w:rPr>
                <w:rFonts w:eastAsia="Times New Roman" w:cs="Calibri"/>
                <w:color w:val="000000"/>
                <w:sz w:val="20"/>
                <w:szCs w:val="20"/>
                <w:lang w:eastAsia="pl-PL"/>
              </w:rPr>
              <w:t>7</w:t>
            </w:r>
          </w:p>
        </w:tc>
      </w:tr>
      <w:tr w:rsidR="00B620BC" w14:paraId="4912F8BE" w14:textId="77777777" w:rsidTr="00ED7916">
        <w:trPr>
          <w:trHeight w:val="296"/>
        </w:trPr>
        <w:tc>
          <w:tcPr>
            <w:tcW w:w="19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957EE1" w14:textId="77777777" w:rsidR="00B620BC" w:rsidRDefault="00B620BC" w:rsidP="00EF36FC">
            <w:pPr>
              <w:widowControl w:val="0"/>
              <w:spacing w:after="0" w:line="240" w:lineRule="auto"/>
            </w:pPr>
            <w:r>
              <w:rPr>
                <w:rFonts w:eastAsia="Times New Roman" w:cs="Calibri"/>
                <w:color w:val="000000"/>
                <w:sz w:val="20"/>
                <w:szCs w:val="20"/>
                <w:lang w:eastAsia="pl-PL"/>
              </w:rPr>
              <w:t>Belgia</w:t>
            </w:r>
          </w:p>
        </w:tc>
        <w:tc>
          <w:tcPr>
            <w:tcW w:w="11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1316703" w14:textId="77777777" w:rsidR="00B620BC" w:rsidRDefault="00B620BC" w:rsidP="00EF36FC">
            <w:pPr>
              <w:widowControl w:val="0"/>
              <w:spacing w:after="0" w:line="240" w:lineRule="auto"/>
            </w:pPr>
            <w:r>
              <w:rPr>
                <w:rFonts w:eastAsia="Times New Roman" w:cs="Calibri"/>
                <w:color w:val="000000"/>
                <w:sz w:val="20"/>
                <w:szCs w:val="20"/>
                <w:lang w:eastAsia="pl-PL"/>
              </w:rPr>
              <w:t>218</w:t>
            </w:r>
          </w:p>
        </w:tc>
        <w:tc>
          <w:tcPr>
            <w:tcW w:w="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49BFDF" w14:textId="77777777" w:rsidR="00B620BC" w:rsidRDefault="00B620BC" w:rsidP="00EF36FC">
            <w:pPr>
              <w:widowControl w:val="0"/>
              <w:snapToGrid w:val="0"/>
              <w:spacing w:after="0" w:line="240" w:lineRule="auto"/>
              <w:rPr>
                <w:rFonts w:eastAsia="Times New Roman" w:cs="Calibri"/>
                <w:color w:val="000000"/>
                <w:sz w:val="20"/>
                <w:szCs w:val="20"/>
                <w:lang w:eastAsia="pl-PL"/>
              </w:rPr>
            </w:pPr>
          </w:p>
        </w:tc>
        <w:tc>
          <w:tcPr>
            <w:tcW w:w="15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52A96E" w14:textId="77777777" w:rsidR="00B620BC" w:rsidRDefault="00B620BC" w:rsidP="00EF36FC">
            <w:pPr>
              <w:widowControl w:val="0"/>
              <w:spacing w:after="0" w:line="240" w:lineRule="auto"/>
            </w:pPr>
            <w:r>
              <w:rPr>
                <w:rFonts w:eastAsia="Times New Roman" w:cs="Calibri"/>
                <w:color w:val="000000"/>
                <w:sz w:val="20"/>
                <w:szCs w:val="20"/>
                <w:lang w:eastAsia="pl-PL"/>
              </w:rPr>
              <w:t>Estonia</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3A8526" w14:textId="77777777" w:rsidR="00B620BC" w:rsidRDefault="00B620BC" w:rsidP="00EF36FC">
            <w:pPr>
              <w:widowControl w:val="0"/>
              <w:spacing w:after="0" w:line="240" w:lineRule="auto"/>
            </w:pPr>
            <w:r>
              <w:rPr>
                <w:rFonts w:eastAsia="Times New Roman" w:cs="Calibri"/>
                <w:color w:val="000000"/>
                <w:sz w:val="20"/>
                <w:szCs w:val="20"/>
                <w:lang w:eastAsia="pl-PL"/>
              </w:rPr>
              <w:t>5</w:t>
            </w:r>
          </w:p>
        </w:tc>
      </w:tr>
      <w:tr w:rsidR="00B620BC" w14:paraId="22744493" w14:textId="77777777" w:rsidTr="00ED7916">
        <w:trPr>
          <w:trHeight w:val="70"/>
        </w:trPr>
        <w:tc>
          <w:tcPr>
            <w:tcW w:w="19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DD6743" w14:textId="77777777" w:rsidR="00B620BC" w:rsidRDefault="00B620BC" w:rsidP="00EF36FC">
            <w:pPr>
              <w:widowControl w:val="0"/>
              <w:spacing w:after="0" w:line="240" w:lineRule="auto"/>
            </w:pPr>
            <w:r>
              <w:rPr>
                <w:rFonts w:eastAsia="Times New Roman" w:cs="Calibri"/>
                <w:color w:val="000000"/>
                <w:sz w:val="20"/>
                <w:szCs w:val="20"/>
                <w:lang w:eastAsia="pl-PL"/>
              </w:rPr>
              <w:t>Hiszpania</w:t>
            </w:r>
          </w:p>
        </w:tc>
        <w:tc>
          <w:tcPr>
            <w:tcW w:w="11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CF782B" w14:textId="77777777" w:rsidR="00B620BC" w:rsidRDefault="00B620BC" w:rsidP="00EF36FC">
            <w:pPr>
              <w:widowControl w:val="0"/>
              <w:spacing w:after="0" w:line="240" w:lineRule="auto"/>
            </w:pPr>
            <w:r>
              <w:rPr>
                <w:rFonts w:eastAsia="Times New Roman" w:cs="Calibri"/>
                <w:color w:val="000000"/>
                <w:sz w:val="20"/>
                <w:szCs w:val="20"/>
                <w:lang w:eastAsia="pl-PL"/>
              </w:rPr>
              <w:t>187</w:t>
            </w:r>
          </w:p>
        </w:tc>
        <w:tc>
          <w:tcPr>
            <w:tcW w:w="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41C2CB" w14:textId="77777777" w:rsidR="00B620BC" w:rsidRDefault="00B620BC" w:rsidP="00EF36FC">
            <w:pPr>
              <w:widowControl w:val="0"/>
              <w:snapToGrid w:val="0"/>
              <w:spacing w:after="0" w:line="240" w:lineRule="auto"/>
              <w:rPr>
                <w:rFonts w:eastAsia="Times New Roman" w:cs="Calibri"/>
                <w:color w:val="000000"/>
                <w:sz w:val="20"/>
                <w:szCs w:val="20"/>
                <w:lang w:eastAsia="pl-PL"/>
              </w:rPr>
            </w:pPr>
          </w:p>
        </w:tc>
        <w:tc>
          <w:tcPr>
            <w:tcW w:w="15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DAAFEC" w14:textId="77777777" w:rsidR="00B620BC" w:rsidRDefault="00B620BC" w:rsidP="00EF36FC">
            <w:pPr>
              <w:widowControl w:val="0"/>
              <w:spacing w:after="0" w:line="240" w:lineRule="auto"/>
            </w:pPr>
            <w:r>
              <w:rPr>
                <w:rFonts w:eastAsia="Times New Roman" w:cs="Calibri"/>
                <w:color w:val="000000"/>
                <w:sz w:val="20"/>
                <w:szCs w:val="20"/>
                <w:lang w:eastAsia="pl-PL"/>
              </w:rPr>
              <w:t>Luksemburg</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9BEA32" w14:textId="77777777" w:rsidR="00B620BC" w:rsidRDefault="00B620BC" w:rsidP="00EF36FC">
            <w:pPr>
              <w:widowControl w:val="0"/>
              <w:spacing w:after="0" w:line="240" w:lineRule="auto"/>
            </w:pPr>
            <w:r>
              <w:rPr>
                <w:rFonts w:eastAsia="Times New Roman" w:cs="Calibri"/>
                <w:color w:val="000000"/>
                <w:sz w:val="20"/>
                <w:szCs w:val="20"/>
                <w:lang w:eastAsia="pl-PL"/>
              </w:rPr>
              <w:t>5</w:t>
            </w:r>
          </w:p>
        </w:tc>
      </w:tr>
      <w:tr w:rsidR="00B620BC" w14:paraId="1FA9D60B" w14:textId="77777777" w:rsidTr="00ED7916">
        <w:trPr>
          <w:trHeight w:val="70"/>
        </w:trPr>
        <w:tc>
          <w:tcPr>
            <w:tcW w:w="19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1778F05" w14:textId="77777777" w:rsidR="00B620BC" w:rsidRDefault="00B620BC" w:rsidP="00EF36FC">
            <w:pPr>
              <w:widowControl w:val="0"/>
              <w:spacing w:after="0" w:line="240" w:lineRule="auto"/>
            </w:pPr>
            <w:r>
              <w:rPr>
                <w:rFonts w:eastAsia="Times New Roman" w:cs="Calibri"/>
                <w:color w:val="000000"/>
                <w:sz w:val="20"/>
                <w:szCs w:val="20"/>
                <w:lang w:eastAsia="pl-PL"/>
              </w:rPr>
              <w:t>Dania</w:t>
            </w:r>
          </w:p>
        </w:tc>
        <w:tc>
          <w:tcPr>
            <w:tcW w:w="11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B6A7EE" w14:textId="77777777" w:rsidR="00B620BC" w:rsidRDefault="00B620BC" w:rsidP="00EF36FC">
            <w:pPr>
              <w:widowControl w:val="0"/>
              <w:spacing w:after="0" w:line="240" w:lineRule="auto"/>
            </w:pPr>
            <w:r>
              <w:rPr>
                <w:rFonts w:eastAsia="Times New Roman" w:cs="Calibri"/>
                <w:color w:val="000000"/>
                <w:sz w:val="20"/>
                <w:szCs w:val="20"/>
                <w:lang w:eastAsia="pl-PL"/>
              </w:rPr>
              <w:t>154</w:t>
            </w:r>
          </w:p>
        </w:tc>
        <w:tc>
          <w:tcPr>
            <w:tcW w:w="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552BA0" w14:textId="77777777" w:rsidR="00B620BC" w:rsidRDefault="00B620BC" w:rsidP="00EF36FC">
            <w:pPr>
              <w:widowControl w:val="0"/>
              <w:snapToGrid w:val="0"/>
              <w:spacing w:after="0" w:line="240" w:lineRule="auto"/>
              <w:rPr>
                <w:rFonts w:eastAsia="Times New Roman" w:cs="Calibri"/>
                <w:color w:val="000000"/>
                <w:sz w:val="20"/>
                <w:szCs w:val="20"/>
                <w:lang w:eastAsia="pl-PL"/>
              </w:rPr>
            </w:pPr>
          </w:p>
        </w:tc>
        <w:tc>
          <w:tcPr>
            <w:tcW w:w="15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7794FC" w14:textId="77777777" w:rsidR="00B620BC" w:rsidRDefault="00B620BC" w:rsidP="00EF36FC">
            <w:pPr>
              <w:widowControl w:val="0"/>
              <w:spacing w:after="0" w:line="240" w:lineRule="auto"/>
            </w:pPr>
            <w:r>
              <w:rPr>
                <w:rFonts w:eastAsia="Times New Roman" w:cs="Calibri"/>
                <w:color w:val="000000"/>
                <w:sz w:val="20"/>
                <w:szCs w:val="20"/>
                <w:lang w:eastAsia="pl-PL"/>
              </w:rPr>
              <w:t>Islandia</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9B44C3" w14:textId="77777777" w:rsidR="00B620BC" w:rsidRDefault="00B620BC" w:rsidP="00EF36FC">
            <w:pPr>
              <w:widowControl w:val="0"/>
              <w:spacing w:after="0" w:line="240" w:lineRule="auto"/>
            </w:pPr>
            <w:r>
              <w:rPr>
                <w:rFonts w:eastAsia="Times New Roman" w:cs="Calibri"/>
                <w:color w:val="000000"/>
                <w:sz w:val="20"/>
                <w:szCs w:val="20"/>
                <w:lang w:eastAsia="pl-PL"/>
              </w:rPr>
              <w:t>2</w:t>
            </w:r>
          </w:p>
        </w:tc>
      </w:tr>
      <w:tr w:rsidR="00B620BC" w14:paraId="777AEB2D" w14:textId="77777777" w:rsidTr="00ED7916">
        <w:trPr>
          <w:trHeight w:val="70"/>
        </w:trPr>
        <w:tc>
          <w:tcPr>
            <w:tcW w:w="19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852F60" w14:textId="77777777" w:rsidR="00B620BC" w:rsidRDefault="00B620BC" w:rsidP="00EF36FC">
            <w:pPr>
              <w:widowControl w:val="0"/>
              <w:spacing w:after="0" w:line="240" w:lineRule="auto"/>
            </w:pPr>
            <w:r>
              <w:rPr>
                <w:rFonts w:eastAsia="Times New Roman" w:cs="Calibri"/>
                <w:color w:val="000000"/>
                <w:sz w:val="20"/>
                <w:szCs w:val="20"/>
                <w:lang w:eastAsia="pl-PL"/>
              </w:rPr>
              <w:t>Austria</w:t>
            </w:r>
          </w:p>
        </w:tc>
        <w:tc>
          <w:tcPr>
            <w:tcW w:w="117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77455F" w14:textId="77777777" w:rsidR="00B620BC" w:rsidRDefault="00B620BC" w:rsidP="00EF36FC">
            <w:pPr>
              <w:widowControl w:val="0"/>
              <w:spacing w:after="0" w:line="240" w:lineRule="auto"/>
            </w:pPr>
            <w:r>
              <w:rPr>
                <w:rFonts w:eastAsia="Times New Roman" w:cs="Calibri"/>
                <w:color w:val="000000"/>
                <w:sz w:val="20"/>
                <w:szCs w:val="20"/>
                <w:lang w:eastAsia="pl-PL"/>
              </w:rPr>
              <w:t>150</w:t>
            </w:r>
          </w:p>
        </w:tc>
        <w:tc>
          <w:tcPr>
            <w:tcW w:w="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3AD42FF" w14:textId="77777777" w:rsidR="00B620BC" w:rsidRDefault="00B620BC" w:rsidP="00EF36FC">
            <w:pPr>
              <w:widowControl w:val="0"/>
              <w:snapToGrid w:val="0"/>
              <w:spacing w:after="0" w:line="240" w:lineRule="auto"/>
              <w:rPr>
                <w:rFonts w:eastAsia="Times New Roman" w:cs="Calibri"/>
                <w:color w:val="000000"/>
                <w:sz w:val="20"/>
                <w:szCs w:val="20"/>
                <w:lang w:eastAsia="pl-PL"/>
              </w:rPr>
            </w:pPr>
          </w:p>
        </w:tc>
        <w:tc>
          <w:tcPr>
            <w:tcW w:w="15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F029A6" w14:textId="77777777" w:rsidR="00B620BC" w:rsidRDefault="00B620BC" w:rsidP="00EF36FC">
            <w:pPr>
              <w:widowControl w:val="0"/>
              <w:snapToGrid w:val="0"/>
              <w:spacing w:after="0" w:line="240" w:lineRule="auto"/>
              <w:rPr>
                <w:rFonts w:eastAsia="Times New Roman" w:cs="Calibri"/>
                <w:color w:val="000000"/>
                <w:sz w:val="20"/>
                <w:szCs w:val="20"/>
                <w:lang w:eastAsia="pl-PL"/>
              </w:rPr>
            </w:pP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7A8632" w14:textId="77777777" w:rsidR="00B620BC" w:rsidRDefault="00B620BC" w:rsidP="00EF36FC">
            <w:pPr>
              <w:widowControl w:val="0"/>
              <w:snapToGrid w:val="0"/>
              <w:spacing w:after="0" w:line="240" w:lineRule="auto"/>
              <w:rPr>
                <w:rFonts w:eastAsia="Times New Roman" w:cs="Calibri"/>
                <w:color w:val="000000"/>
                <w:sz w:val="20"/>
                <w:szCs w:val="20"/>
                <w:lang w:eastAsia="pl-PL"/>
              </w:rPr>
            </w:pPr>
          </w:p>
        </w:tc>
      </w:tr>
    </w:tbl>
    <w:p w14:paraId="419D1456" w14:textId="0F6AE2A5" w:rsidR="00B620BC" w:rsidRPr="00CB07D4" w:rsidRDefault="00B620BC" w:rsidP="00B620BC">
      <w:pPr>
        <w:pStyle w:val="Bezodstpw2"/>
        <w:rPr>
          <w:rFonts w:ascii="Arial Narrow" w:hAnsi="Arial Narrow"/>
          <w:sz w:val="20"/>
        </w:rPr>
      </w:pPr>
      <w:r w:rsidRPr="00CB07D4">
        <w:rPr>
          <w:rFonts w:ascii="Arial Narrow" w:hAnsi="Arial Narrow"/>
          <w:sz w:val="20"/>
        </w:rPr>
        <w:t>Źródło: OECD (2017</w:t>
      </w:r>
      <w:r w:rsidR="008B7694" w:rsidRPr="00CB07D4">
        <w:rPr>
          <w:rFonts w:ascii="Arial Narrow" w:hAnsi="Arial Narrow"/>
          <w:sz w:val="20"/>
          <w:szCs w:val="20"/>
        </w:rPr>
        <w:t xml:space="preserve"> r.</w:t>
      </w:r>
      <w:r w:rsidRPr="00CB07D4">
        <w:rPr>
          <w:rFonts w:ascii="Arial Narrow" w:eastAsia="Times New Roman" w:hAnsi="Arial Narrow"/>
          <w:color w:val="000000"/>
          <w:sz w:val="20"/>
          <w:szCs w:val="20"/>
          <w:lang w:eastAsia="pl-PL"/>
        </w:rPr>
        <w:t>)</w:t>
      </w:r>
    </w:p>
    <w:p w14:paraId="4221F757" w14:textId="679ECB2A" w:rsidR="00B620BC" w:rsidRDefault="00B620BC" w:rsidP="00B620BC">
      <w:r>
        <w:lastRenderedPageBreak/>
        <w:t>Jeśli chodzi</w:t>
      </w:r>
      <w:r w:rsidR="006343E1">
        <w:t xml:space="preserve"> o </w:t>
      </w:r>
      <w:r>
        <w:t>przestrzenny rozkład działalności gospodarczej</w:t>
      </w:r>
      <w:r w:rsidR="006343E1">
        <w:t xml:space="preserve"> w </w:t>
      </w:r>
      <w:r>
        <w:t>sektorze IT</w:t>
      </w:r>
      <w:r w:rsidRPr="007A3554">
        <w:rPr>
          <w:rStyle w:val="Znakiprzypiswdolnych"/>
          <w:rFonts w:cs="Calibri"/>
          <w:sz w:val="21"/>
          <w:szCs w:val="21"/>
          <w:vertAlign w:val="superscript"/>
        </w:rPr>
        <w:footnoteReference w:id="47"/>
      </w:r>
      <w:r>
        <w:t>,</w:t>
      </w:r>
      <w:r w:rsidR="006343E1">
        <w:t xml:space="preserve"> w </w:t>
      </w:r>
      <w:r>
        <w:t>2016 r. ponad 30% firm działało</w:t>
      </w:r>
      <w:r w:rsidR="006343E1">
        <w:t xml:space="preserve"> w </w:t>
      </w:r>
      <w:r>
        <w:t>województwie mazowieckim. W przypadku 10 województw</w:t>
      </w:r>
      <w:r w:rsidR="006343E1">
        <w:t xml:space="preserve"> o </w:t>
      </w:r>
      <w:r>
        <w:t>najniższym udziale</w:t>
      </w:r>
      <w:r w:rsidR="006343E1">
        <w:t xml:space="preserve"> w </w:t>
      </w:r>
      <w:r>
        <w:t>ogólnopolskiej populacji firm IT, udział ten jest niższy od udziału</w:t>
      </w:r>
      <w:r w:rsidR="006343E1">
        <w:t xml:space="preserve"> w </w:t>
      </w:r>
      <w:r>
        <w:t>PKB, który</w:t>
      </w:r>
      <w:r w:rsidR="006343E1">
        <w:t xml:space="preserve"> z </w:t>
      </w:r>
      <w:r>
        <w:t>kolei jest zawsze niższy od udziału</w:t>
      </w:r>
      <w:r w:rsidR="006343E1">
        <w:t xml:space="preserve"> w </w:t>
      </w:r>
      <w:r>
        <w:t>ludności</w:t>
      </w:r>
      <w:r w:rsidR="006343E1">
        <w:t xml:space="preserve"> w </w:t>
      </w:r>
      <w:r>
        <w:t>wieku produkcyjnym. Jeśliby mierzyć zatem poziom rozwoju sektora IT</w:t>
      </w:r>
      <w:r w:rsidR="006343E1">
        <w:t xml:space="preserve"> w </w:t>
      </w:r>
      <w:r>
        <w:t>województwach względnymi liczebnościami firm z tego sektora (pomijając mikroprzedsiębiorstwa), należałoby wnioskować</w:t>
      </w:r>
      <w:r w:rsidR="00477C54">
        <w:t>, że </w:t>
      </w:r>
      <w:r>
        <w:t>dysproporcje</w:t>
      </w:r>
      <w:r w:rsidR="006343E1">
        <w:t xml:space="preserve"> w </w:t>
      </w:r>
      <w:r>
        <w:t>jego rozwoju są jeszcze silniejsze niż dysproporcje</w:t>
      </w:r>
      <w:r w:rsidR="006343E1">
        <w:t xml:space="preserve"> w </w:t>
      </w:r>
      <w:r>
        <w:t>rozwoju gospodarczym.</w:t>
      </w:r>
      <w:r w:rsidR="006343E1">
        <w:t xml:space="preserve"> Z </w:t>
      </w:r>
      <w:r>
        <w:t>punktu widzenia rozwoju zrównoważonego terytorialnie sytuację taką należałoby uznać za niekorzystną, ponieważ generalnie większa niż</w:t>
      </w:r>
      <w:r w:rsidR="006343E1">
        <w:t xml:space="preserve"> w </w:t>
      </w:r>
      <w:r>
        <w:t>innych branżach produktywność</w:t>
      </w:r>
      <w:r w:rsidR="006343E1">
        <w:t xml:space="preserve"> i </w:t>
      </w:r>
      <w:r>
        <w:t>innowacyjność sektora IT będzie sprzyjać dalszemu pogłębianiu dysproporcji gospodarczych.</w:t>
      </w:r>
    </w:p>
    <w:tbl>
      <w:tblPr>
        <w:tblW w:w="0" w:type="auto"/>
        <w:tblInd w:w="216" w:type="dxa"/>
        <w:tblLayout w:type="fixed"/>
        <w:tblLook w:val="0000" w:firstRow="0" w:lastRow="0" w:firstColumn="0" w:lastColumn="0" w:noHBand="0" w:noVBand="0"/>
      </w:tblPr>
      <w:tblGrid>
        <w:gridCol w:w="8644"/>
      </w:tblGrid>
      <w:tr w:rsidR="00B620BC" w14:paraId="153D2194" w14:textId="77777777" w:rsidTr="00AF2A9A">
        <w:trPr>
          <w:trHeight w:val="249"/>
        </w:trPr>
        <w:tc>
          <w:tcPr>
            <w:tcW w:w="8644" w:type="dxa"/>
            <w:shd w:val="clear" w:color="auto" w:fill="auto"/>
          </w:tcPr>
          <w:p w14:paraId="2C1AA51D" w14:textId="7A651DF1" w:rsidR="00B620BC" w:rsidRDefault="00332B11" w:rsidP="00FC6E8F">
            <w:pPr>
              <w:widowControl w:val="0"/>
              <w:spacing w:after="0" w:line="240" w:lineRule="auto"/>
              <w:ind w:left="1094" w:hanging="1094"/>
            </w:pPr>
            <w:r>
              <w:rPr>
                <w:rFonts w:cs="Calibri"/>
                <w:b/>
                <w:sz w:val="21"/>
                <w:szCs w:val="21"/>
              </w:rPr>
              <w:t xml:space="preserve">Wykres </w:t>
            </w:r>
            <w:r w:rsidR="00FC6E8F">
              <w:rPr>
                <w:rFonts w:cs="Calibri"/>
                <w:b/>
                <w:sz w:val="21"/>
                <w:szCs w:val="21"/>
              </w:rPr>
              <w:t>58.</w:t>
            </w:r>
            <w:r w:rsidR="00B620BC">
              <w:rPr>
                <w:rFonts w:cs="Calibri"/>
                <w:b/>
                <w:sz w:val="21"/>
                <w:szCs w:val="21"/>
              </w:rPr>
              <w:t xml:space="preserve"> Udział województw</w:t>
            </w:r>
            <w:r w:rsidR="006343E1">
              <w:rPr>
                <w:rFonts w:cs="Calibri"/>
                <w:b/>
                <w:sz w:val="21"/>
                <w:szCs w:val="21"/>
              </w:rPr>
              <w:t xml:space="preserve"> w </w:t>
            </w:r>
            <w:r w:rsidR="00B620BC">
              <w:rPr>
                <w:rFonts w:cs="Calibri"/>
                <w:b/>
                <w:sz w:val="21"/>
                <w:szCs w:val="21"/>
              </w:rPr>
              <w:t>ogólnopolskiej liczebności firm IT, PKB oraz populacji (%)</w:t>
            </w:r>
          </w:p>
        </w:tc>
      </w:tr>
      <w:tr w:rsidR="00B620BC" w14:paraId="13F945E0" w14:textId="77777777" w:rsidTr="00AF2A9A">
        <w:trPr>
          <w:trHeight w:val="4701"/>
        </w:trPr>
        <w:tc>
          <w:tcPr>
            <w:tcW w:w="8644" w:type="dxa"/>
            <w:shd w:val="clear" w:color="auto" w:fill="auto"/>
          </w:tcPr>
          <w:p w14:paraId="653DEEA6" w14:textId="397FFE41" w:rsidR="00B620BC" w:rsidRDefault="00B620BC" w:rsidP="00EF36FC">
            <w:pPr>
              <w:widowControl w:val="0"/>
              <w:spacing w:after="0" w:line="240" w:lineRule="auto"/>
            </w:pPr>
            <w:r>
              <w:rPr>
                <w:noProof/>
                <w:lang w:eastAsia="pl-PL"/>
              </w:rPr>
              <w:drawing>
                <wp:inline distT="0" distB="0" distL="0" distR="0" wp14:anchorId="28D39974" wp14:editId="181E6B4B">
                  <wp:extent cx="5105400" cy="3500846"/>
                  <wp:effectExtent l="0" t="0" r="0" b="4445"/>
                  <wp:docPr id="224" name="Obraz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pic:cNvPicPr>
                            <a:picLocks noChangeAspect="1" noChangeArrowheads="1"/>
                          </pic:cNvPicPr>
                        </pic:nvPicPr>
                        <pic:blipFill>
                          <a:blip r:embed="rId93">
                            <a:extLst>
                              <a:ext uri="{28A0092B-C50C-407E-A947-70E740481C1C}">
                                <a14:useLocalDpi xmlns:a14="http://schemas.microsoft.com/office/drawing/2010/main" val="0"/>
                              </a:ext>
                            </a:extLst>
                          </a:blip>
                          <a:srcRect l="-17" t="-24" r="-17" b="-24"/>
                          <a:stretch>
                            <a:fillRect/>
                          </a:stretch>
                        </pic:blipFill>
                        <pic:spPr bwMode="auto">
                          <a:xfrm>
                            <a:off x="0" y="0"/>
                            <a:ext cx="5105400" cy="3500846"/>
                          </a:xfrm>
                          <a:prstGeom prst="rect">
                            <a:avLst/>
                          </a:prstGeom>
                          <a:solidFill>
                            <a:srgbClr val="FFFFFF"/>
                          </a:solidFill>
                          <a:ln>
                            <a:noFill/>
                          </a:ln>
                        </pic:spPr>
                      </pic:pic>
                    </a:graphicData>
                  </a:graphic>
                </wp:inline>
              </w:drawing>
            </w:r>
          </w:p>
        </w:tc>
      </w:tr>
      <w:tr w:rsidR="00B620BC" w14:paraId="0D659F38" w14:textId="77777777" w:rsidTr="00AF2A9A">
        <w:trPr>
          <w:trHeight w:val="263"/>
        </w:trPr>
        <w:tc>
          <w:tcPr>
            <w:tcW w:w="8644" w:type="dxa"/>
            <w:shd w:val="clear" w:color="auto" w:fill="auto"/>
          </w:tcPr>
          <w:p w14:paraId="5CFA679B" w14:textId="77777777" w:rsidR="00B620BC" w:rsidRPr="00CB07D4" w:rsidRDefault="00B620BC" w:rsidP="00EF36FC">
            <w:pPr>
              <w:pStyle w:val="Bezodstpw2"/>
              <w:widowControl w:val="0"/>
              <w:rPr>
                <w:rFonts w:ascii="Arial Narrow" w:hAnsi="Arial Narrow"/>
                <w:sz w:val="20"/>
              </w:rPr>
            </w:pPr>
            <w:r w:rsidRPr="00CB07D4">
              <w:rPr>
                <w:rFonts w:ascii="Arial Narrow" w:hAnsi="Arial Narrow"/>
                <w:sz w:val="20"/>
              </w:rPr>
              <w:t xml:space="preserve">Źródło: Opracowanie własne na podstawie danych GUS </w:t>
            </w:r>
          </w:p>
        </w:tc>
      </w:tr>
    </w:tbl>
    <w:p w14:paraId="0E99EF21" w14:textId="2A8304B2" w:rsidR="00B620BC" w:rsidRDefault="00B620BC" w:rsidP="00B620BC">
      <w:r>
        <w:t>Za niepokojące zjawisko należy uznać również fakt</w:t>
      </w:r>
      <w:r w:rsidR="00477C54">
        <w:t>, że </w:t>
      </w:r>
      <w:r>
        <w:t>wzrost sektora IT jest</w:t>
      </w:r>
      <w:r w:rsidR="006343E1">
        <w:t xml:space="preserve"> w </w:t>
      </w:r>
      <w:r>
        <w:t>ostatnich latach wolniejszy niż wzrost PKB.</w:t>
      </w:r>
      <w:r w:rsidR="006343E1">
        <w:t xml:space="preserve"> W </w:t>
      </w:r>
      <w:r>
        <w:t>2017 r. branża urosła</w:t>
      </w:r>
      <w:r w:rsidR="006343E1">
        <w:t xml:space="preserve"> o </w:t>
      </w:r>
      <w:r>
        <w:t>1,5%</w:t>
      </w:r>
      <w:r w:rsidR="008B7694">
        <w:t>,</w:t>
      </w:r>
      <w:r>
        <w:t xml:space="preserve"> podczas gdy cała gospodarka</w:t>
      </w:r>
      <w:r w:rsidR="006343E1">
        <w:t xml:space="preserve"> o </w:t>
      </w:r>
      <w:r>
        <w:t>4,8%. Trzy czwarte jej przychodów generuje 50 największych firm,</w:t>
      </w:r>
      <w:r w:rsidR="006343E1">
        <w:t xml:space="preserve"> z </w:t>
      </w:r>
      <w:r>
        <w:t>których dwie trzecie to oddziały firm międzynarodowych</w:t>
      </w:r>
      <w:r w:rsidRPr="00CB07D4">
        <w:rPr>
          <w:rStyle w:val="Znakiprzypiswdolnych"/>
          <w:sz w:val="21"/>
          <w:vertAlign w:val="superscript"/>
        </w:rPr>
        <w:footnoteReference w:id="48"/>
      </w:r>
      <w:r>
        <w:t>.</w:t>
      </w:r>
      <w:r w:rsidR="006343E1">
        <w:t xml:space="preserve"> W </w:t>
      </w:r>
      <w:r>
        <w:t>najbardziej rozwiniętych państwach branża IT jest jednym</w:t>
      </w:r>
      <w:r w:rsidR="006343E1">
        <w:t xml:space="preserve"> z </w:t>
      </w:r>
      <w:r>
        <w:t>głównych motorów wzrostu. Jeśli tempo rozwoju Polski ma</w:t>
      </w:r>
      <w:r w:rsidR="006343E1">
        <w:t xml:space="preserve"> w </w:t>
      </w:r>
      <w:r>
        <w:t>długim okresie zostać utrzymane, polski sektor IT powinien rozwijać się zdecydowanie szybciej. Zarówno po stronie rządowej</w:t>
      </w:r>
      <w:r w:rsidR="008B7694">
        <w:t>,</w:t>
      </w:r>
      <w:r>
        <w:t xml:space="preserve"> jak</w:t>
      </w:r>
      <w:r w:rsidR="006343E1">
        <w:t xml:space="preserve"> i </w:t>
      </w:r>
      <w:r>
        <w:t>wśród partnerów społeczno-gospodarczych nie brakuje propozycji, jak do tego doprowadzić</w:t>
      </w:r>
      <w:r w:rsidRPr="00CB07D4">
        <w:rPr>
          <w:rStyle w:val="Znakiprzypiswdolnych"/>
          <w:sz w:val="21"/>
          <w:vertAlign w:val="superscript"/>
        </w:rPr>
        <w:footnoteReference w:id="49"/>
      </w:r>
      <w:r>
        <w:t>.</w:t>
      </w:r>
    </w:p>
    <w:p w14:paraId="427778EA" w14:textId="374999C7" w:rsidR="00B620BC" w:rsidRDefault="00B620BC" w:rsidP="00A9445F">
      <w:pPr>
        <w:pStyle w:val="Nagwek2"/>
        <w:numPr>
          <w:ilvl w:val="1"/>
          <w:numId w:val="11"/>
        </w:numPr>
        <w:suppressAutoHyphens/>
      </w:pPr>
      <w:bookmarkStart w:id="118" w:name="_Toc31808519"/>
      <w:bookmarkStart w:id="119" w:name="_Toc106968803"/>
      <w:r>
        <w:lastRenderedPageBreak/>
        <w:t xml:space="preserve">Szanse rozwoju sektora </w:t>
      </w:r>
      <w:r w:rsidR="00B9602C">
        <w:t>s</w:t>
      </w:r>
      <w:r>
        <w:t xml:space="preserve">ztucznej </w:t>
      </w:r>
      <w:r w:rsidR="00B9602C">
        <w:t>i</w:t>
      </w:r>
      <w:r>
        <w:t>nteligencji</w:t>
      </w:r>
      <w:r w:rsidR="006343E1">
        <w:t xml:space="preserve"> w </w:t>
      </w:r>
      <w:r>
        <w:t>Polsce</w:t>
      </w:r>
      <w:bookmarkEnd w:id="118"/>
      <w:bookmarkEnd w:id="119"/>
    </w:p>
    <w:p w14:paraId="7C667E1F" w14:textId="1D9D4960" w:rsidR="00B620BC" w:rsidRDefault="00B620BC" w:rsidP="00B620BC">
      <w:r>
        <w:t>W tej chwili na świecie trwa wyścig związany ze sztuczną inteligencją. Ma on wymiar zarówno wojskowy, jak</w:t>
      </w:r>
      <w:r w:rsidR="006343E1">
        <w:t xml:space="preserve"> i </w:t>
      </w:r>
      <w:r>
        <w:t>gospodarczy. Szacuje się</w:t>
      </w:r>
      <w:r w:rsidR="00477C54">
        <w:t>, że </w:t>
      </w:r>
      <w:r>
        <w:t>PKB krajów budujących SI będą rosły średnio</w:t>
      </w:r>
      <w:r w:rsidR="006343E1">
        <w:t xml:space="preserve"> o </w:t>
      </w:r>
      <w:r>
        <w:t>1</w:t>
      </w:r>
      <w:r w:rsidR="00341970">
        <w:t>,</w:t>
      </w:r>
      <w:r>
        <w:t>5 p</w:t>
      </w:r>
      <w:r w:rsidR="00B9602C">
        <w:t xml:space="preserve">kt. </w:t>
      </w:r>
      <w:r>
        <w:t>p</w:t>
      </w:r>
      <w:r w:rsidR="00B9602C">
        <w:t>roc</w:t>
      </w:r>
      <w:r>
        <w:t>.</w:t>
      </w:r>
      <w:r w:rsidRPr="00341970">
        <w:rPr>
          <w:rStyle w:val="Znakiprzypiswdolnych"/>
          <w:vertAlign w:val="superscript"/>
        </w:rPr>
        <w:footnoteReference w:id="50"/>
      </w:r>
      <w:r>
        <w:t xml:space="preserve"> szybciej niż tych, które tego zaniechają lub się spóźnią.</w:t>
      </w:r>
    </w:p>
    <w:p w14:paraId="030178A8" w14:textId="29BCF587" w:rsidR="00B620BC" w:rsidRDefault="00B620BC" w:rsidP="00B620BC">
      <w:r>
        <w:rPr>
          <w:rFonts w:ascii="Calibri" w:hAnsi="Calibri" w:cs="Calibri"/>
          <w:b/>
          <w:bCs/>
        </w:rPr>
        <w:t>Niewątpliwie SI wpłynie istotnie na zmiany na rynku pracy:</w:t>
      </w:r>
    </w:p>
    <w:p w14:paraId="6A7E6F37" w14:textId="76F28791" w:rsidR="00B620BC" w:rsidRDefault="00B620BC" w:rsidP="00CB07D4">
      <w:pPr>
        <w:numPr>
          <w:ilvl w:val="0"/>
          <w:numId w:val="17"/>
        </w:numPr>
        <w:pBdr>
          <w:top w:val="none" w:sz="0" w:space="0" w:color="000000"/>
          <w:left w:val="none" w:sz="0" w:space="0" w:color="000000"/>
          <w:bottom w:val="none" w:sz="0" w:space="0" w:color="000000"/>
          <w:right w:val="none" w:sz="0" w:space="0" w:color="000000"/>
        </w:pBdr>
        <w:suppressAutoHyphens/>
      </w:pPr>
      <w:r>
        <w:rPr>
          <w:rFonts w:cs="Calibri"/>
          <w:color w:val="17365D"/>
        </w:rPr>
        <w:t>szacuje się</w:t>
      </w:r>
      <w:r w:rsidR="00477C54">
        <w:rPr>
          <w:rFonts w:cs="Calibri"/>
          <w:color w:val="17365D"/>
        </w:rPr>
        <w:t>, że </w:t>
      </w:r>
      <w:r w:rsidR="006343E1">
        <w:rPr>
          <w:rFonts w:cs="Calibri"/>
          <w:color w:val="17365D"/>
        </w:rPr>
        <w:t>w </w:t>
      </w:r>
      <w:r>
        <w:rPr>
          <w:rFonts w:cs="Calibri"/>
          <w:color w:val="17365D"/>
        </w:rPr>
        <w:t>miejsce 100 dotychczasowych miejsc pracy pojawi się 130 nowych</w:t>
      </w:r>
      <w:r w:rsidRPr="00341970">
        <w:rPr>
          <w:rStyle w:val="Znakiprzypiswdolnych"/>
          <w:rFonts w:cs="Calibri"/>
          <w:color w:val="17365D"/>
          <w:vertAlign w:val="superscript"/>
        </w:rPr>
        <w:footnoteReference w:id="51"/>
      </w:r>
      <w:r w:rsidR="00B9602C">
        <w:rPr>
          <w:rFonts w:cs="Calibri"/>
          <w:color w:val="17365D"/>
        </w:rPr>
        <w:t>;</w:t>
      </w:r>
      <w:r w:rsidRPr="00341970">
        <w:rPr>
          <w:rFonts w:cs="Calibri"/>
          <w:color w:val="17365D"/>
          <w:vertAlign w:val="superscript"/>
        </w:rPr>
        <w:t xml:space="preserve"> </w:t>
      </w:r>
      <w:r w:rsidR="00B9602C">
        <w:rPr>
          <w:rFonts w:cs="Calibri"/>
          <w:color w:val="17365D"/>
        </w:rPr>
        <w:t>w</w:t>
      </w:r>
      <w:r>
        <w:rPr>
          <w:rFonts w:cs="Calibri"/>
          <w:color w:val="17365D"/>
        </w:rPr>
        <w:t>ażne jest, aby ten stosunek przechylił się na rzecz Polski;</w:t>
      </w:r>
    </w:p>
    <w:p w14:paraId="0F7D74F1" w14:textId="299C05F2" w:rsidR="00B620BC" w:rsidRDefault="00B620BC" w:rsidP="00CB07D4">
      <w:pPr>
        <w:numPr>
          <w:ilvl w:val="0"/>
          <w:numId w:val="17"/>
        </w:numPr>
        <w:pBdr>
          <w:top w:val="none" w:sz="0" w:space="0" w:color="000000"/>
          <w:left w:val="none" w:sz="0" w:space="0" w:color="000000"/>
          <w:bottom w:val="none" w:sz="0" w:space="0" w:color="000000"/>
          <w:right w:val="none" w:sz="0" w:space="0" w:color="000000"/>
        </w:pBdr>
        <w:suppressAutoHyphens/>
        <w:rPr>
          <w:rFonts w:cs="Calibri"/>
          <w:color w:val="17365D"/>
        </w:rPr>
      </w:pPr>
      <w:r>
        <w:rPr>
          <w:rFonts w:cs="Calibri"/>
          <w:color w:val="17365D"/>
        </w:rPr>
        <w:t>aż 49%</w:t>
      </w:r>
      <w:r w:rsidR="00341970">
        <w:rPr>
          <w:rFonts w:cs="Calibri"/>
          <w:color w:val="17365D"/>
        </w:rPr>
        <w:t xml:space="preserve"> c</w:t>
      </w:r>
      <w:r>
        <w:rPr>
          <w:rFonts w:cs="Calibri"/>
          <w:color w:val="17365D"/>
        </w:rPr>
        <w:t>zasu pracy</w:t>
      </w:r>
      <w:r w:rsidR="006343E1">
        <w:rPr>
          <w:rFonts w:cs="Calibri"/>
          <w:color w:val="17365D"/>
        </w:rPr>
        <w:t xml:space="preserve"> w </w:t>
      </w:r>
      <w:r>
        <w:rPr>
          <w:rFonts w:cs="Calibri"/>
          <w:color w:val="17365D"/>
        </w:rPr>
        <w:t>Polsce może zostać zautomatyzowane do 2030 r</w:t>
      </w:r>
      <w:r w:rsidR="00B9602C">
        <w:rPr>
          <w:rFonts w:cs="Calibri"/>
          <w:color w:val="17365D"/>
        </w:rPr>
        <w:t>.</w:t>
      </w:r>
      <w:r>
        <w:rPr>
          <w:rFonts w:cs="Calibri"/>
          <w:color w:val="17365D"/>
        </w:rPr>
        <w:t xml:space="preserve"> przy wykorzystaniu już istniejących technologii</w:t>
      </w:r>
      <w:r w:rsidR="00B9602C">
        <w:rPr>
          <w:rFonts w:cs="Calibri"/>
          <w:color w:val="17365D"/>
        </w:rPr>
        <w:t>;</w:t>
      </w:r>
      <w:r>
        <w:rPr>
          <w:rFonts w:cs="Calibri"/>
          <w:color w:val="17365D"/>
        </w:rPr>
        <w:t xml:space="preserve"> </w:t>
      </w:r>
      <w:r w:rsidR="00B9602C">
        <w:rPr>
          <w:rFonts w:cs="Calibri"/>
          <w:color w:val="17365D"/>
        </w:rPr>
        <w:t>o</w:t>
      </w:r>
      <w:r>
        <w:rPr>
          <w:rFonts w:cs="Calibri"/>
          <w:color w:val="17365D"/>
        </w:rPr>
        <w:t>znacza to</w:t>
      </w:r>
      <w:r w:rsidR="006343E1">
        <w:rPr>
          <w:rFonts w:cs="Calibri"/>
          <w:color w:val="17365D"/>
        </w:rPr>
        <w:t xml:space="preserve"> z </w:t>
      </w:r>
      <w:r>
        <w:rPr>
          <w:rFonts w:cs="Calibri"/>
          <w:color w:val="17365D"/>
        </w:rPr>
        <w:t>jednej strony szansę na wzrost produktywności,</w:t>
      </w:r>
      <w:r w:rsidR="006343E1">
        <w:rPr>
          <w:rFonts w:cs="Calibri"/>
          <w:color w:val="17365D"/>
        </w:rPr>
        <w:t xml:space="preserve"> z </w:t>
      </w:r>
      <w:r>
        <w:rPr>
          <w:rFonts w:cs="Calibri"/>
          <w:color w:val="17365D"/>
        </w:rPr>
        <w:t>drugiej zaś stawia wyzwania związane</w:t>
      </w:r>
      <w:r w:rsidR="006343E1">
        <w:rPr>
          <w:rFonts w:cs="Calibri"/>
          <w:color w:val="17365D"/>
        </w:rPr>
        <w:t xml:space="preserve"> z </w:t>
      </w:r>
      <w:r>
        <w:rPr>
          <w:rFonts w:cs="Calibri"/>
          <w:color w:val="17365D"/>
        </w:rPr>
        <w:t>dostosowaniem pracowników</w:t>
      </w:r>
      <w:r w:rsidR="006343E1">
        <w:rPr>
          <w:rFonts w:cs="Calibri"/>
          <w:color w:val="17365D"/>
        </w:rPr>
        <w:t xml:space="preserve"> i </w:t>
      </w:r>
      <w:r>
        <w:rPr>
          <w:rFonts w:cs="Calibri"/>
          <w:color w:val="17365D"/>
        </w:rPr>
        <w:t>ich kompetencji do nowego rynku pracy;</w:t>
      </w:r>
      <w:r w:rsidRPr="00341970">
        <w:rPr>
          <w:rStyle w:val="Znakiprzypiswdolnych"/>
          <w:rFonts w:cs="Calibri"/>
          <w:color w:val="17365D"/>
          <w:vertAlign w:val="superscript"/>
        </w:rPr>
        <w:footnoteReference w:id="52"/>
      </w:r>
    </w:p>
    <w:p w14:paraId="5AFBF181" w14:textId="3224613E" w:rsidR="00B620BC" w:rsidRDefault="00B620BC" w:rsidP="00CB07D4">
      <w:pPr>
        <w:numPr>
          <w:ilvl w:val="0"/>
          <w:numId w:val="17"/>
        </w:numPr>
        <w:pBdr>
          <w:top w:val="none" w:sz="0" w:space="0" w:color="000000"/>
          <w:left w:val="none" w:sz="0" w:space="0" w:color="000000"/>
          <w:bottom w:val="none" w:sz="0" w:space="0" w:color="000000"/>
          <w:right w:val="none" w:sz="0" w:space="0" w:color="000000"/>
        </w:pBdr>
        <w:suppressAutoHyphens/>
        <w:ind w:left="714" w:hanging="357"/>
      </w:pPr>
      <w:r>
        <w:rPr>
          <w:rFonts w:cs="Calibri"/>
          <w:color w:val="17365D"/>
        </w:rPr>
        <w:t>z badań OECD wynika</w:t>
      </w:r>
      <w:r w:rsidR="00477C54">
        <w:rPr>
          <w:rFonts w:cs="Calibri"/>
          <w:color w:val="17365D"/>
        </w:rPr>
        <w:t>, że </w:t>
      </w:r>
      <w:r w:rsidR="006343E1">
        <w:rPr>
          <w:rFonts w:cs="Calibri"/>
          <w:color w:val="17365D"/>
        </w:rPr>
        <w:t>w </w:t>
      </w:r>
      <w:r>
        <w:rPr>
          <w:rFonts w:cs="Calibri"/>
          <w:color w:val="17365D"/>
        </w:rPr>
        <w:t>Polsce średnio połowa zawodów może podlegać automatyzacji</w:t>
      </w:r>
      <w:r w:rsidR="00B9602C">
        <w:rPr>
          <w:rFonts w:cs="Calibri"/>
          <w:color w:val="17365D"/>
        </w:rPr>
        <w:t>;</w:t>
      </w:r>
      <w:r>
        <w:rPr>
          <w:rFonts w:cs="Calibri"/>
          <w:color w:val="17365D"/>
        </w:rPr>
        <w:t xml:space="preserve"> </w:t>
      </w:r>
      <w:r w:rsidR="00B9602C">
        <w:rPr>
          <w:rFonts w:cs="Calibri"/>
          <w:color w:val="17365D"/>
        </w:rPr>
        <w:t>j</w:t>
      </w:r>
      <w:r>
        <w:rPr>
          <w:rFonts w:cs="Calibri"/>
          <w:color w:val="17365D"/>
        </w:rPr>
        <w:t>ej skala spowoduje ogromny popyt na zdobywanie nowych kwalifikacji przez osoby dorosłe oraz zwiększony nacisk na zmiany</w:t>
      </w:r>
      <w:r w:rsidR="006343E1">
        <w:rPr>
          <w:rFonts w:cs="Calibri"/>
          <w:color w:val="17365D"/>
        </w:rPr>
        <w:t xml:space="preserve"> w </w:t>
      </w:r>
      <w:r>
        <w:rPr>
          <w:rFonts w:cs="Calibri"/>
          <w:color w:val="17365D"/>
        </w:rPr>
        <w:t>edukacji młodzieży, szczególnie szkolnictwa zawodowego.</w:t>
      </w:r>
    </w:p>
    <w:p w14:paraId="0E6CC54C" w14:textId="77777777" w:rsidR="00B620BC" w:rsidRDefault="00B620BC" w:rsidP="00CB07D4">
      <w:pPr>
        <w:pBdr>
          <w:top w:val="none" w:sz="0" w:space="0" w:color="000000"/>
          <w:left w:val="none" w:sz="0" w:space="0" w:color="000000"/>
          <w:bottom w:val="none" w:sz="0" w:space="0" w:color="000000"/>
          <w:right w:val="none" w:sz="0" w:space="0" w:color="000000"/>
        </w:pBdr>
      </w:pPr>
      <w:r>
        <w:rPr>
          <w:rFonts w:cs="Calibri"/>
          <w:color w:val="17365D"/>
        </w:rPr>
        <w:t xml:space="preserve">Dotychczas słabe strony Polski dla innowacji cyfrowych charakteryzowały się tym, że: </w:t>
      </w:r>
    </w:p>
    <w:p w14:paraId="7DD9A981" w14:textId="0E58B576" w:rsidR="00B620BC" w:rsidRDefault="00B620BC" w:rsidP="00CB07D4">
      <w:pPr>
        <w:numPr>
          <w:ilvl w:val="0"/>
          <w:numId w:val="17"/>
        </w:numPr>
        <w:pBdr>
          <w:top w:val="none" w:sz="0" w:space="0" w:color="000000"/>
          <w:left w:val="none" w:sz="0" w:space="0" w:color="000000"/>
          <w:bottom w:val="none" w:sz="0" w:space="0" w:color="000000"/>
          <w:right w:val="none" w:sz="0" w:space="0" w:color="000000"/>
        </w:pBdr>
        <w:suppressAutoHyphens/>
      </w:pPr>
      <w:r>
        <w:rPr>
          <w:rFonts w:cs="Calibri"/>
          <w:color w:val="17365D"/>
        </w:rPr>
        <w:t>6 na 10 polskich firm nie było zainteresowanych inwestycjami</w:t>
      </w:r>
      <w:r w:rsidR="006343E1">
        <w:rPr>
          <w:rFonts w:cs="Calibri"/>
          <w:color w:val="17365D"/>
        </w:rPr>
        <w:t xml:space="preserve"> w </w:t>
      </w:r>
      <w:r>
        <w:rPr>
          <w:rFonts w:cs="Calibri"/>
          <w:color w:val="17365D"/>
        </w:rPr>
        <w:t xml:space="preserve">cyfryzację swojej </w:t>
      </w:r>
      <w:r w:rsidRPr="00D3700C">
        <w:rPr>
          <w:rFonts w:cs="Calibri"/>
          <w:color w:val="17365D"/>
        </w:rPr>
        <w:t>działalności</w:t>
      </w:r>
      <w:r w:rsidRPr="00CB07D4">
        <w:rPr>
          <w:rStyle w:val="Znakiprzypiswdolnych"/>
          <w:color w:val="17365D"/>
          <w:vertAlign w:val="superscript"/>
        </w:rPr>
        <w:footnoteReference w:id="53"/>
      </w:r>
      <w:r w:rsidRPr="00EF36FC">
        <w:rPr>
          <w:rFonts w:cs="Calibri"/>
          <w:color w:val="17365D"/>
          <w:vertAlign w:val="superscript"/>
        </w:rPr>
        <w:t>;</w:t>
      </w:r>
    </w:p>
    <w:p w14:paraId="2248C335" w14:textId="38B34737" w:rsidR="00B620BC" w:rsidRDefault="00B620BC" w:rsidP="00CB07D4">
      <w:pPr>
        <w:numPr>
          <w:ilvl w:val="0"/>
          <w:numId w:val="17"/>
        </w:numPr>
        <w:pBdr>
          <w:top w:val="none" w:sz="0" w:space="0" w:color="000000"/>
          <w:left w:val="none" w:sz="0" w:space="0" w:color="000000"/>
          <w:bottom w:val="none" w:sz="0" w:space="0" w:color="000000"/>
          <w:right w:val="none" w:sz="0" w:space="0" w:color="000000"/>
        </w:pBdr>
        <w:suppressAutoHyphens/>
      </w:pPr>
      <w:r>
        <w:rPr>
          <w:rFonts w:cs="Calibri"/>
          <w:color w:val="17365D"/>
        </w:rPr>
        <w:t>spośród polskich mikro</w:t>
      </w:r>
      <w:r w:rsidR="00B9602C">
        <w:rPr>
          <w:rFonts w:cs="Calibri"/>
          <w:color w:val="17365D"/>
        </w:rPr>
        <w:t>przedsiębiorstw</w:t>
      </w:r>
      <w:r w:rsidR="006343E1">
        <w:rPr>
          <w:rFonts w:cs="Calibri"/>
          <w:color w:val="17365D"/>
        </w:rPr>
        <w:t xml:space="preserve"> i </w:t>
      </w:r>
      <w:r>
        <w:rPr>
          <w:rFonts w:cs="Calibri"/>
          <w:color w:val="17365D"/>
        </w:rPr>
        <w:t>małych przedsiębiorstw 83% nie planowało zwiększać nakładów inwestycyjnych</w:t>
      </w:r>
      <w:r w:rsidR="006343E1">
        <w:rPr>
          <w:rFonts w:cs="Calibri"/>
          <w:color w:val="17365D"/>
        </w:rPr>
        <w:t xml:space="preserve"> w </w:t>
      </w:r>
      <w:r>
        <w:rPr>
          <w:rFonts w:cs="Calibri"/>
          <w:color w:val="17365D"/>
        </w:rPr>
        <w:t>najbliższych 12 miesiącach</w:t>
      </w:r>
      <w:r w:rsidRPr="00CB07D4">
        <w:rPr>
          <w:rStyle w:val="Znakiprzypiswdolnych"/>
          <w:color w:val="17365D"/>
          <w:vertAlign w:val="superscript"/>
        </w:rPr>
        <w:footnoteReference w:id="54"/>
      </w:r>
      <w:r>
        <w:rPr>
          <w:rFonts w:cs="Calibri"/>
          <w:color w:val="17365D"/>
        </w:rPr>
        <w:t>;</w:t>
      </w:r>
    </w:p>
    <w:p w14:paraId="278D87C1" w14:textId="68F24C0D" w:rsidR="00B620BC" w:rsidRDefault="00B620BC" w:rsidP="00CB07D4">
      <w:pPr>
        <w:numPr>
          <w:ilvl w:val="0"/>
          <w:numId w:val="17"/>
        </w:numPr>
        <w:pBdr>
          <w:top w:val="none" w:sz="0" w:space="0" w:color="000000"/>
          <w:left w:val="none" w:sz="0" w:space="0" w:color="000000"/>
          <w:bottom w:val="none" w:sz="0" w:space="0" w:color="000000"/>
          <w:right w:val="none" w:sz="0" w:space="0" w:color="000000"/>
        </w:pBdr>
        <w:suppressAutoHyphens/>
        <w:rPr>
          <w:rFonts w:cs="Calibri"/>
          <w:color w:val="17365D"/>
        </w:rPr>
      </w:pPr>
      <w:r>
        <w:rPr>
          <w:rFonts w:cs="Calibri"/>
          <w:color w:val="17365D"/>
        </w:rPr>
        <w:t>w przypadku polskiej gospodarki</w:t>
      </w:r>
      <w:r w:rsidR="00341970">
        <w:rPr>
          <w:rFonts w:cs="Calibri"/>
          <w:color w:val="17365D"/>
        </w:rPr>
        <w:t xml:space="preserve"> sz</w:t>
      </w:r>
      <w:r>
        <w:rPr>
          <w:rFonts w:cs="Calibri"/>
          <w:color w:val="17365D"/>
        </w:rPr>
        <w:t>tuczna inteligencja miała dotychczas 10-krotnie mniejszy udział</w:t>
      </w:r>
      <w:r w:rsidR="006343E1">
        <w:rPr>
          <w:rFonts w:cs="Calibri"/>
          <w:color w:val="17365D"/>
        </w:rPr>
        <w:t xml:space="preserve"> w </w:t>
      </w:r>
      <w:r>
        <w:rPr>
          <w:rFonts w:cs="Calibri"/>
          <w:color w:val="17365D"/>
        </w:rPr>
        <w:t>tempie wzrostu gospodarczego</w:t>
      </w:r>
      <w:r w:rsidR="006343E1">
        <w:rPr>
          <w:rFonts w:cs="Calibri"/>
          <w:color w:val="17365D"/>
        </w:rPr>
        <w:t xml:space="preserve"> w </w:t>
      </w:r>
      <w:r>
        <w:rPr>
          <w:rFonts w:cs="Calibri"/>
          <w:color w:val="17365D"/>
        </w:rPr>
        <w:t>stosunku do średniej globalnej.</w:t>
      </w:r>
      <w:r w:rsidR="00B9602C">
        <w:rPr>
          <w:rFonts w:cs="Calibri"/>
          <w:color w:val="17365D"/>
        </w:rPr>
        <w:t>;</w:t>
      </w:r>
      <w:r>
        <w:rPr>
          <w:rFonts w:cs="Calibri"/>
          <w:color w:val="17365D"/>
        </w:rPr>
        <w:t xml:space="preserve"> </w:t>
      </w:r>
      <w:r w:rsidR="00B9602C">
        <w:rPr>
          <w:rFonts w:cs="Calibri"/>
          <w:color w:val="17365D"/>
        </w:rPr>
        <w:t>o</w:t>
      </w:r>
      <w:r>
        <w:rPr>
          <w:rFonts w:cs="Calibri"/>
          <w:color w:val="17365D"/>
        </w:rPr>
        <w:t>znacza to</w:t>
      </w:r>
      <w:r w:rsidR="00477C54">
        <w:rPr>
          <w:rFonts w:cs="Calibri"/>
          <w:color w:val="17365D"/>
        </w:rPr>
        <w:t>, że </w:t>
      </w:r>
      <w:r>
        <w:rPr>
          <w:rFonts w:cs="Calibri"/>
          <w:color w:val="17365D"/>
        </w:rPr>
        <w:t>rozwiązania SI wzmacniają wzrost gospodarczy</w:t>
      </w:r>
      <w:r w:rsidR="006343E1">
        <w:rPr>
          <w:rFonts w:cs="Calibri"/>
          <w:color w:val="17365D"/>
        </w:rPr>
        <w:t xml:space="preserve"> w </w:t>
      </w:r>
      <w:r>
        <w:rPr>
          <w:rFonts w:cs="Calibri"/>
          <w:color w:val="17365D"/>
        </w:rPr>
        <w:t>Polsce 10-krotnie słabiej</w:t>
      </w:r>
      <w:r w:rsidR="00B9602C">
        <w:rPr>
          <w:rFonts w:cs="Calibri"/>
          <w:color w:val="17365D"/>
        </w:rPr>
        <w:t>,</w:t>
      </w:r>
      <w:r>
        <w:rPr>
          <w:rFonts w:cs="Calibri"/>
          <w:color w:val="17365D"/>
        </w:rPr>
        <w:t xml:space="preserve"> niż wynosi ich potencjał.</w:t>
      </w:r>
      <w:r w:rsidRPr="00CB07D4">
        <w:rPr>
          <w:rStyle w:val="Znakiprzypiswdolnych"/>
          <w:color w:val="17365D"/>
          <w:vertAlign w:val="superscript"/>
        </w:rPr>
        <w:footnoteReference w:id="55"/>
      </w:r>
    </w:p>
    <w:p w14:paraId="7B9DC88F" w14:textId="669D552A" w:rsidR="00B620BC" w:rsidRDefault="00B9602C" w:rsidP="00CB07D4">
      <w:pPr>
        <w:numPr>
          <w:ilvl w:val="0"/>
          <w:numId w:val="17"/>
        </w:numPr>
        <w:pBdr>
          <w:top w:val="none" w:sz="0" w:space="0" w:color="000000"/>
          <w:left w:val="none" w:sz="0" w:space="0" w:color="000000"/>
          <w:bottom w:val="none" w:sz="0" w:space="0" w:color="000000"/>
          <w:right w:val="none" w:sz="0" w:space="0" w:color="000000"/>
        </w:pBdr>
        <w:suppressAutoHyphens/>
      </w:pPr>
      <w:r>
        <w:rPr>
          <w:rFonts w:cs="Calibri"/>
          <w:color w:val="17365D"/>
        </w:rPr>
        <w:t>o</w:t>
      </w:r>
      <w:r w:rsidR="00B620BC">
        <w:rPr>
          <w:rFonts w:cs="Calibri"/>
          <w:color w:val="17365D"/>
        </w:rPr>
        <w:t>becnie</w:t>
      </w:r>
      <w:r w:rsidR="006343E1">
        <w:rPr>
          <w:rFonts w:cs="Calibri"/>
          <w:color w:val="17365D"/>
        </w:rPr>
        <w:t xml:space="preserve"> w </w:t>
      </w:r>
      <w:r w:rsidR="00B620BC">
        <w:rPr>
          <w:rFonts w:cs="Calibri"/>
          <w:color w:val="17365D"/>
        </w:rPr>
        <w:t>Polsce kariera naukowa nie jest uważana za atrakcyjną</w:t>
      </w:r>
      <w:r>
        <w:rPr>
          <w:rFonts w:cs="Calibri"/>
          <w:color w:val="17365D"/>
        </w:rPr>
        <w:t>;</w:t>
      </w:r>
      <w:r w:rsidR="00B620BC">
        <w:rPr>
          <w:rFonts w:cs="Calibri"/>
          <w:color w:val="17365D"/>
        </w:rPr>
        <w:t xml:space="preserve"> </w:t>
      </w:r>
      <w:r>
        <w:rPr>
          <w:rFonts w:cs="Calibri"/>
          <w:color w:val="17365D"/>
        </w:rPr>
        <w:t>j</w:t>
      </w:r>
      <w:r w:rsidR="00B620BC">
        <w:rPr>
          <w:rFonts w:cs="Calibri"/>
          <w:color w:val="17365D"/>
        </w:rPr>
        <w:t>ednocześnie nie występują mechanizmy zatrzymania absolwentów polskich uczelni ani przyciągania do Polski naukowców</w:t>
      </w:r>
      <w:r w:rsidR="006343E1">
        <w:rPr>
          <w:rFonts w:cs="Calibri"/>
          <w:color w:val="17365D"/>
        </w:rPr>
        <w:t xml:space="preserve"> z </w:t>
      </w:r>
      <w:r w:rsidR="00B620BC">
        <w:rPr>
          <w:rFonts w:cs="Calibri"/>
          <w:color w:val="17365D"/>
        </w:rPr>
        <w:t xml:space="preserve">zagranicy </w:t>
      </w:r>
      <w:r>
        <w:rPr>
          <w:rFonts w:cs="Calibri"/>
          <w:color w:val="17365D"/>
        </w:rPr>
        <w:t>p</w:t>
      </w:r>
      <w:r w:rsidR="00B620BC">
        <w:rPr>
          <w:rFonts w:cs="Calibri"/>
          <w:color w:val="17365D"/>
        </w:rPr>
        <w:t>rzed Polską stoi szereg wyzwań związanych</w:t>
      </w:r>
      <w:r w:rsidR="006343E1">
        <w:rPr>
          <w:rFonts w:cs="Calibri"/>
          <w:color w:val="17365D"/>
        </w:rPr>
        <w:t xml:space="preserve"> z </w:t>
      </w:r>
      <w:r w:rsidR="00B620BC">
        <w:rPr>
          <w:rFonts w:cs="Calibri"/>
          <w:color w:val="17365D"/>
        </w:rPr>
        <w:t>kształtowaniem kadr zorientowanych na budowę</w:t>
      </w:r>
      <w:r w:rsidR="006343E1">
        <w:rPr>
          <w:rFonts w:cs="Calibri"/>
          <w:color w:val="17365D"/>
        </w:rPr>
        <w:t xml:space="preserve"> i </w:t>
      </w:r>
      <w:r w:rsidR="00B620BC">
        <w:rPr>
          <w:rFonts w:cs="Calibri"/>
          <w:color w:val="17365D"/>
        </w:rPr>
        <w:t>rozwój SI.</w:t>
      </w:r>
    </w:p>
    <w:p w14:paraId="6F2400CB" w14:textId="77777777" w:rsidR="00B620BC" w:rsidRDefault="00B620BC" w:rsidP="00B620BC">
      <w:r>
        <w:rPr>
          <w:rFonts w:cs="Calibri"/>
          <w:color w:val="17365D"/>
        </w:rPr>
        <w:t>Spośród mocnych stron Polski można wskazać na następujące dane:</w:t>
      </w:r>
    </w:p>
    <w:p w14:paraId="533F6CD9" w14:textId="7226E110" w:rsidR="00B620BC" w:rsidRDefault="00B620BC" w:rsidP="00A9445F">
      <w:pPr>
        <w:numPr>
          <w:ilvl w:val="0"/>
          <w:numId w:val="18"/>
        </w:numPr>
        <w:suppressAutoHyphens/>
      </w:pPr>
      <w:r>
        <w:rPr>
          <w:rFonts w:cs="Calibri"/>
          <w:color w:val="17365D"/>
        </w:rPr>
        <w:t>polska gospodarka jest silnie uzależniona od transgranicznego przepływu danych elektronicznych (46% PKB)</w:t>
      </w:r>
      <w:r w:rsidRPr="00CB07D4">
        <w:rPr>
          <w:rStyle w:val="Znakiprzypiswdolnych"/>
          <w:color w:val="17365D"/>
          <w:vertAlign w:val="superscript"/>
        </w:rPr>
        <w:footnoteReference w:id="56"/>
      </w:r>
      <w:r w:rsidR="00B9602C">
        <w:rPr>
          <w:rFonts w:cs="Calibri"/>
          <w:color w:val="17365D"/>
        </w:rPr>
        <w:t>; j</w:t>
      </w:r>
      <w:r>
        <w:rPr>
          <w:rFonts w:cs="Calibri"/>
          <w:color w:val="17365D"/>
        </w:rPr>
        <w:t>est to okoliczność sprzyjająca dla tworzenia algorytmów przetwarzających dane</w:t>
      </w:r>
      <w:r w:rsidR="006343E1">
        <w:rPr>
          <w:rFonts w:cs="Calibri"/>
          <w:color w:val="17365D"/>
        </w:rPr>
        <w:t xml:space="preserve"> i </w:t>
      </w:r>
      <w:r>
        <w:rPr>
          <w:rFonts w:cs="Calibri"/>
          <w:color w:val="17365D"/>
        </w:rPr>
        <w:t>generujących wartość dodaną dla międzynarodowych łańcuchów wartości;</w:t>
      </w:r>
    </w:p>
    <w:p w14:paraId="433F9979" w14:textId="0A93A675" w:rsidR="00B620BC" w:rsidRDefault="00B620BC" w:rsidP="00A9445F">
      <w:pPr>
        <w:numPr>
          <w:ilvl w:val="0"/>
          <w:numId w:val="18"/>
        </w:numPr>
        <w:suppressAutoHyphens/>
      </w:pPr>
      <w:r>
        <w:rPr>
          <w:rFonts w:cs="Calibri"/>
          <w:color w:val="17365D"/>
        </w:rPr>
        <w:lastRenderedPageBreak/>
        <w:t>w</w:t>
      </w:r>
      <w:r w:rsidR="00B9602C">
        <w:rPr>
          <w:rFonts w:cs="Calibri"/>
          <w:color w:val="17365D"/>
        </w:rPr>
        <w:t>edług</w:t>
      </w:r>
      <w:r>
        <w:rPr>
          <w:rFonts w:cs="Calibri"/>
          <w:color w:val="17365D"/>
        </w:rPr>
        <w:t xml:space="preserve"> </w:t>
      </w:r>
      <w:r w:rsidRPr="00CB07D4">
        <w:rPr>
          <w:i/>
          <w:color w:val="17365D"/>
        </w:rPr>
        <w:t>Global Creativity Index</w:t>
      </w:r>
      <w:r w:rsidRPr="00CB07D4">
        <w:rPr>
          <w:rStyle w:val="Znakiprzypiswdolnych"/>
          <w:color w:val="17365D"/>
          <w:vertAlign w:val="superscript"/>
        </w:rPr>
        <w:footnoteReference w:id="57"/>
      </w:r>
      <w:r w:rsidRPr="00341970">
        <w:rPr>
          <w:rFonts w:cs="Calibri"/>
          <w:color w:val="17365D"/>
          <w:vertAlign w:val="superscript"/>
        </w:rPr>
        <w:t xml:space="preserve"> </w:t>
      </w:r>
      <w:r>
        <w:rPr>
          <w:rFonts w:cs="Calibri"/>
          <w:color w:val="17365D"/>
        </w:rPr>
        <w:t xml:space="preserve">Polska ma ponad 33% udział populacji klasyfikowany jako tzw. </w:t>
      </w:r>
      <w:r w:rsidRPr="00CB07D4">
        <w:rPr>
          <w:i/>
          <w:color w:val="17365D"/>
        </w:rPr>
        <w:t>creative</w:t>
      </w:r>
      <w:r>
        <w:rPr>
          <w:rFonts w:cs="Calibri"/>
          <w:color w:val="17365D"/>
        </w:rPr>
        <w:t xml:space="preserve"> </w:t>
      </w:r>
      <w:r w:rsidRPr="00CB07D4">
        <w:rPr>
          <w:i/>
          <w:color w:val="17365D"/>
        </w:rPr>
        <w:t>class</w:t>
      </w:r>
      <w:r w:rsidR="004412E4">
        <w:rPr>
          <w:rFonts w:cs="Calibri"/>
          <w:color w:val="17365D"/>
        </w:rPr>
        <w:t>,</w:t>
      </w:r>
      <w:r>
        <w:rPr>
          <w:rFonts w:cs="Calibri"/>
          <w:color w:val="17365D"/>
        </w:rPr>
        <w:t xml:space="preserve"> </w:t>
      </w:r>
      <w:r w:rsidR="004412E4">
        <w:rPr>
          <w:rFonts w:cs="Calibri"/>
          <w:color w:val="17365D"/>
        </w:rPr>
        <w:t>t</w:t>
      </w:r>
      <w:r>
        <w:rPr>
          <w:rFonts w:cs="Calibri"/>
          <w:color w:val="17365D"/>
        </w:rPr>
        <w:t>o wyżej niż USA, Hiszpania,</w:t>
      </w:r>
      <w:r w:rsidR="006343E1">
        <w:rPr>
          <w:rFonts w:cs="Calibri"/>
          <w:color w:val="17365D"/>
        </w:rPr>
        <w:t xml:space="preserve"> a </w:t>
      </w:r>
      <w:r>
        <w:rPr>
          <w:rFonts w:cs="Calibri"/>
          <w:color w:val="17365D"/>
        </w:rPr>
        <w:t>nawet Japonia</w:t>
      </w:r>
      <w:r w:rsidR="004412E4">
        <w:rPr>
          <w:rFonts w:cs="Calibri"/>
          <w:color w:val="17365D"/>
        </w:rPr>
        <w:t>,</w:t>
      </w:r>
      <w:r w:rsidR="006343E1">
        <w:rPr>
          <w:rFonts w:cs="Calibri"/>
          <w:color w:val="17365D"/>
        </w:rPr>
        <w:t xml:space="preserve"> i </w:t>
      </w:r>
      <w:r>
        <w:rPr>
          <w:rFonts w:cs="Calibri"/>
          <w:color w:val="17365D"/>
        </w:rPr>
        <w:t>jest porównywaln</w:t>
      </w:r>
      <w:r w:rsidR="004412E4">
        <w:rPr>
          <w:rFonts w:cs="Calibri"/>
          <w:color w:val="17365D"/>
        </w:rPr>
        <w:t>y</w:t>
      </w:r>
      <w:r>
        <w:rPr>
          <w:rFonts w:cs="Calibri"/>
          <w:color w:val="17365D"/>
        </w:rPr>
        <w:t xml:space="preserve"> z </w:t>
      </w:r>
      <w:r w:rsidR="004412E4">
        <w:rPr>
          <w:rFonts w:cs="Calibri"/>
          <w:color w:val="17365D"/>
        </w:rPr>
        <w:t xml:space="preserve">udziałem </w:t>
      </w:r>
      <w:r>
        <w:rPr>
          <w:rFonts w:cs="Calibri"/>
          <w:color w:val="17365D"/>
        </w:rPr>
        <w:t>Włoch czy Izrael</w:t>
      </w:r>
      <w:r w:rsidR="004412E4">
        <w:rPr>
          <w:rFonts w:cs="Calibri"/>
          <w:color w:val="17365D"/>
        </w:rPr>
        <w:t>a;</w:t>
      </w:r>
      <w:r>
        <w:rPr>
          <w:rFonts w:cs="Calibri"/>
          <w:color w:val="17365D"/>
        </w:rPr>
        <w:t xml:space="preserve"> </w:t>
      </w:r>
      <w:r w:rsidR="004412E4">
        <w:rPr>
          <w:rFonts w:cs="Calibri"/>
          <w:color w:val="17365D"/>
        </w:rPr>
        <w:t>t</w:t>
      </w:r>
      <w:r>
        <w:rPr>
          <w:rFonts w:cs="Calibri"/>
          <w:color w:val="17365D"/>
        </w:rPr>
        <w:t>en potencjał jest do wykorzystania</w:t>
      </w:r>
      <w:r w:rsidR="006343E1">
        <w:rPr>
          <w:rFonts w:cs="Calibri"/>
          <w:color w:val="17365D"/>
        </w:rPr>
        <w:t xml:space="preserve"> w </w:t>
      </w:r>
      <w:r>
        <w:rPr>
          <w:rFonts w:cs="Calibri"/>
          <w:color w:val="17365D"/>
        </w:rPr>
        <w:t>niszach możliwych badań</w:t>
      </w:r>
      <w:r w:rsidR="006343E1">
        <w:rPr>
          <w:rFonts w:cs="Calibri"/>
          <w:color w:val="17365D"/>
        </w:rPr>
        <w:t xml:space="preserve"> i </w:t>
      </w:r>
      <w:r>
        <w:rPr>
          <w:rFonts w:cs="Calibri"/>
          <w:color w:val="17365D"/>
        </w:rPr>
        <w:t xml:space="preserve">zastosowań SI; </w:t>
      </w:r>
    </w:p>
    <w:p w14:paraId="79EF8C39" w14:textId="0E70C93B" w:rsidR="00B620BC" w:rsidRDefault="00B620BC" w:rsidP="00A9445F">
      <w:pPr>
        <w:numPr>
          <w:ilvl w:val="0"/>
          <w:numId w:val="18"/>
        </w:numPr>
        <w:suppressAutoHyphens/>
      </w:pPr>
      <w:r>
        <w:rPr>
          <w:rFonts w:cs="Calibri"/>
          <w:color w:val="17365D"/>
        </w:rPr>
        <w:t>wysoka jakość edukacji szkolnej – wyniki testu PISA plasują Polskę na poziomie krajów Europy Północnej</w:t>
      </w:r>
      <w:r w:rsidR="004412E4">
        <w:rPr>
          <w:rFonts w:cs="Calibri"/>
          <w:color w:val="17365D"/>
        </w:rPr>
        <w:t>;</w:t>
      </w:r>
      <w:r>
        <w:rPr>
          <w:rFonts w:cs="Calibri"/>
          <w:color w:val="17365D"/>
        </w:rPr>
        <w:t xml:space="preserve"> </w:t>
      </w:r>
      <w:r w:rsidR="004412E4">
        <w:rPr>
          <w:rFonts w:cs="Calibri"/>
          <w:color w:val="17365D"/>
        </w:rPr>
        <w:t>p</w:t>
      </w:r>
      <w:r>
        <w:rPr>
          <w:rFonts w:cs="Calibri"/>
          <w:color w:val="17365D"/>
        </w:rPr>
        <w:t>onad 110 tys. rocznie absolwentów kierunków naukowo-technicznych, 4</w:t>
      </w:r>
      <w:r w:rsidR="004412E4">
        <w:rPr>
          <w:rFonts w:cs="Calibri"/>
          <w:color w:val="17365D"/>
        </w:rPr>
        <w:t>.</w:t>
      </w:r>
      <w:r>
        <w:rPr>
          <w:rFonts w:cs="Calibri"/>
          <w:color w:val="17365D"/>
        </w:rPr>
        <w:t xml:space="preserve"> miejsce</w:t>
      </w:r>
      <w:r w:rsidR="006343E1">
        <w:rPr>
          <w:rFonts w:cs="Calibri"/>
          <w:color w:val="17365D"/>
        </w:rPr>
        <w:t xml:space="preserve"> w </w:t>
      </w:r>
      <w:r>
        <w:rPr>
          <w:rFonts w:cs="Calibri"/>
          <w:color w:val="17365D"/>
        </w:rPr>
        <w:t>UE, poziom podobny do krajów Europy Północnej;</w:t>
      </w:r>
      <w:r w:rsidRPr="00CB07D4">
        <w:rPr>
          <w:rStyle w:val="Znakiprzypiswdolnych"/>
          <w:color w:val="17365D"/>
          <w:vertAlign w:val="superscript"/>
        </w:rPr>
        <w:footnoteReference w:id="58"/>
      </w:r>
      <w:r w:rsidRPr="00CB07D4">
        <w:rPr>
          <w:rStyle w:val="Znakiprzypiswdolnych"/>
          <w:vertAlign w:val="superscript"/>
        </w:rPr>
        <w:t xml:space="preserve"> </w:t>
      </w:r>
    </w:p>
    <w:p w14:paraId="75E35BAB" w14:textId="11D1ED20" w:rsidR="00B620BC" w:rsidRDefault="00B620BC" w:rsidP="00A9445F">
      <w:pPr>
        <w:numPr>
          <w:ilvl w:val="0"/>
          <w:numId w:val="18"/>
        </w:numPr>
        <w:suppressAutoHyphens/>
        <w:rPr>
          <w:rFonts w:eastAsia="Cambria" w:cs="Cambria"/>
        </w:rPr>
      </w:pPr>
      <w:r>
        <w:rPr>
          <w:rFonts w:cs="Calibri"/>
          <w:color w:val="17365D"/>
        </w:rPr>
        <w:t>przy aktywnych działaniach budowania synergii postawienie na rozwój SI może spowodować dodatkowe przyspieszenie dla wzrostu gospodarki</w:t>
      </w:r>
      <w:r w:rsidR="004412E4">
        <w:rPr>
          <w:rFonts w:cs="Calibri"/>
          <w:color w:val="17365D"/>
        </w:rPr>
        <w:t>;</w:t>
      </w:r>
      <w:r w:rsidR="006343E1">
        <w:rPr>
          <w:rFonts w:cs="Calibri"/>
          <w:color w:val="17365D"/>
        </w:rPr>
        <w:t xml:space="preserve"> </w:t>
      </w:r>
      <w:r w:rsidR="004412E4">
        <w:rPr>
          <w:rFonts w:cs="Calibri"/>
          <w:color w:val="17365D"/>
        </w:rPr>
        <w:t>w</w:t>
      </w:r>
      <w:r w:rsidR="006343E1">
        <w:rPr>
          <w:rFonts w:cs="Calibri"/>
          <w:color w:val="17365D"/>
        </w:rPr>
        <w:t> </w:t>
      </w:r>
      <w:r>
        <w:rPr>
          <w:rFonts w:cs="Calibri"/>
          <w:color w:val="17365D"/>
        </w:rPr>
        <w:t>praktyce dzięki SI możemy osiągnąć do 2030 r. poziom PKB taki</w:t>
      </w:r>
      <w:r w:rsidR="004412E4">
        <w:rPr>
          <w:rFonts w:cs="Calibri"/>
          <w:color w:val="17365D"/>
        </w:rPr>
        <w:t>,</w:t>
      </w:r>
      <w:r>
        <w:rPr>
          <w:rFonts w:cs="Calibri"/>
          <w:color w:val="17365D"/>
        </w:rPr>
        <w:t xml:space="preserve"> jaki bez SI mielibyśmy dopiero na przełomie 2034 r.</w:t>
      </w:r>
      <w:r w:rsidR="006343E1">
        <w:rPr>
          <w:rFonts w:cs="Calibri"/>
          <w:color w:val="17365D"/>
        </w:rPr>
        <w:t xml:space="preserve"> i </w:t>
      </w:r>
      <w:r>
        <w:rPr>
          <w:rFonts w:cs="Calibri"/>
          <w:color w:val="17365D"/>
        </w:rPr>
        <w:t>2035 r. Oznacza to</w:t>
      </w:r>
      <w:r w:rsidR="00477C54">
        <w:rPr>
          <w:rFonts w:cs="Calibri"/>
          <w:color w:val="17365D"/>
        </w:rPr>
        <w:t>, że </w:t>
      </w:r>
      <w:r>
        <w:rPr>
          <w:rFonts w:cs="Calibri"/>
          <w:color w:val="17365D"/>
        </w:rPr>
        <w:t>dzięki inwestycji</w:t>
      </w:r>
      <w:r w:rsidR="006343E1">
        <w:rPr>
          <w:rFonts w:cs="Calibri"/>
          <w:color w:val="17365D"/>
        </w:rPr>
        <w:t xml:space="preserve"> w </w:t>
      </w:r>
      <w:r>
        <w:rPr>
          <w:rFonts w:cs="Calibri"/>
          <w:color w:val="17365D"/>
        </w:rPr>
        <w:t>SI możemy osiągnąć ten poziom PKB ok. 5 lat szybciej.</w:t>
      </w:r>
      <w:r w:rsidRPr="00CB07D4">
        <w:rPr>
          <w:rStyle w:val="Znakiprzypiswdolnych"/>
          <w:color w:val="17365D"/>
          <w:vertAlign w:val="superscript"/>
        </w:rPr>
        <w:footnoteReference w:id="59"/>
      </w:r>
    </w:p>
    <w:p w14:paraId="2E409DCB" w14:textId="0DADA22F" w:rsidR="00B620BC" w:rsidRDefault="00B620BC" w:rsidP="00A9445F">
      <w:pPr>
        <w:pStyle w:val="Nagwek2"/>
        <w:numPr>
          <w:ilvl w:val="1"/>
          <w:numId w:val="11"/>
        </w:numPr>
        <w:suppressAutoHyphens/>
      </w:pPr>
      <w:r>
        <w:rPr>
          <w:rFonts w:eastAsia="Cambria" w:cs="Cambria"/>
        </w:rPr>
        <w:t xml:space="preserve"> </w:t>
      </w:r>
      <w:bookmarkStart w:id="120" w:name="_Toc16586999"/>
      <w:bookmarkStart w:id="121" w:name="_Toc17468706"/>
      <w:bookmarkStart w:id="122" w:name="_Toc31808520"/>
      <w:bookmarkStart w:id="123" w:name="_Toc106968804"/>
      <w:r>
        <w:t>Polski sektor ICT</w:t>
      </w:r>
      <w:r w:rsidR="006343E1">
        <w:t xml:space="preserve"> w </w:t>
      </w:r>
      <w:r>
        <w:t xml:space="preserve">obliczu rewolucji </w:t>
      </w:r>
      <w:bookmarkEnd w:id="120"/>
      <w:bookmarkEnd w:id="121"/>
      <w:bookmarkEnd w:id="122"/>
      <w:r>
        <w:t>SI</w:t>
      </w:r>
      <w:bookmarkEnd w:id="123"/>
    </w:p>
    <w:p w14:paraId="7FF23328" w14:textId="59B54537" w:rsidR="00B620BC" w:rsidRDefault="00B620BC" w:rsidP="00B620BC">
      <w:pPr>
        <w:spacing w:after="0"/>
      </w:pPr>
      <w:r>
        <w:t>Pod względem udziału sektora ICT</w:t>
      </w:r>
      <w:r w:rsidR="006343E1">
        <w:t xml:space="preserve"> w </w:t>
      </w:r>
      <w:r>
        <w:t>PKB Polska zajmuje 24</w:t>
      </w:r>
      <w:r w:rsidR="004412E4">
        <w:t>.</w:t>
      </w:r>
      <w:r>
        <w:t xml:space="preserve"> pozycję na 28 krajów UE. Sektor ICT w Polsce jest więc relatywnie nieduży</w:t>
      </w:r>
      <w:r w:rsidR="006343E1">
        <w:t xml:space="preserve"> w </w:t>
      </w:r>
      <w:r>
        <w:t>stosunku do innych gałęzi gospodarki. Pod względem sumy obrotów</w:t>
      </w:r>
      <w:r w:rsidR="006343E1">
        <w:t xml:space="preserve"> w </w:t>
      </w:r>
      <w:r>
        <w:t>tym segmencie Polska</w:t>
      </w:r>
      <w:r w:rsidR="006343E1">
        <w:t xml:space="preserve"> z </w:t>
      </w:r>
      <w:r>
        <w:t>obrotami równymi 10,9 mld EUR lokuje się jednak na 10</w:t>
      </w:r>
      <w:r w:rsidR="004412E4">
        <w:t>.</w:t>
      </w:r>
      <w:r>
        <w:t xml:space="preserve"> miejscu w Europie, tuż za Belgią</w:t>
      </w:r>
      <w:r w:rsidR="006343E1">
        <w:t xml:space="preserve"> i </w:t>
      </w:r>
      <w:r>
        <w:t>tuż przed Danią</w:t>
      </w:r>
      <w:r w:rsidR="006343E1">
        <w:t xml:space="preserve"> i </w:t>
      </w:r>
      <w:r>
        <w:t>Finlandią. Należy jednak pamiętać</w:t>
      </w:r>
      <w:r w:rsidR="00477C54">
        <w:t>, że </w:t>
      </w:r>
      <w:r>
        <w:t>w porównaniu</w:t>
      </w:r>
      <w:r w:rsidR="006343E1">
        <w:t xml:space="preserve"> z </w:t>
      </w:r>
      <w:r>
        <w:t>Polską są to stosunkowo małe kraje, stąd lepszym punktem odniesienia byłyby Niemcy lub Wielka Brytania. Tam jednak wartość obrotów sektora ICT</w:t>
      </w:r>
      <w:r w:rsidR="000615CA">
        <w:t xml:space="preserve"> jest dziesięciokrotnie wyższa.</w:t>
      </w:r>
    </w:p>
    <w:p w14:paraId="09A19180" w14:textId="529205CE" w:rsidR="00B620BC" w:rsidRDefault="00000000" w:rsidP="00B620BC">
      <w:sdt>
        <w:sdtPr>
          <w:rPr>
            <w:rFonts w:asciiTheme="minorHAnsi" w:hAnsiTheme="minorHAnsi" w:cstheme="minorHAnsi"/>
          </w:rPr>
          <w:tag w:val="goog_rdk_131"/>
          <w:id w:val="193194028"/>
          <w:placeholder>
            <w:docPart w:val="CC07BAFF78104DFF82E4ABF4BC36ED5A"/>
          </w:placeholder>
          <w:showingPlcHdr/>
        </w:sdtPr>
        <w:sdtContent/>
      </w:sdt>
      <w:r w:rsidR="00B620BC">
        <w:t>Zatrudnienie</w:t>
      </w:r>
      <w:r w:rsidR="006343E1">
        <w:t xml:space="preserve"> w </w:t>
      </w:r>
      <w:r w:rsidR="00B620BC">
        <w:t>polskim sektorze ICT bardzo dynamicznie rośnie</w:t>
      </w:r>
      <w:r w:rsidR="006343E1">
        <w:t xml:space="preserve"> i </w:t>
      </w:r>
      <w:r w:rsidR="00B620BC">
        <w:t>podwoiło się</w:t>
      </w:r>
      <w:r w:rsidR="006343E1">
        <w:t xml:space="preserve"> w </w:t>
      </w:r>
      <w:r w:rsidR="00B620BC">
        <w:t>latach 2010</w:t>
      </w:r>
      <w:r w:rsidR="004412E4">
        <w:rPr>
          <w:rFonts w:ascii="Times New Roman" w:hAnsi="Times New Roman" w:cs="Times New Roman"/>
        </w:rPr>
        <w:t>–</w:t>
      </w:r>
      <w:r w:rsidR="00B620BC">
        <w:t>2016. Jednak mimo że od niedawna polski sektor ICT jest już większy niż szwedzki, to porównanie z dużymi krajami UE pokazuje</w:t>
      </w:r>
      <w:r w:rsidR="00477C54">
        <w:t>, że </w:t>
      </w:r>
      <w:r w:rsidR="00B620BC">
        <w:t>wciąż jeszcze jest to relatywnie nieduża branża, skoro we Francji pracuje</w:t>
      </w:r>
      <w:r w:rsidR="006343E1">
        <w:t xml:space="preserve"> w </w:t>
      </w:r>
      <w:r w:rsidR="00B620BC">
        <w:t>niej 3-krotnie więcej osób niż</w:t>
      </w:r>
      <w:r w:rsidR="006343E1">
        <w:t xml:space="preserve"> w </w:t>
      </w:r>
      <w:r w:rsidR="00B620BC">
        <w:t xml:space="preserve">Polsce. </w:t>
      </w:r>
    </w:p>
    <w:p w14:paraId="16579AAB" w14:textId="27757ECC" w:rsidR="00B620BC" w:rsidRDefault="00B620BC" w:rsidP="00CC26C8">
      <w:pPr>
        <w:pStyle w:val="Nagwek4"/>
      </w:pPr>
      <w:r>
        <w:lastRenderedPageBreak/>
        <w:t xml:space="preserve">Wykres </w:t>
      </w:r>
      <w:r w:rsidR="00332B11">
        <w:t>5</w:t>
      </w:r>
      <w:r w:rsidR="00FC6E8F">
        <w:t>9</w:t>
      </w:r>
      <w:r w:rsidR="00332B11">
        <w:t>.</w:t>
      </w:r>
      <w:r>
        <w:t xml:space="preserve"> </w:t>
      </w:r>
      <w:r w:rsidRPr="00332B11">
        <w:t>Zatrudnienie</w:t>
      </w:r>
      <w:r w:rsidR="006343E1" w:rsidRPr="00332B11">
        <w:t xml:space="preserve"> w </w:t>
      </w:r>
      <w:r w:rsidRPr="00332B11">
        <w:t>sektorze programowania</w:t>
      </w:r>
      <w:r w:rsidR="006343E1" w:rsidRPr="00332B11">
        <w:t xml:space="preserve"> i </w:t>
      </w:r>
      <w:r w:rsidRPr="00332B11">
        <w:t>doradztwa informatycznego</w:t>
      </w:r>
    </w:p>
    <w:p w14:paraId="39D54A51" w14:textId="43D7522C" w:rsidR="00B620BC" w:rsidRDefault="00B620BC" w:rsidP="00B620BC">
      <w:pPr>
        <w:keepNext/>
        <w:keepLines/>
        <w:spacing w:after="0"/>
        <w:rPr>
          <w:rFonts w:ascii="Calibri" w:hAnsi="Calibri" w:cs="Calibri"/>
        </w:rPr>
      </w:pPr>
      <w:r>
        <w:rPr>
          <w:noProof/>
          <w:lang w:eastAsia="pl-PL"/>
        </w:rPr>
        <w:drawing>
          <wp:inline distT="0" distB="0" distL="0" distR="0" wp14:anchorId="58B2B541" wp14:editId="45167E2B">
            <wp:extent cx="4183039" cy="3049083"/>
            <wp:effectExtent l="0" t="0" r="8255" b="0"/>
            <wp:docPr id="223" name="Obraz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pic:cNvPicPr>
                      <a:picLocks noChangeAspect="1" noChangeArrowheads="1"/>
                    </pic:cNvPicPr>
                  </pic:nvPicPr>
                  <pic:blipFill>
                    <a:blip r:embed="rId94">
                      <a:extLst>
                        <a:ext uri="{28A0092B-C50C-407E-A947-70E740481C1C}">
                          <a14:useLocalDpi xmlns:a14="http://schemas.microsoft.com/office/drawing/2010/main" val="0"/>
                        </a:ext>
                      </a:extLst>
                    </a:blip>
                    <a:srcRect l="-21" t="-27" r="-21" b="-27"/>
                    <a:stretch>
                      <a:fillRect/>
                    </a:stretch>
                  </pic:blipFill>
                  <pic:spPr bwMode="auto">
                    <a:xfrm>
                      <a:off x="0" y="0"/>
                      <a:ext cx="4189893" cy="3054079"/>
                    </a:xfrm>
                    <a:prstGeom prst="rect">
                      <a:avLst/>
                    </a:prstGeom>
                    <a:solidFill>
                      <a:srgbClr val="FFFFFF"/>
                    </a:solidFill>
                    <a:ln>
                      <a:noFill/>
                    </a:ln>
                  </pic:spPr>
                </pic:pic>
              </a:graphicData>
            </a:graphic>
          </wp:inline>
        </w:drawing>
      </w:r>
    </w:p>
    <w:p w14:paraId="4690E81B" w14:textId="46F5857B" w:rsidR="00B620BC" w:rsidRPr="00CB07D4" w:rsidRDefault="00B620BC" w:rsidP="00CC26C8">
      <w:pPr>
        <w:pStyle w:val="Bezodstpw"/>
        <w:rPr>
          <w:sz w:val="20"/>
        </w:rPr>
      </w:pPr>
      <w:r w:rsidRPr="00CB07D4">
        <w:rPr>
          <w:sz w:val="20"/>
        </w:rPr>
        <w:t>Źródło: Eurostat</w:t>
      </w:r>
    </w:p>
    <w:p w14:paraId="4025361D" w14:textId="696D889F" w:rsidR="00B620BC" w:rsidRDefault="00B620BC" w:rsidP="00B620BC">
      <w:r>
        <w:t>Z perspektywy liczby firm</w:t>
      </w:r>
      <w:r w:rsidR="006343E1">
        <w:t xml:space="preserve"> w </w:t>
      </w:r>
      <w:r>
        <w:t>tym sektorze Polska</w:t>
      </w:r>
      <w:r w:rsidR="006343E1">
        <w:t xml:space="preserve"> z </w:t>
      </w:r>
      <w:r>
        <w:t>62 tys. firm zajmuje 4</w:t>
      </w:r>
      <w:r w:rsidR="004412E4">
        <w:t>.</w:t>
      </w:r>
      <w:r>
        <w:t xml:space="preserve"> miejsce</w:t>
      </w:r>
      <w:r w:rsidR="006343E1">
        <w:t xml:space="preserve"> w </w:t>
      </w:r>
      <w:r>
        <w:t>Europie za Wielką Brytanią (158 tys.), Niemcami (88 tys.)</w:t>
      </w:r>
      <w:r w:rsidR="006343E1">
        <w:t xml:space="preserve"> i </w:t>
      </w:r>
      <w:r>
        <w:t>Francją,</w:t>
      </w:r>
      <w:r w:rsidR="006343E1">
        <w:t xml:space="preserve"> a </w:t>
      </w:r>
      <w:r>
        <w:t>przed Holandią, Włochami</w:t>
      </w:r>
      <w:r w:rsidR="006343E1">
        <w:t xml:space="preserve"> i </w:t>
      </w:r>
      <w:r>
        <w:t>Szwecją. Jest to jedynie pozorny powód do zadowolenia, bowiem średni roczny obrót polskich firm wynosi ok. 180 tys. EUR (miesięcznie 15 tys. EUR)</w:t>
      </w:r>
      <w:r w:rsidR="006343E1">
        <w:t xml:space="preserve"> i </w:t>
      </w:r>
      <w:r>
        <w:t>jest 8 razy mniejszy niż średnia</w:t>
      </w:r>
      <w:r w:rsidR="006343E1">
        <w:t xml:space="preserve"> w </w:t>
      </w:r>
      <w:r>
        <w:t>Niemczech</w:t>
      </w:r>
      <w:r w:rsidR="006343E1">
        <w:t xml:space="preserve"> i </w:t>
      </w:r>
      <w:r>
        <w:t>2 razy mniejszy niż w Rumunii. Podobnie jest</w:t>
      </w:r>
      <w:r w:rsidR="006343E1">
        <w:t xml:space="preserve"> z </w:t>
      </w:r>
      <w:r>
        <w:t>produktywnością firm. Średnia wartość dodana firm ICT</w:t>
      </w:r>
      <w:r w:rsidR="006343E1">
        <w:t xml:space="preserve"> w </w:t>
      </w:r>
      <w:r>
        <w:t>Polsce wynosiła</w:t>
      </w:r>
      <w:r w:rsidR="006343E1">
        <w:t xml:space="preserve"> w </w:t>
      </w:r>
      <w:r>
        <w:t>2016 r. ok</w:t>
      </w:r>
      <w:r w:rsidR="004412E4">
        <w:t>.</w:t>
      </w:r>
      <w:r>
        <w:t xml:space="preserve"> 80 tys. EUR</w:t>
      </w:r>
      <w:r w:rsidR="006343E1">
        <w:t xml:space="preserve"> i </w:t>
      </w:r>
      <w:r>
        <w:t>była niemal 2,5-krotnie mniejsza niż firm rumuńskich, niemieckich,</w:t>
      </w:r>
      <w:r w:rsidR="006343E1">
        <w:t xml:space="preserve"> o </w:t>
      </w:r>
      <w:r>
        <w:t xml:space="preserve">fińskich nawet nie wspominając. </w:t>
      </w:r>
    </w:p>
    <w:p w14:paraId="6E99DC5C" w14:textId="25DA3791" w:rsidR="00B620BC" w:rsidRDefault="00B620BC" w:rsidP="00CB07D4">
      <w:pPr>
        <w:pStyle w:val="Nagwek4"/>
        <w:ind w:left="993" w:hanging="993"/>
      </w:pPr>
      <w:r>
        <w:t xml:space="preserve">Wykres </w:t>
      </w:r>
      <w:r w:rsidR="00FC6E8F">
        <w:t>60</w:t>
      </w:r>
      <w:r w:rsidR="00332B11">
        <w:t>.</w:t>
      </w:r>
      <w:r>
        <w:t xml:space="preserve"> Produktywność firm</w:t>
      </w:r>
      <w:r w:rsidR="006343E1">
        <w:t xml:space="preserve"> z </w:t>
      </w:r>
      <w:r>
        <w:t>sektora programowania</w:t>
      </w:r>
      <w:r w:rsidR="006343E1">
        <w:t xml:space="preserve"> i </w:t>
      </w:r>
      <w:r>
        <w:t>doradztwa informatycznego</w:t>
      </w:r>
      <w:r w:rsidR="006343E1">
        <w:t xml:space="preserve"> w </w:t>
      </w:r>
      <w:r>
        <w:t>stosunku do wartości dodanej mierzonej na jednego pracownika</w:t>
      </w:r>
    </w:p>
    <w:p w14:paraId="1FA7AFDB" w14:textId="5D176D0B" w:rsidR="00B620BC" w:rsidRDefault="00D90BFB" w:rsidP="00B620BC">
      <w:pPr>
        <w:keepNext/>
        <w:spacing w:after="0"/>
        <w:rPr>
          <w:rFonts w:ascii="Calibri" w:hAnsi="Calibri" w:cs="Calibri"/>
        </w:rPr>
      </w:pPr>
      <w:r>
        <w:rPr>
          <w:noProof/>
          <w:lang w:eastAsia="pl-PL"/>
        </w:rPr>
        <w:drawing>
          <wp:inline distT="0" distB="0" distL="0" distR="0" wp14:anchorId="5AE06EB4" wp14:editId="27F9751A">
            <wp:extent cx="4251278" cy="3244682"/>
            <wp:effectExtent l="0" t="0" r="0" b="0"/>
            <wp:docPr id="432" name="Obraz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95">
                      <a:extLst>
                        <a:ext uri="{28A0092B-C50C-407E-A947-70E740481C1C}">
                          <a14:useLocalDpi xmlns:a14="http://schemas.microsoft.com/office/drawing/2010/main" val="0"/>
                        </a:ext>
                      </a:extLst>
                    </a:blip>
                    <a:srcRect l="-12" t="-15" r="-12" b="-15"/>
                    <a:stretch>
                      <a:fillRect/>
                    </a:stretch>
                  </pic:blipFill>
                  <pic:spPr bwMode="auto">
                    <a:xfrm>
                      <a:off x="0" y="0"/>
                      <a:ext cx="4263483" cy="3253997"/>
                    </a:xfrm>
                    <a:prstGeom prst="rect">
                      <a:avLst/>
                    </a:prstGeom>
                    <a:solidFill>
                      <a:srgbClr val="FFFFFF"/>
                    </a:solidFill>
                    <a:ln>
                      <a:noFill/>
                    </a:ln>
                  </pic:spPr>
                </pic:pic>
              </a:graphicData>
            </a:graphic>
          </wp:inline>
        </w:drawing>
      </w:r>
    </w:p>
    <w:p w14:paraId="7F1236E7" w14:textId="77777777" w:rsidR="00B620BC" w:rsidRPr="00CB07D4" w:rsidRDefault="00B620BC" w:rsidP="00CC26C8">
      <w:pPr>
        <w:pStyle w:val="Bezodstpw"/>
        <w:rPr>
          <w:sz w:val="20"/>
        </w:rPr>
      </w:pPr>
      <w:r w:rsidRPr="00CB07D4">
        <w:rPr>
          <w:sz w:val="20"/>
        </w:rPr>
        <w:t>Źródło: Eurostat</w:t>
      </w:r>
    </w:p>
    <w:p w14:paraId="78D12DA8" w14:textId="0D303E97" w:rsidR="00B620BC" w:rsidRPr="00FC6E8F" w:rsidRDefault="00B620BC" w:rsidP="00B620BC">
      <w:r>
        <w:lastRenderedPageBreak/>
        <w:t>Jeśli założylibyśmy</w:t>
      </w:r>
      <w:r w:rsidR="00477C54">
        <w:t>, że </w:t>
      </w:r>
      <w:r w:rsidR="006343E1">
        <w:t>w </w:t>
      </w:r>
      <w:r>
        <w:t xml:space="preserve">segmencie </w:t>
      </w:r>
      <w:r>
        <w:rPr>
          <w:i/>
        </w:rPr>
        <w:t>computer programming, consultancy and related activitie</w:t>
      </w:r>
      <w:r>
        <w:t xml:space="preserve">s pracuje połowa </w:t>
      </w:r>
      <w:r w:rsidRPr="00FC6E8F">
        <w:t>specjalistów ICT, to</w:t>
      </w:r>
      <w:r w:rsidR="006343E1" w:rsidRPr="00FC6E8F">
        <w:t xml:space="preserve"> w </w:t>
      </w:r>
      <w:r w:rsidRPr="00FC6E8F">
        <w:t>Polsce na jedną firmę przypada 3,5 specjalisty ICT</w:t>
      </w:r>
      <w:r w:rsidR="00792446" w:rsidRPr="00FC6E8F">
        <w:t>,</w:t>
      </w:r>
      <w:r w:rsidRPr="00FC6E8F">
        <w:t xml:space="preserve"> </w:t>
      </w:r>
      <w:r w:rsidR="00792446" w:rsidRPr="00FC6E8F">
        <w:t>p</w:t>
      </w:r>
      <w:r w:rsidRPr="00FC6E8F">
        <w:t>odczas gdy</w:t>
      </w:r>
      <w:r w:rsidR="006343E1" w:rsidRPr="00FC6E8F">
        <w:t xml:space="preserve"> w </w:t>
      </w:r>
      <w:r w:rsidRPr="00FC6E8F">
        <w:t>Niemczech na jedną firm</w:t>
      </w:r>
      <w:r w:rsidR="00792446" w:rsidRPr="00FC6E8F">
        <w:t>ę</w:t>
      </w:r>
      <w:r w:rsidRPr="00FC6E8F">
        <w:t xml:space="preserve"> przypada ich dziewięciu. Dane te pokazują bardzo duże rozdrobnienie firm sektora ICT</w:t>
      </w:r>
      <w:r w:rsidR="006343E1" w:rsidRPr="00FC6E8F">
        <w:t xml:space="preserve"> w </w:t>
      </w:r>
      <w:r w:rsidRPr="00FC6E8F">
        <w:t>Polsce, co nie dziwi, biorąc pod uwagę specyfikę zatrudnienia</w:t>
      </w:r>
      <w:r w:rsidR="006343E1" w:rsidRPr="00FC6E8F">
        <w:t xml:space="preserve"> w </w:t>
      </w:r>
      <w:r w:rsidRPr="00FC6E8F">
        <w:t xml:space="preserve">tym sektorze, </w:t>
      </w:r>
      <w:r w:rsidR="006A0D88" w:rsidRPr="00FC6E8F">
        <w:t xml:space="preserve">czyli </w:t>
      </w:r>
      <w:r w:rsidRPr="00FC6E8F">
        <w:t>powszechne prowadzenie jednoosobowej działalności gospodarczej. Polscy informatycy są przy tym</w:t>
      </w:r>
      <w:r w:rsidR="00950BDD" w:rsidRPr="00FC6E8F">
        <w:t xml:space="preserve"> </w:t>
      </w:r>
      <w:r w:rsidRPr="00FC6E8F">
        <w:t>bardzo dobrze wynagradzan</w:t>
      </w:r>
      <w:r w:rsidR="00950BDD" w:rsidRPr="00FC6E8F">
        <w:t>i,  na tle dochodów całej gospodarki</w:t>
      </w:r>
      <w:r w:rsidRPr="00FC6E8F">
        <w:t xml:space="preserve">. </w:t>
      </w:r>
    </w:p>
    <w:p w14:paraId="0BD17C0C" w14:textId="3ED8B16A" w:rsidR="00B620BC" w:rsidRPr="00FC6E8F" w:rsidRDefault="00B620BC" w:rsidP="00B620BC">
      <w:r w:rsidRPr="00FC6E8F">
        <w:t>Jednak ocena sytuacji polskiego sektora ICT pod kątem wysokości zarobków może prowadzić do mylnych wniosków. Ciągły</w:t>
      </w:r>
      <w:r w:rsidR="006343E1" w:rsidRPr="00FC6E8F">
        <w:t xml:space="preserve"> i </w:t>
      </w:r>
      <w:r w:rsidRPr="00FC6E8F">
        <w:t>duży popyt na umiejętności programistyczne zaciemnia ocenę i tworzy wrażenie wysokiej konkurencyjności</w:t>
      </w:r>
      <w:r w:rsidR="006343E1" w:rsidRPr="00FC6E8F">
        <w:t xml:space="preserve"> i </w:t>
      </w:r>
      <w:r w:rsidRPr="00FC6E8F">
        <w:t>siły polskiego sektora ICT. Wysokie zarobki wynikają przede wszystkim</w:t>
      </w:r>
      <w:r w:rsidR="006343E1" w:rsidRPr="00FC6E8F">
        <w:t xml:space="preserve"> z </w:t>
      </w:r>
      <w:r w:rsidRPr="00FC6E8F">
        <w:t>ogólnego, dużego niedoboru tego rodzaju specjalistów</w:t>
      </w:r>
      <w:r w:rsidR="006343E1" w:rsidRPr="00FC6E8F">
        <w:t xml:space="preserve"> w </w:t>
      </w:r>
      <w:r w:rsidRPr="00FC6E8F">
        <w:t>Polsce. Tymczasem poziom ich produktywności – mierzonej wartością dodaną na pracownika – należy do jednego z najniższych</w:t>
      </w:r>
      <w:r w:rsidR="006343E1" w:rsidRPr="00FC6E8F">
        <w:t xml:space="preserve"> w </w:t>
      </w:r>
      <w:r w:rsidRPr="00FC6E8F">
        <w:t>U</w:t>
      </w:r>
      <w:r w:rsidR="00950BDD" w:rsidRPr="00FC6E8F">
        <w:t xml:space="preserve">nii </w:t>
      </w:r>
      <w:r w:rsidRPr="00FC6E8F">
        <w:t>E</w:t>
      </w:r>
      <w:r w:rsidR="00950BDD" w:rsidRPr="00FC6E8F">
        <w:t>uropejskiej</w:t>
      </w:r>
      <w:r w:rsidRPr="00FC6E8F">
        <w:t xml:space="preserve">. Jest on wielokrotnie niższy niż produktywność informatyków skandynawskich, brytyjskich, niemieckich czy francuskich, </w:t>
      </w:r>
      <w:r w:rsidR="00950BDD" w:rsidRPr="00FC6E8F">
        <w:t xml:space="preserve">a także </w:t>
      </w:r>
      <w:r w:rsidR="006343E1" w:rsidRPr="00FC6E8F">
        <w:t>w </w:t>
      </w:r>
      <w:r w:rsidRPr="00FC6E8F">
        <w:t>porównaniu</w:t>
      </w:r>
      <w:r w:rsidR="006343E1" w:rsidRPr="00FC6E8F">
        <w:t xml:space="preserve"> z </w:t>
      </w:r>
      <w:r w:rsidRPr="00FC6E8F">
        <w:t>konkurentami</w:t>
      </w:r>
      <w:r w:rsidR="006343E1" w:rsidRPr="00FC6E8F">
        <w:t xml:space="preserve"> z </w:t>
      </w:r>
      <w:r w:rsidRPr="00FC6E8F">
        <w:t xml:space="preserve">Czech, Węgier czy Rumunii. </w:t>
      </w:r>
    </w:p>
    <w:p w14:paraId="7E908F21" w14:textId="74EB2636" w:rsidR="00B620BC" w:rsidRPr="00FC6E8F" w:rsidRDefault="00B620BC" w:rsidP="00B620BC">
      <w:r w:rsidRPr="00FC6E8F">
        <w:t>Z ekonomicznego punktu widzenia oznacza to</w:t>
      </w:r>
      <w:r w:rsidR="00477C54" w:rsidRPr="00FC6E8F">
        <w:t>, że </w:t>
      </w:r>
      <w:r w:rsidRPr="00FC6E8F">
        <w:t>wysoko</w:t>
      </w:r>
      <w:r w:rsidR="00950BDD" w:rsidRPr="00FC6E8F">
        <w:t xml:space="preserve"> </w:t>
      </w:r>
      <w:r w:rsidRPr="00FC6E8F">
        <w:t>płatna praca polskiego programisty tworzy relatywnie niewielką wartość gospodarczą, bowiem wynik ogólny pokazuje</w:t>
      </w:r>
      <w:r w:rsidR="00477C54" w:rsidRPr="00FC6E8F">
        <w:t>, że </w:t>
      </w:r>
      <w:r w:rsidRPr="00FC6E8F">
        <w:t>firmy nie wytwarzają wysoko</w:t>
      </w:r>
      <w:r w:rsidR="00CD78A5" w:rsidRPr="00FC6E8F">
        <w:t xml:space="preserve"> </w:t>
      </w:r>
      <w:r w:rsidRPr="00FC6E8F">
        <w:t>wartościowych produktów informatycznych wspierających polski PKB. Dane wspierają obserwacje wskazujące na to</w:t>
      </w:r>
      <w:r w:rsidR="00477C54" w:rsidRPr="00FC6E8F">
        <w:t>, że </w:t>
      </w:r>
      <w:r w:rsidRPr="00FC6E8F">
        <w:t>polskie firmy pracują z</w:t>
      </w:r>
      <w:r w:rsidRPr="00FC6E8F">
        <w:rPr>
          <w:bCs/>
        </w:rPr>
        <w:t> </w:t>
      </w:r>
      <w:r w:rsidRPr="00FC6E8F">
        <w:t>reguły</w:t>
      </w:r>
      <w:r w:rsidR="006343E1" w:rsidRPr="00FC6E8F">
        <w:t xml:space="preserve"> w </w:t>
      </w:r>
      <w:r w:rsidRPr="00FC6E8F">
        <w:t xml:space="preserve">quasi-rzemieślniczym modelu </w:t>
      </w:r>
      <w:r w:rsidRPr="00FC6E8F">
        <w:rPr>
          <w:i/>
        </w:rPr>
        <w:t>software house</w:t>
      </w:r>
      <w:r w:rsidRPr="00FC6E8F">
        <w:t>, zajmując się głównie kodowaniem</w:t>
      </w:r>
      <w:r w:rsidR="00CD78A5" w:rsidRPr="00FC6E8F">
        <w:t>,</w:t>
      </w:r>
      <w:r w:rsidR="006343E1" w:rsidRPr="00FC6E8F">
        <w:t xml:space="preserve"> i </w:t>
      </w:r>
      <w:r w:rsidRPr="00FC6E8F">
        <w:t>są podwykonawcami dla innych firm, najczęściej międzynarodowych. Polskie firmy specjalizują się w</w:t>
      </w:r>
      <w:r w:rsidRPr="00FC6E8F">
        <w:rPr>
          <w:bCs/>
        </w:rPr>
        <w:t> </w:t>
      </w:r>
      <w:r w:rsidRPr="00FC6E8F">
        <w:t>relatywnie pracochłonnych elementach łańcucha wartości produktów ICT, podczas gdy nieporównywalnie większe dochody przynoszą dopiero komercjalizowane globalnie własne systemy, platformy lub gry komputerowe, czyli inwestycja we własne IP. Polscy pracownicy sektora ICT mogą więc mieć poczucie wysokiej satysfakcji finansowej z wykonywania swojej pracy, jednak pod wieloma względami jest to praca nakładcza. Może to też tłumaczyć bardzo wysoki</w:t>
      </w:r>
      <w:r>
        <w:t xml:space="preserve"> poziom międzynarodowej mobilności polskich informatyków. Nie są oni bowiem najczęściej związani</w:t>
      </w:r>
      <w:r w:rsidR="006343E1">
        <w:t xml:space="preserve"> z </w:t>
      </w:r>
      <w:r>
        <w:t xml:space="preserve">rozwojem własnego produktu, lecz najmują się do bardzo dobrze płatnej pracy przy rozwoju cudzych rozwiązań. Oznacza </w:t>
      </w:r>
      <w:r w:rsidRPr="00FC6E8F">
        <w:t>to</w:t>
      </w:r>
      <w:r w:rsidR="00477C54" w:rsidRPr="00FC6E8F">
        <w:t>, że </w:t>
      </w:r>
      <w:r w:rsidRPr="00FC6E8F">
        <w:t xml:space="preserve">fachowa polska wiedza programistyczna </w:t>
      </w:r>
      <w:r w:rsidR="00CD78A5" w:rsidRPr="00FC6E8F">
        <w:t>jest</w:t>
      </w:r>
      <w:r w:rsidRPr="00FC6E8F">
        <w:t xml:space="preserve"> wykorzystywana do tworzenia produktów projektowanych i komercjalizowanych</w:t>
      </w:r>
      <w:r w:rsidR="006343E1" w:rsidRPr="00FC6E8F">
        <w:t xml:space="preserve"> w </w:t>
      </w:r>
      <w:r w:rsidRPr="00FC6E8F">
        <w:t>innych firmach</w:t>
      </w:r>
      <w:r w:rsidR="006343E1" w:rsidRPr="00FC6E8F">
        <w:t xml:space="preserve"> i </w:t>
      </w:r>
      <w:r w:rsidRPr="00FC6E8F">
        <w:t xml:space="preserve">innych krajach. Polski sektor ICT nie wykorzystuje wielu szans rozwojowych pomimo dużego potencjału. Co więcej, w momencie gdy zaawansowanie rozwiązań opartych na </w:t>
      </w:r>
      <w:r w:rsidR="00CD78A5" w:rsidRPr="00FC6E8F">
        <w:t>s</w:t>
      </w:r>
      <w:r w:rsidRPr="00FC6E8F">
        <w:t xml:space="preserve">ztucznej </w:t>
      </w:r>
      <w:r w:rsidR="00CD78A5" w:rsidRPr="00FC6E8F">
        <w:t>i</w:t>
      </w:r>
      <w:r w:rsidRPr="00FC6E8F">
        <w:t>nteligencji dojdzie do poziomu,</w:t>
      </w:r>
      <w:r w:rsidR="006343E1" w:rsidRPr="00FC6E8F">
        <w:t xml:space="preserve"> w </w:t>
      </w:r>
      <w:r w:rsidRPr="00FC6E8F">
        <w:t xml:space="preserve">którym to inteligentne oprogramowanie zacznie tworzyć nowe oprogramowanie, </w:t>
      </w:r>
      <w:r w:rsidR="00CD78A5" w:rsidRPr="00FC6E8F">
        <w:t xml:space="preserve">sektor </w:t>
      </w:r>
      <w:r w:rsidRPr="00FC6E8F">
        <w:t>może stanąć</w:t>
      </w:r>
      <w:r w:rsidR="006343E1" w:rsidRPr="00FC6E8F">
        <w:t xml:space="preserve"> w </w:t>
      </w:r>
      <w:r w:rsidRPr="00FC6E8F">
        <w:t>obliczu poważnego kryzysu. Powinien zatem wykorzystać rewolucję SI do budowy własnych rozwiązań</w:t>
      </w:r>
      <w:r w:rsidR="006343E1" w:rsidRPr="00FC6E8F">
        <w:t xml:space="preserve"> i </w:t>
      </w:r>
      <w:r w:rsidRPr="00FC6E8F">
        <w:t>podjąć wysiłek ich globalnej komercjalizacji. Jest to tym bardziej zasadne</w:t>
      </w:r>
      <w:r w:rsidR="00477C54" w:rsidRPr="00FC6E8F">
        <w:t>, że </w:t>
      </w:r>
      <w:r w:rsidRPr="00FC6E8F">
        <w:t>przykłady sukces</w:t>
      </w:r>
      <w:r w:rsidRPr="00FC6E8F">
        <w:rPr>
          <w:bCs/>
        </w:rPr>
        <w:t>ów</w:t>
      </w:r>
      <w:r w:rsidRPr="00FC6E8F">
        <w:t xml:space="preserve"> polskich produktów są coraz liczniejsze.</w:t>
      </w:r>
    </w:p>
    <w:p w14:paraId="0ACFDCBA" w14:textId="42ED2225" w:rsidR="00B620BC" w:rsidRDefault="00B620BC" w:rsidP="00A9445F">
      <w:pPr>
        <w:pStyle w:val="Nagwek2"/>
        <w:numPr>
          <w:ilvl w:val="1"/>
          <w:numId w:val="11"/>
        </w:numPr>
        <w:suppressAutoHyphens/>
      </w:pPr>
      <w:bookmarkStart w:id="124" w:name="_Toc16587001"/>
      <w:bookmarkStart w:id="125" w:name="_Toc17468708"/>
      <w:bookmarkStart w:id="126" w:name="_Toc31808521"/>
      <w:bookmarkStart w:id="127" w:name="_Toc106968805"/>
      <w:r>
        <w:t xml:space="preserve">Polski sektor </w:t>
      </w:r>
      <w:bookmarkEnd w:id="124"/>
      <w:bookmarkEnd w:id="125"/>
      <w:bookmarkEnd w:id="126"/>
      <w:r>
        <w:t>SI</w:t>
      </w:r>
      <w:bookmarkEnd w:id="127"/>
    </w:p>
    <w:p w14:paraId="6353893C" w14:textId="2EADF69E" w:rsidR="00B620BC" w:rsidRPr="00FC6E8F" w:rsidRDefault="00B620BC" w:rsidP="00B620BC">
      <w:r w:rsidRPr="00FC6E8F">
        <w:t xml:space="preserve">Polski sektor </w:t>
      </w:r>
      <w:r w:rsidR="00D270C9" w:rsidRPr="00FC6E8F">
        <w:t>oparty na sztucznej inteligencji (</w:t>
      </w:r>
      <w:r w:rsidRPr="00FC6E8F">
        <w:t>SI</w:t>
      </w:r>
      <w:r w:rsidR="00D270C9" w:rsidRPr="00FC6E8F">
        <w:t>)</w:t>
      </w:r>
      <w:r w:rsidRPr="00FC6E8F">
        <w:t xml:space="preserve"> </w:t>
      </w:r>
      <w:r w:rsidR="00D270C9" w:rsidRPr="00FC6E8F">
        <w:t xml:space="preserve">jest </w:t>
      </w:r>
      <w:r w:rsidRPr="00FC6E8F">
        <w:t>zlokalizowany</w:t>
      </w:r>
      <w:r w:rsidR="00D270C9" w:rsidRPr="00FC6E8F">
        <w:t>, co nie powinno szczególnie zaskakiwać,</w:t>
      </w:r>
      <w:r w:rsidRPr="00FC6E8F">
        <w:t xml:space="preserve"> przede wszystkim w dużych miastach</w:t>
      </w:r>
      <w:r w:rsidR="00D270C9" w:rsidRPr="00FC6E8F">
        <w:t>, w których są</w:t>
      </w:r>
      <w:r w:rsidRPr="00FC6E8F">
        <w:t xml:space="preserve"> </w:t>
      </w:r>
      <w:r w:rsidR="00D270C9" w:rsidRPr="00FC6E8F">
        <w:t>ważne</w:t>
      </w:r>
      <w:r w:rsidRPr="00FC6E8F">
        <w:t xml:space="preserve"> ośrodki akademickie. Największym skupiskiem firm i specjalistów z zakresu SI jest Warszawa, </w:t>
      </w:r>
      <w:r w:rsidR="00D270C9" w:rsidRPr="00FC6E8F">
        <w:t>w</w:t>
      </w:r>
      <w:r w:rsidRPr="00FC6E8F">
        <w:t xml:space="preserve"> któr</w:t>
      </w:r>
      <w:r w:rsidR="00D270C9" w:rsidRPr="00FC6E8F">
        <w:t>ej</w:t>
      </w:r>
      <w:r w:rsidRPr="00FC6E8F">
        <w:t xml:space="preserve"> </w:t>
      </w:r>
      <w:r w:rsidR="00D270C9" w:rsidRPr="00FC6E8F">
        <w:t>znajduje się</w:t>
      </w:r>
      <w:r w:rsidR="006343E1" w:rsidRPr="00FC6E8F">
        <w:t> </w:t>
      </w:r>
      <w:r w:rsidRPr="00FC6E8F">
        <w:t>ponad 30% polskiego potencjału</w:t>
      </w:r>
      <w:r w:rsidR="006343E1" w:rsidRPr="00FC6E8F">
        <w:t xml:space="preserve"> w </w:t>
      </w:r>
      <w:r w:rsidRPr="00FC6E8F">
        <w:t>tej dziedzinie. Razem</w:t>
      </w:r>
      <w:r w:rsidR="006343E1" w:rsidRPr="00FC6E8F">
        <w:t xml:space="preserve"> z </w:t>
      </w:r>
      <w:r w:rsidRPr="00FC6E8F">
        <w:t>Krakowem</w:t>
      </w:r>
      <w:r w:rsidR="006343E1" w:rsidRPr="00FC6E8F">
        <w:t xml:space="preserve"> i </w:t>
      </w:r>
      <w:r w:rsidRPr="00FC6E8F">
        <w:t>Wrocławiem te trzy ośrodki stanowią</w:t>
      </w:r>
      <w:r w:rsidR="006343E1" w:rsidRPr="00FC6E8F">
        <w:t> </w:t>
      </w:r>
      <w:r w:rsidRPr="00FC6E8F">
        <w:t>ponad 70% polskiego potencjału kompetencyjnego na polu SI.</w:t>
      </w:r>
    </w:p>
    <w:p w14:paraId="16C4AF72" w14:textId="6F93A66E" w:rsidR="00B620BC" w:rsidRDefault="00B620BC" w:rsidP="00CC26C8">
      <w:pPr>
        <w:pStyle w:val="Nagwek4"/>
      </w:pPr>
      <w:r>
        <w:lastRenderedPageBreak/>
        <w:t xml:space="preserve">Wykres </w:t>
      </w:r>
      <w:r w:rsidR="00FC6E8F">
        <w:t>61</w:t>
      </w:r>
      <w:r w:rsidR="00332B11">
        <w:t>.</w:t>
      </w:r>
      <w:r>
        <w:t xml:space="preserve"> Rozmieszczenie koncentracji regionalnej polskiego sektora SI</w:t>
      </w:r>
    </w:p>
    <w:p w14:paraId="128B6A6E" w14:textId="4DA7D212" w:rsidR="00B620BC" w:rsidRDefault="00B620BC" w:rsidP="00B620BC">
      <w:pPr>
        <w:keepLines/>
        <w:spacing w:after="0"/>
        <w:rPr>
          <w:rFonts w:ascii="Calibri" w:hAnsi="Calibri" w:cs="Calibri"/>
          <w:sz w:val="16"/>
          <w:szCs w:val="16"/>
        </w:rPr>
      </w:pPr>
      <w:r>
        <w:rPr>
          <w:noProof/>
          <w:lang w:eastAsia="pl-PL"/>
        </w:rPr>
        <w:drawing>
          <wp:inline distT="0" distB="0" distL="0" distR="0" wp14:anchorId="6F03E566" wp14:editId="3E93F842">
            <wp:extent cx="3095625" cy="2390775"/>
            <wp:effectExtent l="19050" t="19050" r="28575" b="28575"/>
            <wp:docPr id="222" name="Obraz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095625" cy="2390775"/>
                    </a:xfrm>
                    <a:prstGeom prst="rect">
                      <a:avLst/>
                    </a:prstGeom>
                    <a:solidFill>
                      <a:srgbClr val="FFFFFF"/>
                    </a:solidFill>
                    <a:ln w="9525" cmpd="sng">
                      <a:solidFill>
                        <a:srgbClr val="000080"/>
                      </a:solidFill>
                      <a:prstDash val="solid"/>
                      <a:miter lim="800000"/>
                      <a:headEnd/>
                      <a:tailEnd/>
                    </a:ln>
                    <a:effectLst/>
                  </pic:spPr>
                </pic:pic>
              </a:graphicData>
            </a:graphic>
          </wp:inline>
        </w:drawing>
      </w:r>
    </w:p>
    <w:p w14:paraId="5C8F45AD" w14:textId="62DAD56D" w:rsidR="00B620BC" w:rsidRPr="00CB07D4" w:rsidRDefault="00B620BC" w:rsidP="00CC26C8">
      <w:pPr>
        <w:pStyle w:val="Bezodstpw"/>
        <w:rPr>
          <w:sz w:val="20"/>
        </w:rPr>
      </w:pPr>
      <w:r w:rsidRPr="00CB07D4">
        <w:rPr>
          <w:sz w:val="20"/>
        </w:rPr>
        <w:t>Źródło: Opracowanie Linkedin</w:t>
      </w:r>
    </w:p>
    <w:p w14:paraId="7F70EE63" w14:textId="32D507E6" w:rsidR="00B620BC" w:rsidRDefault="00B620BC" w:rsidP="00B620BC">
      <w:pPr>
        <w:rPr>
          <w:b/>
        </w:rPr>
      </w:pPr>
      <w:r>
        <w:t>Najważniejszymi ośrodkami kształcenia polskich specjalistów</w:t>
      </w:r>
      <w:r w:rsidR="006343E1">
        <w:t xml:space="preserve"> z </w:t>
      </w:r>
      <w:r>
        <w:t>zakresu technologii SI są kolejno: Politechnika Warszawska, Uniwersytet Warszawski, Akademia Górniczo-Hutnicza, Politechnika Wrocławska, Uniwersytet Jagielloński, Politechnika Poznańska, Politechnika Gdańska, Szkoła Główna Handlowa, Politechnika Śląska oraz Politechnika Łódzka.</w:t>
      </w:r>
      <w:r w:rsidRPr="00CC26C8">
        <w:rPr>
          <w:rStyle w:val="Znakiprzypiswdolnych"/>
          <w:rFonts w:ascii="Calibri" w:hAnsi="Calibri" w:cs="Calibri"/>
          <w:vertAlign w:val="superscript"/>
        </w:rPr>
        <w:footnoteReference w:id="60"/>
      </w:r>
    </w:p>
    <w:p w14:paraId="2A76456D" w14:textId="7E98EF06" w:rsidR="00B620BC" w:rsidRPr="00FC6E8F" w:rsidRDefault="00B620BC" w:rsidP="00B620BC">
      <w:r w:rsidRPr="00FC6E8F">
        <w:t>Dane (</w:t>
      </w:r>
      <w:r w:rsidR="00D270C9" w:rsidRPr="00FC6E8F">
        <w:t>w</w:t>
      </w:r>
      <w:r w:rsidRPr="00FC6E8F">
        <w:t xml:space="preserve">ykres </w:t>
      </w:r>
      <w:r w:rsidR="00332B11" w:rsidRPr="00FC6E8F">
        <w:t>6</w:t>
      </w:r>
      <w:r w:rsidR="00FC6E8F" w:rsidRPr="00FC6E8F">
        <w:t>2</w:t>
      </w:r>
      <w:r w:rsidRPr="00FC6E8F">
        <w:t>) pokazują</w:t>
      </w:r>
      <w:r w:rsidR="00477C54" w:rsidRPr="00FC6E8F">
        <w:t>, że </w:t>
      </w:r>
      <w:r w:rsidRPr="00FC6E8F">
        <w:t>wśród 20 największych pracodawców dla polskich specjalistów od SI są albo bardzo duże firmy zagraniczne</w:t>
      </w:r>
      <w:r w:rsidR="00D270C9" w:rsidRPr="00FC6E8F">
        <w:t>,</w:t>
      </w:r>
      <w:r w:rsidRPr="00FC6E8F">
        <w:t xml:space="preserve"> takie jak: Intel, Nokia, Samsung, Aptiv, TomTom, Google, Roche, Capgemini, Luxoft, UBS, IBM czy Allegro</w:t>
      </w:r>
      <w:r w:rsidR="00D270C9" w:rsidRPr="00FC6E8F">
        <w:t>,</w:t>
      </w:r>
      <w:r w:rsidRPr="00FC6E8F">
        <w:t xml:space="preserve"> albo uczelnie</w:t>
      </w:r>
      <w:r w:rsidR="00D270C9" w:rsidRPr="00FC6E8F">
        <w:t>:</w:t>
      </w:r>
      <w:r w:rsidRPr="00FC6E8F">
        <w:t xml:space="preserve"> Politechnika Warszawska, Akademia Górniczo-Hutnicza, Politechnika Wrocławska, Uniwersytet Warszawski czy Politechnika Poznańska.</w:t>
      </w:r>
    </w:p>
    <w:p w14:paraId="18DC79C7" w14:textId="77777777" w:rsidR="00ED7916" w:rsidRDefault="00ED7916">
      <w:pPr>
        <w:spacing w:before="0" w:after="0" w:line="240" w:lineRule="auto"/>
        <w:jc w:val="left"/>
        <w:rPr>
          <w:rFonts w:eastAsiaTheme="majorEastAsia" w:cstheme="majorBidi"/>
          <w:b/>
          <w:iCs/>
          <w:sz w:val="21"/>
        </w:rPr>
      </w:pPr>
      <w:r>
        <w:br w:type="page"/>
      </w:r>
    </w:p>
    <w:p w14:paraId="16522B03" w14:textId="423225AF" w:rsidR="00B620BC" w:rsidRPr="00AD038B" w:rsidRDefault="00B620BC" w:rsidP="00CC26C8">
      <w:pPr>
        <w:pStyle w:val="Nagwek4"/>
      </w:pPr>
      <w:r w:rsidRPr="00AD038B">
        <w:lastRenderedPageBreak/>
        <w:t xml:space="preserve">Wykres </w:t>
      </w:r>
      <w:r w:rsidR="00332B11" w:rsidRPr="00AD038B">
        <w:t>6</w:t>
      </w:r>
      <w:r w:rsidR="00FC6E8F">
        <w:t>2</w:t>
      </w:r>
      <w:r w:rsidR="00332B11" w:rsidRPr="00AD038B">
        <w:t>.</w:t>
      </w:r>
      <w:r w:rsidRPr="00AD038B">
        <w:t xml:space="preserve"> Udział zatrudnienia polskich specjalistów SI</w:t>
      </w:r>
      <w:r w:rsidR="006343E1" w:rsidRPr="00AD038B">
        <w:t xml:space="preserve"> w </w:t>
      </w:r>
      <w:r w:rsidRPr="00AD038B">
        <w:t>sektorach</w:t>
      </w:r>
    </w:p>
    <w:p w14:paraId="6948BF58" w14:textId="77D7DAB0" w:rsidR="00B620BC" w:rsidRDefault="00B620BC" w:rsidP="00B620BC">
      <w:pPr>
        <w:spacing w:after="0"/>
        <w:rPr>
          <w:rFonts w:ascii="Calibri" w:hAnsi="Calibri" w:cs="Calibri"/>
          <w:b/>
          <w:bCs/>
          <w:i/>
          <w:iCs/>
          <w:color w:val="1F497D"/>
          <w:sz w:val="18"/>
          <w:szCs w:val="18"/>
          <w:lang w:val="en-US"/>
        </w:rPr>
      </w:pPr>
      <w:r w:rsidRPr="00CB7686">
        <w:rPr>
          <w:rFonts w:ascii="Calibri" w:hAnsi="Calibri" w:cs="Calibri"/>
        </w:rPr>
        <w:t xml:space="preserve"> </w:t>
      </w:r>
      <w:r>
        <w:rPr>
          <w:noProof/>
          <w:lang w:eastAsia="pl-PL"/>
        </w:rPr>
        <w:drawing>
          <wp:inline distT="0" distB="0" distL="0" distR="0" wp14:anchorId="03847D7C" wp14:editId="7A749E21">
            <wp:extent cx="2733675" cy="2857500"/>
            <wp:effectExtent l="19050" t="19050" r="19050" b="19050"/>
            <wp:docPr id="221" name="Obraz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733675" cy="2857500"/>
                    </a:xfrm>
                    <a:prstGeom prst="rect">
                      <a:avLst/>
                    </a:prstGeom>
                    <a:solidFill>
                      <a:srgbClr val="FFFFFF"/>
                    </a:solidFill>
                    <a:ln w="9525" cmpd="sng">
                      <a:solidFill>
                        <a:srgbClr val="000080"/>
                      </a:solidFill>
                      <a:prstDash val="solid"/>
                      <a:miter lim="800000"/>
                      <a:headEnd/>
                      <a:tailEnd/>
                    </a:ln>
                    <a:effectLst/>
                  </pic:spPr>
                </pic:pic>
              </a:graphicData>
            </a:graphic>
          </wp:inline>
        </w:drawing>
      </w:r>
    </w:p>
    <w:p w14:paraId="26E18815" w14:textId="35332016" w:rsidR="00B620BC" w:rsidRDefault="00CC26C8" w:rsidP="00CC26C8">
      <w:pPr>
        <w:pStyle w:val="Bezodstpw"/>
        <w:rPr>
          <w:i w:val="0"/>
          <w:iCs/>
          <w:lang w:val="en-US"/>
        </w:rPr>
      </w:pPr>
      <w:r>
        <w:rPr>
          <w:i w:val="0"/>
          <w:iCs/>
          <w:lang w:val="en-US"/>
        </w:rPr>
        <w:t>L</w:t>
      </w:r>
      <w:r w:rsidR="00B620BC" w:rsidRPr="00CC26C8">
        <w:rPr>
          <w:i w:val="0"/>
          <w:iCs/>
          <w:lang w:val="en-US"/>
        </w:rPr>
        <w:t xml:space="preserve">egenda osi poziomej: software and IT service, education manufacturing, hardware and networking, finance, corporate service healthcare, consumer goods, entertainment, , nonprofit, media and communication, energy and mining, recreation and travel </w:t>
      </w:r>
    </w:p>
    <w:p w14:paraId="60B6DE88" w14:textId="7BA69A0D" w:rsidR="00AF2A9A" w:rsidRPr="00CB7686" w:rsidRDefault="00AF2A9A" w:rsidP="00AF2A9A">
      <w:pPr>
        <w:pStyle w:val="Bezodstpw"/>
      </w:pPr>
      <w:r w:rsidRPr="00CB7686">
        <w:t xml:space="preserve">Źródło: Opracowanie Linkedin </w:t>
      </w:r>
    </w:p>
    <w:p w14:paraId="4FB75E9A" w14:textId="01764E71" w:rsidR="00B620BC" w:rsidRDefault="00B620BC" w:rsidP="00B620BC">
      <w:r>
        <w:t>Z jednej strony pokazuje to</w:t>
      </w:r>
      <w:r w:rsidR="00477C54">
        <w:t>, że </w:t>
      </w:r>
      <w:r>
        <w:t xml:space="preserve">to głównie największe firmy globalne – nie tylko z sektora ICT </w:t>
      </w:r>
      <w:r w:rsidR="00DA7577">
        <w:rPr>
          <w:rFonts w:ascii="Times New Roman" w:hAnsi="Times New Roman" w:cs="Times New Roman"/>
        </w:rPr>
        <w:t>–</w:t>
      </w:r>
      <w:r>
        <w:t xml:space="preserve"> inwestują</w:t>
      </w:r>
      <w:r w:rsidR="006343E1">
        <w:t xml:space="preserve"> w </w:t>
      </w:r>
      <w:r>
        <w:t>specjalistyczne zespoły</w:t>
      </w:r>
      <w:r w:rsidR="006343E1">
        <w:t xml:space="preserve"> o </w:t>
      </w:r>
      <w:r>
        <w:t>dużym potencjale</w:t>
      </w:r>
      <w:r w:rsidR="00DA7577">
        <w:t>,</w:t>
      </w:r>
      <w:r>
        <w:t xml:space="preserve"> tworząc dla absolwentów polskich uczelni atrakcyjne</w:t>
      </w:r>
      <w:r w:rsidR="006343E1">
        <w:t xml:space="preserve"> i </w:t>
      </w:r>
      <w:r>
        <w:t>wysokospecjalistyczne miejsca pracy</w:t>
      </w:r>
      <w:r w:rsidR="006343E1">
        <w:t xml:space="preserve"> w </w:t>
      </w:r>
      <w:r>
        <w:t>kraju.</w:t>
      </w:r>
      <w:r w:rsidR="006343E1">
        <w:t xml:space="preserve"> Z </w:t>
      </w:r>
      <w:r>
        <w:t xml:space="preserve">drugiej strony, biorąc pod uwagę gigantyczną, często nawet </w:t>
      </w:r>
      <w:r w:rsidR="00DA7577">
        <w:br/>
      </w:r>
      <w:r>
        <w:t>10-krotną, różnicę wynagrodzeń pomiędzy uczelniami</w:t>
      </w:r>
      <w:r w:rsidR="006343E1">
        <w:t xml:space="preserve"> a </w:t>
      </w:r>
      <w:r>
        <w:t>biznesem, realnym zagrożeniem jest masowy transfer specjalistów</w:t>
      </w:r>
      <w:r w:rsidR="006343E1">
        <w:t xml:space="preserve"> z </w:t>
      </w:r>
      <w:r>
        <w:t xml:space="preserve">uczelni do firm, który </w:t>
      </w:r>
      <w:r w:rsidR="00DA7577">
        <w:t xml:space="preserve">będzie </w:t>
      </w:r>
      <w:r>
        <w:t>skutkował załamaniem się zdolności do kształcenia nowych roczników studentów</w:t>
      </w:r>
      <w:r w:rsidR="006343E1">
        <w:t xml:space="preserve"> w </w:t>
      </w:r>
      <w:r>
        <w:t>dziedzinie</w:t>
      </w:r>
      <w:r w:rsidR="006343E1">
        <w:t xml:space="preserve"> o </w:t>
      </w:r>
      <w:r>
        <w:t>fundamentalnym znaczeniu dla gospodarki. Zjawisko to nasila się</w:t>
      </w:r>
      <w:r w:rsidR="006343E1">
        <w:t xml:space="preserve"> z </w:t>
      </w:r>
      <w:r>
        <w:t>każdym rokiem</w:t>
      </w:r>
      <w:r w:rsidR="006343E1">
        <w:t xml:space="preserve"> i </w:t>
      </w:r>
      <w:r>
        <w:t>powinno spotkać się</w:t>
      </w:r>
      <w:r w:rsidR="006343E1">
        <w:t xml:space="preserve"> z </w:t>
      </w:r>
      <w:r>
        <w:t xml:space="preserve">jak najszybszą reakcją polskiego państwa, ponieważ </w:t>
      </w:r>
      <w:r>
        <w:rPr>
          <w:bCs/>
        </w:rPr>
        <w:t>„polowanie” na kwalifikacje (</w:t>
      </w:r>
      <w:r>
        <w:rPr>
          <w:bCs/>
          <w:i/>
        </w:rPr>
        <w:t>skills poaching</w:t>
      </w:r>
      <w:r>
        <w:rPr>
          <w:bCs/>
        </w:rPr>
        <w:t>) niejednokrotnie</w:t>
      </w:r>
      <w:r w:rsidR="006343E1">
        <w:rPr>
          <w:bCs/>
        </w:rPr>
        <w:t xml:space="preserve"> w </w:t>
      </w:r>
      <w:r>
        <w:rPr>
          <w:bCs/>
        </w:rPr>
        <w:t>historii gospodarczej doprowadziło do załamania całych branż</w:t>
      </w:r>
      <w:r w:rsidR="006343E1">
        <w:rPr>
          <w:bCs/>
        </w:rPr>
        <w:t xml:space="preserve"> w </w:t>
      </w:r>
      <w:r>
        <w:rPr>
          <w:bCs/>
        </w:rPr>
        <w:t>krajach, które nie inwestowały</w:t>
      </w:r>
      <w:r w:rsidR="006343E1">
        <w:rPr>
          <w:bCs/>
        </w:rPr>
        <w:t xml:space="preserve"> w </w:t>
      </w:r>
      <w:r>
        <w:rPr>
          <w:bCs/>
        </w:rPr>
        <w:t>sektor edukacji</w:t>
      </w:r>
      <w:r w:rsidR="006343E1">
        <w:rPr>
          <w:bCs/>
        </w:rPr>
        <w:t xml:space="preserve"> w </w:t>
      </w:r>
      <w:r>
        <w:rPr>
          <w:bCs/>
        </w:rPr>
        <w:t>wystarczającym zakresie</w:t>
      </w:r>
      <w:r>
        <w:t xml:space="preserve">. </w:t>
      </w:r>
    </w:p>
    <w:p w14:paraId="48B51D73" w14:textId="20E39E8E" w:rsidR="00B620BC" w:rsidRDefault="00B620BC" w:rsidP="00B620BC">
      <w:r>
        <w:t xml:space="preserve">Kluczowym kierunkiem inwestycji publicznych powinna być zatem budowa krytycznej masy nauczycieli akademickich oraz pozyskanie wykładowców praktyków, co pozwoli zwiększyć ilościowy potencjał dydaktyczny dla coraz większej liczby </w:t>
      </w:r>
      <w:r w:rsidR="00DA7577">
        <w:t xml:space="preserve">studentów </w:t>
      </w:r>
      <w:r>
        <w:t>zainteresowanych sztuczną inteligencją.</w:t>
      </w:r>
      <w:r w:rsidR="006343E1">
        <w:t xml:space="preserve"> Z </w:t>
      </w:r>
      <w:r>
        <w:t>danych Linkedin (</w:t>
      </w:r>
      <w:r w:rsidR="00DA7577">
        <w:t>w</w:t>
      </w:r>
      <w:r>
        <w:t xml:space="preserve">ykres </w:t>
      </w:r>
      <w:r w:rsidR="00332B11">
        <w:t>6</w:t>
      </w:r>
      <w:r w:rsidR="00FC6E8F">
        <w:t>3</w:t>
      </w:r>
      <w:r>
        <w:t>) wynika bowiem</w:t>
      </w:r>
      <w:r w:rsidR="00477C54">
        <w:t>, że </w:t>
      </w:r>
      <w:r w:rsidR="006343E1">
        <w:t>w </w:t>
      </w:r>
      <w:r>
        <w:t>porównaniu z innymi krajami</w:t>
      </w:r>
      <w:r w:rsidR="006343E1">
        <w:t xml:space="preserve"> w </w:t>
      </w:r>
      <w:r>
        <w:t xml:space="preserve">Polsce kształci się zdecydowanie zbyt mało kompetentnych pracowników korzystających </w:t>
      </w:r>
      <w:r w:rsidR="00DA7577">
        <w:t>z SI</w:t>
      </w:r>
      <w:r>
        <w:t xml:space="preserve"> lub budujących SI (czego odpowiednikiem może być poziom licencjatu), jak</w:t>
      </w:r>
      <w:r w:rsidR="006343E1">
        <w:t xml:space="preserve"> i </w:t>
      </w:r>
      <w:r>
        <w:t>za mało specjalistów na bardzo wysokim poziomie kwalifikacji (czego odpowiednikiem może być poziom doktoratu). Najwięcej talentów z dziedziny SI legitymuje się</w:t>
      </w:r>
      <w:r w:rsidR="006343E1">
        <w:t xml:space="preserve"> w </w:t>
      </w:r>
      <w:r>
        <w:t>Polsce dyplomem magistra, który pozostaje</w:t>
      </w:r>
      <w:r w:rsidR="006343E1">
        <w:t xml:space="preserve"> w </w:t>
      </w:r>
      <w:r>
        <w:t>pewnym sensie polską specyfiką akademicką.</w:t>
      </w:r>
      <w:r w:rsidR="006343E1">
        <w:t xml:space="preserve"> </w:t>
      </w:r>
      <w:r w:rsidR="006343E1">
        <w:rPr>
          <w:bCs/>
        </w:rPr>
        <w:t>Z</w:t>
      </w:r>
      <w:r w:rsidR="006343E1">
        <w:t> </w:t>
      </w:r>
      <w:r>
        <w:rPr>
          <w:bCs/>
        </w:rPr>
        <w:t>jednej strony kształcenie</w:t>
      </w:r>
      <w:r w:rsidR="006343E1">
        <w:rPr>
          <w:bCs/>
        </w:rPr>
        <w:t xml:space="preserve"> w </w:t>
      </w:r>
      <w:r>
        <w:rPr>
          <w:bCs/>
        </w:rPr>
        <w:t xml:space="preserve">dziedzinie SI powinno być powszechniejsze, z drugiej strony istnieje potrzeba bardziej pogłębionych badań prowadzonych przez najbardziej utalentowanych absolwentów studiów magisterskich. </w:t>
      </w:r>
    </w:p>
    <w:p w14:paraId="6737A702" w14:textId="445979B7" w:rsidR="00B620BC" w:rsidRDefault="00B620BC" w:rsidP="00CC26C8">
      <w:pPr>
        <w:pStyle w:val="Nagwek4"/>
      </w:pPr>
      <w:r>
        <w:lastRenderedPageBreak/>
        <w:t xml:space="preserve">Wykres </w:t>
      </w:r>
      <w:r w:rsidR="00332B11">
        <w:t>6</w:t>
      </w:r>
      <w:r w:rsidR="00FC6E8F">
        <w:t>3</w:t>
      </w:r>
      <w:r w:rsidR="00DA7577">
        <w:t>.</w:t>
      </w:r>
      <w:r>
        <w:t xml:space="preserve"> Rozkład stopni naukowych pośród polskich specjalistów SI </w:t>
      </w:r>
    </w:p>
    <w:p w14:paraId="5D0ED696" w14:textId="1E8EE900" w:rsidR="00B620BC" w:rsidRPr="00CB07D4" w:rsidRDefault="00B620BC" w:rsidP="00B620BC">
      <w:pPr>
        <w:keepLines/>
        <w:spacing w:after="0"/>
        <w:rPr>
          <w:rFonts w:ascii="Calibri" w:hAnsi="Calibri"/>
        </w:rPr>
      </w:pPr>
      <w:r>
        <w:rPr>
          <w:noProof/>
          <w:lang w:eastAsia="pl-PL"/>
        </w:rPr>
        <w:drawing>
          <wp:inline distT="0" distB="0" distL="0" distR="0" wp14:anchorId="0CCEA23E" wp14:editId="0024CB11">
            <wp:extent cx="3705225" cy="3390900"/>
            <wp:effectExtent l="19050" t="19050" r="28575" b="19050"/>
            <wp:docPr id="220" name="Obraz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705225" cy="3390900"/>
                    </a:xfrm>
                    <a:prstGeom prst="rect">
                      <a:avLst/>
                    </a:prstGeom>
                    <a:solidFill>
                      <a:srgbClr val="FFFFFF"/>
                    </a:solidFill>
                    <a:ln w="9525" cmpd="sng">
                      <a:solidFill>
                        <a:srgbClr val="000080"/>
                      </a:solidFill>
                      <a:prstDash val="solid"/>
                      <a:miter lim="800000"/>
                      <a:headEnd/>
                      <a:tailEnd/>
                    </a:ln>
                    <a:effectLst/>
                  </pic:spPr>
                </pic:pic>
              </a:graphicData>
            </a:graphic>
          </wp:inline>
        </w:drawing>
      </w:r>
    </w:p>
    <w:p w14:paraId="1D4B10AF" w14:textId="3B2F12A9" w:rsidR="00B620BC" w:rsidRPr="00CC26C8" w:rsidRDefault="00B620BC" w:rsidP="00CC26C8">
      <w:pPr>
        <w:pStyle w:val="Bezodstpw"/>
        <w:rPr>
          <w:i w:val="0"/>
          <w:iCs/>
          <w:lang w:val="en-US"/>
        </w:rPr>
      </w:pPr>
      <w:r w:rsidRPr="00CC26C8">
        <w:rPr>
          <w:i w:val="0"/>
          <w:iCs/>
          <w:lang w:val="en-US"/>
        </w:rPr>
        <w:t>Legenda poziomej osi: master’</w:t>
      </w:r>
      <w:r w:rsidR="00A32838">
        <w:rPr>
          <w:i w:val="0"/>
          <w:iCs/>
          <w:lang w:val="en-US"/>
        </w:rPr>
        <w:t>s degree, bachelor’s degree, re</w:t>
      </w:r>
      <w:r w:rsidRPr="00CC26C8">
        <w:rPr>
          <w:i w:val="0"/>
          <w:iCs/>
          <w:lang w:val="en-US"/>
        </w:rPr>
        <w:t>se</w:t>
      </w:r>
      <w:r w:rsidR="00A32838">
        <w:rPr>
          <w:i w:val="0"/>
          <w:iCs/>
          <w:lang w:val="en-US"/>
        </w:rPr>
        <w:t>a</w:t>
      </w:r>
      <w:r w:rsidRPr="00CC26C8">
        <w:rPr>
          <w:i w:val="0"/>
          <w:iCs/>
          <w:lang w:val="en-US"/>
        </w:rPr>
        <w:t xml:space="preserve">rch doctorate, MBA, secondary education, doctor of medicine, associate’s degree </w:t>
      </w:r>
    </w:p>
    <w:p w14:paraId="63CBDB65" w14:textId="77777777" w:rsidR="00B620BC" w:rsidRDefault="00B620BC" w:rsidP="00CC26C8">
      <w:pPr>
        <w:pStyle w:val="Bezodstpw"/>
      </w:pPr>
      <w:r>
        <w:t>Źródło: Opracowanie Linkedin</w:t>
      </w:r>
    </w:p>
    <w:p w14:paraId="1EAC9905" w14:textId="41BE9201" w:rsidR="00B620BC" w:rsidRDefault="00B620BC" w:rsidP="00B620BC">
      <w:r>
        <w:t>Potwierdzeniem tezy</w:t>
      </w:r>
      <w:r w:rsidR="006343E1">
        <w:t xml:space="preserve"> o </w:t>
      </w:r>
      <w:r>
        <w:t>nierównomiernym rozłożeniu wysiłku edukacyjno-naukowego, jak i zapewne tezy</w:t>
      </w:r>
      <w:r w:rsidR="006343E1">
        <w:t xml:space="preserve"> o </w:t>
      </w:r>
      <w:r>
        <w:t>„wykupie” specjalistów</w:t>
      </w:r>
      <w:r w:rsidR="006343E1">
        <w:t xml:space="preserve"> z </w:t>
      </w:r>
      <w:r>
        <w:t>uczelni, skutkującym przedwczesnym porzucaniem pracy nad fundamentalnymi zagadnieniami technologicznymi, jest malejąca od kilku lat liczba prac doktorskich poświęconych SI, pisanych na polskich uczelniach. Jest bowiem dość osobliwym zjawiskiem to</w:t>
      </w:r>
      <w:r w:rsidR="00477C54">
        <w:t>, że </w:t>
      </w:r>
      <w:r>
        <w:t>w czasach gwałtownego wzrostu badań</w:t>
      </w:r>
      <w:r w:rsidR="006343E1">
        <w:t xml:space="preserve"> i </w:t>
      </w:r>
      <w:r>
        <w:t>publikacji naukowych nt. SI, zarówno ze strony pracowników uczelni, jak</w:t>
      </w:r>
      <w:r w:rsidR="006343E1">
        <w:t xml:space="preserve"> i </w:t>
      </w:r>
      <w:r>
        <w:t>największych korporacji cyfrowych, kulminacja prac naukowych</w:t>
      </w:r>
      <w:r w:rsidR="006343E1">
        <w:t xml:space="preserve"> w </w:t>
      </w:r>
      <w:r>
        <w:t>tej dziedzinie</w:t>
      </w:r>
      <w:r w:rsidR="006343E1">
        <w:t xml:space="preserve"> w </w:t>
      </w:r>
      <w:r>
        <w:t>Polsce przypada na rok 2005</w:t>
      </w:r>
      <w:r w:rsidR="00477C54">
        <w:t>. Od </w:t>
      </w:r>
      <w:r>
        <w:t>tego czasu liczba prac na stopień naukowy najpierw gwałtownie spadła, by następnie nieznacznie wzrosnąć. Niemniej jednak na tle świata ogólna liczba ok. 700 doktorów wypromowanych</w:t>
      </w:r>
      <w:r w:rsidR="006343E1">
        <w:t xml:space="preserve"> w </w:t>
      </w:r>
      <w:r>
        <w:t>ostatniej dekadzie na podstawie prac nt. SI pozwala uznać</w:t>
      </w:r>
      <w:r w:rsidR="00477C54">
        <w:t>, że </w:t>
      </w:r>
      <w:r>
        <w:t xml:space="preserve">Polska wciąż </w:t>
      </w:r>
      <w:r w:rsidR="00DA7577">
        <w:t>ma</w:t>
      </w:r>
      <w:r>
        <w:t xml:space="preserve"> znaczący potencjał kompetencyjny</w:t>
      </w:r>
      <w:r w:rsidR="006343E1">
        <w:t xml:space="preserve"> w </w:t>
      </w:r>
      <w:r>
        <w:t xml:space="preserve">tej dziedzinie. </w:t>
      </w:r>
    </w:p>
    <w:p w14:paraId="5E771ACC" w14:textId="71467AE2" w:rsidR="00B620BC" w:rsidRDefault="00B620BC" w:rsidP="00CC26C8">
      <w:pPr>
        <w:pStyle w:val="Nagwek4"/>
      </w:pPr>
      <w:r>
        <w:lastRenderedPageBreak/>
        <w:t xml:space="preserve">Wykres </w:t>
      </w:r>
      <w:r w:rsidR="00332B11">
        <w:t>6</w:t>
      </w:r>
      <w:r w:rsidR="00FC6E8F">
        <w:t>4</w:t>
      </w:r>
      <w:r w:rsidR="00332B11">
        <w:t>.</w:t>
      </w:r>
      <w:r>
        <w:t xml:space="preserve"> Liczba obronionych doktoratów</w:t>
      </w:r>
      <w:r w:rsidR="006343E1">
        <w:t xml:space="preserve"> i </w:t>
      </w:r>
      <w:r>
        <w:t>habilitacji</w:t>
      </w:r>
      <w:r w:rsidR="006343E1">
        <w:t xml:space="preserve"> z </w:t>
      </w:r>
      <w:r>
        <w:t>zakresu SI</w:t>
      </w:r>
      <w:r w:rsidR="006343E1">
        <w:t xml:space="preserve"> w </w:t>
      </w:r>
      <w:r>
        <w:t>Polsce</w:t>
      </w:r>
    </w:p>
    <w:p w14:paraId="1A4BF6FA" w14:textId="7E0D1E90" w:rsidR="00B620BC" w:rsidRDefault="00D90BFB" w:rsidP="00B620BC">
      <w:pPr>
        <w:keepLines/>
        <w:spacing w:after="0"/>
        <w:rPr>
          <w:rFonts w:ascii="Calibri" w:hAnsi="Calibri" w:cs="Calibri"/>
        </w:rPr>
      </w:pPr>
      <w:r>
        <w:rPr>
          <w:noProof/>
          <w:lang w:eastAsia="pl-PL"/>
        </w:rPr>
        <w:drawing>
          <wp:inline distT="0" distB="0" distL="0" distR="0" wp14:anchorId="6E32CDBB" wp14:editId="13AD651F">
            <wp:extent cx="5382895" cy="3068955"/>
            <wp:effectExtent l="0" t="0" r="8255" b="0"/>
            <wp:docPr id="433" name="Obraz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99">
                      <a:extLst>
                        <a:ext uri="{28A0092B-C50C-407E-A947-70E740481C1C}">
                          <a14:useLocalDpi xmlns:a14="http://schemas.microsoft.com/office/drawing/2010/main" val="0"/>
                        </a:ext>
                      </a:extLst>
                    </a:blip>
                    <a:srcRect l="-11" t="-20" r="-11" b="-20"/>
                    <a:stretch>
                      <a:fillRect/>
                    </a:stretch>
                  </pic:blipFill>
                  <pic:spPr bwMode="auto">
                    <a:xfrm>
                      <a:off x="0" y="0"/>
                      <a:ext cx="5382895" cy="3068955"/>
                    </a:xfrm>
                    <a:prstGeom prst="rect">
                      <a:avLst/>
                    </a:prstGeom>
                    <a:solidFill>
                      <a:srgbClr val="FFFFFF"/>
                    </a:solidFill>
                    <a:ln>
                      <a:noFill/>
                    </a:ln>
                  </pic:spPr>
                </pic:pic>
              </a:graphicData>
            </a:graphic>
          </wp:inline>
        </w:drawing>
      </w:r>
    </w:p>
    <w:p w14:paraId="6F4E99C0" w14:textId="46F41837" w:rsidR="00B620BC" w:rsidRDefault="00B620BC" w:rsidP="00CC26C8">
      <w:pPr>
        <w:pStyle w:val="Bezodstpw"/>
      </w:pPr>
      <w:r>
        <w:t>Źródło: Ośrodek Przetwarzania Informacji, Baza BWNP, 2019</w:t>
      </w:r>
    </w:p>
    <w:p w14:paraId="356D5F26" w14:textId="167C87B6" w:rsidR="00B620BC" w:rsidRPr="00BB441D" w:rsidRDefault="00B620BC" w:rsidP="00B620BC">
      <w:r w:rsidRPr="00BB441D">
        <w:t>Generalnie zainteresowanie SI wśród studentów polskich uczelni stale rośnie, ale jego dynamika jest relatywnie niska</w:t>
      </w:r>
      <w:r w:rsidR="006343E1" w:rsidRPr="00BB441D">
        <w:t xml:space="preserve"> w </w:t>
      </w:r>
      <w:r w:rsidRPr="00BB441D">
        <w:t>porównaniu</w:t>
      </w:r>
      <w:r w:rsidR="006343E1" w:rsidRPr="00BB441D">
        <w:t xml:space="preserve"> z </w:t>
      </w:r>
      <w:r w:rsidRPr="00BB441D">
        <w:t>USA, Chinami czy Wielką Brytanią. Liczba prac licencjackich i magisterskich dotyczących praktycznych zastosowań SI wzrosła</w:t>
      </w:r>
      <w:r w:rsidR="006343E1" w:rsidRPr="00BB441D">
        <w:t xml:space="preserve"> w </w:t>
      </w:r>
      <w:r w:rsidRPr="00BB441D">
        <w:t>Polsce</w:t>
      </w:r>
      <w:r w:rsidR="006343E1" w:rsidRPr="00BB441D">
        <w:t> </w:t>
      </w:r>
      <w:r w:rsidRPr="00BB441D">
        <w:t>odpowiednio</w:t>
      </w:r>
      <w:r w:rsidR="006343E1" w:rsidRPr="00BB441D">
        <w:t xml:space="preserve"> z </w:t>
      </w:r>
      <w:r w:rsidRPr="00BB441D">
        <w:t>5</w:t>
      </w:r>
      <w:r w:rsidR="006343E1" w:rsidRPr="00BB441D">
        <w:t xml:space="preserve"> i </w:t>
      </w:r>
      <w:r w:rsidRPr="00BB441D">
        <w:t>20 w 2009 r. do 77</w:t>
      </w:r>
      <w:r w:rsidR="006343E1" w:rsidRPr="00BB441D">
        <w:t xml:space="preserve"> i </w:t>
      </w:r>
      <w:r w:rsidRPr="00BB441D">
        <w:t>121</w:t>
      </w:r>
      <w:r w:rsidR="006343E1" w:rsidRPr="00BB441D">
        <w:t xml:space="preserve"> w </w:t>
      </w:r>
      <w:r w:rsidRPr="00BB441D">
        <w:t>roku 2017.</w:t>
      </w:r>
      <w:r w:rsidR="006343E1" w:rsidRPr="00BB441D">
        <w:t xml:space="preserve"> </w:t>
      </w:r>
      <w:r w:rsidR="00DA7577" w:rsidRPr="00BB441D">
        <w:t>W</w:t>
      </w:r>
      <w:r w:rsidR="006343E1" w:rsidRPr="00BB441D">
        <w:t> </w:t>
      </w:r>
      <w:r w:rsidRPr="00BB441D">
        <w:t>ostatniej dekadzie napisano co najmniej ok. 1200 prac licencjackich</w:t>
      </w:r>
      <w:r w:rsidR="006343E1" w:rsidRPr="00BB441D">
        <w:t xml:space="preserve"> i </w:t>
      </w:r>
      <w:r w:rsidRPr="00BB441D">
        <w:t>magisterskich w tym obszarze – pozornie dużo, ale jedynie</w:t>
      </w:r>
      <w:r w:rsidR="006343E1" w:rsidRPr="00BB441D">
        <w:t xml:space="preserve"> o </w:t>
      </w:r>
      <w:r w:rsidRPr="00BB441D">
        <w:t>100% więcej niż prac doktorskich.</w:t>
      </w:r>
      <w:r w:rsidR="006343E1" w:rsidRPr="00BB441D">
        <w:t xml:space="preserve"> </w:t>
      </w:r>
      <w:r w:rsidR="00DA7577" w:rsidRPr="00BB441D">
        <w:t>Wśród</w:t>
      </w:r>
      <w:r w:rsidR="006343E1" w:rsidRPr="00BB441D">
        <w:t> </w:t>
      </w:r>
      <w:r w:rsidRPr="00BB441D">
        <w:t>polskich uczelni przoduj</w:t>
      </w:r>
      <w:r w:rsidR="00FF4CC8" w:rsidRPr="00BB441D">
        <w:t>ą</w:t>
      </w:r>
      <w:r w:rsidRPr="00BB441D">
        <w:t xml:space="preserve"> pod tym względem Politechnika Wrocławska </w:t>
      </w:r>
      <w:r w:rsidR="00DA7577" w:rsidRPr="00BB441D">
        <w:rPr>
          <w:rFonts w:ascii="Times New Roman" w:hAnsi="Times New Roman" w:cs="Times New Roman"/>
        </w:rPr>
        <w:t>–</w:t>
      </w:r>
      <w:r w:rsidRPr="00BB441D">
        <w:t xml:space="preserve"> 275 (szczególnie wydziały </w:t>
      </w:r>
      <w:r w:rsidR="00DA7577" w:rsidRPr="00BB441D">
        <w:t>e</w:t>
      </w:r>
      <w:r w:rsidRPr="00BB441D">
        <w:t xml:space="preserve">lektroniki – 159 oraz </w:t>
      </w:r>
      <w:r w:rsidR="00DA7577" w:rsidRPr="00BB441D">
        <w:t>i</w:t>
      </w:r>
      <w:r w:rsidRPr="00BB441D">
        <w:t xml:space="preserve">nformatyki - 80), Politechnika Łódzka </w:t>
      </w:r>
      <w:r w:rsidR="00DA7577" w:rsidRPr="00BB441D">
        <w:rPr>
          <w:rFonts w:ascii="Times New Roman" w:hAnsi="Times New Roman" w:cs="Times New Roman"/>
        </w:rPr>
        <w:t>–</w:t>
      </w:r>
      <w:r w:rsidRPr="00BB441D">
        <w:t xml:space="preserve"> 86, Politechnika Poznańska – 63 oraz niemal na równi Uniwersytet</w:t>
      </w:r>
      <w:r w:rsidR="006343E1" w:rsidRPr="00BB441D">
        <w:t xml:space="preserve"> </w:t>
      </w:r>
      <w:r w:rsidR="00DA7577" w:rsidRPr="00BB441D">
        <w:t>Warszawski</w:t>
      </w:r>
      <w:r w:rsidR="006343E1" w:rsidRPr="00BB441D">
        <w:t xml:space="preserve"> i </w:t>
      </w:r>
      <w:r w:rsidRPr="00BB441D">
        <w:t xml:space="preserve">Politechnika </w:t>
      </w:r>
      <w:r w:rsidR="00DA7577" w:rsidRPr="00BB441D">
        <w:t>Warszawska</w:t>
      </w:r>
      <w:r w:rsidRPr="00BB441D">
        <w:t xml:space="preserve"> – </w:t>
      </w:r>
      <w:r w:rsidR="00FF4CC8" w:rsidRPr="00BB441D">
        <w:t>odpowiednio</w:t>
      </w:r>
      <w:r w:rsidRPr="00BB441D">
        <w:t xml:space="preserve"> 47</w:t>
      </w:r>
      <w:r w:rsidR="006343E1" w:rsidRPr="00BB441D">
        <w:t xml:space="preserve"> i </w:t>
      </w:r>
      <w:r w:rsidRPr="00BB441D">
        <w:t xml:space="preserve">46. Mimo iż </w:t>
      </w:r>
      <w:r w:rsidR="00FF4CC8" w:rsidRPr="00BB441D">
        <w:t xml:space="preserve">te </w:t>
      </w:r>
      <w:r w:rsidRPr="00BB441D">
        <w:t xml:space="preserve">dane </w:t>
      </w:r>
      <w:r w:rsidR="00FF4CC8" w:rsidRPr="00BB441D">
        <w:t>są zestawione</w:t>
      </w:r>
      <w:r w:rsidRPr="00BB441D">
        <w:t xml:space="preserve"> </w:t>
      </w:r>
      <w:r w:rsidR="00FF4CC8" w:rsidRPr="00BB441D">
        <w:t xml:space="preserve">na podstawie </w:t>
      </w:r>
      <w:r w:rsidRPr="00BB441D">
        <w:t>jedynie 55% ogółu prac dyplomowych</w:t>
      </w:r>
      <w:r w:rsidR="00FF4CC8" w:rsidRPr="00BB441D">
        <w:t>,</w:t>
      </w:r>
      <w:r w:rsidRPr="00BB441D">
        <w:t xml:space="preserve"> można uznać</w:t>
      </w:r>
      <w:r w:rsidR="00477C54" w:rsidRPr="00BB441D">
        <w:t>, że </w:t>
      </w:r>
      <w:r w:rsidRPr="00BB441D">
        <w:t>teza o zbyt małej liczbie grupy specjalistów od SI</w:t>
      </w:r>
      <w:r w:rsidR="006343E1" w:rsidRPr="00BB441D">
        <w:t xml:space="preserve"> w </w:t>
      </w:r>
      <w:r w:rsidRPr="00BB441D">
        <w:t>Polsce jest dość dobrze udowodniona. Tym bardziej</w:t>
      </w:r>
      <w:r w:rsidR="00477C54" w:rsidRPr="00BB441D">
        <w:t xml:space="preserve"> że </w:t>
      </w:r>
      <w:r w:rsidRPr="00BB441D">
        <w:t>jedyną uczelnią znajdującą się</w:t>
      </w:r>
      <w:r w:rsidR="006343E1" w:rsidRPr="00BB441D">
        <w:t xml:space="preserve"> w </w:t>
      </w:r>
      <w:r w:rsidRPr="00BB441D">
        <w:t>światowej grupie TOP100 cytowań</w:t>
      </w:r>
      <w:r w:rsidR="006343E1" w:rsidRPr="00BB441D">
        <w:t xml:space="preserve"> z </w:t>
      </w:r>
      <w:r w:rsidRPr="00BB441D">
        <w:t xml:space="preserve">dziedziny badań nad SI jest Politechnika Częstochowska, </w:t>
      </w:r>
      <w:r w:rsidR="00FF4CC8" w:rsidRPr="00BB441D">
        <w:t xml:space="preserve">która </w:t>
      </w:r>
      <w:r w:rsidRPr="00BB441D">
        <w:t>uplasowa</w:t>
      </w:r>
      <w:r w:rsidR="00FF4CC8" w:rsidRPr="00BB441D">
        <w:t>ła się</w:t>
      </w:r>
      <w:r w:rsidRPr="00BB441D">
        <w:t xml:space="preserve"> na 74</w:t>
      </w:r>
      <w:r w:rsidR="00FF4CC8" w:rsidRPr="00BB441D">
        <w:t>.</w:t>
      </w:r>
      <w:r w:rsidRPr="00BB441D">
        <w:t xml:space="preserve"> miejscu Indexu NIKKEL</w:t>
      </w:r>
      <w:r w:rsidRPr="00BB441D">
        <w:rPr>
          <w:rStyle w:val="Znakiprzypiswdolnych"/>
          <w:rFonts w:ascii="Calibri" w:hAnsi="Calibri" w:cs="Calibri"/>
          <w:vertAlign w:val="superscript"/>
        </w:rPr>
        <w:footnoteReference w:id="61"/>
      </w:r>
      <w:r w:rsidR="006343E1" w:rsidRPr="00BB441D">
        <w:t xml:space="preserve"> i </w:t>
      </w:r>
      <w:r w:rsidRPr="00BB441D">
        <w:t>jest jedną</w:t>
      </w:r>
      <w:r w:rsidR="006343E1" w:rsidRPr="00BB441D">
        <w:t xml:space="preserve"> z </w:t>
      </w:r>
      <w:r w:rsidRPr="00BB441D">
        <w:t xml:space="preserve">32 </w:t>
      </w:r>
      <w:r w:rsidR="00FF4CC8" w:rsidRPr="00BB441D">
        <w:t xml:space="preserve">uczelni z Unii Europejskiej </w:t>
      </w:r>
      <w:r w:rsidRPr="00BB441D">
        <w:t>rozpoznawanych globalnie</w:t>
      </w:r>
      <w:r w:rsidR="006343E1" w:rsidRPr="00BB441D">
        <w:t xml:space="preserve"> w </w:t>
      </w:r>
      <w:r w:rsidRPr="00BB441D">
        <w:t>tym rankingu.</w:t>
      </w:r>
    </w:p>
    <w:p w14:paraId="3FE80D25" w14:textId="79BCB569" w:rsidR="00B620BC" w:rsidRPr="00BB441D" w:rsidRDefault="00FF4CC8" w:rsidP="00B620BC">
      <w:r w:rsidRPr="00BB441D">
        <w:t>Pon</w:t>
      </w:r>
      <w:r w:rsidR="00B620BC" w:rsidRPr="00BB441D">
        <w:t>adto dane</w:t>
      </w:r>
      <w:r w:rsidR="006343E1" w:rsidRPr="00BB441D">
        <w:t xml:space="preserve"> z </w:t>
      </w:r>
      <w:r w:rsidR="00B620BC" w:rsidRPr="00BB441D">
        <w:t>LinkedIn pokazują</w:t>
      </w:r>
      <w:r w:rsidR="00477C54" w:rsidRPr="00BB441D">
        <w:t>, że </w:t>
      </w:r>
      <w:r w:rsidR="006343E1" w:rsidRPr="00BB441D">
        <w:t>w </w:t>
      </w:r>
      <w:r w:rsidR="00B620BC" w:rsidRPr="00BB441D">
        <w:t>Polsce</w:t>
      </w:r>
      <w:r w:rsidR="006343E1" w:rsidRPr="00BB441D">
        <w:t xml:space="preserve"> w </w:t>
      </w:r>
      <w:r w:rsidR="00B620BC" w:rsidRPr="00BB441D">
        <w:t xml:space="preserve">obszarze SI </w:t>
      </w:r>
      <w:r w:rsidRPr="00BB441D">
        <w:t>jest</w:t>
      </w:r>
      <w:r w:rsidR="00B620BC" w:rsidRPr="00BB441D">
        <w:t xml:space="preserve"> duża dysproporcja</w:t>
      </w:r>
      <w:r w:rsidR="006343E1" w:rsidRPr="00BB441D">
        <w:t xml:space="preserve"> w </w:t>
      </w:r>
      <w:r w:rsidR="00B620BC" w:rsidRPr="00BB441D">
        <w:t>kompetencjach pozadziedzinowych, tzw. miękkich,</w:t>
      </w:r>
      <w:r w:rsidR="006343E1" w:rsidRPr="00BB441D">
        <w:t xml:space="preserve"> w </w:t>
      </w:r>
      <w:r w:rsidR="00B620BC" w:rsidRPr="00BB441D">
        <w:t>stosunku do średniej światowej. Zaczynając od przywództwa, przez nauczanie</w:t>
      </w:r>
      <w:r w:rsidR="006343E1" w:rsidRPr="00BB441D">
        <w:t xml:space="preserve"> i </w:t>
      </w:r>
      <w:r w:rsidR="00B620BC" w:rsidRPr="00BB441D">
        <w:t>uczenie się, komunikację, pracę zespołową, rozwiązywanie problemów aż po wypowiedzi publiczne, polscy specjaliści bardzo wyraźnie odstają od swoich kolegów</w:t>
      </w:r>
      <w:r w:rsidR="006343E1" w:rsidRPr="00BB441D">
        <w:t xml:space="preserve"> z </w:t>
      </w:r>
      <w:r w:rsidR="00B620BC" w:rsidRPr="00BB441D">
        <w:t>innych krajów.</w:t>
      </w:r>
      <w:r w:rsidR="006343E1" w:rsidRPr="00BB441D">
        <w:t xml:space="preserve"> W </w:t>
      </w:r>
      <w:r w:rsidR="00B620BC" w:rsidRPr="00BB441D">
        <w:t xml:space="preserve">świetle tych danych znaczenia nabiera teza o zmarnowanym potencjale polskich firm informatycznych oraz niskiej produktywności pracy. </w:t>
      </w:r>
    </w:p>
    <w:p w14:paraId="444D2433" w14:textId="5E0BBA25" w:rsidR="00B620BC" w:rsidRPr="00BB441D" w:rsidRDefault="00B620BC" w:rsidP="00B620BC">
      <w:r w:rsidRPr="00BB441D">
        <w:t>Pracując indywidualnie lub</w:t>
      </w:r>
      <w:r w:rsidR="006343E1" w:rsidRPr="00BB441D">
        <w:t xml:space="preserve"> w </w:t>
      </w:r>
      <w:r w:rsidRPr="00BB441D">
        <w:t>małych zespołach</w:t>
      </w:r>
      <w:r w:rsidR="0006775C" w:rsidRPr="00BB441D">
        <w:t>,</w:t>
      </w:r>
      <w:r w:rsidRPr="00BB441D">
        <w:t xml:space="preserve"> polscy specjaliści SI rzadko korzystają</w:t>
      </w:r>
      <w:r w:rsidR="006343E1" w:rsidRPr="00BB441D">
        <w:t xml:space="preserve"> z </w:t>
      </w:r>
      <w:r w:rsidRPr="00BB441D">
        <w:t>miękkich umiejętności. Tymczasem właśnie umiejętności miękkie są kluczowe dla budowy większych organizacji</w:t>
      </w:r>
      <w:r w:rsidR="006343E1" w:rsidRPr="00BB441D">
        <w:t xml:space="preserve"> i </w:t>
      </w:r>
      <w:r w:rsidRPr="00BB441D">
        <w:t>bez ich opanowania nie jest możliwe stworzenie start</w:t>
      </w:r>
      <w:r w:rsidR="0006775C" w:rsidRPr="00BB441D">
        <w:t>-</w:t>
      </w:r>
      <w:r w:rsidRPr="00BB441D">
        <w:t>upów</w:t>
      </w:r>
      <w:r w:rsidR="006343E1" w:rsidRPr="00BB441D">
        <w:t xml:space="preserve"> o </w:t>
      </w:r>
      <w:r w:rsidRPr="00BB441D">
        <w:t>wysokim potencjale wzrostu ani zespołów</w:t>
      </w:r>
      <w:r w:rsidR="006343E1" w:rsidRPr="00BB441D">
        <w:t xml:space="preserve"> o </w:t>
      </w:r>
      <w:r w:rsidRPr="00BB441D">
        <w:t>wysokiej kreatywności. Jest to tym ważniejsze</w:t>
      </w:r>
      <w:r w:rsidR="00477C54" w:rsidRPr="00BB441D">
        <w:t>, że </w:t>
      </w:r>
      <w:r w:rsidR="0006775C" w:rsidRPr="00BB441D">
        <w:t>wz</w:t>
      </w:r>
      <w:r w:rsidRPr="00BB441D">
        <w:t xml:space="preserve">rasta konieczność tworzenia multidyscyplinarnych zespołów zajmujących się zarówno </w:t>
      </w:r>
      <w:r w:rsidRPr="00BB441D">
        <w:lastRenderedPageBreak/>
        <w:t>tworzeniem</w:t>
      </w:r>
      <w:r w:rsidR="0006775C" w:rsidRPr="00BB441D">
        <w:t>,</w:t>
      </w:r>
      <w:r w:rsidRPr="00BB441D">
        <w:t xml:space="preserve"> jak</w:t>
      </w:r>
      <w:r w:rsidR="006343E1" w:rsidRPr="00BB441D">
        <w:t xml:space="preserve"> i </w:t>
      </w:r>
      <w:r w:rsidRPr="00BB441D">
        <w:t>treningiem modeli SI</w:t>
      </w:r>
      <w:r w:rsidRPr="00BB441D">
        <w:rPr>
          <w:rStyle w:val="FootnoteCharacters"/>
          <w:rFonts w:ascii="Calibri" w:hAnsi="Calibri" w:cs="Calibri"/>
          <w:i/>
        </w:rPr>
        <w:t xml:space="preserve"> </w:t>
      </w:r>
      <w:r w:rsidRPr="00BB441D">
        <w:rPr>
          <w:rStyle w:val="Znakiprzypiswdolnych"/>
          <w:rFonts w:ascii="Calibri" w:hAnsi="Calibri" w:cs="Calibri"/>
          <w:vertAlign w:val="superscript"/>
        </w:rPr>
        <w:footnoteReference w:id="62"/>
      </w:r>
      <w:r w:rsidR="0006775C" w:rsidRPr="00BB441D">
        <w:rPr>
          <w:rStyle w:val="FootnoteCharacters"/>
          <w:rFonts w:ascii="Calibri" w:hAnsi="Calibri" w:cs="Calibri"/>
          <w:vertAlign w:val="baseline"/>
        </w:rPr>
        <w:t>,</w:t>
      </w:r>
      <w:r w:rsidR="0006775C" w:rsidRPr="00BB441D">
        <w:rPr>
          <w:i/>
          <w:vertAlign w:val="superscript"/>
        </w:rPr>
        <w:t xml:space="preserve"> </w:t>
      </w:r>
      <w:r w:rsidR="0006775C" w:rsidRPr="00BB441D">
        <w:t>c</w:t>
      </w:r>
      <w:r w:rsidRPr="00BB441D">
        <w:t>o</w:t>
      </w:r>
      <w:r w:rsidR="006343E1" w:rsidRPr="00BB441D">
        <w:t xml:space="preserve"> z </w:t>
      </w:r>
      <w:r w:rsidRPr="00BB441D">
        <w:t>kolei wskazuje na istotną rolę współpracy specjalistów IT</w:t>
      </w:r>
      <w:r w:rsidR="006343E1" w:rsidRPr="00BB441D">
        <w:t xml:space="preserve"> i </w:t>
      </w:r>
      <w:r w:rsidRPr="00BB441D">
        <w:t>SI z grupami specjalistów branżowych rozumiejących</w:t>
      </w:r>
      <w:r w:rsidR="006343E1" w:rsidRPr="00BB441D">
        <w:t xml:space="preserve"> </w:t>
      </w:r>
      <w:r w:rsidR="0006775C" w:rsidRPr="00BB441D">
        <w:t>dane</w:t>
      </w:r>
      <w:r w:rsidR="006343E1" w:rsidRPr="00BB441D">
        <w:t xml:space="preserve"> i </w:t>
      </w:r>
      <w:r w:rsidRPr="00BB441D">
        <w:t>zarządzających danymi</w:t>
      </w:r>
      <w:r w:rsidR="006343E1" w:rsidRPr="00BB441D">
        <w:t xml:space="preserve"> w </w:t>
      </w:r>
      <w:r w:rsidRPr="00BB441D">
        <w:t>badaniach naukowych</w:t>
      </w:r>
      <w:r w:rsidR="006343E1" w:rsidRPr="00BB441D">
        <w:t xml:space="preserve"> i </w:t>
      </w:r>
      <w:r w:rsidRPr="00BB441D">
        <w:t>w przedsiębiorstwach.</w:t>
      </w:r>
    </w:p>
    <w:p w14:paraId="344A105A" w14:textId="77777777" w:rsidR="001C0FF5" w:rsidRDefault="00B620BC" w:rsidP="00B620BC">
      <w:r w:rsidRPr="00BB441D">
        <w:t>Obecnie niezbędne dla budowy systemów SI są kadry</w:t>
      </w:r>
      <w:r w:rsidR="006343E1" w:rsidRPr="00BB441D">
        <w:t xml:space="preserve"> i </w:t>
      </w:r>
      <w:r w:rsidRPr="00BB441D">
        <w:t>ich kompetencje, które można podzielić na trzy grupy: architekci SI, analitycy danych, wdrożeniowcy IT/SI</w:t>
      </w:r>
      <w:r w:rsidR="0006775C" w:rsidRPr="00BB441D">
        <w:t>.</w:t>
      </w:r>
      <w:r w:rsidR="001C0FF5">
        <w:t xml:space="preserve"> </w:t>
      </w:r>
    </w:p>
    <w:p w14:paraId="6D2F28C4" w14:textId="186212D5" w:rsidR="00B620BC" w:rsidRPr="00BB441D" w:rsidRDefault="00B620BC" w:rsidP="00B620BC">
      <w:r w:rsidRPr="00BB441D">
        <w:t xml:space="preserve">Zadaniem </w:t>
      </w:r>
      <w:r w:rsidRPr="00BB441D">
        <w:rPr>
          <w:bCs/>
        </w:rPr>
        <w:t>architektów</w:t>
      </w:r>
      <w:r w:rsidRPr="00BB441D">
        <w:t xml:space="preserve"> jest tworzenie optymalnych rozwiązań SI, sprawne operowanie bibliotekami i przede wszystkim projektowanie</w:t>
      </w:r>
      <w:r w:rsidR="0006775C" w:rsidRPr="00BB441D">
        <w:t>.</w:t>
      </w:r>
      <w:r w:rsidRPr="00BB441D">
        <w:t xml:space="preserve"> </w:t>
      </w:r>
    </w:p>
    <w:p w14:paraId="453BD306" w14:textId="65F99483" w:rsidR="00B620BC" w:rsidRPr="00BB441D" w:rsidRDefault="00B620BC" w:rsidP="00B620BC">
      <w:r w:rsidRPr="00BB441D">
        <w:rPr>
          <w:bCs/>
        </w:rPr>
        <w:t>Analitycy danych</w:t>
      </w:r>
      <w:r w:rsidRPr="00BB441D">
        <w:t xml:space="preserve"> pełnią ważną rolę</w:t>
      </w:r>
      <w:r w:rsidR="0006775C" w:rsidRPr="00BB441D">
        <w:t>, ponieważ przeprowadzają</w:t>
      </w:r>
      <w:r w:rsidRPr="00BB441D">
        <w:t xml:space="preserve"> jakościową selekcj</w:t>
      </w:r>
      <w:r w:rsidR="0006775C" w:rsidRPr="00BB441D">
        <w:t>ę</w:t>
      </w:r>
      <w:r w:rsidRPr="00BB441D">
        <w:t xml:space="preserve"> wartości</w:t>
      </w:r>
      <w:r w:rsidR="006343E1" w:rsidRPr="00BB441D">
        <w:t xml:space="preserve"> z </w:t>
      </w:r>
      <w:r w:rsidRPr="00BB441D">
        <w:t>danych, wykorzystując metody naukowe, procesy</w:t>
      </w:r>
      <w:r w:rsidR="006343E1" w:rsidRPr="00BB441D">
        <w:t xml:space="preserve"> i </w:t>
      </w:r>
      <w:r w:rsidRPr="00BB441D">
        <w:t>algorytmy. Bez dostępu do jakościowych danych lub</w:t>
      </w:r>
      <w:r w:rsidR="006343E1" w:rsidRPr="00BB441D">
        <w:t xml:space="preserve"> z </w:t>
      </w:r>
      <w:r w:rsidRPr="00BB441D">
        <w:t xml:space="preserve">wkładem błędnych czy też zakłóconych danych </w:t>
      </w:r>
      <w:r w:rsidR="0006775C" w:rsidRPr="00BB441D">
        <w:t>s</w:t>
      </w:r>
      <w:r w:rsidRPr="00BB441D">
        <w:t>ztuczna inteligencja pozostaje bezużyteczna lub „mało inteligentna”. Dane to podstawa innowacji, lecz ich wartość wynika</w:t>
      </w:r>
      <w:r w:rsidR="006343E1" w:rsidRPr="00BB441D">
        <w:t xml:space="preserve"> z </w:t>
      </w:r>
      <w:r w:rsidRPr="00BB441D">
        <w:t>informacji wyodrębnianych</w:t>
      </w:r>
      <w:r w:rsidR="006343E1" w:rsidRPr="00BB441D">
        <w:t xml:space="preserve"> z </w:t>
      </w:r>
      <w:r w:rsidRPr="00BB441D">
        <w:t>nich przez analityków oraz</w:t>
      </w:r>
      <w:r w:rsidR="006343E1" w:rsidRPr="00BB441D">
        <w:t xml:space="preserve"> z </w:t>
      </w:r>
      <w:r w:rsidRPr="00BB441D">
        <w:t>działań opartych na tych informacjach. Ważne jest, aby analitycy znali nie tylko techniki operowania danymi, ale także znali sektor</w:t>
      </w:r>
      <w:r w:rsidR="006343E1" w:rsidRPr="00BB441D">
        <w:t xml:space="preserve"> i </w:t>
      </w:r>
      <w:r w:rsidRPr="00BB441D">
        <w:t>model biznesowy, których dane dotyczą. Często tylko bardzo doświadczona osoba potrafi właściwie czytać dane</w:t>
      </w:r>
      <w:r w:rsidR="006343E1" w:rsidRPr="00BB441D">
        <w:t xml:space="preserve"> i </w:t>
      </w:r>
      <w:r w:rsidRPr="00BB441D">
        <w:t>wyciągać wnioski oraz sugerować, jak je najlepiej wykorzystać</w:t>
      </w:r>
      <w:r w:rsidR="006343E1" w:rsidRPr="00BB441D">
        <w:t xml:space="preserve"> i </w:t>
      </w:r>
      <w:r w:rsidRPr="00BB441D">
        <w:t>przygotowywać wyselekcjonowane małe wiązki danych znacząco wpływające na uczenie się SI.</w:t>
      </w:r>
      <w:r w:rsidR="006343E1" w:rsidRPr="00BB441D">
        <w:t xml:space="preserve"> W </w:t>
      </w:r>
      <w:r w:rsidRPr="00BB441D">
        <w:t xml:space="preserve">rezultacie może ona stwarzać rekomendacje wniosków, na </w:t>
      </w:r>
      <w:r w:rsidR="00254354" w:rsidRPr="00BB441D">
        <w:t xml:space="preserve">których </w:t>
      </w:r>
      <w:r w:rsidRPr="00BB441D">
        <w:t>podstawie firmy mogą podejmować trafniejsze decyzje oraz tworzyć bardziej innowacyjne produkty</w:t>
      </w:r>
      <w:r w:rsidR="006343E1" w:rsidRPr="00BB441D">
        <w:t xml:space="preserve"> i </w:t>
      </w:r>
      <w:r w:rsidRPr="00BB441D">
        <w:t>usługi</w:t>
      </w:r>
      <w:r w:rsidR="00254354" w:rsidRPr="00BB441D">
        <w:t>.</w:t>
      </w:r>
    </w:p>
    <w:p w14:paraId="231B75B5" w14:textId="52DC8CC9" w:rsidR="00B620BC" w:rsidRPr="00BB441D" w:rsidRDefault="00B620BC" w:rsidP="00B620BC">
      <w:r w:rsidRPr="00BB441D">
        <w:t xml:space="preserve">Natomiast </w:t>
      </w:r>
      <w:r w:rsidRPr="00BB441D">
        <w:rPr>
          <w:bCs/>
        </w:rPr>
        <w:t>rolą wdrożeniowców IT/SI</w:t>
      </w:r>
      <w:r w:rsidRPr="00BB441D">
        <w:t xml:space="preserve"> jest sprawienie, aby wypracowane rozwiązania sprawnie włącz</w:t>
      </w:r>
      <w:r w:rsidR="00254354" w:rsidRPr="00BB441D">
        <w:t>yć</w:t>
      </w:r>
      <w:r w:rsidRPr="00BB441D">
        <w:t xml:space="preserve">  </w:t>
      </w:r>
      <w:r w:rsidR="00254354" w:rsidRPr="00BB441D">
        <w:t>do</w:t>
      </w:r>
      <w:r w:rsidRPr="00BB441D">
        <w:t> istniejąc</w:t>
      </w:r>
      <w:r w:rsidR="00254354" w:rsidRPr="00BB441D">
        <w:t>ych</w:t>
      </w:r>
      <w:r w:rsidRPr="00BB441D">
        <w:t xml:space="preserve"> system</w:t>
      </w:r>
      <w:r w:rsidR="00254354" w:rsidRPr="00BB441D">
        <w:t>ów</w:t>
      </w:r>
      <w:r w:rsidRPr="00BB441D">
        <w:t xml:space="preserve"> IT. To od nich będzie zależało, czy SI będzie jednorazowym wysiłkiem</w:t>
      </w:r>
      <w:r w:rsidR="00254354" w:rsidRPr="00BB441D">
        <w:t>,</w:t>
      </w:r>
      <w:r w:rsidRPr="00BB441D">
        <w:t xml:space="preserve"> swego rodzaju ciekawostką</w:t>
      </w:r>
      <w:r w:rsidR="00254354" w:rsidRPr="00BB441D">
        <w:t>,</w:t>
      </w:r>
      <w:r w:rsidRPr="00BB441D">
        <w:t xml:space="preserve"> czy też stanie się nieodłącznym elementem funkcjonowania przedsiębiorstwa</w:t>
      </w:r>
      <w:r w:rsidR="006343E1" w:rsidRPr="00BB441D">
        <w:t xml:space="preserve"> i </w:t>
      </w:r>
      <w:r w:rsidRPr="00BB441D">
        <w:t>gospodarki.</w:t>
      </w:r>
    </w:p>
    <w:p w14:paraId="6F7F6323" w14:textId="3B1495A8" w:rsidR="00B620BC" w:rsidRPr="00BB441D" w:rsidRDefault="00B620BC" w:rsidP="00B620BC">
      <w:r w:rsidRPr="00BB441D">
        <w:t>Istniejącą lukę niewystarczającej liczby wykwalifikowanych pracowników należy uzupełnić poprzez przekwalifikowanie specjalistów</w:t>
      </w:r>
      <w:r w:rsidR="006343E1" w:rsidRPr="00BB441D">
        <w:t xml:space="preserve"> z </w:t>
      </w:r>
      <w:r w:rsidRPr="00BB441D">
        <w:t>branż pokrewnych lub zaangażowanie specjalistów</w:t>
      </w:r>
      <w:r w:rsidR="006343E1" w:rsidRPr="00BB441D">
        <w:t xml:space="preserve"> z </w:t>
      </w:r>
      <w:r w:rsidRPr="00BB441D">
        <w:t>zagranicy</w:t>
      </w:r>
      <w:r w:rsidR="006343E1" w:rsidRPr="00BB441D">
        <w:t xml:space="preserve"> z </w:t>
      </w:r>
      <w:r w:rsidRPr="00BB441D">
        <w:t>krajów sąsiednich lub „dalekiego sąsiedztwa cyfrowego”, choćby poprzez budowanie wirtualnych mostów współpracy za pomocą sieci teleinformatycznej.</w:t>
      </w:r>
    </w:p>
    <w:p w14:paraId="050B3360" w14:textId="66059BDA" w:rsidR="00B620BC" w:rsidRDefault="00B620BC" w:rsidP="00A9445F">
      <w:pPr>
        <w:pStyle w:val="Nagwek2"/>
        <w:numPr>
          <w:ilvl w:val="1"/>
          <w:numId w:val="11"/>
        </w:numPr>
        <w:suppressAutoHyphens/>
      </w:pPr>
      <w:bookmarkStart w:id="128" w:name="_Toc16587002"/>
      <w:bookmarkStart w:id="129" w:name="_Toc17468709"/>
      <w:bookmarkStart w:id="130" w:name="_Toc31808522"/>
      <w:bookmarkStart w:id="131" w:name="_Toc106968806"/>
      <w:r>
        <w:t>Szanse inwestycji</w:t>
      </w:r>
      <w:r w:rsidR="006343E1">
        <w:t xml:space="preserve"> w</w:t>
      </w:r>
      <w:bookmarkEnd w:id="128"/>
      <w:bookmarkEnd w:id="129"/>
      <w:bookmarkEnd w:id="130"/>
      <w:r w:rsidR="006343E1">
        <w:t> </w:t>
      </w:r>
      <w:r>
        <w:t>SI</w:t>
      </w:r>
      <w:bookmarkEnd w:id="131"/>
      <w:r>
        <w:t xml:space="preserve"> </w:t>
      </w:r>
    </w:p>
    <w:p w14:paraId="19BE8E85" w14:textId="65F2D094" w:rsidR="00B620BC" w:rsidRDefault="00B620BC" w:rsidP="00B620BC">
      <w:r>
        <w:t>Inwestycje</w:t>
      </w:r>
      <w:r w:rsidR="006343E1">
        <w:t xml:space="preserve"> w </w:t>
      </w:r>
      <w:r>
        <w:t>badania</w:t>
      </w:r>
      <w:r w:rsidR="006343E1">
        <w:t xml:space="preserve"> i </w:t>
      </w:r>
      <w:r>
        <w:t>rozwój SI mają duże szanse przynieść wymierne</w:t>
      </w:r>
      <w:r w:rsidR="006343E1">
        <w:t xml:space="preserve"> i </w:t>
      </w:r>
      <w:r>
        <w:t>istotne korzyści dla polskiej gospodarki</w:t>
      </w:r>
      <w:r w:rsidR="006343E1">
        <w:t xml:space="preserve"> i </w:t>
      </w:r>
      <w:r>
        <w:t>Polski jako całości</w:t>
      </w:r>
      <w:r w:rsidR="00254354">
        <w:t xml:space="preserve"> i</w:t>
      </w:r>
      <w:r>
        <w:t xml:space="preserve"> wpły</w:t>
      </w:r>
      <w:r w:rsidR="00254354">
        <w:t>nąć</w:t>
      </w:r>
      <w:r>
        <w:t xml:space="preserve"> pozytywnie na produktywność, rynek pracy, stosunki społeczne oraz autonomię </w:t>
      </w:r>
      <w:r w:rsidR="00AF2A9A">
        <w:t>ludzi</w:t>
      </w:r>
      <w:r>
        <w:t xml:space="preserve"> wobec maszyn cyfrowych. Uznaje się</w:t>
      </w:r>
      <w:r w:rsidR="00477C54">
        <w:t>, że </w:t>
      </w:r>
      <w:r>
        <w:t>SI wymaga spojrzenia z możliwie szerokiej perspektywy</w:t>
      </w:r>
      <w:r w:rsidR="006343E1">
        <w:t xml:space="preserve"> z </w:t>
      </w:r>
      <w:r>
        <w:t xml:space="preserve">uwzględnieniem obserwowanego przyspieszenia inwestycji w obszarze SI. </w:t>
      </w:r>
    </w:p>
    <w:p w14:paraId="3E6E30F9" w14:textId="7E20F659" w:rsidR="00B620BC" w:rsidRDefault="00B620BC" w:rsidP="00B620BC">
      <w:r>
        <w:t>Polska ma potencjał, aby zniwelować zaległości</w:t>
      </w:r>
      <w:r w:rsidR="006343E1">
        <w:t xml:space="preserve"> w </w:t>
      </w:r>
      <w:r>
        <w:t>stosunku do czołówki państw inwestujących</w:t>
      </w:r>
      <w:r w:rsidR="006343E1">
        <w:t xml:space="preserve"> w </w:t>
      </w:r>
      <w:r>
        <w:t>SI</w:t>
      </w:r>
      <w:r w:rsidR="006343E1">
        <w:t xml:space="preserve"> i </w:t>
      </w:r>
      <w:r>
        <w:t xml:space="preserve">utrzymać tempo rozwoju przez kolejne lata. </w:t>
      </w:r>
    </w:p>
    <w:p w14:paraId="2459A430" w14:textId="735E7DA8" w:rsidR="00B620BC" w:rsidRDefault="00B620BC" w:rsidP="00B620BC">
      <w:r>
        <w:t>Rynkowe szanse dla SI zmieniły się</w:t>
      </w:r>
      <w:r w:rsidR="006343E1">
        <w:t xml:space="preserve"> w </w:t>
      </w:r>
      <w:r>
        <w:t>ciągu ostatniej dekady dzięki pojawieniu się możliwości pozyskiwania oraz efektywnego przechowywania</w:t>
      </w:r>
      <w:r w:rsidR="006343E1">
        <w:t xml:space="preserve"> i </w:t>
      </w:r>
      <w:r>
        <w:t>przetwarzania dużej ilości danych (</w:t>
      </w:r>
      <w:r>
        <w:rPr>
          <w:i/>
        </w:rPr>
        <w:t>Big Data</w:t>
      </w:r>
      <w:r>
        <w:t xml:space="preserve">) oraz ich efektywnego analizowania dzięki wzrostowi mocy obliczeniowej procesorów. Te czynniki przyczyniły się do renesansu </w:t>
      </w:r>
      <w:r w:rsidR="00C75F08">
        <w:t>s</w:t>
      </w:r>
      <w:r>
        <w:t xml:space="preserve">ztucznej </w:t>
      </w:r>
      <w:r w:rsidR="00C75F08">
        <w:t>i</w:t>
      </w:r>
      <w:r>
        <w:t>nteligencji.</w:t>
      </w:r>
    </w:p>
    <w:p w14:paraId="1DFC9636" w14:textId="0B050D4C" w:rsidR="00B620BC" w:rsidRPr="00332B11" w:rsidRDefault="00B620BC" w:rsidP="00B620BC">
      <w:r>
        <w:t>Jednak przewagi należą lub będą należeć do tych organizacji, które wypracują metody trafnej analizy danych</w:t>
      </w:r>
      <w:r w:rsidR="006343E1">
        <w:t xml:space="preserve"> i </w:t>
      </w:r>
      <w:r>
        <w:t>transformowania ich</w:t>
      </w:r>
      <w:r w:rsidR="006343E1">
        <w:t xml:space="preserve"> w </w:t>
      </w:r>
      <w:r>
        <w:t xml:space="preserve">wartość dodaną lub własność intelektualną. </w:t>
      </w:r>
      <w:r w:rsidRPr="00332B11">
        <w:t>Polska znajduje się</w:t>
      </w:r>
      <w:r w:rsidR="006343E1" w:rsidRPr="00332B11">
        <w:t xml:space="preserve"> w </w:t>
      </w:r>
      <w:r w:rsidRPr="00332B11">
        <w:t>fazie przejścia</w:t>
      </w:r>
      <w:r w:rsidR="006343E1" w:rsidRPr="00332B11">
        <w:t xml:space="preserve"> z </w:t>
      </w:r>
      <w:r w:rsidRPr="00332B11">
        <w:t>etapu gromadzenia danych do etapu ich analizy</w:t>
      </w:r>
      <w:r w:rsidR="006343E1" w:rsidRPr="00332B11">
        <w:t xml:space="preserve"> i </w:t>
      </w:r>
      <w:r w:rsidRPr="00332B11">
        <w:t>wytwarzania modeli SI dla zastosowań</w:t>
      </w:r>
      <w:r w:rsidR="006343E1" w:rsidRPr="00332B11">
        <w:t xml:space="preserve"> w </w:t>
      </w:r>
      <w:r w:rsidRPr="00332B11">
        <w:t>usługach publicznych</w:t>
      </w:r>
      <w:r w:rsidR="006343E1" w:rsidRPr="00332B11">
        <w:t xml:space="preserve"> i </w:t>
      </w:r>
      <w:r w:rsidRPr="00332B11">
        <w:t xml:space="preserve">gospodarczych. </w:t>
      </w:r>
    </w:p>
    <w:p w14:paraId="7E1B681C" w14:textId="271EBECE" w:rsidR="00B620BC" w:rsidRDefault="00B620BC" w:rsidP="00B620BC">
      <w:r>
        <w:lastRenderedPageBreak/>
        <w:t>W wielu państwach innowacja jest wręcz utożsamiana</w:t>
      </w:r>
      <w:r w:rsidR="006343E1">
        <w:t xml:space="preserve"> z </w:t>
      </w:r>
      <w:r>
        <w:t xml:space="preserve">wdrażaniem </w:t>
      </w:r>
      <w:r w:rsidR="00C75F08">
        <w:t>s</w:t>
      </w:r>
      <w:r>
        <w:t xml:space="preserve">ztucznej </w:t>
      </w:r>
      <w:r w:rsidR="00A32838">
        <w:t>Inteligencji</w:t>
      </w:r>
      <w:r>
        <w:t>. Lista krajów, które przodują</w:t>
      </w:r>
      <w:r w:rsidR="006343E1">
        <w:t xml:space="preserve"> w </w:t>
      </w:r>
      <w:r>
        <w:t>rozwoju SI na świecie</w:t>
      </w:r>
      <w:r w:rsidR="00C75F08">
        <w:t>,</w:t>
      </w:r>
      <w:r>
        <w:t xml:space="preserve"> dość dokładnie pokrywa się</w:t>
      </w:r>
      <w:r w:rsidR="006343E1">
        <w:t xml:space="preserve"> z </w:t>
      </w:r>
      <w:r>
        <w:t>listą liderów innowacji</w:t>
      </w:r>
      <w:r w:rsidR="006343E1">
        <w:t xml:space="preserve"> w </w:t>
      </w:r>
      <w:r>
        <w:t xml:space="preserve">ogóle. </w:t>
      </w:r>
    </w:p>
    <w:p w14:paraId="7C75F9D9" w14:textId="6C5BAA73" w:rsidR="00B620BC" w:rsidRDefault="00B620BC" w:rsidP="00CC26C8">
      <w:pPr>
        <w:pStyle w:val="Nagwek4"/>
      </w:pPr>
      <w:r>
        <w:t xml:space="preserve">Wykres </w:t>
      </w:r>
      <w:r w:rsidR="00332B11">
        <w:t>6</w:t>
      </w:r>
      <w:r w:rsidR="00FC6E8F">
        <w:t>5</w:t>
      </w:r>
      <w:r w:rsidR="00332B11">
        <w:t>.</w:t>
      </w:r>
      <w:r>
        <w:t xml:space="preserve"> Liczba firm zajmujących się tworzeniem SI</w:t>
      </w:r>
      <w:r w:rsidR="006343E1">
        <w:t xml:space="preserve"> w </w:t>
      </w:r>
      <w:r>
        <w:t>poszczególnych państwach</w:t>
      </w:r>
    </w:p>
    <w:p w14:paraId="54FEE774" w14:textId="4F985E88" w:rsidR="00B620BC" w:rsidRPr="00332B11" w:rsidRDefault="00B620BC" w:rsidP="00B620BC">
      <w:pPr>
        <w:rPr>
          <w:rFonts w:ascii="Calibri" w:hAnsi="Calibri" w:cs="Calibri"/>
        </w:rPr>
      </w:pPr>
      <w:r>
        <w:rPr>
          <w:noProof/>
          <w:lang w:eastAsia="pl-PL"/>
        </w:rPr>
        <w:drawing>
          <wp:inline distT="0" distB="0" distL="0" distR="0" wp14:anchorId="2E0B7B64" wp14:editId="30A45ADF">
            <wp:extent cx="5295900" cy="3171825"/>
            <wp:effectExtent l="19050" t="19050" r="19050" b="28575"/>
            <wp:docPr id="219" name="Obraz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295900" cy="3171825"/>
                    </a:xfrm>
                    <a:prstGeom prst="rect">
                      <a:avLst/>
                    </a:prstGeom>
                    <a:solidFill>
                      <a:srgbClr val="FFFFFF"/>
                    </a:solidFill>
                    <a:ln w="9525" cmpd="sng">
                      <a:solidFill>
                        <a:srgbClr val="000080"/>
                      </a:solidFill>
                      <a:prstDash val="solid"/>
                      <a:miter lim="800000"/>
                      <a:headEnd/>
                      <a:tailEnd/>
                    </a:ln>
                    <a:effectLst/>
                  </pic:spPr>
                </pic:pic>
              </a:graphicData>
            </a:graphic>
          </wp:inline>
        </w:drawing>
      </w:r>
    </w:p>
    <w:p w14:paraId="1FCFBABE" w14:textId="044A0F2A" w:rsidR="00C75F08" w:rsidRDefault="00B620BC" w:rsidP="00CB07D4">
      <w:pPr>
        <w:pStyle w:val="Bezodstpw"/>
        <w:spacing w:line="276" w:lineRule="auto"/>
        <w:rPr>
          <w:lang w:val="en-US"/>
        </w:rPr>
      </w:pPr>
      <w:r w:rsidRPr="00AD038B">
        <w:rPr>
          <w:lang w:val="en-US"/>
        </w:rPr>
        <w:t>Źródło 1</w:t>
      </w:r>
      <w:r w:rsidR="00C75F08">
        <w:rPr>
          <w:lang w:val="en-US"/>
        </w:rPr>
        <w:t xml:space="preserve">: </w:t>
      </w:r>
      <w:r w:rsidRPr="00AD038B">
        <w:rPr>
          <w:lang w:val="en-US"/>
        </w:rPr>
        <w:t>Roland Berger, Artificial Inteligence –</w:t>
      </w:r>
      <w:r w:rsidR="006343E1" w:rsidRPr="00AD038B">
        <w:rPr>
          <w:lang w:val="en-US"/>
        </w:rPr>
        <w:t xml:space="preserve"> A </w:t>
      </w:r>
      <w:r w:rsidRPr="00AD038B">
        <w:rPr>
          <w:lang w:val="en-US"/>
        </w:rPr>
        <w:t>strategy for European startups</w:t>
      </w:r>
    </w:p>
    <w:p w14:paraId="52021D17" w14:textId="204F20B7" w:rsidR="00B620BC" w:rsidRPr="00B620BC" w:rsidRDefault="00A32838" w:rsidP="00CB07D4">
      <w:pPr>
        <w:pStyle w:val="Bezodstpw"/>
        <w:spacing w:line="276" w:lineRule="auto"/>
        <w:rPr>
          <w:lang w:val="en-US"/>
        </w:rPr>
      </w:pPr>
      <w:r w:rsidRPr="00AD038B">
        <w:rPr>
          <w:lang w:val="en-US"/>
        </w:rPr>
        <w:t>Źródło</w:t>
      </w:r>
      <w:r w:rsidR="00B620BC" w:rsidRPr="00AD038B">
        <w:rPr>
          <w:lang w:val="en-US"/>
        </w:rPr>
        <w:t xml:space="preserve"> 2: Accenture and Frontier Econom</w:t>
      </w:r>
      <w:r w:rsidR="00B620BC">
        <w:rPr>
          <w:lang w:val="en-US"/>
        </w:rPr>
        <w:t>ics, Analiza PZU LAB SA</w:t>
      </w:r>
    </w:p>
    <w:p w14:paraId="3622CDED" w14:textId="5016F656" w:rsidR="00B620BC" w:rsidRDefault="00B620BC" w:rsidP="00B620BC">
      <w:r>
        <w:t>Przewagi należą do firm, które wytwarzają SI,</w:t>
      </w:r>
      <w:r w:rsidR="006343E1">
        <w:t xml:space="preserve"> a </w:t>
      </w:r>
      <w:r>
        <w:t>nie tylko jej używają na podstawie nabywanych licencji lub usług, lokując się</w:t>
      </w:r>
      <w:r w:rsidR="006343E1">
        <w:t xml:space="preserve"> w </w:t>
      </w:r>
      <w:r>
        <w:t xml:space="preserve">sferze konsumentów rozwiązań </w:t>
      </w:r>
      <w:r w:rsidR="00925D86">
        <w:t>s</w:t>
      </w:r>
      <w:r>
        <w:t xml:space="preserve">ztucznej </w:t>
      </w:r>
      <w:r w:rsidR="00925D86">
        <w:t>i</w:t>
      </w:r>
      <w:r>
        <w:t xml:space="preserve">nteligencji, nawet jeśli przystosowują je do swoich potrzeb. </w:t>
      </w:r>
    </w:p>
    <w:p w14:paraId="7042DD61" w14:textId="743542A9" w:rsidR="00B620BC" w:rsidRDefault="00B620BC" w:rsidP="00B620BC">
      <w:r>
        <w:t>Lista zastosowań SI rośnie</w:t>
      </w:r>
      <w:r w:rsidR="006343E1">
        <w:t xml:space="preserve"> z </w:t>
      </w:r>
      <w:r>
        <w:t xml:space="preserve">każdym miesiącem. Już dzisiaj trudno jest wskazać branżę, </w:t>
      </w:r>
      <w:r w:rsidR="00925D86">
        <w:t xml:space="preserve">w </w:t>
      </w:r>
      <w:r>
        <w:t>któr</w:t>
      </w:r>
      <w:r w:rsidR="00925D86">
        <w:t>ej</w:t>
      </w:r>
      <w:r>
        <w:t xml:space="preserve"> może nie być </w:t>
      </w:r>
      <w:r w:rsidR="00925D86">
        <w:t>s</w:t>
      </w:r>
      <w:r>
        <w:t xml:space="preserve">ztucznej </w:t>
      </w:r>
      <w:r w:rsidR="00925D86">
        <w:t>i</w:t>
      </w:r>
      <w:r>
        <w:t>nteligencji.</w:t>
      </w:r>
    </w:p>
    <w:p w14:paraId="6BB611E8" w14:textId="1445E3F5" w:rsidR="00B620BC" w:rsidRDefault="00B620BC" w:rsidP="00B620BC">
      <w:r>
        <w:t>Jesteśmy jako kraj</w:t>
      </w:r>
      <w:r w:rsidR="006343E1">
        <w:t xml:space="preserve"> w </w:t>
      </w:r>
      <w:r>
        <w:t xml:space="preserve">dogodnej sytuacji, ponieważ nasza gospodarka </w:t>
      </w:r>
      <w:r w:rsidR="00925D86" w:rsidRPr="0043112C">
        <w:t xml:space="preserve">jest </w:t>
      </w:r>
      <w:r>
        <w:t>oparta na gałęziach, które są bardzo podatne na korzyści wynikające</w:t>
      </w:r>
      <w:r w:rsidR="006343E1">
        <w:t xml:space="preserve"> z </w:t>
      </w:r>
      <w:r>
        <w:t xml:space="preserve">wdrażania </w:t>
      </w:r>
      <w:r w:rsidR="0043112C" w:rsidRPr="00237F41">
        <w:t>s</w:t>
      </w:r>
      <w:r w:rsidRPr="00237F41">
        <w:t xml:space="preserve">ztucznej </w:t>
      </w:r>
      <w:r w:rsidR="0043112C" w:rsidRPr="00237F41">
        <w:t>i</w:t>
      </w:r>
      <w:r w:rsidRPr="00237F41">
        <w:t>nteligencji.</w:t>
      </w:r>
      <w:r w:rsidR="0043112C" w:rsidRPr="00237F41">
        <w:t xml:space="preserve"> </w:t>
      </w:r>
      <w:r>
        <w:t>Do priorytetowych sektorów</w:t>
      </w:r>
      <w:r w:rsidR="0043112C" w:rsidRPr="00237F41">
        <w:t xml:space="preserve"> należą</w:t>
      </w:r>
      <w:r>
        <w:t>:</w:t>
      </w:r>
      <w:r w:rsidR="0043112C" w:rsidRPr="00237F41">
        <w:t xml:space="preserve"> przemysł, medycyna, transport i logistyka, rolnictwo, energetyka, w drugiej kolejności: administrację państwow</w:t>
      </w:r>
      <w:r w:rsidR="00785A0E">
        <w:t>ą</w:t>
      </w:r>
      <w:r w:rsidR="0043112C" w:rsidRPr="00237F41">
        <w:t xml:space="preserve">, </w:t>
      </w:r>
      <w:r w:rsidR="0043112C" w:rsidRPr="00CB07D4">
        <w:rPr>
          <w:rFonts w:cs="Calibri"/>
        </w:rPr>
        <w:t xml:space="preserve">handel i marketing, budownictwo (w szczególności </w:t>
      </w:r>
      <w:r w:rsidR="0043112C" w:rsidRPr="00CB07D4">
        <w:rPr>
          <w:rFonts w:cs="Calibri"/>
          <w:i/>
        </w:rPr>
        <w:t>smart building</w:t>
      </w:r>
      <w:r w:rsidR="0043112C" w:rsidRPr="00CB07D4">
        <w:rPr>
          <w:rFonts w:cs="Calibri"/>
        </w:rPr>
        <w:t xml:space="preserve">), cyberbezpieczeństwo. </w:t>
      </w:r>
    </w:p>
    <w:p w14:paraId="31A6DD99" w14:textId="566D6638" w:rsidR="00B620BC" w:rsidRDefault="00B620BC" w:rsidP="00B620BC">
      <w:r w:rsidRPr="00CB07D4">
        <w:t>Dla priorytetowych sektorów gospodarki korzyści</w:t>
      </w:r>
      <w:r w:rsidR="006343E1" w:rsidRPr="00CB07D4">
        <w:t xml:space="preserve"> z </w:t>
      </w:r>
      <w:r w:rsidRPr="00CB07D4">
        <w:t xml:space="preserve">wdrażania SI to około 1,47% PKB, natomiast dla kolejnych to dodatkowe 1,18% PKB. </w:t>
      </w:r>
    </w:p>
    <w:p w14:paraId="699006D4" w14:textId="0456E6CE" w:rsidR="00B620BC" w:rsidRDefault="00B620BC" w:rsidP="00CC26C8">
      <w:pPr>
        <w:pStyle w:val="Nagwek4"/>
      </w:pPr>
      <w:r>
        <w:lastRenderedPageBreak/>
        <w:t xml:space="preserve">Wykres </w:t>
      </w:r>
      <w:r w:rsidR="00332B11">
        <w:t>6</w:t>
      </w:r>
      <w:r w:rsidR="00FC6E8F">
        <w:t>6</w:t>
      </w:r>
      <w:r w:rsidR="00332B11">
        <w:t>.</w:t>
      </w:r>
      <w:r>
        <w:t xml:space="preserve"> Potencjalny uzysk dla polskiego PKB </w:t>
      </w:r>
      <w:r w:rsidR="0043112C">
        <w:t xml:space="preserve">z </w:t>
      </w:r>
      <w:r>
        <w:t>wdrożenia SI</w:t>
      </w:r>
    </w:p>
    <w:p w14:paraId="5562E175" w14:textId="2808953C" w:rsidR="00B620BC" w:rsidRPr="00CB07D4" w:rsidRDefault="00B620BC" w:rsidP="00B620BC">
      <w:pPr>
        <w:pStyle w:val="Legenda2"/>
        <w:rPr>
          <w:rStyle w:val="BezodstpwZnak"/>
          <w:b w:val="0"/>
        </w:rPr>
      </w:pPr>
      <w:r>
        <w:rPr>
          <w:noProof/>
          <w:lang w:eastAsia="pl-PL"/>
        </w:rPr>
        <w:drawing>
          <wp:inline distT="0" distB="0" distL="0" distR="0" wp14:anchorId="098979EE" wp14:editId="55C30B19">
            <wp:extent cx="5760720" cy="3269615"/>
            <wp:effectExtent l="0" t="0" r="0" b="6985"/>
            <wp:docPr id="218" name="Obraz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pic:cNvPicPr>
                      <a:picLocks noChangeAspect="1" noChangeArrowheads="1"/>
                    </pic:cNvPicPr>
                  </pic:nvPicPr>
                  <pic:blipFill>
                    <a:blip r:embed="rId101" cstate="print">
                      <a:extLst>
                        <a:ext uri="{28A0092B-C50C-407E-A947-70E740481C1C}">
                          <a14:useLocalDpi xmlns:a14="http://schemas.microsoft.com/office/drawing/2010/main" val="0"/>
                        </a:ext>
                      </a:extLst>
                    </a:blip>
                    <a:srcRect l="-15" t="-27" r="-15" b="-27"/>
                    <a:stretch>
                      <a:fillRect/>
                    </a:stretch>
                  </pic:blipFill>
                  <pic:spPr bwMode="auto">
                    <a:xfrm>
                      <a:off x="0" y="0"/>
                      <a:ext cx="5760720" cy="3269615"/>
                    </a:xfrm>
                    <a:prstGeom prst="rect">
                      <a:avLst/>
                    </a:prstGeom>
                    <a:solidFill>
                      <a:srgbClr val="FFFFFF"/>
                    </a:solidFill>
                    <a:ln>
                      <a:noFill/>
                    </a:ln>
                  </pic:spPr>
                </pic:pic>
              </a:graphicData>
            </a:graphic>
          </wp:inline>
        </w:drawing>
      </w:r>
      <w:r w:rsidRPr="00CB07D4">
        <w:rPr>
          <w:rStyle w:val="BezodstpwZnak"/>
          <w:b w:val="0"/>
          <w:sz w:val="20"/>
        </w:rPr>
        <w:t>Źródło: Grupa 2 przy MC, Finansowanie badań</w:t>
      </w:r>
      <w:r w:rsidR="006343E1" w:rsidRPr="00CB07D4">
        <w:rPr>
          <w:rStyle w:val="BezodstpwZnak"/>
          <w:b w:val="0"/>
          <w:sz w:val="20"/>
        </w:rPr>
        <w:t xml:space="preserve"> i </w:t>
      </w:r>
      <w:r w:rsidRPr="00CB07D4">
        <w:rPr>
          <w:rStyle w:val="BezodstpwZnak"/>
          <w:b w:val="0"/>
          <w:sz w:val="20"/>
        </w:rPr>
        <w:t>rozwoju, Założenia strategii SI</w:t>
      </w:r>
      <w:r w:rsidR="006343E1" w:rsidRPr="00CB07D4">
        <w:rPr>
          <w:rStyle w:val="BezodstpwZnak"/>
          <w:b w:val="0"/>
          <w:sz w:val="20"/>
        </w:rPr>
        <w:t xml:space="preserve"> w </w:t>
      </w:r>
      <w:r w:rsidRPr="00CB07D4">
        <w:rPr>
          <w:rStyle w:val="BezodstpwZnak"/>
          <w:b w:val="0"/>
          <w:sz w:val="20"/>
        </w:rPr>
        <w:t>Polsce, Warszawa, 2018</w:t>
      </w:r>
    </w:p>
    <w:p w14:paraId="4D703BAA" w14:textId="07649234" w:rsidR="00B620BC" w:rsidRDefault="00B620BC" w:rsidP="00B620BC">
      <w:r>
        <w:t xml:space="preserve">Organizacje, które zanegują </w:t>
      </w:r>
      <w:r w:rsidR="00A528B4">
        <w:t xml:space="preserve">SI </w:t>
      </w:r>
      <w:r>
        <w:t>lub będą zwlekać</w:t>
      </w:r>
      <w:r w:rsidR="006343E1">
        <w:t xml:space="preserve"> z </w:t>
      </w:r>
      <w:r>
        <w:t>wdrażaniem SI</w:t>
      </w:r>
      <w:r w:rsidR="006343E1">
        <w:t xml:space="preserve"> w </w:t>
      </w:r>
      <w:r>
        <w:t>ciągu najbliższych 5 lat</w:t>
      </w:r>
      <w:r w:rsidR="00A528B4">
        <w:t>,</w:t>
      </w:r>
      <w:r>
        <w:t xml:space="preserve"> zaczną tracić lub całkowicie utracą przewagę konkurencyjną. Co ważne</w:t>
      </w:r>
      <w:r w:rsidR="00A528B4">
        <w:t>,</w:t>
      </w:r>
      <w:r>
        <w:t xml:space="preserve"> mamy na uwadze tutaj nie tylko</w:t>
      </w:r>
      <w:r w:rsidR="006343E1">
        <w:t> </w:t>
      </w:r>
      <w:r>
        <w:t>branż</w:t>
      </w:r>
      <w:r w:rsidR="00A528B4">
        <w:t>e</w:t>
      </w:r>
      <w:r>
        <w:t xml:space="preserve"> tradycyjnie kojarzon</w:t>
      </w:r>
      <w:r w:rsidR="00A528B4">
        <w:t>e</w:t>
      </w:r>
      <w:r w:rsidR="006343E1">
        <w:t xml:space="preserve"> z </w:t>
      </w:r>
      <w:r>
        <w:t>danymi (banki, ubezpieczyciele, handel, marketing), ale też</w:t>
      </w:r>
      <w:r w:rsidR="006343E1">
        <w:t xml:space="preserve"> </w:t>
      </w:r>
      <w:r w:rsidR="00A528B4">
        <w:t>te</w:t>
      </w:r>
      <w:r>
        <w:t>, które są dotychczas mniej scyfryzowane, jak przemysł czy rolnictwo. Inwestowanie</w:t>
      </w:r>
      <w:r w:rsidR="006343E1">
        <w:t xml:space="preserve"> w </w:t>
      </w:r>
      <w:r>
        <w:t>wytwarzanie własnej SI jest zatem kluczowe dla organizacji</w:t>
      </w:r>
      <w:r w:rsidR="006343E1">
        <w:t xml:space="preserve"> i </w:t>
      </w:r>
      <w:r>
        <w:t>dla rozwoju Polski. Jeżeli nie będziemy mieli własnych rozwiązań SI, staniemy się krajem „surowcowym”.</w:t>
      </w:r>
      <w:r w:rsidR="006343E1">
        <w:t xml:space="preserve"> W </w:t>
      </w:r>
      <w:r>
        <w:t>tym sensie</w:t>
      </w:r>
      <w:r w:rsidR="00477C54">
        <w:t>, że </w:t>
      </w:r>
      <w:r>
        <w:t>będziemy dostarczać dane, ale będziemy także zależni od tych, którzy potrafią je zmienić</w:t>
      </w:r>
      <w:r w:rsidR="006343E1">
        <w:t xml:space="preserve"> w </w:t>
      </w:r>
      <w:r>
        <w:t>„wysokoprzetworzony produkt”</w:t>
      </w:r>
      <w:r w:rsidR="006343E1">
        <w:t xml:space="preserve"> i </w:t>
      </w:r>
      <w:r>
        <w:t>opisywać cyfrowo</w:t>
      </w:r>
      <w:r w:rsidR="006343E1">
        <w:t xml:space="preserve"> i </w:t>
      </w:r>
      <w:r>
        <w:t xml:space="preserve">algorytmicznie naszą rzeczywistość.      </w:t>
      </w:r>
    </w:p>
    <w:p w14:paraId="65ADD3C1" w14:textId="772E7584" w:rsidR="00B620BC" w:rsidRDefault="00B620BC" w:rsidP="00B620BC">
      <w:r>
        <w:t>Sztuczna inteligencja połączona</w:t>
      </w:r>
      <w:r w:rsidR="006343E1">
        <w:t xml:space="preserve"> z </w:t>
      </w:r>
      <w:r>
        <w:t>automatyką będzie miała wpływ na rynek pracy</w:t>
      </w:r>
      <w:r w:rsidRPr="00CB07D4">
        <w:rPr>
          <w:rStyle w:val="Znakiprzypiswdolnych"/>
          <w:rFonts w:ascii="Calibri" w:hAnsi="Calibri"/>
          <w:vertAlign w:val="superscript"/>
        </w:rPr>
        <w:footnoteReference w:id="63"/>
      </w:r>
      <w:r w:rsidR="00A528B4" w:rsidRPr="00CB07D4">
        <w:t>.</w:t>
      </w:r>
      <w:r>
        <w:t xml:space="preserve"> Ryzykiem braku inwestycji krajowych</w:t>
      </w:r>
      <w:r w:rsidR="006343E1">
        <w:t xml:space="preserve"> w </w:t>
      </w:r>
      <w:r>
        <w:t>SI nie jest erozja dotychczasowych zawodów lub pracy</w:t>
      </w:r>
      <w:r w:rsidR="006343E1">
        <w:t xml:space="preserve"> w </w:t>
      </w:r>
      <w:r>
        <w:t>Polsce, ale pojawienie się nowych zawodów</w:t>
      </w:r>
      <w:r w:rsidR="006343E1">
        <w:t xml:space="preserve"> w </w:t>
      </w:r>
      <w:r>
        <w:t>innych krajach</w:t>
      </w:r>
      <w:r w:rsidR="00A528B4">
        <w:t>,</w:t>
      </w:r>
      <w:r>
        <w:t xml:space="preserve"> </w:t>
      </w:r>
      <w:r w:rsidR="00A528B4">
        <w:t>p</w:t>
      </w:r>
      <w:r>
        <w:t>odobnie jak miało to miejsce</w:t>
      </w:r>
      <w:r w:rsidR="006343E1">
        <w:t xml:space="preserve"> w</w:t>
      </w:r>
      <w:r w:rsidR="00A528B4">
        <w:t xml:space="preserve"> wyniku</w:t>
      </w:r>
      <w:r w:rsidR="006343E1">
        <w:t> </w:t>
      </w:r>
      <w:r>
        <w:t>rewolucj</w:t>
      </w:r>
      <w:r w:rsidR="00A528B4">
        <w:t>i</w:t>
      </w:r>
      <w:r>
        <w:t xml:space="preserve"> IT, która „zabrała” pracę</w:t>
      </w:r>
      <w:r w:rsidR="006343E1">
        <w:t xml:space="preserve"> w </w:t>
      </w:r>
      <w:r>
        <w:t>wielu krajach, ale wykreowała ją</w:t>
      </w:r>
      <w:r w:rsidR="006343E1">
        <w:t xml:space="preserve"> w </w:t>
      </w:r>
      <w:r>
        <w:t>np. Indiach czy</w:t>
      </w:r>
      <w:r w:rsidR="006343E1">
        <w:t xml:space="preserve"> w </w:t>
      </w:r>
      <w:r>
        <w:t>Polsce. Tym razem, aby zmiany na rynku pracy miały korzystny</w:t>
      </w:r>
      <w:r w:rsidR="006343E1">
        <w:t xml:space="preserve"> i </w:t>
      </w:r>
      <w:r>
        <w:t>trwały wpływ</w:t>
      </w:r>
      <w:r w:rsidR="00695C7D">
        <w:t>,</w:t>
      </w:r>
      <w:r>
        <w:t xml:space="preserve"> muszą być związane</w:t>
      </w:r>
      <w:r w:rsidR="006343E1">
        <w:t xml:space="preserve"> z </w:t>
      </w:r>
      <w:r>
        <w:t>inwestycjami</w:t>
      </w:r>
      <w:r w:rsidR="006343E1">
        <w:t xml:space="preserve"> w </w:t>
      </w:r>
      <w:r w:rsidR="00AF2A9A">
        <w:t>rozwój polskiej własności intelektualnej</w:t>
      </w:r>
      <w:r>
        <w:t xml:space="preserve"> na potrzeby rozwiązań </w:t>
      </w:r>
      <w:r w:rsidR="00695C7D">
        <w:t>w zakresie s</w:t>
      </w:r>
      <w:r>
        <w:t xml:space="preserve">ztucznej </w:t>
      </w:r>
      <w:r w:rsidR="00695C7D">
        <w:t>i</w:t>
      </w:r>
      <w:r>
        <w:t>nteligencji.</w:t>
      </w:r>
      <w:r w:rsidR="006343E1">
        <w:t xml:space="preserve"> W </w:t>
      </w:r>
      <w:r>
        <w:t>przeciwnym razie szanse zmienią się</w:t>
      </w:r>
      <w:r w:rsidR="006343E1">
        <w:t xml:space="preserve"> w </w:t>
      </w:r>
      <w:r>
        <w:t>ryzyk</w:t>
      </w:r>
      <w:r w:rsidR="00695C7D">
        <w:t>o</w:t>
      </w:r>
      <w:r>
        <w:t xml:space="preserve"> utraty przewag</w:t>
      </w:r>
      <w:r w:rsidR="00695C7D">
        <w:t>i</w:t>
      </w:r>
      <w:r>
        <w:t xml:space="preserve"> konkurencyjn</w:t>
      </w:r>
      <w:r w:rsidR="00695C7D">
        <w:t>ej</w:t>
      </w:r>
      <w:r w:rsidR="006343E1">
        <w:t xml:space="preserve"> i </w:t>
      </w:r>
      <w:r>
        <w:t xml:space="preserve">likwidacji miejsc pracy. </w:t>
      </w:r>
    </w:p>
    <w:p w14:paraId="58A17BA3" w14:textId="4D154586" w:rsidR="00B620BC" w:rsidRDefault="00B620BC" w:rsidP="00B620BC">
      <w:r>
        <w:t>Istnieje potencjał intelektualny</w:t>
      </w:r>
      <w:r w:rsidR="006343E1">
        <w:t xml:space="preserve"> i </w:t>
      </w:r>
      <w:r>
        <w:t>biznesowy, aby</w:t>
      </w:r>
      <w:r w:rsidR="006343E1">
        <w:t xml:space="preserve"> w </w:t>
      </w:r>
      <w:r>
        <w:t>Polsce stopniowo do roku 2025 powstało ponad 700 firm SI, nawet jeśli 3 na 4 firmy upadną</w:t>
      </w:r>
      <w:r w:rsidR="006343E1">
        <w:t xml:space="preserve"> w </w:t>
      </w:r>
      <w:r>
        <w:t>ciągu pierwszych 5 lat. Potencjał ten się um</w:t>
      </w:r>
      <w:r w:rsidR="00695C7D">
        <w:t>ocni</w:t>
      </w:r>
      <w:r w:rsidR="006343E1">
        <w:t xml:space="preserve"> i </w:t>
      </w:r>
      <w:r>
        <w:t>zwiększ</w:t>
      </w:r>
      <w:r w:rsidR="00695C7D">
        <w:t>y</w:t>
      </w:r>
      <w:r>
        <w:t>, jeśli będzie pochodną nie tylko dobrych startupowych pomysłów na SI, ale też tworzenia korzystnych warunków otoczenia</w:t>
      </w:r>
      <w:r w:rsidR="006343E1">
        <w:t xml:space="preserve"> i </w:t>
      </w:r>
      <w:r>
        <w:t>ogólnej pomocy dla młodych polskich firm</w:t>
      </w:r>
      <w:r w:rsidR="006343E1">
        <w:t xml:space="preserve"> w </w:t>
      </w:r>
      <w:r>
        <w:t xml:space="preserve">pierwszym okresie </w:t>
      </w:r>
      <w:r w:rsidR="00695C7D">
        <w:t>ich</w:t>
      </w:r>
      <w:r>
        <w:t xml:space="preserve"> działania. </w:t>
      </w:r>
    </w:p>
    <w:p w14:paraId="461104F7" w14:textId="44190FA1" w:rsidR="00B620BC" w:rsidRDefault="00B620BC" w:rsidP="00B620BC">
      <w:r>
        <w:t>Porównanie do innych krajów budujących SI pozwala przyjąć</w:t>
      </w:r>
      <w:r w:rsidR="00477C54">
        <w:t>, że </w:t>
      </w:r>
      <w:r>
        <w:t>Polska ma szanse znaleźć się</w:t>
      </w:r>
      <w:r w:rsidR="006343E1">
        <w:t xml:space="preserve"> w </w:t>
      </w:r>
      <w:r>
        <w:t>grupie 20</w:t>
      </w:r>
      <w:r w:rsidR="00695C7D">
        <w:rPr>
          <w:rFonts w:ascii="Times New Roman" w:hAnsi="Times New Roman" w:cs="Times New Roman"/>
        </w:rPr>
        <w:t>–</w:t>
      </w:r>
      <w:r>
        <w:t xml:space="preserve">25 percentylu najlepszych ośrodków budowania SI na świecie. </w:t>
      </w:r>
    </w:p>
    <w:p w14:paraId="15F84F06" w14:textId="10796730" w:rsidR="00B620BC" w:rsidRDefault="00B620BC" w:rsidP="00B620BC">
      <w:r>
        <w:lastRenderedPageBreak/>
        <w:t>Przyjmuje się</w:t>
      </w:r>
      <w:r w:rsidR="00477C54">
        <w:t>, że </w:t>
      </w:r>
      <w:r>
        <w:t>kraje</w:t>
      </w:r>
      <w:r w:rsidR="00695C7D">
        <w:t>,</w:t>
      </w:r>
      <w:r>
        <w:t xml:space="preserve"> które przyjęły lub przyjmą polityki strategicznego rozwoju SI</w:t>
      </w:r>
      <w:r w:rsidR="00695C7D">
        <w:t>,</w:t>
      </w:r>
      <w:r>
        <w:t xml:space="preserve"> osiągną dynamikę wzrostu</w:t>
      </w:r>
      <w:r w:rsidR="006343E1">
        <w:t xml:space="preserve"> w </w:t>
      </w:r>
      <w:r>
        <w:t>przedziale od 30% do 40%.</w:t>
      </w:r>
      <w:r w:rsidRPr="00CB07D4">
        <w:rPr>
          <w:rStyle w:val="Znakiprzypiswdolnych"/>
          <w:rFonts w:ascii="Calibri" w:hAnsi="Calibri"/>
          <w:vertAlign w:val="superscript"/>
        </w:rPr>
        <w:footnoteReference w:id="64"/>
      </w:r>
    </w:p>
    <w:p w14:paraId="71FC641B" w14:textId="1B878FE7" w:rsidR="00B620BC" w:rsidRDefault="00B620BC" w:rsidP="00CC26C8">
      <w:pPr>
        <w:pStyle w:val="Nagwek4"/>
      </w:pPr>
      <w:r>
        <w:t xml:space="preserve">Wykres </w:t>
      </w:r>
      <w:r w:rsidR="00332B11">
        <w:t>6</w:t>
      </w:r>
      <w:r w:rsidR="00FC6E8F">
        <w:t>7</w:t>
      </w:r>
      <w:r w:rsidR="00332B11">
        <w:t>.</w:t>
      </w:r>
      <w:r>
        <w:t xml:space="preserve"> Liczba firm budujących SI przypadaj</w:t>
      </w:r>
      <w:r w:rsidR="00695C7D">
        <w:t>ą</w:t>
      </w:r>
      <w:r>
        <w:t>cych na milion mieszkańców kraju</w:t>
      </w:r>
    </w:p>
    <w:p w14:paraId="7A995239" w14:textId="4FA54E99" w:rsidR="00B620BC" w:rsidRDefault="00B620BC" w:rsidP="00B620BC">
      <w:pPr>
        <w:rPr>
          <w:rFonts w:ascii="Calibri" w:hAnsi="Calibri" w:cs="Calibri"/>
        </w:rPr>
      </w:pPr>
      <w:r>
        <w:rPr>
          <w:noProof/>
          <w:lang w:eastAsia="pl-PL"/>
        </w:rPr>
        <w:drawing>
          <wp:inline distT="0" distB="0" distL="0" distR="0" wp14:anchorId="7A1767B0" wp14:editId="2B00901C">
            <wp:extent cx="5200650" cy="2905125"/>
            <wp:effectExtent l="0" t="0" r="38100" b="47625"/>
            <wp:docPr id="217" name="Obraz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pic:cNvPicPr>
                      <a:picLocks noChangeAspect="1" noChangeArrowheads="1"/>
                    </pic:cNvPicPr>
                  </pic:nvPicPr>
                  <pic:blipFill>
                    <a:blip r:embed="rId102" cstate="print">
                      <a:extLst>
                        <a:ext uri="{28A0092B-C50C-407E-A947-70E740481C1C}">
                          <a14:useLocalDpi xmlns:a14="http://schemas.microsoft.com/office/drawing/2010/main" val="0"/>
                        </a:ext>
                      </a:extLst>
                    </a:blip>
                    <a:srcRect l="-12" t="-23" r="-12" b="-23"/>
                    <a:stretch>
                      <a:fillRect/>
                    </a:stretch>
                  </pic:blipFill>
                  <pic:spPr bwMode="auto">
                    <a:xfrm>
                      <a:off x="0" y="0"/>
                      <a:ext cx="5200650" cy="2905125"/>
                    </a:xfrm>
                    <a:prstGeom prst="rect">
                      <a:avLst/>
                    </a:prstGeom>
                    <a:solidFill>
                      <a:srgbClr val="FFFFFF"/>
                    </a:solidFill>
                    <a:ln>
                      <a:noFill/>
                    </a:ln>
                    <a:effectLst>
                      <a:outerShdw dist="35921" dir="2700000" algn="ctr" rotWithShape="0">
                        <a:srgbClr val="000000"/>
                      </a:outerShdw>
                    </a:effectLst>
                  </pic:spPr>
                </pic:pic>
              </a:graphicData>
            </a:graphic>
          </wp:inline>
        </w:drawing>
      </w:r>
    </w:p>
    <w:p w14:paraId="66F43CA1" w14:textId="03C04D9E" w:rsidR="00B620BC" w:rsidRDefault="00B620BC" w:rsidP="00CB07D4">
      <w:pPr>
        <w:pStyle w:val="Bezodstpw"/>
        <w:ind w:left="567" w:hanging="567"/>
      </w:pPr>
      <w:r>
        <w:t>Źródło: Grupa 2 przy MC, Finansowanie badań</w:t>
      </w:r>
      <w:r w:rsidR="006343E1">
        <w:t xml:space="preserve"> i </w:t>
      </w:r>
      <w:r>
        <w:t>rozwoju, Założenia strategii SI</w:t>
      </w:r>
      <w:r w:rsidR="006343E1">
        <w:t xml:space="preserve"> w </w:t>
      </w:r>
      <w:r>
        <w:t>Polsce, Warszawa, 2018.; na podstawie Roland Berger, Artificial Intelligence –</w:t>
      </w:r>
      <w:r w:rsidR="006343E1">
        <w:t xml:space="preserve"> A </w:t>
      </w:r>
      <w:r>
        <w:t xml:space="preserve">strategy for European startups </w:t>
      </w:r>
    </w:p>
    <w:p w14:paraId="42C6EA4B" w14:textId="58C0309A" w:rsidR="00B620BC" w:rsidRDefault="00B620BC" w:rsidP="00B620BC">
      <w:r>
        <w:t>Aby osiągnąć ten wzrost liczby firm</w:t>
      </w:r>
      <w:r w:rsidR="006343E1">
        <w:t xml:space="preserve"> i </w:t>
      </w:r>
      <w:r>
        <w:t>przejść do grona rozpoznawalnych ośrodków SI</w:t>
      </w:r>
      <w:r w:rsidR="00695C7D">
        <w:t>,</w:t>
      </w:r>
      <w:r>
        <w:t xml:space="preserve"> potrzebne są inwestycje</w:t>
      </w:r>
      <w:r w:rsidR="006343E1">
        <w:t xml:space="preserve"> w </w:t>
      </w:r>
      <w:r>
        <w:t>budowę</w:t>
      </w:r>
      <w:r w:rsidR="006343E1">
        <w:t xml:space="preserve"> i </w:t>
      </w:r>
      <w:r>
        <w:t>rozwój SI</w:t>
      </w:r>
      <w:r w:rsidR="006343E1">
        <w:t xml:space="preserve"> w </w:t>
      </w:r>
      <w:r>
        <w:t>wysokości ok. 9,5 miliarda zł do roku 2023.</w:t>
      </w:r>
      <w:r w:rsidRPr="00CB07D4">
        <w:rPr>
          <w:rStyle w:val="Znakiprzypiswdolnych"/>
          <w:rFonts w:ascii="Calibri" w:hAnsi="Calibri"/>
          <w:vertAlign w:val="superscript"/>
        </w:rPr>
        <w:footnoteReference w:id="65"/>
      </w:r>
      <w:r>
        <w:t xml:space="preserve"> Kwota ta nie obejmuje osobnych, koniecznych inwestycji</w:t>
      </w:r>
      <w:r w:rsidR="006343E1">
        <w:t xml:space="preserve"> w </w:t>
      </w:r>
      <w:r>
        <w:t>badania podstawowe czy edukację, zapewnianych</w:t>
      </w:r>
      <w:r w:rsidR="006343E1">
        <w:t xml:space="preserve"> w </w:t>
      </w:r>
      <w:r>
        <w:t>programach pomocowych lub budżetach administracji publicznej. Określona tu kwota potrzebnych inwestycji jest postawiona jako wyzwanie, jednakże głównym priorytetem jest zbudowanie</w:t>
      </w:r>
      <w:r w:rsidR="006343E1">
        <w:t xml:space="preserve"> w </w:t>
      </w:r>
      <w:r>
        <w:t>Polsce ekosystemu dla budowy</w:t>
      </w:r>
      <w:r w:rsidR="006343E1">
        <w:t xml:space="preserve"> i </w:t>
      </w:r>
      <w:r>
        <w:t xml:space="preserve">wdrażania SI. </w:t>
      </w:r>
    </w:p>
    <w:p w14:paraId="6417181C" w14:textId="64128B56" w:rsidR="00B620BC" w:rsidRDefault="00B620BC" w:rsidP="00CC26C8">
      <w:pPr>
        <w:pStyle w:val="Nagwek4"/>
      </w:pPr>
      <w:r>
        <w:t xml:space="preserve">Wykres </w:t>
      </w:r>
      <w:r w:rsidR="00332B11">
        <w:t>6</w:t>
      </w:r>
      <w:r w:rsidR="00FC6E8F">
        <w:t>8</w:t>
      </w:r>
      <w:r w:rsidR="00332B11">
        <w:t>.</w:t>
      </w:r>
      <w:r>
        <w:t xml:space="preserve"> Szacowanie przychodów</w:t>
      </w:r>
      <w:r w:rsidR="006343E1">
        <w:t xml:space="preserve"> i </w:t>
      </w:r>
      <w:r>
        <w:t>inwestycji</w:t>
      </w:r>
      <w:r w:rsidR="006343E1">
        <w:t xml:space="preserve"> w </w:t>
      </w:r>
      <w:r>
        <w:t>SI</w:t>
      </w:r>
      <w:r w:rsidR="006343E1">
        <w:t xml:space="preserve"> w </w:t>
      </w:r>
      <w:r>
        <w:t>Polsce</w:t>
      </w:r>
    </w:p>
    <w:p w14:paraId="6504D458" w14:textId="43E8C80C" w:rsidR="00B620BC" w:rsidRDefault="00B620BC" w:rsidP="00B620BC">
      <w:pPr>
        <w:rPr>
          <w:rFonts w:ascii="Calibri" w:hAnsi="Calibri" w:cs="Calibri"/>
        </w:rPr>
      </w:pPr>
      <w:r>
        <w:rPr>
          <w:noProof/>
          <w:lang w:eastAsia="pl-PL"/>
        </w:rPr>
        <w:drawing>
          <wp:inline distT="0" distB="0" distL="0" distR="0" wp14:anchorId="6EF1CF09" wp14:editId="41B030E6">
            <wp:extent cx="4059936" cy="1947946"/>
            <wp:effectExtent l="0" t="0" r="0" b="0"/>
            <wp:docPr id="216" name="Obraz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l="-12" t="8634" r="3633" b="-26"/>
                    <a:stretch/>
                  </pic:blipFill>
                  <pic:spPr bwMode="auto">
                    <a:xfrm>
                      <a:off x="0" y="0"/>
                      <a:ext cx="4074639" cy="1955000"/>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p w14:paraId="05531C93" w14:textId="036E6006" w:rsidR="00B620BC" w:rsidRDefault="00B620BC" w:rsidP="00CC26C8">
      <w:pPr>
        <w:pStyle w:val="Bezodstpw"/>
      </w:pPr>
      <w:r>
        <w:t>Źródło: Grupa 2 przy MC, Finansowanie badań</w:t>
      </w:r>
      <w:r w:rsidR="006343E1">
        <w:t xml:space="preserve"> i </w:t>
      </w:r>
      <w:r>
        <w:t>rozwoju, Założenia strategii SI</w:t>
      </w:r>
      <w:r w:rsidR="006343E1">
        <w:t xml:space="preserve"> w </w:t>
      </w:r>
      <w:r>
        <w:t>Polsce, Warszawa, 2018</w:t>
      </w:r>
    </w:p>
    <w:p w14:paraId="607BD664" w14:textId="31C21F3C" w:rsidR="00B620BC" w:rsidRDefault="00B620BC" w:rsidP="00B620BC">
      <w:r>
        <w:lastRenderedPageBreak/>
        <w:t>Jest to ogromne wyzwanie związane nie tylko</w:t>
      </w:r>
      <w:r w:rsidR="006343E1">
        <w:t xml:space="preserve"> z </w:t>
      </w:r>
      <w:r>
        <w:t xml:space="preserve">pozyskaniem środków, ale również </w:t>
      </w:r>
      <w:r w:rsidR="00036B05">
        <w:t xml:space="preserve">z </w:t>
      </w:r>
      <w:r>
        <w:t xml:space="preserve">ich </w:t>
      </w:r>
      <w:r w:rsidRPr="00CB07D4">
        <w:t>efektywnym zaabsorbowaniem</w:t>
      </w:r>
      <w:r>
        <w:t>.</w:t>
      </w:r>
    </w:p>
    <w:p w14:paraId="09DCB3DE" w14:textId="3B8717B5" w:rsidR="00B620BC" w:rsidRDefault="00B620BC" w:rsidP="00B620BC">
      <w:r>
        <w:t xml:space="preserve">Wbrew pozorom jednak </w:t>
      </w:r>
      <w:r w:rsidR="00036B05">
        <w:t>ta</w:t>
      </w:r>
      <w:r>
        <w:t xml:space="preserve"> kwota nie jest wysoka</w:t>
      </w:r>
      <w:r w:rsidR="006343E1">
        <w:t xml:space="preserve"> w </w:t>
      </w:r>
      <w:r>
        <w:t>porównaniu</w:t>
      </w:r>
      <w:r w:rsidR="006343E1">
        <w:t xml:space="preserve"> z </w:t>
      </w:r>
      <w:r>
        <w:t xml:space="preserve">celami wyznaczonymi </w:t>
      </w:r>
      <w:r w:rsidR="00036B05">
        <w:t xml:space="preserve">w </w:t>
      </w:r>
      <w:r>
        <w:t>polity</w:t>
      </w:r>
      <w:r w:rsidR="00036B05">
        <w:t>ce</w:t>
      </w:r>
      <w:r>
        <w:t xml:space="preserve"> strategiczn</w:t>
      </w:r>
      <w:r w:rsidR="00036B05">
        <w:t>ej</w:t>
      </w:r>
      <w:r>
        <w:t xml:space="preserve"> Polski wobec SI.</w:t>
      </w:r>
      <w:r>
        <w:rPr>
          <w:b/>
        </w:rPr>
        <w:t xml:space="preserve"> Wynosi ona ok. 0,5% PKB</w:t>
      </w:r>
      <w:r>
        <w:rPr>
          <w:b/>
          <w:bCs/>
        </w:rPr>
        <w:t>.</w:t>
      </w:r>
      <w:r>
        <w:t xml:space="preserve"> Takie środki efektywnie przekształcone</w:t>
      </w:r>
      <w:r w:rsidR="006343E1">
        <w:t xml:space="preserve"> w </w:t>
      </w:r>
      <w:r>
        <w:t>innowacje SI wpłyną dynamicznie na rozwój gospodarczy kraju.</w:t>
      </w:r>
      <w:r>
        <w:rPr>
          <w:b/>
          <w:sz w:val="28"/>
          <w:szCs w:val="28"/>
        </w:rPr>
        <w:t xml:space="preserve"> </w:t>
      </w:r>
    </w:p>
    <w:p w14:paraId="72ECF096" w14:textId="77777777" w:rsidR="00B620BC" w:rsidRDefault="00B620BC" w:rsidP="00A9445F">
      <w:pPr>
        <w:pStyle w:val="Nagwek2"/>
        <w:numPr>
          <w:ilvl w:val="1"/>
          <w:numId w:val="11"/>
        </w:numPr>
        <w:suppressAutoHyphens/>
      </w:pPr>
      <w:bookmarkStart w:id="132" w:name="_Toc31808523"/>
      <w:bookmarkStart w:id="133" w:name="_Toc106968807"/>
      <w:r>
        <w:rPr>
          <w:lang w:val="fr-FR"/>
        </w:rPr>
        <w:t>Literatura</w:t>
      </w:r>
      <w:bookmarkEnd w:id="132"/>
      <w:bookmarkEnd w:id="133"/>
    </w:p>
    <w:p w14:paraId="53DBB65F" w14:textId="77777777" w:rsidR="00AF2A9A" w:rsidRDefault="00B620BC" w:rsidP="00B620BC">
      <w:pPr>
        <w:spacing w:after="0" w:line="240" w:lineRule="auto"/>
        <w:rPr>
          <w:lang w:val="fr-FR"/>
        </w:rPr>
      </w:pPr>
      <w:r>
        <w:rPr>
          <w:rFonts w:cs="Calibri"/>
          <w:sz w:val="21"/>
          <w:szCs w:val="21"/>
          <w:lang w:val="fr-FR"/>
        </w:rPr>
        <w:t xml:space="preserve">EU (2018). </w:t>
      </w:r>
      <w:r>
        <w:rPr>
          <w:rFonts w:cs="Calibri"/>
          <w:i/>
          <w:sz w:val="21"/>
          <w:szCs w:val="21"/>
          <w:lang w:val="fr-FR"/>
        </w:rPr>
        <w:t xml:space="preserve">Digital Scoreboard </w:t>
      </w:r>
      <w:r w:rsidR="00036B05">
        <w:rPr>
          <w:rFonts w:ascii="Times New Roman" w:hAnsi="Times New Roman" w:cs="Times New Roman"/>
          <w:i/>
          <w:sz w:val="21"/>
          <w:szCs w:val="21"/>
          <w:lang w:val="fr-FR"/>
        </w:rPr>
        <w:t>–</w:t>
      </w:r>
      <w:r>
        <w:rPr>
          <w:rFonts w:cs="Calibri"/>
          <w:i/>
          <w:sz w:val="21"/>
          <w:szCs w:val="21"/>
          <w:lang w:val="fr-FR"/>
        </w:rPr>
        <w:t xml:space="preserve"> Data &amp; Indicators.</w:t>
      </w:r>
      <w:r w:rsidR="00036B05">
        <w:rPr>
          <w:lang w:val="fr-FR"/>
        </w:rPr>
        <w:t xml:space="preserve"> </w:t>
      </w:r>
    </w:p>
    <w:p w14:paraId="71C73E35" w14:textId="2F124121" w:rsidR="00B620BC" w:rsidRPr="00CB7686" w:rsidRDefault="00B620BC" w:rsidP="00B620BC">
      <w:pPr>
        <w:spacing w:after="0" w:line="240" w:lineRule="auto"/>
        <w:rPr>
          <w:lang w:val="fr-FR"/>
        </w:rPr>
      </w:pPr>
      <w:r w:rsidRPr="00AF2A9A">
        <w:rPr>
          <w:sz w:val="21"/>
          <w:lang w:val="fr-FR"/>
        </w:rPr>
        <w:t>http://digital-agenda-data.eu/</w:t>
      </w:r>
    </w:p>
    <w:p w14:paraId="03AA6FE4" w14:textId="0164B60A" w:rsidR="00B620BC" w:rsidRPr="00CB07D4" w:rsidRDefault="00B620BC" w:rsidP="00996F18">
      <w:pPr>
        <w:spacing w:after="0" w:line="240" w:lineRule="auto"/>
        <w:rPr>
          <w:sz w:val="21"/>
          <w:lang w:val="fr-FR"/>
        </w:rPr>
      </w:pPr>
      <w:r w:rsidRPr="00CB07D4">
        <w:rPr>
          <w:lang w:val="en-GB"/>
        </w:rPr>
        <w:t xml:space="preserve">EU (2020). </w:t>
      </w:r>
      <w:r w:rsidR="00996F18" w:rsidRPr="00996F18">
        <w:rPr>
          <w:rFonts w:cs="Calibri"/>
          <w:i/>
          <w:sz w:val="21"/>
          <w:szCs w:val="21"/>
          <w:lang w:val="fr-FR"/>
        </w:rPr>
        <w:t>The Digital Economy and Society Index (DESI)</w:t>
      </w:r>
      <w:r w:rsidRPr="00996F18">
        <w:rPr>
          <w:rFonts w:cs="Calibri"/>
          <w:i/>
          <w:sz w:val="21"/>
          <w:szCs w:val="21"/>
          <w:lang w:val="fr-FR"/>
        </w:rPr>
        <w:t>.</w:t>
      </w:r>
    </w:p>
    <w:p w14:paraId="1BA7AE6B" w14:textId="476048F5" w:rsidR="00AF2A9A" w:rsidRPr="00AF2A9A" w:rsidRDefault="00AF2A9A" w:rsidP="008835FF">
      <w:pPr>
        <w:spacing w:after="0" w:line="240" w:lineRule="auto"/>
        <w:rPr>
          <w:sz w:val="21"/>
          <w:lang w:val="fr-FR"/>
        </w:rPr>
      </w:pPr>
      <w:r w:rsidRPr="00AF2A9A">
        <w:rPr>
          <w:sz w:val="21"/>
          <w:lang w:val="fr-FR"/>
        </w:rPr>
        <w:t>https://digital-strategy.ec.europa.eu/en/policies/desi</w:t>
      </w:r>
    </w:p>
    <w:p w14:paraId="6695459C" w14:textId="304D52C3" w:rsidR="000615CA" w:rsidRPr="00CB07D4" w:rsidRDefault="000615CA" w:rsidP="000615CA">
      <w:pPr>
        <w:spacing w:after="0" w:line="240" w:lineRule="auto"/>
        <w:rPr>
          <w:sz w:val="21"/>
          <w:lang w:val="fr-FR"/>
        </w:rPr>
      </w:pPr>
      <w:r w:rsidRPr="00CB07D4">
        <w:rPr>
          <w:sz w:val="21"/>
          <w:lang w:val="fr-FR"/>
        </w:rPr>
        <w:t>GUS (</w:t>
      </w:r>
      <w:r w:rsidRPr="000615CA">
        <w:rPr>
          <w:rFonts w:cs="Calibri"/>
          <w:sz w:val="21"/>
          <w:szCs w:val="21"/>
          <w:lang w:val="fr-FR"/>
        </w:rPr>
        <w:t> 2021</w:t>
      </w:r>
      <w:r w:rsidRPr="00CB07D4">
        <w:rPr>
          <w:sz w:val="21"/>
          <w:lang w:val="fr-FR"/>
        </w:rPr>
        <w:t xml:space="preserve">). </w:t>
      </w:r>
      <w:r w:rsidRPr="00CB07D4">
        <w:rPr>
          <w:i/>
          <w:sz w:val="21"/>
          <w:lang w:val="fr-FR"/>
        </w:rPr>
        <w:t>Działalność innowacyjna przedsiębiorstw w</w:t>
      </w:r>
      <w:r w:rsidRPr="000615CA">
        <w:rPr>
          <w:rFonts w:cs="Calibri"/>
          <w:i/>
          <w:sz w:val="21"/>
          <w:szCs w:val="21"/>
          <w:lang w:val="fr-FR"/>
        </w:rPr>
        <w:t xml:space="preserve"> </w:t>
      </w:r>
      <w:r w:rsidRPr="00CB07D4">
        <w:rPr>
          <w:i/>
          <w:sz w:val="21"/>
          <w:lang w:val="fr-FR"/>
        </w:rPr>
        <w:t>latach 2018</w:t>
      </w:r>
      <w:r w:rsidRPr="000615CA">
        <w:rPr>
          <w:rFonts w:cs="Calibri"/>
          <w:i/>
          <w:sz w:val="21"/>
          <w:szCs w:val="21"/>
          <w:lang w:val="fr-FR"/>
        </w:rPr>
        <w:t>-2020</w:t>
      </w:r>
    </w:p>
    <w:p w14:paraId="7D30D93A" w14:textId="6857F103" w:rsidR="008835FF" w:rsidRPr="00CB07D4" w:rsidRDefault="008835FF" w:rsidP="008835FF">
      <w:pPr>
        <w:spacing w:after="0" w:line="240" w:lineRule="auto"/>
        <w:rPr>
          <w:sz w:val="21"/>
          <w:lang w:val="fr-FR"/>
        </w:rPr>
      </w:pPr>
      <w:r w:rsidRPr="00CB07D4">
        <w:rPr>
          <w:sz w:val="21"/>
          <w:lang w:val="fr-FR"/>
        </w:rPr>
        <w:t>https://stat.gov.pl/obszary-tematyczne/nauka-i-technika-spoleczenstwo-informacyjne/nauka-i-technika/dzialalnosc-innowacyjna-przedsiebiorstw-w-latach-2018</w:t>
      </w:r>
      <w:r w:rsidRPr="00EE38E4">
        <w:rPr>
          <w:sz w:val="21"/>
          <w:szCs w:val="21"/>
          <w:lang w:val="fr-FR"/>
        </w:rPr>
        <w:t>-2020</w:t>
      </w:r>
      <w:r w:rsidRPr="00CB07D4">
        <w:rPr>
          <w:sz w:val="21"/>
          <w:lang w:val="fr-FR"/>
        </w:rPr>
        <w:t>,2,</w:t>
      </w:r>
      <w:r w:rsidRPr="00EE38E4">
        <w:rPr>
          <w:sz w:val="21"/>
          <w:szCs w:val="21"/>
          <w:lang w:val="fr-FR"/>
        </w:rPr>
        <w:t>20</w:t>
      </w:r>
      <w:r w:rsidRPr="00CB07D4">
        <w:rPr>
          <w:sz w:val="21"/>
          <w:lang w:val="fr-FR"/>
        </w:rPr>
        <w:t>.html</w:t>
      </w:r>
    </w:p>
    <w:p w14:paraId="3ED3906E" w14:textId="5104682A" w:rsidR="00B620BC" w:rsidRDefault="00B620BC" w:rsidP="00B620BC">
      <w:pPr>
        <w:spacing w:after="0" w:line="240" w:lineRule="auto"/>
      </w:pPr>
      <w:r>
        <w:rPr>
          <w:rFonts w:cs="Calibri"/>
          <w:sz w:val="21"/>
          <w:szCs w:val="21"/>
        </w:rPr>
        <w:t xml:space="preserve">GUS (2020b). </w:t>
      </w:r>
      <w:r>
        <w:rPr>
          <w:rFonts w:cs="Calibri"/>
          <w:i/>
          <w:iCs/>
          <w:sz w:val="21"/>
          <w:szCs w:val="21"/>
        </w:rPr>
        <w:t>Społeczeństwo informacyjne</w:t>
      </w:r>
      <w:r w:rsidR="006343E1">
        <w:rPr>
          <w:rFonts w:cs="Calibri"/>
          <w:i/>
          <w:iCs/>
          <w:sz w:val="21"/>
          <w:szCs w:val="21"/>
        </w:rPr>
        <w:t xml:space="preserve"> w </w:t>
      </w:r>
      <w:r>
        <w:rPr>
          <w:rFonts w:cs="Calibri"/>
          <w:i/>
          <w:iCs/>
          <w:sz w:val="21"/>
          <w:szCs w:val="21"/>
        </w:rPr>
        <w:t>Polsce</w:t>
      </w:r>
      <w:r w:rsidR="006343E1">
        <w:rPr>
          <w:rFonts w:cs="Calibri"/>
          <w:i/>
          <w:iCs/>
          <w:sz w:val="21"/>
          <w:szCs w:val="21"/>
        </w:rPr>
        <w:t xml:space="preserve"> w </w:t>
      </w:r>
      <w:r>
        <w:rPr>
          <w:rFonts w:cs="Calibri"/>
          <w:i/>
          <w:iCs/>
          <w:sz w:val="21"/>
          <w:szCs w:val="21"/>
        </w:rPr>
        <w:t>2020 r.</w:t>
      </w:r>
    </w:p>
    <w:p w14:paraId="5558A161" w14:textId="46A3F981" w:rsidR="00B620BC" w:rsidRDefault="00B620BC" w:rsidP="00B620BC">
      <w:pPr>
        <w:spacing w:after="0" w:line="240" w:lineRule="auto"/>
        <w:rPr>
          <w:rFonts w:cs="Calibri"/>
          <w:sz w:val="21"/>
          <w:szCs w:val="21"/>
        </w:rPr>
      </w:pPr>
      <w:r w:rsidRPr="00AF2A9A">
        <w:rPr>
          <w:rFonts w:cs="Calibri"/>
          <w:sz w:val="21"/>
          <w:szCs w:val="21"/>
        </w:rPr>
        <w:t>https://stat.gov.pl/obszary-tematyczne/nauka-i-technika-spoleczenstwo-informacyjne/spoleczenstwo-informacyjne/spoleczenstwo-informacyjne-w-polsce-w-2020-roku,1,14.html</w:t>
      </w:r>
    </w:p>
    <w:p w14:paraId="4433E2C6" w14:textId="10C5DD9B" w:rsidR="00B620BC" w:rsidRDefault="00B620BC" w:rsidP="00B620BC">
      <w:pPr>
        <w:spacing w:after="0" w:line="240" w:lineRule="auto"/>
      </w:pPr>
      <w:r>
        <w:rPr>
          <w:rFonts w:cs="Calibri"/>
          <w:sz w:val="21"/>
          <w:szCs w:val="21"/>
        </w:rPr>
        <w:t xml:space="preserve">GUS (2020c). </w:t>
      </w:r>
      <w:r>
        <w:rPr>
          <w:rFonts w:cs="Calibri"/>
          <w:i/>
          <w:iCs/>
          <w:sz w:val="21"/>
          <w:szCs w:val="21"/>
        </w:rPr>
        <w:t>Wykorzystanie technologii informacyjno-komunikacyjnych</w:t>
      </w:r>
      <w:r w:rsidR="006343E1">
        <w:rPr>
          <w:rFonts w:cs="Calibri"/>
          <w:i/>
          <w:iCs/>
          <w:sz w:val="21"/>
          <w:szCs w:val="21"/>
        </w:rPr>
        <w:t xml:space="preserve"> w </w:t>
      </w:r>
      <w:r>
        <w:rPr>
          <w:rFonts w:cs="Calibri"/>
          <w:i/>
          <w:iCs/>
          <w:sz w:val="21"/>
          <w:szCs w:val="21"/>
        </w:rPr>
        <w:t>jednostkach administracji publicznej, przedsiębiorstwach</w:t>
      </w:r>
      <w:r w:rsidR="006343E1">
        <w:rPr>
          <w:rFonts w:cs="Calibri"/>
          <w:i/>
          <w:iCs/>
          <w:sz w:val="21"/>
          <w:szCs w:val="21"/>
        </w:rPr>
        <w:t xml:space="preserve"> i </w:t>
      </w:r>
      <w:r>
        <w:rPr>
          <w:rFonts w:cs="Calibri"/>
          <w:i/>
          <w:iCs/>
          <w:sz w:val="21"/>
          <w:szCs w:val="21"/>
        </w:rPr>
        <w:t>gospodarstwach domowych</w:t>
      </w:r>
      <w:r w:rsidR="006343E1">
        <w:rPr>
          <w:rFonts w:cs="Calibri"/>
          <w:i/>
          <w:iCs/>
          <w:sz w:val="21"/>
          <w:szCs w:val="21"/>
        </w:rPr>
        <w:t xml:space="preserve"> w </w:t>
      </w:r>
      <w:r>
        <w:rPr>
          <w:rFonts w:cs="Calibri"/>
          <w:i/>
          <w:iCs/>
          <w:sz w:val="21"/>
          <w:szCs w:val="21"/>
        </w:rPr>
        <w:t>2020 roku</w:t>
      </w:r>
    </w:p>
    <w:p w14:paraId="158FAC49" w14:textId="77777777" w:rsidR="00B620BC" w:rsidRDefault="00B620BC" w:rsidP="00B620BC">
      <w:pPr>
        <w:spacing w:after="0" w:line="240" w:lineRule="auto"/>
      </w:pPr>
      <w:r>
        <w:rPr>
          <w:rFonts w:cs="Calibri"/>
          <w:sz w:val="21"/>
          <w:szCs w:val="21"/>
        </w:rPr>
        <w:t>https://stat.gov.pl/obszary-tematyczne/nauka-i-technika-spoleczenstwo-informacyjne/spoleczenstwo-informacyjne/wykorzystanie-technologii-informacyjno-komunikacyjnych-w-jednostkach-administracji-publicznej-przedsiebiorstwach-i-gospodarstwach-domowych-w-2020-roku,3,19.html</w:t>
      </w:r>
    </w:p>
    <w:p w14:paraId="43D124A4" w14:textId="11D32ACD" w:rsidR="00B620BC" w:rsidRDefault="00B620BC" w:rsidP="00B620BC">
      <w:pPr>
        <w:spacing w:after="0" w:line="240" w:lineRule="auto"/>
      </w:pPr>
      <w:r>
        <w:rPr>
          <w:rFonts w:cs="Calibri"/>
          <w:sz w:val="21"/>
          <w:szCs w:val="21"/>
        </w:rPr>
        <w:t xml:space="preserve">GUS (2019). </w:t>
      </w:r>
      <w:r>
        <w:rPr>
          <w:rFonts w:cs="Calibri"/>
          <w:i/>
          <w:iCs/>
          <w:sz w:val="21"/>
          <w:szCs w:val="21"/>
        </w:rPr>
        <w:t>Społeczeństwo informacyjne</w:t>
      </w:r>
      <w:r w:rsidR="006343E1">
        <w:rPr>
          <w:rFonts w:cs="Calibri"/>
          <w:i/>
          <w:iCs/>
          <w:sz w:val="21"/>
          <w:szCs w:val="21"/>
        </w:rPr>
        <w:t xml:space="preserve"> w </w:t>
      </w:r>
      <w:r>
        <w:rPr>
          <w:rFonts w:cs="Calibri"/>
          <w:i/>
          <w:iCs/>
          <w:sz w:val="21"/>
          <w:szCs w:val="21"/>
        </w:rPr>
        <w:t>Polsce. Wyniki badań statystycznych</w:t>
      </w:r>
      <w:r w:rsidR="006343E1">
        <w:rPr>
          <w:rFonts w:cs="Calibri"/>
          <w:i/>
          <w:iCs/>
          <w:sz w:val="21"/>
          <w:szCs w:val="21"/>
        </w:rPr>
        <w:t xml:space="preserve"> z </w:t>
      </w:r>
      <w:r>
        <w:rPr>
          <w:rFonts w:cs="Calibri"/>
          <w:i/>
          <w:iCs/>
          <w:sz w:val="21"/>
          <w:szCs w:val="21"/>
        </w:rPr>
        <w:t>lat 2015-2019</w:t>
      </w:r>
    </w:p>
    <w:p w14:paraId="4977834A" w14:textId="77777777" w:rsidR="00B620BC" w:rsidRDefault="00B620BC" w:rsidP="00B620BC">
      <w:pPr>
        <w:spacing w:after="0" w:line="240" w:lineRule="auto"/>
      </w:pPr>
      <w:r>
        <w:rPr>
          <w:rFonts w:cs="Calibri"/>
          <w:sz w:val="21"/>
          <w:szCs w:val="21"/>
        </w:rPr>
        <w:t>https://stat.gov.pl/obszary-tematyczne/nauka-i-technika-spoleczenstwo-informacyjne/spoleczenstwo-informacyjne/spoleczenstwo-informacyjne-w-polsce-wyniki-badan-statystycznych-z-lat-2015-2019,1,13.html</w:t>
      </w:r>
    </w:p>
    <w:p w14:paraId="08F49450" w14:textId="6D1DA362" w:rsidR="00B620BC" w:rsidRDefault="00B620BC" w:rsidP="00B620BC">
      <w:pPr>
        <w:spacing w:after="0" w:line="240" w:lineRule="auto"/>
      </w:pPr>
      <w:r>
        <w:rPr>
          <w:rFonts w:cs="Calibri"/>
          <w:sz w:val="21"/>
          <w:szCs w:val="21"/>
        </w:rPr>
        <w:t xml:space="preserve">GUS (2018a). </w:t>
      </w:r>
      <w:r>
        <w:rPr>
          <w:rFonts w:cs="Calibri"/>
          <w:i/>
          <w:sz w:val="21"/>
          <w:szCs w:val="21"/>
        </w:rPr>
        <w:t>Społeczeństwo informacyjne</w:t>
      </w:r>
      <w:r w:rsidR="006343E1">
        <w:rPr>
          <w:rFonts w:cs="Calibri"/>
          <w:i/>
          <w:sz w:val="21"/>
          <w:szCs w:val="21"/>
        </w:rPr>
        <w:t xml:space="preserve"> w </w:t>
      </w:r>
      <w:r>
        <w:rPr>
          <w:rFonts w:cs="Calibri"/>
          <w:i/>
          <w:sz w:val="21"/>
          <w:szCs w:val="21"/>
        </w:rPr>
        <w:t>Polsce. Wyniki badań statystycznych</w:t>
      </w:r>
      <w:r w:rsidR="006343E1">
        <w:rPr>
          <w:rFonts w:cs="Calibri"/>
          <w:i/>
          <w:sz w:val="21"/>
          <w:szCs w:val="21"/>
        </w:rPr>
        <w:t xml:space="preserve"> z </w:t>
      </w:r>
      <w:r>
        <w:rPr>
          <w:rFonts w:cs="Calibri"/>
          <w:i/>
          <w:sz w:val="21"/>
          <w:szCs w:val="21"/>
        </w:rPr>
        <w:t>lat 2014-2018</w:t>
      </w:r>
      <w:r>
        <w:rPr>
          <w:rFonts w:cs="Calibri"/>
          <w:sz w:val="21"/>
          <w:szCs w:val="21"/>
        </w:rPr>
        <w:t xml:space="preserve"> </w:t>
      </w:r>
    </w:p>
    <w:p w14:paraId="29EA8027" w14:textId="77777777" w:rsidR="00B620BC" w:rsidRPr="00AF2A9A" w:rsidRDefault="00B620BC" w:rsidP="00B620BC">
      <w:pPr>
        <w:spacing w:after="0" w:line="240" w:lineRule="auto"/>
        <w:rPr>
          <w:rFonts w:cs="Calibri"/>
          <w:sz w:val="21"/>
          <w:szCs w:val="21"/>
        </w:rPr>
      </w:pPr>
      <w:r w:rsidRPr="00AF2A9A">
        <w:rPr>
          <w:rFonts w:cs="Calibri"/>
          <w:sz w:val="21"/>
          <w:szCs w:val="21"/>
        </w:rPr>
        <w:t>https://stat.gov.pl/obszary-tematyczne/nauka-i-technika-spoleczenstwo-informacyjne/spoleczenstwo-informacyjne/spoleczenstwo-informacyjne-w-polsce-wyniki-badan-statystycznych-z-lat-2014-2018,1,12.html</w:t>
      </w:r>
    </w:p>
    <w:p w14:paraId="24432FC3" w14:textId="467133B5" w:rsidR="00B620BC" w:rsidRPr="00CB07D4" w:rsidRDefault="00B620BC" w:rsidP="00B620BC">
      <w:pPr>
        <w:spacing w:after="0" w:line="240" w:lineRule="auto"/>
        <w:rPr>
          <w:color w:val="17365D" w:themeColor="text2" w:themeShade="BF"/>
        </w:rPr>
      </w:pPr>
      <w:r w:rsidRPr="00CB07D4">
        <w:rPr>
          <w:rStyle w:val="Hipercze"/>
          <w:color w:val="17365D" w:themeColor="text2" w:themeShade="BF"/>
          <w:sz w:val="21"/>
          <w:u w:val="none"/>
        </w:rPr>
        <w:t xml:space="preserve">GUS (2018b). </w:t>
      </w:r>
      <w:r w:rsidRPr="00CB07D4">
        <w:rPr>
          <w:rStyle w:val="Hipercze"/>
          <w:i/>
          <w:color w:val="17365D" w:themeColor="text2" w:themeShade="BF"/>
          <w:sz w:val="21"/>
          <w:u w:val="none"/>
        </w:rPr>
        <w:t>Wykorzystanie technologii informacyjno-komunikacyjnych</w:t>
      </w:r>
      <w:r w:rsidR="006343E1" w:rsidRPr="00CB07D4">
        <w:rPr>
          <w:rStyle w:val="Hipercze"/>
          <w:i/>
          <w:color w:val="17365D" w:themeColor="text2" w:themeShade="BF"/>
          <w:sz w:val="21"/>
          <w:u w:val="none"/>
        </w:rPr>
        <w:t xml:space="preserve"> w </w:t>
      </w:r>
      <w:r w:rsidRPr="00CB07D4">
        <w:rPr>
          <w:rStyle w:val="Hipercze"/>
          <w:i/>
          <w:color w:val="17365D" w:themeColor="text2" w:themeShade="BF"/>
          <w:sz w:val="21"/>
          <w:u w:val="none"/>
        </w:rPr>
        <w:t>przedsiębiorstwach</w:t>
      </w:r>
      <w:r w:rsidR="006343E1" w:rsidRPr="00CB07D4">
        <w:rPr>
          <w:rStyle w:val="Hipercze"/>
          <w:i/>
          <w:color w:val="17365D" w:themeColor="text2" w:themeShade="BF"/>
          <w:sz w:val="21"/>
          <w:u w:val="none"/>
        </w:rPr>
        <w:t xml:space="preserve"> i </w:t>
      </w:r>
      <w:r w:rsidRPr="00CB07D4">
        <w:rPr>
          <w:rStyle w:val="Hipercze"/>
          <w:i/>
          <w:color w:val="17365D" w:themeColor="text2" w:themeShade="BF"/>
          <w:sz w:val="21"/>
          <w:u w:val="none"/>
        </w:rPr>
        <w:t>gospodarstwach domowych</w:t>
      </w:r>
      <w:r w:rsidR="006343E1" w:rsidRPr="00CB07D4">
        <w:rPr>
          <w:rStyle w:val="Hipercze"/>
          <w:i/>
          <w:color w:val="17365D" w:themeColor="text2" w:themeShade="BF"/>
          <w:sz w:val="21"/>
          <w:u w:val="none"/>
        </w:rPr>
        <w:t xml:space="preserve"> w </w:t>
      </w:r>
      <w:r w:rsidR="00AF2A9A">
        <w:rPr>
          <w:rStyle w:val="Hipercze"/>
          <w:i/>
          <w:color w:val="17365D" w:themeColor="text2" w:themeShade="BF"/>
          <w:sz w:val="21"/>
          <w:u w:val="none"/>
        </w:rPr>
        <w:t>2018</w:t>
      </w:r>
      <w:r w:rsidRPr="00CB07D4">
        <w:rPr>
          <w:rStyle w:val="Hipercze"/>
          <w:i/>
          <w:color w:val="17365D" w:themeColor="text2" w:themeShade="BF"/>
          <w:sz w:val="21"/>
          <w:u w:val="none"/>
        </w:rPr>
        <w:t xml:space="preserve"> roku</w:t>
      </w:r>
    </w:p>
    <w:p w14:paraId="408C0C47" w14:textId="7B7FF355" w:rsidR="00B620BC" w:rsidRDefault="00B620BC" w:rsidP="00B620BC">
      <w:pPr>
        <w:spacing w:after="0" w:line="240" w:lineRule="auto"/>
        <w:rPr>
          <w:rFonts w:cs="Calibri"/>
          <w:sz w:val="21"/>
          <w:szCs w:val="21"/>
        </w:rPr>
      </w:pPr>
      <w:r w:rsidRPr="00AF2A9A">
        <w:rPr>
          <w:rFonts w:cs="Calibri"/>
          <w:sz w:val="21"/>
          <w:szCs w:val="21"/>
        </w:rPr>
        <w:t>https://stat.gov.pl/obszary-tematyczne/nauka-i-technika-spoleczenstwo-informacyjne/spoleczenstwo-informacyjne/wykorzystanie-technologii-informacyjno-komunikacyjnych-w-jednostkach-administracji-publicznej-przedsiebiorstwach-i-gospodarstwach-domowych-w-2018-roku,3,17.html</w:t>
      </w:r>
    </w:p>
    <w:p w14:paraId="57BFE1B9" w14:textId="19EB2CA1" w:rsidR="00B620BC" w:rsidRDefault="00B620BC" w:rsidP="00B620BC">
      <w:pPr>
        <w:spacing w:after="0" w:line="240" w:lineRule="auto"/>
      </w:pPr>
      <w:r>
        <w:rPr>
          <w:rFonts w:cs="Calibri"/>
          <w:sz w:val="21"/>
          <w:szCs w:val="21"/>
        </w:rPr>
        <w:t xml:space="preserve">Instytut Sobieskiego (2019). </w:t>
      </w:r>
      <w:r>
        <w:rPr>
          <w:rFonts w:cs="Calibri"/>
          <w:i/>
          <w:sz w:val="21"/>
          <w:szCs w:val="21"/>
        </w:rPr>
        <w:t>Polska (prawdziwie) cyfrowa. 12 rekomendacji na lata 2019</w:t>
      </w:r>
      <w:r w:rsidR="00910F51">
        <w:rPr>
          <w:rFonts w:ascii="Times New Roman" w:hAnsi="Times New Roman" w:cs="Times New Roman"/>
          <w:i/>
          <w:sz w:val="21"/>
          <w:szCs w:val="21"/>
        </w:rPr>
        <w:t>–</w:t>
      </w:r>
      <w:r>
        <w:rPr>
          <w:rFonts w:cs="Calibri"/>
          <w:i/>
          <w:sz w:val="21"/>
          <w:szCs w:val="21"/>
        </w:rPr>
        <w:t>2023</w:t>
      </w:r>
    </w:p>
    <w:p w14:paraId="77435F8E" w14:textId="1D6B6FBC" w:rsidR="00B620BC" w:rsidRPr="00B620BC" w:rsidRDefault="00B620BC" w:rsidP="00B620BC">
      <w:pPr>
        <w:spacing w:after="0" w:line="240" w:lineRule="auto"/>
        <w:rPr>
          <w:rFonts w:cs="Calibri"/>
          <w:sz w:val="21"/>
          <w:szCs w:val="21"/>
        </w:rPr>
      </w:pPr>
      <w:r w:rsidRPr="00AF2A9A">
        <w:rPr>
          <w:rFonts w:cs="Calibri"/>
          <w:sz w:val="21"/>
          <w:szCs w:val="21"/>
        </w:rPr>
        <w:t>http://sobieski.org.pl/wp-content/uploads/Raport-Polska-prawdziwie-cyfrowa-Instytut-Sobieskiego-07-2019.pdf</w:t>
      </w:r>
    </w:p>
    <w:p w14:paraId="6EB5B342" w14:textId="6E1BE1F2" w:rsidR="00B620BC" w:rsidRPr="00B620BC" w:rsidRDefault="00B620BC" w:rsidP="00B620BC">
      <w:pPr>
        <w:spacing w:after="0" w:line="240" w:lineRule="auto"/>
        <w:rPr>
          <w:lang w:val="en-US"/>
        </w:rPr>
      </w:pPr>
      <w:r>
        <w:rPr>
          <w:rFonts w:cs="Calibri"/>
          <w:sz w:val="21"/>
          <w:szCs w:val="21"/>
          <w:lang w:val="en-GB"/>
        </w:rPr>
        <w:t xml:space="preserve">International Federation of Robots (2017). </w:t>
      </w:r>
      <w:r>
        <w:rPr>
          <w:rFonts w:cs="Calibri"/>
          <w:i/>
          <w:sz w:val="21"/>
          <w:szCs w:val="21"/>
          <w:lang w:val="en-GB"/>
        </w:rPr>
        <w:t>World Robotics Report 2016</w:t>
      </w:r>
    </w:p>
    <w:p w14:paraId="4BAAE1BD" w14:textId="01CA1A91" w:rsidR="00B620BC" w:rsidRPr="00B620BC" w:rsidRDefault="00B620BC" w:rsidP="00B620BC">
      <w:pPr>
        <w:spacing w:after="0" w:line="240" w:lineRule="auto"/>
        <w:rPr>
          <w:rFonts w:cs="Calibri"/>
          <w:sz w:val="21"/>
          <w:szCs w:val="21"/>
          <w:lang w:val="en-US"/>
        </w:rPr>
      </w:pPr>
      <w:r w:rsidRPr="00AF2A9A">
        <w:rPr>
          <w:rFonts w:cs="Calibri"/>
          <w:sz w:val="21"/>
          <w:szCs w:val="21"/>
          <w:lang w:val="en-GB"/>
        </w:rPr>
        <w:t>https://ifr.org/ifr-press-releases/news/world-robotics-report-2016</w:t>
      </w:r>
    </w:p>
    <w:p w14:paraId="75A2E5C0" w14:textId="3EB7E95D" w:rsidR="00B620BC" w:rsidRDefault="00B620BC" w:rsidP="00B620BC">
      <w:pPr>
        <w:spacing w:after="0" w:line="240" w:lineRule="auto"/>
      </w:pPr>
      <w:r>
        <w:rPr>
          <w:rFonts w:cs="Calibri"/>
          <w:sz w:val="21"/>
          <w:szCs w:val="21"/>
        </w:rPr>
        <w:t xml:space="preserve">Investin (2017). </w:t>
      </w:r>
      <w:r>
        <w:rPr>
          <w:rFonts w:cs="Calibri"/>
          <w:i/>
          <w:sz w:val="21"/>
          <w:szCs w:val="21"/>
        </w:rPr>
        <w:t>Perspektywy rozwoju polskiej branży ICT do roku 2025</w:t>
      </w:r>
    </w:p>
    <w:p w14:paraId="0554EBA4" w14:textId="5D5AFF71" w:rsidR="00B620BC" w:rsidRDefault="00B620BC" w:rsidP="00B620BC">
      <w:pPr>
        <w:spacing w:after="0" w:line="240" w:lineRule="auto"/>
        <w:rPr>
          <w:rFonts w:cs="Calibri"/>
          <w:sz w:val="21"/>
          <w:szCs w:val="21"/>
        </w:rPr>
      </w:pPr>
      <w:r w:rsidRPr="00AF2A9A">
        <w:rPr>
          <w:rFonts w:cs="Calibri"/>
          <w:sz w:val="21"/>
          <w:szCs w:val="21"/>
        </w:rPr>
        <w:t>https://www.parp.gov.pl/images/PARP_publications/pdf/2017_ict_sector_by_2025_pl.pdf</w:t>
      </w:r>
    </w:p>
    <w:p w14:paraId="25E0B3D8" w14:textId="30807691" w:rsidR="00B620BC" w:rsidRDefault="00B620BC" w:rsidP="00B620BC">
      <w:pPr>
        <w:spacing w:after="0" w:line="240" w:lineRule="auto"/>
      </w:pPr>
      <w:r>
        <w:rPr>
          <w:rFonts w:cs="Calibri"/>
          <w:sz w:val="21"/>
          <w:szCs w:val="21"/>
        </w:rPr>
        <w:t xml:space="preserve">Ministerstwo Cyfryzacji (2017). </w:t>
      </w:r>
      <w:r>
        <w:rPr>
          <w:rFonts w:cs="Calibri"/>
          <w:i/>
          <w:sz w:val="21"/>
          <w:szCs w:val="21"/>
        </w:rPr>
        <w:t>Przemysł +. Gospodarka oparta na danych</w:t>
      </w:r>
    </w:p>
    <w:p w14:paraId="386020F6" w14:textId="498DC227" w:rsidR="00B620BC" w:rsidRDefault="00B620BC" w:rsidP="00B620BC">
      <w:pPr>
        <w:spacing w:after="0" w:line="240" w:lineRule="auto"/>
        <w:rPr>
          <w:rStyle w:val="Hipercze"/>
          <w:rFonts w:cs="Calibri"/>
          <w:sz w:val="21"/>
          <w:szCs w:val="21"/>
        </w:rPr>
      </w:pPr>
      <w:r w:rsidRPr="00AF2A9A">
        <w:rPr>
          <w:rFonts w:cs="Calibri"/>
          <w:sz w:val="21"/>
          <w:szCs w:val="21"/>
        </w:rPr>
        <w:t>https://www.gov.pl/cyfryzacja/prezentacja-raportu-gospodarka-oparta-o-dane-przemysl</w:t>
      </w:r>
    </w:p>
    <w:p w14:paraId="5ADD5FBF" w14:textId="16F9BC23" w:rsidR="00B620BC" w:rsidRPr="00B620BC" w:rsidRDefault="00B620BC" w:rsidP="00CB07D4">
      <w:pPr>
        <w:spacing w:after="0" w:line="240" w:lineRule="auto"/>
        <w:jc w:val="left"/>
        <w:rPr>
          <w:rFonts w:cs="Calibri"/>
          <w:sz w:val="21"/>
          <w:szCs w:val="21"/>
        </w:rPr>
      </w:pPr>
      <w:r w:rsidRPr="00CB07D4">
        <w:rPr>
          <w:rStyle w:val="Hipercze"/>
          <w:color w:val="17365D" w:themeColor="text2" w:themeShade="BF"/>
          <w:sz w:val="21"/>
          <w:u w:val="none"/>
        </w:rPr>
        <w:lastRenderedPageBreak/>
        <w:t xml:space="preserve">Ministerstwo Cyfryzacji (2018). </w:t>
      </w:r>
      <w:r w:rsidRPr="00CB07D4">
        <w:rPr>
          <w:rStyle w:val="Hipercze"/>
          <w:i/>
          <w:color w:val="17365D" w:themeColor="text2" w:themeShade="BF"/>
          <w:sz w:val="21"/>
          <w:u w:val="none"/>
        </w:rPr>
        <w:t>Założenia do strategii SI</w:t>
      </w:r>
      <w:r w:rsidR="006343E1" w:rsidRPr="00CB07D4">
        <w:rPr>
          <w:rStyle w:val="Hipercze"/>
          <w:i/>
          <w:color w:val="17365D" w:themeColor="text2" w:themeShade="BF"/>
          <w:sz w:val="21"/>
          <w:u w:val="none"/>
        </w:rPr>
        <w:t xml:space="preserve"> w</w:t>
      </w:r>
      <w:r w:rsidR="00780452">
        <w:rPr>
          <w:rStyle w:val="Hipercze"/>
          <w:rFonts w:cs="Calibri"/>
          <w:i/>
          <w:color w:val="17365D" w:themeColor="text2" w:themeShade="BF"/>
          <w:sz w:val="21"/>
          <w:szCs w:val="21"/>
          <w:u w:val="none"/>
        </w:rPr>
        <w:t xml:space="preserve"> </w:t>
      </w:r>
      <w:r w:rsidRPr="00CB07D4">
        <w:rPr>
          <w:rStyle w:val="Hipercze"/>
          <w:i/>
          <w:color w:val="17365D" w:themeColor="text2" w:themeShade="BF"/>
          <w:sz w:val="21"/>
          <w:u w:val="none"/>
        </w:rPr>
        <w:t>Polsce</w:t>
      </w:r>
      <w:r w:rsidRPr="00CB07D4">
        <w:rPr>
          <w:rStyle w:val="Hipercze"/>
          <w:i/>
          <w:color w:val="17365D" w:themeColor="text2" w:themeShade="BF"/>
          <w:sz w:val="21"/>
        </w:rPr>
        <w:t xml:space="preserve"> </w:t>
      </w:r>
      <w:r w:rsidRPr="00AF2A9A">
        <w:rPr>
          <w:rFonts w:cs="Calibri"/>
          <w:sz w:val="21"/>
          <w:szCs w:val="21"/>
        </w:rPr>
        <w:t>https://www.gov.pl/documents/31305/436699/Założenia_do_strategii_SI_w_Polsce_-_raport.pdf</w:t>
      </w:r>
    </w:p>
    <w:p w14:paraId="79AF0F2E" w14:textId="60979336" w:rsidR="00B620BC" w:rsidRPr="00B620BC" w:rsidRDefault="00B620BC" w:rsidP="00B620BC">
      <w:pPr>
        <w:spacing w:after="0" w:line="240" w:lineRule="auto"/>
        <w:rPr>
          <w:lang w:val="en-US"/>
        </w:rPr>
      </w:pPr>
      <w:r>
        <w:rPr>
          <w:rFonts w:cs="Calibri"/>
          <w:sz w:val="21"/>
          <w:szCs w:val="21"/>
          <w:lang w:val="en-GB"/>
        </w:rPr>
        <w:t>OECD (2018)</w:t>
      </w:r>
      <w:r w:rsidR="00780452">
        <w:rPr>
          <w:rFonts w:cs="Calibri"/>
          <w:sz w:val="21"/>
          <w:szCs w:val="21"/>
          <w:lang w:val="en-GB"/>
        </w:rPr>
        <w:t>.</w:t>
      </w:r>
      <w:r>
        <w:rPr>
          <w:rFonts w:cs="Calibri"/>
          <w:sz w:val="21"/>
          <w:szCs w:val="21"/>
          <w:lang w:val="en-GB"/>
        </w:rPr>
        <w:t xml:space="preserve"> </w:t>
      </w:r>
      <w:r w:rsidRPr="00CB07D4">
        <w:rPr>
          <w:i/>
          <w:sz w:val="21"/>
          <w:lang w:val="en-GB"/>
        </w:rPr>
        <w:t>Main Science and Technology Indicators</w:t>
      </w:r>
      <w:r w:rsidR="00780452">
        <w:rPr>
          <w:rFonts w:cs="Calibri"/>
          <w:sz w:val="21"/>
          <w:szCs w:val="21"/>
          <w:lang w:val="en-GB"/>
        </w:rPr>
        <w:t>,</w:t>
      </w:r>
      <w:r>
        <w:rPr>
          <w:rFonts w:cs="Calibri"/>
          <w:sz w:val="21"/>
          <w:szCs w:val="21"/>
          <w:lang w:val="en-GB"/>
        </w:rPr>
        <w:t xml:space="preserve"> Volume 2017</w:t>
      </w:r>
      <w:r w:rsidR="00780452">
        <w:rPr>
          <w:rFonts w:cs="Calibri"/>
          <w:sz w:val="21"/>
          <w:szCs w:val="21"/>
          <w:lang w:val="en-GB"/>
        </w:rPr>
        <w:t>,</w:t>
      </w:r>
      <w:r>
        <w:rPr>
          <w:rFonts w:cs="Calibri"/>
          <w:sz w:val="21"/>
          <w:szCs w:val="21"/>
          <w:lang w:val="en-GB"/>
        </w:rPr>
        <w:t xml:space="preserve"> Issue 2, OECD Publishing, Paris</w:t>
      </w:r>
    </w:p>
    <w:p w14:paraId="4BE64E06" w14:textId="22BC91F9" w:rsidR="00B620BC" w:rsidRDefault="00B620BC" w:rsidP="00B620BC">
      <w:pPr>
        <w:spacing w:after="0" w:line="240" w:lineRule="auto"/>
        <w:rPr>
          <w:rFonts w:cs="Calibri"/>
          <w:sz w:val="21"/>
          <w:szCs w:val="21"/>
          <w:lang w:val="en-GB"/>
        </w:rPr>
      </w:pPr>
      <w:r w:rsidRPr="00AF2A9A">
        <w:rPr>
          <w:rFonts w:cs="Calibri"/>
          <w:sz w:val="21"/>
          <w:szCs w:val="21"/>
          <w:lang w:val="en-GB"/>
        </w:rPr>
        <w:t>http://dx.doi.org/10.1787/msti-v2017-2-en</w:t>
      </w:r>
    </w:p>
    <w:p w14:paraId="5D4C0ED3" w14:textId="31F7663F" w:rsidR="00B620BC" w:rsidRPr="00B620BC" w:rsidRDefault="00B620BC" w:rsidP="00B620BC">
      <w:pPr>
        <w:spacing w:after="0" w:line="240" w:lineRule="auto"/>
        <w:rPr>
          <w:lang w:val="en-US"/>
        </w:rPr>
      </w:pPr>
      <w:r>
        <w:rPr>
          <w:rFonts w:cs="Calibri"/>
          <w:sz w:val="21"/>
          <w:szCs w:val="21"/>
          <w:lang w:val="en-GB"/>
        </w:rPr>
        <w:t xml:space="preserve">PWC (2017). </w:t>
      </w:r>
      <w:r>
        <w:rPr>
          <w:rFonts w:cs="Calibri"/>
          <w:i/>
          <w:sz w:val="21"/>
          <w:szCs w:val="21"/>
          <w:lang w:val="en-GB"/>
        </w:rPr>
        <w:t>Global Top 100 Companies by market capitalisation</w:t>
      </w:r>
    </w:p>
    <w:p w14:paraId="49E19BE7" w14:textId="1721B8E4" w:rsidR="00B620BC" w:rsidRDefault="00B620BC" w:rsidP="00B620BC">
      <w:pPr>
        <w:spacing w:after="0" w:line="240" w:lineRule="auto"/>
        <w:rPr>
          <w:rFonts w:cs="Calibri"/>
          <w:sz w:val="21"/>
          <w:szCs w:val="21"/>
          <w:lang w:val="en-GB"/>
        </w:rPr>
      </w:pPr>
      <w:r w:rsidRPr="00AF2A9A">
        <w:rPr>
          <w:rFonts w:cs="Calibri"/>
          <w:sz w:val="21"/>
          <w:szCs w:val="21"/>
          <w:lang w:val="en-GB"/>
        </w:rPr>
        <w:t>https://www.pwc.com/gx/en/audit-services/assets/pdf/global-top-100-companies-2017-final.pdf</w:t>
      </w:r>
    </w:p>
    <w:p w14:paraId="6F26D24B" w14:textId="4A86706A" w:rsidR="00B620BC" w:rsidRPr="00CB07D4" w:rsidRDefault="00B620BC" w:rsidP="00CB07D4">
      <w:pPr>
        <w:spacing w:after="0" w:line="240" w:lineRule="auto"/>
        <w:jc w:val="left"/>
        <w:rPr>
          <w:sz w:val="21"/>
          <w:lang w:val="en-US"/>
        </w:rPr>
      </w:pPr>
      <w:r>
        <w:rPr>
          <w:rFonts w:cs="Calibri"/>
          <w:sz w:val="21"/>
          <w:szCs w:val="21"/>
          <w:lang w:val="en-GB"/>
        </w:rPr>
        <w:t xml:space="preserve">Roland Berger (2016). </w:t>
      </w:r>
      <w:r>
        <w:rPr>
          <w:rFonts w:cs="Calibri"/>
          <w:i/>
          <w:sz w:val="21"/>
          <w:szCs w:val="21"/>
          <w:lang w:val="en-GB"/>
        </w:rPr>
        <w:t>The Industrie 4.0 transition quantified</w:t>
      </w:r>
      <w:r>
        <w:rPr>
          <w:rFonts w:cs="Calibri"/>
          <w:sz w:val="21"/>
          <w:szCs w:val="21"/>
          <w:lang w:val="en-GB"/>
        </w:rPr>
        <w:t xml:space="preserve"> </w:t>
      </w:r>
      <w:r w:rsidRPr="00AF2A9A">
        <w:rPr>
          <w:sz w:val="21"/>
          <w:lang w:val="en-US"/>
        </w:rPr>
        <w:t>https://www.rolandberger.com/en/Publications/pub_the_industrie_4_0_transition_quantified.html</w:t>
      </w:r>
    </w:p>
    <w:p w14:paraId="3F5E7E3C" w14:textId="0F5105BF" w:rsidR="00B620BC" w:rsidRDefault="00B620BC" w:rsidP="00CB07D4">
      <w:pPr>
        <w:spacing w:after="0" w:line="240" w:lineRule="auto"/>
        <w:jc w:val="left"/>
        <w:rPr>
          <w:rFonts w:cs="Calibri"/>
          <w:sz w:val="21"/>
          <w:szCs w:val="21"/>
        </w:rPr>
      </w:pPr>
      <w:r>
        <w:rPr>
          <w:rFonts w:cs="Calibri"/>
          <w:sz w:val="21"/>
          <w:szCs w:val="21"/>
        </w:rPr>
        <w:t xml:space="preserve">WISE (2014). </w:t>
      </w:r>
      <w:r>
        <w:rPr>
          <w:rFonts w:cs="Calibri"/>
          <w:i/>
          <w:sz w:val="21"/>
          <w:szCs w:val="21"/>
        </w:rPr>
        <w:t>Rynek produktów, usług</w:t>
      </w:r>
      <w:r w:rsidR="006343E1">
        <w:rPr>
          <w:rFonts w:cs="Calibri"/>
          <w:i/>
          <w:sz w:val="21"/>
          <w:szCs w:val="21"/>
        </w:rPr>
        <w:t xml:space="preserve"> i </w:t>
      </w:r>
      <w:r>
        <w:rPr>
          <w:rFonts w:cs="Calibri"/>
          <w:i/>
          <w:sz w:val="21"/>
          <w:szCs w:val="21"/>
        </w:rPr>
        <w:t>treści cyfrowych opartych na ponownym wykorzystaniu informacji sektora publicznego (ISP)</w:t>
      </w:r>
      <w:r w:rsidR="006343E1">
        <w:rPr>
          <w:rFonts w:cs="Calibri"/>
          <w:i/>
          <w:sz w:val="21"/>
          <w:szCs w:val="21"/>
        </w:rPr>
        <w:t xml:space="preserve"> w </w:t>
      </w:r>
      <w:r>
        <w:rPr>
          <w:rFonts w:cs="Calibri"/>
          <w:i/>
          <w:sz w:val="21"/>
          <w:szCs w:val="21"/>
        </w:rPr>
        <w:t>Polsce: stan obecny, perspektywy rozwoju, główne bariery, rekomendacje dotyczące wsparcia</w:t>
      </w:r>
      <w:r w:rsidR="006343E1">
        <w:rPr>
          <w:rFonts w:cs="Calibri"/>
          <w:i/>
          <w:sz w:val="21"/>
          <w:szCs w:val="21"/>
        </w:rPr>
        <w:t xml:space="preserve"> z </w:t>
      </w:r>
      <w:r>
        <w:rPr>
          <w:rFonts w:cs="Calibri"/>
          <w:i/>
          <w:sz w:val="21"/>
          <w:szCs w:val="21"/>
        </w:rPr>
        <w:t>funduszy europejskich</w:t>
      </w:r>
      <w:r>
        <w:rPr>
          <w:rFonts w:cs="Calibri"/>
          <w:sz w:val="21"/>
          <w:szCs w:val="21"/>
        </w:rPr>
        <w:t xml:space="preserve">, Warszawa </w:t>
      </w:r>
      <w:r w:rsidRPr="00AF2A9A">
        <w:rPr>
          <w:rFonts w:cs="Calibri"/>
          <w:sz w:val="21"/>
          <w:szCs w:val="21"/>
        </w:rPr>
        <w:t>http://www.polskacyfrowa.gov.pl/media/1076/POPC_WISECC_ISP_raportkoncowy_2112015.pdf</w:t>
      </w:r>
    </w:p>
    <w:p w14:paraId="271D885C" w14:textId="77777777" w:rsidR="00B620BC" w:rsidRDefault="00B620BC" w:rsidP="00B620BC">
      <w:pPr>
        <w:spacing w:after="0" w:line="240" w:lineRule="auto"/>
        <w:rPr>
          <w:rFonts w:cs="Calibri"/>
          <w:sz w:val="21"/>
          <w:szCs w:val="21"/>
        </w:rPr>
      </w:pPr>
    </w:p>
    <w:p w14:paraId="3304EC9E" w14:textId="77777777" w:rsidR="00B620BC" w:rsidRDefault="00B620BC" w:rsidP="00B620BC">
      <w:pPr>
        <w:spacing w:after="0" w:line="240" w:lineRule="auto"/>
      </w:pPr>
    </w:p>
    <w:p w14:paraId="075E30CA" w14:textId="6B9ED187" w:rsidR="009C5EC8" w:rsidRPr="00254AB9" w:rsidRDefault="009C5EC8" w:rsidP="00730223">
      <w:pPr>
        <w:spacing w:after="0" w:line="240" w:lineRule="auto"/>
        <w:rPr>
          <w:rFonts w:cs="Calibri"/>
          <w:sz w:val="21"/>
          <w:szCs w:val="21"/>
        </w:rPr>
      </w:pPr>
      <w:bookmarkStart w:id="134" w:name="_Toc511921187"/>
      <w:bookmarkStart w:id="135" w:name="_Toc31808524"/>
    </w:p>
    <w:p w14:paraId="02F3B1B0" w14:textId="77777777" w:rsidR="003C3957" w:rsidRPr="002C51A1" w:rsidRDefault="003C3957" w:rsidP="003C3957">
      <w:pPr>
        <w:spacing w:after="0" w:line="240" w:lineRule="auto"/>
        <w:rPr>
          <w:rFonts w:cs="Calibri"/>
          <w:sz w:val="21"/>
          <w:szCs w:val="21"/>
        </w:rPr>
      </w:pPr>
    </w:p>
    <w:p w14:paraId="4DC06F06" w14:textId="77777777" w:rsidR="003C3957" w:rsidRDefault="003C3957" w:rsidP="003C3957">
      <w:pPr>
        <w:spacing w:after="0" w:line="240" w:lineRule="auto"/>
        <w:rPr>
          <w:rFonts w:cs="Calibri"/>
          <w:sz w:val="21"/>
          <w:szCs w:val="21"/>
        </w:rPr>
      </w:pPr>
    </w:p>
    <w:p w14:paraId="6A700634" w14:textId="77777777" w:rsidR="003C3957" w:rsidRDefault="003C3957" w:rsidP="003C3957">
      <w:pPr>
        <w:spacing w:after="0" w:line="240" w:lineRule="auto"/>
        <w:rPr>
          <w:rFonts w:cs="Calibri"/>
          <w:sz w:val="21"/>
          <w:szCs w:val="21"/>
        </w:rPr>
      </w:pPr>
    </w:p>
    <w:p w14:paraId="66AAEE9A" w14:textId="77777777" w:rsidR="003C3957" w:rsidRPr="002C51A1" w:rsidRDefault="003C3957" w:rsidP="003C3957">
      <w:pPr>
        <w:spacing w:after="0" w:line="240" w:lineRule="auto"/>
        <w:rPr>
          <w:rFonts w:cs="Calibri"/>
          <w:b/>
          <w:sz w:val="21"/>
          <w:szCs w:val="21"/>
        </w:rPr>
      </w:pPr>
    </w:p>
    <w:p w14:paraId="4690717F" w14:textId="77777777" w:rsidR="003C3957" w:rsidRPr="002C51A1" w:rsidRDefault="003C3957" w:rsidP="003C3957">
      <w:pPr>
        <w:spacing w:after="0" w:line="240" w:lineRule="auto"/>
        <w:rPr>
          <w:rFonts w:cs="Calibri"/>
          <w:bCs/>
          <w:sz w:val="21"/>
          <w:szCs w:val="21"/>
        </w:rPr>
      </w:pPr>
    </w:p>
    <w:p w14:paraId="2E5EF007" w14:textId="77777777" w:rsidR="003C3957" w:rsidRPr="002C51A1" w:rsidRDefault="003C3957" w:rsidP="003C3957"/>
    <w:p w14:paraId="5836C0C0" w14:textId="749844FB" w:rsidR="003C3957" w:rsidRDefault="003C3957" w:rsidP="003A5EA7">
      <w:pPr>
        <w:pStyle w:val="Nagwek1"/>
        <w:pageBreakBefore/>
        <w:numPr>
          <w:ilvl w:val="0"/>
          <w:numId w:val="1"/>
        </w:numPr>
        <w:suppressAutoHyphens/>
        <w:spacing w:before="0" w:line="240" w:lineRule="auto"/>
      </w:pPr>
      <w:bookmarkStart w:id="136" w:name="_Toc106968808"/>
      <w:r>
        <w:rPr>
          <w:rFonts w:ascii="Calibri" w:hAnsi="Calibri" w:cs="Calibri"/>
          <w:sz w:val="32"/>
          <w:szCs w:val="32"/>
        </w:rPr>
        <w:lastRenderedPageBreak/>
        <w:t>Działalność badawcza</w:t>
      </w:r>
      <w:r w:rsidR="006343E1">
        <w:rPr>
          <w:rFonts w:ascii="Calibri" w:hAnsi="Calibri" w:cs="Calibri"/>
          <w:sz w:val="32"/>
          <w:szCs w:val="32"/>
        </w:rPr>
        <w:t xml:space="preserve"> i</w:t>
      </w:r>
      <w:r w:rsidR="00780452">
        <w:rPr>
          <w:rFonts w:ascii="Calibri" w:hAnsi="Calibri" w:cs="Calibri"/>
          <w:sz w:val="32"/>
          <w:szCs w:val="32"/>
        </w:rPr>
        <w:t xml:space="preserve"> </w:t>
      </w:r>
      <w:r>
        <w:rPr>
          <w:rFonts w:ascii="Calibri" w:hAnsi="Calibri" w:cs="Calibri"/>
          <w:sz w:val="32"/>
          <w:szCs w:val="32"/>
        </w:rPr>
        <w:t>rozwojowa, innowacje, postęp techno</w:t>
      </w:r>
      <w:r w:rsidR="0044290D">
        <w:rPr>
          <w:rFonts w:ascii="Calibri" w:hAnsi="Calibri" w:cs="Calibri"/>
          <w:sz w:val="32"/>
          <w:szCs w:val="32"/>
        </w:rPr>
        <w:t>-</w:t>
      </w:r>
      <w:r>
        <w:rPr>
          <w:rFonts w:ascii="Calibri" w:hAnsi="Calibri" w:cs="Calibri"/>
          <w:sz w:val="32"/>
          <w:szCs w:val="32"/>
        </w:rPr>
        <w:t>logiczny</w:t>
      </w:r>
      <w:bookmarkEnd w:id="134"/>
      <w:bookmarkEnd w:id="135"/>
      <w:bookmarkEnd w:id="136"/>
    </w:p>
    <w:p w14:paraId="478D6B6D" w14:textId="77777777" w:rsidR="003C3957" w:rsidRDefault="003C3957" w:rsidP="003C3957">
      <w:pPr>
        <w:pStyle w:val="Nagwek2"/>
      </w:pPr>
      <w:bookmarkStart w:id="137" w:name="_Toc511921188"/>
      <w:bookmarkStart w:id="138" w:name="_Toc31808525"/>
      <w:bookmarkStart w:id="139" w:name="_Toc106968809"/>
      <w:r>
        <w:t>Poziom innowacyjności polskiej gospodarki</w:t>
      </w:r>
      <w:bookmarkEnd w:id="137"/>
      <w:bookmarkEnd w:id="138"/>
      <w:bookmarkEnd w:id="139"/>
    </w:p>
    <w:p w14:paraId="175F2119" w14:textId="109B4600" w:rsidR="003C3957" w:rsidRDefault="003C3957" w:rsidP="003C3957">
      <w:r>
        <w:t>W dobie postępującej globalizacji gospodarek, coraz powszechniejszej digitalizacji oraz pojawiania się nowych źródeł przewag komparatywnych konkurencyjność gospodarki jest bezpośrednio determinowana przez jej innowacyjność</w:t>
      </w:r>
      <w:r w:rsidR="006343E1">
        <w:t xml:space="preserve"> i </w:t>
      </w:r>
      <w:r>
        <w:t>rozwój naukowo-badawczy. Konieczność wzmożenia wysiłków</w:t>
      </w:r>
      <w:r w:rsidR="006343E1">
        <w:t xml:space="preserve"> w </w:t>
      </w:r>
      <w:r>
        <w:t>tym zakresie w przypadku Polski podkreślają wszystkie instytucje międzynarodowe: KE (EU, 2018d), OECD, BŚ itd.</w:t>
      </w:r>
    </w:p>
    <w:p w14:paraId="37857028" w14:textId="38EE8B18" w:rsidR="003C3957" w:rsidRDefault="003C3957" w:rsidP="003C3957">
      <w:r>
        <w:t>Z punktu widzenia konkurencyjności kluczowym filarem działalności innowacyjnej jest aktywność badawczo-</w:t>
      </w:r>
      <w:r w:rsidR="00780452">
        <w:br/>
        <w:t>-</w:t>
      </w:r>
      <w:r>
        <w:t>rozwojowa (B+R),</w:t>
      </w:r>
      <w:r w:rsidR="006343E1">
        <w:t xml:space="preserve"> a </w:t>
      </w:r>
      <w:r>
        <w:t xml:space="preserve">więc prace twórcze, służące zwiększeniu zasobu wiedzy oraz tworzeniu jej nowych zastosowań. Wysokość </w:t>
      </w:r>
      <w:r w:rsidR="00341970">
        <w:t>nakładów</w:t>
      </w:r>
      <w:r>
        <w:t xml:space="preserve"> na działalność badawczo-rozwojową jest dobrym miernikiem oddającym potencjał naukowy gospodarki, jednocześnie </w:t>
      </w:r>
      <w:r w:rsidR="00780452">
        <w:t xml:space="preserve">te </w:t>
      </w:r>
      <w:r>
        <w:t xml:space="preserve">wydatki pośrednio powinny prowadzić do powstania innowacji. </w:t>
      </w:r>
      <w:r w:rsidR="00341970">
        <w:t xml:space="preserve">Nakłady </w:t>
      </w:r>
      <w:r>
        <w:t>na działalność B+R mogą być ponoszone przez podmioty gospodarcze (w tym m.in. przedsiębiorstwa</w:t>
      </w:r>
      <w:r w:rsidR="006343E1">
        <w:t xml:space="preserve"> i </w:t>
      </w:r>
      <w:r>
        <w:t>instytucje) wchodzące</w:t>
      </w:r>
      <w:r w:rsidR="006343E1">
        <w:t xml:space="preserve"> w </w:t>
      </w:r>
      <w:r>
        <w:t>skład sfery B+R. Ponieważ za większość nakładów na działalność innowacyjną odpowiada przemysł, jego wkład</w:t>
      </w:r>
      <w:r w:rsidR="006343E1">
        <w:t xml:space="preserve"> w </w:t>
      </w:r>
      <w:r>
        <w:t>generowanie jakościowej zmiany strukturalnej</w:t>
      </w:r>
      <w:r w:rsidR="006343E1">
        <w:t xml:space="preserve"> w </w:t>
      </w:r>
      <w:r>
        <w:t>gospodarce jest znaczący.</w:t>
      </w:r>
    </w:p>
    <w:p w14:paraId="152C9197" w14:textId="404944E9" w:rsidR="003C3957" w:rsidRDefault="003C3957" w:rsidP="00CB07D4">
      <w:pPr>
        <w:spacing w:after="0" w:line="240" w:lineRule="auto"/>
        <w:ind w:left="993" w:hanging="993"/>
      </w:pPr>
      <w:r>
        <w:rPr>
          <w:rFonts w:cs="Calibri"/>
          <w:b/>
          <w:sz w:val="21"/>
          <w:szCs w:val="21"/>
        </w:rPr>
        <w:t xml:space="preserve">Wykres </w:t>
      </w:r>
      <w:r w:rsidR="00332B11">
        <w:rPr>
          <w:rFonts w:cs="Calibri"/>
          <w:b/>
          <w:sz w:val="21"/>
          <w:szCs w:val="21"/>
        </w:rPr>
        <w:t>6</w:t>
      </w:r>
      <w:r w:rsidR="00FC6E8F">
        <w:rPr>
          <w:rFonts w:cs="Calibri"/>
          <w:b/>
          <w:sz w:val="21"/>
          <w:szCs w:val="21"/>
        </w:rPr>
        <w:t>9</w:t>
      </w:r>
      <w:r w:rsidR="00332B11">
        <w:rPr>
          <w:rFonts w:cs="Calibri"/>
          <w:b/>
          <w:sz w:val="21"/>
          <w:szCs w:val="21"/>
        </w:rPr>
        <w:t>.</w:t>
      </w:r>
      <w:r>
        <w:rPr>
          <w:rFonts w:cs="Calibri"/>
          <w:b/>
          <w:sz w:val="21"/>
          <w:szCs w:val="21"/>
        </w:rPr>
        <w:t xml:space="preserve"> Udział nakładów wewnętrznych na działalność B+R ogółem (GERD), sektora przedsiębiorstw (BERD), sektora rządowego (GovERD) oraz szkolnictwa wyższego (HERD)</w:t>
      </w:r>
      <w:r w:rsidR="006343E1">
        <w:rPr>
          <w:rFonts w:cs="Calibri"/>
          <w:b/>
          <w:sz w:val="21"/>
          <w:szCs w:val="21"/>
        </w:rPr>
        <w:t xml:space="preserve"> w </w:t>
      </w:r>
      <w:r>
        <w:rPr>
          <w:rFonts w:cs="Calibri"/>
          <w:b/>
          <w:sz w:val="21"/>
          <w:szCs w:val="21"/>
        </w:rPr>
        <w:t>% PKB</w:t>
      </w:r>
      <w:r w:rsidR="006343E1">
        <w:rPr>
          <w:rFonts w:cs="Calibri"/>
          <w:b/>
          <w:sz w:val="21"/>
          <w:szCs w:val="21"/>
        </w:rPr>
        <w:t xml:space="preserve"> w </w:t>
      </w:r>
      <w:r>
        <w:rPr>
          <w:rFonts w:cs="Calibri"/>
          <w:b/>
          <w:sz w:val="21"/>
          <w:szCs w:val="21"/>
        </w:rPr>
        <w:t xml:space="preserve">krajach </w:t>
      </w:r>
      <w:r w:rsidR="007F7D27">
        <w:rPr>
          <w:rFonts w:cs="Calibri"/>
          <w:b/>
          <w:sz w:val="21"/>
          <w:szCs w:val="21"/>
        </w:rPr>
        <w:br/>
      </w:r>
      <w:r>
        <w:rPr>
          <w:rFonts w:cs="Calibri"/>
          <w:b/>
          <w:sz w:val="21"/>
          <w:szCs w:val="21"/>
        </w:rPr>
        <w:t>UE-28 (w</w:t>
      </w:r>
      <w:r w:rsidR="00780452">
        <w:rPr>
          <w:rFonts w:cs="Calibri"/>
          <w:b/>
          <w:sz w:val="21"/>
          <w:szCs w:val="21"/>
        </w:rPr>
        <w:t>edłu</w:t>
      </w:r>
      <w:r>
        <w:rPr>
          <w:rFonts w:cs="Calibri"/>
          <w:b/>
          <w:sz w:val="21"/>
          <w:szCs w:val="21"/>
        </w:rPr>
        <w:t>g PPP)</w:t>
      </w:r>
      <w:r w:rsidR="00AE261F">
        <w:rPr>
          <w:rFonts w:cs="Calibri"/>
          <w:b/>
          <w:sz w:val="21"/>
          <w:szCs w:val="21"/>
        </w:rPr>
        <w:t xml:space="preserve"> w 2018 r.</w:t>
      </w:r>
    </w:p>
    <w:tbl>
      <w:tblPr>
        <w:tblW w:w="0" w:type="auto"/>
        <w:tblInd w:w="108" w:type="dxa"/>
        <w:tblLayout w:type="fixed"/>
        <w:tblLook w:val="0000" w:firstRow="0" w:lastRow="0" w:firstColumn="0" w:lastColumn="0" w:noHBand="0" w:noVBand="0"/>
      </w:tblPr>
      <w:tblGrid>
        <w:gridCol w:w="9072"/>
      </w:tblGrid>
      <w:tr w:rsidR="003C3957" w14:paraId="252DC50E" w14:textId="77777777" w:rsidTr="003224F9">
        <w:tc>
          <w:tcPr>
            <w:tcW w:w="9072" w:type="dxa"/>
            <w:shd w:val="clear" w:color="auto" w:fill="auto"/>
          </w:tcPr>
          <w:tbl>
            <w:tblPr>
              <w:tblW w:w="5000" w:type="pct"/>
              <w:tblInd w:w="324" w:type="dxa"/>
              <w:tblLayout w:type="fixed"/>
              <w:tblLook w:val="0000" w:firstRow="0" w:lastRow="0" w:firstColumn="0" w:lastColumn="0" w:noHBand="0" w:noVBand="0"/>
            </w:tblPr>
            <w:tblGrid>
              <w:gridCol w:w="4401"/>
              <w:gridCol w:w="4455"/>
            </w:tblGrid>
            <w:tr w:rsidR="003C3957" w14:paraId="7A8DA665" w14:textId="77777777" w:rsidTr="003224F9">
              <w:tc>
                <w:tcPr>
                  <w:tcW w:w="4401" w:type="dxa"/>
                  <w:shd w:val="clear" w:color="auto" w:fill="auto"/>
                </w:tcPr>
                <w:p w14:paraId="69DA0646" w14:textId="31FBB015" w:rsidR="003C3957" w:rsidRDefault="003C3957" w:rsidP="007B7CEC">
                  <w:pPr>
                    <w:spacing w:after="0" w:line="240" w:lineRule="auto"/>
                    <w:ind w:left="-113"/>
                    <w:jc w:val="left"/>
                    <w:rPr>
                      <w:rFonts w:cs="Calibri"/>
                      <w:b/>
                      <w:color w:val="17365D"/>
                      <w:sz w:val="21"/>
                      <w:szCs w:val="21"/>
                    </w:rPr>
                  </w:pPr>
                  <w:r>
                    <w:rPr>
                      <w:rFonts w:cs="Calibri"/>
                      <w:b/>
                      <w:color w:val="17365D"/>
                      <w:sz w:val="21"/>
                      <w:szCs w:val="21"/>
                    </w:rPr>
                    <w:t>GERD</w:t>
                  </w:r>
                  <w:r w:rsidR="006343E1">
                    <w:rPr>
                      <w:rFonts w:cs="Calibri"/>
                      <w:b/>
                      <w:color w:val="17365D"/>
                      <w:sz w:val="21"/>
                      <w:szCs w:val="21"/>
                    </w:rPr>
                    <w:t xml:space="preserve"> a </w:t>
                  </w:r>
                  <w:r>
                    <w:rPr>
                      <w:rFonts w:cs="Calibri"/>
                      <w:b/>
                      <w:color w:val="17365D"/>
                      <w:sz w:val="21"/>
                      <w:szCs w:val="21"/>
                    </w:rPr>
                    <w:t xml:space="preserve">logarytm PKB </w:t>
                  </w:r>
                  <w:r>
                    <w:rPr>
                      <w:noProof/>
                      <w:lang w:eastAsia="pl-PL"/>
                    </w:rPr>
                    <w:drawing>
                      <wp:inline distT="0" distB="0" distL="0" distR="0" wp14:anchorId="2B32B39C" wp14:editId="4FD4537B">
                        <wp:extent cx="2847975" cy="1924050"/>
                        <wp:effectExtent l="0" t="0" r="9525" b="0"/>
                        <wp:docPr id="482" name="Obraz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847975" cy="1924050"/>
                                </a:xfrm>
                                <a:prstGeom prst="rect">
                                  <a:avLst/>
                                </a:prstGeom>
                                <a:solidFill>
                                  <a:srgbClr val="FFFFFF"/>
                                </a:solidFill>
                                <a:ln>
                                  <a:noFill/>
                                </a:ln>
                              </pic:spPr>
                            </pic:pic>
                          </a:graphicData>
                        </a:graphic>
                      </wp:inline>
                    </w:drawing>
                  </w:r>
                </w:p>
              </w:tc>
              <w:tc>
                <w:tcPr>
                  <w:tcW w:w="4455" w:type="dxa"/>
                  <w:shd w:val="clear" w:color="auto" w:fill="auto"/>
                </w:tcPr>
                <w:p w14:paraId="6C2FA303" w14:textId="25C874CD" w:rsidR="003C3957" w:rsidRDefault="003C3957" w:rsidP="007B7CEC">
                  <w:pPr>
                    <w:spacing w:after="0" w:line="240" w:lineRule="auto"/>
                    <w:ind w:left="-111"/>
                    <w:jc w:val="left"/>
                    <w:rPr>
                      <w:rFonts w:cs="Calibri"/>
                      <w:b/>
                      <w:color w:val="17365D"/>
                      <w:sz w:val="21"/>
                      <w:szCs w:val="21"/>
                    </w:rPr>
                  </w:pPr>
                  <w:r>
                    <w:rPr>
                      <w:rFonts w:cs="Calibri"/>
                      <w:b/>
                      <w:color w:val="17365D"/>
                      <w:sz w:val="21"/>
                      <w:szCs w:val="21"/>
                    </w:rPr>
                    <w:t>BERD</w:t>
                  </w:r>
                  <w:r w:rsidR="006343E1">
                    <w:rPr>
                      <w:rFonts w:cs="Calibri"/>
                      <w:b/>
                      <w:color w:val="17365D"/>
                      <w:sz w:val="21"/>
                      <w:szCs w:val="21"/>
                    </w:rPr>
                    <w:t xml:space="preserve"> a </w:t>
                  </w:r>
                  <w:r>
                    <w:rPr>
                      <w:rFonts w:cs="Calibri"/>
                      <w:b/>
                      <w:color w:val="17365D"/>
                      <w:sz w:val="21"/>
                      <w:szCs w:val="21"/>
                    </w:rPr>
                    <w:t xml:space="preserve">logarytm PKB </w:t>
                  </w:r>
                  <w:r>
                    <w:rPr>
                      <w:noProof/>
                      <w:lang w:eastAsia="pl-PL"/>
                    </w:rPr>
                    <w:drawing>
                      <wp:inline distT="0" distB="0" distL="0" distR="0" wp14:anchorId="53212423" wp14:editId="264E667C">
                        <wp:extent cx="2886075" cy="1924050"/>
                        <wp:effectExtent l="0" t="0" r="9525" b="0"/>
                        <wp:docPr id="481" name="Obraz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886075" cy="1924050"/>
                                </a:xfrm>
                                <a:prstGeom prst="rect">
                                  <a:avLst/>
                                </a:prstGeom>
                                <a:solidFill>
                                  <a:srgbClr val="FFFFFF"/>
                                </a:solidFill>
                                <a:ln>
                                  <a:noFill/>
                                </a:ln>
                              </pic:spPr>
                            </pic:pic>
                          </a:graphicData>
                        </a:graphic>
                      </wp:inline>
                    </w:drawing>
                  </w:r>
                </w:p>
              </w:tc>
            </w:tr>
            <w:tr w:rsidR="003C3957" w14:paraId="0A962649" w14:textId="77777777" w:rsidTr="003224F9">
              <w:tc>
                <w:tcPr>
                  <w:tcW w:w="4401" w:type="dxa"/>
                  <w:shd w:val="clear" w:color="auto" w:fill="auto"/>
                </w:tcPr>
                <w:p w14:paraId="273557B8" w14:textId="131D9616" w:rsidR="003C3957" w:rsidRDefault="003C3957" w:rsidP="007B7CEC">
                  <w:pPr>
                    <w:spacing w:after="0" w:line="240" w:lineRule="auto"/>
                    <w:ind w:left="-113"/>
                    <w:jc w:val="left"/>
                    <w:rPr>
                      <w:rFonts w:cs="Calibri"/>
                      <w:b/>
                      <w:color w:val="17365D"/>
                      <w:sz w:val="21"/>
                      <w:szCs w:val="21"/>
                    </w:rPr>
                  </w:pPr>
                  <w:r>
                    <w:rPr>
                      <w:rFonts w:cs="Calibri"/>
                      <w:b/>
                      <w:color w:val="17365D"/>
                      <w:sz w:val="21"/>
                      <w:szCs w:val="21"/>
                    </w:rPr>
                    <w:t>GovERD</w:t>
                  </w:r>
                  <w:r w:rsidR="006343E1">
                    <w:rPr>
                      <w:rFonts w:cs="Calibri"/>
                      <w:b/>
                      <w:color w:val="17365D"/>
                      <w:sz w:val="21"/>
                      <w:szCs w:val="21"/>
                    </w:rPr>
                    <w:t xml:space="preserve"> a </w:t>
                  </w:r>
                  <w:r>
                    <w:rPr>
                      <w:rFonts w:cs="Calibri"/>
                      <w:b/>
                      <w:color w:val="17365D"/>
                      <w:sz w:val="21"/>
                      <w:szCs w:val="21"/>
                    </w:rPr>
                    <w:t xml:space="preserve">logarytm PKB </w:t>
                  </w:r>
                  <w:r>
                    <w:rPr>
                      <w:noProof/>
                      <w:lang w:eastAsia="pl-PL"/>
                    </w:rPr>
                    <w:drawing>
                      <wp:inline distT="0" distB="0" distL="0" distR="0" wp14:anchorId="397442F5" wp14:editId="3236CB29">
                        <wp:extent cx="2838450" cy="1981200"/>
                        <wp:effectExtent l="0" t="0" r="0" b="0"/>
                        <wp:docPr id="480" name="Obraz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838450" cy="1981200"/>
                                </a:xfrm>
                                <a:prstGeom prst="rect">
                                  <a:avLst/>
                                </a:prstGeom>
                                <a:solidFill>
                                  <a:srgbClr val="FFFFFF"/>
                                </a:solidFill>
                                <a:ln>
                                  <a:noFill/>
                                </a:ln>
                              </pic:spPr>
                            </pic:pic>
                          </a:graphicData>
                        </a:graphic>
                      </wp:inline>
                    </w:drawing>
                  </w:r>
                </w:p>
              </w:tc>
              <w:tc>
                <w:tcPr>
                  <w:tcW w:w="4455" w:type="dxa"/>
                  <w:shd w:val="clear" w:color="auto" w:fill="auto"/>
                </w:tcPr>
                <w:p w14:paraId="4472FE64" w14:textId="0A1C5B2B" w:rsidR="003C3957" w:rsidRDefault="003C3957" w:rsidP="007B7CEC">
                  <w:pPr>
                    <w:spacing w:after="0" w:line="240" w:lineRule="auto"/>
                    <w:ind w:left="-101" w:hanging="60"/>
                    <w:jc w:val="left"/>
                  </w:pPr>
                  <w:r>
                    <w:rPr>
                      <w:rFonts w:cs="Calibri"/>
                      <w:b/>
                      <w:color w:val="17365D"/>
                      <w:sz w:val="21"/>
                      <w:szCs w:val="21"/>
                    </w:rPr>
                    <w:t>(HERD</w:t>
                  </w:r>
                  <w:r w:rsidR="006343E1">
                    <w:rPr>
                      <w:rFonts w:cs="Calibri"/>
                      <w:b/>
                      <w:color w:val="17365D"/>
                      <w:sz w:val="21"/>
                      <w:szCs w:val="21"/>
                    </w:rPr>
                    <w:t xml:space="preserve"> a </w:t>
                  </w:r>
                  <w:r>
                    <w:rPr>
                      <w:rFonts w:cs="Calibri"/>
                      <w:b/>
                      <w:color w:val="17365D"/>
                      <w:sz w:val="21"/>
                      <w:szCs w:val="21"/>
                    </w:rPr>
                    <w:t xml:space="preserve">logarytm PKB </w:t>
                  </w:r>
                  <w:r>
                    <w:rPr>
                      <w:noProof/>
                      <w:lang w:eastAsia="pl-PL"/>
                    </w:rPr>
                    <w:drawing>
                      <wp:inline distT="0" distB="0" distL="0" distR="0" wp14:anchorId="3C398E97" wp14:editId="2802A799">
                        <wp:extent cx="2857500" cy="1981200"/>
                        <wp:effectExtent l="0" t="0" r="0" b="0"/>
                        <wp:docPr id="479" name="Obraz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857500" cy="1981200"/>
                                </a:xfrm>
                                <a:prstGeom prst="rect">
                                  <a:avLst/>
                                </a:prstGeom>
                                <a:solidFill>
                                  <a:srgbClr val="FFFFFF"/>
                                </a:solidFill>
                                <a:ln>
                                  <a:noFill/>
                                </a:ln>
                              </pic:spPr>
                            </pic:pic>
                          </a:graphicData>
                        </a:graphic>
                      </wp:inline>
                    </w:drawing>
                  </w:r>
                </w:p>
              </w:tc>
            </w:tr>
          </w:tbl>
          <w:p w14:paraId="3D477DD6" w14:textId="1B117B5F" w:rsidR="003C3957" w:rsidRDefault="003C3957" w:rsidP="003224F9">
            <w:pPr>
              <w:pStyle w:val="Bezodstpw1"/>
            </w:pPr>
            <w:r>
              <w:t xml:space="preserve">Źródło: Opracowanie </w:t>
            </w:r>
            <w:r w:rsidR="003A56DA">
              <w:t>MRiT</w:t>
            </w:r>
            <w:r w:rsidR="003A5EA7">
              <w:t xml:space="preserve"> </w:t>
            </w:r>
            <w:r>
              <w:t>na podst</w:t>
            </w:r>
            <w:r w:rsidR="00780452">
              <w:t>awie</w:t>
            </w:r>
            <w:r>
              <w:t xml:space="preserve"> Eurostat [nama_10_pc] 1995</w:t>
            </w:r>
            <w:r w:rsidR="00780452">
              <w:rPr>
                <w:rFonts w:ascii="Times New Roman" w:hAnsi="Times New Roman" w:cs="Times New Roman"/>
              </w:rPr>
              <w:t>–</w:t>
            </w:r>
            <w:r>
              <w:t>2015</w:t>
            </w:r>
          </w:p>
          <w:p w14:paraId="7AB340DF" w14:textId="0FBF98FD" w:rsidR="003C3957" w:rsidRDefault="003C3957" w:rsidP="003224F9">
            <w:r>
              <w:t>Analiza nakładów wewnętrznych na badania naukowe</w:t>
            </w:r>
            <w:r w:rsidR="006343E1">
              <w:t xml:space="preserve"> i </w:t>
            </w:r>
            <w:r>
              <w:t>prace rozwojowe w</w:t>
            </w:r>
            <w:r w:rsidR="00780452">
              <w:t>edłu</w:t>
            </w:r>
            <w:r>
              <w:t>g sektorów wykonawczych</w:t>
            </w:r>
            <w:r w:rsidR="006343E1">
              <w:t xml:space="preserve"> w </w:t>
            </w:r>
            <w:r>
              <w:t>relacji do poziomu rozwoju gospodarczego (PKB)</w:t>
            </w:r>
            <w:r w:rsidR="006343E1">
              <w:t xml:space="preserve"> w </w:t>
            </w:r>
            <w:r>
              <w:t xml:space="preserve">krajach Unii Europejskiej pozwala ocenić ich efektywność oraz wzajemne relacje i optymalne wielkości. Pod względem nakładów krajowych brutto na </w:t>
            </w:r>
            <w:r>
              <w:lastRenderedPageBreak/>
              <w:t>działalność B+R (GERD) obecna pozycja Polski znajduje się poniżej poziomu wynikającego</w:t>
            </w:r>
            <w:r w:rsidR="006343E1">
              <w:t xml:space="preserve"> z </w:t>
            </w:r>
            <w:r>
              <w:t>prostego, jednoczynnikowego modelu. Aby zrównać się</w:t>
            </w:r>
            <w:r w:rsidR="006343E1">
              <w:t xml:space="preserve"> z </w:t>
            </w:r>
            <w:r>
              <w:t>trendem wykładniczym</w:t>
            </w:r>
            <w:r w:rsidR="00780452">
              <w:t>,</w:t>
            </w:r>
            <w:r>
              <w:t xml:space="preserve"> wielkość GERD powinna wynosić 1,22% PKB,</w:t>
            </w:r>
            <w:r w:rsidR="006343E1">
              <w:t xml:space="preserve"> a </w:t>
            </w:r>
            <w:r>
              <w:t>w przypadku trendu liniowego 1,41%. Równie niekorzystna pozycja Polski, poniżej trendu liniowego</w:t>
            </w:r>
            <w:r w:rsidR="006343E1">
              <w:t xml:space="preserve"> i </w:t>
            </w:r>
            <w:r>
              <w:t>wykładniczego, występuje</w:t>
            </w:r>
            <w:r w:rsidR="006343E1">
              <w:t xml:space="preserve"> w </w:t>
            </w:r>
            <w:r>
              <w:t>przypadku nakładów wewnętrznych na działalność B+R sektora przedsiębiorstw (BERD). Jednocześnie brak jest istotnej zależności między nakładami wewnętrznymi sektora rządowego na działalność B+R (GovERD)</w:t>
            </w:r>
            <w:r w:rsidR="006343E1">
              <w:t xml:space="preserve"> a </w:t>
            </w:r>
            <w:r>
              <w:t>poziomem PKB.</w:t>
            </w:r>
            <w:r w:rsidR="006343E1">
              <w:t xml:space="preserve"> W </w:t>
            </w:r>
            <w:r>
              <w:t>przypadku nakładów wewnętrznych sektora szkolnictwa wyższego na działalność B+R (HERD) Polska znajduje się między trendem wykładniczym</w:t>
            </w:r>
            <w:r w:rsidR="006343E1">
              <w:t xml:space="preserve"> a </w:t>
            </w:r>
            <w:r>
              <w:t>liniowym, co może sugerować optymalne wielkości.</w:t>
            </w:r>
          </w:p>
          <w:p w14:paraId="4BE82DB1" w14:textId="37B5512C" w:rsidR="003C3957" w:rsidRPr="00332B11" w:rsidRDefault="003C3957" w:rsidP="00332B11">
            <w:r>
              <w:t>Zwiększenie innowacyjności</w:t>
            </w:r>
            <w:r w:rsidR="006343E1">
              <w:t xml:space="preserve"> i </w:t>
            </w:r>
            <w:r>
              <w:t>efektywności gospodarki ściśle koreluje ze wzrostem wydatków sektora przedsiębiorstw na badania</w:t>
            </w:r>
            <w:r w:rsidR="006343E1">
              <w:t xml:space="preserve"> i </w:t>
            </w:r>
            <w:r>
              <w:t xml:space="preserve">rozwój. Trend ten </w:t>
            </w:r>
            <w:r w:rsidR="00780452">
              <w:t>jest</w:t>
            </w:r>
            <w:r>
              <w:t xml:space="preserve"> obserwowany we wszystkich krajach Unii Europejskiej. Przełamaniu imitacyjnego modelu rozwoju polskiej gospodarki oraz uniknięciu pułapki średniego produktu</w:t>
            </w:r>
            <w:r w:rsidR="00780452">
              <w:t>,</w:t>
            </w:r>
            <w:r w:rsidR="006343E1">
              <w:t xml:space="preserve"> a </w:t>
            </w:r>
            <w:r>
              <w:t>także powiązanej</w:t>
            </w:r>
            <w:r w:rsidR="006343E1">
              <w:t xml:space="preserve"> z </w:t>
            </w:r>
            <w:r>
              <w:t>nim pułapki średniego dochodu, stanowiących jedne z ważniejszych wyzwań</w:t>
            </w:r>
            <w:r w:rsidR="00780452">
              <w:t>,</w:t>
            </w:r>
            <w:r>
              <w:t xml:space="preserve"> przed jakimi stoi nasz polska gospodarka, powinno towarzyszyć trwałe zwiększenie wydatków na działalność badawczo-</w:t>
            </w:r>
            <w:r w:rsidR="009724C2">
              <w:br/>
              <w:t>-</w:t>
            </w:r>
            <w:r>
              <w:t>roz</w:t>
            </w:r>
            <w:r w:rsidR="00332B11">
              <w:t>wojową sektora przedsiębiorstw.</w:t>
            </w:r>
          </w:p>
        </w:tc>
      </w:tr>
    </w:tbl>
    <w:p w14:paraId="67ED772F" w14:textId="136F828F" w:rsidR="003C3957" w:rsidRDefault="00332B11" w:rsidP="00CB07D4">
      <w:pPr>
        <w:tabs>
          <w:tab w:val="left" w:pos="709"/>
        </w:tabs>
        <w:spacing w:after="0" w:line="240" w:lineRule="auto"/>
        <w:ind w:left="993" w:hanging="993"/>
      </w:pPr>
      <w:r>
        <w:rPr>
          <w:rFonts w:cs="Calibri"/>
          <w:b/>
          <w:sz w:val="21"/>
          <w:szCs w:val="21"/>
        </w:rPr>
        <w:lastRenderedPageBreak/>
        <w:t xml:space="preserve">Wykres </w:t>
      </w:r>
      <w:r w:rsidR="00FC6E8F">
        <w:rPr>
          <w:rFonts w:cs="Calibri"/>
          <w:b/>
          <w:sz w:val="21"/>
          <w:szCs w:val="21"/>
        </w:rPr>
        <w:t>70</w:t>
      </w:r>
      <w:r w:rsidR="003C3957">
        <w:rPr>
          <w:rFonts w:cs="Calibri"/>
          <w:b/>
          <w:sz w:val="21"/>
          <w:szCs w:val="21"/>
        </w:rPr>
        <w:t>. Udział nakładów wewnętrznych na działalność B+R wg sektorów wykonawczych jako % PKB</w:t>
      </w:r>
      <w:r w:rsidR="006343E1">
        <w:rPr>
          <w:rFonts w:cs="Calibri"/>
          <w:b/>
          <w:sz w:val="21"/>
          <w:szCs w:val="21"/>
        </w:rPr>
        <w:t xml:space="preserve"> w </w:t>
      </w:r>
      <w:r w:rsidR="003C3957">
        <w:rPr>
          <w:rFonts w:cs="Calibri"/>
          <w:b/>
          <w:sz w:val="21"/>
          <w:szCs w:val="21"/>
        </w:rPr>
        <w:t>wybranych krajach UE</w:t>
      </w:r>
      <w:r w:rsidR="006343E1">
        <w:rPr>
          <w:rFonts w:cs="Calibri"/>
          <w:b/>
          <w:sz w:val="21"/>
          <w:szCs w:val="21"/>
        </w:rPr>
        <w:t xml:space="preserve"> w </w:t>
      </w:r>
      <w:r w:rsidR="003C3957">
        <w:rPr>
          <w:rFonts w:cs="Calibri"/>
          <w:b/>
          <w:sz w:val="21"/>
          <w:szCs w:val="21"/>
        </w:rPr>
        <w:t>2018 r.</w:t>
      </w:r>
    </w:p>
    <w:p w14:paraId="1C0242C2" w14:textId="4ACA6006" w:rsidR="003C3957" w:rsidRDefault="003C3957" w:rsidP="003C3957">
      <w:pPr>
        <w:tabs>
          <w:tab w:val="left" w:pos="0"/>
        </w:tabs>
        <w:spacing w:after="0" w:line="240" w:lineRule="auto"/>
        <w:ind w:hanging="426"/>
      </w:pPr>
      <w:r>
        <w:rPr>
          <w:noProof/>
          <w:lang w:eastAsia="pl-PL"/>
        </w:rPr>
        <mc:AlternateContent>
          <mc:Choice Requires="wps">
            <w:drawing>
              <wp:anchor distT="0" distB="0" distL="114300" distR="114300" simplePos="0" relativeHeight="251652608" behindDoc="0" locked="0" layoutInCell="1" allowOverlap="1" wp14:anchorId="17350EA0" wp14:editId="22344867">
                <wp:simplePos x="0" y="0"/>
                <wp:positionH relativeFrom="column">
                  <wp:posOffset>3585210</wp:posOffset>
                </wp:positionH>
                <wp:positionV relativeFrom="paragraph">
                  <wp:posOffset>286385</wp:posOffset>
                </wp:positionV>
                <wp:extent cx="676910" cy="1271905"/>
                <wp:effectExtent l="8255" t="9525" r="10160" b="13970"/>
                <wp:wrapNone/>
                <wp:docPr id="102" name="Objaśnienie: strzałka w dół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910" cy="1271905"/>
                        </a:xfrm>
                        <a:prstGeom prst="downArrowCallout">
                          <a:avLst>
                            <a:gd name="adj1" fmla="val 13694"/>
                            <a:gd name="adj2" fmla="val 25000"/>
                            <a:gd name="adj3" fmla="val 31334"/>
                            <a:gd name="adj4" fmla="val 66667"/>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0B475B4" w14:textId="77777777" w:rsidR="009F06E2" w:rsidRPr="00D52A43" w:rsidRDefault="009F06E2" w:rsidP="003C3957">
                            <w:pPr>
                              <w:spacing w:before="0" w:after="0" w:line="240" w:lineRule="auto"/>
                              <w:jc w:val="center"/>
                              <w:rPr>
                                <w:rFonts w:ascii="Calibri" w:hAnsi="Calibri"/>
                                <w:b/>
                                <w:bCs/>
                                <w:color w:val="F0F5FA"/>
                                <w:sz w:val="18"/>
                                <w:szCs w:val="18"/>
                                <w:lang w:val="nl-NL" w:eastAsia="pl-PL"/>
                              </w:rPr>
                            </w:pPr>
                            <w:bookmarkStart w:id="140" w:name="_Hlk69383872"/>
                            <w:bookmarkEnd w:id="140"/>
                            <w:r w:rsidRPr="00D52A43">
                              <w:rPr>
                                <w:rFonts w:ascii="Calibri" w:hAnsi="Calibri"/>
                                <w:b/>
                                <w:bCs/>
                                <w:color w:val="F0F5FA"/>
                                <w:sz w:val="18"/>
                                <w:szCs w:val="18"/>
                                <w:lang w:val="nl-NL" w:eastAsia="pl-PL"/>
                              </w:rPr>
                              <w:t>Polska</w:t>
                            </w:r>
                          </w:p>
                          <w:p w14:paraId="26143DAE" w14:textId="77777777" w:rsidR="009F06E2" w:rsidRPr="00D52A43" w:rsidRDefault="009F06E2" w:rsidP="003C3957">
                            <w:pPr>
                              <w:spacing w:before="0" w:after="0" w:line="240" w:lineRule="auto"/>
                              <w:jc w:val="center"/>
                              <w:rPr>
                                <w:rFonts w:ascii="Calibri" w:hAnsi="Calibri"/>
                                <w:b/>
                                <w:bCs/>
                                <w:color w:val="F0F5FA"/>
                                <w:sz w:val="18"/>
                                <w:szCs w:val="18"/>
                                <w:lang w:val="nl-NL" w:eastAsia="pl-PL"/>
                              </w:rPr>
                            </w:pPr>
                            <w:r w:rsidRPr="00D52A43">
                              <w:rPr>
                                <w:rFonts w:ascii="Calibri" w:hAnsi="Calibri"/>
                                <w:b/>
                                <w:bCs/>
                                <w:color w:val="F0F5FA"/>
                                <w:sz w:val="18"/>
                                <w:szCs w:val="18"/>
                                <w:lang w:val="nl-NL" w:eastAsia="pl-PL"/>
                              </w:rPr>
                              <w:t xml:space="preserve"> GERD: 1,21 </w:t>
                            </w:r>
                          </w:p>
                          <w:p w14:paraId="718EF408" w14:textId="77777777" w:rsidR="009F06E2" w:rsidRPr="00D52A43" w:rsidRDefault="009F06E2" w:rsidP="003C3957">
                            <w:pPr>
                              <w:spacing w:before="0" w:after="0" w:line="240" w:lineRule="auto"/>
                              <w:jc w:val="center"/>
                              <w:rPr>
                                <w:rFonts w:ascii="Calibri" w:hAnsi="Calibri"/>
                                <w:b/>
                                <w:bCs/>
                                <w:color w:val="F0F5FA"/>
                                <w:sz w:val="18"/>
                                <w:szCs w:val="18"/>
                                <w:lang w:val="nl-NL" w:eastAsia="pl-PL"/>
                              </w:rPr>
                            </w:pPr>
                            <w:r w:rsidRPr="00D52A43">
                              <w:rPr>
                                <w:rFonts w:ascii="Calibri" w:hAnsi="Calibri"/>
                                <w:b/>
                                <w:bCs/>
                                <w:color w:val="F0F5FA"/>
                                <w:sz w:val="18"/>
                                <w:szCs w:val="18"/>
                                <w:lang w:val="nl-NL" w:eastAsia="pl-PL"/>
                              </w:rPr>
                              <w:t xml:space="preserve"> BERD: 0,8</w:t>
                            </w:r>
                          </w:p>
                          <w:p w14:paraId="1434C89D" w14:textId="77777777" w:rsidR="009F06E2" w:rsidRPr="00D52A43" w:rsidRDefault="009F06E2" w:rsidP="003C3957">
                            <w:pPr>
                              <w:spacing w:before="0" w:after="0" w:line="240" w:lineRule="auto"/>
                              <w:jc w:val="center"/>
                              <w:rPr>
                                <w:rFonts w:ascii="Calibri" w:hAnsi="Calibri"/>
                                <w:b/>
                                <w:bCs/>
                                <w:color w:val="F0F5FA"/>
                                <w:sz w:val="18"/>
                                <w:szCs w:val="18"/>
                                <w:lang w:val="nl-NL" w:eastAsia="pl-PL"/>
                              </w:rPr>
                            </w:pPr>
                            <w:r w:rsidRPr="00D52A43">
                              <w:rPr>
                                <w:rFonts w:ascii="Calibri" w:hAnsi="Calibri"/>
                                <w:b/>
                                <w:bCs/>
                                <w:color w:val="F0F5FA"/>
                                <w:sz w:val="18"/>
                                <w:szCs w:val="18"/>
                                <w:lang w:val="nl-NL" w:eastAsia="pl-PL"/>
                              </w:rPr>
                              <w:t xml:space="preserve"> GovERD: 0,02</w:t>
                            </w:r>
                          </w:p>
                          <w:p w14:paraId="4800E7E8" w14:textId="77777777" w:rsidR="009F06E2" w:rsidRPr="00D52A43" w:rsidRDefault="009F06E2" w:rsidP="003C3957">
                            <w:pPr>
                              <w:spacing w:before="0" w:after="0" w:line="240" w:lineRule="auto"/>
                              <w:jc w:val="center"/>
                              <w:rPr>
                                <w:rFonts w:ascii="Calibri" w:hAnsi="Calibri"/>
                                <w:b/>
                                <w:bCs/>
                                <w:color w:val="F0F5FA"/>
                                <w:sz w:val="18"/>
                                <w:szCs w:val="18"/>
                                <w:lang w:val="nl-NL" w:eastAsia="pl-PL"/>
                              </w:rPr>
                            </w:pPr>
                            <w:r w:rsidRPr="00D52A43">
                              <w:rPr>
                                <w:rFonts w:ascii="Calibri" w:hAnsi="Calibri"/>
                                <w:b/>
                                <w:bCs/>
                                <w:color w:val="F0F5FA"/>
                                <w:sz w:val="18"/>
                                <w:szCs w:val="18"/>
                                <w:lang w:val="nl-NL" w:eastAsia="pl-PL"/>
                              </w:rPr>
                              <w:t xml:space="preserve"> HERD: 0,38</w:t>
                            </w:r>
                          </w:p>
                        </w:txbxContent>
                      </wps:txbx>
                      <wps:bodyPr rot="0" vert="horz" wrap="non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type w14:anchorId="17350EA0"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Objaśnienie: strzałka w dół 102" o:spid="_x0000_s1026" type="#_x0000_t80" style="position:absolute;left:0;text-align:left;margin-left:282.3pt;margin-top:22.55pt;width:53.3pt;height:100.15pt;z-index:251652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" adj=",,17998,9321" fillcolor="#729fcf" strokecolor="#3465a4">
                <v:stroke joinstyle="round"/>
                <v:textbox inset="0,0,0,0">
                  <w:txbxContent>
                    <w:p w14:paraId="00B475B4" w14:textId="77777777" w:rsidR="009F06E2" w:rsidRPr="00D52A43" w:rsidRDefault="009F06E2" w:rsidP="003C3957">
                      <w:pPr>
                        <w:spacing w:before="0" w:after="0" w:line="240" w:lineRule="auto"/>
                        <w:jc w:val="center"/>
                        <w:rPr>
                          <w:rFonts w:ascii="Calibri" w:hAnsi="Calibri"/>
                          <w:b/>
                          <w:bCs/>
                          <w:color w:val="F0F5FA"/>
                          <w:sz w:val="18"/>
                          <w:szCs w:val="18"/>
                          <w:lang w:val="nl-NL" w:eastAsia="pl-PL"/>
                        </w:rPr>
                      </w:pPr>
                      <w:bookmarkStart w:id="141" w:name="_Hlk69383872"/>
                      <w:bookmarkEnd w:id="141"/>
                      <w:r w:rsidRPr="00D52A43">
                        <w:rPr>
                          <w:rFonts w:ascii="Calibri" w:hAnsi="Calibri"/>
                          <w:b/>
                          <w:bCs/>
                          <w:color w:val="F0F5FA"/>
                          <w:sz w:val="18"/>
                          <w:szCs w:val="18"/>
                          <w:lang w:val="nl-NL" w:eastAsia="pl-PL"/>
                        </w:rPr>
                        <w:t>Polska</w:t>
                      </w:r>
                    </w:p>
                    <w:p w14:paraId="26143DAE" w14:textId="77777777" w:rsidR="009F06E2" w:rsidRPr="00D52A43" w:rsidRDefault="009F06E2" w:rsidP="003C3957">
                      <w:pPr>
                        <w:spacing w:before="0" w:after="0" w:line="240" w:lineRule="auto"/>
                        <w:jc w:val="center"/>
                        <w:rPr>
                          <w:rFonts w:ascii="Calibri" w:hAnsi="Calibri"/>
                          <w:b/>
                          <w:bCs/>
                          <w:color w:val="F0F5FA"/>
                          <w:sz w:val="18"/>
                          <w:szCs w:val="18"/>
                          <w:lang w:val="nl-NL" w:eastAsia="pl-PL"/>
                        </w:rPr>
                      </w:pPr>
                      <w:r w:rsidRPr="00D52A43">
                        <w:rPr>
                          <w:rFonts w:ascii="Calibri" w:hAnsi="Calibri"/>
                          <w:b/>
                          <w:bCs/>
                          <w:color w:val="F0F5FA"/>
                          <w:sz w:val="18"/>
                          <w:szCs w:val="18"/>
                          <w:lang w:val="nl-NL" w:eastAsia="pl-PL"/>
                        </w:rPr>
                        <w:t xml:space="preserve"> GERD: 1,21 </w:t>
                      </w:r>
                    </w:p>
                    <w:p w14:paraId="718EF408" w14:textId="77777777" w:rsidR="009F06E2" w:rsidRPr="00D52A43" w:rsidRDefault="009F06E2" w:rsidP="003C3957">
                      <w:pPr>
                        <w:spacing w:before="0" w:after="0" w:line="240" w:lineRule="auto"/>
                        <w:jc w:val="center"/>
                        <w:rPr>
                          <w:rFonts w:ascii="Calibri" w:hAnsi="Calibri"/>
                          <w:b/>
                          <w:bCs/>
                          <w:color w:val="F0F5FA"/>
                          <w:sz w:val="18"/>
                          <w:szCs w:val="18"/>
                          <w:lang w:val="nl-NL" w:eastAsia="pl-PL"/>
                        </w:rPr>
                      </w:pPr>
                      <w:r w:rsidRPr="00D52A43">
                        <w:rPr>
                          <w:rFonts w:ascii="Calibri" w:hAnsi="Calibri"/>
                          <w:b/>
                          <w:bCs/>
                          <w:color w:val="F0F5FA"/>
                          <w:sz w:val="18"/>
                          <w:szCs w:val="18"/>
                          <w:lang w:val="nl-NL" w:eastAsia="pl-PL"/>
                        </w:rPr>
                        <w:t xml:space="preserve"> BERD: 0,8</w:t>
                      </w:r>
                    </w:p>
                    <w:p w14:paraId="1434C89D" w14:textId="77777777" w:rsidR="009F06E2" w:rsidRPr="00D52A43" w:rsidRDefault="009F06E2" w:rsidP="003C3957">
                      <w:pPr>
                        <w:spacing w:before="0" w:after="0" w:line="240" w:lineRule="auto"/>
                        <w:jc w:val="center"/>
                        <w:rPr>
                          <w:rFonts w:ascii="Calibri" w:hAnsi="Calibri"/>
                          <w:b/>
                          <w:bCs/>
                          <w:color w:val="F0F5FA"/>
                          <w:sz w:val="18"/>
                          <w:szCs w:val="18"/>
                          <w:lang w:val="nl-NL" w:eastAsia="pl-PL"/>
                        </w:rPr>
                      </w:pPr>
                      <w:r w:rsidRPr="00D52A43">
                        <w:rPr>
                          <w:rFonts w:ascii="Calibri" w:hAnsi="Calibri"/>
                          <w:b/>
                          <w:bCs/>
                          <w:color w:val="F0F5FA"/>
                          <w:sz w:val="18"/>
                          <w:szCs w:val="18"/>
                          <w:lang w:val="nl-NL" w:eastAsia="pl-PL"/>
                        </w:rPr>
                        <w:t xml:space="preserve"> GovERD: 0,02</w:t>
                      </w:r>
                    </w:p>
                    <w:p w14:paraId="4800E7E8" w14:textId="77777777" w:rsidR="009F06E2" w:rsidRPr="00D52A43" w:rsidRDefault="009F06E2" w:rsidP="003C3957">
                      <w:pPr>
                        <w:spacing w:before="0" w:after="0" w:line="240" w:lineRule="auto"/>
                        <w:jc w:val="center"/>
                        <w:rPr>
                          <w:rFonts w:ascii="Calibri" w:hAnsi="Calibri"/>
                          <w:b/>
                          <w:bCs/>
                          <w:color w:val="F0F5FA"/>
                          <w:sz w:val="18"/>
                          <w:szCs w:val="18"/>
                          <w:lang w:val="nl-NL" w:eastAsia="pl-PL"/>
                        </w:rPr>
                      </w:pPr>
                      <w:r w:rsidRPr="00D52A43">
                        <w:rPr>
                          <w:rFonts w:ascii="Calibri" w:hAnsi="Calibri"/>
                          <w:b/>
                          <w:bCs/>
                          <w:color w:val="F0F5FA"/>
                          <w:sz w:val="18"/>
                          <w:szCs w:val="18"/>
                          <w:lang w:val="nl-NL" w:eastAsia="pl-PL"/>
                        </w:rPr>
                        <w:t xml:space="preserve"> HERD: 0,38</w:t>
                      </w:r>
                    </w:p>
                  </w:txbxContent>
                </v:textbox>
              </v:shape>
            </w:pict>
          </mc:Fallback>
        </mc:AlternateContent>
      </w:r>
      <w:r>
        <w:rPr>
          <w:noProof/>
          <w:lang w:eastAsia="pl-PL"/>
        </w:rPr>
        <w:drawing>
          <wp:inline distT="0" distB="0" distL="0" distR="0" wp14:anchorId="07200BAE" wp14:editId="56F22EB8">
            <wp:extent cx="5760720" cy="3038475"/>
            <wp:effectExtent l="0" t="0" r="0" b="9525"/>
            <wp:docPr id="478" name="Obraz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760720" cy="3038475"/>
                    </a:xfrm>
                    <a:prstGeom prst="rect">
                      <a:avLst/>
                    </a:prstGeom>
                    <a:solidFill>
                      <a:srgbClr val="FFFFFF"/>
                    </a:solidFill>
                    <a:ln>
                      <a:noFill/>
                    </a:ln>
                  </pic:spPr>
                </pic:pic>
              </a:graphicData>
            </a:graphic>
          </wp:inline>
        </w:drawing>
      </w:r>
    </w:p>
    <w:p w14:paraId="1DC7C98C" w14:textId="5D9F1126" w:rsidR="003C3957" w:rsidRDefault="003C3957" w:rsidP="003C3957">
      <w:pPr>
        <w:pStyle w:val="Bezodstpw1"/>
      </w:pPr>
      <w:r>
        <w:t xml:space="preserve">Źródło: Opracowanie </w:t>
      </w:r>
      <w:r w:rsidR="003A56DA">
        <w:t>MRiT</w:t>
      </w:r>
      <w:r w:rsidR="003A5EA7">
        <w:t xml:space="preserve"> </w:t>
      </w:r>
      <w:r>
        <w:t xml:space="preserve">na podstawie </w:t>
      </w:r>
      <w:r w:rsidR="00341970">
        <w:t xml:space="preserve">danych </w:t>
      </w:r>
      <w:r>
        <w:t>Eurostat [rd_e_gerdtot]</w:t>
      </w:r>
    </w:p>
    <w:p w14:paraId="4EA25975" w14:textId="61CED709" w:rsidR="003C3957" w:rsidRDefault="003C3957" w:rsidP="003C3957">
      <w:pPr>
        <w:rPr>
          <w:szCs w:val="24"/>
        </w:rPr>
      </w:pPr>
      <w:r>
        <w:t>Pod względem nakładów wewnętrznych na działalność B+R mierzonych udziałem</w:t>
      </w:r>
      <w:r w:rsidR="006343E1">
        <w:t xml:space="preserve"> w </w:t>
      </w:r>
      <w:r>
        <w:t>PKB Polska wypada znac</w:t>
      </w:r>
      <w:r w:rsidR="00A86C89">
        <w:t xml:space="preserve">znie poniżej średniej unijnej </w:t>
      </w:r>
      <w:r w:rsidR="009724C2">
        <w:t xml:space="preserve">według danych Eurostatu </w:t>
      </w:r>
      <w:r>
        <w:t>(por. 1,</w:t>
      </w:r>
      <w:r w:rsidR="00880658">
        <w:t>39</w:t>
      </w:r>
      <w:r>
        <w:t>% wobec 2,</w:t>
      </w:r>
      <w:r w:rsidR="00880658">
        <w:t>32</w:t>
      </w:r>
      <w:r>
        <w:t>%). Chociaż wskaźnik ten w porównaniu do poziomu</w:t>
      </w:r>
      <w:r w:rsidR="006343E1">
        <w:t xml:space="preserve"> z </w:t>
      </w:r>
      <w:r>
        <w:t>2006 r. znacznie wzrósł, to wyprzedzają nas niektóre państwa regionu, takie jak Czechy, Węgry czy Estonia. Polską gospodarkę charakteryzuje dodatkowo wysoki udział przemysłu w PKB (21,7</w:t>
      </w:r>
      <w:r w:rsidR="00A86C89">
        <w:t>%</w:t>
      </w:r>
      <w:r w:rsidR="006343E1">
        <w:t xml:space="preserve"> w </w:t>
      </w:r>
      <w:r>
        <w:t>2019</w:t>
      </w:r>
      <w:r w:rsidR="009724C2">
        <w:t xml:space="preserve"> </w:t>
      </w:r>
      <w:r>
        <w:t>r.), przekraczający znacznie średnią unijną (16,8%). Podobną specyfik</w:t>
      </w:r>
      <w:r w:rsidR="00051269">
        <w:t>ą</w:t>
      </w:r>
      <w:r>
        <w:t xml:space="preserve"> charakteryzują się inne kraje regionu jak Czechy, Słowacja czy Węgry. Wysoki udział przemysłu, któremu towarzyszy wysoki udział nakładów wewnętrznych na działalność B+R, mają również Niemcy. Nowoczesny przemysł wytwarzający wysokiej jakości innowacyjne wyroby, </w:t>
      </w:r>
      <w:r w:rsidR="009724C2">
        <w:t>mający</w:t>
      </w:r>
      <w:r>
        <w:t xml:space="preserve"> zdolność do absorpcji nowych technologii oraz innowacji wymaga odpowiedniej wysokości nakładów finansowych na działalność B+R</w:t>
      </w:r>
      <w:r w:rsidR="009724C2">
        <w:t>.</w:t>
      </w:r>
    </w:p>
    <w:p w14:paraId="454EB552" w14:textId="68879987" w:rsidR="003C3957" w:rsidRDefault="003C3957" w:rsidP="003C3957">
      <w:r>
        <w:rPr>
          <w:szCs w:val="24"/>
        </w:rPr>
        <w:t>W ostatnich kilku latach obserwujemy dynamiczny wzrost nakładów na działalność B+R finansowanych przez sektor przedsiębiorstw.</w:t>
      </w:r>
      <w:r w:rsidR="006343E1">
        <w:rPr>
          <w:szCs w:val="24"/>
        </w:rPr>
        <w:t xml:space="preserve"> W </w:t>
      </w:r>
      <w:r>
        <w:rPr>
          <w:szCs w:val="24"/>
        </w:rPr>
        <w:t>2016 r. sektor przedsiębiorstw po raz pierwszy</w:t>
      </w:r>
      <w:r w:rsidR="006343E1">
        <w:rPr>
          <w:szCs w:val="24"/>
        </w:rPr>
        <w:t xml:space="preserve"> w </w:t>
      </w:r>
      <w:r>
        <w:rPr>
          <w:szCs w:val="24"/>
        </w:rPr>
        <w:t xml:space="preserve">historii stał się głównym źródłem </w:t>
      </w:r>
      <w:r>
        <w:rPr>
          <w:szCs w:val="24"/>
        </w:rPr>
        <w:lastRenderedPageBreak/>
        <w:t>finansowania prac B+R,</w:t>
      </w:r>
      <w:r w:rsidR="006343E1">
        <w:rPr>
          <w:szCs w:val="24"/>
        </w:rPr>
        <w:t xml:space="preserve"> a </w:t>
      </w:r>
      <w:r w:rsidR="00BF7FA1">
        <w:rPr>
          <w:szCs w:val="24"/>
        </w:rPr>
        <w:t>w</w:t>
      </w:r>
      <w:r w:rsidR="00341970">
        <w:rPr>
          <w:szCs w:val="24"/>
        </w:rPr>
        <w:t xml:space="preserve"> 20</w:t>
      </w:r>
      <w:r w:rsidR="00C24E0D">
        <w:rPr>
          <w:szCs w:val="24"/>
        </w:rPr>
        <w:t>20</w:t>
      </w:r>
      <w:r w:rsidR="00BF7FA1">
        <w:rPr>
          <w:szCs w:val="24"/>
        </w:rPr>
        <w:t xml:space="preserve"> r. </w:t>
      </w:r>
      <w:r>
        <w:rPr>
          <w:szCs w:val="24"/>
        </w:rPr>
        <w:t xml:space="preserve">jego udział </w:t>
      </w:r>
      <w:r w:rsidR="00BF7FA1">
        <w:rPr>
          <w:szCs w:val="24"/>
        </w:rPr>
        <w:t xml:space="preserve">wyniósł </w:t>
      </w:r>
      <w:r w:rsidR="00341970">
        <w:rPr>
          <w:szCs w:val="24"/>
        </w:rPr>
        <w:t>50,</w:t>
      </w:r>
      <w:r w:rsidR="00C24E0D">
        <w:rPr>
          <w:szCs w:val="24"/>
        </w:rPr>
        <w:t>6</w:t>
      </w:r>
      <w:r>
        <w:rPr>
          <w:szCs w:val="24"/>
        </w:rPr>
        <w:t xml:space="preserve">%. Udział </w:t>
      </w:r>
      <w:r w:rsidR="00EF6499" w:rsidRPr="00EF6499">
        <w:rPr>
          <w:szCs w:val="24"/>
        </w:rPr>
        <w:t xml:space="preserve">nakładów wewnętrznych na działalność B+R </w:t>
      </w:r>
      <w:r>
        <w:rPr>
          <w:szCs w:val="24"/>
        </w:rPr>
        <w:t>sektora przedsiębiorstw</w:t>
      </w:r>
      <w:r w:rsidR="006343E1">
        <w:rPr>
          <w:szCs w:val="24"/>
        </w:rPr>
        <w:t xml:space="preserve"> </w:t>
      </w:r>
      <w:r w:rsidR="006343E1" w:rsidRPr="00AE261F">
        <w:rPr>
          <w:szCs w:val="24"/>
        </w:rPr>
        <w:t>w </w:t>
      </w:r>
      <w:r w:rsidRPr="00AE261F">
        <w:rPr>
          <w:szCs w:val="24"/>
        </w:rPr>
        <w:t>nakładach</w:t>
      </w:r>
      <w:r>
        <w:rPr>
          <w:szCs w:val="24"/>
        </w:rPr>
        <w:t xml:space="preserve"> krajowych brutto na działalność B+R, biorąc pod uwagę sektory wykonawcze (podmioty ponoszące nakłady na działalność B+R bez względu na źródło pochodzenia środków), wyniósł 6</w:t>
      </w:r>
      <w:r w:rsidR="00C24E0D">
        <w:rPr>
          <w:szCs w:val="24"/>
        </w:rPr>
        <w:t>2,8</w:t>
      </w:r>
      <w:r>
        <w:rPr>
          <w:szCs w:val="24"/>
        </w:rPr>
        <w:t>%. Rośnie także liczba podmiotów zaangażowanych</w:t>
      </w:r>
      <w:r w:rsidR="006343E1">
        <w:rPr>
          <w:szCs w:val="24"/>
        </w:rPr>
        <w:t xml:space="preserve"> w </w:t>
      </w:r>
      <w:r>
        <w:rPr>
          <w:szCs w:val="24"/>
        </w:rPr>
        <w:t>prace badawczo-rozwojowe.</w:t>
      </w:r>
      <w:r w:rsidR="006343E1">
        <w:rPr>
          <w:szCs w:val="24"/>
        </w:rPr>
        <w:t xml:space="preserve"> W </w:t>
      </w:r>
      <w:r>
        <w:rPr>
          <w:szCs w:val="24"/>
        </w:rPr>
        <w:t>2018</w:t>
      </w:r>
      <w:r w:rsidR="009724C2">
        <w:rPr>
          <w:szCs w:val="24"/>
        </w:rPr>
        <w:t> </w:t>
      </w:r>
      <w:r>
        <w:rPr>
          <w:szCs w:val="24"/>
        </w:rPr>
        <w:t xml:space="preserve">r. było ich </w:t>
      </w:r>
      <w:r w:rsidR="00C24E0D">
        <w:rPr>
          <w:szCs w:val="24"/>
        </w:rPr>
        <w:t>6381</w:t>
      </w:r>
      <w:r>
        <w:rPr>
          <w:szCs w:val="24"/>
        </w:rPr>
        <w:t>,</w:t>
      </w:r>
      <w:r w:rsidR="006343E1">
        <w:rPr>
          <w:szCs w:val="24"/>
        </w:rPr>
        <w:t xml:space="preserve"> o </w:t>
      </w:r>
      <w:r w:rsidR="00C24E0D">
        <w:rPr>
          <w:szCs w:val="24"/>
        </w:rPr>
        <w:t>31,0</w:t>
      </w:r>
      <w:r>
        <w:rPr>
          <w:szCs w:val="24"/>
        </w:rPr>
        <w:t>% więcej niż</w:t>
      </w:r>
      <w:r w:rsidR="006343E1">
        <w:rPr>
          <w:szCs w:val="24"/>
        </w:rPr>
        <w:t xml:space="preserve"> w </w:t>
      </w:r>
      <w:r>
        <w:rPr>
          <w:szCs w:val="24"/>
        </w:rPr>
        <w:t>roku 2016. Ponadto</w:t>
      </w:r>
      <w:r w:rsidR="006343E1">
        <w:rPr>
          <w:szCs w:val="24"/>
        </w:rPr>
        <w:t xml:space="preserve"> </w:t>
      </w:r>
      <w:r w:rsidR="00F001C3">
        <w:rPr>
          <w:szCs w:val="24"/>
        </w:rPr>
        <w:t>od</w:t>
      </w:r>
      <w:r>
        <w:rPr>
          <w:szCs w:val="24"/>
        </w:rPr>
        <w:t xml:space="preserve"> 2018</w:t>
      </w:r>
      <w:r w:rsidR="00F001C3">
        <w:rPr>
          <w:szCs w:val="24"/>
        </w:rPr>
        <w:t xml:space="preserve"> r. niezmiennie</w:t>
      </w:r>
      <w:r>
        <w:rPr>
          <w:szCs w:val="24"/>
        </w:rPr>
        <w:t>, liczba pracujących</w:t>
      </w:r>
      <w:r w:rsidR="006343E1">
        <w:rPr>
          <w:szCs w:val="24"/>
        </w:rPr>
        <w:t xml:space="preserve"> w</w:t>
      </w:r>
      <w:r w:rsidR="009D05CC">
        <w:rPr>
          <w:szCs w:val="24"/>
        </w:rPr>
        <w:t xml:space="preserve"> działalności badawczej i rozwojowej </w:t>
      </w:r>
      <w:r w:rsidR="006343E1">
        <w:rPr>
          <w:szCs w:val="24"/>
        </w:rPr>
        <w:t>w </w:t>
      </w:r>
      <w:r>
        <w:rPr>
          <w:szCs w:val="24"/>
        </w:rPr>
        <w:t>sektorze przedsiębiorstw była wyższa niż pracujących</w:t>
      </w:r>
      <w:r w:rsidR="006343E1">
        <w:rPr>
          <w:szCs w:val="24"/>
        </w:rPr>
        <w:t xml:space="preserve"> w </w:t>
      </w:r>
      <w:r>
        <w:rPr>
          <w:szCs w:val="24"/>
        </w:rPr>
        <w:t>sektorze szkolnictwa wyższego.</w:t>
      </w:r>
    </w:p>
    <w:p w14:paraId="778EE021" w14:textId="3B3B530F" w:rsidR="003C3957" w:rsidRDefault="003C3957" w:rsidP="003C3957">
      <w:r>
        <w:rPr>
          <w:b/>
          <w:sz w:val="21"/>
          <w:szCs w:val="21"/>
        </w:rPr>
        <w:t xml:space="preserve">Wykres </w:t>
      </w:r>
      <w:r w:rsidR="00FC6E8F">
        <w:rPr>
          <w:b/>
          <w:sz w:val="21"/>
          <w:szCs w:val="21"/>
        </w:rPr>
        <w:t>71</w:t>
      </w:r>
      <w:r>
        <w:rPr>
          <w:b/>
          <w:sz w:val="21"/>
          <w:szCs w:val="21"/>
        </w:rPr>
        <w:t xml:space="preserve">. Nakłady wewnętrzne na </w:t>
      </w:r>
      <w:r w:rsidR="005271DA">
        <w:rPr>
          <w:b/>
          <w:sz w:val="21"/>
          <w:szCs w:val="21"/>
        </w:rPr>
        <w:t>działalność badawczą i rozwojową</w:t>
      </w:r>
      <w:r w:rsidR="000E20EA">
        <w:rPr>
          <w:rFonts w:cs="Calibri"/>
          <w:b/>
          <w:sz w:val="21"/>
          <w:szCs w:val="21"/>
        </w:rPr>
        <w:t xml:space="preserve"> (w mln zł)</w:t>
      </w:r>
    </w:p>
    <w:p w14:paraId="44CAEA6B" w14:textId="7C4FA389" w:rsidR="00C64B4A" w:rsidRDefault="005271DA" w:rsidP="00C64B4A">
      <w:pPr>
        <w:pStyle w:val="Akapitzlist"/>
        <w:spacing w:line="240" w:lineRule="auto"/>
        <w:ind w:left="0"/>
      </w:pPr>
      <w:r>
        <w:rPr>
          <w:noProof/>
          <w:lang w:eastAsia="pl-PL"/>
        </w:rPr>
        <w:drawing>
          <wp:inline distT="0" distB="0" distL="0" distR="0" wp14:anchorId="35B8F448" wp14:editId="68DF6252">
            <wp:extent cx="5760720" cy="2624968"/>
            <wp:effectExtent l="0" t="0" r="11430" b="23495"/>
            <wp:docPr id="27" name="Wykres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1E398C9D" w14:textId="1874D0C7" w:rsidR="00CC26C8" w:rsidRDefault="00CC26C8" w:rsidP="00CC26C8">
      <w:pPr>
        <w:pStyle w:val="Bezodstpw"/>
      </w:pPr>
      <w:r w:rsidRPr="00254AB9">
        <w:t>Źródło: Opracowanie M</w:t>
      </w:r>
      <w:r w:rsidR="00A32838">
        <w:t>R</w:t>
      </w:r>
      <w:r w:rsidRPr="00254AB9">
        <w:t>iT na podst</w:t>
      </w:r>
      <w:r>
        <w:t>awie</w:t>
      </w:r>
      <w:r w:rsidRPr="000E20EA">
        <w:t xml:space="preserve"> </w:t>
      </w:r>
      <w:r>
        <w:t>danych GUS</w:t>
      </w:r>
    </w:p>
    <w:p w14:paraId="0428E4D1" w14:textId="66EBD6A6" w:rsidR="00C64B4A" w:rsidRPr="00CC26C8" w:rsidRDefault="003C3957" w:rsidP="00CC26C8">
      <w:r>
        <w:rPr>
          <w:b/>
          <w:sz w:val="21"/>
          <w:szCs w:val="21"/>
        </w:rPr>
        <w:t>Wykres</w:t>
      </w:r>
      <w:r w:rsidR="00332B11">
        <w:rPr>
          <w:b/>
          <w:sz w:val="21"/>
          <w:szCs w:val="21"/>
        </w:rPr>
        <w:t xml:space="preserve"> 7</w:t>
      </w:r>
      <w:r w:rsidR="00FC6E8F">
        <w:rPr>
          <w:b/>
          <w:sz w:val="21"/>
          <w:szCs w:val="21"/>
        </w:rPr>
        <w:t>2</w:t>
      </w:r>
      <w:r>
        <w:rPr>
          <w:b/>
          <w:sz w:val="21"/>
          <w:szCs w:val="21"/>
        </w:rPr>
        <w:t>. Struktura nakładów wewnętrznych na działalność B+R według źródeł finansowania</w:t>
      </w:r>
      <w:r w:rsidR="00A22E73">
        <w:rPr>
          <w:b/>
          <w:sz w:val="21"/>
          <w:szCs w:val="21"/>
        </w:rPr>
        <w:t xml:space="preserve"> w latach 2000-2020</w:t>
      </w:r>
    </w:p>
    <w:p w14:paraId="2FDEE88A" w14:textId="1641C651" w:rsidR="00C64B4A" w:rsidRDefault="00A22E73" w:rsidP="00C64B4A">
      <w:pPr>
        <w:pStyle w:val="Akapitzlist"/>
        <w:spacing w:line="240" w:lineRule="auto"/>
        <w:ind w:left="0"/>
        <w:jc w:val="center"/>
        <w:rPr>
          <w:rFonts w:ascii="Verdana" w:hAnsi="Verdana"/>
          <w:sz w:val="20"/>
          <w:szCs w:val="20"/>
          <w:highlight w:val="yellow"/>
        </w:rPr>
      </w:pPr>
      <w:r>
        <w:rPr>
          <w:noProof/>
          <w:lang w:eastAsia="pl-PL"/>
        </w:rPr>
        <w:drawing>
          <wp:inline distT="0" distB="0" distL="0" distR="0" wp14:anchorId="132ECB6C" wp14:editId="5CCBC2B9">
            <wp:extent cx="5760720" cy="2627417"/>
            <wp:effectExtent l="0" t="0" r="11430" b="20955"/>
            <wp:docPr id="28" name="Wykres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69D9E969" w14:textId="6E568D8F" w:rsidR="00CC26C8" w:rsidRDefault="00CC26C8" w:rsidP="00CC26C8">
      <w:pPr>
        <w:pStyle w:val="Bezodstpw"/>
        <w:rPr>
          <w:rFonts w:ascii="Verdana" w:hAnsi="Verdana"/>
          <w:color w:val="auto"/>
          <w:sz w:val="20"/>
          <w:szCs w:val="20"/>
          <w:highlight w:val="yellow"/>
        </w:rPr>
      </w:pPr>
      <w:r>
        <w:t>Ź</w:t>
      </w:r>
      <w:r w:rsidRPr="00254AB9">
        <w:t>ródło: Opracowanie M</w:t>
      </w:r>
      <w:r w:rsidR="00A32838">
        <w:t>R</w:t>
      </w:r>
      <w:r w:rsidRPr="00254AB9">
        <w:t>iT na podst</w:t>
      </w:r>
      <w:r>
        <w:t>awie danych GUS</w:t>
      </w:r>
    </w:p>
    <w:p w14:paraId="3A93D170" w14:textId="67609C39" w:rsidR="003C3957" w:rsidRPr="008C1A59" w:rsidRDefault="003C3957" w:rsidP="003C3957">
      <w:pPr>
        <w:rPr>
          <w:szCs w:val="24"/>
        </w:rPr>
      </w:pPr>
      <w:r>
        <w:rPr>
          <w:szCs w:val="24"/>
        </w:rPr>
        <w:t>Intensywność prac B+R, czyli udział nakładów wewnętrznych na działalność B+R</w:t>
      </w:r>
      <w:r w:rsidR="006343E1">
        <w:rPr>
          <w:szCs w:val="24"/>
        </w:rPr>
        <w:t xml:space="preserve"> w </w:t>
      </w:r>
      <w:r>
        <w:rPr>
          <w:szCs w:val="24"/>
        </w:rPr>
        <w:t>PKB</w:t>
      </w:r>
      <w:r w:rsidR="009724C2">
        <w:rPr>
          <w:szCs w:val="24"/>
        </w:rPr>
        <w:t>,</w:t>
      </w:r>
      <w:r>
        <w:rPr>
          <w:szCs w:val="24"/>
        </w:rPr>
        <w:t xml:space="preserve"> jest jednak nadal stosunkowo niska (w latach 2014</w:t>
      </w:r>
      <w:r w:rsidR="009724C2">
        <w:rPr>
          <w:rFonts w:ascii="Times New Roman" w:hAnsi="Times New Roman" w:cs="Times New Roman"/>
          <w:szCs w:val="24"/>
        </w:rPr>
        <w:t>–</w:t>
      </w:r>
      <w:r>
        <w:rPr>
          <w:szCs w:val="24"/>
        </w:rPr>
        <w:t>16 oscylowała wokół 1%,</w:t>
      </w:r>
      <w:r w:rsidR="006343E1">
        <w:rPr>
          <w:szCs w:val="24"/>
        </w:rPr>
        <w:t xml:space="preserve"> a </w:t>
      </w:r>
      <w:r>
        <w:rPr>
          <w:szCs w:val="24"/>
        </w:rPr>
        <w:t>w 20</w:t>
      </w:r>
      <w:r w:rsidR="00C24E0D">
        <w:rPr>
          <w:szCs w:val="24"/>
        </w:rPr>
        <w:t>20</w:t>
      </w:r>
      <w:r>
        <w:rPr>
          <w:szCs w:val="24"/>
        </w:rPr>
        <w:t xml:space="preserve"> r. wyniosła 1,</w:t>
      </w:r>
      <w:r w:rsidR="00C24E0D">
        <w:rPr>
          <w:szCs w:val="24"/>
        </w:rPr>
        <w:t>39</w:t>
      </w:r>
      <w:r>
        <w:rPr>
          <w:szCs w:val="24"/>
        </w:rPr>
        <w:t>% PKB)</w:t>
      </w:r>
      <w:r w:rsidR="006343E1">
        <w:rPr>
          <w:szCs w:val="24"/>
        </w:rPr>
        <w:t xml:space="preserve"> i </w:t>
      </w:r>
      <w:r>
        <w:rPr>
          <w:szCs w:val="24"/>
        </w:rPr>
        <w:t>wymaga kontynuacji działań stymulujących wzrost inwestycji</w:t>
      </w:r>
      <w:r w:rsidR="006343E1">
        <w:rPr>
          <w:szCs w:val="24"/>
        </w:rPr>
        <w:t xml:space="preserve"> w </w:t>
      </w:r>
      <w:r>
        <w:rPr>
          <w:szCs w:val="24"/>
        </w:rPr>
        <w:t>projekty badawczo-rozwojowe, zwłaszcza po stronie sektora prywatnego.</w:t>
      </w:r>
    </w:p>
    <w:p w14:paraId="39E9FC9D" w14:textId="12DDF95D" w:rsidR="003C3957" w:rsidRDefault="003C3957" w:rsidP="003C3957">
      <w:r>
        <w:rPr>
          <w:color w:val="17365D"/>
        </w:rPr>
        <w:lastRenderedPageBreak/>
        <w:t>W ostatnich latach wprowadzono</w:t>
      </w:r>
      <w:r w:rsidR="006343E1">
        <w:rPr>
          <w:color w:val="17365D"/>
        </w:rPr>
        <w:t xml:space="preserve"> w </w:t>
      </w:r>
      <w:r>
        <w:rPr>
          <w:color w:val="17365D"/>
        </w:rPr>
        <w:t>tym celu do polskiego systemu prawnego pakiet ustaw</w:t>
      </w:r>
      <w:r w:rsidR="006343E1">
        <w:rPr>
          <w:color w:val="17365D"/>
        </w:rPr>
        <w:t xml:space="preserve"> o </w:t>
      </w:r>
      <w:r>
        <w:rPr>
          <w:color w:val="17365D"/>
        </w:rPr>
        <w:t>innowacyjności, zawierający narzędzia (m.in. ulgi podatkowe), które między innymi miały wesprzeć prowadzenie prac B+R czy ułatwić komercjalizację badań naukowych prowadzonych na uczelniach czy</w:t>
      </w:r>
      <w:r w:rsidR="006343E1">
        <w:rPr>
          <w:color w:val="17365D"/>
        </w:rPr>
        <w:t xml:space="preserve"> w </w:t>
      </w:r>
      <w:r>
        <w:rPr>
          <w:color w:val="17365D"/>
        </w:rPr>
        <w:t>instytutach badawczych. Funkcjonujące najwcześniej, bo od 2016 r</w:t>
      </w:r>
      <w:r w:rsidR="009724C2">
        <w:rPr>
          <w:color w:val="17365D"/>
        </w:rPr>
        <w:t>.,</w:t>
      </w:r>
      <w:r>
        <w:rPr>
          <w:color w:val="17365D"/>
        </w:rPr>
        <w:t xml:space="preserve"> ulgi podatkowe na prace badawczo-rozwojowe</w:t>
      </w:r>
      <w:r w:rsidR="006343E1">
        <w:rPr>
          <w:color w:val="17365D"/>
        </w:rPr>
        <w:t xml:space="preserve"> w </w:t>
      </w:r>
      <w:r>
        <w:rPr>
          <w:color w:val="17365D"/>
        </w:rPr>
        <w:t>kolejnych latach były sukcesywnie powiększane, tak pod względem wysokości dodatkowych odpisów podatkowych, jak</w:t>
      </w:r>
      <w:r w:rsidR="006343E1">
        <w:rPr>
          <w:color w:val="17365D"/>
        </w:rPr>
        <w:t xml:space="preserve"> i </w:t>
      </w:r>
      <w:r>
        <w:rPr>
          <w:color w:val="17365D"/>
        </w:rPr>
        <w:t>poszerzania katalogu kosztów kwalifikowanych. Powiększana ulga cieszyła się rosnącym zainteresowaniem firm,</w:t>
      </w:r>
      <w:r w:rsidR="006343E1">
        <w:rPr>
          <w:color w:val="17365D"/>
        </w:rPr>
        <w:t xml:space="preserve"> w </w:t>
      </w:r>
      <w:r>
        <w:rPr>
          <w:color w:val="17365D"/>
        </w:rPr>
        <w:t>2018 r</w:t>
      </w:r>
      <w:r w:rsidR="009724C2">
        <w:rPr>
          <w:color w:val="17365D"/>
        </w:rPr>
        <w:t>.</w:t>
      </w:r>
      <w:r>
        <w:rPr>
          <w:color w:val="17365D"/>
        </w:rPr>
        <w:t xml:space="preserve"> skorzystało</w:t>
      </w:r>
      <w:r w:rsidR="006343E1">
        <w:rPr>
          <w:color w:val="17365D"/>
        </w:rPr>
        <w:t xml:space="preserve"> z </w:t>
      </w:r>
      <w:r>
        <w:rPr>
          <w:color w:val="17365D"/>
        </w:rPr>
        <w:t>niej 951 podatników CIT oraz 893 podatników PIT (65% więcej podmiotów gospodarczych niż</w:t>
      </w:r>
      <w:r w:rsidR="006343E1">
        <w:rPr>
          <w:color w:val="17365D"/>
        </w:rPr>
        <w:t xml:space="preserve"> w </w:t>
      </w:r>
      <w:r>
        <w:rPr>
          <w:color w:val="17365D"/>
        </w:rPr>
        <w:t xml:space="preserve">roku 2017). </w:t>
      </w:r>
    </w:p>
    <w:p w14:paraId="608CD319" w14:textId="07232D65" w:rsidR="003C3957" w:rsidRDefault="003C3957" w:rsidP="003C3957">
      <w:r>
        <w:rPr>
          <w:rFonts w:cs="Calibri"/>
          <w:color w:val="17365D"/>
        </w:rPr>
        <w:t>W</w:t>
      </w:r>
      <w:r w:rsidR="009724C2">
        <w:rPr>
          <w:rFonts w:cs="Calibri"/>
          <w:color w:val="17365D"/>
        </w:rPr>
        <w:t>edłu</w:t>
      </w:r>
      <w:r>
        <w:rPr>
          <w:rFonts w:cs="Calibri"/>
          <w:color w:val="17365D"/>
        </w:rPr>
        <w:t>g danych OECD (2018)</w:t>
      </w:r>
      <w:r w:rsidR="006343E1">
        <w:rPr>
          <w:rFonts w:cs="Calibri"/>
          <w:color w:val="17365D"/>
        </w:rPr>
        <w:t xml:space="preserve"> w </w:t>
      </w:r>
      <w:r>
        <w:rPr>
          <w:rFonts w:cs="Calibri"/>
          <w:color w:val="17365D"/>
        </w:rPr>
        <w:t>Polsce 44,7% wydatków na prace B+R sektora przedsiębiorstw</w:t>
      </w:r>
      <w:r w:rsidR="006343E1">
        <w:rPr>
          <w:rFonts w:cs="Calibri"/>
          <w:color w:val="17365D"/>
        </w:rPr>
        <w:t xml:space="preserve"> w </w:t>
      </w:r>
      <w:r>
        <w:rPr>
          <w:rFonts w:cs="Calibri"/>
          <w:color w:val="17365D"/>
        </w:rPr>
        <w:t>2015 r. stanowiły wydatki ponoszone przez zagraniczne jednostki zależne,</w:t>
      </w:r>
      <w:r w:rsidR="006343E1">
        <w:rPr>
          <w:rFonts w:cs="Calibri"/>
          <w:color w:val="17365D"/>
        </w:rPr>
        <w:t xml:space="preserve"> a </w:t>
      </w:r>
      <w:r>
        <w:rPr>
          <w:rFonts w:cs="Calibri"/>
          <w:color w:val="17365D"/>
        </w:rPr>
        <w:t>więc przedsiębiorstwa będące pod kontrolą spółki macierzystej znajdującej się za</w:t>
      </w:r>
      <w:r w:rsidR="009724C2">
        <w:rPr>
          <w:rFonts w:cs="Calibri"/>
          <w:color w:val="17365D"/>
        </w:rPr>
        <w:t xml:space="preserve"> </w:t>
      </w:r>
      <w:r>
        <w:rPr>
          <w:rFonts w:cs="Calibri"/>
          <w:color w:val="17365D"/>
        </w:rPr>
        <w:t>granicą. Na przestrzeni ostatnich lat sytuacja ta nie uległa istotnym zmianom: prawie połowa kapitału kierowanego na badania naukowe</w:t>
      </w:r>
      <w:r w:rsidR="006343E1">
        <w:rPr>
          <w:rFonts w:cs="Calibri"/>
          <w:color w:val="17365D"/>
        </w:rPr>
        <w:t xml:space="preserve"> i </w:t>
      </w:r>
      <w:r>
        <w:rPr>
          <w:rFonts w:cs="Calibri"/>
          <w:color w:val="17365D"/>
        </w:rPr>
        <w:t>prace rozwojowe</w:t>
      </w:r>
      <w:r w:rsidR="006343E1">
        <w:rPr>
          <w:rFonts w:cs="Calibri"/>
          <w:color w:val="17365D"/>
        </w:rPr>
        <w:t xml:space="preserve"> w </w:t>
      </w:r>
      <w:r>
        <w:rPr>
          <w:rFonts w:cs="Calibri"/>
          <w:color w:val="17365D"/>
        </w:rPr>
        <w:t xml:space="preserve">przedsiębiorstwach jest kontrolowana przez firmy zagraniczne. Pod tym względem statystyki </w:t>
      </w:r>
      <w:r w:rsidR="009724C2">
        <w:rPr>
          <w:rFonts w:cs="Calibri"/>
          <w:color w:val="17365D"/>
        </w:rPr>
        <w:t>są</w:t>
      </w:r>
      <w:r>
        <w:rPr>
          <w:rFonts w:cs="Calibri"/>
          <w:color w:val="17365D"/>
        </w:rPr>
        <w:t xml:space="preserve"> podobne do </w:t>
      </w:r>
      <w:r w:rsidR="009724C2">
        <w:rPr>
          <w:rFonts w:cs="Calibri"/>
          <w:color w:val="17365D"/>
        </w:rPr>
        <w:t>statystyk</w:t>
      </w:r>
      <w:r>
        <w:rPr>
          <w:rFonts w:cs="Calibri"/>
          <w:color w:val="17365D"/>
        </w:rPr>
        <w:t xml:space="preserve"> takich krajów jak Słowenia czy Hiszpania, podczas gdy we Francji</w:t>
      </w:r>
      <w:r w:rsidR="006343E1">
        <w:rPr>
          <w:rFonts w:cs="Calibri"/>
          <w:color w:val="17365D"/>
        </w:rPr>
        <w:t xml:space="preserve"> i </w:t>
      </w:r>
      <w:r>
        <w:rPr>
          <w:rFonts w:cs="Calibri"/>
          <w:color w:val="17365D"/>
        </w:rPr>
        <w:t xml:space="preserve">Niemczech udział zagranicznych jednostek zależnych w wydatkach na działalność B+R znacząco </w:t>
      </w:r>
      <w:r w:rsidR="009724C2">
        <w:rPr>
          <w:rFonts w:cs="Calibri"/>
          <w:color w:val="17365D"/>
        </w:rPr>
        <w:t xml:space="preserve">się </w:t>
      </w:r>
      <w:r>
        <w:rPr>
          <w:rFonts w:cs="Calibri"/>
          <w:color w:val="17365D"/>
        </w:rPr>
        <w:t>zmniejszył (odpowiednio</w:t>
      </w:r>
      <w:r w:rsidR="006343E1">
        <w:rPr>
          <w:rFonts w:cs="Calibri"/>
          <w:color w:val="17365D"/>
        </w:rPr>
        <w:t xml:space="preserve"> w </w:t>
      </w:r>
      <w:r>
        <w:rPr>
          <w:rFonts w:cs="Calibri"/>
          <w:color w:val="17365D"/>
        </w:rPr>
        <w:t>2015 r.</w:t>
      </w:r>
      <w:r w:rsidR="006343E1">
        <w:rPr>
          <w:rFonts w:cs="Calibri"/>
          <w:color w:val="17365D"/>
        </w:rPr>
        <w:t xml:space="preserve"> w </w:t>
      </w:r>
      <w:r>
        <w:rPr>
          <w:rFonts w:cs="Calibri"/>
          <w:color w:val="17365D"/>
        </w:rPr>
        <w:t>por</w:t>
      </w:r>
      <w:r w:rsidR="009724C2">
        <w:rPr>
          <w:rFonts w:cs="Calibri"/>
          <w:color w:val="17365D"/>
        </w:rPr>
        <w:t>ównaniu</w:t>
      </w:r>
      <w:r>
        <w:rPr>
          <w:rFonts w:cs="Calibri"/>
          <w:color w:val="17365D"/>
        </w:rPr>
        <w:t xml:space="preserve"> do 2011 r.</w:t>
      </w:r>
      <w:r w:rsidR="006343E1">
        <w:rPr>
          <w:rFonts w:cs="Calibri"/>
          <w:color w:val="17365D"/>
        </w:rPr>
        <w:t xml:space="preserve"> o </w:t>
      </w:r>
      <w:r>
        <w:rPr>
          <w:rFonts w:cs="Calibri"/>
          <w:color w:val="17365D"/>
        </w:rPr>
        <w:t>6,9 p</w:t>
      </w:r>
      <w:r w:rsidR="009724C2">
        <w:rPr>
          <w:rFonts w:cs="Calibri"/>
          <w:color w:val="17365D"/>
        </w:rPr>
        <w:t>kt</w:t>
      </w:r>
      <w:r>
        <w:rPr>
          <w:rFonts w:cs="Calibri"/>
          <w:color w:val="17365D"/>
        </w:rPr>
        <w:t>.</w:t>
      </w:r>
      <w:r w:rsidR="009724C2">
        <w:rPr>
          <w:rFonts w:cs="Calibri"/>
          <w:color w:val="17365D"/>
        </w:rPr>
        <w:t xml:space="preserve"> </w:t>
      </w:r>
      <w:r>
        <w:rPr>
          <w:rFonts w:cs="Calibri"/>
          <w:color w:val="17365D"/>
        </w:rPr>
        <w:t>p</w:t>
      </w:r>
      <w:r w:rsidR="009724C2">
        <w:rPr>
          <w:rFonts w:cs="Calibri"/>
          <w:color w:val="17365D"/>
        </w:rPr>
        <w:t>roc</w:t>
      </w:r>
      <w:r>
        <w:rPr>
          <w:rFonts w:cs="Calibri"/>
          <w:color w:val="17365D"/>
        </w:rPr>
        <w:t>.</w:t>
      </w:r>
      <w:r w:rsidR="006343E1">
        <w:rPr>
          <w:rFonts w:cs="Calibri"/>
          <w:color w:val="17365D"/>
        </w:rPr>
        <w:t xml:space="preserve"> i </w:t>
      </w:r>
      <w:r>
        <w:rPr>
          <w:rFonts w:cs="Calibri"/>
          <w:color w:val="17365D"/>
        </w:rPr>
        <w:t>o 4,6 p.</w:t>
      </w:r>
      <w:r w:rsidR="009724C2">
        <w:rPr>
          <w:rFonts w:cs="Calibri"/>
          <w:color w:val="17365D"/>
        </w:rPr>
        <w:t xml:space="preserve"> </w:t>
      </w:r>
      <w:r>
        <w:rPr>
          <w:rFonts w:cs="Calibri"/>
          <w:color w:val="17365D"/>
        </w:rPr>
        <w:t>p</w:t>
      </w:r>
      <w:r w:rsidR="009724C2">
        <w:rPr>
          <w:rFonts w:cs="Calibri"/>
          <w:color w:val="17365D"/>
        </w:rPr>
        <w:t>roc</w:t>
      </w:r>
      <w:r>
        <w:rPr>
          <w:rFonts w:cs="Calibri"/>
          <w:color w:val="17365D"/>
        </w:rPr>
        <w:t>.).</w:t>
      </w:r>
    </w:p>
    <w:p w14:paraId="158B4B8A" w14:textId="2B9106D1" w:rsidR="003C3957" w:rsidRDefault="003C3957" w:rsidP="00CB07D4">
      <w:pPr>
        <w:ind w:left="993" w:hanging="993"/>
      </w:pPr>
      <w:r>
        <w:rPr>
          <w:rFonts w:cs="Calibri"/>
          <w:b/>
          <w:sz w:val="21"/>
          <w:szCs w:val="21"/>
        </w:rPr>
        <w:t xml:space="preserve">Wykres </w:t>
      </w:r>
      <w:r w:rsidR="00332B11">
        <w:rPr>
          <w:rFonts w:cs="Calibri"/>
          <w:b/>
          <w:sz w:val="21"/>
          <w:szCs w:val="21"/>
        </w:rPr>
        <w:t>7</w:t>
      </w:r>
      <w:r w:rsidR="00FC6E8F">
        <w:rPr>
          <w:rFonts w:cs="Calibri"/>
          <w:b/>
          <w:sz w:val="21"/>
          <w:szCs w:val="21"/>
        </w:rPr>
        <w:t>3</w:t>
      </w:r>
      <w:r>
        <w:rPr>
          <w:rFonts w:cs="Calibri"/>
          <w:b/>
          <w:sz w:val="21"/>
          <w:szCs w:val="21"/>
        </w:rPr>
        <w:t xml:space="preserve">. </w:t>
      </w:r>
      <w:r>
        <w:rPr>
          <w:b/>
          <w:sz w:val="21"/>
          <w:szCs w:val="21"/>
        </w:rPr>
        <w:t>Udział zagranicznych jednostek zależnych</w:t>
      </w:r>
      <w:r w:rsidR="006343E1">
        <w:rPr>
          <w:b/>
          <w:sz w:val="21"/>
          <w:szCs w:val="21"/>
        </w:rPr>
        <w:t xml:space="preserve"> w </w:t>
      </w:r>
      <w:r>
        <w:rPr>
          <w:b/>
          <w:sz w:val="21"/>
          <w:szCs w:val="21"/>
        </w:rPr>
        <w:t>wydatkach sektora przedsiębiorstw na działalność B+R</w:t>
      </w:r>
      <w:r w:rsidR="00403855">
        <w:rPr>
          <w:b/>
          <w:sz w:val="21"/>
          <w:szCs w:val="21"/>
        </w:rPr>
        <w:t> </w:t>
      </w:r>
      <w:r>
        <w:rPr>
          <w:b/>
          <w:sz w:val="21"/>
          <w:szCs w:val="21"/>
        </w:rPr>
        <w:t>(%)</w:t>
      </w:r>
    </w:p>
    <w:p w14:paraId="1BDD9E5D" w14:textId="3A3EA824" w:rsidR="003C3957" w:rsidRPr="00CC26C8" w:rsidRDefault="003C3957" w:rsidP="003C3957">
      <w:pPr>
        <w:rPr>
          <w:rStyle w:val="BezodstpwZnak"/>
        </w:rPr>
      </w:pPr>
      <w:r>
        <w:rPr>
          <w:noProof/>
          <w:lang w:eastAsia="pl-PL"/>
        </w:rPr>
        <w:drawing>
          <wp:inline distT="0" distB="0" distL="0" distR="0" wp14:anchorId="3B66F00A" wp14:editId="1F6B9E90">
            <wp:extent cx="4886325" cy="2581275"/>
            <wp:effectExtent l="0" t="0" r="9525" b="9525"/>
            <wp:docPr id="475" name="Obraz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11">
                      <a:extLst>
                        <a:ext uri="{28A0092B-C50C-407E-A947-70E740481C1C}">
                          <a14:useLocalDpi xmlns:a14="http://schemas.microsoft.com/office/drawing/2010/main" val="0"/>
                        </a:ext>
                      </a:extLst>
                    </a:blip>
                    <a:srcRect l="781" t="1466" r="3279" b="2933"/>
                    <a:stretch>
                      <a:fillRect/>
                    </a:stretch>
                  </pic:blipFill>
                  <pic:spPr bwMode="auto">
                    <a:xfrm>
                      <a:off x="0" y="0"/>
                      <a:ext cx="4886325" cy="2581275"/>
                    </a:xfrm>
                    <a:prstGeom prst="rect">
                      <a:avLst/>
                    </a:prstGeom>
                    <a:solidFill>
                      <a:srgbClr val="FFFFFF"/>
                    </a:solidFill>
                    <a:ln>
                      <a:noFill/>
                    </a:ln>
                  </pic:spPr>
                </pic:pic>
              </a:graphicData>
            </a:graphic>
          </wp:inline>
        </w:drawing>
      </w:r>
      <w:r>
        <w:br/>
      </w:r>
      <w:r w:rsidRPr="00CC26C8">
        <w:rPr>
          <w:rStyle w:val="BezodstpwZnak"/>
        </w:rPr>
        <w:t xml:space="preserve">Źródło: Opracowanie </w:t>
      </w:r>
      <w:r w:rsidR="003A56DA">
        <w:rPr>
          <w:rStyle w:val="BezodstpwZnak"/>
        </w:rPr>
        <w:t>MRiT</w:t>
      </w:r>
      <w:r w:rsidR="003A5EA7" w:rsidRPr="00CC26C8">
        <w:rPr>
          <w:rStyle w:val="BezodstpwZnak"/>
        </w:rPr>
        <w:t xml:space="preserve"> </w:t>
      </w:r>
      <w:r w:rsidRPr="00CC26C8">
        <w:rPr>
          <w:rStyle w:val="BezodstpwZnak"/>
        </w:rPr>
        <w:t>na podstawie OECD (2018)</w:t>
      </w:r>
    </w:p>
    <w:p w14:paraId="2011163A" w14:textId="3035BC89" w:rsidR="003C3957" w:rsidRDefault="003C3957" w:rsidP="003C3957">
      <w:r>
        <w:t>Struktura nakładów wewnętrznych na działalność B+R według źródeł finansowania potwierdza wzrost zaangażowania sektora przedsiębiorstw w prace B+R. W</w:t>
      </w:r>
      <w:r w:rsidR="00403855">
        <w:t>edłu</w:t>
      </w:r>
      <w:r>
        <w:t>g danych GUS</w:t>
      </w:r>
      <w:r w:rsidR="006343E1">
        <w:t xml:space="preserve"> w </w:t>
      </w:r>
      <w:r>
        <w:t>20</w:t>
      </w:r>
      <w:r w:rsidR="004C0A4E">
        <w:t>20</w:t>
      </w:r>
      <w:r>
        <w:t xml:space="preserve"> r. dominujący udział miał sektor przedsiębiorstw (5</w:t>
      </w:r>
      <w:r w:rsidR="004C0A4E">
        <w:t>0,6</w:t>
      </w:r>
      <w:r>
        <w:t>%), za nim plasuje się sektor rządowy (3</w:t>
      </w:r>
      <w:r w:rsidR="004C0A4E">
        <w:t>9,0</w:t>
      </w:r>
      <w:r>
        <w:t>%),</w:t>
      </w:r>
      <w:r w:rsidR="006343E1">
        <w:t xml:space="preserve"> w </w:t>
      </w:r>
      <w:r>
        <w:t>dalszej kolejności środki</w:t>
      </w:r>
      <w:r w:rsidR="006343E1">
        <w:t xml:space="preserve"> z </w:t>
      </w:r>
      <w:r>
        <w:t>zagranicy (7,</w:t>
      </w:r>
      <w:r w:rsidR="004C0A4E">
        <w:t>2</w:t>
      </w:r>
      <w:r>
        <w:t>%)</w:t>
      </w:r>
      <w:r w:rsidR="00206588">
        <w:t>,</w:t>
      </w:r>
      <w:r>
        <w:t xml:space="preserve"> sektor szkolnictwa wyższego (</w:t>
      </w:r>
      <w:r w:rsidR="004C0A4E">
        <w:t>2,7</w:t>
      </w:r>
      <w:r>
        <w:t>%)</w:t>
      </w:r>
      <w:r w:rsidR="00206588">
        <w:t xml:space="preserve"> oraz sektor prywatnych instytucji niekomercyjnych (0,</w:t>
      </w:r>
      <w:r w:rsidR="004C0A4E">
        <w:t>5</w:t>
      </w:r>
      <w:r w:rsidR="00206588">
        <w:t>%)</w:t>
      </w:r>
      <w:r>
        <w:t xml:space="preserve">. </w:t>
      </w:r>
      <w:r w:rsidR="00206588">
        <w:t>Do 2015 r.</w:t>
      </w:r>
      <w:r>
        <w:t xml:space="preserve"> to sektor rządowy stanowił główne źródło finansowania nakładów wewnętrznych na działalność B+R.</w:t>
      </w:r>
    </w:p>
    <w:p w14:paraId="4A8E6AA3" w14:textId="12F811BB" w:rsidR="003C3957" w:rsidRDefault="003C3957" w:rsidP="003C3957">
      <w:r>
        <w:t>Syntetyczny obraz innowacyjności polskiej gospodarki dają rankingi międzynarodowych instytucji poświęcone temu zagadnieniu,</w:t>
      </w:r>
      <w:r w:rsidR="006343E1">
        <w:t xml:space="preserve"> w </w:t>
      </w:r>
      <w:r>
        <w:t xml:space="preserve">których pozycja Polski jest odległa od </w:t>
      </w:r>
      <w:r w:rsidR="00403855">
        <w:t xml:space="preserve">pozycji </w:t>
      </w:r>
      <w:r>
        <w:t>liderów.</w:t>
      </w:r>
      <w:r w:rsidR="006343E1">
        <w:t xml:space="preserve"> W </w:t>
      </w:r>
      <w:r>
        <w:t xml:space="preserve">światowym rankingu innowacyjności GIobal Innovation Index (GII, </w:t>
      </w:r>
      <w:r w:rsidR="00AA0C80">
        <w:t>2021</w:t>
      </w:r>
      <w:r>
        <w:t>) Polska umiejscowiła się daleko za Czechami (2</w:t>
      </w:r>
      <w:r w:rsidR="00AA0C80">
        <w:t>4</w:t>
      </w:r>
      <w:r>
        <w:t>.)</w:t>
      </w:r>
      <w:r w:rsidR="006343E1">
        <w:t xml:space="preserve"> i </w:t>
      </w:r>
      <w:r>
        <w:t>Estonią (24.)</w:t>
      </w:r>
      <w:r w:rsidR="00403855">
        <w:t>,</w:t>
      </w:r>
      <w:r>
        <w:t xml:space="preserve"> zajmując 39</w:t>
      </w:r>
      <w:r w:rsidR="00403855">
        <w:t>. </w:t>
      </w:r>
      <w:r>
        <w:t>pozycję. Za słabości naszej gospodarki uznano m.in</w:t>
      </w:r>
      <w:r w:rsidR="00AA0C80">
        <w:t xml:space="preserve">.: </w:t>
      </w:r>
      <w:r>
        <w:t>brak globalnych firm B+R, niezadowalającą współpracę przemysłu</w:t>
      </w:r>
      <w:r w:rsidR="006343E1">
        <w:t xml:space="preserve"> i </w:t>
      </w:r>
      <w:r>
        <w:t>nauki oraz brak strategicznych partnerstw JV.</w:t>
      </w:r>
    </w:p>
    <w:p w14:paraId="6347D54C" w14:textId="7B49B230" w:rsidR="00403855" w:rsidRDefault="003C3957" w:rsidP="003C3957">
      <w:pPr>
        <w:pStyle w:val="Bezodstpw1"/>
        <w:rPr>
          <w:rStyle w:val="BezodstpwZnak"/>
        </w:rPr>
      </w:pPr>
      <w:r w:rsidRPr="00332B11">
        <w:rPr>
          <w:rStyle w:val="Nagwek4Znak"/>
          <w:i w:val="0"/>
        </w:rPr>
        <w:lastRenderedPageBreak/>
        <w:t xml:space="preserve">Wykres </w:t>
      </w:r>
      <w:r w:rsidR="00FC6E8F">
        <w:rPr>
          <w:rStyle w:val="Nagwek4Znak"/>
          <w:i w:val="0"/>
        </w:rPr>
        <w:t>74</w:t>
      </w:r>
      <w:r w:rsidRPr="00CB07D4">
        <w:rPr>
          <w:rStyle w:val="Nagwek4Znak"/>
        </w:rPr>
        <w:fldChar w:fldCharType="begin"/>
      </w:r>
      <w:r w:rsidRPr="00332B11">
        <w:rPr>
          <w:rStyle w:val="Nagwek4Znak"/>
          <w:i w:val="0"/>
        </w:rPr>
        <w:instrText xml:space="preserve"> SEQ "Rysunek" \* ARABIC </w:instrText>
      </w:r>
      <w:r w:rsidRPr="00CB07D4">
        <w:rPr>
          <w:rStyle w:val="Nagwek4Znak"/>
        </w:rPr>
        <w:fldChar w:fldCharType="end"/>
      </w:r>
      <w:r w:rsidRPr="00332B11">
        <w:rPr>
          <w:rStyle w:val="Nagwek4Znak"/>
          <w:i w:val="0"/>
        </w:rPr>
        <w:t>. Ranking innowacyjności krajów U</w:t>
      </w:r>
      <w:r w:rsidR="00403855">
        <w:rPr>
          <w:rStyle w:val="Nagwek4Znak"/>
          <w:i w:val="0"/>
        </w:rPr>
        <w:t xml:space="preserve">nii </w:t>
      </w:r>
      <w:r w:rsidRPr="00332B11">
        <w:rPr>
          <w:rStyle w:val="Nagwek4Znak"/>
          <w:i w:val="0"/>
        </w:rPr>
        <w:t>E</w:t>
      </w:r>
      <w:r w:rsidR="00403855">
        <w:rPr>
          <w:rStyle w:val="Nagwek4Znak"/>
          <w:i w:val="0"/>
        </w:rPr>
        <w:t>uropejskiej</w:t>
      </w:r>
      <w:r w:rsidRPr="00332B11">
        <w:rPr>
          <w:rStyle w:val="Nagwek4Znak"/>
          <w:i w:val="0"/>
        </w:rPr>
        <w:cr/>
      </w:r>
      <w:r w:rsidR="00332B11" w:rsidRPr="00DD0084">
        <w:rPr>
          <w:i w:val="0"/>
          <w:noProof/>
          <w:lang w:eastAsia="pl-PL"/>
        </w:rPr>
        <mc:AlternateContent>
          <mc:Choice Requires="wpg">
            <w:drawing>
              <wp:inline distT="0" distB="0" distL="0" distR="0" wp14:anchorId="6E86ADBA" wp14:editId="2C600561">
                <wp:extent cx="2783972" cy="1808328"/>
                <wp:effectExtent l="0" t="0" r="0" b="1905"/>
                <wp:docPr id="81" name="Grupa 16"/>
                <wp:cNvGraphicFramePr/>
                <a:graphic xmlns:a="http://schemas.openxmlformats.org/drawingml/2006/main">
                  <a:graphicData uri="http://schemas.microsoft.com/office/word/2010/wordprocessingGroup">
                    <wpg:wgp>
                      <wpg:cNvGrpSpPr/>
                      <wpg:grpSpPr>
                        <a:xfrm>
                          <a:off x="0" y="0"/>
                          <a:ext cx="2783972" cy="1808328"/>
                          <a:chOff x="0" y="0"/>
                          <a:chExt cx="2695575" cy="1266825"/>
                        </a:xfrm>
                      </wpg:grpSpPr>
                      <wpg:grpSp>
                        <wpg:cNvPr id="85" name="Grupa 85"/>
                        <wpg:cNvGrpSpPr/>
                        <wpg:grpSpPr>
                          <a:xfrm>
                            <a:off x="0" y="285750"/>
                            <a:ext cx="2695575" cy="981075"/>
                            <a:chOff x="0" y="285750"/>
                            <a:chExt cx="2695575" cy="981075"/>
                          </a:xfrm>
                        </wpg:grpSpPr>
                        <wps:wsp>
                          <wps:cNvPr id="86" name="Łącznik prostoliniowy 86"/>
                          <wps:cNvCnPr/>
                          <wps:spPr>
                            <a:xfrm>
                              <a:off x="2105025" y="609600"/>
                              <a:ext cx="0" cy="323849"/>
                            </a:xfrm>
                            <a:prstGeom prst="line">
                              <a:avLst/>
                            </a:prstGeom>
                            <a:ln w="25400">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87" name="Łącznik prostoliniowy 87"/>
                          <wps:cNvCnPr/>
                          <wps:spPr>
                            <a:xfrm>
                              <a:off x="1352550" y="285750"/>
                              <a:ext cx="0" cy="323849"/>
                            </a:xfrm>
                            <a:prstGeom prst="line">
                              <a:avLst/>
                            </a:prstGeom>
                            <a:ln w="25400">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88" name="Prostokąt 88"/>
                          <wps:cNvSpPr/>
                          <wps:spPr>
                            <a:xfrm>
                              <a:off x="0" y="714375"/>
                              <a:ext cx="1181100" cy="55245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E49466" w14:textId="77777777" w:rsidR="009F06E2" w:rsidRPr="00E20418" w:rsidRDefault="009F06E2" w:rsidP="00332B11">
                                <w:pPr>
                                  <w:pStyle w:val="NormalnyWeb"/>
                                  <w:spacing w:before="0" w:beforeAutospacing="0" w:after="0" w:afterAutospacing="0"/>
                                  <w:jc w:val="center"/>
                                  <w:rPr>
                                    <w:sz w:val="22"/>
                                  </w:rPr>
                                </w:pPr>
                                <w:r w:rsidRPr="00E20418">
                                  <w:rPr>
                                    <w:rFonts w:asciiTheme="minorHAnsi" w:hAnsi="Calibri" w:cstheme="minorBidi"/>
                                    <w:b/>
                                    <w:bCs/>
                                    <w:color w:val="FFFFFF" w:themeColor="light1"/>
                                    <w:sz w:val="20"/>
                                    <w:szCs w:val="21"/>
                                  </w:rPr>
                                  <w:t>25</w:t>
                                </w:r>
                              </w:p>
                              <w:p w14:paraId="431DC121" w14:textId="77777777" w:rsidR="009F06E2" w:rsidRDefault="009F06E2" w:rsidP="00332B11">
                                <w:pPr>
                                  <w:pStyle w:val="NormalnyWeb"/>
                                  <w:spacing w:before="0" w:beforeAutospacing="0" w:after="0" w:afterAutospacing="0"/>
                                  <w:jc w:val="center"/>
                                </w:pPr>
                                <w:r>
                                  <w:rPr>
                                    <w:rFonts w:asciiTheme="minorHAnsi" w:hAnsi="Calibri" w:cstheme="minorBidi"/>
                                    <w:b/>
                                    <w:bCs/>
                                    <w:color w:val="FFFFFF" w:themeColor="light1"/>
                                    <w:sz w:val="18"/>
                                    <w:szCs w:val="18"/>
                                  </w:rPr>
                                  <w:t>europejski ranking innowacyjności EIS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9" name="Prostokąt 89"/>
                          <wps:cNvSpPr/>
                          <wps:spPr>
                            <a:xfrm>
                              <a:off x="1514475" y="714375"/>
                              <a:ext cx="1181100" cy="55245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86F20B" w14:textId="77777777" w:rsidR="009F06E2" w:rsidRDefault="009F06E2" w:rsidP="00332B11">
                                <w:pPr>
                                  <w:pStyle w:val="NormalnyWeb"/>
                                  <w:spacing w:before="0" w:beforeAutospacing="0" w:after="0" w:afterAutospacing="0"/>
                                  <w:jc w:val="center"/>
                                  <w:rPr>
                                    <w:rFonts w:asciiTheme="minorHAnsi" w:hAnsi="Calibri" w:cstheme="minorBidi"/>
                                    <w:b/>
                                    <w:bCs/>
                                    <w:color w:val="FFFFFF" w:themeColor="light1"/>
                                    <w:sz w:val="18"/>
                                    <w:szCs w:val="20"/>
                                  </w:rPr>
                                </w:pPr>
                                <w:r w:rsidRPr="00E20418">
                                  <w:rPr>
                                    <w:rFonts w:asciiTheme="minorHAnsi" w:hAnsi="Calibri" w:cstheme="minorBidi"/>
                                    <w:b/>
                                    <w:bCs/>
                                    <w:color w:val="FFFFFF" w:themeColor="light1"/>
                                    <w:sz w:val="18"/>
                                    <w:szCs w:val="20"/>
                                  </w:rPr>
                                  <w:t>39 (na 126 krajów)</w:t>
                                </w:r>
                              </w:p>
                              <w:p w14:paraId="3F006EC8" w14:textId="77777777" w:rsidR="009F06E2" w:rsidRPr="00E20418" w:rsidRDefault="009F06E2" w:rsidP="00332B11">
                                <w:pPr>
                                  <w:pStyle w:val="NormalnyWeb"/>
                                  <w:spacing w:before="0" w:beforeAutospacing="0" w:after="0" w:afterAutospacing="0"/>
                                  <w:jc w:val="center"/>
                                  <w:rPr>
                                    <w:sz w:val="2"/>
                                  </w:rPr>
                                </w:pPr>
                              </w:p>
                              <w:p w14:paraId="0EA6BFE2" w14:textId="77777777" w:rsidR="009F06E2" w:rsidRDefault="009F06E2" w:rsidP="00332B11">
                                <w:pPr>
                                  <w:pStyle w:val="NormalnyWeb"/>
                                  <w:spacing w:before="0" w:beforeAutospacing="0" w:after="0" w:afterAutospacing="0"/>
                                  <w:jc w:val="center"/>
                                </w:pPr>
                                <w:r>
                                  <w:rPr>
                                    <w:rFonts w:asciiTheme="minorHAnsi" w:hAnsi="Calibri" w:cstheme="minorBidi"/>
                                    <w:b/>
                                    <w:bCs/>
                                    <w:color w:val="FFFFFF" w:themeColor="light1"/>
                                    <w:sz w:val="18"/>
                                    <w:szCs w:val="18"/>
                                  </w:rPr>
                                  <w:t>globalny ranking innowacyjności GII</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0" name="Łącznik prostoliniowy 90"/>
                          <wps:cNvCnPr/>
                          <wps:spPr>
                            <a:xfrm>
                              <a:off x="409575" y="609601"/>
                              <a:ext cx="1695450" cy="9524"/>
                            </a:xfrm>
                            <a:prstGeom prst="line">
                              <a:avLst/>
                            </a:prstGeom>
                            <a:ln w="25400">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91" name="Łącznik prostoliniowy 91"/>
                          <wps:cNvCnPr/>
                          <wps:spPr>
                            <a:xfrm>
                              <a:off x="428625" y="619125"/>
                              <a:ext cx="0" cy="323849"/>
                            </a:xfrm>
                            <a:prstGeom prst="line">
                              <a:avLst/>
                            </a:prstGeom>
                            <a:ln w="25400">
                              <a:solidFill>
                                <a:schemeClr val="accent1"/>
                              </a:solidFill>
                            </a:ln>
                          </wps:spPr>
                          <wps:style>
                            <a:lnRef idx="1">
                              <a:schemeClr val="accent1"/>
                            </a:lnRef>
                            <a:fillRef idx="0">
                              <a:schemeClr val="accent1"/>
                            </a:fillRef>
                            <a:effectRef idx="0">
                              <a:schemeClr val="accent1"/>
                            </a:effectRef>
                            <a:fontRef idx="minor">
                              <a:schemeClr val="tx1"/>
                            </a:fontRef>
                          </wps:style>
                          <wps:bodyPr/>
                        </wps:wsp>
                      </wpg:grpSp>
                      <wps:wsp>
                        <wps:cNvPr id="92" name="Prostokąt 92"/>
                        <wps:cNvSpPr/>
                        <wps:spPr>
                          <a:xfrm>
                            <a:off x="752475" y="0"/>
                            <a:ext cx="1123950" cy="55245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1BF0AF" w14:textId="77777777" w:rsidR="009F06E2" w:rsidRDefault="009F06E2" w:rsidP="00332B11">
                              <w:pPr>
                                <w:pStyle w:val="NormalnyWeb"/>
                                <w:spacing w:before="0" w:beforeAutospacing="0" w:after="0" w:afterAutospacing="0"/>
                                <w:jc w:val="center"/>
                              </w:pPr>
                              <w:r>
                                <w:rPr>
                                  <w:rFonts w:asciiTheme="minorHAnsi" w:hAnsi="Calibri" w:cstheme="minorBidi"/>
                                  <w:b/>
                                  <w:bCs/>
                                  <w:color w:val="FFFFFF" w:themeColor="light1"/>
                                  <w:sz w:val="18"/>
                                  <w:szCs w:val="18"/>
                                </w:rPr>
                                <w:t xml:space="preserve">Pozycja Polski </w:t>
                              </w:r>
                              <w:r>
                                <w:rPr>
                                  <w:rFonts w:asciiTheme="minorHAnsi" w:hAnsi="Calibri" w:cstheme="minorBidi"/>
                                  <w:b/>
                                  <w:bCs/>
                                  <w:color w:val="FFFFFF" w:themeColor="light1"/>
                                  <w:sz w:val="18"/>
                                  <w:szCs w:val="18"/>
                                </w:rPr>
                                <w:br/>
                                <w:t>w rankingach innowacyjności</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E86ADBA" id="Grupa 16" o:spid="_x0000_s1027" style="width:219.2pt;height:142.4pt;mso-position-horizontal-relative:char;mso-position-vertical-relative:line" coordsize="26955,1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">
                <v:group id="Grupa 85" o:spid="_x0000_s1028" style="position:absolute;top:2857;width:26955;height:9811" coordorigin=",2857" coordsize="26955,9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line id="Łącznik prostoliniowy 86" o:spid="_x0000_s1029" style="position:absolute;visibility:visible;mso-wrap-style:square" from="21050,6096" to="21050,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" strokecolor="#4f81bd [3204]" strokeweight="2pt"/>
                  <v:line id="Łącznik prostoliniowy 87" o:spid="_x0000_s1030" style="position:absolute;visibility:visible;mso-wrap-style:square" from="13525,2857" to="13525,6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" strokecolor="#4f81bd [3204]" strokeweight="2pt"/>
                  <v:rect id="Prostokąt 88" o:spid="_x0000_s1031" style="position:absolute;top:7143;width:11811;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" fillcolor="#4f81bd [3204]" stroked="f" strokeweight="2pt">
                    <v:textbox>
                      <w:txbxContent>
                        <w:p w14:paraId="13E49466" w14:textId="77777777" w:rsidR="009F06E2" w:rsidRPr="00E20418" w:rsidRDefault="009F06E2" w:rsidP="00332B11">
                          <w:pPr>
                            <w:pStyle w:val="NormalnyWeb"/>
                            <w:spacing w:before="0" w:beforeAutospacing="0" w:after="0" w:afterAutospacing="0"/>
                            <w:jc w:val="center"/>
                            <w:rPr>
                              <w:sz w:val="22"/>
                            </w:rPr>
                          </w:pPr>
                          <w:r w:rsidRPr="00E20418">
                            <w:rPr>
                              <w:rFonts w:asciiTheme="minorHAnsi" w:hAnsi="Calibri" w:cstheme="minorBidi"/>
                              <w:b/>
                              <w:bCs/>
                              <w:color w:val="FFFFFF" w:themeColor="light1"/>
                              <w:sz w:val="20"/>
                              <w:szCs w:val="21"/>
                            </w:rPr>
                            <w:t>25</w:t>
                          </w:r>
                        </w:p>
                        <w:p w14:paraId="431DC121" w14:textId="77777777" w:rsidR="009F06E2" w:rsidRDefault="009F06E2" w:rsidP="00332B11">
                          <w:pPr>
                            <w:pStyle w:val="NormalnyWeb"/>
                            <w:spacing w:before="0" w:beforeAutospacing="0" w:after="0" w:afterAutospacing="0"/>
                            <w:jc w:val="center"/>
                          </w:pPr>
                          <w:r>
                            <w:rPr>
                              <w:rFonts w:asciiTheme="minorHAnsi" w:hAnsi="Calibri" w:cstheme="minorBidi"/>
                              <w:b/>
                              <w:bCs/>
                              <w:color w:val="FFFFFF" w:themeColor="light1"/>
                              <w:sz w:val="18"/>
                              <w:szCs w:val="18"/>
                            </w:rPr>
                            <w:t>europejski ranking innowacyjności EIS</w:t>
                          </w:r>
                        </w:p>
                      </w:txbxContent>
                    </v:textbox>
                  </v:rect>
                  <v:rect id="Prostokąt 89" o:spid="_x0000_s1032" style="position:absolute;left:15144;top:7143;width:11811;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" fillcolor="#4f81bd [3204]" stroked="f" strokeweight="2pt">
                    <v:textbox>
                      <w:txbxContent>
                        <w:p w14:paraId="6786F20B" w14:textId="77777777" w:rsidR="009F06E2" w:rsidRDefault="009F06E2" w:rsidP="00332B11">
                          <w:pPr>
                            <w:pStyle w:val="NormalnyWeb"/>
                            <w:spacing w:before="0" w:beforeAutospacing="0" w:after="0" w:afterAutospacing="0"/>
                            <w:jc w:val="center"/>
                            <w:rPr>
                              <w:rFonts w:asciiTheme="minorHAnsi" w:hAnsi="Calibri" w:cstheme="minorBidi"/>
                              <w:b/>
                              <w:bCs/>
                              <w:color w:val="FFFFFF" w:themeColor="light1"/>
                              <w:sz w:val="18"/>
                              <w:szCs w:val="20"/>
                            </w:rPr>
                          </w:pPr>
                          <w:r w:rsidRPr="00E20418">
                            <w:rPr>
                              <w:rFonts w:asciiTheme="minorHAnsi" w:hAnsi="Calibri" w:cstheme="minorBidi"/>
                              <w:b/>
                              <w:bCs/>
                              <w:color w:val="FFFFFF" w:themeColor="light1"/>
                              <w:sz w:val="18"/>
                              <w:szCs w:val="20"/>
                            </w:rPr>
                            <w:t>39 (na 126 krajów)</w:t>
                          </w:r>
                        </w:p>
                        <w:p w14:paraId="3F006EC8" w14:textId="77777777" w:rsidR="009F06E2" w:rsidRPr="00E20418" w:rsidRDefault="009F06E2" w:rsidP="00332B11">
                          <w:pPr>
                            <w:pStyle w:val="NormalnyWeb"/>
                            <w:spacing w:before="0" w:beforeAutospacing="0" w:after="0" w:afterAutospacing="0"/>
                            <w:jc w:val="center"/>
                            <w:rPr>
                              <w:sz w:val="2"/>
                            </w:rPr>
                          </w:pPr>
                        </w:p>
                        <w:p w14:paraId="0EA6BFE2" w14:textId="77777777" w:rsidR="009F06E2" w:rsidRDefault="009F06E2" w:rsidP="00332B11">
                          <w:pPr>
                            <w:pStyle w:val="NormalnyWeb"/>
                            <w:spacing w:before="0" w:beforeAutospacing="0" w:after="0" w:afterAutospacing="0"/>
                            <w:jc w:val="center"/>
                          </w:pPr>
                          <w:r>
                            <w:rPr>
                              <w:rFonts w:asciiTheme="minorHAnsi" w:hAnsi="Calibri" w:cstheme="minorBidi"/>
                              <w:b/>
                              <w:bCs/>
                              <w:color w:val="FFFFFF" w:themeColor="light1"/>
                              <w:sz w:val="18"/>
                              <w:szCs w:val="18"/>
                            </w:rPr>
                            <w:t>globalny ranking innowacyjności GII</w:t>
                          </w:r>
                        </w:p>
                      </w:txbxContent>
                    </v:textbox>
                  </v:rect>
                  <v:line id="Łącznik prostoliniowy 90" o:spid="_x0000_s1033" style="position:absolute;visibility:visible;mso-wrap-style:square" from="4095,6096" to="21050,6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" strokecolor="#4f81bd [3204]" strokeweight="2pt"/>
                  <v:line id="Łącznik prostoliniowy 91" o:spid="_x0000_s1034" style="position:absolute;visibility:visible;mso-wrap-style:square" from="4286,6191" to="4286,9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" strokecolor="#4f81bd [3204]" strokeweight="2pt"/>
                </v:group>
                <v:rect id="Prostokąt 92" o:spid="_x0000_s1035" style="position:absolute;left:7524;width:11240;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" fillcolor="#4f81bd [3204]" stroked="f" strokeweight="2pt">
                  <v:textbox>
                    <w:txbxContent>
                      <w:p w14:paraId="2E1BF0AF" w14:textId="77777777" w:rsidR="009F06E2" w:rsidRDefault="009F06E2" w:rsidP="00332B11">
                        <w:pPr>
                          <w:pStyle w:val="NormalnyWeb"/>
                          <w:spacing w:before="0" w:beforeAutospacing="0" w:after="0" w:afterAutospacing="0"/>
                          <w:jc w:val="center"/>
                        </w:pPr>
                        <w:r>
                          <w:rPr>
                            <w:rFonts w:asciiTheme="minorHAnsi" w:hAnsi="Calibri" w:cstheme="minorBidi"/>
                            <w:b/>
                            <w:bCs/>
                            <w:color w:val="FFFFFF" w:themeColor="light1"/>
                            <w:sz w:val="18"/>
                            <w:szCs w:val="18"/>
                          </w:rPr>
                          <w:t xml:space="preserve">Pozycja Polski </w:t>
                        </w:r>
                        <w:r>
                          <w:rPr>
                            <w:rFonts w:asciiTheme="minorHAnsi" w:hAnsi="Calibri" w:cstheme="minorBidi"/>
                            <w:b/>
                            <w:bCs/>
                            <w:color w:val="FFFFFF" w:themeColor="light1"/>
                            <w:sz w:val="18"/>
                            <w:szCs w:val="18"/>
                          </w:rPr>
                          <w:br/>
                          <w:t>w rankingach innowacyjności</w:t>
                        </w:r>
                      </w:p>
                    </w:txbxContent>
                  </v:textbox>
                </v:rect>
                <w10:anchorlock/>
              </v:group>
            </w:pict>
          </mc:Fallback>
        </mc:AlternateContent>
      </w:r>
    </w:p>
    <w:p w14:paraId="2663F201" w14:textId="34912A48" w:rsidR="00403855" w:rsidRPr="00403855" w:rsidRDefault="003C3957" w:rsidP="00CB07D4">
      <w:pPr>
        <w:pStyle w:val="Bezodstpw1"/>
      </w:pPr>
      <w:r w:rsidRPr="007B7CEC">
        <w:rPr>
          <w:rStyle w:val="BezodstpwZnak"/>
          <w:i/>
        </w:rPr>
        <w:t xml:space="preserve">Źródło: Opracowanie </w:t>
      </w:r>
      <w:r w:rsidR="003A56DA" w:rsidRPr="007B7CEC">
        <w:rPr>
          <w:rStyle w:val="BezodstpwZnak"/>
          <w:i/>
        </w:rPr>
        <w:t>MRiT</w:t>
      </w:r>
      <w:r w:rsidR="003A5EA7" w:rsidRPr="007B7CEC">
        <w:rPr>
          <w:rStyle w:val="BezodstpwZnak"/>
          <w:i/>
        </w:rPr>
        <w:t xml:space="preserve"> </w:t>
      </w:r>
      <w:r w:rsidRPr="007B7CEC">
        <w:rPr>
          <w:rStyle w:val="BezodstpwZnak"/>
          <w:i/>
        </w:rPr>
        <w:t>na podstawie EU (</w:t>
      </w:r>
      <w:r w:rsidRPr="00403855">
        <w:rPr>
          <w:rStyle w:val="BezodstpwZnak"/>
          <w:i/>
        </w:rPr>
        <w:t>2019a</w:t>
      </w:r>
      <w:r w:rsidR="00291B8F" w:rsidRPr="007B7CEC">
        <w:rPr>
          <w:rStyle w:val="BezodstpwZnak"/>
          <w:i/>
        </w:rPr>
        <w:t>)</w:t>
      </w:r>
    </w:p>
    <w:p w14:paraId="54611164" w14:textId="1BAF9045" w:rsidR="00821AEC" w:rsidRDefault="003C3957" w:rsidP="003C3957">
      <w:r>
        <w:t>W europejskim rankingu innowacyjności (</w:t>
      </w:r>
      <w:r w:rsidR="00AF2A9A">
        <w:t xml:space="preserve">ang. </w:t>
      </w:r>
      <w:r w:rsidR="00AF2A9A">
        <w:rPr>
          <w:i/>
        </w:rPr>
        <w:t xml:space="preserve">European Innovation </w:t>
      </w:r>
      <w:r w:rsidR="00AF2A9A" w:rsidRPr="00AF2A9A">
        <w:t>Scoreboard</w:t>
      </w:r>
      <w:r w:rsidR="00AF2A9A">
        <w:t xml:space="preserve">, dalej </w:t>
      </w:r>
      <w:r w:rsidRPr="00AF2A9A">
        <w:t>EIS</w:t>
      </w:r>
      <w:r>
        <w:t>)</w:t>
      </w:r>
      <w:r>
        <w:rPr>
          <w:rStyle w:val="Odwoanieprzypisudolnego"/>
        </w:rPr>
        <w:footnoteReference w:id="66"/>
      </w:r>
      <w:r>
        <w:t xml:space="preserve"> Polska zajęła 24. miejsce wśród krajów U</w:t>
      </w:r>
      <w:r w:rsidR="00403855">
        <w:t xml:space="preserve">nii </w:t>
      </w:r>
      <w:r>
        <w:t>E</w:t>
      </w:r>
      <w:r w:rsidR="00403855">
        <w:t>uropejskiej</w:t>
      </w:r>
      <w:r w:rsidR="006343E1">
        <w:t xml:space="preserve"> i </w:t>
      </w:r>
      <w:r>
        <w:t>pozostała</w:t>
      </w:r>
      <w:r w:rsidR="00821AEC">
        <w:t xml:space="preserve"> w grupie </w:t>
      </w:r>
      <w:r>
        <w:t xml:space="preserve"> tzw. </w:t>
      </w:r>
      <w:r w:rsidR="00821AEC">
        <w:t xml:space="preserve">początkujących </w:t>
      </w:r>
      <w:r>
        <w:t>innowatorów,</w:t>
      </w:r>
      <w:r w:rsidR="006343E1">
        <w:t xml:space="preserve"> w </w:t>
      </w:r>
      <w:r>
        <w:t>której utrzymuje się niemal nieprzerwanie od 2009 r. (poza edycją</w:t>
      </w:r>
      <w:r w:rsidR="006343E1">
        <w:t xml:space="preserve"> z </w:t>
      </w:r>
      <w:r>
        <w:t>2013 r.</w:t>
      </w:r>
      <w:r w:rsidR="00403855">
        <w:t>,</w:t>
      </w:r>
      <w:r>
        <w:t xml:space="preserve"> kiedy to spadła do grupy słabych innowatorów).</w:t>
      </w:r>
      <w:r w:rsidR="00821AEC">
        <w:t xml:space="preserve"> </w:t>
      </w:r>
      <w:r>
        <w:t>Za słabą pozycję Polski odpowiadają m.in. niskie wyniki</w:t>
      </w:r>
      <w:r w:rsidR="006343E1">
        <w:t xml:space="preserve"> w </w:t>
      </w:r>
      <w:r>
        <w:t>takich obszarach</w:t>
      </w:r>
      <w:r w:rsidR="00403855">
        <w:t>,</w:t>
      </w:r>
      <w:r>
        <w:t xml:space="preserve"> jak aktywność innowacyjna MŚP, współpraca</w:t>
      </w:r>
      <w:r w:rsidR="006343E1">
        <w:t xml:space="preserve"> w </w:t>
      </w:r>
      <w:r>
        <w:t>zakresie działalności innowacyjnej, liczba publikacji publiczno-prywatnych</w:t>
      </w:r>
      <w:r w:rsidR="00821AEC">
        <w:t xml:space="preserve"> oraz</w:t>
      </w:r>
      <w:r>
        <w:t xml:space="preserve"> </w:t>
      </w:r>
      <w:r w:rsidR="00821AEC">
        <w:t>zagranicznych studentów studiów doktoranckich.</w:t>
      </w:r>
    </w:p>
    <w:p w14:paraId="35885E3C" w14:textId="39D71CCB" w:rsidR="003C3957" w:rsidRDefault="003C3957" w:rsidP="003C3957">
      <w:r>
        <w:rPr>
          <w:bCs/>
          <w:spacing w:val="-4"/>
        </w:rPr>
        <w:t>Analiza regionalnego rozkładu innowacyjności potwierdza tezę</w:t>
      </w:r>
      <w:r w:rsidR="006343E1">
        <w:rPr>
          <w:bCs/>
          <w:spacing w:val="-4"/>
        </w:rPr>
        <w:t xml:space="preserve"> o </w:t>
      </w:r>
      <w:r>
        <w:rPr>
          <w:bCs/>
          <w:spacing w:val="-4"/>
        </w:rPr>
        <w:t>koncentracji działalności innowacyjnej i badawczo-</w:t>
      </w:r>
      <w:r w:rsidR="00403855">
        <w:rPr>
          <w:bCs/>
          <w:spacing w:val="-4"/>
        </w:rPr>
        <w:br/>
        <w:t>-</w:t>
      </w:r>
      <w:r>
        <w:rPr>
          <w:bCs/>
          <w:spacing w:val="-4"/>
        </w:rPr>
        <w:t xml:space="preserve">rozwojowej przy dużych ośrodkach miejskich. Według raportu </w:t>
      </w:r>
      <w:r w:rsidRPr="00CB07D4">
        <w:rPr>
          <w:i/>
          <w:spacing w:val="-4"/>
        </w:rPr>
        <w:t>Regional Innovation Scoreboard 2019</w:t>
      </w:r>
      <w:r>
        <w:rPr>
          <w:bCs/>
          <w:spacing w:val="-4"/>
        </w:rPr>
        <w:t xml:space="preserve"> (EU 2019b) najwyższy poziom innowacyjności notuje </w:t>
      </w:r>
      <w:r w:rsidR="00821AEC">
        <w:rPr>
          <w:bCs/>
          <w:spacing w:val="-4"/>
        </w:rPr>
        <w:t xml:space="preserve">region warszawski stołeczny. Dwa regiony </w:t>
      </w:r>
      <w:r w:rsidR="00821AEC">
        <w:t>należały</w:t>
      </w:r>
      <w:r w:rsidR="00821AEC">
        <w:rPr>
          <w:bCs/>
          <w:spacing w:val="-4"/>
        </w:rPr>
        <w:t xml:space="preserve"> do grupy umiarkowanych innowatorów, a piętnaście regionów zostało sklasyfikowanych wśród początkujących</w:t>
      </w:r>
      <w:r>
        <w:rPr>
          <w:bCs/>
          <w:spacing w:val="-4"/>
        </w:rPr>
        <w:t xml:space="preserve"> innowatorów. Żaden</w:t>
      </w:r>
      <w:r w:rsidR="006343E1">
        <w:rPr>
          <w:bCs/>
          <w:spacing w:val="-4"/>
        </w:rPr>
        <w:t xml:space="preserve"> z </w:t>
      </w:r>
      <w:r>
        <w:rPr>
          <w:bCs/>
          <w:spacing w:val="-4"/>
        </w:rPr>
        <w:t>polskich regionów nie został zaklasyfikowany do najbardziej pożądanych grup silnych innowatorów czy liderów innowacji.</w:t>
      </w:r>
    </w:p>
    <w:p w14:paraId="4B93F2D9" w14:textId="686E5AAC" w:rsidR="003C3957" w:rsidRPr="00AF2A9A" w:rsidRDefault="003C3957" w:rsidP="00AF2A9A">
      <w:pPr>
        <w:pStyle w:val="Nagwek4"/>
      </w:pPr>
      <w:r w:rsidRPr="00AF2A9A">
        <w:lastRenderedPageBreak/>
        <w:t xml:space="preserve">Mapa </w:t>
      </w:r>
      <w:r w:rsidR="00311B4A">
        <w:t>7.</w:t>
      </w:r>
      <w:r w:rsidRPr="00AF2A9A">
        <w:t xml:space="preserve"> Ranking </w:t>
      </w:r>
      <w:r w:rsidR="007F7D27" w:rsidRPr="00AF2A9A">
        <w:t>i</w:t>
      </w:r>
      <w:r w:rsidRPr="00AF2A9A">
        <w:t xml:space="preserve">nnowacyjności </w:t>
      </w:r>
      <w:r w:rsidR="007F7D27" w:rsidRPr="00AF2A9A">
        <w:t>r</w:t>
      </w:r>
      <w:r w:rsidRPr="00AF2A9A">
        <w:t>egionów 2019</w:t>
      </w:r>
    </w:p>
    <w:p w14:paraId="53497899" w14:textId="0C7859FC" w:rsidR="003C3957" w:rsidRDefault="005B6851" w:rsidP="00CC26C8">
      <w:pPr>
        <w:pStyle w:val="Bezodstpw"/>
      </w:pPr>
      <w:r>
        <w:rPr>
          <w:noProof/>
          <w:lang w:eastAsia="pl-PL"/>
        </w:rPr>
        <w:drawing>
          <wp:inline distT="0" distB="0" distL="0" distR="0" wp14:anchorId="31EE33CA" wp14:editId="570F8EFB">
            <wp:extent cx="5762625" cy="5429250"/>
            <wp:effectExtent l="0" t="0" r="9525"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762625" cy="5429250"/>
                    </a:xfrm>
                    <a:prstGeom prst="rect">
                      <a:avLst/>
                    </a:prstGeom>
                    <a:noFill/>
                    <a:ln>
                      <a:noFill/>
                    </a:ln>
                  </pic:spPr>
                </pic:pic>
              </a:graphicData>
            </a:graphic>
          </wp:inline>
        </w:drawing>
      </w:r>
      <w:r w:rsidR="003C3957">
        <w:t>Źródło: EU (</w:t>
      </w:r>
      <w:r w:rsidR="00784758">
        <w:t>2021b</w:t>
      </w:r>
      <w:r w:rsidR="003C3957">
        <w:t>).</w:t>
      </w:r>
    </w:p>
    <w:p w14:paraId="44A46A96" w14:textId="77777777" w:rsidR="003C3957" w:rsidRDefault="003C3957" w:rsidP="003C3957">
      <w:pPr>
        <w:pStyle w:val="Nagwek2"/>
      </w:pPr>
      <w:bookmarkStart w:id="142" w:name="_Toc511921189"/>
      <w:bookmarkStart w:id="143" w:name="_Toc31808526"/>
      <w:bookmarkStart w:id="144" w:name="_Toc106968810"/>
      <w:r>
        <w:t>Aktywność innowacyjna firm</w:t>
      </w:r>
      <w:bookmarkEnd w:id="142"/>
      <w:bookmarkEnd w:id="143"/>
      <w:bookmarkEnd w:id="144"/>
    </w:p>
    <w:p w14:paraId="7299D0A2" w14:textId="08872E18" w:rsidR="003C3957" w:rsidRDefault="003C3957" w:rsidP="003C3957">
      <w:r>
        <w:t>Innowacjami są nowe lub ulepszone wyroby lub usługi, procesy wytwórcze, metody organizacji i marketingu stosowane</w:t>
      </w:r>
      <w:r w:rsidR="006343E1">
        <w:t xml:space="preserve"> w </w:t>
      </w:r>
      <w:r>
        <w:t>firmach. Badanie innowacyjności odnosi się zawsze do sytuacji danej firmy</w:t>
      </w:r>
      <w:r w:rsidR="006343E1">
        <w:t xml:space="preserve"> i </w:t>
      </w:r>
      <w:r>
        <w:t xml:space="preserve">jej perspektywy postrzegania tego, co można uznać za nowość. Stopień dyfuzji innowacji jest więc </w:t>
      </w:r>
      <w:r w:rsidR="00403855">
        <w:t>badany</w:t>
      </w:r>
      <w:r>
        <w:t> zarówno</w:t>
      </w:r>
      <w:r w:rsidR="006343E1">
        <w:t xml:space="preserve"> z </w:t>
      </w:r>
      <w:r>
        <w:t>poziomu firmy, jak</w:t>
      </w:r>
      <w:r w:rsidR="006343E1">
        <w:t xml:space="preserve"> i </w:t>
      </w:r>
      <w:r>
        <w:t>rynku.</w:t>
      </w:r>
    </w:p>
    <w:p w14:paraId="11E5D662" w14:textId="300D34BC" w:rsidR="003C3957" w:rsidRDefault="003C3957" w:rsidP="003C3957">
      <w:pPr>
        <w:rPr>
          <w:rFonts w:cs="Calibri"/>
          <w:b/>
          <w:sz w:val="21"/>
          <w:szCs w:val="21"/>
        </w:rPr>
      </w:pPr>
      <w:r>
        <w:t>W</w:t>
      </w:r>
      <w:r w:rsidR="00403855">
        <w:t>edłu</w:t>
      </w:r>
      <w:r>
        <w:t>g danych GUS (</w:t>
      </w:r>
      <w:r w:rsidR="00C91D93">
        <w:t>2021</w:t>
      </w:r>
      <w:r>
        <w:t>)</w:t>
      </w:r>
      <w:r w:rsidR="006343E1">
        <w:t xml:space="preserve"> w </w:t>
      </w:r>
      <w:r>
        <w:t>latach 2016</w:t>
      </w:r>
      <w:r w:rsidR="00403855">
        <w:rPr>
          <w:rFonts w:ascii="Times New Roman" w:hAnsi="Times New Roman" w:cs="Times New Roman"/>
        </w:rPr>
        <w:t>–</w:t>
      </w:r>
      <w:r w:rsidR="00C91D93">
        <w:t xml:space="preserve">2018 </w:t>
      </w:r>
      <w:r>
        <w:t xml:space="preserve">aktywność innowacyjną wykazało </w:t>
      </w:r>
      <w:r w:rsidR="00C91D93">
        <w:t>36,7</w:t>
      </w:r>
      <w:r>
        <w:t xml:space="preserve">% przedsiębiorstw przemysłowych oraz </w:t>
      </w:r>
      <w:r w:rsidR="00C91D93">
        <w:t>33</w:t>
      </w:r>
      <w:r>
        <w:t>,0% przedsiębiorstw usługowych. Podmioty działające</w:t>
      </w:r>
      <w:r w:rsidR="006343E1">
        <w:t xml:space="preserve"> w </w:t>
      </w:r>
      <w:r>
        <w:t>przemyśle częściej angażują się</w:t>
      </w:r>
      <w:r w:rsidR="006343E1">
        <w:t xml:space="preserve"> w </w:t>
      </w:r>
      <w:r>
        <w:t>działalność innowacyjną oraz ponoszą wyższe nakłady</w:t>
      </w:r>
      <w:r w:rsidR="006343E1">
        <w:t xml:space="preserve"> w </w:t>
      </w:r>
      <w:r>
        <w:t>porównaniu do podmiotów z sektora usług.</w:t>
      </w:r>
      <w:r>
        <w:rPr>
          <w:rStyle w:val="Odwoanieprzypisudolnego"/>
          <w:rFonts w:cs="Calibri"/>
          <w:sz w:val="21"/>
          <w:szCs w:val="21"/>
        </w:rPr>
        <w:footnoteReference w:id="67"/>
      </w:r>
    </w:p>
    <w:p w14:paraId="395E2713" w14:textId="73C5D739" w:rsidR="003C3957" w:rsidRDefault="003C3957" w:rsidP="00CB07D4">
      <w:pPr>
        <w:pStyle w:val="Nagwek4"/>
        <w:ind w:left="993" w:hanging="993"/>
      </w:pPr>
      <w:r>
        <w:lastRenderedPageBreak/>
        <w:t xml:space="preserve">Wykres </w:t>
      </w:r>
      <w:r w:rsidR="00332B11">
        <w:t>7</w:t>
      </w:r>
      <w:r w:rsidR="00FC6E8F">
        <w:t>5</w:t>
      </w:r>
      <w:r>
        <w:t>. Przedsiębiorstwa</w:t>
      </w:r>
      <w:r w:rsidR="006343E1">
        <w:t xml:space="preserve"> w </w:t>
      </w:r>
      <w:r>
        <w:t>poszczególnych państwach U</w:t>
      </w:r>
      <w:r w:rsidR="006E2C24">
        <w:t xml:space="preserve">nii </w:t>
      </w:r>
      <w:r>
        <w:t>E</w:t>
      </w:r>
      <w:r w:rsidR="006E2C24">
        <w:t>uropejskiej</w:t>
      </w:r>
      <w:r>
        <w:t xml:space="preserve"> według zasięgu wprowadzanych innowacji, jako % przedsiębiorstw działających</w:t>
      </w:r>
      <w:r w:rsidR="006343E1">
        <w:t xml:space="preserve"> w </w:t>
      </w:r>
      <w:r>
        <w:t xml:space="preserve">danym państwie (2020) </w:t>
      </w:r>
    </w:p>
    <w:p w14:paraId="6C0DC397" w14:textId="3A917856" w:rsidR="003C3957" w:rsidRDefault="003C3957" w:rsidP="003C3957">
      <w:pPr>
        <w:spacing w:after="0" w:line="240" w:lineRule="auto"/>
      </w:pPr>
      <w:r w:rsidRPr="00B21056">
        <w:rPr>
          <w:noProof/>
          <w:lang w:eastAsia="pl-PL"/>
        </w:rPr>
        <w:drawing>
          <wp:inline distT="0" distB="0" distL="0" distR="0" wp14:anchorId="40299FB0" wp14:editId="1D074291">
            <wp:extent cx="5759450" cy="4023995"/>
            <wp:effectExtent l="0" t="0" r="12700" b="14605"/>
            <wp:docPr id="473" name="Wykres 47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17AB166B" w14:textId="77777777" w:rsidR="006E2C24" w:rsidRDefault="006E2C24" w:rsidP="00CC26C8">
      <w:pPr>
        <w:pStyle w:val="Bezodstpw"/>
      </w:pPr>
    </w:p>
    <w:p w14:paraId="671560D4" w14:textId="1E5097F5" w:rsidR="003C3957" w:rsidRDefault="003C3957" w:rsidP="00CC26C8">
      <w:pPr>
        <w:pStyle w:val="Bezodstpw"/>
      </w:pPr>
      <w:r>
        <w:t xml:space="preserve">Źródło: Opracowanie </w:t>
      </w:r>
      <w:r w:rsidR="003A56DA">
        <w:t>MRiT</w:t>
      </w:r>
      <w:r w:rsidR="003A5EA7">
        <w:t xml:space="preserve"> </w:t>
      </w:r>
      <w:r>
        <w:t>na podstawie danych U</w:t>
      </w:r>
      <w:r w:rsidR="00AF2A9A">
        <w:t>E</w:t>
      </w:r>
      <w:r>
        <w:t xml:space="preserve"> (2020)</w:t>
      </w:r>
    </w:p>
    <w:p w14:paraId="3A30914A" w14:textId="58C259F9" w:rsidR="003C3957" w:rsidRDefault="003C3957" w:rsidP="003C3957">
      <w:r>
        <w:t>Wprowadzanie innowacji na rynek stanowi jeden</w:t>
      </w:r>
      <w:r w:rsidR="006343E1">
        <w:t xml:space="preserve"> z </w:t>
      </w:r>
      <w:r>
        <w:t>kluczowych czynników decydujących</w:t>
      </w:r>
      <w:r w:rsidR="006343E1">
        <w:t xml:space="preserve"> o </w:t>
      </w:r>
      <w:r>
        <w:t>pozycji konkurencyjnej przedsiębiorstw. Tworzeniu nowych przewag konkurencyjnych gospodarki powinno towarzyszyć zwiększenie innowacyjności polskich przedsiębiorstw na rynku krajowym</w:t>
      </w:r>
      <w:r w:rsidR="006343E1">
        <w:t xml:space="preserve"> i </w:t>
      </w:r>
      <w:r>
        <w:t>rynkach zagranicznych. Przedsiębiorstwa</w:t>
      </w:r>
      <w:r w:rsidR="006343E1">
        <w:t xml:space="preserve"> w </w:t>
      </w:r>
      <w:r>
        <w:t>Polsce częściej niż średnio</w:t>
      </w:r>
      <w:r w:rsidR="006343E1">
        <w:t xml:space="preserve"> w </w:t>
      </w:r>
      <w:r>
        <w:t>U</w:t>
      </w:r>
      <w:r w:rsidR="006E2C24">
        <w:t xml:space="preserve">nii </w:t>
      </w:r>
      <w:r>
        <w:t>E</w:t>
      </w:r>
      <w:r w:rsidR="006E2C24">
        <w:t>uropejskiej</w:t>
      </w:r>
      <w:r>
        <w:t xml:space="preserve"> inwestują</w:t>
      </w:r>
      <w:r w:rsidR="006343E1">
        <w:t xml:space="preserve"> w </w:t>
      </w:r>
      <w:r>
        <w:t xml:space="preserve">innowacje, </w:t>
      </w:r>
      <w:r w:rsidR="006E2C24">
        <w:t>a</w:t>
      </w:r>
      <w:r>
        <w:t xml:space="preserve"> jednocześnie produkty</w:t>
      </w:r>
      <w:r w:rsidR="006343E1">
        <w:t xml:space="preserve"> i </w:t>
      </w:r>
      <w:r>
        <w:t>usługi są częściej nowe dla przedsiębiorstwa</w:t>
      </w:r>
      <w:r w:rsidR="006343E1">
        <w:t xml:space="preserve"> i </w:t>
      </w:r>
      <w:r>
        <w:t>rynku krajowego,</w:t>
      </w:r>
      <w:r w:rsidR="006343E1">
        <w:t xml:space="preserve"> a </w:t>
      </w:r>
      <w:r>
        <w:t>zdecydowanie rzadziej dla rynku globalnego. Znacznie lepiej wypadają pod tym względem Czechy czy Litwa,</w:t>
      </w:r>
      <w:r w:rsidR="006343E1">
        <w:t xml:space="preserve"> w </w:t>
      </w:r>
      <w:r>
        <w:t>których udział przedsiębiorstw tworzących innowacje</w:t>
      </w:r>
      <w:r w:rsidR="006343E1">
        <w:t xml:space="preserve"> o </w:t>
      </w:r>
      <w:r>
        <w:t>zasięgu globalnym jest znacznie wyższy. Na sytuację Polski oddziałuje</w:t>
      </w:r>
      <w:r w:rsidR="006343E1">
        <w:t xml:space="preserve"> w </w:t>
      </w:r>
      <w:r>
        <w:t>tym zakresie znaczny potencjał popytu na rynku wewnętrznym.</w:t>
      </w:r>
    </w:p>
    <w:p w14:paraId="7442896A" w14:textId="13AA9AAC" w:rsidR="003C3957" w:rsidRDefault="003C3957" w:rsidP="003C3957">
      <w:r>
        <w:t>Nakłady polskich przedsiębiorstw na działalność innowacyjną ogółem</w:t>
      </w:r>
      <w:r w:rsidR="006343E1">
        <w:t xml:space="preserve"> w </w:t>
      </w:r>
      <w:r>
        <w:t>przedsiębiorstwach przemysłowych</w:t>
      </w:r>
      <w:r w:rsidR="006343E1">
        <w:t xml:space="preserve"> i </w:t>
      </w:r>
      <w:r>
        <w:t>usługowych osiągnęły</w:t>
      </w:r>
      <w:r w:rsidR="006343E1">
        <w:t xml:space="preserve"> w </w:t>
      </w:r>
      <w:r>
        <w:t>20</w:t>
      </w:r>
      <w:r w:rsidR="00F811D5">
        <w:t>20</w:t>
      </w:r>
      <w:r>
        <w:t xml:space="preserve"> r. </w:t>
      </w:r>
      <w:r w:rsidR="00F811D5">
        <w:t>38,8</w:t>
      </w:r>
      <w:r>
        <w:t xml:space="preserve"> mld zł, podczas gdy</w:t>
      </w:r>
      <w:r w:rsidR="006343E1">
        <w:t xml:space="preserve"> w </w:t>
      </w:r>
      <w:r>
        <w:t>2015 r. 43,7 mld zł, a w 2006 r. 25,5 mld zł w</w:t>
      </w:r>
      <w:r w:rsidR="006E2C24">
        <w:t>edłu</w:t>
      </w:r>
      <w:r>
        <w:t>g danych GUS (BDL). Podobnie jak we wcześniejszych latach</w:t>
      </w:r>
      <w:r w:rsidR="006343E1">
        <w:t xml:space="preserve"> w </w:t>
      </w:r>
      <w:r w:rsidR="00F811D5">
        <w:t xml:space="preserve">2020 </w:t>
      </w:r>
      <w:r>
        <w:t>r. w większym stopniu</w:t>
      </w:r>
      <w:r w:rsidR="006343E1">
        <w:t xml:space="preserve"> w </w:t>
      </w:r>
      <w:r>
        <w:t xml:space="preserve">nakładach (ok. </w:t>
      </w:r>
      <w:r w:rsidR="00F811D5">
        <w:t>53</w:t>
      </w:r>
      <w:r>
        <w:t xml:space="preserve">%) partycypowały firmy przemysłowe niż usługowe (ok. </w:t>
      </w:r>
      <w:r w:rsidR="00F811D5">
        <w:t>47</w:t>
      </w:r>
      <w:r>
        <w:t>%). Jednocześnie</w:t>
      </w:r>
      <w:r w:rsidR="006343E1">
        <w:t xml:space="preserve"> w </w:t>
      </w:r>
      <w:r>
        <w:t>strukturze nakładów na działalność innowacyjną przedsiębiorstw rośnie znaczenie nakładów na działalność B+R.</w:t>
      </w:r>
      <w:r w:rsidR="006343E1">
        <w:t xml:space="preserve"> W</w:t>
      </w:r>
      <w:r w:rsidR="006E2C24">
        <w:t xml:space="preserve"> </w:t>
      </w:r>
      <w:r>
        <w:t xml:space="preserve">przedsiębiorstwach </w:t>
      </w:r>
      <w:r>
        <w:lastRenderedPageBreak/>
        <w:t>przemysłowych udział ten wzrósł</w:t>
      </w:r>
      <w:r w:rsidR="006343E1">
        <w:t xml:space="preserve"> z </w:t>
      </w:r>
      <w:r>
        <w:t>16,5%</w:t>
      </w:r>
      <w:r w:rsidR="006343E1">
        <w:t xml:space="preserve"> w </w:t>
      </w:r>
      <w:r>
        <w:t xml:space="preserve">2015 r. do </w:t>
      </w:r>
      <w:r w:rsidR="00F811D5">
        <w:t>44,4</w:t>
      </w:r>
      <w:r>
        <w:t>%%</w:t>
      </w:r>
      <w:r w:rsidR="006343E1">
        <w:t xml:space="preserve"> w </w:t>
      </w:r>
      <w:r>
        <w:t>2018 r.,</w:t>
      </w:r>
      <w:r w:rsidR="006343E1">
        <w:t xml:space="preserve"> a </w:t>
      </w:r>
      <w:r>
        <w:t>w usługowych</w:t>
      </w:r>
      <w:r w:rsidR="006343E1">
        <w:t xml:space="preserve"> z </w:t>
      </w:r>
      <w:r>
        <w:t xml:space="preserve">32,7% do </w:t>
      </w:r>
      <w:r w:rsidR="00F811D5">
        <w:t>61,6</w:t>
      </w:r>
      <w:r>
        <w:t>%</w:t>
      </w:r>
      <w:r w:rsidR="006343E1">
        <w:t xml:space="preserve"> w </w:t>
      </w:r>
      <w:r>
        <w:t>tym samym okresie. Nakłady na działalność B+R (przedsiębiorstw przemysłowych</w:t>
      </w:r>
      <w:r w:rsidR="006343E1">
        <w:t xml:space="preserve"> i </w:t>
      </w:r>
      <w:r>
        <w:t>usługowych) kolejny rok</w:t>
      </w:r>
      <w:r w:rsidR="006343E1">
        <w:t xml:space="preserve"> z </w:t>
      </w:r>
      <w:r>
        <w:t>rzędu wzrosły</w:t>
      </w:r>
      <w:r w:rsidR="006E2C24">
        <w:t>,</w:t>
      </w:r>
      <w:r>
        <w:t xml:space="preserve"> osiągając poziom ok. </w:t>
      </w:r>
      <w:r w:rsidR="00F811D5">
        <w:t>20</w:t>
      </w:r>
      <w:r>
        <w:t>,4 mld zł</w:t>
      </w:r>
      <w:r w:rsidR="006343E1">
        <w:t xml:space="preserve"> w </w:t>
      </w:r>
      <w:r w:rsidR="00F811D5">
        <w:t xml:space="preserve">2020 </w:t>
      </w:r>
      <w:r>
        <w:t>r. (w 2015 r. wyniosły 9,3 mld zł,</w:t>
      </w:r>
      <w:r w:rsidR="006343E1">
        <w:t xml:space="preserve"> a </w:t>
      </w:r>
      <w:r>
        <w:t>w 2014 r. 7,5 mld zł).</w:t>
      </w:r>
    </w:p>
    <w:p w14:paraId="379E96ED" w14:textId="67C84219" w:rsidR="003C3957" w:rsidRDefault="003C3957" w:rsidP="00CC26C8">
      <w:pPr>
        <w:pStyle w:val="Nagwek4"/>
      </w:pPr>
      <w:r>
        <w:t>Wykres</w:t>
      </w:r>
      <w:r w:rsidR="00FC6E8F">
        <w:t xml:space="preserve"> 76</w:t>
      </w:r>
      <w:r>
        <w:t>. Struktura nakładów inwestycyjnych w</w:t>
      </w:r>
      <w:r w:rsidR="006E2C24">
        <w:t>edłu</w:t>
      </w:r>
      <w:r>
        <w:t>g rodzaju</w:t>
      </w:r>
      <w:r w:rsidR="006343E1">
        <w:t xml:space="preserve"> w </w:t>
      </w:r>
      <w:r>
        <w:t>krajach UE (2020)</w:t>
      </w:r>
    </w:p>
    <w:p w14:paraId="5A10DFD5" w14:textId="6724651A" w:rsidR="003C3957" w:rsidRDefault="003C3957" w:rsidP="003C3957">
      <w:pPr>
        <w:spacing w:after="0" w:line="240" w:lineRule="auto"/>
      </w:pPr>
      <w:r>
        <w:rPr>
          <w:noProof/>
          <w:lang w:eastAsia="pl-PL"/>
        </w:rPr>
        <w:drawing>
          <wp:anchor distT="0" distB="0" distL="0" distR="0" simplePos="0" relativeHeight="251657728" behindDoc="0" locked="0" layoutInCell="1" allowOverlap="1" wp14:anchorId="401151E2" wp14:editId="486F0BCC">
            <wp:simplePos x="0" y="0"/>
            <wp:positionH relativeFrom="column">
              <wp:posOffset>-4445</wp:posOffset>
            </wp:positionH>
            <wp:positionV relativeFrom="paragraph">
              <wp:posOffset>170815</wp:posOffset>
            </wp:positionV>
            <wp:extent cx="5760720" cy="2513965"/>
            <wp:effectExtent l="0" t="0" r="0" b="635"/>
            <wp:wrapTopAndBottom/>
            <wp:docPr id="100" name="Obraz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760720" cy="25139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467D122" w14:textId="66A2A86F" w:rsidR="003C3957" w:rsidRDefault="003C3957" w:rsidP="00CC26C8">
      <w:pPr>
        <w:pStyle w:val="Bezodstpw"/>
      </w:pPr>
      <w:r>
        <w:t xml:space="preserve">Źródło: Opracowanie </w:t>
      </w:r>
      <w:r w:rsidR="003A56DA">
        <w:t>MRiT</w:t>
      </w:r>
      <w:r w:rsidR="003A5EA7">
        <w:t xml:space="preserve"> </w:t>
      </w:r>
      <w:r>
        <w:t xml:space="preserve">na podstawie </w:t>
      </w:r>
      <w:r w:rsidRPr="00E86993">
        <w:t>danych U</w:t>
      </w:r>
      <w:r w:rsidR="00AF2A9A">
        <w:t>E</w:t>
      </w:r>
      <w:r w:rsidRPr="00E86993">
        <w:t xml:space="preserve"> (2020)</w:t>
      </w:r>
    </w:p>
    <w:p w14:paraId="2DCEEEA1" w14:textId="3AAD5A98" w:rsidR="003C3957" w:rsidRDefault="003C3957" w:rsidP="003C3957">
      <w:r>
        <w:t>Porównując polskie przedsiębiorstwa</w:t>
      </w:r>
      <w:r w:rsidR="006343E1">
        <w:t xml:space="preserve"> z </w:t>
      </w:r>
      <w:r>
        <w:t>przedsiębiorstwami innych krajów Unii Europejskiej</w:t>
      </w:r>
      <w:r w:rsidR="006E2C24">
        <w:t>,</w:t>
      </w:r>
      <w:r>
        <w:t xml:space="preserve"> wid</w:t>
      </w:r>
      <w:r w:rsidR="006E2C24">
        <w:t>zimy</w:t>
      </w:r>
      <w:r w:rsidR="00477C54">
        <w:t>, że </w:t>
      </w:r>
      <w:r>
        <w:t>udział nakładów inwestycyjnych przeznaczonych na infrastrukturę twardą</w:t>
      </w:r>
      <w:r w:rsidR="006E2C24">
        <w:t>,</w:t>
      </w:r>
      <w:r>
        <w:t xml:space="preserve"> tj. </w:t>
      </w:r>
      <w:r w:rsidR="006E2C24">
        <w:t>na</w:t>
      </w:r>
      <w:r>
        <w:t xml:space="preserve"> budynki</w:t>
      </w:r>
      <w:r w:rsidR="006343E1">
        <w:t xml:space="preserve"> i </w:t>
      </w:r>
      <w:r>
        <w:t>grunty, znacznie przekracza średnią (22,8% vs 15,6%). Natomiast</w:t>
      </w:r>
      <w:r w:rsidR="006343E1">
        <w:t xml:space="preserve"> w </w:t>
      </w:r>
      <w:r>
        <w:t>nakładach</w:t>
      </w:r>
      <w:r w:rsidR="006343E1">
        <w:t xml:space="preserve"> o </w:t>
      </w:r>
      <w:r>
        <w:t>charakterze bardziej jakościowym</w:t>
      </w:r>
      <w:r w:rsidR="006E2C24">
        <w:t>,</w:t>
      </w:r>
      <w:r>
        <w:t xml:space="preserve"> tj. obejmujących szkolenia personelu, oprogramowanie</w:t>
      </w:r>
      <w:r w:rsidR="006343E1">
        <w:t xml:space="preserve"> i </w:t>
      </w:r>
      <w:r>
        <w:t>działalność IT</w:t>
      </w:r>
      <w:r w:rsidR="006E2C24">
        <w:t>,</w:t>
      </w:r>
      <w:r>
        <w:t xml:space="preserve"> polskie przedsiębiorstwa mają znacznie niższe udziały niż średnia unijna (por. odpowiednio: 7,6% vs 9,3%</w:t>
      </w:r>
      <w:r w:rsidR="006343E1">
        <w:t xml:space="preserve"> i </w:t>
      </w:r>
      <w:r>
        <w:t>9,8% vs 12,9%). By mogła dokonać się zmiana technologiczna, przedsiębiorstwa</w:t>
      </w:r>
      <w:r w:rsidR="006343E1">
        <w:t xml:space="preserve"> w </w:t>
      </w:r>
      <w:r>
        <w:t>Polsce powinny zmienić kierunek finansowania na działalność</w:t>
      </w:r>
      <w:r w:rsidR="006343E1">
        <w:t xml:space="preserve"> o </w:t>
      </w:r>
      <w:r>
        <w:t>charakterze twórczym.</w:t>
      </w:r>
    </w:p>
    <w:p w14:paraId="76A551D4" w14:textId="402D5BA0" w:rsidR="003C3957" w:rsidRDefault="003C3957" w:rsidP="003C3957">
      <w:r>
        <w:t>Niezmiennie od wielu lat głównym źródłem finansowania działalności innowacyjnej pozostają środki własne przedsiębiorstw. W</w:t>
      </w:r>
      <w:r w:rsidR="006E2C24">
        <w:t>edłu</w:t>
      </w:r>
      <w:r>
        <w:t xml:space="preserve">g </w:t>
      </w:r>
      <w:r w:rsidRPr="00E86993">
        <w:t>danych GUS (</w:t>
      </w:r>
      <w:r w:rsidR="0006023E" w:rsidRPr="00E86993">
        <w:t>20</w:t>
      </w:r>
      <w:r w:rsidR="0006023E">
        <w:t>21</w:t>
      </w:r>
      <w:r w:rsidRPr="00E86993">
        <w:t>)</w:t>
      </w:r>
      <w:r w:rsidR="006343E1">
        <w:t xml:space="preserve"> w </w:t>
      </w:r>
      <w:r w:rsidR="0006023E">
        <w:t xml:space="preserve">2020 </w:t>
      </w:r>
      <w:r>
        <w:t>r. wśród przedsiębiorstw przemysłowych stanowiły one 75,</w:t>
      </w:r>
      <w:r w:rsidR="0006023E">
        <w:t>6</w:t>
      </w:r>
      <w:r>
        <w:t>%,</w:t>
      </w:r>
      <w:r w:rsidR="006343E1">
        <w:t xml:space="preserve"> a </w:t>
      </w:r>
      <w:r>
        <w:t xml:space="preserve">w usługowych </w:t>
      </w:r>
      <w:r w:rsidR="0006023E">
        <w:t>85,3</w:t>
      </w:r>
      <w:r>
        <w:t>%. Środki pozyskane</w:t>
      </w:r>
      <w:r w:rsidR="006343E1">
        <w:t xml:space="preserve"> z </w:t>
      </w:r>
      <w:r>
        <w:t xml:space="preserve">zagranicy finansowały zaledwie </w:t>
      </w:r>
      <w:r w:rsidR="0006023E">
        <w:t>8,1</w:t>
      </w:r>
      <w:r>
        <w:t>% nakładów innowacyjnych</w:t>
      </w:r>
      <w:r w:rsidR="006343E1">
        <w:t xml:space="preserve"> w </w:t>
      </w:r>
      <w:r>
        <w:t xml:space="preserve">przemyśle oraz ok. </w:t>
      </w:r>
      <w:r w:rsidR="0006023E">
        <w:t>6,8</w:t>
      </w:r>
      <w:r>
        <w:t>%</w:t>
      </w:r>
      <w:r w:rsidR="006343E1">
        <w:t xml:space="preserve"> w </w:t>
      </w:r>
      <w:r>
        <w:t>sektorze usług.</w:t>
      </w:r>
      <w:r w:rsidR="006343E1">
        <w:t xml:space="preserve"> </w:t>
      </w:r>
      <w:r w:rsidR="0006023E">
        <w:t>Zarówno w </w:t>
      </w:r>
      <w:r>
        <w:t xml:space="preserve">przemyśle </w:t>
      </w:r>
      <w:r w:rsidR="0006023E">
        <w:t xml:space="preserve">jak i w usługach, </w:t>
      </w:r>
      <w:r>
        <w:t>im większe przedsiębiorstw</w:t>
      </w:r>
      <w:r w:rsidR="005A1CF9">
        <w:t>o</w:t>
      </w:r>
      <w:r w:rsidR="006E2C24">
        <w:t>,</w:t>
      </w:r>
      <w:r w:rsidR="005A1CF9">
        <w:t xml:space="preserve"> </w:t>
      </w:r>
      <w:r>
        <w:t>tym wyższy udział środków własnych</w:t>
      </w:r>
      <w:r w:rsidR="006343E1">
        <w:t xml:space="preserve"> w </w:t>
      </w:r>
      <w:r>
        <w:t>finansowaniu działalności innowacyjnej</w:t>
      </w:r>
      <w:r w:rsidR="0006023E">
        <w:t>.</w:t>
      </w:r>
      <w:r>
        <w:t xml:space="preserve"> </w:t>
      </w:r>
    </w:p>
    <w:p w14:paraId="7C8F62EA" w14:textId="4E7E78ED" w:rsidR="000935B2" w:rsidRDefault="000935B2" w:rsidP="000935B2">
      <w:r>
        <w:t>Niektóre badania wskazują, że jednym z najważniejszych źródeł innowacji dla przedsiębiorstw są pracownicy (Kotler, de Bes, 2015). Wysokiej jakości kapitał ludzki w przedsiębiorstwach sprzyja akumulacji wiedzy i generowaniu pomysłów. W ostatnich latach systematycznie wzrasta liczba personelu wewnętrznego zaangażowanego w działalność B+R. W 20</w:t>
      </w:r>
      <w:r w:rsidR="004C0A4E">
        <w:t>20</w:t>
      </w:r>
      <w:r>
        <w:t xml:space="preserve"> r. całkowita liczba pracujących w tej sferze wyniosła ponad 187,6</w:t>
      </w:r>
      <w:r w:rsidR="006E2C24">
        <w:t> </w:t>
      </w:r>
      <w:r w:rsidR="004C0A4E">
        <w:t>226,1</w:t>
      </w:r>
      <w:r>
        <w:t xml:space="preserve">tys. osób i była o ponad </w:t>
      </w:r>
      <w:r w:rsidR="004C0A4E">
        <w:t>68</w:t>
      </w:r>
      <w:r>
        <w:t>% wyższa niż w 2011 r.</w:t>
      </w:r>
    </w:p>
    <w:p w14:paraId="23D2A8E4" w14:textId="58838ACF" w:rsidR="000935B2" w:rsidRDefault="000935B2" w:rsidP="000935B2">
      <w:pPr>
        <w:pStyle w:val="Nagwek4"/>
      </w:pPr>
      <w:r>
        <w:lastRenderedPageBreak/>
        <w:t xml:space="preserve">Tabela </w:t>
      </w:r>
      <w:r w:rsidR="00EC593A">
        <w:rPr>
          <w:noProof/>
        </w:rPr>
        <w:fldChar w:fldCharType="begin"/>
      </w:r>
      <w:r w:rsidR="00EC593A">
        <w:rPr>
          <w:noProof/>
        </w:rPr>
        <w:instrText xml:space="preserve"> SEQ Tabela \* ARABIC </w:instrText>
      </w:r>
      <w:r w:rsidR="00EC593A">
        <w:rPr>
          <w:noProof/>
        </w:rPr>
        <w:fldChar w:fldCharType="separate"/>
      </w:r>
      <w:r>
        <w:rPr>
          <w:noProof/>
        </w:rPr>
        <w:t>1</w:t>
      </w:r>
      <w:r w:rsidR="00EC593A">
        <w:rPr>
          <w:noProof/>
        </w:rPr>
        <w:fldChar w:fldCharType="end"/>
      </w:r>
      <w:r w:rsidR="00311B4A">
        <w:rPr>
          <w:noProof/>
        </w:rPr>
        <w:t>1</w:t>
      </w:r>
      <w:r w:rsidR="006E2C24">
        <w:rPr>
          <w:noProof/>
        </w:rPr>
        <w:t>.</w:t>
      </w:r>
      <w:r>
        <w:t xml:space="preserve"> Liczba osób zaangażowanych w B+R w Polsce w latach 2011</w:t>
      </w:r>
      <w:r w:rsidR="006E2C24">
        <w:rPr>
          <w:rFonts w:ascii="Times New Roman" w:hAnsi="Times New Roman" w:cs="Times New Roman"/>
        </w:rPr>
        <w:t>–</w:t>
      </w:r>
      <w:r>
        <w:t>20</w:t>
      </w:r>
      <w:r w:rsidR="004C0A4E">
        <w:t>20</w:t>
      </w:r>
    </w:p>
    <w:tbl>
      <w:tblPr>
        <w:tblW w:w="0" w:type="auto"/>
        <w:tblInd w:w="108" w:type="dxa"/>
        <w:tblBorders>
          <w:bottom w:val="single" w:sz="4" w:space="0" w:color="auto"/>
        </w:tblBorders>
        <w:tblLayout w:type="fixed"/>
        <w:tblLook w:val="0000" w:firstRow="0" w:lastRow="0" w:firstColumn="0" w:lastColumn="0" w:noHBand="0" w:noVBand="0"/>
      </w:tblPr>
      <w:tblGrid>
        <w:gridCol w:w="5314"/>
      </w:tblGrid>
      <w:tr w:rsidR="000935B2" w14:paraId="02CAB34A" w14:textId="77777777" w:rsidTr="002508DD">
        <w:trPr>
          <w:trHeight w:val="3249"/>
        </w:trPr>
        <w:tc>
          <w:tcPr>
            <w:tcW w:w="5314" w:type="dxa"/>
            <w:shd w:val="clear" w:color="auto" w:fill="auto"/>
          </w:tcPr>
          <w:tbl>
            <w:tblPr>
              <w:tblpPr w:leftFromText="141" w:rightFromText="141" w:horzAnchor="margin" w:tblpY="263"/>
              <w:tblOverlap w:val="never"/>
              <w:tblW w:w="0" w:type="auto"/>
              <w:tblLayout w:type="fixed"/>
              <w:tblLook w:val="0000" w:firstRow="0" w:lastRow="0" w:firstColumn="0" w:lastColumn="0" w:noHBand="0" w:noVBand="0"/>
            </w:tblPr>
            <w:tblGrid>
              <w:gridCol w:w="1018"/>
              <w:gridCol w:w="2085"/>
              <w:gridCol w:w="1699"/>
            </w:tblGrid>
            <w:tr w:rsidR="000935B2" w14:paraId="0D74E3C5" w14:textId="77777777" w:rsidTr="00CB07D4">
              <w:trPr>
                <w:trHeight w:hRule="exact" w:val="1120"/>
              </w:trPr>
              <w:tc>
                <w:tcPr>
                  <w:tcW w:w="1018" w:type="dxa"/>
                  <w:tcBorders>
                    <w:top w:val="single" w:sz="8" w:space="0" w:color="4BACC6"/>
                    <w:left w:val="single" w:sz="8" w:space="0" w:color="4BACC6"/>
                    <w:bottom w:val="single" w:sz="4" w:space="0" w:color="auto"/>
                  </w:tcBorders>
                  <w:shd w:val="clear" w:color="auto" w:fill="4BACC6"/>
                </w:tcPr>
                <w:p w14:paraId="63A5EC4C" w14:textId="77777777" w:rsidR="000935B2" w:rsidRDefault="006E2C24" w:rsidP="002508DD">
                  <w:pPr>
                    <w:spacing w:after="0" w:line="240" w:lineRule="auto"/>
                    <w:jc w:val="center"/>
                    <w:rPr>
                      <w:rFonts w:cs="Calibri"/>
                      <w:b/>
                      <w:bCs/>
                      <w:color w:val="FFFFFF"/>
                      <w:sz w:val="21"/>
                      <w:szCs w:val="21"/>
                    </w:rPr>
                  </w:pPr>
                  <w:r>
                    <w:rPr>
                      <w:rFonts w:cs="Calibri"/>
                      <w:b/>
                      <w:bCs/>
                      <w:color w:val="FFFFFF"/>
                      <w:sz w:val="21"/>
                      <w:szCs w:val="21"/>
                    </w:rPr>
                    <w:t>Rok</w:t>
                  </w:r>
                </w:p>
              </w:tc>
              <w:tc>
                <w:tcPr>
                  <w:tcW w:w="2085" w:type="dxa"/>
                  <w:tcBorders>
                    <w:top w:val="single" w:sz="8" w:space="0" w:color="4BACC6"/>
                    <w:bottom w:val="single" w:sz="4" w:space="0" w:color="auto"/>
                  </w:tcBorders>
                  <w:shd w:val="clear" w:color="auto" w:fill="4BACC6"/>
                </w:tcPr>
                <w:p w14:paraId="6F6705A9" w14:textId="347A0712" w:rsidR="000935B2" w:rsidRDefault="006E2C24" w:rsidP="002508DD">
                  <w:pPr>
                    <w:spacing w:after="0" w:line="240" w:lineRule="auto"/>
                    <w:jc w:val="center"/>
                  </w:pPr>
                  <w:r>
                    <w:rPr>
                      <w:rFonts w:cs="Calibri"/>
                      <w:b/>
                      <w:bCs/>
                      <w:color w:val="FFFFFF"/>
                      <w:sz w:val="16"/>
                      <w:szCs w:val="16"/>
                    </w:rPr>
                    <w:t>P</w:t>
                  </w:r>
                  <w:r w:rsidR="000935B2">
                    <w:rPr>
                      <w:rFonts w:cs="Calibri"/>
                      <w:b/>
                      <w:bCs/>
                      <w:color w:val="FFFFFF"/>
                      <w:sz w:val="16"/>
                      <w:szCs w:val="16"/>
                    </w:rPr>
                    <w:t>ersonel wewnętrzny zaangażowany w działalność B+R</w:t>
                  </w:r>
                </w:p>
              </w:tc>
              <w:tc>
                <w:tcPr>
                  <w:tcW w:w="1699" w:type="dxa"/>
                  <w:tcBorders>
                    <w:top w:val="single" w:sz="8" w:space="0" w:color="4BACC6"/>
                    <w:bottom w:val="single" w:sz="4" w:space="0" w:color="auto"/>
                    <w:right w:val="single" w:sz="8" w:space="0" w:color="4BACC6"/>
                  </w:tcBorders>
                  <w:shd w:val="clear" w:color="auto" w:fill="4BACC6"/>
                </w:tcPr>
                <w:p w14:paraId="5E510D5E" w14:textId="77777777" w:rsidR="000935B2" w:rsidRDefault="000935B2" w:rsidP="002508DD">
                  <w:pPr>
                    <w:spacing w:after="0" w:line="240" w:lineRule="auto"/>
                    <w:jc w:val="center"/>
                    <w:rPr>
                      <w:rFonts w:cs="Calibri"/>
                      <w:b/>
                      <w:bCs/>
                      <w:color w:val="FFFFFF"/>
                      <w:sz w:val="8"/>
                      <w:szCs w:val="16"/>
                    </w:rPr>
                  </w:pPr>
                </w:p>
                <w:p w14:paraId="667ABB6B" w14:textId="77777777" w:rsidR="000935B2" w:rsidRDefault="000935B2" w:rsidP="002508DD">
                  <w:pPr>
                    <w:spacing w:after="0" w:line="240" w:lineRule="auto"/>
                    <w:jc w:val="center"/>
                  </w:pPr>
                  <w:r>
                    <w:rPr>
                      <w:rFonts w:cs="Calibri"/>
                      <w:b/>
                      <w:bCs/>
                      <w:color w:val="FFFFFF"/>
                      <w:sz w:val="16"/>
                      <w:szCs w:val="16"/>
                    </w:rPr>
                    <w:t>pracownicy naukowo-</w:t>
                  </w:r>
                  <w:r w:rsidR="006E2C24">
                    <w:rPr>
                      <w:rFonts w:cs="Calibri"/>
                      <w:b/>
                      <w:bCs/>
                      <w:color w:val="FFFFFF"/>
                      <w:sz w:val="16"/>
                      <w:szCs w:val="16"/>
                    </w:rPr>
                    <w:br/>
                    <w:t>-</w:t>
                  </w:r>
                  <w:r>
                    <w:rPr>
                      <w:rFonts w:cs="Calibri"/>
                      <w:b/>
                      <w:bCs/>
                      <w:color w:val="FFFFFF"/>
                      <w:sz w:val="16"/>
                      <w:szCs w:val="16"/>
                    </w:rPr>
                    <w:t>badawczy</w:t>
                  </w:r>
                </w:p>
              </w:tc>
            </w:tr>
            <w:tr w:rsidR="000935B2" w14:paraId="7C3E7E49" w14:textId="77777777" w:rsidTr="00CB07D4">
              <w:trPr>
                <w:trHeight w:hRule="exact" w:val="349"/>
              </w:trPr>
              <w:tc>
                <w:tcPr>
                  <w:tcW w:w="1018" w:type="dxa"/>
                  <w:tcBorders>
                    <w:top w:val="single" w:sz="4" w:space="0" w:color="auto"/>
                    <w:left w:val="single" w:sz="8" w:space="0" w:color="4BACC6"/>
                    <w:bottom w:val="single" w:sz="8" w:space="0" w:color="4BACC6"/>
                  </w:tcBorders>
                  <w:shd w:val="clear" w:color="auto" w:fill="auto"/>
                </w:tcPr>
                <w:p w14:paraId="5852C59F" w14:textId="77777777" w:rsidR="000935B2" w:rsidRDefault="000935B2" w:rsidP="002508DD">
                  <w:pPr>
                    <w:spacing w:after="0" w:line="240" w:lineRule="auto"/>
                    <w:jc w:val="center"/>
                  </w:pPr>
                  <w:r>
                    <w:rPr>
                      <w:rFonts w:cs="Calibri"/>
                      <w:bCs/>
                      <w:sz w:val="20"/>
                      <w:szCs w:val="20"/>
                    </w:rPr>
                    <w:t>2011</w:t>
                  </w:r>
                </w:p>
              </w:tc>
              <w:tc>
                <w:tcPr>
                  <w:tcW w:w="2085" w:type="dxa"/>
                  <w:tcBorders>
                    <w:top w:val="single" w:sz="4" w:space="0" w:color="auto"/>
                    <w:bottom w:val="single" w:sz="8" w:space="0" w:color="4BACC6"/>
                  </w:tcBorders>
                  <w:shd w:val="clear" w:color="auto" w:fill="auto"/>
                </w:tcPr>
                <w:p w14:paraId="7A74426B" w14:textId="77777777" w:rsidR="000935B2" w:rsidRDefault="000935B2" w:rsidP="002508DD">
                  <w:pPr>
                    <w:spacing w:after="0" w:line="240" w:lineRule="auto"/>
                    <w:jc w:val="center"/>
                  </w:pPr>
                  <w:r>
                    <w:rPr>
                      <w:rFonts w:cs="Calibri"/>
                      <w:sz w:val="20"/>
                      <w:szCs w:val="20"/>
                    </w:rPr>
                    <w:t>134 551</w:t>
                  </w:r>
                </w:p>
              </w:tc>
              <w:tc>
                <w:tcPr>
                  <w:tcW w:w="1699" w:type="dxa"/>
                  <w:tcBorders>
                    <w:top w:val="single" w:sz="4" w:space="0" w:color="auto"/>
                    <w:bottom w:val="single" w:sz="8" w:space="0" w:color="4BACC6"/>
                    <w:right w:val="single" w:sz="8" w:space="0" w:color="4BACC6"/>
                  </w:tcBorders>
                  <w:shd w:val="clear" w:color="auto" w:fill="auto"/>
                </w:tcPr>
                <w:p w14:paraId="59250505" w14:textId="77777777" w:rsidR="000935B2" w:rsidRDefault="000935B2" w:rsidP="002508DD">
                  <w:pPr>
                    <w:spacing w:after="0" w:line="240" w:lineRule="auto"/>
                    <w:jc w:val="center"/>
                  </w:pPr>
                  <w:r>
                    <w:rPr>
                      <w:rFonts w:cs="Calibri"/>
                      <w:sz w:val="20"/>
                      <w:szCs w:val="20"/>
                    </w:rPr>
                    <w:t>100 723</w:t>
                  </w:r>
                </w:p>
              </w:tc>
            </w:tr>
            <w:tr w:rsidR="000935B2" w14:paraId="5DCF6488" w14:textId="77777777" w:rsidTr="002508DD">
              <w:trPr>
                <w:trHeight w:hRule="exact" w:val="349"/>
              </w:trPr>
              <w:tc>
                <w:tcPr>
                  <w:tcW w:w="1018" w:type="dxa"/>
                  <w:tcBorders>
                    <w:left w:val="single" w:sz="8" w:space="0" w:color="4BACC6"/>
                  </w:tcBorders>
                  <w:shd w:val="clear" w:color="auto" w:fill="auto"/>
                </w:tcPr>
                <w:p w14:paraId="047F9ED3" w14:textId="77777777" w:rsidR="000935B2" w:rsidRDefault="000935B2" w:rsidP="002508DD">
                  <w:pPr>
                    <w:spacing w:after="0" w:line="240" w:lineRule="auto"/>
                    <w:jc w:val="center"/>
                  </w:pPr>
                  <w:r>
                    <w:rPr>
                      <w:rFonts w:cs="Calibri"/>
                      <w:bCs/>
                      <w:sz w:val="20"/>
                      <w:szCs w:val="20"/>
                    </w:rPr>
                    <w:t>2012</w:t>
                  </w:r>
                </w:p>
              </w:tc>
              <w:tc>
                <w:tcPr>
                  <w:tcW w:w="2085" w:type="dxa"/>
                  <w:shd w:val="clear" w:color="auto" w:fill="auto"/>
                </w:tcPr>
                <w:p w14:paraId="2EFCB223" w14:textId="77777777" w:rsidR="000935B2" w:rsidRDefault="000935B2" w:rsidP="002508DD">
                  <w:pPr>
                    <w:spacing w:after="0" w:line="240" w:lineRule="auto"/>
                    <w:jc w:val="center"/>
                  </w:pPr>
                  <w:r>
                    <w:rPr>
                      <w:rFonts w:cs="Calibri"/>
                      <w:sz w:val="20"/>
                      <w:szCs w:val="20"/>
                    </w:rPr>
                    <w:t>139 653</w:t>
                  </w:r>
                </w:p>
              </w:tc>
              <w:tc>
                <w:tcPr>
                  <w:tcW w:w="1699" w:type="dxa"/>
                  <w:tcBorders>
                    <w:right w:val="single" w:sz="8" w:space="0" w:color="4BACC6"/>
                  </w:tcBorders>
                  <w:shd w:val="clear" w:color="auto" w:fill="auto"/>
                </w:tcPr>
                <w:p w14:paraId="2F4AA602" w14:textId="77777777" w:rsidR="000935B2" w:rsidRDefault="000935B2" w:rsidP="002508DD">
                  <w:pPr>
                    <w:spacing w:after="0" w:line="240" w:lineRule="auto"/>
                    <w:jc w:val="center"/>
                  </w:pPr>
                  <w:r>
                    <w:rPr>
                      <w:rFonts w:cs="Calibri"/>
                      <w:sz w:val="20"/>
                      <w:szCs w:val="20"/>
                    </w:rPr>
                    <w:t>103 627</w:t>
                  </w:r>
                </w:p>
              </w:tc>
            </w:tr>
            <w:tr w:rsidR="000935B2" w14:paraId="16C7A6FC" w14:textId="77777777" w:rsidTr="002508DD">
              <w:trPr>
                <w:trHeight w:hRule="exact" w:val="349"/>
              </w:trPr>
              <w:tc>
                <w:tcPr>
                  <w:tcW w:w="1018" w:type="dxa"/>
                  <w:tcBorders>
                    <w:top w:val="single" w:sz="8" w:space="0" w:color="4BACC6"/>
                    <w:left w:val="single" w:sz="8" w:space="0" w:color="4BACC6"/>
                    <w:bottom w:val="single" w:sz="8" w:space="0" w:color="4BACC6"/>
                  </w:tcBorders>
                  <w:shd w:val="clear" w:color="auto" w:fill="auto"/>
                </w:tcPr>
                <w:p w14:paraId="78508C05" w14:textId="77777777" w:rsidR="000935B2" w:rsidRDefault="000935B2" w:rsidP="002508DD">
                  <w:pPr>
                    <w:spacing w:after="0" w:line="240" w:lineRule="auto"/>
                    <w:jc w:val="center"/>
                  </w:pPr>
                  <w:r>
                    <w:rPr>
                      <w:rFonts w:cs="Calibri"/>
                      <w:bCs/>
                      <w:sz w:val="20"/>
                      <w:szCs w:val="20"/>
                    </w:rPr>
                    <w:t>2013</w:t>
                  </w:r>
                </w:p>
              </w:tc>
              <w:tc>
                <w:tcPr>
                  <w:tcW w:w="2085" w:type="dxa"/>
                  <w:tcBorders>
                    <w:top w:val="single" w:sz="8" w:space="0" w:color="4BACC6"/>
                    <w:bottom w:val="single" w:sz="8" w:space="0" w:color="4BACC6"/>
                  </w:tcBorders>
                  <w:shd w:val="clear" w:color="auto" w:fill="auto"/>
                </w:tcPr>
                <w:p w14:paraId="45189B1F" w14:textId="77777777" w:rsidR="000935B2" w:rsidRDefault="000935B2" w:rsidP="002508DD">
                  <w:pPr>
                    <w:spacing w:after="0" w:line="240" w:lineRule="auto"/>
                    <w:jc w:val="center"/>
                  </w:pPr>
                  <w:r>
                    <w:rPr>
                      <w:rFonts w:cs="Calibri"/>
                      <w:sz w:val="20"/>
                      <w:szCs w:val="20"/>
                    </w:rPr>
                    <w:t>145 635</w:t>
                  </w:r>
                </w:p>
              </w:tc>
              <w:tc>
                <w:tcPr>
                  <w:tcW w:w="1699" w:type="dxa"/>
                  <w:tcBorders>
                    <w:top w:val="single" w:sz="8" w:space="0" w:color="4BACC6"/>
                    <w:bottom w:val="single" w:sz="8" w:space="0" w:color="4BACC6"/>
                    <w:right w:val="single" w:sz="8" w:space="0" w:color="4BACC6"/>
                  </w:tcBorders>
                  <w:shd w:val="clear" w:color="auto" w:fill="auto"/>
                </w:tcPr>
                <w:p w14:paraId="5C03BF1D" w14:textId="77777777" w:rsidR="000935B2" w:rsidRDefault="000935B2" w:rsidP="002508DD">
                  <w:pPr>
                    <w:spacing w:after="0" w:line="240" w:lineRule="auto"/>
                    <w:jc w:val="center"/>
                  </w:pPr>
                  <w:r>
                    <w:rPr>
                      <w:rFonts w:cs="Calibri"/>
                      <w:sz w:val="20"/>
                      <w:szCs w:val="20"/>
                    </w:rPr>
                    <w:t>109 611</w:t>
                  </w:r>
                </w:p>
              </w:tc>
            </w:tr>
            <w:tr w:rsidR="000935B2" w14:paraId="780495C9" w14:textId="77777777" w:rsidTr="002508DD">
              <w:trPr>
                <w:trHeight w:hRule="exact" w:val="349"/>
              </w:trPr>
              <w:tc>
                <w:tcPr>
                  <w:tcW w:w="1018" w:type="dxa"/>
                  <w:tcBorders>
                    <w:left w:val="single" w:sz="8" w:space="0" w:color="4BACC6"/>
                  </w:tcBorders>
                  <w:shd w:val="clear" w:color="auto" w:fill="auto"/>
                </w:tcPr>
                <w:p w14:paraId="045DD729" w14:textId="77777777" w:rsidR="000935B2" w:rsidRDefault="000935B2" w:rsidP="002508DD">
                  <w:pPr>
                    <w:spacing w:after="0" w:line="240" w:lineRule="auto"/>
                    <w:jc w:val="center"/>
                  </w:pPr>
                  <w:r>
                    <w:rPr>
                      <w:rFonts w:cs="Calibri"/>
                      <w:bCs/>
                      <w:sz w:val="20"/>
                      <w:szCs w:val="20"/>
                    </w:rPr>
                    <w:t>2014</w:t>
                  </w:r>
                </w:p>
              </w:tc>
              <w:tc>
                <w:tcPr>
                  <w:tcW w:w="2085" w:type="dxa"/>
                  <w:shd w:val="clear" w:color="auto" w:fill="auto"/>
                </w:tcPr>
                <w:p w14:paraId="1F13E98F" w14:textId="77777777" w:rsidR="000935B2" w:rsidRDefault="000935B2" w:rsidP="002508DD">
                  <w:pPr>
                    <w:spacing w:after="0" w:line="240" w:lineRule="auto"/>
                    <w:jc w:val="center"/>
                  </w:pPr>
                  <w:r>
                    <w:rPr>
                      <w:rFonts w:cs="Calibri"/>
                      <w:sz w:val="20"/>
                      <w:szCs w:val="20"/>
                    </w:rPr>
                    <w:t>153 475</w:t>
                  </w:r>
                </w:p>
              </w:tc>
              <w:tc>
                <w:tcPr>
                  <w:tcW w:w="1699" w:type="dxa"/>
                  <w:tcBorders>
                    <w:right w:val="single" w:sz="8" w:space="0" w:color="4BACC6"/>
                  </w:tcBorders>
                  <w:shd w:val="clear" w:color="auto" w:fill="auto"/>
                </w:tcPr>
                <w:p w14:paraId="59F3C620" w14:textId="77777777" w:rsidR="000935B2" w:rsidRDefault="000935B2" w:rsidP="002508DD">
                  <w:pPr>
                    <w:spacing w:after="0" w:line="240" w:lineRule="auto"/>
                    <w:jc w:val="center"/>
                  </w:pPr>
                  <w:r>
                    <w:rPr>
                      <w:rFonts w:cs="Calibri"/>
                      <w:sz w:val="20"/>
                      <w:szCs w:val="20"/>
                    </w:rPr>
                    <w:t>115 375</w:t>
                  </w:r>
                </w:p>
              </w:tc>
            </w:tr>
            <w:tr w:rsidR="000935B2" w14:paraId="0186122F" w14:textId="77777777" w:rsidTr="002508DD">
              <w:trPr>
                <w:trHeight w:hRule="exact" w:val="349"/>
              </w:trPr>
              <w:tc>
                <w:tcPr>
                  <w:tcW w:w="1018" w:type="dxa"/>
                  <w:tcBorders>
                    <w:top w:val="single" w:sz="8" w:space="0" w:color="4BACC6"/>
                    <w:left w:val="single" w:sz="8" w:space="0" w:color="4BACC6"/>
                    <w:bottom w:val="single" w:sz="8" w:space="0" w:color="4BACC6"/>
                  </w:tcBorders>
                  <w:shd w:val="clear" w:color="auto" w:fill="auto"/>
                </w:tcPr>
                <w:p w14:paraId="62F329E4" w14:textId="77777777" w:rsidR="000935B2" w:rsidRDefault="000935B2" w:rsidP="002508DD">
                  <w:pPr>
                    <w:spacing w:after="0" w:line="240" w:lineRule="auto"/>
                    <w:jc w:val="center"/>
                  </w:pPr>
                  <w:r>
                    <w:rPr>
                      <w:rFonts w:cs="Calibri"/>
                      <w:bCs/>
                      <w:sz w:val="20"/>
                      <w:szCs w:val="20"/>
                    </w:rPr>
                    <w:t>2015</w:t>
                  </w:r>
                </w:p>
              </w:tc>
              <w:tc>
                <w:tcPr>
                  <w:tcW w:w="2085" w:type="dxa"/>
                  <w:tcBorders>
                    <w:top w:val="single" w:sz="8" w:space="0" w:color="4BACC6"/>
                    <w:bottom w:val="single" w:sz="8" w:space="0" w:color="4BACC6"/>
                  </w:tcBorders>
                  <w:shd w:val="clear" w:color="auto" w:fill="auto"/>
                </w:tcPr>
                <w:p w14:paraId="259B02FF" w14:textId="77777777" w:rsidR="000935B2" w:rsidRDefault="000935B2" w:rsidP="002508DD">
                  <w:pPr>
                    <w:spacing w:after="0" w:line="240" w:lineRule="auto"/>
                    <w:jc w:val="center"/>
                  </w:pPr>
                  <w:r>
                    <w:rPr>
                      <w:rFonts w:cs="Calibri"/>
                      <w:bCs/>
                      <w:sz w:val="20"/>
                      <w:szCs w:val="20"/>
                    </w:rPr>
                    <w:t>157 921</w:t>
                  </w:r>
                </w:p>
              </w:tc>
              <w:tc>
                <w:tcPr>
                  <w:tcW w:w="1699" w:type="dxa"/>
                  <w:tcBorders>
                    <w:top w:val="single" w:sz="8" w:space="0" w:color="4BACC6"/>
                    <w:bottom w:val="single" w:sz="8" w:space="0" w:color="4BACC6"/>
                    <w:right w:val="single" w:sz="8" w:space="0" w:color="4BACC6"/>
                  </w:tcBorders>
                  <w:shd w:val="clear" w:color="auto" w:fill="auto"/>
                </w:tcPr>
                <w:p w14:paraId="46CEAB15" w14:textId="77777777" w:rsidR="000935B2" w:rsidRDefault="000935B2" w:rsidP="002508DD">
                  <w:pPr>
                    <w:spacing w:after="0" w:line="240" w:lineRule="auto"/>
                    <w:jc w:val="center"/>
                  </w:pPr>
                  <w:r>
                    <w:rPr>
                      <w:rFonts w:cs="Calibri"/>
                      <w:bCs/>
                      <w:sz w:val="20"/>
                      <w:szCs w:val="20"/>
                    </w:rPr>
                    <w:t>118 494</w:t>
                  </w:r>
                </w:p>
              </w:tc>
            </w:tr>
            <w:tr w:rsidR="000935B2" w14:paraId="62C4BA56" w14:textId="77777777" w:rsidTr="002508DD">
              <w:trPr>
                <w:trHeight w:hRule="exact" w:val="349"/>
              </w:trPr>
              <w:tc>
                <w:tcPr>
                  <w:tcW w:w="1018" w:type="dxa"/>
                  <w:tcBorders>
                    <w:left w:val="single" w:sz="8" w:space="0" w:color="4BACC6"/>
                    <w:bottom w:val="single" w:sz="8" w:space="0" w:color="4BACC6"/>
                  </w:tcBorders>
                  <w:shd w:val="clear" w:color="auto" w:fill="auto"/>
                </w:tcPr>
                <w:p w14:paraId="0F74487A" w14:textId="77777777" w:rsidR="000935B2" w:rsidRDefault="000935B2" w:rsidP="002508DD">
                  <w:pPr>
                    <w:spacing w:after="0" w:line="240" w:lineRule="auto"/>
                    <w:jc w:val="center"/>
                  </w:pPr>
                  <w:r>
                    <w:rPr>
                      <w:rFonts w:cs="Calibri"/>
                      <w:bCs/>
                      <w:sz w:val="20"/>
                      <w:szCs w:val="20"/>
                    </w:rPr>
                    <w:t>2016</w:t>
                  </w:r>
                </w:p>
              </w:tc>
              <w:tc>
                <w:tcPr>
                  <w:tcW w:w="2085" w:type="dxa"/>
                  <w:tcBorders>
                    <w:bottom w:val="single" w:sz="8" w:space="0" w:color="4BACC6"/>
                  </w:tcBorders>
                  <w:shd w:val="clear" w:color="auto" w:fill="auto"/>
                </w:tcPr>
                <w:p w14:paraId="7B0D3B06" w14:textId="77777777" w:rsidR="000935B2" w:rsidRDefault="000935B2" w:rsidP="002508DD">
                  <w:pPr>
                    <w:spacing w:after="0" w:line="240" w:lineRule="auto"/>
                    <w:jc w:val="center"/>
                  </w:pPr>
                  <w:r>
                    <w:rPr>
                      <w:rFonts w:cs="Calibri"/>
                      <w:sz w:val="20"/>
                      <w:szCs w:val="20"/>
                    </w:rPr>
                    <w:t>171 610</w:t>
                  </w:r>
                </w:p>
              </w:tc>
              <w:tc>
                <w:tcPr>
                  <w:tcW w:w="1699" w:type="dxa"/>
                  <w:tcBorders>
                    <w:bottom w:val="single" w:sz="8" w:space="0" w:color="4BACC6"/>
                    <w:right w:val="single" w:sz="8" w:space="0" w:color="4BACC6"/>
                  </w:tcBorders>
                  <w:shd w:val="clear" w:color="auto" w:fill="auto"/>
                </w:tcPr>
                <w:p w14:paraId="459E3E31" w14:textId="77777777" w:rsidR="000935B2" w:rsidRDefault="000935B2" w:rsidP="002508DD">
                  <w:pPr>
                    <w:spacing w:after="0" w:line="240" w:lineRule="auto"/>
                    <w:jc w:val="center"/>
                  </w:pPr>
                  <w:r>
                    <w:rPr>
                      <w:rFonts w:cs="Calibri"/>
                      <w:sz w:val="20"/>
                      <w:szCs w:val="20"/>
                    </w:rPr>
                    <w:t>132 547</w:t>
                  </w:r>
                </w:p>
              </w:tc>
            </w:tr>
            <w:tr w:rsidR="000935B2" w14:paraId="7DEF80DE" w14:textId="77777777" w:rsidTr="002508DD">
              <w:trPr>
                <w:trHeight w:hRule="exact" w:val="349"/>
              </w:trPr>
              <w:tc>
                <w:tcPr>
                  <w:tcW w:w="1018" w:type="dxa"/>
                  <w:tcBorders>
                    <w:top w:val="single" w:sz="8" w:space="0" w:color="4BACC6"/>
                    <w:left w:val="single" w:sz="8" w:space="0" w:color="4BACC6"/>
                    <w:bottom w:val="single" w:sz="8" w:space="0" w:color="4BACC6"/>
                  </w:tcBorders>
                  <w:shd w:val="clear" w:color="auto" w:fill="auto"/>
                </w:tcPr>
                <w:p w14:paraId="302D5B98" w14:textId="77777777" w:rsidR="000935B2" w:rsidRDefault="000935B2" w:rsidP="002508DD">
                  <w:pPr>
                    <w:spacing w:after="0" w:line="240" w:lineRule="auto"/>
                    <w:jc w:val="center"/>
                  </w:pPr>
                  <w:r>
                    <w:rPr>
                      <w:rFonts w:cs="Calibri"/>
                      <w:bCs/>
                      <w:sz w:val="20"/>
                      <w:szCs w:val="20"/>
                    </w:rPr>
                    <w:t>2017</w:t>
                  </w:r>
                </w:p>
              </w:tc>
              <w:tc>
                <w:tcPr>
                  <w:tcW w:w="2085" w:type="dxa"/>
                  <w:tcBorders>
                    <w:top w:val="single" w:sz="8" w:space="0" w:color="4BACC6"/>
                    <w:bottom w:val="single" w:sz="8" w:space="0" w:color="4BACC6"/>
                  </w:tcBorders>
                  <w:shd w:val="clear" w:color="auto" w:fill="auto"/>
                </w:tcPr>
                <w:p w14:paraId="571FB4B4" w14:textId="77777777" w:rsidR="000935B2" w:rsidRDefault="000935B2" w:rsidP="002508DD">
                  <w:pPr>
                    <w:spacing w:after="0" w:line="240" w:lineRule="auto"/>
                    <w:jc w:val="center"/>
                  </w:pPr>
                  <w:r>
                    <w:rPr>
                      <w:rFonts w:cs="Calibri"/>
                      <w:sz w:val="20"/>
                      <w:szCs w:val="20"/>
                    </w:rPr>
                    <w:t>187 583</w:t>
                  </w:r>
                </w:p>
              </w:tc>
              <w:tc>
                <w:tcPr>
                  <w:tcW w:w="1699" w:type="dxa"/>
                  <w:tcBorders>
                    <w:top w:val="single" w:sz="8" w:space="0" w:color="4BACC6"/>
                    <w:bottom w:val="single" w:sz="8" w:space="0" w:color="4BACC6"/>
                    <w:right w:val="single" w:sz="8" w:space="0" w:color="4BACC6"/>
                  </w:tcBorders>
                  <w:shd w:val="clear" w:color="auto" w:fill="auto"/>
                </w:tcPr>
                <w:p w14:paraId="7664391A" w14:textId="77777777" w:rsidR="000935B2" w:rsidRDefault="000935B2" w:rsidP="002508DD">
                  <w:pPr>
                    <w:spacing w:after="0" w:line="240" w:lineRule="auto"/>
                    <w:jc w:val="center"/>
                  </w:pPr>
                  <w:r>
                    <w:rPr>
                      <w:rFonts w:cs="Calibri"/>
                      <w:sz w:val="20"/>
                      <w:szCs w:val="20"/>
                    </w:rPr>
                    <w:t>146 643</w:t>
                  </w:r>
                </w:p>
              </w:tc>
            </w:tr>
            <w:tr w:rsidR="000935B2" w14:paraId="195BAD62" w14:textId="77777777" w:rsidTr="002508DD">
              <w:trPr>
                <w:trHeight w:hRule="exact" w:val="349"/>
              </w:trPr>
              <w:tc>
                <w:tcPr>
                  <w:tcW w:w="1018" w:type="dxa"/>
                  <w:tcBorders>
                    <w:top w:val="single" w:sz="8" w:space="0" w:color="4BACC6"/>
                    <w:left w:val="single" w:sz="8" w:space="0" w:color="4BACC6"/>
                    <w:bottom w:val="single" w:sz="8" w:space="0" w:color="4BACC6"/>
                  </w:tcBorders>
                  <w:shd w:val="clear" w:color="auto" w:fill="auto"/>
                </w:tcPr>
                <w:p w14:paraId="682FD08A" w14:textId="77777777" w:rsidR="000935B2" w:rsidRDefault="000935B2" w:rsidP="002508DD">
                  <w:pPr>
                    <w:spacing w:after="0" w:line="240" w:lineRule="auto"/>
                    <w:jc w:val="center"/>
                    <w:rPr>
                      <w:rFonts w:cs="Calibri"/>
                      <w:bCs/>
                      <w:sz w:val="20"/>
                      <w:szCs w:val="20"/>
                    </w:rPr>
                  </w:pPr>
                  <w:r>
                    <w:rPr>
                      <w:rFonts w:cs="Calibri"/>
                      <w:bCs/>
                      <w:sz w:val="20"/>
                      <w:szCs w:val="20"/>
                    </w:rPr>
                    <w:t>2018</w:t>
                  </w:r>
                </w:p>
              </w:tc>
              <w:tc>
                <w:tcPr>
                  <w:tcW w:w="2085" w:type="dxa"/>
                  <w:tcBorders>
                    <w:top w:val="single" w:sz="8" w:space="0" w:color="4BACC6"/>
                    <w:bottom w:val="single" w:sz="8" w:space="0" w:color="4BACC6"/>
                  </w:tcBorders>
                  <w:shd w:val="clear" w:color="auto" w:fill="auto"/>
                </w:tcPr>
                <w:p w14:paraId="0D601CC5" w14:textId="77777777" w:rsidR="000935B2" w:rsidRDefault="000935B2" w:rsidP="002508DD">
                  <w:pPr>
                    <w:spacing w:after="0" w:line="240" w:lineRule="auto"/>
                    <w:jc w:val="center"/>
                    <w:rPr>
                      <w:rFonts w:cs="Calibri"/>
                      <w:sz w:val="20"/>
                      <w:szCs w:val="20"/>
                    </w:rPr>
                  </w:pPr>
                  <w:r>
                    <w:rPr>
                      <w:rFonts w:cs="Calibri"/>
                      <w:sz w:val="20"/>
                      <w:szCs w:val="20"/>
                    </w:rPr>
                    <w:t>203 588</w:t>
                  </w:r>
                </w:p>
              </w:tc>
              <w:tc>
                <w:tcPr>
                  <w:tcW w:w="1699" w:type="dxa"/>
                  <w:tcBorders>
                    <w:top w:val="single" w:sz="8" w:space="0" w:color="4BACC6"/>
                    <w:bottom w:val="single" w:sz="8" w:space="0" w:color="4BACC6"/>
                    <w:right w:val="single" w:sz="8" w:space="0" w:color="4BACC6"/>
                  </w:tcBorders>
                  <w:shd w:val="clear" w:color="auto" w:fill="auto"/>
                </w:tcPr>
                <w:p w14:paraId="3B3C74DA" w14:textId="77777777" w:rsidR="000935B2" w:rsidRDefault="000935B2" w:rsidP="002508DD">
                  <w:pPr>
                    <w:spacing w:after="0" w:line="240" w:lineRule="auto"/>
                    <w:jc w:val="center"/>
                    <w:rPr>
                      <w:rFonts w:cs="Calibri"/>
                      <w:sz w:val="20"/>
                      <w:szCs w:val="20"/>
                    </w:rPr>
                  </w:pPr>
                  <w:r>
                    <w:rPr>
                      <w:rFonts w:cs="Calibri"/>
                      <w:sz w:val="20"/>
                      <w:szCs w:val="20"/>
                    </w:rPr>
                    <w:t>150 782</w:t>
                  </w:r>
                </w:p>
              </w:tc>
            </w:tr>
            <w:tr w:rsidR="000935B2" w14:paraId="333F9952" w14:textId="77777777" w:rsidTr="002508DD">
              <w:trPr>
                <w:trHeight w:hRule="exact" w:val="349"/>
              </w:trPr>
              <w:tc>
                <w:tcPr>
                  <w:tcW w:w="1018" w:type="dxa"/>
                  <w:tcBorders>
                    <w:top w:val="single" w:sz="8" w:space="0" w:color="4BACC6"/>
                    <w:left w:val="single" w:sz="8" w:space="0" w:color="4BACC6"/>
                    <w:bottom w:val="single" w:sz="8" w:space="0" w:color="4BACC6"/>
                  </w:tcBorders>
                  <w:shd w:val="clear" w:color="auto" w:fill="auto"/>
                </w:tcPr>
                <w:p w14:paraId="6D174870" w14:textId="77777777" w:rsidR="000935B2" w:rsidRDefault="000935B2" w:rsidP="002508DD">
                  <w:pPr>
                    <w:spacing w:after="0" w:line="240" w:lineRule="auto"/>
                    <w:jc w:val="center"/>
                    <w:rPr>
                      <w:rFonts w:cs="Calibri"/>
                      <w:bCs/>
                      <w:sz w:val="20"/>
                      <w:szCs w:val="20"/>
                    </w:rPr>
                  </w:pPr>
                  <w:r>
                    <w:rPr>
                      <w:rFonts w:cs="Calibri"/>
                      <w:bCs/>
                      <w:sz w:val="20"/>
                      <w:szCs w:val="20"/>
                    </w:rPr>
                    <w:t>2019</w:t>
                  </w:r>
                </w:p>
              </w:tc>
              <w:tc>
                <w:tcPr>
                  <w:tcW w:w="2085" w:type="dxa"/>
                  <w:tcBorders>
                    <w:top w:val="single" w:sz="8" w:space="0" w:color="4BACC6"/>
                    <w:bottom w:val="single" w:sz="8" w:space="0" w:color="4BACC6"/>
                  </w:tcBorders>
                  <w:shd w:val="clear" w:color="auto" w:fill="auto"/>
                </w:tcPr>
                <w:p w14:paraId="3142E79A" w14:textId="77777777" w:rsidR="000935B2" w:rsidRDefault="000935B2" w:rsidP="002508DD">
                  <w:pPr>
                    <w:spacing w:after="0" w:line="240" w:lineRule="auto"/>
                    <w:jc w:val="center"/>
                    <w:rPr>
                      <w:rFonts w:cs="Calibri"/>
                      <w:sz w:val="20"/>
                      <w:szCs w:val="20"/>
                    </w:rPr>
                  </w:pPr>
                  <w:r>
                    <w:rPr>
                      <w:rFonts w:cs="Calibri"/>
                      <w:sz w:val="20"/>
                      <w:szCs w:val="20"/>
                    </w:rPr>
                    <w:t>214 823</w:t>
                  </w:r>
                </w:p>
              </w:tc>
              <w:tc>
                <w:tcPr>
                  <w:tcW w:w="1699" w:type="dxa"/>
                  <w:tcBorders>
                    <w:top w:val="single" w:sz="8" w:space="0" w:color="4BACC6"/>
                    <w:bottom w:val="single" w:sz="8" w:space="0" w:color="4BACC6"/>
                    <w:right w:val="single" w:sz="8" w:space="0" w:color="4BACC6"/>
                  </w:tcBorders>
                  <w:shd w:val="clear" w:color="auto" w:fill="auto"/>
                </w:tcPr>
                <w:p w14:paraId="6EBBBC9C" w14:textId="77777777" w:rsidR="000935B2" w:rsidRDefault="000935B2" w:rsidP="002508DD">
                  <w:pPr>
                    <w:spacing w:after="0" w:line="240" w:lineRule="auto"/>
                    <w:jc w:val="center"/>
                    <w:rPr>
                      <w:rFonts w:cs="Calibri"/>
                      <w:sz w:val="20"/>
                      <w:szCs w:val="20"/>
                    </w:rPr>
                  </w:pPr>
                  <w:r>
                    <w:rPr>
                      <w:rFonts w:cs="Calibri"/>
                      <w:sz w:val="20"/>
                      <w:szCs w:val="20"/>
                    </w:rPr>
                    <w:t>153 243</w:t>
                  </w:r>
                </w:p>
              </w:tc>
            </w:tr>
            <w:tr w:rsidR="004C0A4E" w14:paraId="5657721F" w14:textId="77777777" w:rsidTr="002508DD">
              <w:trPr>
                <w:trHeight w:hRule="exact" w:val="349"/>
              </w:trPr>
              <w:tc>
                <w:tcPr>
                  <w:tcW w:w="1018" w:type="dxa"/>
                  <w:tcBorders>
                    <w:top w:val="single" w:sz="8" w:space="0" w:color="4BACC6"/>
                    <w:left w:val="single" w:sz="8" w:space="0" w:color="4BACC6"/>
                    <w:bottom w:val="single" w:sz="8" w:space="0" w:color="4BACC6"/>
                  </w:tcBorders>
                  <w:shd w:val="clear" w:color="auto" w:fill="auto"/>
                </w:tcPr>
                <w:p w14:paraId="27376318" w14:textId="73C1E3B4" w:rsidR="004C0A4E" w:rsidRDefault="004C0A4E" w:rsidP="002508DD">
                  <w:pPr>
                    <w:spacing w:after="0" w:line="240" w:lineRule="auto"/>
                    <w:jc w:val="center"/>
                    <w:rPr>
                      <w:rFonts w:cs="Calibri"/>
                      <w:bCs/>
                      <w:sz w:val="20"/>
                      <w:szCs w:val="20"/>
                    </w:rPr>
                  </w:pPr>
                  <w:r>
                    <w:rPr>
                      <w:rFonts w:cs="Calibri"/>
                      <w:bCs/>
                      <w:sz w:val="20"/>
                      <w:szCs w:val="20"/>
                    </w:rPr>
                    <w:t>2020</w:t>
                  </w:r>
                </w:p>
              </w:tc>
              <w:tc>
                <w:tcPr>
                  <w:tcW w:w="2085" w:type="dxa"/>
                  <w:tcBorders>
                    <w:top w:val="single" w:sz="8" w:space="0" w:color="4BACC6"/>
                    <w:bottom w:val="single" w:sz="8" w:space="0" w:color="4BACC6"/>
                  </w:tcBorders>
                  <w:shd w:val="clear" w:color="auto" w:fill="auto"/>
                </w:tcPr>
                <w:p w14:paraId="12E14C1D" w14:textId="7049656D" w:rsidR="004C0A4E" w:rsidRDefault="004C0A4E" w:rsidP="002508DD">
                  <w:pPr>
                    <w:spacing w:after="0" w:line="240" w:lineRule="auto"/>
                    <w:jc w:val="center"/>
                    <w:rPr>
                      <w:rFonts w:cs="Calibri"/>
                      <w:sz w:val="20"/>
                      <w:szCs w:val="20"/>
                    </w:rPr>
                  </w:pPr>
                  <w:r>
                    <w:rPr>
                      <w:rFonts w:cs="Calibri"/>
                      <w:sz w:val="20"/>
                      <w:szCs w:val="20"/>
                    </w:rPr>
                    <w:t>226 131</w:t>
                  </w:r>
                </w:p>
              </w:tc>
              <w:tc>
                <w:tcPr>
                  <w:tcW w:w="1699" w:type="dxa"/>
                  <w:tcBorders>
                    <w:top w:val="single" w:sz="8" w:space="0" w:color="4BACC6"/>
                    <w:bottom w:val="single" w:sz="8" w:space="0" w:color="4BACC6"/>
                    <w:right w:val="single" w:sz="8" w:space="0" w:color="4BACC6"/>
                  </w:tcBorders>
                  <w:shd w:val="clear" w:color="auto" w:fill="auto"/>
                </w:tcPr>
                <w:p w14:paraId="6831B772" w14:textId="4AC4FC4F" w:rsidR="004C0A4E" w:rsidRDefault="004C0A4E" w:rsidP="002508DD">
                  <w:pPr>
                    <w:spacing w:after="0" w:line="240" w:lineRule="auto"/>
                    <w:jc w:val="center"/>
                    <w:rPr>
                      <w:rFonts w:cs="Calibri"/>
                      <w:sz w:val="20"/>
                      <w:szCs w:val="20"/>
                    </w:rPr>
                  </w:pPr>
                  <w:r>
                    <w:rPr>
                      <w:rFonts w:cs="Calibri"/>
                      <w:sz w:val="20"/>
                      <w:szCs w:val="20"/>
                    </w:rPr>
                    <w:t>158 184</w:t>
                  </w:r>
                </w:p>
              </w:tc>
            </w:tr>
          </w:tbl>
          <w:p w14:paraId="29E9A0CD" w14:textId="7B995388" w:rsidR="000935B2" w:rsidRDefault="000935B2" w:rsidP="002508DD">
            <w:pPr>
              <w:pStyle w:val="Bezodstpw"/>
            </w:pPr>
          </w:p>
        </w:tc>
      </w:tr>
    </w:tbl>
    <w:p w14:paraId="75295738" w14:textId="77777777" w:rsidR="007B460C" w:rsidRDefault="007B460C" w:rsidP="000935B2">
      <w:pPr>
        <w:pStyle w:val="Bezodstpw"/>
      </w:pPr>
    </w:p>
    <w:p w14:paraId="42D62747" w14:textId="430ACFD5" w:rsidR="000935B2" w:rsidRDefault="000935B2" w:rsidP="000935B2">
      <w:pPr>
        <w:pStyle w:val="Bezodstpw"/>
        <w:rPr>
          <w:rStyle w:val="Nagwek4Znak"/>
        </w:rPr>
      </w:pPr>
      <w:r>
        <w:t>Źródło: GUS (202</w:t>
      </w:r>
      <w:r w:rsidR="004C0A4E">
        <w:t>2</w:t>
      </w:r>
      <w:r>
        <w:t>)</w:t>
      </w:r>
    </w:p>
    <w:p w14:paraId="3E681D80" w14:textId="55192357" w:rsidR="003C3957" w:rsidRPr="00CC26C8" w:rsidRDefault="003C3957" w:rsidP="00CB07D4">
      <w:pPr>
        <w:spacing w:after="0" w:line="240" w:lineRule="auto"/>
        <w:ind w:left="993" w:hanging="993"/>
        <w:rPr>
          <w:rStyle w:val="Nagwek4Znak"/>
        </w:rPr>
      </w:pPr>
      <w:r w:rsidRPr="00CC26C8">
        <w:rPr>
          <w:rStyle w:val="Nagwek4Znak"/>
        </w:rPr>
        <w:t xml:space="preserve">Wykres </w:t>
      </w:r>
      <w:r w:rsidR="00FC6E8F">
        <w:rPr>
          <w:rStyle w:val="Nagwek4Znak"/>
        </w:rPr>
        <w:t>77</w:t>
      </w:r>
      <w:r w:rsidRPr="00CC26C8">
        <w:rPr>
          <w:rStyle w:val="Nagwek4Znak"/>
        </w:rPr>
        <w:t>. Udział zatrudnionych</w:t>
      </w:r>
      <w:r w:rsidR="006343E1" w:rsidRPr="00CC26C8">
        <w:rPr>
          <w:rStyle w:val="Nagwek4Znak"/>
        </w:rPr>
        <w:t xml:space="preserve"> w </w:t>
      </w:r>
      <w:r w:rsidRPr="00CC26C8">
        <w:rPr>
          <w:rStyle w:val="Nagwek4Znak"/>
        </w:rPr>
        <w:t>sektorach</w:t>
      </w:r>
      <w:r w:rsidR="006343E1" w:rsidRPr="00CC26C8">
        <w:rPr>
          <w:rStyle w:val="Nagwek4Znak"/>
        </w:rPr>
        <w:t xml:space="preserve"> o </w:t>
      </w:r>
      <w:r w:rsidRPr="00CC26C8">
        <w:rPr>
          <w:rStyle w:val="Nagwek4Znak"/>
        </w:rPr>
        <w:t>wysokiej</w:t>
      </w:r>
      <w:r w:rsidR="006343E1" w:rsidRPr="00CC26C8">
        <w:rPr>
          <w:rStyle w:val="Nagwek4Znak"/>
        </w:rPr>
        <w:t xml:space="preserve"> i </w:t>
      </w:r>
      <w:r w:rsidRPr="00CC26C8">
        <w:rPr>
          <w:rStyle w:val="Nagwek4Znak"/>
        </w:rPr>
        <w:t>średniowysokiej intensywności B+R w wybranych</w:t>
      </w:r>
      <w:r>
        <w:rPr>
          <w:rFonts w:cs="Calibri"/>
          <w:b/>
          <w:sz w:val="21"/>
          <w:szCs w:val="21"/>
        </w:rPr>
        <w:t xml:space="preserve"> </w:t>
      </w:r>
      <w:r w:rsidRPr="00CC26C8">
        <w:rPr>
          <w:rStyle w:val="Nagwek4Znak"/>
        </w:rPr>
        <w:t>krajach U</w:t>
      </w:r>
      <w:r w:rsidR="007B460C">
        <w:rPr>
          <w:rStyle w:val="Nagwek4Znak"/>
        </w:rPr>
        <w:t xml:space="preserve">nii </w:t>
      </w:r>
      <w:r w:rsidRPr="00CC26C8">
        <w:rPr>
          <w:rStyle w:val="Nagwek4Znak"/>
        </w:rPr>
        <w:t>E</w:t>
      </w:r>
      <w:r w:rsidR="007B460C">
        <w:rPr>
          <w:rStyle w:val="Nagwek4Znak"/>
        </w:rPr>
        <w:t>uropejskiej</w:t>
      </w:r>
      <w:r w:rsidRPr="00CC26C8">
        <w:rPr>
          <w:rStyle w:val="Nagwek4Znak"/>
        </w:rPr>
        <w:t xml:space="preserve"> (2016)</w:t>
      </w:r>
    </w:p>
    <w:p w14:paraId="3B409336" w14:textId="739340BE" w:rsidR="003C3957" w:rsidRDefault="003C3957" w:rsidP="003C3957">
      <w:pPr>
        <w:spacing w:after="0" w:line="240" w:lineRule="auto"/>
      </w:pPr>
      <w:r>
        <w:rPr>
          <w:noProof/>
          <w:lang w:eastAsia="pl-PL"/>
        </w:rPr>
        <w:drawing>
          <wp:inline distT="0" distB="0" distL="0" distR="0" wp14:anchorId="17DFE6E6" wp14:editId="32C61152">
            <wp:extent cx="3048000" cy="2028825"/>
            <wp:effectExtent l="0" t="0" r="0" b="9525"/>
            <wp:docPr id="472" name="Obraz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5">
                      <a:extLst>
                        <a:ext uri="{28A0092B-C50C-407E-A947-70E740481C1C}">
                          <a14:useLocalDpi xmlns:a14="http://schemas.microsoft.com/office/drawing/2010/main" val="0"/>
                        </a:ext>
                      </a:extLst>
                    </a:blip>
                    <a:srcRect l="1355" t="2304" r="1355" b="3065"/>
                    <a:stretch>
                      <a:fillRect/>
                    </a:stretch>
                  </pic:blipFill>
                  <pic:spPr bwMode="auto">
                    <a:xfrm>
                      <a:off x="0" y="0"/>
                      <a:ext cx="3048000" cy="2028825"/>
                    </a:xfrm>
                    <a:prstGeom prst="rect">
                      <a:avLst/>
                    </a:prstGeom>
                    <a:solidFill>
                      <a:srgbClr val="FFFFFF"/>
                    </a:solidFill>
                    <a:ln>
                      <a:noFill/>
                    </a:ln>
                  </pic:spPr>
                </pic:pic>
              </a:graphicData>
            </a:graphic>
          </wp:inline>
        </w:drawing>
      </w:r>
    </w:p>
    <w:p w14:paraId="375C650C" w14:textId="10D3F5E6" w:rsidR="003C3957" w:rsidRDefault="003C3957" w:rsidP="00CC26C8">
      <w:pPr>
        <w:pStyle w:val="Bezodstpw"/>
      </w:pPr>
      <w:r>
        <w:t xml:space="preserve">Źródło: Opracowanie </w:t>
      </w:r>
      <w:r w:rsidR="003A56DA">
        <w:t>MRiT</w:t>
      </w:r>
      <w:r w:rsidR="003A5EA7">
        <w:t xml:space="preserve"> </w:t>
      </w:r>
      <w:r>
        <w:t>na podstawie danych OECD (2018)</w:t>
      </w:r>
    </w:p>
    <w:p w14:paraId="6E9D3C72" w14:textId="2DB4078D" w:rsidR="003C3957" w:rsidRDefault="009F06E2" w:rsidP="003C3957">
      <w:r>
        <w:t>Jednocześnie udział zatrudnio</w:t>
      </w:r>
      <w:r w:rsidR="003C3957">
        <w:t>nych</w:t>
      </w:r>
      <w:r w:rsidR="006343E1">
        <w:t xml:space="preserve"> w </w:t>
      </w:r>
      <w:r w:rsidR="003C3957">
        <w:t>sektorach</w:t>
      </w:r>
      <w:r w:rsidR="006343E1">
        <w:t xml:space="preserve"> o </w:t>
      </w:r>
      <w:r w:rsidR="003C3957">
        <w:t>wysokiej</w:t>
      </w:r>
      <w:r w:rsidR="006343E1">
        <w:t xml:space="preserve"> i </w:t>
      </w:r>
      <w:r w:rsidR="003C3957">
        <w:t>średniowysokiej intensywności prac B+R jest w Polsce niższy niż nie tylko średnio</w:t>
      </w:r>
      <w:r w:rsidR="006343E1">
        <w:t xml:space="preserve"> w </w:t>
      </w:r>
      <w:r w:rsidR="003C3957">
        <w:t>UE-28, ale też</w:t>
      </w:r>
      <w:r w:rsidR="006343E1">
        <w:t xml:space="preserve"> w </w:t>
      </w:r>
      <w:r w:rsidR="003C3957">
        <w:t xml:space="preserve">krajach regionu </w:t>
      </w:r>
      <w:r w:rsidR="007B460C">
        <w:t xml:space="preserve">, </w:t>
      </w:r>
      <w:r w:rsidR="003C3957">
        <w:t>tj.</w:t>
      </w:r>
      <w:r w:rsidR="006343E1">
        <w:t xml:space="preserve"> w </w:t>
      </w:r>
      <w:r w:rsidR="003C3957">
        <w:t xml:space="preserve">Czechach, </w:t>
      </w:r>
      <w:r>
        <w:t xml:space="preserve">na </w:t>
      </w:r>
      <w:r w:rsidR="003C3957">
        <w:t>Słowacji</w:t>
      </w:r>
      <w:r w:rsidR="006343E1">
        <w:t xml:space="preserve"> i </w:t>
      </w:r>
      <w:r w:rsidR="003C3957">
        <w:t>na Węgrzech.</w:t>
      </w:r>
    </w:p>
    <w:p w14:paraId="2124DF5F" w14:textId="14D43BA9" w:rsidR="003C3957" w:rsidRDefault="003C3957" w:rsidP="003C3957">
      <w:r>
        <w:t>Podejmowanie działalności innowacyjnej przez przedsiębiorstwa wiąże się</w:t>
      </w:r>
      <w:r w:rsidR="006343E1">
        <w:t xml:space="preserve"> z </w:t>
      </w:r>
      <w:r>
        <w:t xml:space="preserve">szeregiem wyzwań finansowych, organizacyjnych oraz </w:t>
      </w:r>
      <w:r w:rsidR="007B460C">
        <w:t xml:space="preserve">z </w:t>
      </w:r>
      <w:r>
        <w:t>ponoszeniem wyższego ryzyka. W</w:t>
      </w:r>
      <w:r w:rsidR="007B460C">
        <w:t>edłu</w:t>
      </w:r>
      <w:r>
        <w:t>g badań Eurostatu nt. barier dla przedsiębiorstw we wdrażaniu innowacji główn</w:t>
      </w:r>
      <w:r w:rsidR="007B460C">
        <w:t>ymi</w:t>
      </w:r>
      <w:r>
        <w:t xml:space="preserve"> barier</w:t>
      </w:r>
      <w:r w:rsidR="007B460C">
        <w:t>ami</w:t>
      </w:r>
      <w:r>
        <w:t xml:space="preserve"> pozostaj</w:t>
      </w:r>
      <w:r w:rsidR="007B460C">
        <w:t>ą</w:t>
      </w:r>
      <w:r w:rsidR="00A32838">
        <w:t xml:space="preserve"> </w:t>
      </w:r>
      <w:r>
        <w:t>główną barierą pozostaje brak dostrzegania powodu bycia innowacyjnym oraz bariery finansowe. Natomiast</w:t>
      </w:r>
      <w:r w:rsidR="006343E1">
        <w:t xml:space="preserve"> w </w:t>
      </w:r>
      <w:r>
        <w:t xml:space="preserve">ramach badania </w:t>
      </w:r>
      <w:r>
        <w:rPr>
          <w:i/>
        </w:rPr>
        <w:t>Innobarometer</w:t>
      </w:r>
      <w:r>
        <w:t xml:space="preserve"> oprócz finansowania, które nadal stanowi jedną</w:t>
      </w:r>
      <w:r w:rsidR="006343E1">
        <w:t xml:space="preserve"> z </w:t>
      </w:r>
      <w:r>
        <w:t>ważniejszych barier, przedsiębiorcy wskazali zbyt dużą konkurencję, brak wykwalifikowanych pracowników oraz koszt</w:t>
      </w:r>
      <w:r w:rsidR="006343E1">
        <w:t xml:space="preserve"> i </w:t>
      </w:r>
      <w:r>
        <w:t>trudności</w:t>
      </w:r>
      <w:r w:rsidR="006343E1">
        <w:t xml:space="preserve"> w </w:t>
      </w:r>
      <w:r>
        <w:t>spełnieniu wymogów regulacji</w:t>
      </w:r>
      <w:r w:rsidR="006343E1">
        <w:t xml:space="preserve"> i </w:t>
      </w:r>
      <w:r>
        <w:t>standardów (Koloch et al., 2017).</w:t>
      </w:r>
    </w:p>
    <w:p w14:paraId="736FEE8D" w14:textId="2DD42983" w:rsidR="00FC0629" w:rsidRDefault="003C3957" w:rsidP="00FC0629">
      <w:pPr>
        <w:spacing w:after="0" w:line="240" w:lineRule="auto"/>
      </w:pPr>
      <w:r>
        <w:t>W</w:t>
      </w:r>
      <w:r w:rsidR="007B460C">
        <w:t>edłu</w:t>
      </w:r>
      <w:r>
        <w:t>g</w:t>
      </w:r>
      <w:r w:rsidR="00FC0629">
        <w:t xml:space="preserve"> badań GUS (2021) w latach </w:t>
      </w:r>
      <w:r w:rsidR="00333F81" w:rsidRPr="00254AB9">
        <w:t>2014</w:t>
      </w:r>
      <w:r w:rsidR="007B460C">
        <w:rPr>
          <w:rFonts w:ascii="Times New Roman" w:hAnsi="Times New Roman" w:cs="Times New Roman"/>
        </w:rPr>
        <w:t>–</w:t>
      </w:r>
      <w:r>
        <w:t>2016</w:t>
      </w:r>
      <w:r w:rsidR="00FC0629" w:rsidRPr="00254AB9">
        <w:t>201</w:t>
      </w:r>
      <w:r w:rsidR="00FC0629">
        <w:t>8</w:t>
      </w:r>
      <w:r w:rsidR="00FC0629" w:rsidRPr="00254AB9">
        <w:t>-</w:t>
      </w:r>
      <w:r w:rsidR="00FC0629">
        <w:t xml:space="preserve">2020 głównymi barierami we wdrażaniu innowacji wśród przedsiębiorstw przemysłowych były czynniki takie jak zbyt wysokie koszty działalności innowacyjnej (9,0% </w:t>
      </w:r>
      <w:r w:rsidR="00FC0629">
        <w:lastRenderedPageBreak/>
        <w:t>przedsiębiorców wskazało ten czynnik jako bardzo ważny) oraz trudności w</w:t>
      </w:r>
      <w:r w:rsidR="007B460C">
        <w:t xml:space="preserve"> przedsiębiorstwie </w:t>
      </w:r>
      <w:r>
        <w:t>pracowników</w:t>
      </w:r>
      <w:r w:rsidR="006343E1">
        <w:t xml:space="preserve"> o </w:t>
      </w:r>
      <w:r>
        <w:t>odpowiednich umiejętnościach</w:t>
      </w:r>
      <w:r w:rsidR="006343E1">
        <w:t xml:space="preserve"> </w:t>
      </w:r>
      <w:r>
        <w:t>(13%)</w:t>
      </w:r>
      <w:r w:rsidR="007B460C">
        <w:t>.</w:t>
      </w:r>
      <w:r>
        <w:t xml:space="preserve">  </w:t>
      </w:r>
      <w:r w:rsidR="00FC0629">
        <w:t xml:space="preserve"> pozyskaniu dotacji lub subsydiów publicznych (7,2%).</w:t>
      </w:r>
    </w:p>
    <w:p w14:paraId="14FFCF15" w14:textId="3F60C8B5" w:rsidR="003C3957" w:rsidRDefault="000935B2" w:rsidP="00CB07D4">
      <w:pPr>
        <w:pStyle w:val="Nagwek4"/>
        <w:ind w:left="993" w:hanging="993"/>
      </w:pPr>
      <w:r>
        <w:t>Wykres 7</w:t>
      </w:r>
      <w:r w:rsidR="00FC6E8F">
        <w:t>8</w:t>
      </w:r>
      <w:r w:rsidR="003C3957">
        <w:t xml:space="preserve">. </w:t>
      </w:r>
      <w:r w:rsidR="003C3957" w:rsidRPr="00616F1C">
        <w:t>Znaczenie czynników utrudniających podjęcie decyzji</w:t>
      </w:r>
      <w:r w:rsidR="006343E1">
        <w:t xml:space="preserve"> </w:t>
      </w:r>
      <w:r w:rsidR="006343E1" w:rsidRPr="00616F1C">
        <w:t>o</w:t>
      </w:r>
      <w:r w:rsidR="006343E1">
        <w:t> </w:t>
      </w:r>
      <w:r w:rsidR="003C3957" w:rsidRPr="00616F1C">
        <w:t>rozpoczęciu lub prowadzeniu działalności innowacyjnej</w:t>
      </w:r>
      <w:r w:rsidR="006343E1">
        <w:t xml:space="preserve"> w </w:t>
      </w:r>
      <w:r w:rsidR="003C3957">
        <w:t>przedsiębiorstwach przemysłowych</w:t>
      </w:r>
      <w:r w:rsidR="006343E1">
        <w:t xml:space="preserve"> </w:t>
      </w:r>
      <w:r w:rsidR="006343E1" w:rsidRPr="00616F1C">
        <w:t>w</w:t>
      </w:r>
      <w:r w:rsidR="006343E1">
        <w:t> </w:t>
      </w:r>
      <w:r w:rsidR="003C3957" w:rsidRPr="00616F1C">
        <w:t xml:space="preserve">latach </w:t>
      </w:r>
      <w:r w:rsidR="0037667F">
        <w:t>2018–</w:t>
      </w:r>
      <w:r w:rsidR="00727E0F">
        <w:t>2020</w:t>
      </w:r>
    </w:p>
    <w:tbl>
      <w:tblPr>
        <w:tblW w:w="9072" w:type="dxa"/>
        <w:tblInd w:w="70" w:type="dxa"/>
        <w:tblCellMar>
          <w:left w:w="70" w:type="dxa"/>
          <w:right w:w="70" w:type="dxa"/>
        </w:tblCellMar>
        <w:tblLook w:val="04A0" w:firstRow="1" w:lastRow="0" w:firstColumn="1" w:lastColumn="0" w:noHBand="0" w:noVBand="1"/>
      </w:tblPr>
      <w:tblGrid>
        <w:gridCol w:w="5103"/>
        <w:gridCol w:w="862"/>
        <w:gridCol w:w="3132"/>
      </w:tblGrid>
      <w:tr w:rsidR="00727E0F" w:rsidRPr="00934406" w14:paraId="19D4CAF8" w14:textId="77777777" w:rsidTr="00096E00">
        <w:trPr>
          <w:gridAfter w:val="1"/>
          <w:wAfter w:w="4507" w:type="dxa"/>
          <w:trHeight w:val="300"/>
        </w:trPr>
        <w:tc>
          <w:tcPr>
            <w:tcW w:w="3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55B9E" w14:textId="77777777" w:rsidR="00727E0F" w:rsidRPr="00934406" w:rsidRDefault="00727E0F" w:rsidP="0045359D">
            <w:pPr>
              <w:spacing w:before="0" w:after="0" w:line="240" w:lineRule="auto"/>
              <w:jc w:val="left"/>
              <w:rPr>
                <w:rFonts w:ascii="Arial" w:eastAsia="Times New Roman" w:hAnsi="Arial"/>
                <w:color w:val="000000"/>
                <w:sz w:val="16"/>
                <w:szCs w:val="16"/>
                <w:lang w:eastAsia="pl-PL"/>
              </w:rPr>
            </w:pPr>
            <w:r w:rsidRPr="00934406">
              <w:rPr>
                <w:rFonts w:ascii="Arial" w:eastAsia="Times New Roman" w:hAnsi="Arial"/>
                <w:color w:val="000000"/>
                <w:sz w:val="16"/>
                <w:szCs w:val="16"/>
                <w:lang w:eastAsia="pl-PL"/>
              </w:rPr>
              <w:t>zbyt wysokie koszty działalności innowacyjnej</w:t>
            </w:r>
          </w:p>
        </w:tc>
        <w:tc>
          <w:tcPr>
            <w:tcW w:w="880" w:type="dxa"/>
            <w:tcBorders>
              <w:top w:val="single" w:sz="4" w:space="0" w:color="auto"/>
              <w:left w:val="nil"/>
              <w:bottom w:val="single" w:sz="4" w:space="0" w:color="auto"/>
              <w:right w:val="single" w:sz="4" w:space="0" w:color="auto"/>
            </w:tcBorders>
            <w:shd w:val="clear" w:color="auto" w:fill="auto"/>
            <w:hideMark/>
          </w:tcPr>
          <w:p w14:paraId="3C18ADEA" w14:textId="77777777" w:rsidR="00727E0F" w:rsidRPr="00934406" w:rsidRDefault="00727E0F" w:rsidP="0045359D">
            <w:pPr>
              <w:spacing w:before="0" w:after="0" w:line="240" w:lineRule="auto"/>
              <w:jc w:val="left"/>
              <w:rPr>
                <w:rFonts w:ascii="Arial" w:eastAsia="Times New Roman" w:hAnsi="Arial"/>
                <w:color w:val="000000"/>
                <w:sz w:val="16"/>
                <w:szCs w:val="16"/>
                <w:lang w:eastAsia="pl-PL"/>
              </w:rPr>
            </w:pPr>
            <w:r w:rsidRPr="00934406">
              <w:rPr>
                <w:rFonts w:ascii="Arial" w:eastAsia="Times New Roman" w:hAnsi="Arial"/>
                <w:color w:val="000000"/>
                <w:sz w:val="16"/>
                <w:szCs w:val="16"/>
                <w:lang w:eastAsia="pl-PL"/>
              </w:rPr>
              <w:t>9,0</w:t>
            </w:r>
          </w:p>
        </w:tc>
      </w:tr>
      <w:tr w:rsidR="00727E0F" w:rsidRPr="00934406" w14:paraId="61835A19" w14:textId="77777777" w:rsidTr="00096E00">
        <w:trPr>
          <w:gridAfter w:val="1"/>
          <w:wAfter w:w="4507" w:type="dxa"/>
          <w:trHeight w:val="450"/>
        </w:trPr>
        <w:tc>
          <w:tcPr>
            <w:tcW w:w="3680" w:type="dxa"/>
            <w:tcBorders>
              <w:top w:val="nil"/>
              <w:left w:val="single" w:sz="4" w:space="0" w:color="auto"/>
              <w:bottom w:val="single" w:sz="4" w:space="0" w:color="auto"/>
              <w:right w:val="single" w:sz="4" w:space="0" w:color="auto"/>
            </w:tcBorders>
            <w:shd w:val="clear" w:color="auto" w:fill="auto"/>
            <w:vAlign w:val="center"/>
            <w:hideMark/>
          </w:tcPr>
          <w:p w14:paraId="137B4139" w14:textId="77777777" w:rsidR="00727E0F" w:rsidRPr="00934406" w:rsidRDefault="00727E0F" w:rsidP="0045359D">
            <w:pPr>
              <w:spacing w:before="0" w:after="0" w:line="240" w:lineRule="auto"/>
              <w:jc w:val="left"/>
              <w:rPr>
                <w:rFonts w:ascii="Arial" w:eastAsia="Times New Roman" w:hAnsi="Arial"/>
                <w:color w:val="000000"/>
                <w:sz w:val="16"/>
                <w:szCs w:val="16"/>
                <w:lang w:eastAsia="pl-PL"/>
              </w:rPr>
            </w:pPr>
            <w:r w:rsidRPr="00934406">
              <w:rPr>
                <w:rFonts w:ascii="Arial" w:eastAsia="Times New Roman" w:hAnsi="Arial"/>
                <w:color w:val="000000"/>
                <w:sz w:val="16"/>
                <w:szCs w:val="16"/>
                <w:lang w:eastAsia="pl-PL"/>
              </w:rPr>
              <w:t>trudności w pozyskaniu dotacji lub subsydiów publicznych</w:t>
            </w:r>
          </w:p>
        </w:tc>
        <w:tc>
          <w:tcPr>
            <w:tcW w:w="880" w:type="dxa"/>
            <w:tcBorders>
              <w:top w:val="nil"/>
              <w:left w:val="nil"/>
              <w:bottom w:val="single" w:sz="4" w:space="0" w:color="auto"/>
              <w:right w:val="single" w:sz="4" w:space="0" w:color="auto"/>
            </w:tcBorders>
            <w:shd w:val="clear" w:color="auto" w:fill="auto"/>
            <w:hideMark/>
          </w:tcPr>
          <w:p w14:paraId="7A81D2DD" w14:textId="77777777" w:rsidR="00727E0F" w:rsidRPr="00934406" w:rsidRDefault="00727E0F" w:rsidP="0045359D">
            <w:pPr>
              <w:spacing w:before="0" w:after="0" w:line="240" w:lineRule="auto"/>
              <w:jc w:val="left"/>
              <w:rPr>
                <w:rFonts w:ascii="Arial" w:eastAsia="Times New Roman" w:hAnsi="Arial"/>
                <w:color w:val="000000"/>
                <w:sz w:val="16"/>
                <w:szCs w:val="16"/>
                <w:lang w:eastAsia="pl-PL"/>
              </w:rPr>
            </w:pPr>
            <w:r w:rsidRPr="00934406">
              <w:rPr>
                <w:rFonts w:ascii="Arial" w:eastAsia="Times New Roman" w:hAnsi="Arial"/>
                <w:color w:val="000000"/>
                <w:sz w:val="16"/>
                <w:szCs w:val="16"/>
                <w:lang w:eastAsia="pl-PL"/>
              </w:rPr>
              <w:t>7,2</w:t>
            </w:r>
          </w:p>
        </w:tc>
      </w:tr>
      <w:tr w:rsidR="00727E0F" w:rsidRPr="00934406" w14:paraId="57713100" w14:textId="77777777" w:rsidTr="00096E00">
        <w:trPr>
          <w:gridAfter w:val="1"/>
          <w:wAfter w:w="4507" w:type="dxa"/>
          <w:trHeight w:val="300"/>
        </w:trPr>
        <w:tc>
          <w:tcPr>
            <w:tcW w:w="3680" w:type="dxa"/>
            <w:tcBorders>
              <w:top w:val="nil"/>
              <w:left w:val="single" w:sz="4" w:space="0" w:color="auto"/>
              <w:bottom w:val="single" w:sz="4" w:space="0" w:color="auto"/>
              <w:right w:val="single" w:sz="4" w:space="0" w:color="auto"/>
            </w:tcBorders>
            <w:shd w:val="clear" w:color="auto" w:fill="auto"/>
            <w:vAlign w:val="center"/>
            <w:hideMark/>
          </w:tcPr>
          <w:p w14:paraId="07246DFE" w14:textId="77777777" w:rsidR="00727E0F" w:rsidRPr="00934406" w:rsidRDefault="00727E0F" w:rsidP="0045359D">
            <w:pPr>
              <w:spacing w:before="0" w:after="0" w:line="240" w:lineRule="auto"/>
              <w:jc w:val="left"/>
              <w:rPr>
                <w:rFonts w:ascii="Arial" w:eastAsia="Times New Roman" w:hAnsi="Arial"/>
                <w:color w:val="000000"/>
                <w:sz w:val="16"/>
                <w:szCs w:val="16"/>
                <w:lang w:eastAsia="pl-PL"/>
              </w:rPr>
            </w:pPr>
            <w:r w:rsidRPr="00934406">
              <w:rPr>
                <w:rFonts w:ascii="Arial" w:eastAsia="Times New Roman" w:hAnsi="Arial"/>
                <w:color w:val="000000"/>
                <w:sz w:val="16"/>
                <w:szCs w:val="16"/>
                <w:lang w:eastAsia="pl-PL"/>
              </w:rPr>
              <w:t xml:space="preserve">zbyt duża konkurencja na rynku </w:t>
            </w:r>
          </w:p>
        </w:tc>
        <w:tc>
          <w:tcPr>
            <w:tcW w:w="880" w:type="dxa"/>
            <w:tcBorders>
              <w:top w:val="nil"/>
              <w:left w:val="nil"/>
              <w:bottom w:val="single" w:sz="4" w:space="0" w:color="auto"/>
              <w:right w:val="single" w:sz="4" w:space="0" w:color="auto"/>
            </w:tcBorders>
            <w:shd w:val="clear" w:color="auto" w:fill="auto"/>
            <w:hideMark/>
          </w:tcPr>
          <w:p w14:paraId="1B9C54E2" w14:textId="77777777" w:rsidR="00727E0F" w:rsidRPr="00934406" w:rsidRDefault="00727E0F" w:rsidP="0045359D">
            <w:pPr>
              <w:spacing w:before="0" w:after="0" w:line="240" w:lineRule="auto"/>
              <w:jc w:val="left"/>
              <w:rPr>
                <w:rFonts w:ascii="Arial" w:eastAsia="Times New Roman" w:hAnsi="Arial"/>
                <w:color w:val="000000"/>
                <w:sz w:val="16"/>
                <w:szCs w:val="16"/>
                <w:lang w:eastAsia="pl-PL"/>
              </w:rPr>
            </w:pPr>
            <w:r w:rsidRPr="00934406">
              <w:rPr>
                <w:rFonts w:ascii="Arial" w:eastAsia="Times New Roman" w:hAnsi="Arial"/>
                <w:color w:val="000000"/>
                <w:sz w:val="16"/>
                <w:szCs w:val="16"/>
                <w:lang w:eastAsia="pl-PL"/>
              </w:rPr>
              <w:t>6,3</w:t>
            </w:r>
          </w:p>
        </w:tc>
      </w:tr>
      <w:tr w:rsidR="00727E0F" w:rsidRPr="00934406" w14:paraId="5454F1B4" w14:textId="77777777" w:rsidTr="00096E00">
        <w:trPr>
          <w:gridAfter w:val="1"/>
          <w:wAfter w:w="4507" w:type="dxa"/>
          <w:trHeight w:val="450"/>
        </w:trPr>
        <w:tc>
          <w:tcPr>
            <w:tcW w:w="3680" w:type="dxa"/>
            <w:tcBorders>
              <w:top w:val="nil"/>
              <w:left w:val="single" w:sz="4" w:space="0" w:color="auto"/>
              <w:bottom w:val="single" w:sz="4" w:space="0" w:color="auto"/>
              <w:right w:val="single" w:sz="4" w:space="0" w:color="auto"/>
            </w:tcBorders>
            <w:shd w:val="clear" w:color="auto" w:fill="auto"/>
            <w:vAlign w:val="center"/>
            <w:hideMark/>
          </w:tcPr>
          <w:p w14:paraId="2C71B11B" w14:textId="77777777" w:rsidR="00727E0F" w:rsidRPr="00934406" w:rsidRDefault="00727E0F" w:rsidP="0045359D">
            <w:pPr>
              <w:spacing w:before="0" w:after="0" w:line="240" w:lineRule="auto"/>
              <w:jc w:val="left"/>
              <w:rPr>
                <w:rFonts w:ascii="Arial" w:eastAsia="Times New Roman" w:hAnsi="Arial"/>
                <w:color w:val="000000"/>
                <w:sz w:val="16"/>
                <w:szCs w:val="16"/>
                <w:lang w:eastAsia="pl-PL"/>
              </w:rPr>
            </w:pPr>
            <w:r w:rsidRPr="00934406">
              <w:rPr>
                <w:rFonts w:ascii="Arial" w:eastAsia="Times New Roman" w:hAnsi="Arial"/>
                <w:color w:val="000000"/>
                <w:sz w:val="16"/>
                <w:szCs w:val="16"/>
                <w:lang w:eastAsia="pl-PL"/>
              </w:rPr>
              <w:t>niedobór pracowników o odpowiednich umiejętnościach</w:t>
            </w:r>
          </w:p>
        </w:tc>
        <w:tc>
          <w:tcPr>
            <w:tcW w:w="880" w:type="dxa"/>
            <w:tcBorders>
              <w:top w:val="nil"/>
              <w:left w:val="nil"/>
              <w:bottom w:val="single" w:sz="4" w:space="0" w:color="auto"/>
              <w:right w:val="single" w:sz="4" w:space="0" w:color="auto"/>
            </w:tcBorders>
            <w:shd w:val="clear" w:color="auto" w:fill="auto"/>
            <w:hideMark/>
          </w:tcPr>
          <w:p w14:paraId="20A42610" w14:textId="77777777" w:rsidR="00727E0F" w:rsidRPr="00934406" w:rsidRDefault="00727E0F" w:rsidP="0045359D">
            <w:pPr>
              <w:spacing w:before="0" w:after="0" w:line="240" w:lineRule="auto"/>
              <w:jc w:val="left"/>
              <w:rPr>
                <w:rFonts w:ascii="Arial" w:eastAsia="Times New Roman" w:hAnsi="Arial"/>
                <w:color w:val="000000"/>
                <w:sz w:val="16"/>
                <w:szCs w:val="16"/>
                <w:lang w:eastAsia="pl-PL"/>
              </w:rPr>
            </w:pPr>
            <w:r w:rsidRPr="00934406">
              <w:rPr>
                <w:rFonts w:ascii="Arial" w:eastAsia="Times New Roman" w:hAnsi="Arial"/>
                <w:color w:val="000000"/>
                <w:sz w:val="16"/>
                <w:szCs w:val="16"/>
                <w:lang w:eastAsia="pl-PL"/>
              </w:rPr>
              <w:t>6,2</w:t>
            </w:r>
          </w:p>
        </w:tc>
      </w:tr>
      <w:tr w:rsidR="00727E0F" w:rsidRPr="00934406" w14:paraId="34F51C3B" w14:textId="77777777" w:rsidTr="00096E00">
        <w:trPr>
          <w:gridAfter w:val="1"/>
          <w:wAfter w:w="4507" w:type="dxa"/>
          <w:trHeight w:val="450"/>
        </w:trPr>
        <w:tc>
          <w:tcPr>
            <w:tcW w:w="3680" w:type="dxa"/>
            <w:tcBorders>
              <w:top w:val="nil"/>
              <w:left w:val="single" w:sz="4" w:space="0" w:color="auto"/>
              <w:bottom w:val="single" w:sz="4" w:space="0" w:color="auto"/>
              <w:right w:val="single" w:sz="4" w:space="0" w:color="auto"/>
            </w:tcBorders>
            <w:shd w:val="clear" w:color="auto" w:fill="auto"/>
            <w:vAlign w:val="center"/>
            <w:hideMark/>
          </w:tcPr>
          <w:p w14:paraId="59C96194" w14:textId="77777777" w:rsidR="00727E0F" w:rsidRPr="00934406" w:rsidRDefault="00727E0F" w:rsidP="0045359D">
            <w:pPr>
              <w:spacing w:before="0" w:after="0" w:line="240" w:lineRule="auto"/>
              <w:jc w:val="left"/>
              <w:rPr>
                <w:rFonts w:ascii="Arial" w:eastAsia="Times New Roman" w:hAnsi="Arial"/>
                <w:color w:val="000000"/>
                <w:sz w:val="16"/>
                <w:szCs w:val="16"/>
                <w:lang w:eastAsia="pl-PL"/>
              </w:rPr>
            </w:pPr>
            <w:r w:rsidRPr="00934406">
              <w:rPr>
                <w:rFonts w:ascii="Arial" w:eastAsia="Times New Roman" w:hAnsi="Arial"/>
                <w:color w:val="000000"/>
                <w:sz w:val="16"/>
                <w:szCs w:val="16"/>
                <w:lang w:eastAsia="pl-PL"/>
              </w:rPr>
              <w:t>brak możliwości finansowania innowacji ze źródeł wewnętrznych</w:t>
            </w:r>
          </w:p>
        </w:tc>
        <w:tc>
          <w:tcPr>
            <w:tcW w:w="880" w:type="dxa"/>
            <w:tcBorders>
              <w:top w:val="nil"/>
              <w:left w:val="nil"/>
              <w:bottom w:val="single" w:sz="4" w:space="0" w:color="auto"/>
              <w:right w:val="single" w:sz="4" w:space="0" w:color="auto"/>
            </w:tcBorders>
            <w:shd w:val="clear" w:color="auto" w:fill="auto"/>
            <w:hideMark/>
          </w:tcPr>
          <w:p w14:paraId="1DB146C8" w14:textId="77777777" w:rsidR="00727E0F" w:rsidRPr="00934406" w:rsidRDefault="00727E0F" w:rsidP="0045359D">
            <w:pPr>
              <w:spacing w:before="0" w:after="0" w:line="240" w:lineRule="auto"/>
              <w:jc w:val="left"/>
              <w:rPr>
                <w:rFonts w:ascii="Arial" w:eastAsia="Times New Roman" w:hAnsi="Arial"/>
                <w:color w:val="000000"/>
                <w:sz w:val="16"/>
                <w:szCs w:val="16"/>
                <w:lang w:eastAsia="pl-PL"/>
              </w:rPr>
            </w:pPr>
            <w:r w:rsidRPr="00934406">
              <w:rPr>
                <w:rFonts w:ascii="Arial" w:eastAsia="Times New Roman" w:hAnsi="Arial"/>
                <w:color w:val="000000"/>
                <w:sz w:val="16"/>
                <w:szCs w:val="16"/>
                <w:lang w:eastAsia="pl-PL"/>
              </w:rPr>
              <w:t>5,1</w:t>
            </w:r>
          </w:p>
        </w:tc>
      </w:tr>
      <w:tr w:rsidR="00727E0F" w:rsidRPr="00934406" w14:paraId="59C013F1" w14:textId="77777777" w:rsidTr="00096E00">
        <w:trPr>
          <w:gridAfter w:val="1"/>
          <w:wAfter w:w="4507" w:type="dxa"/>
          <w:trHeight w:val="300"/>
        </w:trPr>
        <w:tc>
          <w:tcPr>
            <w:tcW w:w="3680" w:type="dxa"/>
            <w:tcBorders>
              <w:top w:val="nil"/>
              <w:left w:val="single" w:sz="4" w:space="0" w:color="auto"/>
              <w:bottom w:val="single" w:sz="4" w:space="0" w:color="auto"/>
              <w:right w:val="single" w:sz="4" w:space="0" w:color="auto"/>
            </w:tcBorders>
            <w:shd w:val="clear" w:color="auto" w:fill="auto"/>
            <w:vAlign w:val="center"/>
            <w:hideMark/>
          </w:tcPr>
          <w:p w14:paraId="3A48D867" w14:textId="77777777" w:rsidR="00727E0F" w:rsidRPr="00934406" w:rsidRDefault="00727E0F" w:rsidP="0045359D">
            <w:pPr>
              <w:spacing w:before="0" w:after="0" w:line="240" w:lineRule="auto"/>
              <w:jc w:val="left"/>
              <w:rPr>
                <w:rFonts w:ascii="Arial" w:eastAsia="Times New Roman" w:hAnsi="Arial"/>
                <w:color w:val="000000"/>
                <w:sz w:val="16"/>
                <w:szCs w:val="16"/>
                <w:lang w:eastAsia="pl-PL"/>
              </w:rPr>
            </w:pPr>
            <w:r w:rsidRPr="00934406">
              <w:rPr>
                <w:rFonts w:ascii="Arial" w:eastAsia="Times New Roman" w:hAnsi="Arial"/>
                <w:color w:val="000000"/>
                <w:sz w:val="16"/>
                <w:szCs w:val="16"/>
                <w:lang w:eastAsia="pl-PL"/>
              </w:rPr>
              <w:t xml:space="preserve">niepewny popyt na nowe pomysły </w:t>
            </w:r>
          </w:p>
        </w:tc>
        <w:tc>
          <w:tcPr>
            <w:tcW w:w="880" w:type="dxa"/>
            <w:tcBorders>
              <w:top w:val="nil"/>
              <w:left w:val="nil"/>
              <w:bottom w:val="single" w:sz="4" w:space="0" w:color="auto"/>
              <w:right w:val="single" w:sz="4" w:space="0" w:color="auto"/>
            </w:tcBorders>
            <w:shd w:val="clear" w:color="auto" w:fill="auto"/>
            <w:hideMark/>
          </w:tcPr>
          <w:p w14:paraId="17A2C083" w14:textId="77777777" w:rsidR="00727E0F" w:rsidRPr="00934406" w:rsidRDefault="00727E0F" w:rsidP="0045359D">
            <w:pPr>
              <w:spacing w:before="0" w:after="0" w:line="240" w:lineRule="auto"/>
              <w:jc w:val="left"/>
              <w:rPr>
                <w:rFonts w:ascii="Arial" w:eastAsia="Times New Roman" w:hAnsi="Arial"/>
                <w:color w:val="000000"/>
                <w:sz w:val="16"/>
                <w:szCs w:val="16"/>
                <w:lang w:eastAsia="pl-PL"/>
              </w:rPr>
            </w:pPr>
            <w:r w:rsidRPr="00934406">
              <w:rPr>
                <w:rFonts w:ascii="Arial" w:eastAsia="Times New Roman" w:hAnsi="Arial"/>
                <w:color w:val="000000"/>
                <w:sz w:val="16"/>
                <w:szCs w:val="16"/>
                <w:lang w:eastAsia="pl-PL"/>
              </w:rPr>
              <w:t>5,0</w:t>
            </w:r>
          </w:p>
        </w:tc>
      </w:tr>
      <w:tr w:rsidR="00727E0F" w:rsidRPr="00934406" w14:paraId="1EED39E5" w14:textId="77777777" w:rsidTr="00096E00">
        <w:trPr>
          <w:gridAfter w:val="1"/>
          <w:wAfter w:w="4507" w:type="dxa"/>
          <w:trHeight w:val="450"/>
        </w:trPr>
        <w:tc>
          <w:tcPr>
            <w:tcW w:w="3680" w:type="dxa"/>
            <w:tcBorders>
              <w:top w:val="nil"/>
              <w:left w:val="single" w:sz="4" w:space="0" w:color="auto"/>
              <w:bottom w:val="single" w:sz="4" w:space="0" w:color="auto"/>
              <w:right w:val="single" w:sz="4" w:space="0" w:color="auto"/>
            </w:tcBorders>
            <w:shd w:val="clear" w:color="auto" w:fill="auto"/>
            <w:vAlign w:val="center"/>
            <w:hideMark/>
          </w:tcPr>
          <w:p w14:paraId="38C9E0CA" w14:textId="77777777" w:rsidR="00727E0F" w:rsidRPr="00934406" w:rsidRDefault="00727E0F" w:rsidP="0045359D">
            <w:pPr>
              <w:spacing w:before="0" w:after="0" w:line="240" w:lineRule="auto"/>
              <w:jc w:val="left"/>
              <w:rPr>
                <w:rFonts w:ascii="Arial" w:eastAsia="Times New Roman" w:hAnsi="Arial"/>
                <w:color w:val="000000"/>
                <w:sz w:val="16"/>
                <w:szCs w:val="16"/>
                <w:lang w:eastAsia="pl-PL"/>
              </w:rPr>
            </w:pPr>
            <w:r w:rsidRPr="00934406">
              <w:rPr>
                <w:rFonts w:ascii="Arial" w:eastAsia="Times New Roman" w:hAnsi="Arial"/>
                <w:color w:val="000000"/>
                <w:sz w:val="16"/>
                <w:szCs w:val="16"/>
                <w:lang w:eastAsia="pl-PL"/>
              </w:rPr>
              <w:t>brak możliwości finansowania innowacji ze źródeł zewnętrznych</w:t>
            </w:r>
          </w:p>
        </w:tc>
        <w:tc>
          <w:tcPr>
            <w:tcW w:w="880" w:type="dxa"/>
            <w:tcBorders>
              <w:top w:val="nil"/>
              <w:left w:val="nil"/>
              <w:bottom w:val="single" w:sz="4" w:space="0" w:color="auto"/>
              <w:right w:val="single" w:sz="4" w:space="0" w:color="auto"/>
            </w:tcBorders>
            <w:shd w:val="clear" w:color="auto" w:fill="auto"/>
            <w:hideMark/>
          </w:tcPr>
          <w:p w14:paraId="33C16FDD" w14:textId="77777777" w:rsidR="00727E0F" w:rsidRPr="00934406" w:rsidRDefault="00727E0F" w:rsidP="0045359D">
            <w:pPr>
              <w:spacing w:before="0" w:after="0" w:line="240" w:lineRule="auto"/>
              <w:jc w:val="left"/>
              <w:rPr>
                <w:rFonts w:ascii="Arial" w:eastAsia="Times New Roman" w:hAnsi="Arial"/>
                <w:color w:val="000000"/>
                <w:sz w:val="16"/>
                <w:szCs w:val="16"/>
                <w:lang w:eastAsia="pl-PL"/>
              </w:rPr>
            </w:pPr>
            <w:r w:rsidRPr="00934406">
              <w:rPr>
                <w:rFonts w:ascii="Arial" w:eastAsia="Times New Roman" w:hAnsi="Arial"/>
                <w:color w:val="000000"/>
                <w:sz w:val="16"/>
                <w:szCs w:val="16"/>
                <w:lang w:eastAsia="pl-PL"/>
              </w:rPr>
              <w:t>4,4</w:t>
            </w:r>
          </w:p>
        </w:tc>
      </w:tr>
      <w:tr w:rsidR="00727E0F" w:rsidRPr="00934406" w14:paraId="4850A497" w14:textId="77777777" w:rsidTr="00096E00">
        <w:trPr>
          <w:gridAfter w:val="1"/>
          <w:wAfter w:w="4507" w:type="dxa"/>
          <w:trHeight w:val="300"/>
        </w:trPr>
        <w:tc>
          <w:tcPr>
            <w:tcW w:w="3680" w:type="dxa"/>
            <w:tcBorders>
              <w:top w:val="nil"/>
              <w:left w:val="single" w:sz="4" w:space="0" w:color="auto"/>
              <w:bottom w:val="single" w:sz="4" w:space="0" w:color="auto"/>
              <w:right w:val="single" w:sz="4" w:space="0" w:color="auto"/>
            </w:tcBorders>
            <w:shd w:val="clear" w:color="auto" w:fill="auto"/>
            <w:vAlign w:val="center"/>
            <w:hideMark/>
          </w:tcPr>
          <w:p w14:paraId="0DD2BA0C" w14:textId="77777777" w:rsidR="00727E0F" w:rsidRPr="00934406" w:rsidRDefault="00727E0F" w:rsidP="0045359D">
            <w:pPr>
              <w:spacing w:before="0" w:after="0" w:line="240" w:lineRule="auto"/>
              <w:jc w:val="left"/>
              <w:rPr>
                <w:rFonts w:ascii="Arial" w:eastAsia="Times New Roman" w:hAnsi="Arial"/>
                <w:color w:val="000000"/>
                <w:sz w:val="16"/>
                <w:szCs w:val="16"/>
                <w:lang w:eastAsia="pl-PL"/>
              </w:rPr>
            </w:pPr>
            <w:r w:rsidRPr="00934406">
              <w:rPr>
                <w:rFonts w:ascii="Arial" w:eastAsia="Times New Roman" w:hAnsi="Arial"/>
                <w:color w:val="000000"/>
                <w:sz w:val="16"/>
                <w:szCs w:val="16"/>
                <w:lang w:eastAsia="pl-PL"/>
              </w:rPr>
              <w:t>brak dostępu do wiedzy zewnętrznej</w:t>
            </w:r>
          </w:p>
        </w:tc>
        <w:tc>
          <w:tcPr>
            <w:tcW w:w="880" w:type="dxa"/>
            <w:tcBorders>
              <w:top w:val="nil"/>
              <w:left w:val="nil"/>
              <w:bottom w:val="single" w:sz="4" w:space="0" w:color="auto"/>
              <w:right w:val="single" w:sz="4" w:space="0" w:color="auto"/>
            </w:tcBorders>
            <w:shd w:val="clear" w:color="auto" w:fill="auto"/>
            <w:hideMark/>
          </w:tcPr>
          <w:p w14:paraId="68380625" w14:textId="77777777" w:rsidR="00727E0F" w:rsidRPr="00934406" w:rsidRDefault="00727E0F" w:rsidP="0045359D">
            <w:pPr>
              <w:spacing w:before="0" w:after="0" w:line="240" w:lineRule="auto"/>
              <w:jc w:val="left"/>
              <w:rPr>
                <w:rFonts w:ascii="Arial" w:eastAsia="Times New Roman" w:hAnsi="Arial"/>
                <w:color w:val="000000"/>
                <w:sz w:val="16"/>
                <w:szCs w:val="16"/>
                <w:lang w:eastAsia="pl-PL"/>
              </w:rPr>
            </w:pPr>
            <w:r w:rsidRPr="00934406">
              <w:rPr>
                <w:rFonts w:ascii="Arial" w:eastAsia="Times New Roman" w:hAnsi="Arial"/>
                <w:color w:val="000000"/>
                <w:sz w:val="16"/>
                <w:szCs w:val="16"/>
                <w:lang w:eastAsia="pl-PL"/>
              </w:rPr>
              <w:t>2,9</w:t>
            </w:r>
          </w:p>
        </w:tc>
      </w:tr>
      <w:tr w:rsidR="00727E0F" w:rsidRPr="00934406" w14:paraId="7104BAD8" w14:textId="77777777" w:rsidTr="00096E00">
        <w:trPr>
          <w:gridAfter w:val="1"/>
          <w:wAfter w:w="4507" w:type="dxa"/>
          <w:trHeight w:val="300"/>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58C704F4" w14:textId="77777777" w:rsidR="00727E0F" w:rsidRPr="00934406" w:rsidRDefault="00727E0F" w:rsidP="0045359D">
            <w:pPr>
              <w:spacing w:before="0" w:after="0" w:line="240" w:lineRule="auto"/>
              <w:jc w:val="left"/>
              <w:rPr>
                <w:rFonts w:ascii="Arial" w:eastAsia="Times New Roman" w:hAnsi="Arial"/>
                <w:color w:val="000000"/>
                <w:sz w:val="16"/>
                <w:szCs w:val="16"/>
                <w:lang w:eastAsia="pl-PL"/>
              </w:rPr>
            </w:pPr>
            <w:r w:rsidRPr="00934406">
              <w:rPr>
                <w:rFonts w:ascii="Arial" w:eastAsia="Times New Roman" w:hAnsi="Arial"/>
                <w:color w:val="000000"/>
                <w:sz w:val="16"/>
                <w:szCs w:val="16"/>
                <w:lang w:eastAsia="pl-PL"/>
              </w:rPr>
              <w:t xml:space="preserve">rozbieżne priorytety w przedsiębiorstwie </w:t>
            </w:r>
          </w:p>
        </w:tc>
        <w:tc>
          <w:tcPr>
            <w:tcW w:w="880" w:type="dxa"/>
            <w:tcBorders>
              <w:top w:val="nil"/>
              <w:left w:val="nil"/>
              <w:bottom w:val="single" w:sz="4" w:space="0" w:color="auto"/>
              <w:right w:val="single" w:sz="4" w:space="0" w:color="auto"/>
            </w:tcBorders>
            <w:shd w:val="clear" w:color="auto" w:fill="auto"/>
            <w:hideMark/>
          </w:tcPr>
          <w:p w14:paraId="6615E525" w14:textId="77777777" w:rsidR="00727E0F" w:rsidRPr="00934406" w:rsidRDefault="00727E0F" w:rsidP="0045359D">
            <w:pPr>
              <w:spacing w:before="0" w:after="0" w:line="240" w:lineRule="auto"/>
              <w:jc w:val="left"/>
              <w:rPr>
                <w:rFonts w:ascii="Arial" w:eastAsia="Times New Roman" w:hAnsi="Arial"/>
                <w:color w:val="000000"/>
                <w:sz w:val="16"/>
                <w:szCs w:val="16"/>
                <w:lang w:eastAsia="pl-PL"/>
              </w:rPr>
            </w:pPr>
            <w:r w:rsidRPr="00934406">
              <w:rPr>
                <w:rFonts w:ascii="Arial" w:eastAsia="Times New Roman" w:hAnsi="Arial"/>
                <w:color w:val="000000"/>
                <w:sz w:val="16"/>
                <w:szCs w:val="16"/>
                <w:lang w:eastAsia="pl-PL"/>
              </w:rPr>
              <w:t>2,9</w:t>
            </w:r>
          </w:p>
        </w:tc>
      </w:tr>
      <w:tr w:rsidR="00727E0F" w:rsidRPr="00934406" w14:paraId="27830DB3" w14:textId="77777777" w:rsidTr="00096E00">
        <w:trPr>
          <w:gridAfter w:val="1"/>
          <w:wAfter w:w="4507" w:type="dxa"/>
          <w:trHeight w:val="300"/>
        </w:trPr>
        <w:tc>
          <w:tcPr>
            <w:tcW w:w="3680" w:type="dxa"/>
            <w:tcBorders>
              <w:top w:val="nil"/>
              <w:left w:val="single" w:sz="4" w:space="0" w:color="auto"/>
              <w:bottom w:val="single" w:sz="4" w:space="0" w:color="auto"/>
              <w:right w:val="single" w:sz="4" w:space="0" w:color="auto"/>
            </w:tcBorders>
            <w:shd w:val="clear" w:color="auto" w:fill="auto"/>
            <w:vAlign w:val="center"/>
            <w:hideMark/>
          </w:tcPr>
          <w:p w14:paraId="5D80DAB7" w14:textId="77777777" w:rsidR="00727E0F" w:rsidRPr="00934406" w:rsidRDefault="00727E0F" w:rsidP="0045359D">
            <w:pPr>
              <w:spacing w:before="0" w:after="0" w:line="240" w:lineRule="auto"/>
              <w:jc w:val="left"/>
              <w:rPr>
                <w:rFonts w:ascii="Arial" w:eastAsia="Times New Roman" w:hAnsi="Arial"/>
                <w:color w:val="000000"/>
                <w:sz w:val="16"/>
                <w:szCs w:val="16"/>
                <w:lang w:eastAsia="pl-PL"/>
              </w:rPr>
            </w:pPr>
            <w:r w:rsidRPr="00934406">
              <w:rPr>
                <w:rFonts w:ascii="Arial" w:eastAsia="Times New Roman" w:hAnsi="Arial"/>
                <w:color w:val="000000"/>
                <w:sz w:val="16"/>
                <w:szCs w:val="16"/>
                <w:lang w:eastAsia="pl-PL"/>
              </w:rPr>
              <w:t>brak partnerów do współpracy</w:t>
            </w:r>
          </w:p>
        </w:tc>
        <w:tc>
          <w:tcPr>
            <w:tcW w:w="880" w:type="dxa"/>
            <w:tcBorders>
              <w:top w:val="nil"/>
              <w:left w:val="nil"/>
              <w:bottom w:val="single" w:sz="4" w:space="0" w:color="auto"/>
              <w:right w:val="single" w:sz="4" w:space="0" w:color="auto"/>
            </w:tcBorders>
            <w:shd w:val="clear" w:color="auto" w:fill="auto"/>
            <w:hideMark/>
          </w:tcPr>
          <w:p w14:paraId="33538E33" w14:textId="77777777" w:rsidR="00727E0F" w:rsidRPr="00934406" w:rsidRDefault="00727E0F" w:rsidP="0045359D">
            <w:pPr>
              <w:spacing w:before="0" w:after="0" w:line="240" w:lineRule="auto"/>
              <w:jc w:val="left"/>
              <w:rPr>
                <w:rFonts w:ascii="Arial" w:eastAsia="Times New Roman" w:hAnsi="Arial"/>
                <w:color w:val="000000"/>
                <w:sz w:val="16"/>
                <w:szCs w:val="16"/>
                <w:lang w:eastAsia="pl-PL"/>
              </w:rPr>
            </w:pPr>
            <w:r w:rsidRPr="00934406">
              <w:rPr>
                <w:rFonts w:ascii="Arial" w:eastAsia="Times New Roman" w:hAnsi="Arial"/>
                <w:color w:val="000000"/>
                <w:sz w:val="16"/>
                <w:szCs w:val="16"/>
                <w:lang w:eastAsia="pl-PL"/>
              </w:rPr>
              <w:t>2,8</w:t>
            </w:r>
          </w:p>
        </w:tc>
      </w:tr>
      <w:tr w:rsidR="003C3957" w14:paraId="156A25D3" w14:textId="77777777" w:rsidTr="00BB441D">
        <w:tblPrEx>
          <w:tblCellMar>
            <w:left w:w="108" w:type="dxa"/>
            <w:right w:w="108" w:type="dxa"/>
          </w:tblCellMar>
          <w:tblLook w:val="0000" w:firstRow="0" w:lastRow="0" w:firstColumn="0" w:lastColumn="0" w:noHBand="0" w:noVBand="0"/>
        </w:tblPrEx>
        <w:trPr>
          <w:trHeight w:val="2443"/>
        </w:trPr>
        <w:tc>
          <w:tcPr>
            <w:tcW w:w="9072" w:type="dxa"/>
            <w:gridSpan w:val="3"/>
            <w:shd w:val="clear" w:color="auto" w:fill="auto"/>
          </w:tcPr>
          <w:p w14:paraId="34B8177F" w14:textId="0A97F17E" w:rsidR="003C3957" w:rsidRDefault="003C3957" w:rsidP="003224F9">
            <w:pPr>
              <w:spacing w:after="0" w:line="240" w:lineRule="auto"/>
              <w:jc w:val="left"/>
            </w:pPr>
            <w:r w:rsidRPr="00B21056">
              <w:rPr>
                <w:noProof/>
                <w:lang w:eastAsia="pl-PL"/>
              </w:rPr>
              <w:drawing>
                <wp:inline distT="0" distB="0" distL="0" distR="0" wp14:anchorId="03A9D5BB" wp14:editId="73D9EE4D">
                  <wp:extent cx="5629275" cy="2324100"/>
                  <wp:effectExtent l="0" t="0" r="9525" b="0"/>
                  <wp:docPr id="470" name="Obraz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629275" cy="2324100"/>
                          </a:xfrm>
                          <a:prstGeom prst="rect">
                            <a:avLst/>
                          </a:prstGeom>
                          <a:noFill/>
                          <a:ln>
                            <a:noFill/>
                          </a:ln>
                        </pic:spPr>
                      </pic:pic>
                    </a:graphicData>
                  </a:graphic>
                </wp:inline>
              </w:drawing>
            </w:r>
          </w:p>
        </w:tc>
      </w:tr>
      <w:tr w:rsidR="003C3957" w14:paraId="5ACB2EF2" w14:textId="77777777" w:rsidTr="00BB441D">
        <w:tblPrEx>
          <w:tblCellMar>
            <w:left w:w="108" w:type="dxa"/>
            <w:right w:w="108" w:type="dxa"/>
          </w:tblCellMar>
          <w:tblLook w:val="0000" w:firstRow="0" w:lastRow="0" w:firstColumn="0" w:lastColumn="0" w:noHBand="0" w:noVBand="0"/>
        </w:tblPrEx>
        <w:tc>
          <w:tcPr>
            <w:tcW w:w="9072" w:type="dxa"/>
            <w:gridSpan w:val="3"/>
            <w:shd w:val="clear" w:color="auto" w:fill="auto"/>
          </w:tcPr>
          <w:p w14:paraId="2439DC75" w14:textId="1C3E8BC0" w:rsidR="003C3957" w:rsidRDefault="003C3957" w:rsidP="003224F9">
            <w:pPr>
              <w:spacing w:after="0" w:line="240" w:lineRule="auto"/>
            </w:pPr>
            <w:r>
              <w:rPr>
                <w:rFonts w:cs="Calibri"/>
                <w:sz w:val="18"/>
                <w:szCs w:val="18"/>
              </w:rPr>
              <w:t>Odsetek przedsiębiorstw, które oceniły znaczenie danego czynnika jako bardzo ważne</w:t>
            </w:r>
          </w:p>
        </w:tc>
      </w:tr>
    </w:tbl>
    <w:p w14:paraId="6B53F320" w14:textId="77777777" w:rsidR="007B460C" w:rsidRDefault="007B460C" w:rsidP="00CC26C8">
      <w:pPr>
        <w:pStyle w:val="Bezodstpw"/>
      </w:pPr>
    </w:p>
    <w:p w14:paraId="3FD4EDD4" w14:textId="32E197B2" w:rsidR="003C3957" w:rsidRDefault="003C3957" w:rsidP="00CC26C8">
      <w:pPr>
        <w:pStyle w:val="Bezodstpw"/>
      </w:pPr>
      <w:r>
        <w:t xml:space="preserve">Źródło: Opracowanie </w:t>
      </w:r>
      <w:r w:rsidR="003A56DA">
        <w:t>MRiT</w:t>
      </w:r>
      <w:r w:rsidR="003A5EA7">
        <w:t xml:space="preserve"> </w:t>
      </w:r>
      <w:r>
        <w:t>na podstawie danych GUS (</w:t>
      </w:r>
      <w:r w:rsidR="00727E0F">
        <w:t>2021</w:t>
      </w:r>
      <w:r>
        <w:t>)</w:t>
      </w:r>
    </w:p>
    <w:p w14:paraId="66B4B7C7" w14:textId="05802E59" w:rsidR="003C3957" w:rsidRDefault="003C3957" w:rsidP="003C3957">
      <w:r>
        <w:t>Przedsiębiorcy ocenili też skutki wpływu regulacji na działalność innowacyjną przedsiębiorstw przemysłowych. Najczęściej wskazywanymi obszarami,</w:t>
      </w:r>
      <w:r w:rsidR="006343E1">
        <w:t xml:space="preserve"> w </w:t>
      </w:r>
      <w:r>
        <w:t>których regulacje utrudniają wprowadzanie innowacji lub podwyższają koszty działalności innowacyjnej</w:t>
      </w:r>
      <w:r w:rsidR="007B460C">
        <w:t>,</w:t>
      </w:r>
      <w:r>
        <w:t xml:space="preserve"> były podatki (</w:t>
      </w:r>
      <w:r w:rsidR="00727E0F">
        <w:t>16,3</w:t>
      </w:r>
      <w:r>
        <w:t>% wskazań wśród przedsiębiorstw przemysłowych) oraz regulacje</w:t>
      </w:r>
      <w:r w:rsidR="006343E1">
        <w:t xml:space="preserve"> z </w:t>
      </w:r>
      <w:r>
        <w:t>zakresu zatrudnienia, bezpieczeństw</w:t>
      </w:r>
      <w:r w:rsidR="007B460C">
        <w:t>a</w:t>
      </w:r>
      <w:r>
        <w:t xml:space="preserve"> pracowników</w:t>
      </w:r>
      <w:r w:rsidR="006343E1">
        <w:t xml:space="preserve"> i </w:t>
      </w:r>
      <w:r>
        <w:t>polityki społecznej (11</w:t>
      </w:r>
      <w:r w:rsidR="00727E0F">
        <w:t>,5%).</w:t>
      </w:r>
      <w:r>
        <w:t xml:space="preserve">  </w:t>
      </w:r>
    </w:p>
    <w:p w14:paraId="0B535623" w14:textId="77777777" w:rsidR="003C3957" w:rsidRDefault="003C3957" w:rsidP="003C3957">
      <w:pPr>
        <w:pStyle w:val="Nagwek2"/>
      </w:pPr>
      <w:bookmarkStart w:id="145" w:name="_Toc511921190"/>
      <w:bookmarkStart w:id="146" w:name="_Toc31808527"/>
      <w:bookmarkStart w:id="147" w:name="_Toc106968811"/>
      <w:r>
        <w:t>Poziom zaawansowania technologicznego</w:t>
      </w:r>
      <w:bookmarkEnd w:id="145"/>
      <w:bookmarkEnd w:id="146"/>
      <w:bookmarkEnd w:id="147"/>
    </w:p>
    <w:p w14:paraId="171C3BA8" w14:textId="3911AB02" w:rsidR="003C3957" w:rsidRDefault="003C3957" w:rsidP="003C3957">
      <w:pPr>
        <w:spacing w:after="0" w:line="240" w:lineRule="auto"/>
        <w:rPr>
          <w:rFonts w:cs="Calibri"/>
          <w:sz w:val="21"/>
          <w:szCs w:val="21"/>
        </w:rPr>
      </w:pPr>
      <w:r>
        <w:rPr>
          <w:rFonts w:cs="Calibri"/>
          <w:sz w:val="21"/>
          <w:szCs w:val="21"/>
        </w:rPr>
        <w:t>Przejściu polskiej gospodarki</w:t>
      </w:r>
      <w:r w:rsidR="006343E1">
        <w:rPr>
          <w:rFonts w:cs="Calibri"/>
          <w:sz w:val="21"/>
          <w:szCs w:val="21"/>
        </w:rPr>
        <w:t xml:space="preserve"> z </w:t>
      </w:r>
      <w:r>
        <w:rPr>
          <w:rFonts w:cs="Calibri"/>
          <w:sz w:val="21"/>
          <w:szCs w:val="21"/>
        </w:rPr>
        <w:t>etapu rozwoju,</w:t>
      </w:r>
      <w:r w:rsidR="006343E1">
        <w:rPr>
          <w:rFonts w:cs="Calibri"/>
          <w:sz w:val="21"/>
          <w:szCs w:val="21"/>
        </w:rPr>
        <w:t xml:space="preserve"> </w:t>
      </w:r>
      <w:r w:rsidR="007B460C">
        <w:rPr>
          <w:rFonts w:cs="Calibri"/>
          <w:sz w:val="21"/>
          <w:szCs w:val="21"/>
        </w:rPr>
        <w:t>na</w:t>
      </w:r>
      <w:r w:rsidR="006343E1">
        <w:rPr>
          <w:rFonts w:cs="Calibri"/>
          <w:sz w:val="21"/>
          <w:szCs w:val="21"/>
        </w:rPr>
        <w:t> </w:t>
      </w:r>
      <w:r>
        <w:rPr>
          <w:rFonts w:cs="Calibri"/>
          <w:sz w:val="21"/>
          <w:szCs w:val="21"/>
        </w:rPr>
        <w:t>którym konkurencja opierała się na niskich kosztach pracowniczych</w:t>
      </w:r>
      <w:r w:rsidR="007B460C">
        <w:rPr>
          <w:rFonts w:cs="Calibri"/>
          <w:sz w:val="21"/>
          <w:szCs w:val="21"/>
        </w:rPr>
        <w:t>,</w:t>
      </w:r>
      <w:r w:rsidR="006343E1">
        <w:rPr>
          <w:rFonts w:cs="Calibri"/>
          <w:sz w:val="21"/>
          <w:szCs w:val="21"/>
        </w:rPr>
        <w:t xml:space="preserve"> w </w:t>
      </w:r>
      <w:r>
        <w:rPr>
          <w:rFonts w:cs="Calibri"/>
          <w:sz w:val="21"/>
          <w:szCs w:val="21"/>
        </w:rPr>
        <w:t>kierunku konkurencji opartej</w:t>
      </w:r>
      <w:r w:rsidR="006343E1">
        <w:rPr>
          <w:rFonts w:cs="Calibri"/>
          <w:sz w:val="21"/>
          <w:szCs w:val="21"/>
        </w:rPr>
        <w:t xml:space="preserve"> </w:t>
      </w:r>
      <w:r w:rsidR="007B460C">
        <w:rPr>
          <w:rFonts w:cs="Calibri"/>
          <w:sz w:val="21"/>
          <w:szCs w:val="21"/>
        </w:rPr>
        <w:t>na</w:t>
      </w:r>
      <w:r w:rsidR="006343E1">
        <w:rPr>
          <w:rFonts w:cs="Calibri"/>
          <w:sz w:val="21"/>
          <w:szCs w:val="21"/>
        </w:rPr>
        <w:t> </w:t>
      </w:r>
      <w:r>
        <w:rPr>
          <w:rFonts w:cs="Calibri"/>
          <w:sz w:val="21"/>
          <w:szCs w:val="21"/>
        </w:rPr>
        <w:t>wiedz</w:t>
      </w:r>
      <w:r w:rsidR="007B460C">
        <w:rPr>
          <w:rFonts w:cs="Calibri"/>
          <w:sz w:val="21"/>
          <w:szCs w:val="21"/>
        </w:rPr>
        <w:t>y</w:t>
      </w:r>
      <w:r w:rsidR="006343E1">
        <w:rPr>
          <w:rFonts w:cs="Calibri"/>
          <w:sz w:val="21"/>
          <w:szCs w:val="21"/>
        </w:rPr>
        <w:t xml:space="preserve"> i </w:t>
      </w:r>
      <w:r>
        <w:rPr>
          <w:rFonts w:cs="Calibri"/>
          <w:sz w:val="21"/>
          <w:szCs w:val="21"/>
        </w:rPr>
        <w:t>innowacj</w:t>
      </w:r>
      <w:r w:rsidR="007B460C">
        <w:rPr>
          <w:rFonts w:cs="Calibri"/>
          <w:sz w:val="21"/>
          <w:szCs w:val="21"/>
        </w:rPr>
        <w:t>ach</w:t>
      </w:r>
      <w:r>
        <w:rPr>
          <w:rFonts w:cs="Calibri"/>
          <w:sz w:val="21"/>
          <w:szCs w:val="21"/>
        </w:rPr>
        <w:t xml:space="preserve"> powinn</w:t>
      </w:r>
      <w:r w:rsidR="007B460C">
        <w:rPr>
          <w:rFonts w:cs="Calibri"/>
          <w:sz w:val="21"/>
          <w:szCs w:val="21"/>
        </w:rPr>
        <w:t>y</w:t>
      </w:r>
      <w:r>
        <w:rPr>
          <w:rFonts w:cs="Calibri"/>
          <w:sz w:val="21"/>
          <w:szCs w:val="21"/>
        </w:rPr>
        <w:t xml:space="preserve"> towarzyszyć zmiana modelu biznesowego</w:t>
      </w:r>
      <w:r w:rsidR="006343E1">
        <w:rPr>
          <w:rFonts w:cs="Calibri"/>
          <w:sz w:val="21"/>
          <w:szCs w:val="21"/>
        </w:rPr>
        <w:t xml:space="preserve"> i </w:t>
      </w:r>
      <w:r>
        <w:rPr>
          <w:rFonts w:cs="Calibri"/>
          <w:sz w:val="21"/>
          <w:szCs w:val="21"/>
        </w:rPr>
        <w:t>większa skłonność przedsiębiorców do ponoszenia ryzyka</w:t>
      </w:r>
      <w:r w:rsidR="006343E1">
        <w:rPr>
          <w:rFonts w:cs="Calibri"/>
          <w:sz w:val="21"/>
          <w:szCs w:val="21"/>
        </w:rPr>
        <w:t xml:space="preserve"> w </w:t>
      </w:r>
      <w:r>
        <w:rPr>
          <w:rFonts w:cs="Calibri"/>
          <w:sz w:val="21"/>
          <w:szCs w:val="21"/>
        </w:rPr>
        <w:t>przypadku wprowadzania innowacji na rynek,</w:t>
      </w:r>
      <w:r w:rsidR="006343E1">
        <w:rPr>
          <w:rFonts w:cs="Calibri"/>
          <w:sz w:val="21"/>
          <w:szCs w:val="21"/>
        </w:rPr>
        <w:t xml:space="preserve"> w </w:t>
      </w:r>
      <w:r>
        <w:rPr>
          <w:rFonts w:cs="Calibri"/>
          <w:sz w:val="21"/>
          <w:szCs w:val="21"/>
        </w:rPr>
        <w:t>tym innowacji</w:t>
      </w:r>
      <w:r w:rsidR="006343E1">
        <w:rPr>
          <w:rFonts w:cs="Calibri"/>
          <w:sz w:val="21"/>
          <w:szCs w:val="21"/>
        </w:rPr>
        <w:t xml:space="preserve"> o </w:t>
      </w:r>
      <w:r>
        <w:rPr>
          <w:rFonts w:cs="Calibri"/>
          <w:sz w:val="21"/>
          <w:szCs w:val="21"/>
        </w:rPr>
        <w:t>charakterze przełomowym, umożliwiających przesunięcie w globalnych łańcuchach wartości. Wykorzystanie mocnej strony polskiej gospodarki, jaką jest wyższy niż średnio</w:t>
      </w:r>
      <w:r w:rsidR="006343E1">
        <w:rPr>
          <w:rFonts w:cs="Calibri"/>
          <w:sz w:val="21"/>
          <w:szCs w:val="21"/>
        </w:rPr>
        <w:t xml:space="preserve"> w </w:t>
      </w:r>
      <w:r>
        <w:rPr>
          <w:rFonts w:cs="Calibri"/>
          <w:sz w:val="21"/>
          <w:szCs w:val="21"/>
        </w:rPr>
        <w:t>Unii Europejskiej poziom przemysłu</w:t>
      </w:r>
      <w:r w:rsidR="006343E1">
        <w:rPr>
          <w:rFonts w:cs="Calibri"/>
          <w:sz w:val="21"/>
          <w:szCs w:val="21"/>
        </w:rPr>
        <w:t xml:space="preserve"> w </w:t>
      </w:r>
      <w:r>
        <w:rPr>
          <w:rFonts w:cs="Calibri"/>
          <w:sz w:val="21"/>
          <w:szCs w:val="21"/>
        </w:rPr>
        <w:t>gospodarce, powinno ułatwić dyfuzję innowacji</w:t>
      </w:r>
      <w:r w:rsidR="006343E1">
        <w:rPr>
          <w:rFonts w:cs="Calibri"/>
          <w:sz w:val="21"/>
          <w:szCs w:val="21"/>
        </w:rPr>
        <w:t xml:space="preserve"> i </w:t>
      </w:r>
      <w:r>
        <w:rPr>
          <w:rFonts w:cs="Calibri"/>
          <w:sz w:val="21"/>
          <w:szCs w:val="21"/>
        </w:rPr>
        <w:t>postępu technologicznego.</w:t>
      </w:r>
    </w:p>
    <w:p w14:paraId="16334BFE" w14:textId="21646C72" w:rsidR="00096E00" w:rsidRDefault="003C3957" w:rsidP="00096E00">
      <w:pPr>
        <w:pStyle w:val="Nagwek4"/>
      </w:pPr>
      <w:r>
        <w:lastRenderedPageBreak/>
        <w:t>Wykres</w:t>
      </w:r>
      <w:r w:rsidR="000935B2">
        <w:t xml:space="preserve"> 7</w:t>
      </w:r>
      <w:r w:rsidR="00FC6E8F">
        <w:t>9</w:t>
      </w:r>
      <w:r>
        <w:t>. Struktura produkcji sprzedanej w</w:t>
      </w:r>
      <w:r w:rsidR="00E82677">
        <w:t>edłu</w:t>
      </w:r>
      <w:r>
        <w:t>g poziomów techniki</w:t>
      </w:r>
      <w:r w:rsidR="006343E1">
        <w:t xml:space="preserve"> w </w:t>
      </w:r>
      <w:r>
        <w:t>%</w:t>
      </w:r>
    </w:p>
    <w:p w14:paraId="37D5F780" w14:textId="2684BEEC" w:rsidR="00313ECA" w:rsidRPr="00313ECA" w:rsidRDefault="00313ECA" w:rsidP="00313ECA">
      <w:r>
        <w:rPr>
          <w:noProof/>
          <w:lang w:eastAsia="pl-PL"/>
        </w:rPr>
        <w:drawing>
          <wp:inline distT="0" distB="0" distL="0" distR="0" wp14:anchorId="4D9D19E8" wp14:editId="1EF7BFA3">
            <wp:extent cx="4572000" cy="2714625"/>
            <wp:effectExtent l="0" t="0" r="19050" b="9525"/>
            <wp:docPr id="38" name="Wykres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4C5F6394" w14:textId="06ACEABA" w:rsidR="003C3957" w:rsidRDefault="003C3957" w:rsidP="00096E00">
      <w:pPr>
        <w:pStyle w:val="Bezodstpw"/>
      </w:pPr>
      <w:r>
        <w:t xml:space="preserve">Źródło: Opracowanie </w:t>
      </w:r>
      <w:r w:rsidR="003A56DA">
        <w:t>MRiT</w:t>
      </w:r>
      <w:r w:rsidR="003A5EA7">
        <w:t xml:space="preserve"> </w:t>
      </w:r>
      <w:r>
        <w:t xml:space="preserve">na </w:t>
      </w:r>
      <w:r w:rsidRPr="00E86993">
        <w:t>podstawie danych GUS (20</w:t>
      </w:r>
      <w:r w:rsidR="009E7655">
        <w:t>21</w:t>
      </w:r>
      <w:r w:rsidRPr="00E86993">
        <w:t>a, 2012)</w:t>
      </w:r>
    </w:p>
    <w:p w14:paraId="027C152A" w14:textId="73BD1092" w:rsidR="003C3957" w:rsidRPr="004834A5" w:rsidRDefault="003C3957" w:rsidP="004834A5">
      <w:r>
        <w:t>Trendy obserwowane na świecie sugerują</w:t>
      </w:r>
      <w:r w:rsidR="00477C54">
        <w:t>, że </w:t>
      </w:r>
      <w:r>
        <w:t>wraz</w:t>
      </w:r>
      <w:r w:rsidR="006343E1">
        <w:t xml:space="preserve"> z </w:t>
      </w:r>
      <w:r>
        <w:t>rozwojem powinien zachodzić proces zmiany strukturalnej gospodarki</w:t>
      </w:r>
      <w:r w:rsidR="006343E1">
        <w:t xml:space="preserve"> w </w:t>
      </w:r>
      <w:r>
        <w:t>stronę przemysł</w:t>
      </w:r>
      <w:r w:rsidR="00E82677">
        <w:t>u</w:t>
      </w:r>
      <w:r>
        <w:t xml:space="preserve"> bardziej zaawansowan</w:t>
      </w:r>
      <w:r w:rsidR="00E82677">
        <w:t>ego</w:t>
      </w:r>
      <w:r>
        <w:t xml:space="preserve"> technologicznie.</w:t>
      </w:r>
      <w:r w:rsidR="006343E1">
        <w:t xml:space="preserve"> W </w:t>
      </w:r>
      <w:r>
        <w:t>Polsce w 2017 r.</w:t>
      </w:r>
      <w:r w:rsidR="006343E1">
        <w:t xml:space="preserve"> w </w:t>
      </w:r>
      <w:r>
        <w:t>porównaniu do 2010 r.</w:t>
      </w:r>
      <w:r w:rsidR="006343E1">
        <w:t xml:space="preserve"> w </w:t>
      </w:r>
      <w:r>
        <w:t>strukturze produkcji sprzedanej w</w:t>
      </w:r>
      <w:r w:rsidR="00E82677">
        <w:t>edłu</w:t>
      </w:r>
      <w:r>
        <w:t>g poziomów techniki doszło do niewielkich zmian. Za niekorzystny należy uznać spadek udziału wysokiej techniki</w:t>
      </w:r>
      <w:r w:rsidR="006343E1">
        <w:t xml:space="preserve"> i </w:t>
      </w:r>
      <w:r>
        <w:t>wzrost średnioniskiej</w:t>
      </w:r>
      <w:r w:rsidR="006343E1">
        <w:t xml:space="preserve"> i </w:t>
      </w:r>
      <w:r>
        <w:t>niskiej techniki. Pomimo dynamicznego wzrostu nakładów na działalność innowacyjną,</w:t>
      </w:r>
      <w:r w:rsidR="006343E1">
        <w:t xml:space="preserve"> w </w:t>
      </w:r>
      <w:r>
        <w:t xml:space="preserve">tym na działalność B+R, </w:t>
      </w:r>
      <w:r w:rsidR="004834A5" w:rsidRPr="004834A5">
        <w:t>zmiany w strukturze produkcji sprzedanej w</w:t>
      </w:r>
      <w:r w:rsidR="00E82677">
        <w:t>edłu</w:t>
      </w:r>
      <w:r w:rsidR="004834A5" w:rsidRPr="004834A5">
        <w:t>g poziomów techniki</w:t>
      </w:r>
      <w:r w:rsidR="004834A5">
        <w:t xml:space="preserve"> </w:t>
      </w:r>
      <w:r>
        <w:t>przebiegają relatywnie wolno.</w:t>
      </w:r>
    </w:p>
    <w:p w14:paraId="416BE5D8" w14:textId="5A53DD55" w:rsidR="00300734" w:rsidRDefault="00300734" w:rsidP="00333F81">
      <w:pPr>
        <w:spacing w:after="0" w:line="240" w:lineRule="auto"/>
        <w:rPr>
          <w:rFonts w:cs="Calibri"/>
          <w:sz w:val="21"/>
          <w:szCs w:val="21"/>
        </w:rPr>
      </w:pPr>
      <w:r>
        <w:rPr>
          <w:rFonts w:cs="Calibri"/>
          <w:sz w:val="21"/>
          <w:szCs w:val="21"/>
        </w:rPr>
        <w:t>Należy pamiętać, że polski sektor przemysłowy odpowiedzialny za większość działalności innowacyjnej (w tym B+R) jest sektorem wysokoenergochłonnym i wysokoemisyjnym W ostatnim czasie boryka się  on z szeregiem wyzwań i</w:t>
      </w:r>
      <w:r w:rsidR="00E82677">
        <w:rPr>
          <w:rFonts w:cs="Calibri"/>
          <w:sz w:val="21"/>
          <w:szCs w:val="21"/>
        </w:rPr>
        <w:t> </w:t>
      </w:r>
      <w:r>
        <w:rPr>
          <w:rFonts w:cs="Calibri"/>
          <w:sz w:val="21"/>
          <w:szCs w:val="21"/>
        </w:rPr>
        <w:t xml:space="preserve">problemów związanych z system opłat za emisję gazów cieplarnianych, co znacząco ogranicza zdolność </w:t>
      </w:r>
      <w:r w:rsidR="00E82677">
        <w:rPr>
          <w:rFonts w:cs="Calibri"/>
          <w:sz w:val="21"/>
          <w:szCs w:val="21"/>
        </w:rPr>
        <w:t xml:space="preserve">tego </w:t>
      </w:r>
      <w:r>
        <w:rPr>
          <w:rFonts w:cs="Calibri"/>
          <w:sz w:val="21"/>
          <w:szCs w:val="21"/>
        </w:rPr>
        <w:t>sektora do gospodarowania środk</w:t>
      </w:r>
      <w:r w:rsidR="00E82677">
        <w:rPr>
          <w:rFonts w:cs="Calibri"/>
          <w:sz w:val="21"/>
          <w:szCs w:val="21"/>
        </w:rPr>
        <w:t>ami</w:t>
      </w:r>
      <w:r>
        <w:rPr>
          <w:rFonts w:cs="Calibri"/>
          <w:sz w:val="21"/>
          <w:szCs w:val="21"/>
        </w:rPr>
        <w:t xml:space="preserve"> na rozwój innowacji. </w:t>
      </w:r>
      <w:r w:rsidR="00E82677">
        <w:rPr>
          <w:rFonts w:cs="Calibri"/>
          <w:sz w:val="21"/>
          <w:szCs w:val="21"/>
        </w:rPr>
        <w:t>W okresie</w:t>
      </w:r>
      <w:r w:rsidR="009C6A29">
        <w:rPr>
          <w:rFonts w:cs="Calibri"/>
          <w:sz w:val="21"/>
          <w:szCs w:val="21"/>
        </w:rPr>
        <w:t xml:space="preserve"> ostatnich kilku lat</w:t>
      </w:r>
      <w:r>
        <w:rPr>
          <w:rFonts w:cs="Calibri"/>
          <w:sz w:val="21"/>
          <w:szCs w:val="21"/>
        </w:rPr>
        <w:t xml:space="preserve"> </w:t>
      </w:r>
      <w:r w:rsidR="00E82677">
        <w:rPr>
          <w:rFonts w:cs="Calibri"/>
          <w:sz w:val="21"/>
          <w:szCs w:val="21"/>
        </w:rPr>
        <w:t xml:space="preserve">jest </w:t>
      </w:r>
      <w:r>
        <w:rPr>
          <w:rFonts w:cs="Calibri"/>
          <w:sz w:val="21"/>
          <w:szCs w:val="21"/>
        </w:rPr>
        <w:t>zauważalny wzrastający niepokój sektora przemysłowego, którego priorytetem, w dobie rosnących restrykcji i coraz większych represji</w:t>
      </w:r>
      <w:r w:rsidR="009C6A29">
        <w:rPr>
          <w:rFonts w:cs="Calibri"/>
          <w:sz w:val="21"/>
          <w:szCs w:val="21"/>
        </w:rPr>
        <w:t xml:space="preserve"> wynikających z wdrażania postanowień polityki klimatycznej U</w:t>
      </w:r>
      <w:r w:rsidR="00E82677">
        <w:rPr>
          <w:rFonts w:cs="Calibri"/>
          <w:sz w:val="21"/>
          <w:szCs w:val="21"/>
        </w:rPr>
        <w:t xml:space="preserve">nii </w:t>
      </w:r>
      <w:r w:rsidR="009C6A29">
        <w:rPr>
          <w:rFonts w:cs="Calibri"/>
          <w:sz w:val="21"/>
          <w:szCs w:val="21"/>
        </w:rPr>
        <w:t>E</w:t>
      </w:r>
      <w:r w:rsidR="00E82677">
        <w:rPr>
          <w:rFonts w:cs="Calibri"/>
          <w:sz w:val="21"/>
          <w:szCs w:val="21"/>
        </w:rPr>
        <w:t>uropejskiej</w:t>
      </w:r>
      <w:r>
        <w:rPr>
          <w:rFonts w:cs="Calibri"/>
          <w:sz w:val="21"/>
          <w:szCs w:val="21"/>
        </w:rPr>
        <w:t xml:space="preserve">, staje się przetrwanie. </w:t>
      </w:r>
      <w:r w:rsidR="009C6A29">
        <w:rPr>
          <w:rFonts w:cs="Calibri"/>
          <w:sz w:val="21"/>
          <w:szCs w:val="21"/>
        </w:rPr>
        <w:t>Z</w:t>
      </w:r>
      <w:r>
        <w:rPr>
          <w:rFonts w:cs="Calibri"/>
          <w:sz w:val="21"/>
          <w:szCs w:val="21"/>
        </w:rPr>
        <w:t>ałożenia Zielonego Ładu i polityki klimatycznej U</w:t>
      </w:r>
      <w:r w:rsidR="00E82677">
        <w:rPr>
          <w:rFonts w:cs="Calibri"/>
          <w:sz w:val="21"/>
          <w:szCs w:val="21"/>
        </w:rPr>
        <w:t xml:space="preserve">nii </w:t>
      </w:r>
      <w:r>
        <w:rPr>
          <w:rFonts w:cs="Calibri"/>
          <w:sz w:val="21"/>
          <w:szCs w:val="21"/>
        </w:rPr>
        <w:t>E</w:t>
      </w:r>
      <w:r w:rsidR="00E82677">
        <w:rPr>
          <w:rFonts w:cs="Calibri"/>
          <w:sz w:val="21"/>
          <w:szCs w:val="21"/>
        </w:rPr>
        <w:t>uropejskiej</w:t>
      </w:r>
      <w:r>
        <w:rPr>
          <w:rFonts w:cs="Calibri"/>
          <w:sz w:val="21"/>
          <w:szCs w:val="21"/>
        </w:rPr>
        <w:t xml:space="preserve"> zmuszają podmioty kształtujące </w:t>
      </w:r>
      <w:r w:rsidR="00E82677">
        <w:rPr>
          <w:rFonts w:cs="Calibri"/>
          <w:sz w:val="21"/>
          <w:szCs w:val="21"/>
        </w:rPr>
        <w:t>p</w:t>
      </w:r>
      <w:r>
        <w:rPr>
          <w:rFonts w:cs="Calibri"/>
          <w:sz w:val="21"/>
          <w:szCs w:val="21"/>
        </w:rPr>
        <w:t xml:space="preserve">olski przemysł do ograniczenia wydatkowania w obszarze rozwoju innowacji oraz B+R. Priorytetem dużych koncernów przemysłowych staje się zabezpieczenie środków finansowych, które pozwolą ponosić koszty związane </w:t>
      </w:r>
      <w:r w:rsidR="00E82677">
        <w:rPr>
          <w:rFonts w:cs="Calibri"/>
          <w:sz w:val="21"/>
          <w:szCs w:val="21"/>
        </w:rPr>
        <w:t xml:space="preserve">z </w:t>
      </w:r>
      <w:r w:rsidR="009C6A29">
        <w:rPr>
          <w:rFonts w:cs="Calibri"/>
          <w:sz w:val="21"/>
          <w:szCs w:val="21"/>
        </w:rPr>
        <w:t>przyszłymi represjami sektora. Te niepokojące dla przemysłu sygnały, które wynikają bezpośrednio z Zielonego Ładu</w:t>
      </w:r>
      <w:r w:rsidR="00E82677">
        <w:rPr>
          <w:rFonts w:cs="Calibri"/>
          <w:sz w:val="21"/>
          <w:szCs w:val="21"/>
        </w:rPr>
        <w:t>,</w:t>
      </w:r>
      <w:r w:rsidR="009C6A29">
        <w:rPr>
          <w:rFonts w:cs="Calibri"/>
          <w:sz w:val="21"/>
          <w:szCs w:val="21"/>
        </w:rPr>
        <w:t xml:space="preserve"> ograniczają i będą ograniczać zdolność dużych koncernów przemysłowych do tworzenia innowacji w najbliższych latach. </w:t>
      </w:r>
    </w:p>
    <w:p w14:paraId="6D448B0D" w14:textId="0CE5C30D" w:rsidR="003C3957" w:rsidRDefault="003C3957" w:rsidP="003C3957">
      <w:pPr>
        <w:spacing w:after="0" w:line="240" w:lineRule="auto"/>
      </w:pPr>
      <w:r>
        <w:rPr>
          <w:rFonts w:cs="Calibri"/>
          <w:sz w:val="21"/>
          <w:szCs w:val="21"/>
        </w:rPr>
        <w:t>W zależności od branży potencjał do zastosowania nowych technologii procesowych jest różny</w:t>
      </w:r>
      <w:r w:rsidR="00477C54">
        <w:rPr>
          <w:rFonts w:cs="Calibri"/>
          <w:sz w:val="21"/>
          <w:szCs w:val="21"/>
        </w:rPr>
        <w:t>. Do </w:t>
      </w:r>
      <w:r>
        <w:rPr>
          <w:rFonts w:cs="Calibri"/>
          <w:sz w:val="21"/>
          <w:szCs w:val="21"/>
        </w:rPr>
        <w:t>najbardziej skłonnych do innowacji procesowych należą przedsiębiorstwa działające</w:t>
      </w:r>
      <w:r w:rsidR="006343E1">
        <w:rPr>
          <w:rFonts w:cs="Calibri"/>
          <w:sz w:val="21"/>
          <w:szCs w:val="21"/>
        </w:rPr>
        <w:t xml:space="preserve"> w </w:t>
      </w:r>
      <w:r>
        <w:rPr>
          <w:rFonts w:cs="Calibri"/>
          <w:sz w:val="21"/>
          <w:szCs w:val="21"/>
        </w:rPr>
        <w:t>branży wydobycia węgla, produkcji wyrobów tytoniowych, wytwarzani</w:t>
      </w:r>
      <w:r w:rsidR="00E82677">
        <w:rPr>
          <w:rFonts w:cs="Calibri"/>
          <w:sz w:val="21"/>
          <w:szCs w:val="21"/>
        </w:rPr>
        <w:t>a</w:t>
      </w:r>
      <w:r w:rsidR="006343E1">
        <w:rPr>
          <w:rFonts w:cs="Calibri"/>
          <w:sz w:val="21"/>
          <w:szCs w:val="21"/>
        </w:rPr>
        <w:t xml:space="preserve"> i </w:t>
      </w:r>
      <w:r>
        <w:rPr>
          <w:rFonts w:cs="Calibri"/>
          <w:sz w:val="21"/>
          <w:szCs w:val="21"/>
        </w:rPr>
        <w:t>przetwarzani</w:t>
      </w:r>
      <w:r w:rsidR="00E82677">
        <w:rPr>
          <w:rFonts w:cs="Calibri"/>
          <w:sz w:val="21"/>
          <w:szCs w:val="21"/>
        </w:rPr>
        <w:t>a</w:t>
      </w:r>
      <w:r>
        <w:rPr>
          <w:rFonts w:cs="Calibri"/>
          <w:sz w:val="21"/>
          <w:szCs w:val="21"/>
        </w:rPr>
        <w:t xml:space="preserve"> koksu oraz produktów rafinacji ropy naftowej</w:t>
      </w:r>
      <w:r w:rsidR="00E82677">
        <w:rPr>
          <w:rFonts w:cs="Calibri"/>
          <w:sz w:val="21"/>
          <w:szCs w:val="21"/>
        </w:rPr>
        <w:t>,</w:t>
      </w:r>
      <w:r w:rsidR="006343E1">
        <w:rPr>
          <w:rFonts w:cs="Calibri"/>
          <w:sz w:val="21"/>
          <w:szCs w:val="21"/>
        </w:rPr>
        <w:t xml:space="preserve"> a </w:t>
      </w:r>
      <w:r>
        <w:rPr>
          <w:rFonts w:cs="Calibri"/>
          <w:sz w:val="21"/>
          <w:szCs w:val="21"/>
        </w:rPr>
        <w:t>także</w:t>
      </w:r>
      <w:r w:rsidR="006343E1">
        <w:rPr>
          <w:rFonts w:cs="Calibri"/>
          <w:sz w:val="21"/>
          <w:szCs w:val="21"/>
        </w:rPr>
        <w:t xml:space="preserve"> w </w:t>
      </w:r>
      <w:r>
        <w:rPr>
          <w:rFonts w:cs="Calibri"/>
          <w:sz w:val="21"/>
          <w:szCs w:val="21"/>
        </w:rPr>
        <w:t>sektorze farmaceutycznym. Najmniej skłonne są natomiast przedsiębiorstwa zajmujące się produkcją odzieży, skór</w:t>
      </w:r>
      <w:r w:rsidR="006343E1">
        <w:rPr>
          <w:rFonts w:cs="Calibri"/>
          <w:sz w:val="21"/>
          <w:szCs w:val="21"/>
        </w:rPr>
        <w:t xml:space="preserve"> i </w:t>
      </w:r>
      <w:r>
        <w:rPr>
          <w:rFonts w:cs="Calibri"/>
          <w:sz w:val="21"/>
          <w:szCs w:val="21"/>
        </w:rPr>
        <w:t>wyrobów ze skór wyprawionych</w:t>
      </w:r>
      <w:r w:rsidR="00E82677">
        <w:rPr>
          <w:rFonts w:cs="Calibri"/>
          <w:sz w:val="21"/>
          <w:szCs w:val="21"/>
        </w:rPr>
        <w:t>,</w:t>
      </w:r>
      <w:r w:rsidR="006343E1">
        <w:rPr>
          <w:rFonts w:cs="Calibri"/>
          <w:sz w:val="21"/>
          <w:szCs w:val="21"/>
        </w:rPr>
        <w:t xml:space="preserve"> a </w:t>
      </w:r>
      <w:r>
        <w:rPr>
          <w:rFonts w:cs="Calibri"/>
          <w:sz w:val="21"/>
          <w:szCs w:val="21"/>
        </w:rPr>
        <w:t>także działalnością związaną z rekultywacją</w:t>
      </w:r>
      <w:r w:rsidR="006343E1">
        <w:rPr>
          <w:rFonts w:cs="Calibri"/>
          <w:sz w:val="21"/>
          <w:szCs w:val="21"/>
        </w:rPr>
        <w:t xml:space="preserve"> i </w:t>
      </w:r>
      <w:r>
        <w:rPr>
          <w:rFonts w:cs="Calibri"/>
          <w:sz w:val="21"/>
          <w:szCs w:val="21"/>
        </w:rPr>
        <w:t>gospodarką odpadami. Jednocześnie</w:t>
      </w:r>
      <w:r w:rsidR="006343E1">
        <w:rPr>
          <w:rFonts w:cs="Calibri"/>
          <w:sz w:val="21"/>
          <w:szCs w:val="21"/>
        </w:rPr>
        <w:t xml:space="preserve"> w </w:t>
      </w:r>
      <w:r>
        <w:rPr>
          <w:rFonts w:cs="Calibri"/>
          <w:sz w:val="21"/>
          <w:szCs w:val="21"/>
        </w:rPr>
        <w:t>przetwórstwie przemysłowym najwyższe nakłady na działalność B+R</w:t>
      </w:r>
      <w:r w:rsidR="006343E1">
        <w:rPr>
          <w:rFonts w:cs="Calibri"/>
          <w:sz w:val="21"/>
          <w:szCs w:val="21"/>
        </w:rPr>
        <w:t xml:space="preserve"> w </w:t>
      </w:r>
      <w:r w:rsidR="00DF19E2">
        <w:rPr>
          <w:rFonts w:cs="Calibri"/>
          <w:sz w:val="21"/>
          <w:szCs w:val="21"/>
        </w:rPr>
        <w:t xml:space="preserve">2020 </w:t>
      </w:r>
      <w:r>
        <w:rPr>
          <w:rFonts w:cs="Calibri"/>
          <w:sz w:val="21"/>
          <w:szCs w:val="21"/>
        </w:rPr>
        <w:t>r. poniosły przedsiębiorstwa działające</w:t>
      </w:r>
      <w:r w:rsidR="006343E1">
        <w:rPr>
          <w:rFonts w:cs="Calibri"/>
          <w:sz w:val="21"/>
          <w:szCs w:val="21"/>
        </w:rPr>
        <w:t xml:space="preserve"> w </w:t>
      </w:r>
      <w:r>
        <w:rPr>
          <w:rFonts w:cs="Calibri"/>
          <w:sz w:val="21"/>
          <w:szCs w:val="21"/>
        </w:rPr>
        <w:t>produkcji pojazdów samochodowych (</w:t>
      </w:r>
      <w:r w:rsidR="00DF19E2">
        <w:rPr>
          <w:rFonts w:cs="Calibri"/>
          <w:sz w:val="21"/>
          <w:szCs w:val="21"/>
        </w:rPr>
        <w:t>2,27</w:t>
      </w:r>
      <w:r>
        <w:rPr>
          <w:rFonts w:cs="Calibri"/>
          <w:sz w:val="21"/>
          <w:szCs w:val="21"/>
        </w:rPr>
        <w:t>mld zł)</w:t>
      </w:r>
      <w:r w:rsidR="00E82677">
        <w:rPr>
          <w:rFonts w:cs="Calibri"/>
          <w:sz w:val="21"/>
          <w:szCs w:val="21"/>
        </w:rPr>
        <w:t>,</w:t>
      </w:r>
      <w:r>
        <w:rPr>
          <w:rFonts w:cs="Calibri"/>
          <w:sz w:val="21"/>
          <w:szCs w:val="21"/>
        </w:rPr>
        <w:t xml:space="preserve"> </w:t>
      </w:r>
      <w:r w:rsidR="00E82677">
        <w:rPr>
          <w:rFonts w:cs="Calibri"/>
          <w:sz w:val="21"/>
          <w:szCs w:val="21"/>
        </w:rPr>
        <w:t>n</w:t>
      </w:r>
      <w:r>
        <w:rPr>
          <w:rFonts w:cs="Calibri"/>
          <w:sz w:val="21"/>
          <w:szCs w:val="21"/>
        </w:rPr>
        <w:t>astępnie przedsiębiorstwa przemysłowe działające</w:t>
      </w:r>
      <w:r w:rsidR="006343E1">
        <w:rPr>
          <w:rFonts w:cs="Calibri"/>
          <w:sz w:val="21"/>
          <w:szCs w:val="21"/>
        </w:rPr>
        <w:t xml:space="preserve"> w </w:t>
      </w:r>
      <w:r>
        <w:rPr>
          <w:rFonts w:cs="Calibri"/>
          <w:sz w:val="21"/>
          <w:szCs w:val="21"/>
        </w:rPr>
        <w:t>produkcji komputerów, wyrobów elektronicznych</w:t>
      </w:r>
      <w:r w:rsidR="006343E1">
        <w:rPr>
          <w:rFonts w:cs="Calibri"/>
          <w:sz w:val="21"/>
          <w:szCs w:val="21"/>
        </w:rPr>
        <w:t xml:space="preserve"> i </w:t>
      </w:r>
      <w:r>
        <w:rPr>
          <w:rFonts w:cs="Calibri"/>
          <w:sz w:val="21"/>
          <w:szCs w:val="21"/>
        </w:rPr>
        <w:t>optycznych (</w:t>
      </w:r>
      <w:r w:rsidR="00DF19E2">
        <w:rPr>
          <w:rFonts w:cs="Calibri"/>
          <w:sz w:val="21"/>
          <w:szCs w:val="21"/>
        </w:rPr>
        <w:t>1,06</w:t>
      </w:r>
      <w:r>
        <w:rPr>
          <w:rFonts w:cs="Calibri"/>
          <w:sz w:val="21"/>
          <w:szCs w:val="21"/>
        </w:rPr>
        <w:t xml:space="preserve"> </w:t>
      </w:r>
      <w:r w:rsidR="00DF19E2">
        <w:rPr>
          <w:rFonts w:cs="Calibri"/>
          <w:sz w:val="21"/>
          <w:szCs w:val="21"/>
        </w:rPr>
        <w:t xml:space="preserve">mld </w:t>
      </w:r>
      <w:r>
        <w:rPr>
          <w:rFonts w:cs="Calibri"/>
          <w:sz w:val="21"/>
          <w:szCs w:val="21"/>
        </w:rPr>
        <w:t>zł), wyrobów</w:t>
      </w:r>
      <w:r w:rsidR="006343E1">
        <w:rPr>
          <w:rFonts w:cs="Calibri"/>
          <w:sz w:val="21"/>
          <w:szCs w:val="21"/>
        </w:rPr>
        <w:t xml:space="preserve"> z </w:t>
      </w:r>
      <w:r>
        <w:rPr>
          <w:rFonts w:cs="Calibri"/>
          <w:sz w:val="21"/>
          <w:szCs w:val="21"/>
        </w:rPr>
        <w:t xml:space="preserve">metali </w:t>
      </w:r>
      <w:r w:rsidR="00DF19E2">
        <w:rPr>
          <w:rFonts w:cs="Calibri"/>
          <w:sz w:val="21"/>
          <w:szCs w:val="21"/>
        </w:rPr>
        <w:t>713,9</w:t>
      </w:r>
      <w:r>
        <w:rPr>
          <w:rFonts w:cs="Calibri"/>
          <w:sz w:val="21"/>
          <w:szCs w:val="21"/>
        </w:rPr>
        <w:t xml:space="preserve"> mln zł)</w:t>
      </w:r>
      <w:r w:rsidR="006343E1">
        <w:rPr>
          <w:rFonts w:cs="Calibri"/>
          <w:sz w:val="21"/>
          <w:szCs w:val="21"/>
        </w:rPr>
        <w:t xml:space="preserve"> i </w:t>
      </w:r>
      <w:r>
        <w:rPr>
          <w:rFonts w:cs="Calibri"/>
          <w:sz w:val="21"/>
          <w:szCs w:val="21"/>
        </w:rPr>
        <w:t>produkcji urządzeń elektrycznych (</w:t>
      </w:r>
      <w:r w:rsidR="00DF19E2">
        <w:rPr>
          <w:rFonts w:cs="Calibri"/>
          <w:sz w:val="21"/>
          <w:szCs w:val="21"/>
        </w:rPr>
        <w:t>607,1</w:t>
      </w:r>
      <w:r>
        <w:rPr>
          <w:rFonts w:cs="Calibri"/>
          <w:sz w:val="21"/>
          <w:szCs w:val="21"/>
        </w:rPr>
        <w:t xml:space="preserve"> mln zł).</w:t>
      </w:r>
    </w:p>
    <w:p w14:paraId="799764A9" w14:textId="1EA14A7D" w:rsidR="003C3957" w:rsidRPr="00442315" w:rsidRDefault="003C3957" w:rsidP="00CB07D4">
      <w:pPr>
        <w:pStyle w:val="Nagwek4"/>
        <w:ind w:left="993" w:hanging="993"/>
      </w:pPr>
      <w:r>
        <w:lastRenderedPageBreak/>
        <w:t xml:space="preserve">Wykres </w:t>
      </w:r>
      <w:r w:rsidR="00FC6E8F">
        <w:t>80</w:t>
      </w:r>
      <w:r>
        <w:t>. Przedsiębiorstwa przemysłowe, które</w:t>
      </w:r>
      <w:r w:rsidR="006343E1">
        <w:t xml:space="preserve"> w </w:t>
      </w:r>
      <w:r>
        <w:t>latach 2015</w:t>
      </w:r>
      <w:r w:rsidR="00E82677">
        <w:rPr>
          <w:rFonts w:ascii="Times New Roman" w:hAnsi="Times New Roman" w:cs="Times New Roman"/>
        </w:rPr>
        <w:t>–</w:t>
      </w:r>
      <w:r>
        <w:t>2017 wprowadziły nowe lub istotnie ulepszone procesy oraz ich nakłady na działalność badawczą</w:t>
      </w:r>
      <w:r w:rsidR="006343E1">
        <w:t xml:space="preserve"> i </w:t>
      </w:r>
      <w:r>
        <w:t>rozwojową</w:t>
      </w:r>
      <w:r w:rsidR="006343E1">
        <w:t xml:space="preserve"> w </w:t>
      </w:r>
      <w:r>
        <w:t>2017 r.</w:t>
      </w:r>
    </w:p>
    <w:p w14:paraId="02721A8E" w14:textId="52245562" w:rsidR="003C3957" w:rsidRPr="00CC26C8" w:rsidRDefault="003C3957" w:rsidP="00CC26C8">
      <w:pPr>
        <w:pStyle w:val="Bezodstpw"/>
        <w:rPr>
          <w:i w:val="0"/>
          <w:iCs/>
        </w:rPr>
      </w:pPr>
      <w:r>
        <w:rPr>
          <w:noProof/>
          <w:lang w:eastAsia="pl-PL"/>
        </w:rPr>
        <w:drawing>
          <wp:inline distT="0" distB="0" distL="0" distR="0" wp14:anchorId="34022848" wp14:editId="78A1AB87">
            <wp:extent cx="6370559" cy="4882550"/>
            <wp:effectExtent l="0" t="0" r="0" b="0"/>
            <wp:docPr id="468" name="Obraz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6383048" cy="4892122"/>
                    </a:xfrm>
                    <a:prstGeom prst="rect">
                      <a:avLst/>
                    </a:prstGeom>
                    <a:solidFill>
                      <a:srgbClr val="FFFFFF"/>
                    </a:solidFill>
                    <a:ln>
                      <a:noFill/>
                    </a:ln>
                  </pic:spPr>
                </pic:pic>
              </a:graphicData>
            </a:graphic>
          </wp:inline>
        </w:drawing>
      </w:r>
      <w:r w:rsidRPr="00CC26C8">
        <w:rPr>
          <w:i w:val="0"/>
          <w:iCs/>
        </w:rPr>
        <w:t>W przypadku branż oznaczonych * dane dot</w:t>
      </w:r>
      <w:r w:rsidR="00C962A5">
        <w:rPr>
          <w:i w:val="0"/>
          <w:iCs/>
        </w:rPr>
        <w:t>yczące</w:t>
      </w:r>
      <w:r w:rsidRPr="00CC26C8">
        <w:rPr>
          <w:i w:val="0"/>
          <w:iCs/>
        </w:rPr>
        <w:t xml:space="preserve"> nakładów na działalność B+R nie mogą być publikowane przez GUS ze względu na konieczność zachowania tajemnicy statystycznej</w:t>
      </w:r>
      <w:r w:rsidR="006343E1" w:rsidRPr="00CC26C8">
        <w:rPr>
          <w:i w:val="0"/>
          <w:iCs/>
        </w:rPr>
        <w:t xml:space="preserve"> w </w:t>
      </w:r>
      <w:r w:rsidRPr="00CC26C8">
        <w:rPr>
          <w:i w:val="0"/>
          <w:iCs/>
        </w:rPr>
        <w:t>rozumieniu ustawy</w:t>
      </w:r>
      <w:r w:rsidR="006343E1" w:rsidRPr="00CC26C8">
        <w:rPr>
          <w:i w:val="0"/>
          <w:iCs/>
        </w:rPr>
        <w:t xml:space="preserve"> </w:t>
      </w:r>
      <w:r w:rsidR="001C3C76">
        <w:rPr>
          <w:i w:val="0"/>
          <w:iCs/>
        </w:rPr>
        <w:t xml:space="preserve">z dnia 29 czerwca 1995 r. </w:t>
      </w:r>
      <w:r w:rsidR="006343E1" w:rsidRPr="00CC26C8">
        <w:rPr>
          <w:i w:val="0"/>
          <w:iCs/>
        </w:rPr>
        <w:t>o </w:t>
      </w:r>
      <w:r w:rsidRPr="00CC26C8">
        <w:rPr>
          <w:i w:val="0"/>
          <w:iCs/>
        </w:rPr>
        <w:t>statystyce publicznej</w:t>
      </w:r>
      <w:r w:rsidR="001C3C76">
        <w:rPr>
          <w:i w:val="0"/>
          <w:iCs/>
        </w:rPr>
        <w:t xml:space="preserve"> (Dz. U. 1995 nr 88 poz. 439 z późn. zm.)</w:t>
      </w:r>
      <w:r w:rsidRPr="00CC26C8">
        <w:rPr>
          <w:i w:val="0"/>
          <w:iCs/>
        </w:rPr>
        <w:t>.</w:t>
      </w:r>
    </w:p>
    <w:p w14:paraId="0EE0E95F" w14:textId="77777777" w:rsidR="00C962A5" w:rsidRDefault="00C962A5" w:rsidP="00CC26C8">
      <w:pPr>
        <w:pStyle w:val="Bezodstpw"/>
      </w:pPr>
    </w:p>
    <w:p w14:paraId="6E716F88" w14:textId="10C62B3D" w:rsidR="003C3957" w:rsidRDefault="003C3957" w:rsidP="00CC26C8">
      <w:pPr>
        <w:pStyle w:val="Bezodstpw"/>
      </w:pPr>
      <w:r>
        <w:t xml:space="preserve">Źródło: Opracowanie </w:t>
      </w:r>
      <w:r w:rsidR="003A56DA">
        <w:t>MRiT</w:t>
      </w:r>
      <w:r w:rsidR="003A5EA7">
        <w:t xml:space="preserve"> </w:t>
      </w:r>
      <w:r>
        <w:t>na podstawie danych GUS (2018)</w:t>
      </w:r>
    </w:p>
    <w:p w14:paraId="10D0AC39" w14:textId="1AB787E7" w:rsidR="003C3957" w:rsidRDefault="003C3957" w:rsidP="00CC26C8">
      <w:r>
        <w:t xml:space="preserve"> </w:t>
      </w:r>
      <w:r w:rsidR="00C962A5">
        <w:t>P</w:t>
      </w:r>
      <w:r>
        <w:t>rzedsiębiorstwa z dominującym kapitałem polskim poniosły</w:t>
      </w:r>
      <w:r w:rsidR="006343E1">
        <w:t xml:space="preserve"> w </w:t>
      </w:r>
      <w:r>
        <w:t>2016 r. 45,7% wydatków</w:t>
      </w:r>
      <w:r w:rsidR="00C962A5" w:rsidRPr="00C962A5">
        <w:t xml:space="preserve"> </w:t>
      </w:r>
      <w:r w:rsidR="00C962A5">
        <w:t>w strukturze kapitałowej nakładów na działalność B+R przetwórstwa przemysłowego</w:t>
      </w:r>
      <w:r>
        <w:t>,</w:t>
      </w:r>
      <w:r w:rsidR="006343E1">
        <w:t xml:space="preserve"> a </w:t>
      </w:r>
      <w:r>
        <w:t>więc mniej niż przedsiębiorstwa</w:t>
      </w:r>
      <w:r w:rsidR="006343E1">
        <w:t xml:space="preserve"> z </w:t>
      </w:r>
      <w:r>
        <w:t>dominującym kapitałem zagranicznym. Również udział przychodów netto ze sprzedaży produktów innowacyjnych jest wyższy</w:t>
      </w:r>
      <w:r w:rsidR="006343E1">
        <w:t xml:space="preserve"> w </w:t>
      </w:r>
      <w:r>
        <w:t>przypadku przedsiębiorstw</w:t>
      </w:r>
      <w:r w:rsidR="006343E1">
        <w:t xml:space="preserve"> z </w:t>
      </w:r>
      <w:r>
        <w:t>dominującym kapitałem zagranicznym (6,2% vs 3,5% wśród przedsiębiorstw</w:t>
      </w:r>
      <w:r w:rsidR="006343E1">
        <w:t xml:space="preserve"> z </w:t>
      </w:r>
      <w:r>
        <w:t>przewagą kapitału polskiego). Przedsiębiorstwa</w:t>
      </w:r>
      <w:r w:rsidR="006343E1">
        <w:t xml:space="preserve"> z </w:t>
      </w:r>
      <w:r>
        <w:t>przewagą kapitału zagranicznego</w:t>
      </w:r>
      <w:r w:rsidR="006343E1">
        <w:t xml:space="preserve"> w </w:t>
      </w:r>
      <w:r>
        <w:t>większym stopniu niż firmy</w:t>
      </w:r>
      <w:r w:rsidR="006343E1">
        <w:t xml:space="preserve"> z </w:t>
      </w:r>
      <w:r>
        <w:t xml:space="preserve">przewagą kapitału polskiego budują swoje przewagi komparatywne </w:t>
      </w:r>
      <w:r w:rsidR="00C962A5">
        <w:t>po</w:t>
      </w:r>
      <w:r>
        <w:t>przez sprzedaż innowacyjnych produktów. Przedsiębiorstwa</w:t>
      </w:r>
      <w:r w:rsidR="006343E1">
        <w:t xml:space="preserve"> z </w:t>
      </w:r>
      <w:r>
        <w:t>dominującym kapitałem zagranicznym odznaczają się wysokim odsetkiem udziału</w:t>
      </w:r>
      <w:r w:rsidR="006343E1">
        <w:t xml:space="preserve"> w </w:t>
      </w:r>
      <w:r>
        <w:t>sprzedaży produktów innowacyjnych w branżach uważanych za zaawansowane technologicznie</w:t>
      </w:r>
      <w:r w:rsidR="00C962A5">
        <w:t>,</w:t>
      </w:r>
      <w:r>
        <w:t xml:space="preserve"> tj. m.in.</w:t>
      </w:r>
      <w:r w:rsidR="00C962A5">
        <w:t xml:space="preserve"> w</w:t>
      </w:r>
      <w:r>
        <w:t xml:space="preserve"> produkcji pojazdów samochodowych, przyczep</w:t>
      </w:r>
      <w:r w:rsidR="006343E1">
        <w:t xml:space="preserve"> i </w:t>
      </w:r>
      <w:r>
        <w:t>naczep, produkcji urządzeń elektrycznych, produkcji komputerów, wyrobów elektronicznych i optycznych. Natomiast</w:t>
      </w:r>
      <w:r w:rsidR="006343E1">
        <w:t xml:space="preserve"> w </w:t>
      </w:r>
      <w:r>
        <w:t>przypadku przedsiębiorstw</w:t>
      </w:r>
      <w:r w:rsidR="006343E1">
        <w:t xml:space="preserve"> z </w:t>
      </w:r>
      <w:r>
        <w:t>dominującym kapitałem polskim wysoki udział charakteryzuje m.in. branże takie</w:t>
      </w:r>
      <w:r w:rsidR="00C962A5">
        <w:t>,</w:t>
      </w:r>
      <w:r>
        <w:t xml:space="preserve"> jak</w:t>
      </w:r>
      <w:r w:rsidR="00867CDF">
        <w:t>:</w:t>
      </w:r>
      <w:r>
        <w:t xml:space="preserve"> produkcja papieru</w:t>
      </w:r>
      <w:r w:rsidR="006343E1">
        <w:t xml:space="preserve"> i </w:t>
      </w:r>
      <w:r>
        <w:t>wyrobów</w:t>
      </w:r>
      <w:r w:rsidR="006343E1">
        <w:t xml:space="preserve"> z </w:t>
      </w:r>
      <w:r>
        <w:t>papieru, produkcja maszyn i urządzeń, produkcja pozostałego sprzętu transportowego oraz produkcja chemikaliów</w:t>
      </w:r>
      <w:r w:rsidR="006343E1">
        <w:t xml:space="preserve"> i </w:t>
      </w:r>
      <w:r>
        <w:t>wyrobów chemicznych.</w:t>
      </w:r>
    </w:p>
    <w:p w14:paraId="306BBBD5" w14:textId="0F57660A" w:rsidR="003C3957" w:rsidRDefault="003C3957" w:rsidP="00CB07D4">
      <w:pPr>
        <w:pStyle w:val="Nagwek4"/>
        <w:ind w:left="993" w:hanging="993"/>
      </w:pPr>
      <w:r>
        <w:lastRenderedPageBreak/>
        <w:t xml:space="preserve">Wykres </w:t>
      </w:r>
      <w:r w:rsidR="00FC6E8F">
        <w:t>81</w:t>
      </w:r>
      <w:r>
        <w:t>. Udział przychodów ze sprzedaży produktów nowych lub istotnie ulepszonych w przychodach ze sprzedaży</w:t>
      </w:r>
      <w:r w:rsidR="006343E1">
        <w:t xml:space="preserve"> w </w:t>
      </w:r>
      <w:r>
        <w:t>wybranych działach przetwórstwa przemysłowego</w:t>
      </w:r>
      <w:r w:rsidR="006343E1">
        <w:t xml:space="preserve"> w </w:t>
      </w:r>
      <w:r>
        <w:t>2016 r.</w:t>
      </w:r>
    </w:p>
    <w:p w14:paraId="30FC885F" w14:textId="1F29E6F3" w:rsidR="003C3957" w:rsidRDefault="003C3957" w:rsidP="003C3957">
      <w:pPr>
        <w:spacing w:after="0" w:line="240" w:lineRule="auto"/>
      </w:pPr>
      <w:r>
        <w:rPr>
          <w:noProof/>
          <w:lang w:eastAsia="pl-PL"/>
        </w:rPr>
        <w:drawing>
          <wp:inline distT="0" distB="0" distL="0" distR="0" wp14:anchorId="51D0166A" wp14:editId="05DD8AFE">
            <wp:extent cx="5553075" cy="3333750"/>
            <wp:effectExtent l="0" t="0" r="9525" b="0"/>
            <wp:docPr id="467" name="Obraz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19">
                      <a:extLst>
                        <a:ext uri="{28A0092B-C50C-407E-A947-70E740481C1C}">
                          <a14:useLocalDpi xmlns:a14="http://schemas.microsoft.com/office/drawing/2010/main" val="0"/>
                        </a:ext>
                      </a:extLst>
                    </a:blip>
                    <a:srcRect l="705" t="1384" r="1259" b="1384"/>
                    <a:stretch>
                      <a:fillRect/>
                    </a:stretch>
                  </pic:blipFill>
                  <pic:spPr bwMode="auto">
                    <a:xfrm>
                      <a:off x="0" y="0"/>
                      <a:ext cx="5553075" cy="3333750"/>
                    </a:xfrm>
                    <a:prstGeom prst="rect">
                      <a:avLst/>
                    </a:prstGeom>
                    <a:solidFill>
                      <a:srgbClr val="FFFFFF"/>
                    </a:solidFill>
                    <a:ln>
                      <a:noFill/>
                    </a:ln>
                  </pic:spPr>
                </pic:pic>
              </a:graphicData>
            </a:graphic>
          </wp:inline>
        </w:drawing>
      </w:r>
    </w:p>
    <w:p w14:paraId="599E3BA3" w14:textId="77777777" w:rsidR="00C962A5" w:rsidRDefault="00C962A5" w:rsidP="00CC26C8">
      <w:pPr>
        <w:pStyle w:val="Bezodstpw"/>
      </w:pPr>
    </w:p>
    <w:p w14:paraId="63087AFA" w14:textId="0DE569A9" w:rsidR="003C3957" w:rsidRDefault="003C3957" w:rsidP="00CC26C8">
      <w:pPr>
        <w:pStyle w:val="Bezodstpw"/>
      </w:pPr>
      <w:r>
        <w:t xml:space="preserve">Źródło: Opracowanie </w:t>
      </w:r>
      <w:r w:rsidR="003A56DA">
        <w:t>MRiT</w:t>
      </w:r>
      <w:r w:rsidR="003A5EA7">
        <w:t xml:space="preserve"> </w:t>
      </w:r>
      <w:r>
        <w:t>na podstawie danych GUS (2017)</w:t>
      </w:r>
    </w:p>
    <w:p w14:paraId="5762BA30" w14:textId="781CF972" w:rsidR="003C3957" w:rsidRDefault="003C3957" w:rsidP="003C3957">
      <w:pPr>
        <w:spacing w:after="0" w:line="240" w:lineRule="auto"/>
      </w:pPr>
      <w:r>
        <w:rPr>
          <w:rFonts w:cs="Calibri"/>
          <w:sz w:val="21"/>
          <w:szCs w:val="21"/>
        </w:rPr>
        <w:t>Jednym</w:t>
      </w:r>
      <w:r w:rsidR="006343E1">
        <w:rPr>
          <w:rFonts w:cs="Calibri"/>
          <w:sz w:val="21"/>
          <w:szCs w:val="21"/>
        </w:rPr>
        <w:t xml:space="preserve"> z </w:t>
      </w:r>
      <w:r>
        <w:rPr>
          <w:rFonts w:cs="Calibri"/>
          <w:sz w:val="21"/>
          <w:szCs w:val="21"/>
        </w:rPr>
        <w:t>globalnych trendów</w:t>
      </w:r>
      <w:r w:rsidR="006343E1">
        <w:rPr>
          <w:rFonts w:cs="Calibri"/>
          <w:sz w:val="21"/>
          <w:szCs w:val="21"/>
        </w:rPr>
        <w:t xml:space="preserve"> w </w:t>
      </w:r>
      <w:r>
        <w:rPr>
          <w:rFonts w:cs="Calibri"/>
          <w:sz w:val="21"/>
          <w:szCs w:val="21"/>
        </w:rPr>
        <w:t>procesach wytwórczych jest koncepcja czwartej rewolucji przemysłowej, czyli cyfryzacji przemysłu przy użyciu nowoczesnych</w:t>
      </w:r>
      <w:r w:rsidR="006343E1">
        <w:rPr>
          <w:rFonts w:cs="Calibri"/>
          <w:sz w:val="21"/>
          <w:szCs w:val="21"/>
        </w:rPr>
        <w:t xml:space="preserve"> i </w:t>
      </w:r>
      <w:r>
        <w:rPr>
          <w:rFonts w:cs="Calibri"/>
          <w:sz w:val="21"/>
          <w:szCs w:val="21"/>
        </w:rPr>
        <w:t>zawansowanych technologicznie rozwiązań</w:t>
      </w:r>
      <w:r w:rsidR="00832C27">
        <w:rPr>
          <w:rFonts w:cs="Calibri"/>
          <w:sz w:val="21"/>
          <w:szCs w:val="21"/>
        </w:rPr>
        <w:t>,</w:t>
      </w:r>
      <w:r>
        <w:rPr>
          <w:rFonts w:cs="Calibri"/>
          <w:sz w:val="21"/>
          <w:szCs w:val="21"/>
        </w:rPr>
        <w:t xml:space="preserve"> jak analizy Big Data, utrzymanie predyktywne, oczujnikowanie maszyn, Internet Rzeczy czy druk 3D. W</w:t>
      </w:r>
      <w:r w:rsidR="00832C27">
        <w:rPr>
          <w:rFonts w:cs="Calibri"/>
          <w:sz w:val="21"/>
          <w:szCs w:val="21"/>
        </w:rPr>
        <w:t>edłu</w:t>
      </w:r>
      <w:r>
        <w:rPr>
          <w:rFonts w:cs="Calibri"/>
          <w:sz w:val="21"/>
          <w:szCs w:val="21"/>
        </w:rPr>
        <w:t>g raportu ING (2017)</w:t>
      </w:r>
      <w:r w:rsidR="006343E1">
        <w:rPr>
          <w:rFonts w:cs="Calibri"/>
          <w:sz w:val="21"/>
          <w:szCs w:val="21"/>
        </w:rPr>
        <w:t xml:space="preserve"> w </w:t>
      </w:r>
      <w:r>
        <w:rPr>
          <w:rFonts w:cs="Calibri"/>
          <w:sz w:val="21"/>
          <w:szCs w:val="21"/>
        </w:rPr>
        <w:t>zależności od analizowanego scenariusza</w:t>
      </w:r>
      <w:r w:rsidR="006343E1">
        <w:rPr>
          <w:rFonts w:cs="Calibri"/>
          <w:sz w:val="21"/>
          <w:szCs w:val="21"/>
        </w:rPr>
        <w:t xml:space="preserve"> w </w:t>
      </w:r>
      <w:r>
        <w:rPr>
          <w:rFonts w:cs="Calibri"/>
          <w:sz w:val="21"/>
          <w:szCs w:val="21"/>
        </w:rPr>
        <w:t>2040 r. lub najpóźniej w 2060 r. aż 50% globalnej produkcji będzie wytwarzana na drukarkach 3D, co w</w:t>
      </w:r>
      <w:r w:rsidR="00832C27">
        <w:rPr>
          <w:rFonts w:cs="Calibri"/>
          <w:sz w:val="21"/>
          <w:szCs w:val="21"/>
        </w:rPr>
        <w:t>edłu</w:t>
      </w:r>
      <w:r>
        <w:rPr>
          <w:rFonts w:cs="Calibri"/>
          <w:sz w:val="21"/>
          <w:szCs w:val="21"/>
        </w:rPr>
        <w:t>g autorów może wpłynąć na zmiany</w:t>
      </w:r>
      <w:r w:rsidR="006343E1">
        <w:rPr>
          <w:rFonts w:cs="Calibri"/>
          <w:sz w:val="21"/>
          <w:szCs w:val="21"/>
        </w:rPr>
        <w:t xml:space="preserve"> w </w:t>
      </w:r>
      <w:r>
        <w:rPr>
          <w:rFonts w:cs="Calibri"/>
          <w:sz w:val="21"/>
          <w:szCs w:val="21"/>
        </w:rPr>
        <w:t>globalnej działalności eksportowej.</w:t>
      </w:r>
    </w:p>
    <w:p w14:paraId="018D9676" w14:textId="63F1A29F" w:rsidR="003C3957" w:rsidRDefault="003C3957" w:rsidP="003C3957">
      <w:pPr>
        <w:spacing w:after="0" w:line="240" w:lineRule="auto"/>
      </w:pPr>
      <w:r>
        <w:rPr>
          <w:rFonts w:cs="Calibri"/>
          <w:sz w:val="21"/>
          <w:szCs w:val="21"/>
        </w:rPr>
        <w:t>Usprawnienie procesów produkcyjnych jest ściśle związane</w:t>
      </w:r>
      <w:r w:rsidR="006343E1">
        <w:rPr>
          <w:rFonts w:cs="Calibri"/>
          <w:sz w:val="21"/>
          <w:szCs w:val="21"/>
        </w:rPr>
        <w:t xml:space="preserve"> z </w:t>
      </w:r>
      <w:r>
        <w:rPr>
          <w:rFonts w:cs="Calibri"/>
          <w:sz w:val="21"/>
          <w:szCs w:val="21"/>
        </w:rPr>
        <w:t xml:space="preserve">koncepcją </w:t>
      </w:r>
      <w:r w:rsidR="00313ECA">
        <w:rPr>
          <w:rFonts w:cs="Calibri"/>
          <w:sz w:val="21"/>
          <w:szCs w:val="21"/>
        </w:rPr>
        <w:t>p</w:t>
      </w:r>
      <w:r>
        <w:rPr>
          <w:rFonts w:cs="Calibri"/>
          <w:sz w:val="21"/>
          <w:szCs w:val="21"/>
        </w:rPr>
        <w:t>rzemysł 4.0.</w:t>
      </w:r>
      <w:r w:rsidR="00832C27">
        <w:rPr>
          <w:rFonts w:cs="Calibri"/>
          <w:sz w:val="21"/>
          <w:szCs w:val="21"/>
        </w:rPr>
        <w:t>;</w:t>
      </w:r>
      <w:r>
        <w:rPr>
          <w:rFonts w:cs="Calibri"/>
          <w:sz w:val="21"/>
          <w:szCs w:val="21"/>
        </w:rPr>
        <w:t xml:space="preserve"> jednym</w:t>
      </w:r>
      <w:r w:rsidR="006343E1">
        <w:rPr>
          <w:rFonts w:cs="Calibri"/>
          <w:sz w:val="21"/>
          <w:szCs w:val="21"/>
        </w:rPr>
        <w:t xml:space="preserve"> z </w:t>
      </w:r>
      <w:r>
        <w:rPr>
          <w:rFonts w:cs="Calibri"/>
          <w:sz w:val="21"/>
          <w:szCs w:val="21"/>
        </w:rPr>
        <w:t>jego elementów jest robotyzacja przemysłu. Obecny poziom robotyzacji polskiego przemysłu, jak wskazano w rozdziale 4</w:t>
      </w:r>
      <w:r w:rsidRPr="00867CDF">
        <w:rPr>
          <w:rFonts w:cs="Calibri"/>
          <w:sz w:val="21"/>
          <w:szCs w:val="21"/>
        </w:rPr>
        <w:t>.</w:t>
      </w:r>
      <w:r>
        <w:rPr>
          <w:rFonts w:cs="Calibri"/>
          <w:sz w:val="21"/>
          <w:szCs w:val="21"/>
        </w:rPr>
        <w:t>, jest jednym</w:t>
      </w:r>
      <w:r w:rsidR="006343E1">
        <w:rPr>
          <w:rFonts w:cs="Calibri"/>
          <w:sz w:val="21"/>
          <w:szCs w:val="21"/>
        </w:rPr>
        <w:t xml:space="preserve"> z </w:t>
      </w:r>
      <w:r>
        <w:rPr>
          <w:rFonts w:cs="Calibri"/>
          <w:sz w:val="21"/>
          <w:szCs w:val="21"/>
        </w:rPr>
        <w:t>najniższych</w:t>
      </w:r>
      <w:r w:rsidR="006343E1">
        <w:rPr>
          <w:rFonts w:cs="Calibri"/>
          <w:sz w:val="21"/>
          <w:szCs w:val="21"/>
        </w:rPr>
        <w:t xml:space="preserve"> w </w:t>
      </w:r>
      <w:r>
        <w:rPr>
          <w:rFonts w:cs="Calibri"/>
          <w:sz w:val="21"/>
          <w:szCs w:val="21"/>
        </w:rPr>
        <w:t>krajach unijnych. Wzrost robotyzacji jest konieczny, by mógł się odbyć proces przejścia przemysłu</w:t>
      </w:r>
      <w:r w:rsidR="006343E1">
        <w:rPr>
          <w:rFonts w:cs="Calibri"/>
          <w:sz w:val="21"/>
          <w:szCs w:val="21"/>
        </w:rPr>
        <w:t xml:space="preserve"> w </w:t>
      </w:r>
      <w:r>
        <w:rPr>
          <w:rFonts w:cs="Calibri"/>
          <w:sz w:val="21"/>
          <w:szCs w:val="21"/>
        </w:rPr>
        <w:t>kierunku inteligentnej reindustrializacji. Proces ten powinien się odbywać we wszystkich branżach przetwórstwa przemysłowego.</w:t>
      </w:r>
    </w:p>
    <w:p w14:paraId="2FD1EA3C" w14:textId="165C78EE" w:rsidR="003C3957" w:rsidRDefault="003C3957" w:rsidP="003C3957">
      <w:pPr>
        <w:spacing w:after="0" w:line="240" w:lineRule="auto"/>
      </w:pPr>
      <w:r>
        <w:rPr>
          <w:rFonts w:cs="Calibri"/>
          <w:sz w:val="21"/>
          <w:szCs w:val="21"/>
        </w:rPr>
        <w:t xml:space="preserve">Według wyników raportu </w:t>
      </w:r>
      <w:r w:rsidRPr="00CB07D4">
        <w:rPr>
          <w:i/>
          <w:sz w:val="21"/>
        </w:rPr>
        <w:t>Smart Industry Polska 2019</w:t>
      </w:r>
      <w:r>
        <w:rPr>
          <w:rFonts w:cs="Calibri"/>
          <w:b/>
          <w:sz w:val="21"/>
          <w:szCs w:val="21"/>
        </w:rPr>
        <w:t xml:space="preserve"> </w:t>
      </w:r>
      <w:r>
        <w:rPr>
          <w:rFonts w:cs="Calibri"/>
          <w:sz w:val="21"/>
          <w:szCs w:val="21"/>
        </w:rPr>
        <w:t>(Siemens, 2019) blisko 1/3 badanych firm zadeklarowało</w:t>
      </w:r>
      <w:r w:rsidR="00477C54">
        <w:rPr>
          <w:rFonts w:cs="Calibri"/>
          <w:sz w:val="21"/>
          <w:szCs w:val="21"/>
        </w:rPr>
        <w:t>, że </w:t>
      </w:r>
      <w:r w:rsidR="006343E1">
        <w:rPr>
          <w:rFonts w:cs="Calibri"/>
          <w:sz w:val="21"/>
          <w:szCs w:val="21"/>
        </w:rPr>
        <w:t>w </w:t>
      </w:r>
      <w:r>
        <w:rPr>
          <w:rFonts w:cs="Calibri"/>
          <w:sz w:val="21"/>
          <w:szCs w:val="21"/>
        </w:rPr>
        <w:t>ich firmach są wykorzystywane innowacyjne technologie oparte na informatyzacji i automatyzacji procesów produkcyjnych zgodne</w:t>
      </w:r>
      <w:r w:rsidR="006343E1">
        <w:rPr>
          <w:rFonts w:cs="Calibri"/>
          <w:sz w:val="21"/>
          <w:szCs w:val="21"/>
        </w:rPr>
        <w:t xml:space="preserve"> z </w:t>
      </w:r>
      <w:r>
        <w:rPr>
          <w:rFonts w:cs="Calibri"/>
          <w:sz w:val="21"/>
          <w:szCs w:val="21"/>
        </w:rPr>
        <w:t>koncepcją Przemysł 4.0. Ponad 38% badanych planuje je wdrożyć</w:t>
      </w:r>
      <w:r w:rsidR="006343E1">
        <w:rPr>
          <w:rFonts w:cs="Calibri"/>
          <w:sz w:val="21"/>
          <w:szCs w:val="21"/>
        </w:rPr>
        <w:t xml:space="preserve"> w </w:t>
      </w:r>
      <w:r>
        <w:rPr>
          <w:rFonts w:cs="Calibri"/>
          <w:sz w:val="21"/>
          <w:szCs w:val="21"/>
        </w:rPr>
        <w:t>ciągu najbliższych 3 lat. Decyzje</w:t>
      </w:r>
      <w:r w:rsidR="006343E1">
        <w:rPr>
          <w:rFonts w:cs="Calibri"/>
          <w:sz w:val="21"/>
          <w:szCs w:val="21"/>
        </w:rPr>
        <w:t xml:space="preserve"> o </w:t>
      </w:r>
      <w:r>
        <w:rPr>
          <w:rFonts w:cs="Calibri"/>
          <w:sz w:val="21"/>
          <w:szCs w:val="21"/>
        </w:rPr>
        <w:t>inwestowaniu</w:t>
      </w:r>
      <w:r w:rsidR="006343E1">
        <w:rPr>
          <w:rFonts w:cs="Calibri"/>
          <w:sz w:val="21"/>
          <w:szCs w:val="21"/>
        </w:rPr>
        <w:t xml:space="preserve"> w </w:t>
      </w:r>
      <w:r>
        <w:rPr>
          <w:rFonts w:cs="Calibri"/>
          <w:sz w:val="21"/>
          <w:szCs w:val="21"/>
        </w:rPr>
        <w:t>takie rozwiązania są podyktowane przede wszystkim potrzebą obniżenia kosztów produkcji (35,5%) oraz uzyskania przewagi konkurencyjnej na rynku (22,6%)</w:t>
      </w:r>
      <w:r w:rsidR="00477C54">
        <w:rPr>
          <w:rFonts w:cs="Calibri"/>
          <w:sz w:val="21"/>
          <w:szCs w:val="21"/>
        </w:rPr>
        <w:t>. Do </w:t>
      </w:r>
      <w:r>
        <w:rPr>
          <w:rFonts w:cs="Calibri"/>
          <w:sz w:val="21"/>
          <w:szCs w:val="21"/>
          <w:lang w:eastAsia="pl-PL"/>
        </w:rPr>
        <w:t>najważniejszych oczekiwanych korzyści wynikając</w:t>
      </w:r>
      <w:r w:rsidR="00832C27">
        <w:rPr>
          <w:rFonts w:cs="Calibri"/>
          <w:sz w:val="21"/>
          <w:szCs w:val="21"/>
          <w:lang w:eastAsia="pl-PL"/>
        </w:rPr>
        <w:t>ych</w:t>
      </w:r>
      <w:r w:rsidR="006343E1">
        <w:rPr>
          <w:rFonts w:cs="Calibri"/>
          <w:sz w:val="21"/>
          <w:szCs w:val="21"/>
          <w:lang w:eastAsia="pl-PL"/>
        </w:rPr>
        <w:t xml:space="preserve"> z </w:t>
      </w:r>
      <w:r>
        <w:rPr>
          <w:rFonts w:cs="Calibri"/>
          <w:sz w:val="21"/>
          <w:szCs w:val="21"/>
          <w:lang w:eastAsia="pl-PL"/>
        </w:rPr>
        <w:t>wdrożenia innowacji, w</w:t>
      </w:r>
      <w:r w:rsidR="00832C27">
        <w:rPr>
          <w:rFonts w:cs="Calibri"/>
          <w:sz w:val="21"/>
          <w:szCs w:val="21"/>
          <w:lang w:eastAsia="pl-PL"/>
        </w:rPr>
        <w:t>edłu</w:t>
      </w:r>
      <w:r>
        <w:rPr>
          <w:rFonts w:cs="Calibri"/>
          <w:sz w:val="21"/>
          <w:szCs w:val="21"/>
          <w:lang w:eastAsia="pl-PL"/>
        </w:rPr>
        <w:t>g respondentów badania, należ</w:t>
      </w:r>
      <w:r w:rsidR="00832C27">
        <w:rPr>
          <w:rFonts w:cs="Calibri"/>
          <w:sz w:val="21"/>
          <w:szCs w:val="21"/>
          <w:lang w:eastAsia="pl-PL"/>
        </w:rPr>
        <w:t>ą</w:t>
      </w:r>
      <w:r>
        <w:rPr>
          <w:rFonts w:cs="Calibri"/>
          <w:sz w:val="21"/>
          <w:szCs w:val="21"/>
          <w:lang w:eastAsia="pl-PL"/>
        </w:rPr>
        <w:t xml:space="preserve"> zwiększenie rentowności produkcji (85%), wzrost przychodów (82,5%)</w:t>
      </w:r>
      <w:r w:rsidR="006343E1">
        <w:rPr>
          <w:rFonts w:cs="Calibri"/>
          <w:sz w:val="21"/>
          <w:szCs w:val="21"/>
          <w:lang w:eastAsia="pl-PL"/>
        </w:rPr>
        <w:t xml:space="preserve"> i </w:t>
      </w:r>
      <w:r>
        <w:rPr>
          <w:rFonts w:cs="Calibri"/>
          <w:sz w:val="21"/>
          <w:szCs w:val="21"/>
          <w:lang w:eastAsia="pl-PL"/>
        </w:rPr>
        <w:t>pozyskanie nowych klientów (80%) (Siemens, 2018).</w:t>
      </w:r>
    </w:p>
    <w:p w14:paraId="2313D093" w14:textId="2F57C5D4" w:rsidR="003C3957" w:rsidRPr="00CB07D4" w:rsidRDefault="003C3957" w:rsidP="003C3957">
      <w:pPr>
        <w:spacing w:after="0" w:line="240" w:lineRule="auto"/>
        <w:rPr>
          <w:sz w:val="21"/>
        </w:rPr>
      </w:pPr>
      <w:r>
        <w:rPr>
          <w:rFonts w:cs="Calibri"/>
          <w:sz w:val="21"/>
          <w:szCs w:val="21"/>
          <w:lang w:eastAsia="pl-PL"/>
        </w:rPr>
        <w:t>Najczęściej stosowanymi technologiami</w:t>
      </w:r>
      <w:r w:rsidR="006343E1">
        <w:rPr>
          <w:rFonts w:cs="Calibri"/>
          <w:sz w:val="21"/>
          <w:szCs w:val="21"/>
          <w:lang w:eastAsia="pl-PL"/>
        </w:rPr>
        <w:t xml:space="preserve"> i </w:t>
      </w:r>
      <w:r>
        <w:rPr>
          <w:rFonts w:cs="Calibri"/>
          <w:sz w:val="21"/>
          <w:szCs w:val="21"/>
          <w:lang w:eastAsia="pl-PL"/>
        </w:rPr>
        <w:t>rozwiązaniami wspierającymi innowacyjność</w:t>
      </w:r>
      <w:r w:rsidR="006343E1">
        <w:rPr>
          <w:rFonts w:cs="Calibri"/>
          <w:sz w:val="21"/>
          <w:szCs w:val="21"/>
          <w:lang w:eastAsia="pl-PL"/>
        </w:rPr>
        <w:t xml:space="preserve"> w </w:t>
      </w:r>
      <w:r>
        <w:rPr>
          <w:rFonts w:cs="Calibri"/>
          <w:sz w:val="21"/>
          <w:szCs w:val="21"/>
          <w:lang w:eastAsia="pl-PL"/>
        </w:rPr>
        <w:t>badanych firmach były: automatyzacja linii produkcyjnych, analityka danych nakierowana na optymalizację produkcji</w:t>
      </w:r>
      <w:r w:rsidR="006343E1">
        <w:rPr>
          <w:rFonts w:cs="Calibri"/>
          <w:sz w:val="21"/>
          <w:szCs w:val="21"/>
          <w:lang w:eastAsia="pl-PL"/>
        </w:rPr>
        <w:t xml:space="preserve"> i </w:t>
      </w:r>
      <w:r>
        <w:rPr>
          <w:rFonts w:cs="Calibri"/>
          <w:sz w:val="21"/>
          <w:szCs w:val="21"/>
          <w:lang w:eastAsia="pl-PL"/>
        </w:rPr>
        <w:t>oprogramowanie obniżające koszty prototypowania oraz wprowadzania nowych produktów.</w:t>
      </w:r>
      <w:r w:rsidR="006343E1">
        <w:rPr>
          <w:rFonts w:cs="Calibri"/>
          <w:sz w:val="21"/>
          <w:szCs w:val="21"/>
          <w:lang w:eastAsia="pl-PL"/>
        </w:rPr>
        <w:t xml:space="preserve"> Z </w:t>
      </w:r>
      <w:r>
        <w:rPr>
          <w:rFonts w:cs="Calibri"/>
          <w:sz w:val="21"/>
          <w:szCs w:val="21"/>
          <w:lang w:eastAsia="pl-PL"/>
        </w:rPr>
        <w:t>reguły odsetki wskazań rosną wraz</w:t>
      </w:r>
      <w:r w:rsidR="006343E1">
        <w:rPr>
          <w:rFonts w:cs="Calibri"/>
          <w:sz w:val="21"/>
          <w:szCs w:val="21"/>
          <w:lang w:eastAsia="pl-PL"/>
        </w:rPr>
        <w:t xml:space="preserve"> z </w:t>
      </w:r>
      <w:r>
        <w:rPr>
          <w:rFonts w:cs="Calibri"/>
          <w:sz w:val="21"/>
          <w:szCs w:val="21"/>
          <w:lang w:eastAsia="pl-PL"/>
        </w:rPr>
        <w:t>wielkością podmiotu, dlatego też za interesujące należy uznać wykorzystywanie drukowania 3D. Odsetek wskazań mikroprzedsiębiorstw</w:t>
      </w:r>
      <w:r w:rsidR="006343E1">
        <w:rPr>
          <w:rFonts w:cs="Calibri"/>
          <w:sz w:val="21"/>
          <w:szCs w:val="21"/>
          <w:lang w:eastAsia="pl-PL"/>
        </w:rPr>
        <w:t xml:space="preserve"> o </w:t>
      </w:r>
      <w:r>
        <w:rPr>
          <w:rFonts w:cs="Calibri"/>
          <w:sz w:val="21"/>
          <w:szCs w:val="21"/>
          <w:lang w:eastAsia="pl-PL"/>
        </w:rPr>
        <w:t>8 p</w:t>
      </w:r>
      <w:r w:rsidR="00832C27">
        <w:rPr>
          <w:rFonts w:cs="Calibri"/>
          <w:sz w:val="21"/>
          <w:szCs w:val="21"/>
          <w:lang w:eastAsia="pl-PL"/>
        </w:rPr>
        <w:t>kt</w:t>
      </w:r>
      <w:r>
        <w:rPr>
          <w:rFonts w:cs="Calibri"/>
          <w:sz w:val="21"/>
          <w:szCs w:val="21"/>
          <w:lang w:eastAsia="pl-PL"/>
        </w:rPr>
        <w:t>.</w:t>
      </w:r>
      <w:r w:rsidR="00832C27">
        <w:rPr>
          <w:rFonts w:cs="Calibri"/>
          <w:sz w:val="21"/>
          <w:szCs w:val="21"/>
          <w:lang w:eastAsia="pl-PL"/>
        </w:rPr>
        <w:t xml:space="preserve"> </w:t>
      </w:r>
      <w:r>
        <w:rPr>
          <w:rFonts w:cs="Calibri"/>
          <w:sz w:val="21"/>
          <w:szCs w:val="21"/>
          <w:lang w:eastAsia="pl-PL"/>
        </w:rPr>
        <w:t>p</w:t>
      </w:r>
      <w:r w:rsidR="00832C27">
        <w:rPr>
          <w:rFonts w:cs="Calibri"/>
          <w:sz w:val="21"/>
          <w:szCs w:val="21"/>
          <w:lang w:eastAsia="pl-PL"/>
        </w:rPr>
        <w:t>roc</w:t>
      </w:r>
      <w:r>
        <w:rPr>
          <w:rFonts w:cs="Calibri"/>
          <w:sz w:val="21"/>
          <w:szCs w:val="21"/>
          <w:lang w:eastAsia="pl-PL"/>
        </w:rPr>
        <w:t>. przewyższa średnią dla całego sektora MŚP, co może być wynikiem ich większej koncentracji na niszowych produktach</w:t>
      </w:r>
      <w:r w:rsidR="006343E1">
        <w:rPr>
          <w:rFonts w:cs="Calibri"/>
          <w:sz w:val="21"/>
          <w:szCs w:val="21"/>
          <w:lang w:eastAsia="pl-PL"/>
        </w:rPr>
        <w:t xml:space="preserve"> i </w:t>
      </w:r>
      <w:r>
        <w:rPr>
          <w:rFonts w:cs="Calibri"/>
          <w:sz w:val="21"/>
          <w:szCs w:val="21"/>
          <w:lang w:eastAsia="pl-PL"/>
        </w:rPr>
        <w:t xml:space="preserve">bardziej spersonalizowanej ofercie. </w:t>
      </w:r>
      <w:r>
        <w:rPr>
          <w:rFonts w:cs="Times New Roman"/>
          <w:sz w:val="21"/>
          <w:szCs w:val="21"/>
        </w:rPr>
        <w:t>Wśród najważniejszych barier ograniczających adaptację technologii ankietowani</w:t>
      </w:r>
      <w:r w:rsidR="006343E1">
        <w:rPr>
          <w:rFonts w:cs="Times New Roman"/>
          <w:sz w:val="21"/>
          <w:szCs w:val="21"/>
        </w:rPr>
        <w:t xml:space="preserve"> w </w:t>
      </w:r>
      <w:r>
        <w:rPr>
          <w:rFonts w:cs="Times New Roman"/>
          <w:sz w:val="21"/>
          <w:szCs w:val="21"/>
        </w:rPr>
        <w:t>2018 r. przedsiębiorcy wymienili braki środków finansowych (ok.</w:t>
      </w:r>
      <w:r w:rsidR="00832C27">
        <w:rPr>
          <w:rFonts w:cs="Times New Roman"/>
          <w:sz w:val="21"/>
          <w:szCs w:val="21"/>
        </w:rPr>
        <w:t> </w:t>
      </w:r>
      <w:r>
        <w:rPr>
          <w:rFonts w:cs="Times New Roman"/>
          <w:sz w:val="21"/>
          <w:szCs w:val="21"/>
        </w:rPr>
        <w:t>65%), brak czasu (62%)</w:t>
      </w:r>
      <w:r w:rsidR="006343E1">
        <w:rPr>
          <w:rFonts w:cs="Times New Roman"/>
          <w:sz w:val="21"/>
          <w:szCs w:val="21"/>
        </w:rPr>
        <w:t xml:space="preserve"> i </w:t>
      </w:r>
      <w:r>
        <w:rPr>
          <w:rFonts w:cs="Times New Roman"/>
          <w:sz w:val="21"/>
          <w:szCs w:val="21"/>
        </w:rPr>
        <w:t xml:space="preserve">brak wykwalifikowanej kadry (53%). </w:t>
      </w:r>
      <w:r>
        <w:rPr>
          <w:rFonts w:cs="Calibri"/>
          <w:sz w:val="21"/>
          <w:szCs w:val="21"/>
          <w:lang w:eastAsia="pl-PL"/>
        </w:rPr>
        <w:t>W 2019 r. natomiast relatywnie najczęściej wskazywaną barierą implementacji strategii</w:t>
      </w:r>
      <w:r w:rsidR="00AF2A9A">
        <w:rPr>
          <w:rFonts w:cs="Calibri"/>
          <w:sz w:val="21"/>
          <w:szCs w:val="21"/>
          <w:lang w:eastAsia="pl-PL"/>
        </w:rPr>
        <w:t xml:space="preserve"> transformacji do przemysłu 4.0</w:t>
      </w:r>
      <w:r>
        <w:rPr>
          <w:rFonts w:cs="Calibri"/>
          <w:sz w:val="21"/>
          <w:szCs w:val="21"/>
          <w:lang w:eastAsia="pl-PL"/>
        </w:rPr>
        <w:t xml:space="preserve"> w firmach respondentów była konieczność zatrudniania nowych, odpowiednio wykwalifikowanych specjalistów (53%),</w:t>
      </w:r>
      <w:r w:rsidR="006343E1">
        <w:rPr>
          <w:rFonts w:cs="Calibri"/>
          <w:sz w:val="21"/>
          <w:szCs w:val="21"/>
          <w:lang w:eastAsia="pl-PL"/>
        </w:rPr>
        <w:t xml:space="preserve"> w </w:t>
      </w:r>
      <w:r>
        <w:rPr>
          <w:rFonts w:cs="Calibri"/>
          <w:sz w:val="21"/>
          <w:szCs w:val="21"/>
          <w:lang w:eastAsia="pl-PL"/>
        </w:rPr>
        <w:t xml:space="preserve">następnej kolejności wymieniano brak </w:t>
      </w:r>
      <w:r>
        <w:rPr>
          <w:rFonts w:cs="Calibri"/>
          <w:sz w:val="21"/>
          <w:szCs w:val="21"/>
          <w:lang w:eastAsia="pl-PL"/>
        </w:rPr>
        <w:lastRenderedPageBreak/>
        <w:t>środków oraz brak wykwalifikowanych pracowników, zdolnych do oszacowania potencjału</w:t>
      </w:r>
      <w:r w:rsidR="00832C27">
        <w:rPr>
          <w:rFonts w:cs="Calibri"/>
          <w:sz w:val="21"/>
          <w:szCs w:val="21"/>
          <w:lang w:eastAsia="pl-PL"/>
        </w:rPr>
        <w:t>,</w:t>
      </w:r>
      <w:r>
        <w:rPr>
          <w:rFonts w:cs="Calibri"/>
          <w:sz w:val="21"/>
          <w:szCs w:val="21"/>
          <w:lang w:eastAsia="pl-PL"/>
        </w:rPr>
        <w:t xml:space="preserve"> jaki leży we wdrożeniu rozwiązań </w:t>
      </w:r>
      <w:r w:rsidR="00832C27">
        <w:rPr>
          <w:rFonts w:cs="Calibri"/>
          <w:sz w:val="21"/>
          <w:szCs w:val="21"/>
          <w:lang w:eastAsia="pl-PL"/>
        </w:rPr>
        <w:t xml:space="preserve">strategii </w:t>
      </w:r>
      <w:r w:rsidRPr="00CB07D4">
        <w:rPr>
          <w:i/>
          <w:sz w:val="21"/>
        </w:rPr>
        <w:t>Przemysł 4.0</w:t>
      </w:r>
      <w:r>
        <w:rPr>
          <w:rFonts w:cs="Calibri"/>
          <w:sz w:val="21"/>
          <w:szCs w:val="21"/>
          <w:lang w:eastAsia="pl-PL"/>
        </w:rPr>
        <w:t xml:space="preserve"> w odniesieniu do działalności firmy.</w:t>
      </w:r>
    </w:p>
    <w:p w14:paraId="4A354F09" w14:textId="38EC077F" w:rsidR="003C3957" w:rsidRDefault="003C3957" w:rsidP="00CC26C8">
      <w:pPr>
        <w:pStyle w:val="Nagwek4"/>
      </w:pPr>
      <w:r>
        <w:t xml:space="preserve">Wykres </w:t>
      </w:r>
      <w:r w:rsidR="000935B2">
        <w:t>8</w:t>
      </w:r>
      <w:r w:rsidR="00FC6E8F">
        <w:t>2</w:t>
      </w:r>
      <w:r>
        <w:t xml:space="preserve">. </w:t>
      </w:r>
      <w:r>
        <w:rPr>
          <w:lang w:eastAsia="pl-PL"/>
        </w:rPr>
        <w:t>Technologie wykorzystywane</w:t>
      </w:r>
      <w:r w:rsidR="006343E1">
        <w:rPr>
          <w:lang w:eastAsia="pl-PL"/>
        </w:rPr>
        <w:t xml:space="preserve"> w </w:t>
      </w:r>
      <w:r>
        <w:rPr>
          <w:lang w:eastAsia="pl-PL"/>
        </w:rPr>
        <w:t>przedsiębiorstwach</w:t>
      </w:r>
    </w:p>
    <w:p w14:paraId="7A25F43B" w14:textId="0B1BC18A" w:rsidR="003C3957" w:rsidRDefault="003C3957" w:rsidP="003C3957">
      <w:pPr>
        <w:spacing w:after="0" w:line="240" w:lineRule="auto"/>
        <w:rPr>
          <w:rFonts w:cs="Calibri"/>
          <w:i/>
          <w:sz w:val="21"/>
          <w:szCs w:val="21"/>
          <w:lang w:eastAsia="pl-PL"/>
        </w:rPr>
      </w:pPr>
      <w:r>
        <w:rPr>
          <w:noProof/>
          <w:lang w:eastAsia="pl-PL"/>
        </w:rPr>
        <w:drawing>
          <wp:inline distT="0" distB="0" distL="0" distR="0" wp14:anchorId="36F8CC8E" wp14:editId="3E7E3749">
            <wp:extent cx="4238625" cy="2695575"/>
            <wp:effectExtent l="0" t="0" r="9525" b="9525"/>
            <wp:docPr id="466" name="Obraz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20" cstate="print">
                      <a:extLst>
                        <a:ext uri="{28A0092B-C50C-407E-A947-70E740481C1C}">
                          <a14:useLocalDpi xmlns:a14="http://schemas.microsoft.com/office/drawing/2010/main" val="0"/>
                        </a:ext>
                      </a:extLst>
                    </a:blip>
                    <a:srcRect l="887" t="2167" r="1932" b="1622"/>
                    <a:stretch>
                      <a:fillRect/>
                    </a:stretch>
                  </pic:blipFill>
                  <pic:spPr bwMode="auto">
                    <a:xfrm>
                      <a:off x="0" y="0"/>
                      <a:ext cx="4238625" cy="2695575"/>
                    </a:xfrm>
                    <a:prstGeom prst="rect">
                      <a:avLst/>
                    </a:prstGeom>
                    <a:solidFill>
                      <a:srgbClr val="FFFFFF"/>
                    </a:solidFill>
                    <a:ln>
                      <a:noFill/>
                    </a:ln>
                  </pic:spPr>
                </pic:pic>
              </a:graphicData>
            </a:graphic>
          </wp:inline>
        </w:drawing>
      </w:r>
    </w:p>
    <w:p w14:paraId="208F9B61" w14:textId="77777777" w:rsidR="00832C27" w:rsidRDefault="00832C27" w:rsidP="00CC26C8">
      <w:pPr>
        <w:pStyle w:val="Bezodstpw"/>
        <w:rPr>
          <w:lang w:eastAsia="pl-PL"/>
        </w:rPr>
      </w:pPr>
    </w:p>
    <w:p w14:paraId="1D17696E" w14:textId="3E38F00D" w:rsidR="003C3957" w:rsidRDefault="003C3957" w:rsidP="00CC26C8">
      <w:pPr>
        <w:pStyle w:val="Bezodstpw"/>
      </w:pPr>
      <w:r>
        <w:rPr>
          <w:lang w:eastAsia="pl-PL"/>
        </w:rPr>
        <w:t xml:space="preserve">Źródło: Opracowanie </w:t>
      </w:r>
      <w:r w:rsidR="003A56DA">
        <w:rPr>
          <w:lang w:eastAsia="pl-PL"/>
        </w:rPr>
        <w:t>MRiT</w:t>
      </w:r>
      <w:r w:rsidR="003A5EA7">
        <w:rPr>
          <w:lang w:eastAsia="pl-PL"/>
        </w:rPr>
        <w:t xml:space="preserve"> </w:t>
      </w:r>
      <w:r>
        <w:rPr>
          <w:lang w:eastAsia="pl-PL"/>
        </w:rPr>
        <w:t>na podstawie Siemens (2018)</w:t>
      </w:r>
    </w:p>
    <w:p w14:paraId="26346D51" w14:textId="27F50087" w:rsidR="003C3957" w:rsidRDefault="003C3957" w:rsidP="003C3957">
      <w:pPr>
        <w:spacing w:after="0" w:line="240" w:lineRule="auto"/>
      </w:pPr>
      <w:r>
        <w:rPr>
          <w:rFonts w:cs="Calibri"/>
          <w:sz w:val="21"/>
          <w:szCs w:val="21"/>
        </w:rPr>
        <w:t xml:space="preserve">W 2014 r. Rada Ministrów przyjęła dokument pn. </w:t>
      </w:r>
      <w:r w:rsidRPr="00CB07D4">
        <w:rPr>
          <w:i/>
          <w:sz w:val="21"/>
        </w:rPr>
        <w:t>Krajowa Inteligentna Specjalizacja</w:t>
      </w:r>
      <w:r>
        <w:rPr>
          <w:rFonts w:cs="Calibri"/>
          <w:sz w:val="21"/>
          <w:szCs w:val="21"/>
        </w:rPr>
        <w:t xml:space="preserve"> (KIS), którego celem jest określenie priorytetów gospodarczych</w:t>
      </w:r>
      <w:r w:rsidR="006343E1">
        <w:rPr>
          <w:rFonts w:cs="Calibri"/>
          <w:sz w:val="21"/>
          <w:szCs w:val="21"/>
        </w:rPr>
        <w:t xml:space="preserve"> w </w:t>
      </w:r>
      <w:r>
        <w:rPr>
          <w:rFonts w:cs="Calibri"/>
          <w:sz w:val="21"/>
          <w:szCs w:val="21"/>
        </w:rPr>
        <w:t>obszarze badań naukowych, prac rozwojowych</w:t>
      </w:r>
      <w:r w:rsidR="006343E1">
        <w:rPr>
          <w:rFonts w:cs="Calibri"/>
          <w:sz w:val="21"/>
          <w:szCs w:val="21"/>
        </w:rPr>
        <w:t xml:space="preserve"> i </w:t>
      </w:r>
      <w:r>
        <w:rPr>
          <w:rFonts w:cs="Calibri"/>
          <w:sz w:val="21"/>
          <w:szCs w:val="21"/>
        </w:rPr>
        <w:t>innowacyjności (B+R+I) oraz skupienie inwestycji</w:t>
      </w:r>
      <w:r w:rsidR="006343E1">
        <w:rPr>
          <w:rFonts w:cs="Calibri"/>
          <w:sz w:val="21"/>
          <w:szCs w:val="21"/>
        </w:rPr>
        <w:t xml:space="preserve"> w </w:t>
      </w:r>
      <w:r>
        <w:rPr>
          <w:rFonts w:cs="Calibri"/>
          <w:sz w:val="21"/>
          <w:szCs w:val="21"/>
        </w:rPr>
        <w:t>obszarach zapewniających zwiększenie wartości dodanej gospodarki</w:t>
      </w:r>
      <w:r w:rsidR="006343E1">
        <w:rPr>
          <w:rFonts w:cs="Calibri"/>
          <w:sz w:val="21"/>
          <w:szCs w:val="21"/>
        </w:rPr>
        <w:t xml:space="preserve"> i </w:t>
      </w:r>
      <w:r>
        <w:rPr>
          <w:rFonts w:cs="Calibri"/>
          <w:sz w:val="21"/>
          <w:szCs w:val="21"/>
        </w:rPr>
        <w:t>jej konkurencyjności na rynkach zagranicznych. Inteligentne specjalizacje mają przyczyniać się do transformacji gospodarki krajowej poprzez jej unowocześnianie, przekształcanie strukturalne, zróżnicowanie produktów</w:t>
      </w:r>
      <w:r w:rsidR="006343E1">
        <w:rPr>
          <w:rFonts w:cs="Calibri"/>
          <w:sz w:val="21"/>
          <w:szCs w:val="21"/>
        </w:rPr>
        <w:t xml:space="preserve"> i </w:t>
      </w:r>
      <w:r>
        <w:rPr>
          <w:rFonts w:cs="Calibri"/>
          <w:sz w:val="21"/>
          <w:szCs w:val="21"/>
        </w:rPr>
        <w:t>usług oraz tworzenie innowacyjnych rozwiązań społeczno-gospodarczych, również wspierających transformację</w:t>
      </w:r>
      <w:r w:rsidR="006343E1">
        <w:rPr>
          <w:rFonts w:cs="Calibri"/>
          <w:sz w:val="21"/>
          <w:szCs w:val="21"/>
        </w:rPr>
        <w:t xml:space="preserve"> w </w:t>
      </w:r>
      <w:r>
        <w:rPr>
          <w:rFonts w:cs="Calibri"/>
          <w:sz w:val="21"/>
          <w:szCs w:val="21"/>
        </w:rPr>
        <w:t>kierunku gospodarki efektywnie wykorzystującej zasoby,</w:t>
      </w:r>
      <w:r w:rsidR="006343E1">
        <w:rPr>
          <w:rFonts w:cs="Calibri"/>
          <w:sz w:val="21"/>
          <w:szCs w:val="21"/>
        </w:rPr>
        <w:t xml:space="preserve"> w </w:t>
      </w:r>
      <w:r>
        <w:rPr>
          <w:rFonts w:cs="Calibri"/>
          <w:sz w:val="21"/>
          <w:szCs w:val="21"/>
        </w:rPr>
        <w:t>tym surowce naturalne.</w:t>
      </w:r>
    </w:p>
    <w:p w14:paraId="4452736C" w14:textId="610F4CC9" w:rsidR="003C3957" w:rsidRDefault="003C3957" w:rsidP="003C3957">
      <w:pPr>
        <w:spacing w:after="0" w:line="240" w:lineRule="auto"/>
      </w:pPr>
      <w:r>
        <w:rPr>
          <w:rFonts w:cs="Calibri"/>
          <w:sz w:val="21"/>
          <w:szCs w:val="21"/>
        </w:rPr>
        <w:t>Wciąż szerokie ujęcie obszarów technologicznych (17 krajowych inteligentnych specjalizacji) wymusza, tam gdzie to niezbędne, dalszą koncentrację wsparcia (zgodnie</w:t>
      </w:r>
      <w:r w:rsidR="006343E1">
        <w:rPr>
          <w:rFonts w:cs="Calibri"/>
          <w:sz w:val="21"/>
          <w:szCs w:val="21"/>
        </w:rPr>
        <w:t xml:space="preserve"> z </w:t>
      </w:r>
      <w:r>
        <w:rPr>
          <w:rFonts w:cs="Calibri"/>
          <w:sz w:val="21"/>
          <w:szCs w:val="21"/>
        </w:rPr>
        <w:t>zarysowaną</w:t>
      </w:r>
      <w:r w:rsidR="006343E1">
        <w:rPr>
          <w:rFonts w:cs="Calibri"/>
          <w:sz w:val="21"/>
          <w:szCs w:val="21"/>
        </w:rPr>
        <w:t xml:space="preserve"> w </w:t>
      </w:r>
      <w:r>
        <w:rPr>
          <w:rFonts w:cs="Calibri"/>
          <w:sz w:val="21"/>
          <w:szCs w:val="21"/>
        </w:rPr>
        <w:t>SOR zasadą selektywnego podejścia), która może być realizowana –</w:t>
      </w:r>
      <w:r w:rsidR="006343E1">
        <w:rPr>
          <w:rFonts w:cs="Calibri"/>
          <w:sz w:val="21"/>
          <w:szCs w:val="21"/>
        </w:rPr>
        <w:t xml:space="preserve"> w </w:t>
      </w:r>
      <w:r>
        <w:rPr>
          <w:rFonts w:cs="Calibri"/>
          <w:sz w:val="21"/>
          <w:szCs w:val="21"/>
        </w:rPr>
        <w:t>odniesieniu do KIS – za pomocą np. programów pierwszej prędkości.</w:t>
      </w:r>
    </w:p>
    <w:p w14:paraId="2A22DC83" w14:textId="77777777" w:rsidR="003C3957" w:rsidRDefault="003C3957" w:rsidP="003C3957">
      <w:pPr>
        <w:pStyle w:val="Nagwek2"/>
      </w:pPr>
      <w:bookmarkStart w:id="148" w:name="_Toc31808528"/>
      <w:bookmarkStart w:id="149" w:name="_Toc106968812"/>
      <w:r>
        <w:t>Sektor kosmiczny</w:t>
      </w:r>
      <w:bookmarkEnd w:id="148"/>
      <w:bookmarkEnd w:id="149"/>
    </w:p>
    <w:p w14:paraId="1672651C" w14:textId="653108EF" w:rsidR="003C3957" w:rsidRDefault="003C3957" w:rsidP="003C3957">
      <w:r>
        <w:rPr>
          <w:rFonts w:cs="Calibri"/>
          <w:sz w:val="21"/>
          <w:szCs w:val="21"/>
        </w:rPr>
        <w:t>Na szczególną uwagę</w:t>
      </w:r>
      <w:r w:rsidR="006343E1">
        <w:rPr>
          <w:rFonts w:cs="Calibri"/>
          <w:sz w:val="21"/>
          <w:szCs w:val="21"/>
        </w:rPr>
        <w:t xml:space="preserve"> w </w:t>
      </w:r>
      <w:r>
        <w:rPr>
          <w:rFonts w:cs="Calibri"/>
          <w:sz w:val="21"/>
          <w:szCs w:val="21"/>
        </w:rPr>
        <w:t>kontekście rozwoju technologicznego zasługuje sektor kosmiczny, gdyż od samego powstania był on motorem rozwoju nowych, innowacyjnych rozwiązań</w:t>
      </w:r>
      <w:r w:rsidR="006343E1">
        <w:rPr>
          <w:rFonts w:cs="Calibri"/>
          <w:sz w:val="21"/>
          <w:szCs w:val="21"/>
        </w:rPr>
        <w:t xml:space="preserve"> z </w:t>
      </w:r>
      <w:r>
        <w:rPr>
          <w:rFonts w:cs="Calibri"/>
          <w:sz w:val="21"/>
          <w:szCs w:val="21"/>
        </w:rPr>
        <w:t>racji specyfiki swoich wymagań.</w:t>
      </w:r>
      <w:r w:rsidR="006343E1">
        <w:rPr>
          <w:rFonts w:cs="Calibri"/>
          <w:sz w:val="21"/>
          <w:szCs w:val="21"/>
        </w:rPr>
        <w:t xml:space="preserve"> W </w:t>
      </w:r>
      <w:r>
        <w:rPr>
          <w:rFonts w:cs="Calibri"/>
          <w:sz w:val="21"/>
          <w:szCs w:val="21"/>
        </w:rPr>
        <w:t>przypadku polskiego sektora kosmicznego ważne jest poznanie nisz technologicznych zarówno polskich</w:t>
      </w:r>
      <w:r w:rsidR="00AE5F04">
        <w:rPr>
          <w:rFonts w:cs="Calibri"/>
          <w:sz w:val="21"/>
          <w:szCs w:val="21"/>
        </w:rPr>
        <w:t>,</w:t>
      </w:r>
      <w:r>
        <w:rPr>
          <w:rFonts w:cs="Calibri"/>
          <w:sz w:val="21"/>
          <w:szCs w:val="21"/>
        </w:rPr>
        <w:t xml:space="preserve"> jak</w:t>
      </w:r>
      <w:r w:rsidR="006343E1">
        <w:rPr>
          <w:rFonts w:cs="Calibri"/>
          <w:sz w:val="21"/>
          <w:szCs w:val="21"/>
        </w:rPr>
        <w:t xml:space="preserve"> i </w:t>
      </w:r>
      <w:r>
        <w:rPr>
          <w:rFonts w:cs="Calibri"/>
          <w:sz w:val="21"/>
          <w:szCs w:val="21"/>
        </w:rPr>
        <w:t>światowych, co umożliwi wyselekcjonowanie obszarów istotnych dla zaangażowania polskich podmiotów</w:t>
      </w:r>
      <w:r w:rsidR="006343E1">
        <w:rPr>
          <w:rFonts w:cs="Calibri"/>
          <w:sz w:val="21"/>
          <w:szCs w:val="21"/>
        </w:rPr>
        <w:t xml:space="preserve"> w </w:t>
      </w:r>
      <w:r>
        <w:rPr>
          <w:rFonts w:cs="Calibri"/>
          <w:sz w:val="21"/>
          <w:szCs w:val="21"/>
        </w:rPr>
        <w:t>globalny łańcuch dostaw technologii kosmicznych</w:t>
      </w:r>
      <w:r w:rsidR="006343E1">
        <w:rPr>
          <w:rFonts w:cs="Calibri"/>
          <w:sz w:val="21"/>
          <w:szCs w:val="21"/>
        </w:rPr>
        <w:t xml:space="preserve"> i </w:t>
      </w:r>
      <w:r>
        <w:rPr>
          <w:rFonts w:cs="Calibri"/>
          <w:sz w:val="21"/>
          <w:szCs w:val="21"/>
        </w:rPr>
        <w:t xml:space="preserve">jednocześnie stymulujących wzrost innowacyjności sektora. Polski sektor kosmiczny tworzy 228 podmiotów (dane Polskiej Agencji Kosmicznej </w:t>
      </w:r>
      <w:r w:rsidR="00AE5F04">
        <w:rPr>
          <w:rFonts w:ascii="Times New Roman" w:hAnsi="Times New Roman" w:cs="Times New Roman"/>
          <w:sz w:val="21"/>
          <w:szCs w:val="21"/>
        </w:rPr>
        <w:t>–</w:t>
      </w:r>
      <w:r>
        <w:rPr>
          <w:rFonts w:cs="Calibri"/>
          <w:sz w:val="21"/>
          <w:szCs w:val="21"/>
        </w:rPr>
        <w:t xml:space="preserve"> PAK), są to zarówno instytucje badawczo-rozwojowe (30 % </w:t>
      </w:r>
      <w:r w:rsidR="00AE5F04">
        <w:rPr>
          <w:rFonts w:ascii="Times New Roman" w:hAnsi="Times New Roman" w:cs="Times New Roman"/>
          <w:sz w:val="21"/>
          <w:szCs w:val="21"/>
        </w:rPr>
        <w:t>–</w:t>
      </w:r>
      <w:r>
        <w:rPr>
          <w:rFonts w:cs="Calibri"/>
          <w:sz w:val="21"/>
          <w:szCs w:val="21"/>
        </w:rPr>
        <w:t xml:space="preserve"> 69 podmiotów)</w:t>
      </w:r>
      <w:r w:rsidR="00AE5F04">
        <w:rPr>
          <w:rFonts w:cs="Calibri"/>
          <w:sz w:val="21"/>
          <w:szCs w:val="21"/>
        </w:rPr>
        <w:t>,</w:t>
      </w:r>
      <w:r>
        <w:rPr>
          <w:rFonts w:cs="Calibri"/>
          <w:sz w:val="21"/>
          <w:szCs w:val="21"/>
        </w:rPr>
        <w:t xml:space="preserve"> jak</w:t>
      </w:r>
      <w:r w:rsidR="006343E1">
        <w:rPr>
          <w:rFonts w:cs="Calibri"/>
          <w:sz w:val="21"/>
          <w:szCs w:val="21"/>
        </w:rPr>
        <w:t xml:space="preserve"> i </w:t>
      </w:r>
      <w:r>
        <w:rPr>
          <w:rFonts w:cs="Calibri"/>
          <w:sz w:val="21"/>
          <w:szCs w:val="21"/>
        </w:rPr>
        <w:t xml:space="preserve">przedstawiciele przemysłu (66 % </w:t>
      </w:r>
      <w:r w:rsidR="00AE5F04">
        <w:rPr>
          <w:rFonts w:ascii="Times New Roman" w:hAnsi="Times New Roman" w:cs="Times New Roman"/>
          <w:sz w:val="21"/>
          <w:szCs w:val="21"/>
        </w:rPr>
        <w:t>–</w:t>
      </w:r>
      <w:r>
        <w:rPr>
          <w:rFonts w:cs="Calibri"/>
          <w:sz w:val="21"/>
          <w:szCs w:val="21"/>
        </w:rPr>
        <w:t xml:space="preserve"> 151 podmiotów), pozostałe 4% (8 podmiotów)  to stowarzyszenia, organy administracyjne, fundacje  stanowiące tzw. otoczenie sektora. Polski sektor kosmiczny charakteryzuje się znacznym zróżnicowaniem stopnia zaawansowania technologicznego poszczególnych podmiotów. Część</w:t>
      </w:r>
      <w:r w:rsidR="006343E1">
        <w:rPr>
          <w:rFonts w:cs="Calibri"/>
          <w:sz w:val="21"/>
          <w:szCs w:val="21"/>
        </w:rPr>
        <w:t xml:space="preserve"> z </w:t>
      </w:r>
      <w:r>
        <w:rPr>
          <w:rFonts w:cs="Calibri"/>
          <w:sz w:val="21"/>
          <w:szCs w:val="21"/>
        </w:rPr>
        <w:t>nich (ścisły sektor kosmiczny) bierze aktywny udział</w:t>
      </w:r>
      <w:r w:rsidR="006343E1">
        <w:rPr>
          <w:rFonts w:cs="Calibri"/>
          <w:sz w:val="21"/>
          <w:szCs w:val="21"/>
        </w:rPr>
        <w:t xml:space="preserve"> w </w:t>
      </w:r>
      <w:r>
        <w:rPr>
          <w:rFonts w:cs="Calibri"/>
          <w:sz w:val="21"/>
          <w:szCs w:val="21"/>
        </w:rPr>
        <w:t xml:space="preserve">przetargach organizowanych przez  Europejska Agencję Kosmiczną  </w:t>
      </w:r>
      <w:r w:rsidR="00AE5F04">
        <w:rPr>
          <w:rFonts w:ascii="Times New Roman" w:hAnsi="Times New Roman" w:cs="Times New Roman"/>
          <w:sz w:val="21"/>
          <w:szCs w:val="21"/>
        </w:rPr>
        <w:t>–</w:t>
      </w:r>
      <w:r>
        <w:rPr>
          <w:rFonts w:cs="Calibri"/>
          <w:sz w:val="21"/>
          <w:szCs w:val="21"/>
        </w:rPr>
        <w:t xml:space="preserve">  dla tych podmiotów jest to główna część działalności, znacznie mniej przedsiębiorstw</w:t>
      </w:r>
      <w:r w:rsidR="006343E1">
        <w:rPr>
          <w:rFonts w:cs="Calibri"/>
          <w:sz w:val="21"/>
          <w:szCs w:val="21"/>
        </w:rPr>
        <w:t xml:space="preserve"> i </w:t>
      </w:r>
      <w:r>
        <w:rPr>
          <w:rFonts w:cs="Calibri"/>
          <w:sz w:val="21"/>
          <w:szCs w:val="21"/>
        </w:rPr>
        <w:t>jednostek naukowych realizuje projekty kosmiczne</w:t>
      </w:r>
      <w:r w:rsidR="006343E1">
        <w:rPr>
          <w:rFonts w:cs="Calibri"/>
          <w:sz w:val="21"/>
          <w:szCs w:val="21"/>
        </w:rPr>
        <w:t xml:space="preserve"> w </w:t>
      </w:r>
      <w:r>
        <w:rPr>
          <w:rFonts w:cs="Calibri"/>
          <w:sz w:val="21"/>
          <w:szCs w:val="21"/>
        </w:rPr>
        <w:t>ramach programów ogłaszanych poza ESA</w:t>
      </w:r>
      <w:r w:rsidR="00AE5F04">
        <w:rPr>
          <w:rFonts w:cs="Calibri"/>
          <w:sz w:val="21"/>
          <w:szCs w:val="21"/>
        </w:rPr>
        <w:t>,</w:t>
      </w:r>
      <w:r>
        <w:rPr>
          <w:rFonts w:cs="Calibri"/>
          <w:sz w:val="21"/>
          <w:szCs w:val="21"/>
        </w:rPr>
        <w:t xml:space="preserve"> czyli np. przez Unię Europejsk</w:t>
      </w:r>
      <w:r w:rsidR="00AE5F04">
        <w:rPr>
          <w:rFonts w:cs="Calibri"/>
          <w:sz w:val="21"/>
          <w:szCs w:val="21"/>
        </w:rPr>
        <w:t>ą</w:t>
      </w:r>
      <w:r>
        <w:rPr>
          <w:rFonts w:cs="Calibri"/>
          <w:sz w:val="21"/>
          <w:szCs w:val="21"/>
        </w:rPr>
        <w:t xml:space="preserve"> lub NCBR.</w:t>
      </w:r>
    </w:p>
    <w:p w14:paraId="3D9D9CA4" w14:textId="4397E535" w:rsidR="003C3957" w:rsidRDefault="003C3957" w:rsidP="003C3957">
      <w:r>
        <w:rPr>
          <w:rFonts w:cs="Calibri"/>
          <w:sz w:val="21"/>
          <w:szCs w:val="21"/>
        </w:rPr>
        <w:t xml:space="preserve"> Analiza polskiej branży kosmicznej  wymaga zbadania konkretnych dziedzin nauki</w:t>
      </w:r>
      <w:r w:rsidR="006343E1">
        <w:rPr>
          <w:rFonts w:cs="Calibri"/>
          <w:sz w:val="21"/>
          <w:szCs w:val="21"/>
        </w:rPr>
        <w:t xml:space="preserve"> i </w:t>
      </w:r>
      <w:r>
        <w:rPr>
          <w:rFonts w:cs="Calibri"/>
          <w:sz w:val="21"/>
          <w:szCs w:val="21"/>
        </w:rPr>
        <w:t>techniki pod względem  posiadania (lub nie</w:t>
      </w:r>
      <w:r w:rsidR="007F0EB8">
        <w:rPr>
          <w:rFonts w:cs="Calibri"/>
          <w:sz w:val="21"/>
          <w:szCs w:val="21"/>
        </w:rPr>
        <w:t>posiadania</w:t>
      </w:r>
      <w:r>
        <w:rPr>
          <w:rFonts w:cs="Calibri"/>
          <w:sz w:val="21"/>
          <w:szCs w:val="21"/>
        </w:rPr>
        <w:t>) kompetencji przez podmioty tego sektora. Jest to</w:t>
      </w:r>
      <w:r w:rsidR="006343E1">
        <w:rPr>
          <w:rFonts w:cs="Calibri"/>
          <w:sz w:val="21"/>
          <w:szCs w:val="21"/>
        </w:rPr>
        <w:t xml:space="preserve"> o </w:t>
      </w:r>
      <w:r>
        <w:rPr>
          <w:rFonts w:cs="Calibri"/>
          <w:sz w:val="21"/>
          <w:szCs w:val="21"/>
        </w:rPr>
        <w:t>tyle utrudnione, ż</w:t>
      </w:r>
      <w:r w:rsidR="007F0EB8">
        <w:rPr>
          <w:rFonts w:cs="Calibri"/>
          <w:sz w:val="21"/>
          <w:szCs w:val="21"/>
        </w:rPr>
        <w:t>e</w:t>
      </w:r>
      <w:r>
        <w:rPr>
          <w:rFonts w:cs="Calibri"/>
          <w:sz w:val="21"/>
          <w:szCs w:val="21"/>
        </w:rPr>
        <w:t xml:space="preserve"> polskie podmioty często  maj</w:t>
      </w:r>
      <w:r w:rsidR="007F0EB8">
        <w:rPr>
          <w:rFonts w:cs="Calibri"/>
          <w:sz w:val="21"/>
          <w:szCs w:val="21"/>
        </w:rPr>
        <w:t>ą</w:t>
      </w:r>
      <w:r>
        <w:rPr>
          <w:rFonts w:cs="Calibri"/>
          <w:sz w:val="21"/>
          <w:szCs w:val="21"/>
        </w:rPr>
        <w:t xml:space="preserve"> niesprecyzowane obszary działalności lub też deklarują szerokie zainteresowania</w:t>
      </w:r>
      <w:r w:rsidR="006343E1">
        <w:rPr>
          <w:rFonts w:cs="Calibri"/>
          <w:sz w:val="21"/>
          <w:szCs w:val="21"/>
        </w:rPr>
        <w:t xml:space="preserve"> i </w:t>
      </w:r>
      <w:r>
        <w:rPr>
          <w:rFonts w:cs="Calibri"/>
          <w:sz w:val="21"/>
          <w:szCs w:val="21"/>
        </w:rPr>
        <w:t>kompetencje, zatem poszczególne podmioty nie kwalifikują się tylko do jednego obszaru działalności  w</w:t>
      </w:r>
      <w:r w:rsidR="007F0EB8">
        <w:rPr>
          <w:rFonts w:cs="Calibri"/>
          <w:sz w:val="21"/>
          <w:szCs w:val="21"/>
        </w:rPr>
        <w:t>edłu</w:t>
      </w:r>
      <w:r>
        <w:rPr>
          <w:rFonts w:cs="Calibri"/>
          <w:sz w:val="21"/>
          <w:szCs w:val="21"/>
        </w:rPr>
        <w:t>g systematyki ESA.</w:t>
      </w:r>
    </w:p>
    <w:p w14:paraId="628F25A1" w14:textId="5F2010CF" w:rsidR="003C3957" w:rsidRDefault="003C3957" w:rsidP="003C3957">
      <w:r>
        <w:rPr>
          <w:rFonts w:cs="Calibri"/>
          <w:sz w:val="21"/>
          <w:szCs w:val="21"/>
        </w:rPr>
        <w:lastRenderedPageBreak/>
        <w:t>Polskie podmioty wykazują duże zainteresowanie</w:t>
      </w:r>
      <w:r w:rsidR="006343E1">
        <w:rPr>
          <w:rFonts w:cs="Calibri"/>
          <w:sz w:val="21"/>
          <w:szCs w:val="21"/>
        </w:rPr>
        <w:t xml:space="preserve"> i </w:t>
      </w:r>
      <w:r>
        <w:rPr>
          <w:rFonts w:cs="Calibri"/>
          <w:sz w:val="21"/>
          <w:szCs w:val="21"/>
        </w:rPr>
        <w:t>doświadczenie</w:t>
      </w:r>
      <w:r w:rsidR="006343E1">
        <w:rPr>
          <w:rFonts w:cs="Calibri"/>
          <w:sz w:val="21"/>
          <w:szCs w:val="21"/>
        </w:rPr>
        <w:t xml:space="preserve"> w </w:t>
      </w:r>
      <w:r>
        <w:rPr>
          <w:rFonts w:cs="Calibri"/>
          <w:sz w:val="21"/>
          <w:szCs w:val="21"/>
        </w:rPr>
        <w:t>obszarze wykorzystywania danych satelitarnych,</w:t>
      </w:r>
      <w:r w:rsidR="006343E1">
        <w:rPr>
          <w:rFonts w:cs="Calibri"/>
          <w:sz w:val="21"/>
          <w:szCs w:val="21"/>
        </w:rPr>
        <w:t xml:space="preserve"> w </w:t>
      </w:r>
      <w:r>
        <w:rPr>
          <w:rFonts w:cs="Calibri"/>
          <w:sz w:val="21"/>
          <w:szCs w:val="21"/>
        </w:rPr>
        <w:t xml:space="preserve">tej dziedzinie odnotowano dużą aktywność podmiotów oraz szybki wzrost poziomu ich zaawansowania. </w:t>
      </w:r>
      <w:r w:rsidR="006343E1">
        <w:rPr>
          <w:rFonts w:cs="Calibri"/>
          <w:sz w:val="21"/>
          <w:szCs w:val="21"/>
        </w:rPr>
        <w:t xml:space="preserve"> Z </w:t>
      </w:r>
      <w:r>
        <w:rPr>
          <w:rFonts w:cs="Calibri"/>
          <w:sz w:val="21"/>
          <w:szCs w:val="21"/>
        </w:rPr>
        <w:t>dotychczasowych doświadczeń polskiego sektora kosmicznego wynika</w:t>
      </w:r>
      <w:r w:rsidR="00477C54">
        <w:rPr>
          <w:rFonts w:cs="Calibri"/>
          <w:sz w:val="21"/>
          <w:szCs w:val="21"/>
        </w:rPr>
        <w:t>, że </w:t>
      </w:r>
      <w:r>
        <w:rPr>
          <w:rFonts w:cs="Calibri"/>
          <w:sz w:val="21"/>
          <w:szCs w:val="21"/>
        </w:rPr>
        <w:t>obszarami,</w:t>
      </w:r>
      <w:r w:rsidR="006343E1">
        <w:rPr>
          <w:rFonts w:cs="Calibri"/>
          <w:sz w:val="21"/>
          <w:szCs w:val="21"/>
        </w:rPr>
        <w:t xml:space="preserve"> w </w:t>
      </w:r>
      <w:r>
        <w:rPr>
          <w:rFonts w:cs="Calibri"/>
          <w:sz w:val="21"/>
          <w:szCs w:val="21"/>
        </w:rPr>
        <w:t>których ma on silne kompetencje</w:t>
      </w:r>
      <w:r w:rsidR="007F0EB8">
        <w:rPr>
          <w:rFonts w:cs="Calibri"/>
          <w:sz w:val="21"/>
          <w:szCs w:val="21"/>
        </w:rPr>
        <w:t>,</w:t>
      </w:r>
      <w:r>
        <w:rPr>
          <w:rFonts w:cs="Calibri"/>
          <w:sz w:val="21"/>
          <w:szCs w:val="21"/>
        </w:rPr>
        <w:t xml:space="preserve"> są  m.in.  elektronika, automatyka</w:t>
      </w:r>
      <w:r w:rsidR="006343E1">
        <w:rPr>
          <w:rFonts w:cs="Calibri"/>
          <w:sz w:val="21"/>
          <w:szCs w:val="21"/>
        </w:rPr>
        <w:t xml:space="preserve"> i </w:t>
      </w:r>
      <w:r>
        <w:rPr>
          <w:rFonts w:cs="Calibri"/>
          <w:sz w:val="21"/>
          <w:szCs w:val="21"/>
        </w:rPr>
        <w:t>robotyka</w:t>
      </w:r>
      <w:r w:rsidR="007F0EB8">
        <w:rPr>
          <w:rFonts w:cs="Calibri"/>
          <w:sz w:val="21"/>
          <w:szCs w:val="21"/>
        </w:rPr>
        <w:t>,</w:t>
      </w:r>
      <w:r w:rsidR="006343E1">
        <w:rPr>
          <w:rFonts w:cs="Calibri"/>
          <w:sz w:val="21"/>
          <w:szCs w:val="21"/>
        </w:rPr>
        <w:t xml:space="preserve"> a </w:t>
      </w:r>
      <w:r>
        <w:rPr>
          <w:rFonts w:cs="Calibri"/>
          <w:sz w:val="21"/>
          <w:szCs w:val="21"/>
        </w:rPr>
        <w:t>także  mechanika.</w:t>
      </w:r>
    </w:p>
    <w:p w14:paraId="28A37A77" w14:textId="1992E6C7" w:rsidR="003C3957" w:rsidRDefault="003C3957" w:rsidP="003C3957">
      <w:r>
        <w:rPr>
          <w:rFonts w:cs="Calibri"/>
          <w:sz w:val="21"/>
          <w:szCs w:val="21"/>
        </w:rPr>
        <w:t>W obszarze zainteresowania polskich firm znajdują się również technologie związane</w:t>
      </w:r>
      <w:r w:rsidR="006343E1">
        <w:rPr>
          <w:rFonts w:cs="Calibri"/>
          <w:sz w:val="21"/>
          <w:szCs w:val="21"/>
        </w:rPr>
        <w:t xml:space="preserve"> z </w:t>
      </w:r>
      <w:r>
        <w:rPr>
          <w:rFonts w:cs="Calibri"/>
          <w:sz w:val="21"/>
          <w:szCs w:val="21"/>
        </w:rPr>
        <w:t>łącznością</w:t>
      </w:r>
      <w:r w:rsidR="006343E1">
        <w:rPr>
          <w:rFonts w:cs="Calibri"/>
          <w:sz w:val="21"/>
          <w:szCs w:val="21"/>
        </w:rPr>
        <w:t xml:space="preserve"> i </w:t>
      </w:r>
      <w:r>
        <w:rPr>
          <w:rFonts w:cs="Calibri"/>
          <w:sz w:val="21"/>
          <w:szCs w:val="21"/>
        </w:rPr>
        <w:t>nawigacją</w:t>
      </w:r>
      <w:r w:rsidR="002379C6">
        <w:rPr>
          <w:rFonts w:cs="Calibri"/>
          <w:sz w:val="21"/>
          <w:szCs w:val="21"/>
        </w:rPr>
        <w:t>,</w:t>
      </w:r>
      <w:r w:rsidR="006343E1">
        <w:rPr>
          <w:rFonts w:cs="Calibri"/>
          <w:sz w:val="21"/>
          <w:szCs w:val="21"/>
        </w:rPr>
        <w:t xml:space="preserve"> a </w:t>
      </w:r>
      <w:r>
        <w:rPr>
          <w:rFonts w:cs="Calibri"/>
          <w:sz w:val="21"/>
          <w:szCs w:val="21"/>
        </w:rPr>
        <w:t>także optyka</w:t>
      </w:r>
      <w:r w:rsidR="006343E1">
        <w:rPr>
          <w:rFonts w:cs="Calibri"/>
          <w:sz w:val="21"/>
          <w:szCs w:val="21"/>
        </w:rPr>
        <w:t xml:space="preserve"> i </w:t>
      </w:r>
      <w:r>
        <w:rPr>
          <w:rFonts w:cs="Calibri"/>
          <w:sz w:val="21"/>
          <w:szCs w:val="21"/>
        </w:rPr>
        <w:t>optoelektronika. Ponadto jedną</w:t>
      </w:r>
      <w:r w:rsidR="006343E1">
        <w:rPr>
          <w:rFonts w:cs="Calibri"/>
          <w:sz w:val="21"/>
          <w:szCs w:val="21"/>
        </w:rPr>
        <w:t xml:space="preserve"> z </w:t>
      </w:r>
      <w:r>
        <w:rPr>
          <w:rFonts w:cs="Calibri"/>
          <w:sz w:val="21"/>
          <w:szCs w:val="21"/>
        </w:rPr>
        <w:t>dziedzin wzbudzającą równie wysokie zainteresowania ze strony polskich podmiotów s</w:t>
      </w:r>
      <w:r w:rsidR="002379C6">
        <w:rPr>
          <w:rFonts w:cs="Calibri"/>
          <w:sz w:val="21"/>
          <w:szCs w:val="21"/>
        </w:rPr>
        <w:t>ą</w:t>
      </w:r>
      <w:r>
        <w:rPr>
          <w:rFonts w:cs="Calibri"/>
          <w:sz w:val="21"/>
          <w:szCs w:val="21"/>
        </w:rPr>
        <w:t xml:space="preserve"> technologie związane</w:t>
      </w:r>
      <w:r w:rsidR="006343E1">
        <w:rPr>
          <w:rFonts w:cs="Calibri"/>
          <w:sz w:val="21"/>
          <w:szCs w:val="21"/>
        </w:rPr>
        <w:t xml:space="preserve"> z </w:t>
      </w:r>
      <w:r>
        <w:rPr>
          <w:rFonts w:cs="Calibri"/>
          <w:sz w:val="21"/>
          <w:szCs w:val="21"/>
        </w:rPr>
        <w:t>łącznością</w:t>
      </w:r>
      <w:r w:rsidR="006343E1">
        <w:rPr>
          <w:rFonts w:cs="Calibri"/>
          <w:sz w:val="21"/>
          <w:szCs w:val="21"/>
        </w:rPr>
        <w:t xml:space="preserve"> i </w:t>
      </w:r>
      <w:r>
        <w:rPr>
          <w:rFonts w:cs="Calibri"/>
          <w:sz w:val="21"/>
          <w:szCs w:val="21"/>
        </w:rPr>
        <w:t xml:space="preserve">nawigacją. </w:t>
      </w:r>
      <w:r w:rsidR="002D4CDC">
        <w:rPr>
          <w:rFonts w:cs="Calibri"/>
          <w:sz w:val="21"/>
          <w:szCs w:val="21"/>
        </w:rPr>
        <w:t>S</w:t>
      </w:r>
      <w:r>
        <w:rPr>
          <w:rFonts w:cs="Calibri"/>
          <w:sz w:val="21"/>
          <w:szCs w:val="21"/>
        </w:rPr>
        <w:t>ą to</w:t>
      </w:r>
      <w:r w:rsidR="002D4CDC">
        <w:rPr>
          <w:rFonts w:cs="Calibri"/>
          <w:sz w:val="21"/>
          <w:szCs w:val="21"/>
        </w:rPr>
        <w:t xml:space="preserve"> także</w:t>
      </w:r>
      <w:r>
        <w:rPr>
          <w:rFonts w:cs="Calibri"/>
          <w:sz w:val="21"/>
          <w:szCs w:val="21"/>
        </w:rPr>
        <w:t xml:space="preserve"> obszary charakteryzujące się deficytem dostawców rozwiązań na rynku europejskim, są one swoistą niszą technologiczną,</w:t>
      </w:r>
      <w:r w:rsidR="006343E1">
        <w:rPr>
          <w:rFonts w:cs="Calibri"/>
          <w:sz w:val="21"/>
          <w:szCs w:val="21"/>
        </w:rPr>
        <w:t xml:space="preserve"> w </w:t>
      </w:r>
      <w:r>
        <w:rPr>
          <w:rFonts w:cs="Calibri"/>
          <w:sz w:val="21"/>
          <w:szCs w:val="21"/>
        </w:rPr>
        <w:t>której polskie podmioty maj</w:t>
      </w:r>
      <w:r w:rsidR="002D4CDC">
        <w:rPr>
          <w:rFonts w:cs="Calibri"/>
          <w:sz w:val="21"/>
          <w:szCs w:val="21"/>
        </w:rPr>
        <w:t>ą</w:t>
      </w:r>
      <w:r>
        <w:rPr>
          <w:rFonts w:cs="Calibri"/>
          <w:sz w:val="21"/>
          <w:szCs w:val="21"/>
        </w:rPr>
        <w:t xml:space="preserve"> szansę wpisać się </w:t>
      </w:r>
      <w:r w:rsidR="006343E1">
        <w:rPr>
          <w:rFonts w:cs="Calibri"/>
          <w:sz w:val="21"/>
          <w:szCs w:val="21"/>
        </w:rPr>
        <w:t>w </w:t>
      </w:r>
      <w:r>
        <w:rPr>
          <w:rFonts w:cs="Calibri"/>
          <w:sz w:val="21"/>
          <w:szCs w:val="21"/>
        </w:rPr>
        <w:t>łańcuch dostaw sektora kosmicznego</w:t>
      </w:r>
      <w:r w:rsidR="002D4CDC">
        <w:rPr>
          <w:rFonts w:cs="Calibri"/>
          <w:sz w:val="21"/>
          <w:szCs w:val="21"/>
        </w:rPr>
        <w:t>;</w:t>
      </w:r>
      <w:r>
        <w:rPr>
          <w:rFonts w:cs="Calibri"/>
          <w:sz w:val="21"/>
          <w:szCs w:val="21"/>
        </w:rPr>
        <w:t xml:space="preserve"> należą do nich optyka</w:t>
      </w:r>
      <w:r w:rsidR="006343E1">
        <w:rPr>
          <w:rFonts w:cs="Calibri"/>
          <w:sz w:val="21"/>
          <w:szCs w:val="21"/>
        </w:rPr>
        <w:t xml:space="preserve"> i </w:t>
      </w:r>
      <w:r>
        <w:rPr>
          <w:rFonts w:cs="Calibri"/>
          <w:sz w:val="21"/>
          <w:szCs w:val="21"/>
        </w:rPr>
        <w:t>optoelektronika oraz technologie przyrostowe. Aktywna działalność polskich podmiotów</w:t>
      </w:r>
      <w:r w:rsidR="006343E1">
        <w:rPr>
          <w:rFonts w:cs="Calibri"/>
          <w:sz w:val="21"/>
          <w:szCs w:val="21"/>
        </w:rPr>
        <w:t xml:space="preserve"> w </w:t>
      </w:r>
      <w:r>
        <w:rPr>
          <w:rFonts w:cs="Calibri"/>
          <w:sz w:val="21"/>
          <w:szCs w:val="21"/>
        </w:rPr>
        <w:t>powyższych obszarach stwarza konkretne możliwości wytworzenia produktów</w:t>
      </w:r>
      <w:r w:rsidR="006343E1">
        <w:rPr>
          <w:rFonts w:cs="Calibri"/>
          <w:sz w:val="21"/>
          <w:szCs w:val="21"/>
        </w:rPr>
        <w:t xml:space="preserve"> i </w:t>
      </w:r>
      <w:r>
        <w:rPr>
          <w:rFonts w:cs="Calibri"/>
          <w:sz w:val="21"/>
          <w:szCs w:val="21"/>
        </w:rPr>
        <w:t>usług, które mogą być skomercjalizowane na rynku europejskim. Równocześnie dalszy rozwój kompetencji technologicznych byłby przedmiotem transferu  do innych obszarów przemysłu</w:t>
      </w:r>
      <w:r w:rsidR="002D4CDC">
        <w:rPr>
          <w:rFonts w:cs="Calibri"/>
          <w:sz w:val="21"/>
          <w:szCs w:val="21"/>
        </w:rPr>
        <w:t xml:space="preserve"> i</w:t>
      </w:r>
      <w:r>
        <w:rPr>
          <w:rFonts w:cs="Calibri"/>
          <w:sz w:val="21"/>
          <w:szCs w:val="21"/>
        </w:rPr>
        <w:t xml:space="preserve"> stanowi</w:t>
      </w:r>
      <w:r w:rsidR="002D4CDC">
        <w:rPr>
          <w:rFonts w:cs="Calibri"/>
          <w:sz w:val="21"/>
          <w:szCs w:val="21"/>
        </w:rPr>
        <w:t>łby</w:t>
      </w:r>
      <w:r>
        <w:rPr>
          <w:rFonts w:cs="Calibri"/>
          <w:sz w:val="21"/>
          <w:szCs w:val="21"/>
        </w:rPr>
        <w:t xml:space="preserve"> dźwignię jego rozwoju. Dla polskiego sektora kosmicznego perspektywiczne obszary to (dane PAK): aplikacje satelitarne, integracja systemów satelitarnych, przetwarzanie danych, oprogramowanie, sensory, systemy obserwacyjne na orbicie, obsługa IT ośrodków ESA.</w:t>
      </w:r>
    </w:p>
    <w:p w14:paraId="229DED11" w14:textId="33AC13D8" w:rsidR="003C3957" w:rsidRDefault="006343E1" w:rsidP="003C3957">
      <w:r>
        <w:rPr>
          <w:rFonts w:cs="Calibri"/>
          <w:sz w:val="21"/>
          <w:szCs w:val="21"/>
        </w:rPr>
        <w:t xml:space="preserve"> W </w:t>
      </w:r>
      <w:r w:rsidR="003C3957">
        <w:rPr>
          <w:rFonts w:cs="Calibri"/>
          <w:sz w:val="21"/>
          <w:szCs w:val="21"/>
        </w:rPr>
        <w:t>celu zapewnienia dynamiki rozwoju</w:t>
      </w:r>
      <w:r>
        <w:rPr>
          <w:rFonts w:cs="Calibri"/>
          <w:sz w:val="21"/>
          <w:szCs w:val="21"/>
        </w:rPr>
        <w:t xml:space="preserve"> i </w:t>
      </w:r>
      <w:r w:rsidR="003C3957">
        <w:rPr>
          <w:rFonts w:cs="Calibri"/>
          <w:sz w:val="21"/>
          <w:szCs w:val="21"/>
        </w:rPr>
        <w:t>wzrostu innowacyjności sektora konieczne jest wsparcie systemowe: tworzenie infrastruktury krajowej odpowiedzialnej za przetwarzanie danych satelitarnych, wspieranie prac nad tworzeniem oprogramowania naziemnego</w:t>
      </w:r>
      <w:r>
        <w:rPr>
          <w:rFonts w:cs="Calibri"/>
          <w:sz w:val="21"/>
          <w:szCs w:val="21"/>
        </w:rPr>
        <w:t xml:space="preserve"> i </w:t>
      </w:r>
      <w:r w:rsidR="003C3957">
        <w:rPr>
          <w:rFonts w:cs="Calibri"/>
          <w:sz w:val="21"/>
          <w:szCs w:val="21"/>
        </w:rPr>
        <w:t>kosmicznego.</w:t>
      </w:r>
    </w:p>
    <w:p w14:paraId="1F9C63BE" w14:textId="52A6D6A6" w:rsidR="003C3957" w:rsidRDefault="003C3957" w:rsidP="003C3957">
      <w:pPr>
        <w:pStyle w:val="Nagwek2"/>
      </w:pPr>
      <w:bookmarkStart w:id="150" w:name="_Toc511921191"/>
      <w:bookmarkStart w:id="151" w:name="_Toc31808529"/>
      <w:bookmarkStart w:id="152" w:name="_Toc106968813"/>
      <w:r>
        <w:t>Współpraca biznes</w:t>
      </w:r>
      <w:r w:rsidR="002A29F7">
        <w:t>u i</w:t>
      </w:r>
      <w:r>
        <w:t xml:space="preserve"> nauk</w:t>
      </w:r>
      <w:r w:rsidR="002A29F7">
        <w:t>i</w:t>
      </w:r>
      <w:bookmarkEnd w:id="150"/>
      <w:bookmarkEnd w:id="151"/>
      <w:bookmarkEnd w:id="152"/>
    </w:p>
    <w:p w14:paraId="4DAB3D33" w14:textId="0B5A0354" w:rsidR="003C3957" w:rsidRDefault="003C3957" w:rsidP="003C3957">
      <w:pPr>
        <w:spacing w:after="0" w:line="240" w:lineRule="auto"/>
      </w:pPr>
      <w:r>
        <w:rPr>
          <w:rFonts w:cs="Calibri"/>
          <w:sz w:val="21"/>
          <w:szCs w:val="21"/>
        </w:rPr>
        <w:t>Jak wykazano na wstępie,</w:t>
      </w:r>
      <w:r w:rsidR="006343E1">
        <w:rPr>
          <w:rFonts w:cs="Calibri"/>
          <w:sz w:val="21"/>
          <w:szCs w:val="21"/>
        </w:rPr>
        <w:t xml:space="preserve"> w </w:t>
      </w:r>
      <w:r>
        <w:rPr>
          <w:rFonts w:cs="Calibri"/>
          <w:sz w:val="21"/>
          <w:szCs w:val="21"/>
        </w:rPr>
        <w:t>strukturze nakładów na działalność B+R pojawiła się istotna zmiana</w:t>
      </w:r>
      <w:r w:rsidR="006343E1">
        <w:rPr>
          <w:rFonts w:cs="Calibri"/>
          <w:sz w:val="21"/>
          <w:szCs w:val="21"/>
        </w:rPr>
        <w:t xml:space="preserve"> w </w:t>
      </w:r>
      <w:r>
        <w:rPr>
          <w:rFonts w:cs="Calibri"/>
          <w:sz w:val="21"/>
          <w:szCs w:val="21"/>
        </w:rPr>
        <w:t>2016 r., co oznacza</w:t>
      </w:r>
      <w:r w:rsidR="00477C54">
        <w:rPr>
          <w:rFonts w:cs="Calibri"/>
          <w:sz w:val="21"/>
          <w:szCs w:val="21"/>
        </w:rPr>
        <w:t>, że </w:t>
      </w:r>
      <w:r>
        <w:rPr>
          <w:rFonts w:cs="Calibri"/>
          <w:sz w:val="21"/>
          <w:szCs w:val="21"/>
        </w:rPr>
        <w:t>przedsiębiorstwa znacznie częściej obok absorpcji technologii dostrzegają potrzebę tworzenia własnych rozwiązań,</w:t>
      </w:r>
      <w:r w:rsidR="006343E1">
        <w:rPr>
          <w:rFonts w:cs="Calibri"/>
          <w:sz w:val="21"/>
          <w:szCs w:val="21"/>
        </w:rPr>
        <w:t xml:space="preserve"> w </w:t>
      </w:r>
      <w:r>
        <w:rPr>
          <w:rFonts w:cs="Calibri"/>
          <w:sz w:val="21"/>
          <w:szCs w:val="21"/>
        </w:rPr>
        <w:t>tym opartych na wynikach prac B+R</w:t>
      </w:r>
      <w:r w:rsidR="002D4CDC">
        <w:rPr>
          <w:rFonts w:cs="Calibri"/>
          <w:sz w:val="21"/>
          <w:szCs w:val="21"/>
        </w:rPr>
        <w:t>,</w:t>
      </w:r>
      <w:r w:rsidR="006343E1">
        <w:rPr>
          <w:rFonts w:cs="Calibri"/>
          <w:sz w:val="21"/>
          <w:szCs w:val="21"/>
        </w:rPr>
        <w:t xml:space="preserve"> i </w:t>
      </w:r>
      <w:r>
        <w:rPr>
          <w:rFonts w:cs="Calibri"/>
          <w:sz w:val="21"/>
          <w:szCs w:val="21"/>
        </w:rPr>
        <w:t>budowania na ich fundamencie przewag komparatywnych. Przedsiębiorstwa</w:t>
      </w:r>
      <w:r w:rsidR="006343E1">
        <w:rPr>
          <w:rFonts w:cs="Calibri"/>
          <w:sz w:val="21"/>
          <w:szCs w:val="21"/>
        </w:rPr>
        <w:t xml:space="preserve"> w </w:t>
      </w:r>
      <w:r>
        <w:rPr>
          <w:rFonts w:cs="Calibri"/>
          <w:sz w:val="21"/>
          <w:szCs w:val="21"/>
        </w:rPr>
        <w:t xml:space="preserve">Polsce charakteryzuje coraz wyższy poziom innowacyjności, jednocześnie dalszy ich rozwój </w:t>
      </w:r>
      <w:r w:rsidR="002D4CDC">
        <w:rPr>
          <w:rFonts w:cs="Calibri"/>
          <w:sz w:val="21"/>
          <w:szCs w:val="21"/>
        </w:rPr>
        <w:t xml:space="preserve">jest </w:t>
      </w:r>
      <w:r>
        <w:rPr>
          <w:rFonts w:cs="Calibri"/>
          <w:sz w:val="21"/>
          <w:szCs w:val="21"/>
        </w:rPr>
        <w:t>uzależniony od szeregu wyzwań związanych z zapewnieniem aktywnej współpracy biznesu</w:t>
      </w:r>
      <w:r w:rsidR="006343E1">
        <w:rPr>
          <w:rFonts w:cs="Calibri"/>
          <w:sz w:val="21"/>
          <w:szCs w:val="21"/>
        </w:rPr>
        <w:t xml:space="preserve"> z </w:t>
      </w:r>
      <w:r>
        <w:rPr>
          <w:rFonts w:cs="Calibri"/>
          <w:sz w:val="21"/>
          <w:szCs w:val="21"/>
        </w:rPr>
        <w:t>nauką, zwiększeniem stopnia komercjalizacji patentów oraz skłonności do ryzyka. Szczególnego rodzaju współpraca charakteryzuje inicjatywy klastrowe, podmioty</w:t>
      </w:r>
      <w:r w:rsidR="006343E1">
        <w:rPr>
          <w:rFonts w:cs="Calibri"/>
          <w:sz w:val="21"/>
          <w:szCs w:val="21"/>
        </w:rPr>
        <w:t xml:space="preserve"> w </w:t>
      </w:r>
      <w:r>
        <w:rPr>
          <w:rFonts w:cs="Calibri"/>
          <w:sz w:val="21"/>
          <w:szCs w:val="21"/>
        </w:rPr>
        <w:t>nie zaangażowane chętniej</w:t>
      </w:r>
      <w:r w:rsidR="006343E1">
        <w:rPr>
          <w:rFonts w:cs="Calibri"/>
          <w:sz w:val="21"/>
          <w:szCs w:val="21"/>
        </w:rPr>
        <w:t xml:space="preserve"> i </w:t>
      </w:r>
      <w:r>
        <w:rPr>
          <w:rFonts w:cs="Calibri"/>
          <w:sz w:val="21"/>
          <w:szCs w:val="21"/>
        </w:rPr>
        <w:t>częściej angażują się we wszelkiego rodzaju formy współpracy. Współpraca</w:t>
      </w:r>
      <w:r w:rsidR="006343E1">
        <w:rPr>
          <w:rFonts w:cs="Calibri"/>
          <w:sz w:val="21"/>
          <w:szCs w:val="21"/>
        </w:rPr>
        <w:t xml:space="preserve"> w </w:t>
      </w:r>
      <w:r>
        <w:rPr>
          <w:rFonts w:cs="Calibri"/>
          <w:sz w:val="21"/>
          <w:szCs w:val="21"/>
        </w:rPr>
        <w:t>ramach inicjatywy klastrowej ściśle koreluje</w:t>
      </w:r>
      <w:r w:rsidR="006343E1">
        <w:rPr>
          <w:rFonts w:cs="Calibri"/>
          <w:sz w:val="21"/>
          <w:szCs w:val="21"/>
        </w:rPr>
        <w:t xml:space="preserve"> z </w:t>
      </w:r>
      <w:r>
        <w:rPr>
          <w:rFonts w:cs="Calibri"/>
          <w:sz w:val="21"/>
          <w:szCs w:val="21"/>
        </w:rPr>
        <w:t>wielkością przedsiębiorstwa oraz poziomem zaawansowania wiedzy</w:t>
      </w:r>
      <w:r w:rsidR="006343E1">
        <w:rPr>
          <w:rFonts w:cs="Calibri"/>
          <w:sz w:val="21"/>
          <w:szCs w:val="21"/>
        </w:rPr>
        <w:t xml:space="preserve"> i </w:t>
      </w:r>
      <w:r>
        <w:rPr>
          <w:rFonts w:cs="Calibri"/>
          <w:sz w:val="21"/>
          <w:szCs w:val="21"/>
        </w:rPr>
        <w:t>technologii.</w:t>
      </w:r>
      <w:r w:rsidR="006343E1">
        <w:rPr>
          <w:rFonts w:cs="Calibri"/>
          <w:sz w:val="21"/>
          <w:szCs w:val="21"/>
        </w:rPr>
        <w:t xml:space="preserve"> W </w:t>
      </w:r>
      <w:r>
        <w:rPr>
          <w:rFonts w:cs="Calibri"/>
          <w:sz w:val="21"/>
          <w:szCs w:val="21"/>
        </w:rPr>
        <w:t>latach 2016</w:t>
      </w:r>
      <w:r w:rsidR="002D4CDC">
        <w:rPr>
          <w:rFonts w:ascii="Times New Roman" w:hAnsi="Times New Roman" w:cs="Times New Roman"/>
          <w:sz w:val="21"/>
          <w:szCs w:val="21"/>
        </w:rPr>
        <w:t>–</w:t>
      </w:r>
      <w:r>
        <w:rPr>
          <w:rFonts w:cs="Calibri"/>
          <w:sz w:val="21"/>
          <w:szCs w:val="21"/>
        </w:rPr>
        <w:t>201</w:t>
      </w:r>
      <w:r w:rsidR="0045359D">
        <w:rPr>
          <w:rFonts w:cs="Calibri"/>
          <w:sz w:val="21"/>
          <w:szCs w:val="21"/>
        </w:rPr>
        <w:t>8</w:t>
      </w:r>
      <w:r>
        <w:rPr>
          <w:rFonts w:cs="Calibri"/>
          <w:sz w:val="21"/>
          <w:szCs w:val="21"/>
        </w:rPr>
        <w:t>-</w:t>
      </w:r>
      <w:r w:rsidR="0045359D">
        <w:rPr>
          <w:rFonts w:cs="Calibri"/>
          <w:sz w:val="21"/>
          <w:szCs w:val="21"/>
        </w:rPr>
        <w:t xml:space="preserve">2020 </w:t>
      </w:r>
      <w:r>
        <w:rPr>
          <w:rFonts w:cs="Calibri"/>
          <w:sz w:val="21"/>
          <w:szCs w:val="21"/>
        </w:rPr>
        <w:t xml:space="preserve">wśród przedsiębiorstw współpracujących </w:t>
      </w:r>
      <w:r w:rsidR="0045359D">
        <w:rPr>
          <w:rFonts w:cs="Calibri"/>
          <w:sz w:val="21"/>
          <w:szCs w:val="21"/>
        </w:rPr>
        <w:t>z innymi przedsiębiorstwami lub instytucjami 24,0</w:t>
      </w:r>
      <w:r>
        <w:rPr>
          <w:rFonts w:cs="Calibri"/>
          <w:sz w:val="21"/>
          <w:szCs w:val="21"/>
        </w:rPr>
        <w:t>% przedsiębiorstw przemysłowych</w:t>
      </w:r>
      <w:r w:rsidR="006343E1">
        <w:rPr>
          <w:rFonts w:cs="Calibri"/>
          <w:sz w:val="21"/>
          <w:szCs w:val="21"/>
        </w:rPr>
        <w:t xml:space="preserve"> i </w:t>
      </w:r>
      <w:r w:rsidR="0045359D">
        <w:rPr>
          <w:rFonts w:cs="Calibri"/>
          <w:sz w:val="21"/>
          <w:szCs w:val="21"/>
        </w:rPr>
        <w:t>21,3</w:t>
      </w:r>
      <w:r>
        <w:rPr>
          <w:rFonts w:cs="Calibri"/>
          <w:sz w:val="21"/>
          <w:szCs w:val="21"/>
        </w:rPr>
        <w:t>% usługowych współdziałało</w:t>
      </w:r>
      <w:r w:rsidR="006343E1">
        <w:rPr>
          <w:rFonts w:cs="Calibri"/>
          <w:sz w:val="21"/>
          <w:szCs w:val="21"/>
        </w:rPr>
        <w:t xml:space="preserve"> w </w:t>
      </w:r>
      <w:r>
        <w:rPr>
          <w:rFonts w:cs="Calibri"/>
          <w:sz w:val="21"/>
          <w:szCs w:val="21"/>
        </w:rPr>
        <w:t>ramach klastrów.</w:t>
      </w:r>
    </w:p>
    <w:p w14:paraId="3D57AAD0" w14:textId="0A80C14D" w:rsidR="003C3957" w:rsidRDefault="003C3957" w:rsidP="00BB441D">
      <w:pPr>
        <w:pStyle w:val="Nagwek4"/>
        <w:ind w:left="709" w:hanging="709"/>
      </w:pPr>
      <w:r>
        <w:t>Rys</w:t>
      </w:r>
      <w:r w:rsidR="00682265">
        <w:t>.</w:t>
      </w:r>
      <w:r>
        <w:t xml:space="preserve"> </w:t>
      </w:r>
      <w:fldSimple w:instr=" SEQ &quot;Rysunek_&quot; \* ARABIC ">
        <w:r>
          <w:t>3</w:t>
        </w:r>
      </w:fldSimple>
      <w:r>
        <w:t>. Przedsiębiorstwa, które</w:t>
      </w:r>
      <w:r w:rsidR="006343E1">
        <w:t xml:space="preserve"> w </w:t>
      </w:r>
      <w:r>
        <w:t>latach 2016</w:t>
      </w:r>
      <w:r w:rsidR="002D4CDC">
        <w:rPr>
          <w:rFonts w:ascii="Times New Roman" w:hAnsi="Times New Roman" w:cs="Times New Roman"/>
        </w:rPr>
        <w:t>–</w:t>
      </w:r>
      <w:r w:rsidR="0045359D">
        <w:t xml:space="preserve">2020 </w:t>
      </w:r>
      <w:r>
        <w:t>współpracowały</w:t>
      </w:r>
      <w:r w:rsidR="006343E1">
        <w:t xml:space="preserve"> w </w:t>
      </w:r>
      <w:r>
        <w:t>ramach inicjatywy klastrowej,</w:t>
      </w:r>
      <w:r w:rsidR="006343E1">
        <w:t xml:space="preserve"> w </w:t>
      </w:r>
      <w:r>
        <w:t>%</w:t>
      </w:r>
      <w:r w:rsidR="002D4CDC">
        <w:t> </w:t>
      </w:r>
      <w:r>
        <w:t>przedsiębiorstw współpracujących</w:t>
      </w:r>
      <w:r w:rsidR="006343E1">
        <w:t xml:space="preserve"> </w:t>
      </w:r>
      <w:r w:rsidR="0045359D" w:rsidRPr="008F1A1D">
        <w:t>z innymi przedsiębiorstwami lub instytucjami</w:t>
      </w:r>
    </w:p>
    <w:p w14:paraId="6740CCDF" w14:textId="7503EAE9" w:rsidR="003C3957" w:rsidRPr="007B2DE5" w:rsidRDefault="008F1A1D" w:rsidP="00BB441D">
      <w:pPr>
        <w:tabs>
          <w:tab w:val="left" w:pos="1077"/>
        </w:tabs>
        <w:rPr>
          <w:rFonts w:cs="Calibri"/>
          <w:iCs/>
          <w:sz w:val="21"/>
          <w:szCs w:val="21"/>
        </w:rPr>
      </w:pPr>
      <w:r>
        <w:tab/>
      </w:r>
      <w:r>
        <w:rPr>
          <w:rFonts w:ascii="Arial" w:eastAsia="Times New Roman" w:hAnsi="Arial"/>
          <w:noProof/>
          <w:color w:val="000000"/>
          <w:sz w:val="18"/>
          <w:szCs w:val="18"/>
          <w:lang w:eastAsia="pl-PL"/>
        </w:rPr>
        <mc:AlternateContent>
          <mc:Choice Requires="wpg">
            <w:drawing>
              <wp:inline distT="0" distB="0" distL="0" distR="0" wp14:anchorId="29AC6DE0" wp14:editId="56FFF142">
                <wp:extent cx="3760470" cy="2758440"/>
                <wp:effectExtent l="0" t="0" r="11430" b="22860"/>
                <wp:docPr id="77" name="Grupa 77"/>
                <wp:cNvGraphicFramePr/>
                <a:graphic xmlns:a="http://schemas.openxmlformats.org/drawingml/2006/main">
                  <a:graphicData uri="http://schemas.microsoft.com/office/word/2010/wordprocessingGroup">
                    <wpg:wgp>
                      <wpg:cNvGrpSpPr/>
                      <wpg:grpSpPr>
                        <a:xfrm>
                          <a:off x="0" y="0"/>
                          <a:ext cx="3760470" cy="2758440"/>
                          <a:chOff x="0" y="0"/>
                          <a:chExt cx="3760553" cy="2758771"/>
                        </a:xfrm>
                      </wpg:grpSpPr>
                      <wps:wsp>
                        <wps:cNvPr id="17" name="Prostokąt zaokrąglony 17"/>
                        <wps:cNvSpPr/>
                        <wps:spPr>
                          <a:xfrm>
                            <a:off x="0" y="0"/>
                            <a:ext cx="1152525" cy="2750820"/>
                          </a:xfrm>
                          <a:prstGeom prst="roundRect">
                            <a:avLst/>
                          </a:prstGeom>
                          <a:solidFill>
                            <a:schemeClr val="accent1">
                              <a:lumMod val="40000"/>
                              <a:lumOff val="6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6A88CE" w14:textId="77777777" w:rsidR="009F06E2" w:rsidRDefault="009F06E2" w:rsidP="008F1A1D">
                              <w:pPr>
                                <w:spacing w:before="0"/>
                                <w:jc w:val="center"/>
                                <w:rPr>
                                  <w:b/>
                                </w:rPr>
                              </w:pPr>
                              <w:r w:rsidRPr="003750C7">
                                <w:rPr>
                                  <w:b/>
                                </w:rPr>
                                <w:t>Przemysł</w:t>
                              </w:r>
                            </w:p>
                            <w:p w14:paraId="2E0F253F" w14:textId="77777777" w:rsidR="009F06E2" w:rsidRDefault="009F06E2" w:rsidP="008F1A1D">
                              <w:pPr>
                                <w:spacing w:before="0"/>
                                <w:jc w:val="center"/>
                                <w:rPr>
                                  <w:b/>
                                </w:rPr>
                              </w:pPr>
                            </w:p>
                            <w:p w14:paraId="1614B6A2" w14:textId="77777777" w:rsidR="009F06E2" w:rsidRDefault="009F06E2" w:rsidP="008F1A1D">
                              <w:pPr>
                                <w:spacing w:before="0"/>
                                <w:jc w:val="center"/>
                                <w:rPr>
                                  <w:b/>
                                </w:rPr>
                              </w:pPr>
                            </w:p>
                            <w:p w14:paraId="33AF290A" w14:textId="77777777" w:rsidR="009F06E2" w:rsidRDefault="009F06E2" w:rsidP="008F1A1D">
                              <w:pPr>
                                <w:spacing w:before="0"/>
                                <w:jc w:val="center"/>
                                <w:rPr>
                                  <w:b/>
                                </w:rPr>
                              </w:pPr>
                            </w:p>
                            <w:p w14:paraId="61C62359" w14:textId="77777777" w:rsidR="009F06E2" w:rsidRDefault="009F06E2" w:rsidP="008F1A1D">
                              <w:pPr>
                                <w:spacing w:before="0"/>
                                <w:jc w:val="center"/>
                                <w:rPr>
                                  <w:b/>
                                </w:rPr>
                              </w:pPr>
                            </w:p>
                            <w:p w14:paraId="0946E873" w14:textId="77777777" w:rsidR="009F06E2" w:rsidRDefault="009F06E2" w:rsidP="008F1A1D">
                              <w:pPr>
                                <w:spacing w:before="0"/>
                                <w:jc w:val="center"/>
                                <w:rPr>
                                  <w:b/>
                                </w:rPr>
                              </w:pPr>
                            </w:p>
                            <w:p w14:paraId="00503276" w14:textId="77777777" w:rsidR="009F06E2" w:rsidRDefault="009F06E2" w:rsidP="008F1A1D">
                              <w:pPr>
                                <w:spacing w:before="0"/>
                                <w:jc w:val="center"/>
                                <w:rPr>
                                  <w:b/>
                                </w:rPr>
                              </w:pPr>
                            </w:p>
                            <w:p w14:paraId="1FAC9290" w14:textId="77777777" w:rsidR="009F06E2" w:rsidRDefault="009F06E2" w:rsidP="008F1A1D">
                              <w:pPr>
                                <w:spacing w:before="0"/>
                                <w:jc w:val="center"/>
                                <w:rPr>
                                  <w:b/>
                                </w:rPr>
                              </w:pPr>
                            </w:p>
                            <w:p w14:paraId="3A7F72E9" w14:textId="77777777" w:rsidR="009F06E2" w:rsidRPr="003750C7" w:rsidRDefault="009F06E2" w:rsidP="008F1A1D">
                              <w:pPr>
                                <w:spacing w:before="0"/>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Prostokąt zaokrąglony 20"/>
                        <wps:cNvSpPr/>
                        <wps:spPr>
                          <a:xfrm>
                            <a:off x="47708" y="516834"/>
                            <a:ext cx="1049020" cy="461010"/>
                          </a:xfrm>
                          <a:prstGeom prst="roundRect">
                            <a:avLst/>
                          </a:prstGeom>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681947" w14:textId="77777777" w:rsidR="009F06E2" w:rsidRPr="008F1A1D" w:rsidRDefault="009F06E2" w:rsidP="008F1A1D">
                              <w:pPr>
                                <w:spacing w:before="0" w:after="0"/>
                                <w:jc w:val="center"/>
                                <w:rPr>
                                  <w:color w:val="FFFFFF" w:themeColor="background1"/>
                                  <w:sz w:val="20"/>
                                  <w:szCs w:val="20"/>
                                </w:rPr>
                              </w:pPr>
                              <w:r w:rsidRPr="008F1A1D">
                                <w:rPr>
                                  <w:color w:val="FFFFFF" w:themeColor="background1"/>
                                  <w:sz w:val="20"/>
                                  <w:szCs w:val="20"/>
                                </w:rPr>
                                <w:t>Wysoka technika:</w:t>
                              </w:r>
                              <w:r>
                                <w:rPr>
                                  <w:color w:val="FFFFFF" w:themeColor="background1"/>
                                  <w:sz w:val="20"/>
                                  <w:szCs w:val="20"/>
                                </w:rPr>
                                <w:t xml:space="preserve"> </w:t>
                              </w:r>
                              <w:r w:rsidRPr="008F1A1D">
                                <w:rPr>
                                  <w:color w:val="FFFFFF" w:themeColor="background1"/>
                                  <w:sz w:val="20"/>
                                  <w:szCs w:val="20"/>
                                </w:rPr>
                                <w:t>37,3%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Prostokąt zaokrąglony 29"/>
                        <wps:cNvSpPr/>
                        <wps:spPr>
                          <a:xfrm>
                            <a:off x="47708" y="1041621"/>
                            <a:ext cx="1049020" cy="461010"/>
                          </a:xfrm>
                          <a:prstGeom prst="roundRect">
                            <a:avLst/>
                          </a:prstGeom>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9EA152" w14:textId="3C927B92" w:rsidR="009F06E2" w:rsidRPr="008F1A1D" w:rsidRDefault="009F06E2" w:rsidP="008F1A1D">
                              <w:pPr>
                                <w:spacing w:before="0" w:after="0"/>
                                <w:jc w:val="center"/>
                                <w:rPr>
                                  <w:color w:val="FFFFFF" w:themeColor="background1"/>
                                  <w:sz w:val="20"/>
                                  <w:szCs w:val="20"/>
                                </w:rPr>
                              </w:pPr>
                              <w:r w:rsidRPr="008F1A1D">
                                <w:rPr>
                                  <w:color w:val="FFFFFF" w:themeColor="background1"/>
                                  <w:sz w:val="20"/>
                                  <w:szCs w:val="20"/>
                                </w:rPr>
                                <w:t>Średniowysoka technika: 21,9%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Prostokąt zaokrąglony 36"/>
                        <wps:cNvSpPr/>
                        <wps:spPr>
                          <a:xfrm>
                            <a:off x="47708" y="1574358"/>
                            <a:ext cx="1049020" cy="461010"/>
                          </a:xfrm>
                          <a:prstGeom prst="roundRect">
                            <a:avLst/>
                          </a:prstGeom>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9F892D" w14:textId="5DE5FA66" w:rsidR="009F06E2" w:rsidRPr="008F1A1D" w:rsidRDefault="009F06E2" w:rsidP="008F1A1D">
                              <w:pPr>
                                <w:spacing w:before="0" w:after="0"/>
                                <w:jc w:val="center"/>
                                <w:rPr>
                                  <w:color w:val="FFFFFF" w:themeColor="background1"/>
                                  <w:sz w:val="20"/>
                                  <w:szCs w:val="20"/>
                                </w:rPr>
                              </w:pPr>
                              <w:r w:rsidRPr="008F1A1D">
                                <w:rPr>
                                  <w:color w:val="FFFFFF" w:themeColor="background1"/>
                                  <w:sz w:val="20"/>
                                  <w:szCs w:val="20"/>
                                </w:rPr>
                                <w:t>Średnioniska technika: 23,9%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Prostokąt zaokrąglony 40"/>
                        <wps:cNvSpPr/>
                        <wps:spPr>
                          <a:xfrm>
                            <a:off x="47708" y="2099144"/>
                            <a:ext cx="1049020" cy="461010"/>
                          </a:xfrm>
                          <a:prstGeom prst="roundRect">
                            <a:avLst/>
                          </a:prstGeom>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5E5AA4" w14:textId="77777777" w:rsidR="009F06E2" w:rsidRPr="008F1A1D" w:rsidRDefault="009F06E2" w:rsidP="008F1A1D">
                              <w:pPr>
                                <w:spacing w:before="0" w:after="0"/>
                                <w:jc w:val="center"/>
                                <w:rPr>
                                  <w:color w:val="FFFFFF" w:themeColor="background1"/>
                                  <w:sz w:val="20"/>
                                  <w:szCs w:val="20"/>
                                </w:rPr>
                              </w:pPr>
                              <w:r w:rsidRPr="008F1A1D">
                                <w:rPr>
                                  <w:color w:val="FFFFFF" w:themeColor="background1"/>
                                  <w:sz w:val="20"/>
                                  <w:szCs w:val="20"/>
                                </w:rPr>
                                <w:t>Niska technika: 16,1%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Prostokąt zaokrąglony 41"/>
                        <wps:cNvSpPr/>
                        <wps:spPr>
                          <a:xfrm>
                            <a:off x="1304014" y="7951"/>
                            <a:ext cx="1152525" cy="2750820"/>
                          </a:xfrm>
                          <a:prstGeom prst="roundRect">
                            <a:avLst/>
                          </a:prstGeom>
                          <a:solidFill>
                            <a:schemeClr val="accent1">
                              <a:lumMod val="40000"/>
                              <a:lumOff val="6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C81081" w14:textId="77777777" w:rsidR="009F06E2" w:rsidRDefault="009F06E2" w:rsidP="008F1A1D">
                              <w:pPr>
                                <w:spacing w:before="0"/>
                                <w:jc w:val="center"/>
                                <w:rPr>
                                  <w:b/>
                                </w:rPr>
                              </w:pPr>
                              <w:r>
                                <w:rPr>
                                  <w:b/>
                                </w:rPr>
                                <w:t>Usługi</w:t>
                              </w:r>
                            </w:p>
                            <w:p w14:paraId="192E1748" w14:textId="77777777" w:rsidR="009F06E2" w:rsidRDefault="009F06E2" w:rsidP="008F1A1D">
                              <w:pPr>
                                <w:spacing w:before="0"/>
                                <w:jc w:val="center"/>
                                <w:rPr>
                                  <w:b/>
                                </w:rPr>
                              </w:pPr>
                            </w:p>
                            <w:p w14:paraId="183FE6A5" w14:textId="77777777" w:rsidR="009F06E2" w:rsidRDefault="009F06E2" w:rsidP="008F1A1D">
                              <w:pPr>
                                <w:spacing w:before="0"/>
                                <w:jc w:val="center"/>
                                <w:rPr>
                                  <w:b/>
                                </w:rPr>
                              </w:pPr>
                            </w:p>
                            <w:p w14:paraId="66801856" w14:textId="77777777" w:rsidR="009F06E2" w:rsidRDefault="009F06E2" w:rsidP="008F1A1D">
                              <w:pPr>
                                <w:spacing w:before="0"/>
                                <w:jc w:val="center"/>
                                <w:rPr>
                                  <w:b/>
                                </w:rPr>
                              </w:pPr>
                            </w:p>
                            <w:p w14:paraId="5B32979F" w14:textId="77777777" w:rsidR="009F06E2" w:rsidRDefault="009F06E2" w:rsidP="008F1A1D">
                              <w:pPr>
                                <w:spacing w:before="0"/>
                                <w:jc w:val="center"/>
                                <w:rPr>
                                  <w:b/>
                                </w:rPr>
                              </w:pPr>
                            </w:p>
                            <w:p w14:paraId="3EEF9CAF" w14:textId="77777777" w:rsidR="009F06E2" w:rsidRDefault="009F06E2" w:rsidP="008F1A1D">
                              <w:pPr>
                                <w:spacing w:before="0"/>
                                <w:jc w:val="center"/>
                                <w:rPr>
                                  <w:b/>
                                </w:rPr>
                              </w:pPr>
                            </w:p>
                            <w:p w14:paraId="095AAAF6" w14:textId="77777777" w:rsidR="009F06E2" w:rsidRDefault="009F06E2" w:rsidP="008F1A1D">
                              <w:pPr>
                                <w:spacing w:before="0"/>
                                <w:jc w:val="center"/>
                                <w:rPr>
                                  <w:b/>
                                </w:rPr>
                              </w:pPr>
                            </w:p>
                            <w:p w14:paraId="765D5A7C" w14:textId="77777777" w:rsidR="009F06E2" w:rsidRDefault="009F06E2" w:rsidP="008F1A1D">
                              <w:pPr>
                                <w:spacing w:before="0"/>
                                <w:jc w:val="center"/>
                                <w:rPr>
                                  <w:b/>
                                </w:rPr>
                              </w:pPr>
                            </w:p>
                            <w:p w14:paraId="76652CF2" w14:textId="77777777" w:rsidR="009F06E2" w:rsidRPr="003750C7" w:rsidRDefault="009F06E2" w:rsidP="008F1A1D">
                              <w:pPr>
                                <w:spacing w:before="0"/>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Prostokąt zaokrąglony 45"/>
                        <wps:cNvSpPr/>
                        <wps:spPr>
                          <a:xfrm>
                            <a:off x="1343771" y="1041621"/>
                            <a:ext cx="1049020" cy="993747"/>
                          </a:xfrm>
                          <a:prstGeom prst="roundRect">
                            <a:avLst/>
                          </a:prstGeom>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7A4151" w14:textId="77777777" w:rsidR="009F06E2" w:rsidRPr="008F1A1D" w:rsidRDefault="009F06E2" w:rsidP="008F1A1D">
                              <w:pPr>
                                <w:spacing w:before="0" w:after="0"/>
                                <w:jc w:val="center"/>
                                <w:rPr>
                                  <w:color w:val="FFFFFF" w:themeColor="background1"/>
                                  <w:sz w:val="32"/>
                                  <w:szCs w:val="32"/>
                                </w:rPr>
                              </w:pPr>
                              <w:r>
                                <w:rPr>
                                  <w:color w:val="FFFFFF" w:themeColor="background1"/>
                                  <w:sz w:val="32"/>
                                  <w:szCs w:val="32"/>
                                </w:rPr>
                                <w:t>21,3</w:t>
                              </w:r>
                              <w:r w:rsidRPr="008F1A1D">
                                <w:rPr>
                                  <w:color w:val="FFFFFF" w:themeColor="background1"/>
                                  <w:sz w:val="32"/>
                                  <w:szCs w:val="3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Prostokąt zaokrąglony 65"/>
                        <wps:cNvSpPr/>
                        <wps:spPr>
                          <a:xfrm>
                            <a:off x="2608028" y="7951"/>
                            <a:ext cx="1152525" cy="2750820"/>
                          </a:xfrm>
                          <a:prstGeom prst="roundRect">
                            <a:avLst/>
                          </a:prstGeom>
                          <a:solidFill>
                            <a:schemeClr val="accent1">
                              <a:lumMod val="40000"/>
                              <a:lumOff val="6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288E93" w14:textId="77777777" w:rsidR="009F06E2" w:rsidRDefault="009F06E2" w:rsidP="008F1A1D">
                              <w:pPr>
                                <w:spacing w:before="0"/>
                                <w:jc w:val="center"/>
                                <w:rPr>
                                  <w:b/>
                                </w:rPr>
                              </w:pPr>
                              <w:r>
                                <w:rPr>
                                  <w:b/>
                                </w:rPr>
                                <w:t>Sektor ICT</w:t>
                              </w:r>
                            </w:p>
                            <w:p w14:paraId="79F2888C" w14:textId="77777777" w:rsidR="009F06E2" w:rsidRDefault="009F06E2" w:rsidP="008F1A1D">
                              <w:pPr>
                                <w:spacing w:before="0"/>
                                <w:jc w:val="center"/>
                                <w:rPr>
                                  <w:b/>
                                </w:rPr>
                              </w:pPr>
                            </w:p>
                            <w:p w14:paraId="686D5952" w14:textId="77777777" w:rsidR="009F06E2" w:rsidRDefault="009F06E2" w:rsidP="008F1A1D">
                              <w:pPr>
                                <w:spacing w:before="0"/>
                                <w:jc w:val="center"/>
                                <w:rPr>
                                  <w:b/>
                                </w:rPr>
                              </w:pPr>
                            </w:p>
                            <w:p w14:paraId="46087F5F" w14:textId="77777777" w:rsidR="009F06E2" w:rsidRDefault="009F06E2" w:rsidP="008F1A1D">
                              <w:pPr>
                                <w:spacing w:before="0"/>
                                <w:jc w:val="center"/>
                                <w:rPr>
                                  <w:b/>
                                </w:rPr>
                              </w:pPr>
                            </w:p>
                            <w:p w14:paraId="4F0B3E85" w14:textId="77777777" w:rsidR="009F06E2" w:rsidRDefault="009F06E2" w:rsidP="008F1A1D">
                              <w:pPr>
                                <w:spacing w:before="0"/>
                                <w:jc w:val="center"/>
                                <w:rPr>
                                  <w:b/>
                                </w:rPr>
                              </w:pPr>
                            </w:p>
                            <w:p w14:paraId="7D6A5A71" w14:textId="77777777" w:rsidR="009F06E2" w:rsidRDefault="009F06E2" w:rsidP="008F1A1D">
                              <w:pPr>
                                <w:spacing w:before="0"/>
                                <w:jc w:val="center"/>
                                <w:rPr>
                                  <w:b/>
                                </w:rPr>
                              </w:pPr>
                            </w:p>
                            <w:p w14:paraId="741C90FE" w14:textId="77777777" w:rsidR="009F06E2" w:rsidRDefault="009F06E2" w:rsidP="008F1A1D">
                              <w:pPr>
                                <w:spacing w:before="0"/>
                                <w:jc w:val="center"/>
                                <w:rPr>
                                  <w:b/>
                                </w:rPr>
                              </w:pPr>
                            </w:p>
                            <w:p w14:paraId="06F3485A" w14:textId="77777777" w:rsidR="009F06E2" w:rsidRDefault="009F06E2" w:rsidP="008F1A1D">
                              <w:pPr>
                                <w:spacing w:before="0"/>
                                <w:jc w:val="center"/>
                                <w:rPr>
                                  <w:b/>
                                </w:rPr>
                              </w:pPr>
                            </w:p>
                            <w:p w14:paraId="3E2B63B6" w14:textId="77777777" w:rsidR="009F06E2" w:rsidRPr="003750C7" w:rsidRDefault="009F06E2" w:rsidP="008F1A1D">
                              <w:pPr>
                                <w:spacing w:before="0"/>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Prostokąt zaokrąglony 66"/>
                        <wps:cNvSpPr/>
                        <wps:spPr>
                          <a:xfrm>
                            <a:off x="2655736" y="516834"/>
                            <a:ext cx="1049020" cy="787180"/>
                          </a:xfrm>
                          <a:prstGeom prst="roundRect">
                            <a:avLst/>
                          </a:prstGeom>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9D0DBE" w14:textId="77777777" w:rsidR="009F06E2" w:rsidRPr="008F1A1D" w:rsidRDefault="009F06E2" w:rsidP="008F1A1D">
                              <w:pPr>
                                <w:spacing w:before="0" w:after="0"/>
                                <w:jc w:val="center"/>
                                <w:rPr>
                                  <w:color w:val="FFFFFF" w:themeColor="background1"/>
                                </w:rPr>
                              </w:pPr>
                              <w:r w:rsidRPr="008F1A1D">
                                <w:rPr>
                                  <w:color w:val="FFFFFF" w:themeColor="background1"/>
                                </w:rPr>
                                <w:t xml:space="preserve">Usługi ICT: </w:t>
                              </w:r>
                              <w:r>
                                <w:rPr>
                                  <w:color w:val="FFFFFF" w:themeColor="background1"/>
                                </w:rPr>
                                <w:t>28</w:t>
                              </w:r>
                              <w:r w:rsidRPr="008F1A1D">
                                <w:rPr>
                                  <w:color w:val="FFFFFF" w:themeColor="background1"/>
                                </w:rPr>
                                <w:t>,</w:t>
                              </w:r>
                              <w:r>
                                <w:rPr>
                                  <w:color w:val="FFFFFF" w:themeColor="background1"/>
                                </w:rPr>
                                <w:t>4</w:t>
                              </w:r>
                              <w:r w:rsidRPr="008F1A1D">
                                <w:rPr>
                                  <w:color w:val="FFFFFF" w:themeColor="background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Prostokąt zaokrąglony 67"/>
                        <wps:cNvSpPr/>
                        <wps:spPr>
                          <a:xfrm>
                            <a:off x="2655736" y="1637968"/>
                            <a:ext cx="1049020" cy="787180"/>
                          </a:xfrm>
                          <a:prstGeom prst="roundRect">
                            <a:avLst/>
                          </a:prstGeom>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24F696" w14:textId="77777777" w:rsidR="009F06E2" w:rsidRPr="008F1A1D" w:rsidRDefault="009F06E2" w:rsidP="008F1A1D">
                              <w:pPr>
                                <w:spacing w:before="0" w:after="0"/>
                                <w:jc w:val="center"/>
                                <w:rPr>
                                  <w:color w:val="FFFFFF" w:themeColor="background1"/>
                                </w:rPr>
                              </w:pPr>
                              <w:r>
                                <w:rPr>
                                  <w:color w:val="FFFFFF" w:themeColor="background1"/>
                                </w:rPr>
                                <w:t>Produkcja</w:t>
                              </w:r>
                              <w:r w:rsidRPr="008F1A1D">
                                <w:rPr>
                                  <w:color w:val="FFFFFF" w:themeColor="background1"/>
                                </w:rPr>
                                <w:t xml:space="preserve"> ICT: </w:t>
                              </w:r>
                              <w:r>
                                <w:rPr>
                                  <w:color w:val="FFFFFF" w:themeColor="background1"/>
                                </w:rPr>
                                <w:t>27,0</w:t>
                              </w:r>
                              <w:r w:rsidRPr="008F1A1D">
                                <w:rPr>
                                  <w:color w:val="FFFFFF" w:themeColor="background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9AC6DE0" id="Grupa 77" o:spid="_x0000_s1036" style="width:296.1pt;height:217.2pt;mso-position-horizontal-relative:char;mso-position-vertical-relative:line" coordsize="37605,27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">
                <v:roundrect id="Prostokąt zaokrąglony 17" o:spid="_x0000_s1037" style="position:absolute;width:11525;height:2750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" fillcolor="#b8cce4 [1300]" strokecolor="#dbe5f1 [660]" strokeweight="2pt">
                  <v:textbox>
                    <w:txbxContent>
                      <w:p w14:paraId="4C6A88CE" w14:textId="77777777" w:rsidR="009F06E2" w:rsidRDefault="009F06E2" w:rsidP="008F1A1D">
                        <w:pPr>
                          <w:spacing w:before="0"/>
                          <w:jc w:val="center"/>
                          <w:rPr>
                            <w:b/>
                          </w:rPr>
                        </w:pPr>
                        <w:r w:rsidRPr="003750C7">
                          <w:rPr>
                            <w:b/>
                          </w:rPr>
                          <w:t>Przemysł</w:t>
                        </w:r>
                      </w:p>
                      <w:p w14:paraId="2E0F253F" w14:textId="77777777" w:rsidR="009F06E2" w:rsidRDefault="009F06E2" w:rsidP="008F1A1D">
                        <w:pPr>
                          <w:spacing w:before="0"/>
                          <w:jc w:val="center"/>
                          <w:rPr>
                            <w:b/>
                          </w:rPr>
                        </w:pPr>
                      </w:p>
                      <w:p w14:paraId="1614B6A2" w14:textId="77777777" w:rsidR="009F06E2" w:rsidRDefault="009F06E2" w:rsidP="008F1A1D">
                        <w:pPr>
                          <w:spacing w:before="0"/>
                          <w:jc w:val="center"/>
                          <w:rPr>
                            <w:b/>
                          </w:rPr>
                        </w:pPr>
                      </w:p>
                      <w:p w14:paraId="33AF290A" w14:textId="77777777" w:rsidR="009F06E2" w:rsidRDefault="009F06E2" w:rsidP="008F1A1D">
                        <w:pPr>
                          <w:spacing w:before="0"/>
                          <w:jc w:val="center"/>
                          <w:rPr>
                            <w:b/>
                          </w:rPr>
                        </w:pPr>
                      </w:p>
                      <w:p w14:paraId="61C62359" w14:textId="77777777" w:rsidR="009F06E2" w:rsidRDefault="009F06E2" w:rsidP="008F1A1D">
                        <w:pPr>
                          <w:spacing w:before="0"/>
                          <w:jc w:val="center"/>
                          <w:rPr>
                            <w:b/>
                          </w:rPr>
                        </w:pPr>
                      </w:p>
                      <w:p w14:paraId="0946E873" w14:textId="77777777" w:rsidR="009F06E2" w:rsidRDefault="009F06E2" w:rsidP="008F1A1D">
                        <w:pPr>
                          <w:spacing w:before="0"/>
                          <w:jc w:val="center"/>
                          <w:rPr>
                            <w:b/>
                          </w:rPr>
                        </w:pPr>
                      </w:p>
                      <w:p w14:paraId="00503276" w14:textId="77777777" w:rsidR="009F06E2" w:rsidRDefault="009F06E2" w:rsidP="008F1A1D">
                        <w:pPr>
                          <w:spacing w:before="0"/>
                          <w:jc w:val="center"/>
                          <w:rPr>
                            <w:b/>
                          </w:rPr>
                        </w:pPr>
                      </w:p>
                      <w:p w14:paraId="1FAC9290" w14:textId="77777777" w:rsidR="009F06E2" w:rsidRDefault="009F06E2" w:rsidP="008F1A1D">
                        <w:pPr>
                          <w:spacing w:before="0"/>
                          <w:jc w:val="center"/>
                          <w:rPr>
                            <w:b/>
                          </w:rPr>
                        </w:pPr>
                      </w:p>
                      <w:p w14:paraId="3A7F72E9" w14:textId="77777777" w:rsidR="009F06E2" w:rsidRPr="003750C7" w:rsidRDefault="009F06E2" w:rsidP="008F1A1D">
                        <w:pPr>
                          <w:spacing w:before="0"/>
                          <w:jc w:val="center"/>
                          <w:rPr>
                            <w:b/>
                          </w:rPr>
                        </w:pPr>
                      </w:p>
                    </w:txbxContent>
                  </v:textbox>
                </v:roundrect>
                <v:roundrect id="Prostokąt zaokrąglony 20" o:spid="_x0000_s1038" style="position:absolute;left:477;top:5168;width:10490;height:46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" fillcolor="#4f81bd [3204]" strokecolor="white [3212]" strokeweight="2pt">
                  <v:textbox>
                    <w:txbxContent>
                      <w:p w14:paraId="46681947" w14:textId="77777777" w:rsidR="009F06E2" w:rsidRPr="008F1A1D" w:rsidRDefault="009F06E2" w:rsidP="008F1A1D">
                        <w:pPr>
                          <w:spacing w:before="0" w:after="0"/>
                          <w:jc w:val="center"/>
                          <w:rPr>
                            <w:color w:val="FFFFFF" w:themeColor="background1"/>
                            <w:sz w:val="20"/>
                            <w:szCs w:val="20"/>
                          </w:rPr>
                        </w:pPr>
                        <w:r w:rsidRPr="008F1A1D">
                          <w:rPr>
                            <w:color w:val="FFFFFF" w:themeColor="background1"/>
                            <w:sz w:val="20"/>
                            <w:szCs w:val="20"/>
                          </w:rPr>
                          <w:t>Wysoka technika:</w:t>
                        </w:r>
                        <w:r>
                          <w:rPr>
                            <w:color w:val="FFFFFF" w:themeColor="background1"/>
                            <w:sz w:val="20"/>
                            <w:szCs w:val="20"/>
                          </w:rPr>
                          <w:t xml:space="preserve"> </w:t>
                        </w:r>
                        <w:r w:rsidRPr="008F1A1D">
                          <w:rPr>
                            <w:color w:val="FFFFFF" w:themeColor="background1"/>
                            <w:sz w:val="20"/>
                            <w:szCs w:val="20"/>
                          </w:rPr>
                          <w:t>37,3%</w:t>
                        </w:r>
                      </w:p>
                    </w:txbxContent>
                  </v:textbox>
                </v:roundrect>
                <v:roundrect id="Prostokąt zaokrąglony 29" o:spid="_x0000_s1039" style="position:absolute;left:477;top:10416;width:10490;height:46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" fillcolor="#4f81bd [3204]" strokecolor="white [3212]" strokeweight="2pt">
                  <v:textbox>
                    <w:txbxContent>
                      <w:p w14:paraId="229EA152" w14:textId="3C927B92" w:rsidR="009F06E2" w:rsidRPr="008F1A1D" w:rsidRDefault="009F06E2" w:rsidP="008F1A1D">
                        <w:pPr>
                          <w:spacing w:before="0" w:after="0"/>
                          <w:jc w:val="center"/>
                          <w:rPr>
                            <w:color w:val="FFFFFF" w:themeColor="background1"/>
                            <w:sz w:val="20"/>
                            <w:szCs w:val="20"/>
                          </w:rPr>
                        </w:pPr>
                        <w:r w:rsidRPr="008F1A1D">
                          <w:rPr>
                            <w:color w:val="FFFFFF" w:themeColor="background1"/>
                            <w:sz w:val="20"/>
                            <w:szCs w:val="20"/>
                          </w:rPr>
                          <w:t>Średniowysoka technika: 21,9%</w:t>
                        </w:r>
                      </w:p>
                    </w:txbxContent>
                  </v:textbox>
                </v:roundrect>
                <v:roundrect id="Prostokąt zaokrąglony 36" o:spid="_x0000_s1040" style="position:absolute;left:477;top:15743;width:10490;height:46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" fillcolor="#4f81bd [3204]" strokecolor="white [3212]" strokeweight="2pt">
                  <v:textbox>
                    <w:txbxContent>
                      <w:p w14:paraId="3A9F892D" w14:textId="5DE5FA66" w:rsidR="009F06E2" w:rsidRPr="008F1A1D" w:rsidRDefault="009F06E2" w:rsidP="008F1A1D">
                        <w:pPr>
                          <w:spacing w:before="0" w:after="0"/>
                          <w:jc w:val="center"/>
                          <w:rPr>
                            <w:color w:val="FFFFFF" w:themeColor="background1"/>
                            <w:sz w:val="20"/>
                            <w:szCs w:val="20"/>
                          </w:rPr>
                        </w:pPr>
                        <w:r w:rsidRPr="008F1A1D">
                          <w:rPr>
                            <w:color w:val="FFFFFF" w:themeColor="background1"/>
                            <w:sz w:val="20"/>
                            <w:szCs w:val="20"/>
                          </w:rPr>
                          <w:t>Średnioniska technika: 23,9%</w:t>
                        </w:r>
                      </w:p>
                    </w:txbxContent>
                  </v:textbox>
                </v:roundrect>
                <v:roundrect id="Prostokąt zaokrąglony 40" o:spid="_x0000_s1041" style="position:absolute;left:477;top:20991;width:10490;height:46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" fillcolor="#4f81bd [3204]" strokecolor="white [3212]" strokeweight="2pt">
                  <v:textbox>
                    <w:txbxContent>
                      <w:p w14:paraId="155E5AA4" w14:textId="77777777" w:rsidR="009F06E2" w:rsidRPr="008F1A1D" w:rsidRDefault="009F06E2" w:rsidP="008F1A1D">
                        <w:pPr>
                          <w:spacing w:before="0" w:after="0"/>
                          <w:jc w:val="center"/>
                          <w:rPr>
                            <w:color w:val="FFFFFF" w:themeColor="background1"/>
                            <w:sz w:val="20"/>
                            <w:szCs w:val="20"/>
                          </w:rPr>
                        </w:pPr>
                        <w:r w:rsidRPr="008F1A1D">
                          <w:rPr>
                            <w:color w:val="FFFFFF" w:themeColor="background1"/>
                            <w:sz w:val="20"/>
                            <w:szCs w:val="20"/>
                          </w:rPr>
                          <w:t>Niska technika: 16,1%</w:t>
                        </w:r>
                      </w:p>
                    </w:txbxContent>
                  </v:textbox>
                </v:roundrect>
                <v:roundrect id="Prostokąt zaokrąglony 41" o:spid="_x0000_s1042" style="position:absolute;left:13040;top:79;width:11525;height:2750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" fillcolor="#b8cce4 [1300]" strokecolor="#dbe5f1 [660]" strokeweight="2pt">
                  <v:textbox>
                    <w:txbxContent>
                      <w:p w14:paraId="5FC81081" w14:textId="77777777" w:rsidR="009F06E2" w:rsidRDefault="009F06E2" w:rsidP="008F1A1D">
                        <w:pPr>
                          <w:spacing w:before="0"/>
                          <w:jc w:val="center"/>
                          <w:rPr>
                            <w:b/>
                          </w:rPr>
                        </w:pPr>
                        <w:r>
                          <w:rPr>
                            <w:b/>
                          </w:rPr>
                          <w:t>Usługi</w:t>
                        </w:r>
                      </w:p>
                      <w:p w14:paraId="192E1748" w14:textId="77777777" w:rsidR="009F06E2" w:rsidRDefault="009F06E2" w:rsidP="008F1A1D">
                        <w:pPr>
                          <w:spacing w:before="0"/>
                          <w:jc w:val="center"/>
                          <w:rPr>
                            <w:b/>
                          </w:rPr>
                        </w:pPr>
                      </w:p>
                      <w:p w14:paraId="183FE6A5" w14:textId="77777777" w:rsidR="009F06E2" w:rsidRDefault="009F06E2" w:rsidP="008F1A1D">
                        <w:pPr>
                          <w:spacing w:before="0"/>
                          <w:jc w:val="center"/>
                          <w:rPr>
                            <w:b/>
                          </w:rPr>
                        </w:pPr>
                      </w:p>
                      <w:p w14:paraId="66801856" w14:textId="77777777" w:rsidR="009F06E2" w:rsidRDefault="009F06E2" w:rsidP="008F1A1D">
                        <w:pPr>
                          <w:spacing w:before="0"/>
                          <w:jc w:val="center"/>
                          <w:rPr>
                            <w:b/>
                          </w:rPr>
                        </w:pPr>
                      </w:p>
                      <w:p w14:paraId="5B32979F" w14:textId="77777777" w:rsidR="009F06E2" w:rsidRDefault="009F06E2" w:rsidP="008F1A1D">
                        <w:pPr>
                          <w:spacing w:before="0"/>
                          <w:jc w:val="center"/>
                          <w:rPr>
                            <w:b/>
                          </w:rPr>
                        </w:pPr>
                      </w:p>
                      <w:p w14:paraId="3EEF9CAF" w14:textId="77777777" w:rsidR="009F06E2" w:rsidRDefault="009F06E2" w:rsidP="008F1A1D">
                        <w:pPr>
                          <w:spacing w:before="0"/>
                          <w:jc w:val="center"/>
                          <w:rPr>
                            <w:b/>
                          </w:rPr>
                        </w:pPr>
                      </w:p>
                      <w:p w14:paraId="095AAAF6" w14:textId="77777777" w:rsidR="009F06E2" w:rsidRDefault="009F06E2" w:rsidP="008F1A1D">
                        <w:pPr>
                          <w:spacing w:before="0"/>
                          <w:jc w:val="center"/>
                          <w:rPr>
                            <w:b/>
                          </w:rPr>
                        </w:pPr>
                      </w:p>
                      <w:p w14:paraId="765D5A7C" w14:textId="77777777" w:rsidR="009F06E2" w:rsidRDefault="009F06E2" w:rsidP="008F1A1D">
                        <w:pPr>
                          <w:spacing w:before="0"/>
                          <w:jc w:val="center"/>
                          <w:rPr>
                            <w:b/>
                          </w:rPr>
                        </w:pPr>
                      </w:p>
                      <w:p w14:paraId="76652CF2" w14:textId="77777777" w:rsidR="009F06E2" w:rsidRPr="003750C7" w:rsidRDefault="009F06E2" w:rsidP="008F1A1D">
                        <w:pPr>
                          <w:spacing w:before="0"/>
                          <w:jc w:val="center"/>
                          <w:rPr>
                            <w:b/>
                          </w:rPr>
                        </w:pPr>
                      </w:p>
                    </w:txbxContent>
                  </v:textbox>
                </v:roundrect>
                <v:roundrect id="Prostokąt zaokrąglony 45" o:spid="_x0000_s1043" style="position:absolute;left:13437;top:10416;width:10490;height:99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" fillcolor="#4f81bd [3204]" strokecolor="white [3212]" strokeweight="2pt">
                  <v:textbox>
                    <w:txbxContent>
                      <w:p w14:paraId="227A4151" w14:textId="77777777" w:rsidR="009F06E2" w:rsidRPr="008F1A1D" w:rsidRDefault="009F06E2" w:rsidP="008F1A1D">
                        <w:pPr>
                          <w:spacing w:before="0" w:after="0"/>
                          <w:jc w:val="center"/>
                          <w:rPr>
                            <w:color w:val="FFFFFF" w:themeColor="background1"/>
                            <w:sz w:val="32"/>
                            <w:szCs w:val="32"/>
                          </w:rPr>
                        </w:pPr>
                        <w:r>
                          <w:rPr>
                            <w:color w:val="FFFFFF" w:themeColor="background1"/>
                            <w:sz w:val="32"/>
                            <w:szCs w:val="32"/>
                          </w:rPr>
                          <w:t>21,3</w:t>
                        </w:r>
                        <w:r w:rsidRPr="008F1A1D">
                          <w:rPr>
                            <w:color w:val="FFFFFF" w:themeColor="background1"/>
                            <w:sz w:val="32"/>
                            <w:szCs w:val="32"/>
                          </w:rPr>
                          <w:t>%</w:t>
                        </w:r>
                      </w:p>
                    </w:txbxContent>
                  </v:textbox>
                </v:roundrect>
                <v:roundrect id="Prostokąt zaokrąglony 65" o:spid="_x0000_s1044" style="position:absolute;left:26080;top:79;width:11525;height:2750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" fillcolor="#b8cce4 [1300]" strokecolor="#dbe5f1 [660]" strokeweight="2pt">
                  <v:textbox>
                    <w:txbxContent>
                      <w:p w14:paraId="47288E93" w14:textId="77777777" w:rsidR="009F06E2" w:rsidRDefault="009F06E2" w:rsidP="008F1A1D">
                        <w:pPr>
                          <w:spacing w:before="0"/>
                          <w:jc w:val="center"/>
                          <w:rPr>
                            <w:b/>
                          </w:rPr>
                        </w:pPr>
                        <w:r>
                          <w:rPr>
                            <w:b/>
                          </w:rPr>
                          <w:t>Sektor ICT</w:t>
                        </w:r>
                      </w:p>
                      <w:p w14:paraId="79F2888C" w14:textId="77777777" w:rsidR="009F06E2" w:rsidRDefault="009F06E2" w:rsidP="008F1A1D">
                        <w:pPr>
                          <w:spacing w:before="0"/>
                          <w:jc w:val="center"/>
                          <w:rPr>
                            <w:b/>
                          </w:rPr>
                        </w:pPr>
                      </w:p>
                      <w:p w14:paraId="686D5952" w14:textId="77777777" w:rsidR="009F06E2" w:rsidRDefault="009F06E2" w:rsidP="008F1A1D">
                        <w:pPr>
                          <w:spacing w:before="0"/>
                          <w:jc w:val="center"/>
                          <w:rPr>
                            <w:b/>
                          </w:rPr>
                        </w:pPr>
                      </w:p>
                      <w:p w14:paraId="46087F5F" w14:textId="77777777" w:rsidR="009F06E2" w:rsidRDefault="009F06E2" w:rsidP="008F1A1D">
                        <w:pPr>
                          <w:spacing w:before="0"/>
                          <w:jc w:val="center"/>
                          <w:rPr>
                            <w:b/>
                          </w:rPr>
                        </w:pPr>
                      </w:p>
                      <w:p w14:paraId="4F0B3E85" w14:textId="77777777" w:rsidR="009F06E2" w:rsidRDefault="009F06E2" w:rsidP="008F1A1D">
                        <w:pPr>
                          <w:spacing w:before="0"/>
                          <w:jc w:val="center"/>
                          <w:rPr>
                            <w:b/>
                          </w:rPr>
                        </w:pPr>
                      </w:p>
                      <w:p w14:paraId="7D6A5A71" w14:textId="77777777" w:rsidR="009F06E2" w:rsidRDefault="009F06E2" w:rsidP="008F1A1D">
                        <w:pPr>
                          <w:spacing w:before="0"/>
                          <w:jc w:val="center"/>
                          <w:rPr>
                            <w:b/>
                          </w:rPr>
                        </w:pPr>
                      </w:p>
                      <w:p w14:paraId="741C90FE" w14:textId="77777777" w:rsidR="009F06E2" w:rsidRDefault="009F06E2" w:rsidP="008F1A1D">
                        <w:pPr>
                          <w:spacing w:before="0"/>
                          <w:jc w:val="center"/>
                          <w:rPr>
                            <w:b/>
                          </w:rPr>
                        </w:pPr>
                      </w:p>
                      <w:p w14:paraId="06F3485A" w14:textId="77777777" w:rsidR="009F06E2" w:rsidRDefault="009F06E2" w:rsidP="008F1A1D">
                        <w:pPr>
                          <w:spacing w:before="0"/>
                          <w:jc w:val="center"/>
                          <w:rPr>
                            <w:b/>
                          </w:rPr>
                        </w:pPr>
                      </w:p>
                      <w:p w14:paraId="3E2B63B6" w14:textId="77777777" w:rsidR="009F06E2" w:rsidRPr="003750C7" w:rsidRDefault="009F06E2" w:rsidP="008F1A1D">
                        <w:pPr>
                          <w:spacing w:before="0"/>
                          <w:jc w:val="center"/>
                          <w:rPr>
                            <w:b/>
                          </w:rPr>
                        </w:pPr>
                      </w:p>
                    </w:txbxContent>
                  </v:textbox>
                </v:roundrect>
                <v:roundrect id="Prostokąt zaokrąglony 66" o:spid="_x0000_s1045" style="position:absolute;left:26557;top:5168;width:10490;height:78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" fillcolor="#4f81bd [3204]" strokecolor="white [3212]" strokeweight="2pt">
                  <v:textbox>
                    <w:txbxContent>
                      <w:p w14:paraId="219D0DBE" w14:textId="77777777" w:rsidR="009F06E2" w:rsidRPr="008F1A1D" w:rsidRDefault="009F06E2" w:rsidP="008F1A1D">
                        <w:pPr>
                          <w:spacing w:before="0" w:after="0"/>
                          <w:jc w:val="center"/>
                          <w:rPr>
                            <w:color w:val="FFFFFF" w:themeColor="background1"/>
                          </w:rPr>
                        </w:pPr>
                        <w:r w:rsidRPr="008F1A1D">
                          <w:rPr>
                            <w:color w:val="FFFFFF" w:themeColor="background1"/>
                          </w:rPr>
                          <w:t xml:space="preserve">Usługi ICT: </w:t>
                        </w:r>
                        <w:r>
                          <w:rPr>
                            <w:color w:val="FFFFFF" w:themeColor="background1"/>
                          </w:rPr>
                          <w:t>28</w:t>
                        </w:r>
                        <w:r w:rsidRPr="008F1A1D">
                          <w:rPr>
                            <w:color w:val="FFFFFF" w:themeColor="background1"/>
                          </w:rPr>
                          <w:t>,</w:t>
                        </w:r>
                        <w:r>
                          <w:rPr>
                            <w:color w:val="FFFFFF" w:themeColor="background1"/>
                          </w:rPr>
                          <w:t>4</w:t>
                        </w:r>
                        <w:r w:rsidRPr="008F1A1D">
                          <w:rPr>
                            <w:color w:val="FFFFFF" w:themeColor="background1"/>
                          </w:rPr>
                          <w:t>%</w:t>
                        </w:r>
                      </w:p>
                    </w:txbxContent>
                  </v:textbox>
                </v:roundrect>
                <v:roundrect id="Prostokąt zaokrąglony 67" o:spid="_x0000_s1046" style="position:absolute;left:26557;top:16379;width:10490;height:78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" fillcolor="#4f81bd [3204]" strokecolor="white [3212]" strokeweight="2pt">
                  <v:textbox>
                    <w:txbxContent>
                      <w:p w14:paraId="2124F696" w14:textId="77777777" w:rsidR="009F06E2" w:rsidRPr="008F1A1D" w:rsidRDefault="009F06E2" w:rsidP="008F1A1D">
                        <w:pPr>
                          <w:spacing w:before="0" w:after="0"/>
                          <w:jc w:val="center"/>
                          <w:rPr>
                            <w:color w:val="FFFFFF" w:themeColor="background1"/>
                          </w:rPr>
                        </w:pPr>
                        <w:r>
                          <w:rPr>
                            <w:color w:val="FFFFFF" w:themeColor="background1"/>
                          </w:rPr>
                          <w:t>Produkcja</w:t>
                        </w:r>
                        <w:r w:rsidRPr="008F1A1D">
                          <w:rPr>
                            <w:color w:val="FFFFFF" w:themeColor="background1"/>
                          </w:rPr>
                          <w:t xml:space="preserve"> ICT: </w:t>
                        </w:r>
                        <w:r>
                          <w:rPr>
                            <w:color w:val="FFFFFF" w:themeColor="background1"/>
                          </w:rPr>
                          <w:t>27,0</w:t>
                        </w:r>
                        <w:r w:rsidRPr="008F1A1D">
                          <w:rPr>
                            <w:color w:val="FFFFFF" w:themeColor="background1"/>
                          </w:rPr>
                          <w:t>%</w:t>
                        </w:r>
                      </w:p>
                    </w:txbxContent>
                  </v:textbox>
                </v:roundrect>
                <w10:anchorlock/>
              </v:group>
            </w:pict>
          </mc:Fallback>
        </mc:AlternateContent>
      </w:r>
    </w:p>
    <w:p w14:paraId="75D559C3" w14:textId="68017231" w:rsidR="003C3957" w:rsidRDefault="003C3957" w:rsidP="00CC26C8">
      <w:pPr>
        <w:pStyle w:val="Bezodstpw"/>
      </w:pPr>
      <w:r>
        <w:lastRenderedPageBreak/>
        <w:t xml:space="preserve">Źródło: Opracowanie </w:t>
      </w:r>
      <w:r w:rsidR="003A56DA">
        <w:t>MRiT</w:t>
      </w:r>
      <w:r w:rsidR="003A5EA7">
        <w:t xml:space="preserve"> </w:t>
      </w:r>
      <w:r>
        <w:t>na podstawie danych GUS (</w:t>
      </w:r>
      <w:r w:rsidR="00BB441D">
        <w:t>2</w:t>
      </w:r>
      <w:r>
        <w:t>0</w:t>
      </w:r>
      <w:r w:rsidR="0045359D">
        <w:t>21</w:t>
      </w:r>
      <w:r>
        <w:t>).</w:t>
      </w:r>
    </w:p>
    <w:p w14:paraId="14E1776B" w14:textId="5B2E72FE" w:rsidR="003C3957" w:rsidRDefault="003C3957" w:rsidP="003C3957">
      <w:pPr>
        <w:spacing w:after="0" w:line="240" w:lineRule="auto"/>
      </w:pPr>
      <w:r>
        <w:rPr>
          <w:rFonts w:cs="Calibri"/>
          <w:sz w:val="21"/>
          <w:szCs w:val="21"/>
        </w:rPr>
        <w:t>Wzmocnienie kapitału ludzkiego</w:t>
      </w:r>
      <w:r w:rsidR="006343E1">
        <w:rPr>
          <w:rFonts w:cs="Calibri"/>
          <w:sz w:val="21"/>
          <w:szCs w:val="21"/>
        </w:rPr>
        <w:t xml:space="preserve"> i </w:t>
      </w:r>
      <w:r>
        <w:rPr>
          <w:rFonts w:cs="Calibri"/>
          <w:sz w:val="21"/>
          <w:szCs w:val="21"/>
        </w:rPr>
        <w:t xml:space="preserve">społecznego poprzez kształtowanie postaw proinnowacyjnych przejawiających się większą otwartością na współpracę, szeroko </w:t>
      </w:r>
      <w:r w:rsidRPr="002A29F7">
        <w:rPr>
          <w:rFonts w:cs="Calibri"/>
          <w:sz w:val="21"/>
          <w:szCs w:val="21"/>
        </w:rPr>
        <w:t>rozumian</w:t>
      </w:r>
      <w:r w:rsidR="002D4CDC" w:rsidRPr="002A29F7">
        <w:rPr>
          <w:rFonts w:cs="Calibri"/>
          <w:sz w:val="21"/>
          <w:szCs w:val="21"/>
        </w:rPr>
        <w:t>ą</w:t>
      </w:r>
      <w:r w:rsidRPr="002A29F7">
        <w:rPr>
          <w:rFonts w:cs="Calibri"/>
          <w:sz w:val="21"/>
          <w:szCs w:val="21"/>
        </w:rPr>
        <w:t xml:space="preserve"> przedsiębiorczości</w:t>
      </w:r>
      <w:r w:rsidR="002D4CDC" w:rsidRPr="002A29F7">
        <w:rPr>
          <w:rFonts w:cs="Calibri"/>
          <w:sz w:val="21"/>
          <w:szCs w:val="21"/>
        </w:rPr>
        <w:t>ą</w:t>
      </w:r>
      <w:r>
        <w:rPr>
          <w:rFonts w:cs="Calibri"/>
          <w:sz w:val="21"/>
          <w:szCs w:val="21"/>
        </w:rPr>
        <w:t xml:space="preserve"> i </w:t>
      </w:r>
      <w:r w:rsidRPr="002A29F7">
        <w:rPr>
          <w:rFonts w:cs="Calibri"/>
          <w:sz w:val="21"/>
          <w:szCs w:val="21"/>
        </w:rPr>
        <w:t>przemodelowani</w:t>
      </w:r>
      <w:r w:rsidR="002D4CDC" w:rsidRPr="002A29F7">
        <w:rPr>
          <w:rFonts w:cs="Calibri"/>
          <w:sz w:val="21"/>
          <w:szCs w:val="21"/>
        </w:rPr>
        <w:t>em</w:t>
      </w:r>
      <w:r>
        <w:rPr>
          <w:rFonts w:cs="Calibri"/>
          <w:sz w:val="21"/>
          <w:szCs w:val="21"/>
        </w:rPr>
        <w:t xml:space="preserve"> podejścia do porażki, sprzyja tworzeniu innowacji.</w:t>
      </w:r>
      <w:r w:rsidR="006343E1">
        <w:rPr>
          <w:rFonts w:cs="Calibri"/>
          <w:sz w:val="21"/>
          <w:szCs w:val="21"/>
        </w:rPr>
        <w:t xml:space="preserve"> W </w:t>
      </w:r>
      <w:r>
        <w:rPr>
          <w:rFonts w:cs="Calibri"/>
          <w:sz w:val="21"/>
          <w:szCs w:val="21"/>
        </w:rPr>
        <w:t>tym kontekście poziom współpracy między wszystkimi zaangażowanymi stronami</w:t>
      </w:r>
      <w:r w:rsidR="002D4CDC">
        <w:rPr>
          <w:rFonts w:cs="Calibri"/>
          <w:sz w:val="21"/>
          <w:szCs w:val="21"/>
        </w:rPr>
        <w:t>,</w:t>
      </w:r>
      <w:r>
        <w:rPr>
          <w:rFonts w:cs="Calibri"/>
          <w:sz w:val="21"/>
          <w:szCs w:val="21"/>
        </w:rPr>
        <w:t xml:space="preserve"> tj. przedsiębiorstwami, sektorem nauki i instytucjami</w:t>
      </w:r>
      <w:r w:rsidR="002D4CDC">
        <w:rPr>
          <w:rFonts w:cs="Calibri"/>
          <w:sz w:val="21"/>
          <w:szCs w:val="21"/>
        </w:rPr>
        <w:t>,</w:t>
      </w:r>
      <w:r>
        <w:rPr>
          <w:rFonts w:cs="Calibri"/>
          <w:sz w:val="21"/>
          <w:szCs w:val="21"/>
        </w:rPr>
        <w:t xml:space="preserve"> jest niezadowalający. Problem jest jednak szerszy,</w:t>
      </w:r>
      <w:r w:rsidR="006343E1">
        <w:rPr>
          <w:rFonts w:cs="Calibri"/>
          <w:sz w:val="21"/>
          <w:szCs w:val="21"/>
        </w:rPr>
        <w:t xml:space="preserve"> a </w:t>
      </w:r>
      <w:r>
        <w:rPr>
          <w:rFonts w:cs="Calibri"/>
          <w:sz w:val="21"/>
          <w:szCs w:val="21"/>
        </w:rPr>
        <w:t>u jego podstaw leży niski poziom zaufania społecznego (</w:t>
      </w:r>
      <w:r w:rsidRPr="00CB07D4">
        <w:rPr>
          <w:i/>
          <w:sz w:val="21"/>
        </w:rPr>
        <w:t>vide</w:t>
      </w:r>
      <w:r>
        <w:rPr>
          <w:rFonts w:cs="Calibri"/>
          <w:sz w:val="21"/>
          <w:szCs w:val="21"/>
        </w:rPr>
        <w:t xml:space="preserve"> rozdz. 2., </w:t>
      </w:r>
      <w:r>
        <w:rPr>
          <w:rFonts w:cs="Calibri"/>
          <w:i/>
          <w:sz w:val="21"/>
          <w:szCs w:val="21"/>
        </w:rPr>
        <w:t>Współpraca</w:t>
      </w:r>
      <w:r w:rsidR="006343E1">
        <w:rPr>
          <w:rFonts w:cs="Calibri"/>
          <w:i/>
          <w:sz w:val="21"/>
          <w:szCs w:val="21"/>
        </w:rPr>
        <w:t xml:space="preserve"> w </w:t>
      </w:r>
      <w:r>
        <w:rPr>
          <w:rFonts w:cs="Calibri"/>
          <w:i/>
          <w:sz w:val="21"/>
          <w:szCs w:val="21"/>
        </w:rPr>
        <w:t>systemie gospodarczym</w:t>
      </w:r>
      <w:r>
        <w:rPr>
          <w:rFonts w:cs="Calibri"/>
          <w:sz w:val="21"/>
          <w:szCs w:val="21"/>
        </w:rPr>
        <w:t>).</w:t>
      </w:r>
    </w:p>
    <w:p w14:paraId="28AEF4CD" w14:textId="5C47C8E3" w:rsidR="003C3957" w:rsidRDefault="000935B2" w:rsidP="00CB07D4">
      <w:pPr>
        <w:spacing w:after="0" w:line="240" w:lineRule="auto"/>
        <w:ind w:left="993" w:hanging="993"/>
      </w:pPr>
      <w:r>
        <w:rPr>
          <w:rFonts w:cs="Calibri"/>
          <w:b/>
          <w:sz w:val="21"/>
          <w:szCs w:val="21"/>
        </w:rPr>
        <w:t>Wykres 8</w:t>
      </w:r>
      <w:r w:rsidR="00FC6E8F">
        <w:rPr>
          <w:rFonts w:cs="Calibri"/>
          <w:b/>
          <w:sz w:val="21"/>
          <w:szCs w:val="21"/>
        </w:rPr>
        <w:t>3</w:t>
      </w:r>
      <w:r w:rsidR="003C3957">
        <w:rPr>
          <w:rFonts w:cs="Calibri"/>
          <w:b/>
          <w:sz w:val="21"/>
          <w:szCs w:val="21"/>
        </w:rPr>
        <w:t>. Udział przedsiębiorstw współpracujących</w:t>
      </w:r>
      <w:r w:rsidR="006343E1">
        <w:rPr>
          <w:rFonts w:cs="Calibri"/>
          <w:b/>
          <w:sz w:val="21"/>
          <w:szCs w:val="21"/>
        </w:rPr>
        <w:t xml:space="preserve"> z </w:t>
      </w:r>
      <w:r w:rsidR="003C3957">
        <w:rPr>
          <w:rFonts w:cs="Calibri"/>
          <w:b/>
          <w:sz w:val="21"/>
          <w:szCs w:val="21"/>
        </w:rPr>
        <w:t>uniwersytetami</w:t>
      </w:r>
      <w:r w:rsidR="006343E1">
        <w:rPr>
          <w:rFonts w:cs="Calibri"/>
          <w:b/>
          <w:sz w:val="21"/>
          <w:szCs w:val="21"/>
        </w:rPr>
        <w:t xml:space="preserve"> i </w:t>
      </w:r>
      <w:r w:rsidR="003C3957">
        <w:rPr>
          <w:rFonts w:cs="Calibri"/>
          <w:b/>
          <w:sz w:val="21"/>
          <w:szCs w:val="21"/>
        </w:rPr>
        <w:t xml:space="preserve">szkołami wyższymi przy </w:t>
      </w:r>
      <w:r w:rsidR="00573EB1">
        <w:rPr>
          <w:rFonts w:cs="Calibri"/>
          <w:b/>
          <w:sz w:val="21"/>
          <w:szCs w:val="21"/>
        </w:rPr>
        <w:t>działalności innowacyjnej</w:t>
      </w:r>
      <w:r w:rsidR="006343E1">
        <w:rPr>
          <w:rFonts w:cs="Calibri"/>
          <w:b/>
          <w:sz w:val="21"/>
          <w:szCs w:val="21"/>
        </w:rPr>
        <w:t xml:space="preserve"> w</w:t>
      </w:r>
      <w:r w:rsidR="00333F81" w:rsidRPr="00254AB9">
        <w:rPr>
          <w:rFonts w:cs="Calibri"/>
          <w:b/>
          <w:sz w:val="21"/>
          <w:szCs w:val="21"/>
        </w:rPr>
        <w:t xml:space="preserve"> </w:t>
      </w:r>
      <w:r w:rsidR="003D2F32">
        <w:rPr>
          <w:rFonts w:cs="Calibri"/>
          <w:b/>
          <w:sz w:val="21"/>
          <w:szCs w:val="21"/>
        </w:rPr>
        <w:t xml:space="preserve">latach </w:t>
      </w:r>
      <w:r w:rsidR="00333F81" w:rsidRPr="000C5EEF">
        <w:rPr>
          <w:rFonts w:cs="Calibri"/>
          <w:b/>
          <w:sz w:val="21"/>
          <w:szCs w:val="21"/>
        </w:rPr>
        <w:t>2014</w:t>
      </w:r>
      <w:r w:rsidR="002D4CDC">
        <w:rPr>
          <w:rFonts w:ascii="Times New Roman" w:hAnsi="Times New Roman" w:cs="Times New Roman"/>
          <w:b/>
          <w:sz w:val="21"/>
          <w:szCs w:val="21"/>
        </w:rPr>
        <w:t>–</w:t>
      </w:r>
      <w:r w:rsidR="003C3957">
        <w:rPr>
          <w:rFonts w:cs="Calibri"/>
          <w:b/>
          <w:sz w:val="21"/>
          <w:szCs w:val="21"/>
        </w:rPr>
        <w:t>2016</w:t>
      </w:r>
    </w:p>
    <w:p w14:paraId="5AF22766" w14:textId="23A2D8F6" w:rsidR="003C3957" w:rsidRDefault="003C3957" w:rsidP="003C3957">
      <w:pPr>
        <w:spacing w:after="0" w:line="240" w:lineRule="auto"/>
        <w:rPr>
          <w:rFonts w:cs="Calibri"/>
          <w:sz w:val="21"/>
          <w:szCs w:val="21"/>
        </w:rPr>
      </w:pPr>
      <w:r w:rsidRPr="008F0959">
        <w:rPr>
          <w:rFonts w:cs="Calibri"/>
          <w:noProof/>
          <w:sz w:val="21"/>
          <w:szCs w:val="21"/>
          <w:lang w:eastAsia="pl-PL"/>
        </w:rPr>
        <w:drawing>
          <wp:inline distT="0" distB="0" distL="0" distR="0" wp14:anchorId="12F01530" wp14:editId="1F4B37A8">
            <wp:extent cx="5760720" cy="2504440"/>
            <wp:effectExtent l="0" t="0" r="0" b="0"/>
            <wp:docPr id="465" name="Obraz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760720" cy="2504440"/>
                    </a:xfrm>
                    <a:prstGeom prst="rect">
                      <a:avLst/>
                    </a:prstGeom>
                    <a:noFill/>
                    <a:ln>
                      <a:noFill/>
                    </a:ln>
                  </pic:spPr>
                </pic:pic>
              </a:graphicData>
            </a:graphic>
          </wp:inline>
        </w:drawing>
      </w:r>
    </w:p>
    <w:p w14:paraId="00004F9B" w14:textId="77777777" w:rsidR="002D4CDC" w:rsidRDefault="002D4CDC" w:rsidP="003C3957">
      <w:pPr>
        <w:pStyle w:val="Bezodstpw1"/>
      </w:pPr>
    </w:p>
    <w:p w14:paraId="16DE6679" w14:textId="3A36E222" w:rsidR="003C3957" w:rsidRDefault="003C3957" w:rsidP="003C3957">
      <w:pPr>
        <w:pStyle w:val="Bezodstpw1"/>
      </w:pPr>
      <w:r>
        <w:t xml:space="preserve">Źródło: Opracowanie </w:t>
      </w:r>
      <w:r w:rsidR="003A56DA">
        <w:t>MRiT</w:t>
      </w:r>
      <w:r w:rsidR="003A5EA7">
        <w:t xml:space="preserve"> </w:t>
      </w:r>
      <w:r>
        <w:t>na podstawie Eurostat [inn_cis10_coop]</w:t>
      </w:r>
    </w:p>
    <w:p w14:paraId="6D0DF171" w14:textId="2001BA9F" w:rsidR="003C3957" w:rsidRDefault="003C3957" w:rsidP="003C3957">
      <w:pPr>
        <w:spacing w:after="0" w:line="240" w:lineRule="auto"/>
      </w:pPr>
      <w:r>
        <w:rPr>
          <w:rFonts w:cs="Calibri"/>
          <w:sz w:val="21"/>
          <w:szCs w:val="21"/>
        </w:rPr>
        <w:t>Niski odsetek przedsiębiorstw współpracujących</w:t>
      </w:r>
      <w:r w:rsidR="006343E1">
        <w:rPr>
          <w:rFonts w:cs="Calibri"/>
          <w:sz w:val="21"/>
          <w:szCs w:val="21"/>
        </w:rPr>
        <w:t xml:space="preserve"> z </w:t>
      </w:r>
      <w:r>
        <w:rPr>
          <w:rFonts w:cs="Calibri"/>
          <w:sz w:val="21"/>
          <w:szCs w:val="21"/>
        </w:rPr>
        <w:t>uniwersytetami, znajdujący się poniżej średniej unijnej, wydaje się potwierdzać tezę</w:t>
      </w:r>
      <w:r w:rsidR="006343E1">
        <w:rPr>
          <w:rFonts w:cs="Calibri"/>
          <w:sz w:val="21"/>
          <w:szCs w:val="21"/>
        </w:rPr>
        <w:t xml:space="preserve"> o </w:t>
      </w:r>
      <w:r>
        <w:rPr>
          <w:rFonts w:cs="Calibri"/>
          <w:sz w:val="21"/>
          <w:szCs w:val="21"/>
        </w:rPr>
        <w:t>braku postrzegania przez sektor przedsiębiorstw uczelni wyższych jako partnera</w:t>
      </w:r>
      <w:r w:rsidR="006343E1">
        <w:rPr>
          <w:rFonts w:cs="Calibri"/>
          <w:sz w:val="21"/>
          <w:szCs w:val="21"/>
        </w:rPr>
        <w:t xml:space="preserve"> w </w:t>
      </w:r>
      <w:r>
        <w:rPr>
          <w:rFonts w:cs="Calibri"/>
          <w:sz w:val="21"/>
          <w:szCs w:val="21"/>
        </w:rPr>
        <w:t>procesie biznesowym. Polskę charakteryzuje najniższy wśród państw Grupy Wyszehradzkiej poziom współpracy.</w:t>
      </w:r>
    </w:p>
    <w:tbl>
      <w:tblPr>
        <w:tblW w:w="0" w:type="auto"/>
        <w:tblInd w:w="108" w:type="dxa"/>
        <w:tblLayout w:type="fixed"/>
        <w:tblLook w:val="0000" w:firstRow="0" w:lastRow="0" w:firstColumn="0" w:lastColumn="0" w:noHBand="0" w:noVBand="0"/>
      </w:tblPr>
      <w:tblGrid>
        <w:gridCol w:w="9158"/>
      </w:tblGrid>
      <w:tr w:rsidR="003C3957" w14:paraId="625FDA8E" w14:textId="77777777" w:rsidTr="003D2F32">
        <w:trPr>
          <w:trHeight w:val="4111"/>
        </w:trPr>
        <w:tc>
          <w:tcPr>
            <w:tcW w:w="9158" w:type="dxa"/>
            <w:shd w:val="clear" w:color="auto" w:fill="auto"/>
          </w:tcPr>
          <w:p w14:paraId="4AF472D0" w14:textId="1EC60597" w:rsidR="003C3957" w:rsidRDefault="003C3957" w:rsidP="00BB441D">
            <w:pPr>
              <w:spacing w:after="0" w:line="240" w:lineRule="auto"/>
              <w:ind w:left="918" w:hanging="992"/>
              <w:rPr>
                <w:rFonts w:cs="Calibri"/>
                <w:b/>
                <w:sz w:val="21"/>
                <w:szCs w:val="21"/>
              </w:rPr>
            </w:pPr>
            <w:r>
              <w:rPr>
                <w:rFonts w:cs="Calibri"/>
                <w:b/>
                <w:sz w:val="21"/>
                <w:szCs w:val="21"/>
              </w:rPr>
              <w:t xml:space="preserve">Wykres </w:t>
            </w:r>
            <w:r w:rsidR="000935B2">
              <w:rPr>
                <w:rFonts w:cs="Calibri"/>
                <w:b/>
                <w:sz w:val="21"/>
                <w:szCs w:val="21"/>
              </w:rPr>
              <w:t>8</w:t>
            </w:r>
            <w:r w:rsidR="00FC6E8F">
              <w:rPr>
                <w:rFonts w:cs="Calibri"/>
                <w:b/>
                <w:sz w:val="21"/>
                <w:szCs w:val="21"/>
              </w:rPr>
              <w:t>4</w:t>
            </w:r>
            <w:r>
              <w:rPr>
                <w:rFonts w:cs="Calibri"/>
                <w:b/>
                <w:sz w:val="21"/>
                <w:szCs w:val="21"/>
              </w:rPr>
              <w:t>. Udział przedsiębiorstw przemysłowych</w:t>
            </w:r>
            <w:r w:rsidR="006343E1">
              <w:rPr>
                <w:rFonts w:cs="Calibri"/>
                <w:b/>
                <w:sz w:val="21"/>
                <w:szCs w:val="21"/>
              </w:rPr>
              <w:t xml:space="preserve"> o </w:t>
            </w:r>
            <w:r>
              <w:rPr>
                <w:rFonts w:cs="Calibri"/>
                <w:b/>
                <w:sz w:val="21"/>
                <w:szCs w:val="21"/>
              </w:rPr>
              <w:t>liczbie pracujących pow</w:t>
            </w:r>
            <w:r w:rsidR="002D4CDC">
              <w:rPr>
                <w:rFonts w:cs="Calibri"/>
                <w:b/>
                <w:sz w:val="21"/>
                <w:szCs w:val="21"/>
              </w:rPr>
              <w:t>yżej</w:t>
            </w:r>
            <w:r>
              <w:rPr>
                <w:rFonts w:cs="Calibri"/>
                <w:b/>
                <w:sz w:val="21"/>
                <w:szCs w:val="21"/>
              </w:rPr>
              <w:t xml:space="preserve"> 249 osób współpracując</w:t>
            </w:r>
            <w:r w:rsidR="002D4CDC">
              <w:rPr>
                <w:rFonts w:cs="Calibri"/>
                <w:b/>
                <w:sz w:val="21"/>
                <w:szCs w:val="21"/>
              </w:rPr>
              <w:t>ych</w:t>
            </w:r>
            <w:r w:rsidR="006343E1">
              <w:rPr>
                <w:rFonts w:cs="Calibri"/>
                <w:b/>
                <w:sz w:val="21"/>
                <w:szCs w:val="21"/>
              </w:rPr>
              <w:t xml:space="preserve"> z </w:t>
            </w:r>
            <w:r>
              <w:rPr>
                <w:rFonts w:cs="Calibri"/>
                <w:b/>
                <w:sz w:val="21"/>
                <w:szCs w:val="21"/>
              </w:rPr>
              <w:t>uczelniami przy wprowadzaniu innowacji</w:t>
            </w:r>
            <w:r w:rsidR="006343E1">
              <w:rPr>
                <w:rFonts w:cs="Calibri"/>
                <w:b/>
                <w:sz w:val="21"/>
                <w:szCs w:val="21"/>
              </w:rPr>
              <w:t xml:space="preserve"> w </w:t>
            </w:r>
            <w:r w:rsidR="003D2F32">
              <w:rPr>
                <w:rFonts w:cs="Calibri"/>
                <w:b/>
                <w:sz w:val="21"/>
                <w:szCs w:val="21"/>
              </w:rPr>
              <w:t>latach 2014</w:t>
            </w:r>
            <w:r w:rsidR="002D4CDC">
              <w:rPr>
                <w:rFonts w:ascii="Times New Roman" w:hAnsi="Times New Roman" w:cs="Times New Roman"/>
                <w:b/>
                <w:sz w:val="21"/>
                <w:szCs w:val="21"/>
              </w:rPr>
              <w:t>–</w:t>
            </w:r>
            <w:r>
              <w:rPr>
                <w:rFonts w:cs="Calibri"/>
                <w:b/>
                <w:sz w:val="21"/>
                <w:szCs w:val="21"/>
              </w:rPr>
              <w:t>2016 r.</w:t>
            </w:r>
          </w:p>
          <w:p w14:paraId="1EE56BA8" w14:textId="3131A29B" w:rsidR="003C3957" w:rsidRDefault="003C3957" w:rsidP="003224F9">
            <w:pPr>
              <w:spacing w:after="0" w:line="240" w:lineRule="auto"/>
            </w:pPr>
            <w:r w:rsidRPr="00B21056">
              <w:rPr>
                <w:noProof/>
                <w:lang w:eastAsia="pl-PL"/>
              </w:rPr>
              <w:drawing>
                <wp:inline distT="0" distB="0" distL="0" distR="0" wp14:anchorId="1F69889E" wp14:editId="1EB8C386">
                  <wp:extent cx="5619750" cy="2266950"/>
                  <wp:effectExtent l="0" t="0" r="0" b="0"/>
                  <wp:docPr id="464" name="Obraz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619750" cy="2266950"/>
                          </a:xfrm>
                          <a:prstGeom prst="rect">
                            <a:avLst/>
                          </a:prstGeom>
                          <a:noFill/>
                          <a:ln>
                            <a:noFill/>
                          </a:ln>
                        </pic:spPr>
                      </pic:pic>
                    </a:graphicData>
                  </a:graphic>
                </wp:inline>
              </w:drawing>
            </w:r>
          </w:p>
        </w:tc>
      </w:tr>
      <w:tr w:rsidR="003C3957" w14:paraId="30AE367A" w14:textId="77777777" w:rsidTr="003D2F32">
        <w:trPr>
          <w:trHeight w:val="391"/>
        </w:trPr>
        <w:tc>
          <w:tcPr>
            <w:tcW w:w="9158" w:type="dxa"/>
            <w:shd w:val="clear" w:color="auto" w:fill="auto"/>
          </w:tcPr>
          <w:p w14:paraId="12506137" w14:textId="77B465F9" w:rsidR="003C3957" w:rsidRDefault="003C3957" w:rsidP="003D2F32">
            <w:pPr>
              <w:pStyle w:val="Bezodstpw"/>
            </w:pPr>
            <w:r>
              <w:t xml:space="preserve">Źródło: Opracowanie </w:t>
            </w:r>
            <w:r w:rsidR="003A56DA">
              <w:t>MRiT</w:t>
            </w:r>
            <w:r w:rsidR="003A5EA7">
              <w:t xml:space="preserve"> </w:t>
            </w:r>
            <w:r>
              <w:t>na podstawie Eurostat [inn_cis10_coop]</w:t>
            </w:r>
          </w:p>
        </w:tc>
      </w:tr>
    </w:tbl>
    <w:p w14:paraId="266CA257" w14:textId="03BCAE81" w:rsidR="003C3957" w:rsidRDefault="003C3957" w:rsidP="003C3957">
      <w:pPr>
        <w:spacing w:after="0" w:line="240" w:lineRule="auto"/>
      </w:pPr>
      <w:r>
        <w:rPr>
          <w:rFonts w:cs="Calibri"/>
          <w:sz w:val="21"/>
          <w:szCs w:val="21"/>
        </w:rPr>
        <w:t xml:space="preserve">Z </w:t>
      </w:r>
      <w:r w:rsidR="002A29F7">
        <w:rPr>
          <w:rFonts w:cs="Calibri"/>
          <w:sz w:val="21"/>
          <w:szCs w:val="21"/>
        </w:rPr>
        <w:t>perspektywy</w:t>
      </w:r>
      <w:r>
        <w:rPr>
          <w:rFonts w:cs="Calibri"/>
          <w:sz w:val="21"/>
          <w:szCs w:val="21"/>
        </w:rPr>
        <w:t xml:space="preserve"> potencjału przedsiębiorstw przemysłowych</w:t>
      </w:r>
      <w:r w:rsidR="006343E1">
        <w:rPr>
          <w:rFonts w:cs="Calibri"/>
          <w:sz w:val="21"/>
          <w:szCs w:val="21"/>
        </w:rPr>
        <w:t xml:space="preserve"> o </w:t>
      </w:r>
      <w:r>
        <w:rPr>
          <w:rFonts w:cs="Calibri"/>
          <w:sz w:val="21"/>
          <w:szCs w:val="21"/>
        </w:rPr>
        <w:t xml:space="preserve">liczbie pracujących powyżej 249 osób </w:t>
      </w:r>
      <w:r w:rsidR="002A29F7" w:rsidRPr="002A29F7">
        <w:rPr>
          <w:rFonts w:cs="Calibri"/>
          <w:sz w:val="21"/>
          <w:szCs w:val="21"/>
        </w:rPr>
        <w:t xml:space="preserve">niski odsetek tych podmiotów </w:t>
      </w:r>
      <w:r w:rsidR="002A29F7">
        <w:rPr>
          <w:rFonts w:cs="Calibri"/>
          <w:sz w:val="21"/>
          <w:szCs w:val="21"/>
        </w:rPr>
        <w:t>współpracujących</w:t>
      </w:r>
      <w:r w:rsidR="002A29F7" w:rsidRPr="002A29F7">
        <w:rPr>
          <w:rFonts w:cs="Calibri"/>
          <w:sz w:val="21"/>
          <w:szCs w:val="21"/>
        </w:rPr>
        <w:t xml:space="preserve"> z sektorem nauki </w:t>
      </w:r>
      <w:r>
        <w:rPr>
          <w:rFonts w:cs="Calibri"/>
          <w:sz w:val="21"/>
          <w:szCs w:val="21"/>
        </w:rPr>
        <w:t>w zakresie wprowadzania innowacji produktowych</w:t>
      </w:r>
      <w:r w:rsidR="006343E1">
        <w:rPr>
          <w:rFonts w:cs="Calibri"/>
          <w:sz w:val="21"/>
          <w:szCs w:val="21"/>
        </w:rPr>
        <w:t xml:space="preserve"> i </w:t>
      </w:r>
      <w:r>
        <w:rPr>
          <w:rFonts w:cs="Calibri"/>
          <w:sz w:val="21"/>
          <w:szCs w:val="21"/>
        </w:rPr>
        <w:t xml:space="preserve">procesowych jest niepokojący. </w:t>
      </w:r>
      <w:r w:rsidR="002A29F7">
        <w:rPr>
          <w:rFonts w:cs="Calibri"/>
          <w:sz w:val="21"/>
          <w:szCs w:val="21"/>
        </w:rPr>
        <w:t xml:space="preserve">W Polsce </w:t>
      </w:r>
      <w:r>
        <w:rPr>
          <w:rFonts w:cs="Calibri"/>
          <w:sz w:val="21"/>
          <w:szCs w:val="21"/>
        </w:rPr>
        <w:t>22% takich przedsiębiorstw przemysłowych</w:t>
      </w:r>
      <w:r w:rsidR="006343E1">
        <w:rPr>
          <w:rFonts w:cs="Calibri"/>
          <w:sz w:val="21"/>
          <w:szCs w:val="21"/>
        </w:rPr>
        <w:t xml:space="preserve"> </w:t>
      </w:r>
      <w:r>
        <w:rPr>
          <w:rFonts w:cs="Calibri"/>
          <w:sz w:val="21"/>
          <w:szCs w:val="21"/>
        </w:rPr>
        <w:t>współpracuje</w:t>
      </w:r>
      <w:r w:rsidR="006343E1">
        <w:rPr>
          <w:rFonts w:cs="Calibri"/>
          <w:sz w:val="21"/>
          <w:szCs w:val="21"/>
        </w:rPr>
        <w:t xml:space="preserve"> z </w:t>
      </w:r>
      <w:r>
        <w:rPr>
          <w:rFonts w:cs="Calibri"/>
          <w:sz w:val="21"/>
          <w:szCs w:val="21"/>
        </w:rPr>
        <w:t xml:space="preserve">nauką przy wprowadzaniu </w:t>
      </w:r>
      <w:r>
        <w:rPr>
          <w:rFonts w:cs="Calibri"/>
          <w:sz w:val="21"/>
          <w:szCs w:val="21"/>
        </w:rPr>
        <w:lastRenderedPageBreak/>
        <w:t>innowacji, podczas gdy</w:t>
      </w:r>
      <w:r w:rsidR="006343E1">
        <w:rPr>
          <w:rFonts w:cs="Calibri"/>
          <w:sz w:val="21"/>
          <w:szCs w:val="21"/>
        </w:rPr>
        <w:t xml:space="preserve"> w </w:t>
      </w:r>
      <w:r>
        <w:rPr>
          <w:rFonts w:cs="Calibri"/>
          <w:sz w:val="21"/>
          <w:szCs w:val="21"/>
        </w:rPr>
        <w:t>najbardziej innowacyjnych krajach Europy wynik ten plasuje się powyżej 40%,</w:t>
      </w:r>
      <w:r w:rsidR="006343E1">
        <w:rPr>
          <w:rFonts w:cs="Calibri"/>
          <w:sz w:val="21"/>
          <w:szCs w:val="21"/>
        </w:rPr>
        <w:t xml:space="preserve"> a </w:t>
      </w:r>
      <w:r>
        <w:rPr>
          <w:rFonts w:cs="Calibri"/>
          <w:sz w:val="21"/>
          <w:szCs w:val="21"/>
        </w:rPr>
        <w:t>w Finlandii osiąga niemal 80%.</w:t>
      </w:r>
    </w:p>
    <w:p w14:paraId="05341196" w14:textId="4FE78DA1" w:rsidR="003C3957" w:rsidRPr="00CB07D4" w:rsidRDefault="003C3957" w:rsidP="003C3957">
      <w:pPr>
        <w:spacing w:after="0" w:line="240" w:lineRule="auto"/>
        <w:rPr>
          <w:b/>
          <w:sz w:val="21"/>
        </w:rPr>
      </w:pPr>
      <w:r>
        <w:rPr>
          <w:rFonts w:cs="Calibri"/>
          <w:b/>
          <w:sz w:val="21"/>
          <w:szCs w:val="21"/>
        </w:rPr>
        <w:t xml:space="preserve">Wykres </w:t>
      </w:r>
      <w:r w:rsidR="000935B2">
        <w:rPr>
          <w:rFonts w:cs="Calibri"/>
          <w:b/>
          <w:sz w:val="21"/>
          <w:szCs w:val="21"/>
        </w:rPr>
        <w:t>8</w:t>
      </w:r>
      <w:r w:rsidR="00FC6E8F">
        <w:rPr>
          <w:rFonts w:cs="Calibri"/>
          <w:b/>
          <w:sz w:val="21"/>
          <w:szCs w:val="21"/>
        </w:rPr>
        <w:t>5</w:t>
      </w:r>
      <w:r>
        <w:rPr>
          <w:rFonts w:cs="Calibri"/>
          <w:b/>
          <w:sz w:val="21"/>
          <w:szCs w:val="21"/>
        </w:rPr>
        <w:t>. Wspólne publikacje naukowe (publiczno-prywatne) na milion ludności</w:t>
      </w:r>
      <w:r w:rsidR="006343E1">
        <w:rPr>
          <w:rFonts w:cs="Calibri"/>
          <w:b/>
          <w:sz w:val="21"/>
          <w:szCs w:val="21"/>
        </w:rPr>
        <w:t xml:space="preserve"> w </w:t>
      </w:r>
      <w:r>
        <w:rPr>
          <w:rFonts w:cs="Calibri"/>
          <w:b/>
          <w:sz w:val="21"/>
          <w:szCs w:val="21"/>
        </w:rPr>
        <w:t>2015 r.</w:t>
      </w:r>
    </w:p>
    <w:tbl>
      <w:tblPr>
        <w:tblW w:w="0" w:type="auto"/>
        <w:tblInd w:w="108" w:type="dxa"/>
        <w:tblLayout w:type="fixed"/>
        <w:tblLook w:val="0000" w:firstRow="0" w:lastRow="0" w:firstColumn="0" w:lastColumn="0" w:noHBand="0" w:noVBand="0"/>
      </w:tblPr>
      <w:tblGrid>
        <w:gridCol w:w="9072"/>
      </w:tblGrid>
      <w:tr w:rsidR="003C3957" w14:paraId="6F9D5EC6" w14:textId="77777777" w:rsidTr="003224F9">
        <w:tc>
          <w:tcPr>
            <w:tcW w:w="9072" w:type="dxa"/>
            <w:shd w:val="clear" w:color="auto" w:fill="auto"/>
          </w:tcPr>
          <w:p w14:paraId="435E6283" w14:textId="77777777" w:rsidR="00241D17" w:rsidRDefault="003C3957" w:rsidP="003D2F32">
            <w:pPr>
              <w:pStyle w:val="Bezodstpw"/>
            </w:pPr>
            <w:r>
              <w:rPr>
                <w:noProof/>
                <w:lang w:eastAsia="pl-PL"/>
              </w:rPr>
              <w:drawing>
                <wp:inline distT="0" distB="0" distL="0" distR="0" wp14:anchorId="2EAAC607" wp14:editId="3FF0C3FE">
                  <wp:extent cx="4724400" cy="2657475"/>
                  <wp:effectExtent l="0" t="0" r="0" b="9525"/>
                  <wp:docPr id="463" name="Obraz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23">
                            <a:extLst>
                              <a:ext uri="{28A0092B-C50C-407E-A947-70E740481C1C}">
                                <a14:useLocalDpi xmlns:a14="http://schemas.microsoft.com/office/drawing/2010/main" val="0"/>
                              </a:ext>
                            </a:extLst>
                          </a:blip>
                          <a:srcRect l="974" t="1422" r="1305" b="2560"/>
                          <a:stretch>
                            <a:fillRect/>
                          </a:stretch>
                        </pic:blipFill>
                        <pic:spPr bwMode="auto">
                          <a:xfrm>
                            <a:off x="0" y="0"/>
                            <a:ext cx="4724400" cy="2657475"/>
                          </a:xfrm>
                          <a:prstGeom prst="rect">
                            <a:avLst/>
                          </a:prstGeom>
                          <a:solidFill>
                            <a:srgbClr val="FFFFFF"/>
                          </a:solidFill>
                          <a:ln>
                            <a:noFill/>
                          </a:ln>
                        </pic:spPr>
                      </pic:pic>
                    </a:graphicData>
                  </a:graphic>
                </wp:inline>
              </w:drawing>
            </w:r>
            <w:r>
              <w:br/>
            </w:r>
          </w:p>
          <w:p w14:paraId="399353B3" w14:textId="787F3306" w:rsidR="003C3957" w:rsidRDefault="003C3957" w:rsidP="003D2F32">
            <w:pPr>
              <w:pStyle w:val="Bezodstpw"/>
            </w:pPr>
            <w:r>
              <w:t xml:space="preserve">Źródło: Opracowanie </w:t>
            </w:r>
            <w:r w:rsidR="003A56DA">
              <w:t>MRiT</w:t>
            </w:r>
            <w:r w:rsidR="003A5EA7">
              <w:t xml:space="preserve"> </w:t>
            </w:r>
            <w:r>
              <w:t>na podstawie OECD (2018)</w:t>
            </w:r>
          </w:p>
          <w:p w14:paraId="63FEDA4F" w14:textId="777D4EC9" w:rsidR="003C3957" w:rsidRDefault="003C3957" w:rsidP="003224F9">
            <w:pPr>
              <w:spacing w:after="0" w:line="240" w:lineRule="auto"/>
              <w:rPr>
                <w:rFonts w:cs="Calibri"/>
                <w:sz w:val="21"/>
                <w:szCs w:val="21"/>
              </w:rPr>
            </w:pPr>
            <w:r>
              <w:rPr>
                <w:rFonts w:cs="Calibri"/>
                <w:sz w:val="21"/>
                <w:szCs w:val="21"/>
              </w:rPr>
              <w:t>Po</w:t>
            </w:r>
            <w:r w:rsidR="00241D17">
              <w:rPr>
                <w:rFonts w:cs="Calibri"/>
                <w:sz w:val="21"/>
                <w:szCs w:val="21"/>
              </w:rPr>
              <w:t>d</w:t>
            </w:r>
            <w:r>
              <w:rPr>
                <w:rFonts w:cs="Calibri"/>
                <w:sz w:val="21"/>
                <w:szCs w:val="21"/>
              </w:rPr>
              <w:t xml:space="preserve"> względem wspólnych publikacji naukowych</w:t>
            </w:r>
            <w:r w:rsidR="006343E1">
              <w:rPr>
                <w:rFonts w:cs="Calibri"/>
                <w:sz w:val="21"/>
                <w:szCs w:val="21"/>
              </w:rPr>
              <w:t xml:space="preserve"> o </w:t>
            </w:r>
            <w:r>
              <w:rPr>
                <w:rFonts w:cs="Calibri"/>
                <w:sz w:val="21"/>
                <w:szCs w:val="21"/>
              </w:rPr>
              <w:t>charakterze publiczno-prywatnym,</w:t>
            </w:r>
            <w:r w:rsidR="006343E1">
              <w:rPr>
                <w:rFonts w:cs="Calibri"/>
                <w:sz w:val="21"/>
                <w:szCs w:val="21"/>
              </w:rPr>
              <w:t xml:space="preserve"> w </w:t>
            </w:r>
            <w:r>
              <w:rPr>
                <w:rFonts w:cs="Calibri"/>
                <w:sz w:val="21"/>
                <w:szCs w:val="21"/>
              </w:rPr>
              <w:t>przeliczeniu na liczbę ludności, Polska znajduje się znacznie poniżej średniej U</w:t>
            </w:r>
            <w:r w:rsidR="00241D17">
              <w:rPr>
                <w:rFonts w:cs="Calibri"/>
                <w:sz w:val="21"/>
                <w:szCs w:val="21"/>
              </w:rPr>
              <w:t xml:space="preserve">nii </w:t>
            </w:r>
            <w:r>
              <w:rPr>
                <w:rFonts w:cs="Calibri"/>
                <w:sz w:val="21"/>
                <w:szCs w:val="21"/>
              </w:rPr>
              <w:t>E</w:t>
            </w:r>
            <w:r w:rsidR="00241D17">
              <w:rPr>
                <w:rFonts w:cs="Calibri"/>
                <w:sz w:val="21"/>
                <w:szCs w:val="21"/>
              </w:rPr>
              <w:t>uropejskiej</w:t>
            </w:r>
            <w:r>
              <w:rPr>
                <w:rFonts w:cs="Calibri"/>
                <w:sz w:val="21"/>
                <w:szCs w:val="21"/>
              </w:rPr>
              <w:t xml:space="preserve">. Wyprzedają nas takie kraje jak Węgry, Czechy czy Słowacja. Niski poziom wspólnych publikacji naukowych jest zjawiskiem niepożądanym, potencjał sektora nauki </w:t>
            </w:r>
            <w:r w:rsidR="00241D17">
              <w:rPr>
                <w:rFonts w:cs="Calibri"/>
                <w:sz w:val="21"/>
                <w:szCs w:val="21"/>
              </w:rPr>
              <w:t>na</w:t>
            </w:r>
            <w:r>
              <w:rPr>
                <w:rFonts w:cs="Calibri"/>
                <w:sz w:val="21"/>
                <w:szCs w:val="21"/>
              </w:rPr>
              <w:t xml:space="preserve"> potrzeb</w:t>
            </w:r>
            <w:r w:rsidR="00241D17">
              <w:rPr>
                <w:rFonts w:cs="Calibri"/>
                <w:sz w:val="21"/>
                <w:szCs w:val="21"/>
              </w:rPr>
              <w:t>y</w:t>
            </w:r>
            <w:r>
              <w:rPr>
                <w:rFonts w:cs="Calibri"/>
                <w:sz w:val="21"/>
                <w:szCs w:val="21"/>
              </w:rPr>
              <w:t xml:space="preserve"> przedsiębiorstw wydaje się być niewykorzystywany.</w:t>
            </w:r>
          </w:p>
          <w:p w14:paraId="4309F233" w14:textId="4BBF4574" w:rsidR="003C3957" w:rsidRPr="00FC6E8F" w:rsidRDefault="003C3957" w:rsidP="00FC6E8F">
            <w:pPr>
              <w:spacing w:after="0" w:line="240" w:lineRule="auto"/>
              <w:ind w:left="1060" w:hanging="992"/>
              <w:rPr>
                <w:rFonts w:cs="Calibri"/>
                <w:b/>
                <w:sz w:val="21"/>
                <w:szCs w:val="21"/>
              </w:rPr>
            </w:pPr>
            <w:r>
              <w:rPr>
                <w:rFonts w:cs="Calibri"/>
                <w:b/>
                <w:sz w:val="21"/>
                <w:szCs w:val="21"/>
              </w:rPr>
              <w:t xml:space="preserve">Wykres </w:t>
            </w:r>
            <w:r w:rsidR="000935B2">
              <w:rPr>
                <w:rFonts w:cs="Calibri"/>
                <w:b/>
                <w:sz w:val="21"/>
                <w:szCs w:val="21"/>
              </w:rPr>
              <w:t>8</w:t>
            </w:r>
            <w:r w:rsidR="00FC6E8F">
              <w:rPr>
                <w:rFonts w:cs="Calibri"/>
                <w:b/>
                <w:sz w:val="21"/>
                <w:szCs w:val="21"/>
              </w:rPr>
              <w:t>6</w:t>
            </w:r>
            <w:r>
              <w:rPr>
                <w:rFonts w:cs="Calibri"/>
                <w:b/>
                <w:sz w:val="21"/>
                <w:szCs w:val="21"/>
              </w:rPr>
              <w:t>. Dokumenty</w:t>
            </w:r>
            <w:r w:rsidR="006343E1">
              <w:rPr>
                <w:rFonts w:cs="Calibri"/>
                <w:b/>
                <w:sz w:val="21"/>
                <w:szCs w:val="21"/>
              </w:rPr>
              <w:t xml:space="preserve"> z </w:t>
            </w:r>
            <w:r>
              <w:rPr>
                <w:rFonts w:cs="Calibri"/>
                <w:b/>
                <w:sz w:val="21"/>
                <w:szCs w:val="21"/>
              </w:rPr>
              <w:t>polską afiliacją według dziedzin tematycznych</w:t>
            </w:r>
            <w:r w:rsidR="006343E1">
              <w:rPr>
                <w:rFonts w:cs="Calibri"/>
                <w:b/>
                <w:sz w:val="21"/>
                <w:szCs w:val="21"/>
              </w:rPr>
              <w:t xml:space="preserve"> w </w:t>
            </w:r>
            <w:r>
              <w:rPr>
                <w:rFonts w:cs="Calibri"/>
                <w:b/>
                <w:sz w:val="21"/>
                <w:szCs w:val="21"/>
              </w:rPr>
              <w:t xml:space="preserve">2017 r. oraz ich udział w ogólnej </w:t>
            </w:r>
            <w:r w:rsidR="00241D17">
              <w:rPr>
                <w:rFonts w:cs="Calibri"/>
                <w:b/>
                <w:sz w:val="21"/>
                <w:szCs w:val="21"/>
              </w:rPr>
              <w:t xml:space="preserve">  </w:t>
            </w:r>
            <w:r>
              <w:rPr>
                <w:rFonts w:cs="Calibri"/>
                <w:b/>
                <w:sz w:val="21"/>
                <w:szCs w:val="21"/>
              </w:rPr>
              <w:t>liczbie publikacji</w:t>
            </w:r>
            <w:r w:rsidR="006343E1">
              <w:rPr>
                <w:rFonts w:cs="Calibri"/>
                <w:b/>
                <w:sz w:val="21"/>
                <w:szCs w:val="21"/>
              </w:rPr>
              <w:t xml:space="preserve"> w </w:t>
            </w:r>
            <w:r w:rsidR="00FC6E8F">
              <w:rPr>
                <w:rFonts w:cs="Calibri"/>
                <w:b/>
                <w:sz w:val="21"/>
                <w:szCs w:val="21"/>
              </w:rPr>
              <w:t>danej dziedzinie (w %)</w:t>
            </w:r>
          </w:p>
        </w:tc>
      </w:tr>
      <w:tr w:rsidR="003C3957" w14:paraId="45215B3A" w14:textId="77777777" w:rsidTr="003224F9">
        <w:tc>
          <w:tcPr>
            <w:tcW w:w="9072" w:type="dxa"/>
            <w:shd w:val="clear" w:color="auto" w:fill="auto"/>
          </w:tcPr>
          <w:p w14:paraId="0349C061" w14:textId="37A06F8A" w:rsidR="003C3957" w:rsidRDefault="003C3957" w:rsidP="003224F9">
            <w:pPr>
              <w:spacing w:after="0" w:line="240" w:lineRule="auto"/>
              <w:ind w:hanging="284"/>
              <w:rPr>
                <w:rFonts w:cs="Calibri"/>
                <w:sz w:val="21"/>
                <w:szCs w:val="21"/>
              </w:rPr>
            </w:pPr>
            <w:r>
              <w:rPr>
                <w:noProof/>
                <w:lang w:eastAsia="pl-PL"/>
              </w:rPr>
              <w:drawing>
                <wp:inline distT="0" distB="0" distL="0" distR="0" wp14:anchorId="687BCFF6" wp14:editId="4A5B9CF0">
                  <wp:extent cx="5760720" cy="2858135"/>
                  <wp:effectExtent l="0" t="0" r="0" b="0"/>
                  <wp:docPr id="460" name="Obraz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760720" cy="2858135"/>
                          </a:xfrm>
                          <a:prstGeom prst="rect">
                            <a:avLst/>
                          </a:prstGeom>
                          <a:solidFill>
                            <a:srgbClr val="FFFFFF"/>
                          </a:solidFill>
                          <a:ln>
                            <a:noFill/>
                          </a:ln>
                        </pic:spPr>
                      </pic:pic>
                    </a:graphicData>
                  </a:graphic>
                </wp:inline>
              </w:drawing>
            </w:r>
          </w:p>
          <w:p w14:paraId="3F65F2D3" w14:textId="77777777" w:rsidR="003C3957" w:rsidRDefault="003C3957" w:rsidP="003224F9">
            <w:pPr>
              <w:spacing w:after="0" w:line="240" w:lineRule="auto"/>
              <w:rPr>
                <w:rFonts w:cs="Calibri"/>
                <w:sz w:val="21"/>
                <w:szCs w:val="21"/>
              </w:rPr>
            </w:pPr>
          </w:p>
        </w:tc>
      </w:tr>
    </w:tbl>
    <w:p w14:paraId="2BB590FF" w14:textId="1D446710" w:rsidR="003C3957" w:rsidRDefault="003C3957" w:rsidP="00CB07D4">
      <w:pPr>
        <w:pStyle w:val="Bezodstpw"/>
        <w:ind w:left="993" w:hanging="993"/>
      </w:pPr>
      <w:r>
        <w:t xml:space="preserve">Źródło: Opracowanie </w:t>
      </w:r>
      <w:r w:rsidR="003A56DA">
        <w:t>MRiT</w:t>
      </w:r>
      <w:r w:rsidR="003A5EA7">
        <w:t xml:space="preserve"> </w:t>
      </w:r>
      <w:r>
        <w:t>na podstawie danych GUS (2019)</w:t>
      </w:r>
    </w:p>
    <w:p w14:paraId="6F8840B4" w14:textId="3EBBD764" w:rsidR="003C3957" w:rsidRDefault="003C3957" w:rsidP="003C3957">
      <w:pPr>
        <w:spacing w:after="0" w:line="240" w:lineRule="auto"/>
      </w:pPr>
      <w:r>
        <w:rPr>
          <w:rFonts w:cs="Calibri"/>
          <w:sz w:val="21"/>
          <w:szCs w:val="21"/>
        </w:rPr>
        <w:t>Pomimo niskiego poziomu współpracy dane nt. struktury dziedzin tematycznych polskich publikacji naukowych oraz odsetek badań prowadzonych we współpracy międzynarodowej świadczą</w:t>
      </w:r>
      <w:r w:rsidR="006343E1">
        <w:rPr>
          <w:rFonts w:cs="Calibri"/>
          <w:sz w:val="21"/>
          <w:szCs w:val="21"/>
        </w:rPr>
        <w:t xml:space="preserve"> o </w:t>
      </w:r>
      <w:r>
        <w:rPr>
          <w:rFonts w:cs="Calibri"/>
          <w:sz w:val="21"/>
          <w:szCs w:val="21"/>
        </w:rPr>
        <w:t>wysokim potencjale naukowym. Znaczna część polskiego potencjału naukowego mieści się</w:t>
      </w:r>
      <w:r w:rsidR="006343E1">
        <w:rPr>
          <w:rFonts w:cs="Calibri"/>
          <w:sz w:val="21"/>
          <w:szCs w:val="21"/>
        </w:rPr>
        <w:t xml:space="preserve"> w </w:t>
      </w:r>
      <w:r>
        <w:rPr>
          <w:rFonts w:cs="Calibri"/>
          <w:sz w:val="21"/>
          <w:szCs w:val="21"/>
        </w:rPr>
        <w:t>obszarach, które mogą mieć potencjalnie zastosowanie komercyjne. Pierwsze 7 dziedzin, jakimi są: medycyna, inżynieria, fizyka</w:t>
      </w:r>
      <w:r w:rsidR="006343E1">
        <w:rPr>
          <w:rFonts w:cs="Calibri"/>
          <w:sz w:val="21"/>
          <w:szCs w:val="21"/>
        </w:rPr>
        <w:t xml:space="preserve"> i </w:t>
      </w:r>
      <w:r>
        <w:rPr>
          <w:rFonts w:cs="Calibri"/>
          <w:sz w:val="21"/>
          <w:szCs w:val="21"/>
        </w:rPr>
        <w:t xml:space="preserve">astronomia, materiałoznawstwo, </w:t>
      </w:r>
      <w:r>
        <w:rPr>
          <w:rFonts w:cs="Calibri"/>
          <w:sz w:val="21"/>
          <w:szCs w:val="21"/>
        </w:rPr>
        <w:lastRenderedPageBreak/>
        <w:t>informatyka, biochemia, genetyka</w:t>
      </w:r>
      <w:r w:rsidR="006343E1">
        <w:rPr>
          <w:rFonts w:cs="Calibri"/>
          <w:sz w:val="21"/>
          <w:szCs w:val="21"/>
        </w:rPr>
        <w:t xml:space="preserve"> i </w:t>
      </w:r>
      <w:r>
        <w:rPr>
          <w:rFonts w:cs="Calibri"/>
          <w:sz w:val="21"/>
          <w:szCs w:val="21"/>
        </w:rPr>
        <w:t>biologia molekularna oraz chemia</w:t>
      </w:r>
      <w:r w:rsidR="00241D17">
        <w:rPr>
          <w:rFonts w:cs="Calibri"/>
          <w:sz w:val="21"/>
          <w:szCs w:val="21"/>
        </w:rPr>
        <w:t>,</w:t>
      </w:r>
      <w:r>
        <w:rPr>
          <w:rFonts w:cs="Calibri"/>
          <w:sz w:val="21"/>
          <w:szCs w:val="21"/>
        </w:rPr>
        <w:t xml:space="preserve"> odpowiadają za połowę wszystkich publikacji. Niektóre</w:t>
      </w:r>
      <w:r w:rsidR="006343E1">
        <w:rPr>
          <w:rFonts w:cs="Calibri"/>
          <w:sz w:val="21"/>
          <w:szCs w:val="21"/>
        </w:rPr>
        <w:t xml:space="preserve"> z </w:t>
      </w:r>
      <w:r>
        <w:rPr>
          <w:rFonts w:cs="Calibri"/>
          <w:sz w:val="21"/>
          <w:szCs w:val="21"/>
        </w:rPr>
        <w:t>nich</w:t>
      </w:r>
      <w:r w:rsidR="00241D17">
        <w:rPr>
          <w:rFonts w:cs="Calibri"/>
          <w:sz w:val="21"/>
          <w:szCs w:val="21"/>
        </w:rPr>
        <w:t>,</w:t>
      </w:r>
      <w:r>
        <w:rPr>
          <w:rFonts w:cs="Calibri"/>
          <w:sz w:val="21"/>
          <w:szCs w:val="21"/>
        </w:rPr>
        <w:t xml:space="preserve"> jak np. fizyka</w:t>
      </w:r>
      <w:r w:rsidR="006343E1">
        <w:rPr>
          <w:rFonts w:cs="Calibri"/>
          <w:sz w:val="21"/>
          <w:szCs w:val="21"/>
        </w:rPr>
        <w:t xml:space="preserve"> i </w:t>
      </w:r>
      <w:r>
        <w:rPr>
          <w:rFonts w:cs="Calibri"/>
          <w:sz w:val="21"/>
          <w:szCs w:val="21"/>
        </w:rPr>
        <w:t>astronomia, materiałoznawstwo</w:t>
      </w:r>
      <w:r w:rsidR="006343E1">
        <w:rPr>
          <w:rFonts w:cs="Calibri"/>
          <w:sz w:val="21"/>
          <w:szCs w:val="21"/>
        </w:rPr>
        <w:t xml:space="preserve"> i </w:t>
      </w:r>
      <w:r>
        <w:rPr>
          <w:rFonts w:cs="Calibri"/>
          <w:sz w:val="21"/>
          <w:szCs w:val="21"/>
        </w:rPr>
        <w:t>chemia</w:t>
      </w:r>
      <w:r w:rsidR="00241D17">
        <w:rPr>
          <w:rFonts w:cs="Calibri"/>
          <w:sz w:val="21"/>
          <w:szCs w:val="21"/>
        </w:rPr>
        <w:t>,</w:t>
      </w:r>
      <w:r>
        <w:rPr>
          <w:rFonts w:cs="Calibri"/>
          <w:sz w:val="21"/>
          <w:szCs w:val="21"/>
        </w:rPr>
        <w:t xml:space="preserve"> </w:t>
      </w:r>
      <w:r w:rsidR="00241D17">
        <w:rPr>
          <w:rFonts w:cs="Calibri"/>
          <w:sz w:val="21"/>
          <w:szCs w:val="21"/>
        </w:rPr>
        <w:t>m</w:t>
      </w:r>
      <w:r>
        <w:rPr>
          <w:rFonts w:cs="Calibri"/>
          <w:sz w:val="21"/>
          <w:szCs w:val="21"/>
        </w:rPr>
        <w:t>ają także wysoki współczynnik umiędzynarodowienia. Wydaje się więc</w:t>
      </w:r>
      <w:r w:rsidR="00477C54">
        <w:rPr>
          <w:rFonts w:cs="Calibri"/>
          <w:sz w:val="21"/>
          <w:szCs w:val="21"/>
        </w:rPr>
        <w:t>, że </w:t>
      </w:r>
      <w:r w:rsidR="006343E1">
        <w:rPr>
          <w:rFonts w:cs="Calibri"/>
          <w:sz w:val="21"/>
          <w:szCs w:val="21"/>
        </w:rPr>
        <w:t>w </w:t>
      </w:r>
      <w:r>
        <w:rPr>
          <w:rFonts w:cs="Calibri"/>
          <w:sz w:val="21"/>
          <w:szCs w:val="21"/>
        </w:rPr>
        <w:t xml:space="preserve">Polsce nie występuje problem braku potencjału naukowego, ale raczej </w:t>
      </w:r>
      <w:r w:rsidR="00241D17">
        <w:rPr>
          <w:rFonts w:cs="Calibri"/>
          <w:sz w:val="21"/>
          <w:szCs w:val="21"/>
        </w:rPr>
        <w:t xml:space="preserve">występują </w:t>
      </w:r>
      <w:r>
        <w:rPr>
          <w:rFonts w:cs="Calibri"/>
          <w:sz w:val="21"/>
          <w:szCs w:val="21"/>
        </w:rPr>
        <w:t>pewne wewnętrzne problemy</w:t>
      </w:r>
      <w:r w:rsidR="006343E1">
        <w:rPr>
          <w:rFonts w:cs="Calibri"/>
          <w:sz w:val="21"/>
          <w:szCs w:val="21"/>
        </w:rPr>
        <w:t xml:space="preserve"> z </w:t>
      </w:r>
      <w:r>
        <w:rPr>
          <w:rFonts w:cs="Calibri"/>
          <w:sz w:val="21"/>
          <w:szCs w:val="21"/>
        </w:rPr>
        <w:t>jego wykorzystaniem</w:t>
      </w:r>
      <w:r w:rsidR="006343E1">
        <w:rPr>
          <w:rFonts w:cs="Calibri"/>
          <w:sz w:val="21"/>
          <w:szCs w:val="21"/>
        </w:rPr>
        <w:t xml:space="preserve"> i </w:t>
      </w:r>
      <w:r>
        <w:rPr>
          <w:rFonts w:cs="Calibri"/>
          <w:sz w:val="21"/>
          <w:szCs w:val="21"/>
        </w:rPr>
        <w:t>skomercjalizowaniem.</w:t>
      </w:r>
    </w:p>
    <w:p w14:paraId="592730D3" w14:textId="77777777" w:rsidR="003C3957" w:rsidRDefault="003C3957" w:rsidP="003C3957">
      <w:pPr>
        <w:pStyle w:val="Nagwek2"/>
      </w:pPr>
      <w:bookmarkStart w:id="153" w:name="_Toc511921192"/>
      <w:bookmarkStart w:id="154" w:name="_Toc31808530"/>
      <w:bookmarkStart w:id="155" w:name="_Toc106968814"/>
      <w:r>
        <w:t>Komercjalizacja badań</w:t>
      </w:r>
      <w:bookmarkEnd w:id="153"/>
      <w:bookmarkEnd w:id="154"/>
      <w:bookmarkEnd w:id="155"/>
      <w:r>
        <w:t xml:space="preserve"> </w:t>
      </w:r>
    </w:p>
    <w:p w14:paraId="4F88FD2C" w14:textId="4742F07E" w:rsidR="003C3957" w:rsidRDefault="003C3957" w:rsidP="003C3957">
      <w:r>
        <w:t>Polscy badacze</w:t>
      </w:r>
      <w:r w:rsidR="006343E1">
        <w:t xml:space="preserve"> i </w:t>
      </w:r>
      <w:r>
        <w:t>przedsiębiorcy znacznie częściej zgłaszają aplikacje patentowe do krajowych urzędów patentowych niż europejskich.</w:t>
      </w:r>
      <w:r w:rsidR="006343E1">
        <w:t xml:space="preserve"> W </w:t>
      </w:r>
      <w:r>
        <w:t>2016 r.</w:t>
      </w:r>
      <w:r w:rsidR="006343E1">
        <w:t xml:space="preserve"> w </w:t>
      </w:r>
      <w:r>
        <w:t>Urzędzie Patentowym Rzeczypospolitej Polskiej (UP RP) zgłoszonych zostało 4261 wynalazków,</w:t>
      </w:r>
      <w:r w:rsidR="006343E1">
        <w:t xml:space="preserve"> z </w:t>
      </w:r>
      <w:r>
        <w:t>czego udział województwa mazowieckiego wyniósł 19,9%, śląskiego 11,5%, a wielkopolskiego 11,0%. Liczba patentów udzielonych przez UP RP</w:t>
      </w:r>
      <w:r w:rsidR="006343E1">
        <w:t xml:space="preserve"> w </w:t>
      </w:r>
      <w:r>
        <w:t>2016 r. wyniosła 3370</w:t>
      </w:r>
      <w:r w:rsidR="006343E1">
        <w:t xml:space="preserve"> i </w:t>
      </w:r>
      <w:r>
        <w:t>była o 40,2% wyższa niż</w:t>
      </w:r>
      <w:r w:rsidR="006343E1">
        <w:t xml:space="preserve"> w </w:t>
      </w:r>
      <w:r>
        <w:t>2015 r.</w:t>
      </w:r>
    </w:p>
    <w:p w14:paraId="556557C0" w14:textId="6C4FA449" w:rsidR="003C3957" w:rsidRDefault="003C3957" w:rsidP="003C3957">
      <w:r>
        <w:t>Pomimo wysokiej dynamiki liczby zgłoszeń patentowych sytuacja</w:t>
      </w:r>
      <w:r w:rsidR="006343E1">
        <w:t xml:space="preserve"> w </w:t>
      </w:r>
      <w:r>
        <w:t>tym obszarze</w:t>
      </w:r>
      <w:r w:rsidR="006343E1">
        <w:t xml:space="preserve"> w </w:t>
      </w:r>
      <w:r>
        <w:t>Polsce</w:t>
      </w:r>
      <w:r w:rsidR="006343E1">
        <w:t xml:space="preserve"> w </w:t>
      </w:r>
      <w:r>
        <w:t>porównaniu</w:t>
      </w:r>
      <w:r w:rsidR="006343E1">
        <w:t xml:space="preserve"> z </w:t>
      </w:r>
      <w:r>
        <w:t>innymi krajami UE oraz średnimi wartościami dla UE nadal nie jest korzystna.</w:t>
      </w:r>
      <w:r w:rsidR="006343E1">
        <w:t xml:space="preserve"> W </w:t>
      </w:r>
      <w:r>
        <w:t>2018 r. liczba aplikacji patentowych przypadających na 1 mln mieszkańców złożonych</w:t>
      </w:r>
      <w:r w:rsidR="006343E1">
        <w:t xml:space="preserve"> w </w:t>
      </w:r>
      <w:r>
        <w:t>Europejskim Urzędzie Patentowym (EPO, 2018) wynosiła 13,9, podczas gdy dla Holandii wskaźnik ten wyniósł 416,3, Danii 411,4</w:t>
      </w:r>
      <w:r w:rsidR="006343E1">
        <w:t xml:space="preserve"> a </w:t>
      </w:r>
      <w:r>
        <w:t>Szwecji 403,3.</w:t>
      </w:r>
      <w:r w:rsidR="006343E1">
        <w:t xml:space="preserve"> W </w:t>
      </w:r>
      <w:r>
        <w:t>2018 r. do Europejskiego Urzędu Patentowego wpłynęł</w:t>
      </w:r>
      <w:r w:rsidR="00241D17">
        <w:t>y</w:t>
      </w:r>
      <w:r>
        <w:t xml:space="preserve"> 534 polski</w:t>
      </w:r>
      <w:r w:rsidR="00241D17">
        <w:t>e</w:t>
      </w:r>
      <w:r>
        <w:t xml:space="preserve"> zgłosze</w:t>
      </w:r>
      <w:r w:rsidR="00241D17">
        <w:t>nia</w:t>
      </w:r>
      <w:r>
        <w:t xml:space="preserve"> patentow</w:t>
      </w:r>
      <w:r w:rsidR="00241D17">
        <w:t>e</w:t>
      </w:r>
      <w:r>
        <w:t>, co oznacza znaczny wzrost</w:t>
      </w:r>
      <w:r w:rsidR="006343E1">
        <w:t xml:space="preserve"> w </w:t>
      </w:r>
      <w:r>
        <w:t>porównaniu</w:t>
      </w:r>
      <w:r w:rsidR="006343E1">
        <w:t xml:space="preserve"> z </w:t>
      </w:r>
      <w:r>
        <w:t>poprzednim rokiem</w:t>
      </w:r>
      <w:r w:rsidR="006343E1">
        <w:t xml:space="preserve"> o </w:t>
      </w:r>
      <w:r>
        <w:t>19,7%. Jednocześnie towarzyszył temu wzrost liczby przyznanych patentów – 226, podczas gdy</w:t>
      </w:r>
      <w:r w:rsidR="006343E1">
        <w:t xml:space="preserve"> w </w:t>
      </w:r>
      <w:r>
        <w:t>2016 r. było ich 180.</w:t>
      </w:r>
    </w:p>
    <w:p w14:paraId="2BE447A1" w14:textId="1E97ADA1" w:rsidR="003C3957" w:rsidRPr="00CB07D4" w:rsidRDefault="003C3957" w:rsidP="003C3957">
      <w:pPr>
        <w:spacing w:after="0" w:line="240" w:lineRule="auto"/>
        <w:rPr>
          <w:b/>
          <w:sz w:val="21"/>
        </w:rPr>
      </w:pPr>
      <w:r>
        <w:rPr>
          <w:rFonts w:cs="Calibri"/>
          <w:b/>
          <w:sz w:val="21"/>
          <w:szCs w:val="21"/>
        </w:rPr>
        <w:t xml:space="preserve">Wykres </w:t>
      </w:r>
      <w:r w:rsidR="000935B2">
        <w:rPr>
          <w:rFonts w:cs="Calibri"/>
          <w:b/>
          <w:sz w:val="21"/>
          <w:szCs w:val="21"/>
        </w:rPr>
        <w:t>8</w:t>
      </w:r>
      <w:r w:rsidR="00FC6E8F">
        <w:rPr>
          <w:rFonts w:cs="Calibri"/>
          <w:b/>
          <w:sz w:val="21"/>
          <w:szCs w:val="21"/>
        </w:rPr>
        <w:t>7</w:t>
      </w:r>
      <w:r>
        <w:rPr>
          <w:rFonts w:cs="Calibri"/>
          <w:b/>
          <w:sz w:val="21"/>
          <w:szCs w:val="21"/>
        </w:rPr>
        <w:t>. Liczba aplikacji patentowych</w:t>
      </w:r>
      <w:r w:rsidR="006343E1">
        <w:rPr>
          <w:rFonts w:cs="Calibri"/>
          <w:b/>
          <w:sz w:val="21"/>
          <w:szCs w:val="21"/>
        </w:rPr>
        <w:t xml:space="preserve"> w </w:t>
      </w:r>
      <w:r>
        <w:rPr>
          <w:rFonts w:cs="Calibri"/>
          <w:b/>
          <w:sz w:val="21"/>
          <w:szCs w:val="21"/>
        </w:rPr>
        <w:t>przeliczeniu na 1 mln mieszkańców</w:t>
      </w:r>
      <w:r w:rsidR="006343E1">
        <w:rPr>
          <w:rFonts w:cs="Calibri"/>
          <w:b/>
          <w:sz w:val="21"/>
          <w:szCs w:val="21"/>
        </w:rPr>
        <w:t xml:space="preserve"> w </w:t>
      </w:r>
      <w:r>
        <w:rPr>
          <w:rFonts w:cs="Calibri"/>
          <w:b/>
          <w:sz w:val="21"/>
          <w:szCs w:val="21"/>
        </w:rPr>
        <w:t>wybranych krajach UE</w:t>
      </w:r>
      <w:r w:rsidR="006343E1">
        <w:rPr>
          <w:rFonts w:cs="Calibri"/>
          <w:b/>
          <w:sz w:val="21"/>
          <w:szCs w:val="21"/>
        </w:rPr>
        <w:t xml:space="preserve"> w </w:t>
      </w:r>
      <w:r>
        <w:rPr>
          <w:rFonts w:cs="Calibri"/>
          <w:b/>
          <w:sz w:val="21"/>
          <w:szCs w:val="21"/>
        </w:rPr>
        <w:t>2018</w:t>
      </w:r>
      <w:r w:rsidR="00241D17">
        <w:rPr>
          <w:rFonts w:cs="Calibri"/>
          <w:b/>
          <w:sz w:val="21"/>
          <w:szCs w:val="21"/>
        </w:rPr>
        <w:t> </w:t>
      </w:r>
      <w:r>
        <w:rPr>
          <w:rFonts w:cs="Calibri"/>
          <w:b/>
          <w:sz w:val="21"/>
          <w:szCs w:val="21"/>
        </w:rPr>
        <w:t>r.</w:t>
      </w:r>
    </w:p>
    <w:p w14:paraId="20DE0137" w14:textId="77777777" w:rsidR="00241D17" w:rsidRDefault="00241D17" w:rsidP="003C3957">
      <w:pPr>
        <w:spacing w:after="0" w:line="240" w:lineRule="auto"/>
      </w:pPr>
    </w:p>
    <w:p w14:paraId="6F9CAE06" w14:textId="2FBDE57F" w:rsidR="003C3957" w:rsidRDefault="003C3957" w:rsidP="003D2F32">
      <w:pPr>
        <w:pStyle w:val="Bezodstpw"/>
      </w:pPr>
      <w:r>
        <w:rPr>
          <w:noProof/>
          <w:lang w:eastAsia="pl-PL"/>
        </w:rPr>
        <w:drawing>
          <wp:inline distT="0" distB="0" distL="0" distR="0" wp14:anchorId="70E5ECE7" wp14:editId="53E6F399">
            <wp:extent cx="5786120" cy="2729552"/>
            <wp:effectExtent l="0" t="0" r="5080" b="0"/>
            <wp:docPr id="459" name="Obraz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794935" cy="2733710"/>
                    </a:xfrm>
                    <a:prstGeom prst="rect">
                      <a:avLst/>
                    </a:prstGeom>
                    <a:solidFill>
                      <a:srgbClr val="FFFFFF"/>
                    </a:solidFill>
                    <a:ln>
                      <a:noFill/>
                    </a:ln>
                  </pic:spPr>
                </pic:pic>
              </a:graphicData>
            </a:graphic>
          </wp:inline>
        </w:drawing>
      </w:r>
      <w:r>
        <w:br/>
        <w:t xml:space="preserve">Źródło: Opracowanie </w:t>
      </w:r>
      <w:r w:rsidR="003A56DA">
        <w:t>MRiT</w:t>
      </w:r>
      <w:r w:rsidR="003A5EA7">
        <w:t xml:space="preserve"> </w:t>
      </w:r>
      <w:r>
        <w:t>na podstawie danych EPO (2019)</w:t>
      </w:r>
    </w:p>
    <w:p w14:paraId="48342B05" w14:textId="1D137A54" w:rsidR="0045359D" w:rsidRDefault="0045359D" w:rsidP="0045359D">
      <w:r>
        <w:t xml:space="preserve">Wśród przedsiębiorstw chroniących swoją własność przemysłową w Urzędzie Patentowym </w:t>
      </w:r>
      <w:r w:rsidR="00F973A6" w:rsidRPr="00784F72">
        <w:t>R</w:t>
      </w:r>
      <w:r w:rsidR="00241D17">
        <w:t xml:space="preserve">zeczypospolitej </w:t>
      </w:r>
      <w:r w:rsidR="00F973A6" w:rsidRPr="00784F72">
        <w:t>P</w:t>
      </w:r>
      <w:r w:rsidR="00241D17">
        <w:t>olskiej</w:t>
      </w:r>
      <w:r>
        <w:t xml:space="preserve"> największy udział stanowiły podmioty, które w latach </w:t>
      </w:r>
      <w:r w:rsidR="00F973A6" w:rsidRPr="00784F72">
        <w:t>201</w:t>
      </w:r>
      <w:r w:rsidR="00F973A6">
        <w:t>7</w:t>
      </w:r>
      <w:r w:rsidR="00241D17">
        <w:rPr>
          <w:rFonts w:ascii="Times New Roman" w:hAnsi="Times New Roman" w:cs="Times New Roman"/>
        </w:rPr>
        <w:t>–</w:t>
      </w:r>
      <w:r w:rsidR="00F973A6" w:rsidRPr="00784F72">
        <w:t>201</w:t>
      </w:r>
      <w:r w:rsidR="00F973A6">
        <w:t>9</w:t>
      </w:r>
      <w:r>
        <w:t xml:space="preserve"> dokonały zgłoszeń znaków towarowych (3% przedsiębiorstw przemysłowych oraz 3,6% usługowych wobec odpowiednio 3,7% i 3,5% w latach </w:t>
      </w:r>
      <w:r w:rsidR="0045672D">
        <w:br/>
      </w:r>
      <w:r w:rsidR="00F973A6" w:rsidRPr="00784F72">
        <w:t>201</w:t>
      </w:r>
      <w:r w:rsidR="00F973A6">
        <w:t>6</w:t>
      </w:r>
      <w:r w:rsidR="0045672D">
        <w:rPr>
          <w:rFonts w:ascii="Times New Roman" w:hAnsi="Times New Roman" w:cs="Times New Roman"/>
        </w:rPr>
        <w:t>–</w:t>
      </w:r>
      <w:r w:rsidR="00F973A6" w:rsidRPr="00784F72">
        <w:t>201</w:t>
      </w:r>
      <w:r w:rsidR="00F973A6">
        <w:t>8</w:t>
      </w:r>
      <w:r>
        <w:t>). Najmniejszy był natomiast odsetek zarówno przedsiębiorstw przemysłowych, które zgłosiły do ochrony wzory przemysłowe (odpowiednio 1,1%), natomiast usługowych – wzory użytkowe (0,2%). Jeśli chodzi o wynalazki, z tej formy ochrony własności intelektualnej korzystało 2,9% przedsiębiorstw przemysłowych oraz 0,8% usługowych.</w:t>
      </w:r>
    </w:p>
    <w:p w14:paraId="10F0270E" w14:textId="659C365C" w:rsidR="003C3957" w:rsidRDefault="003C3957" w:rsidP="00CB07D4">
      <w:pPr>
        <w:spacing w:after="0" w:line="240" w:lineRule="auto"/>
        <w:rPr>
          <w:rFonts w:cs="Calibri"/>
          <w:i/>
          <w:sz w:val="21"/>
          <w:szCs w:val="21"/>
        </w:rPr>
      </w:pPr>
      <w:r>
        <w:rPr>
          <w:b/>
          <w:sz w:val="21"/>
          <w:szCs w:val="21"/>
        </w:rPr>
        <w:lastRenderedPageBreak/>
        <w:t>Rys</w:t>
      </w:r>
      <w:r w:rsidR="00682265">
        <w:rPr>
          <w:b/>
          <w:sz w:val="21"/>
          <w:szCs w:val="21"/>
        </w:rPr>
        <w:t>.</w:t>
      </w:r>
      <w:r>
        <w:rPr>
          <w:b/>
          <w:sz w:val="21"/>
          <w:szCs w:val="21"/>
        </w:rPr>
        <w:t xml:space="preserve"> </w:t>
      </w:r>
      <w:r>
        <w:rPr>
          <w:b/>
          <w:sz w:val="21"/>
          <w:szCs w:val="21"/>
        </w:rPr>
        <w:fldChar w:fldCharType="begin"/>
      </w:r>
      <w:r>
        <w:rPr>
          <w:b/>
          <w:sz w:val="21"/>
          <w:szCs w:val="21"/>
        </w:rPr>
        <w:instrText xml:space="preserve"> SEQ "Rysunek_" \* ARABIC </w:instrText>
      </w:r>
      <w:r>
        <w:rPr>
          <w:b/>
          <w:sz w:val="21"/>
          <w:szCs w:val="21"/>
        </w:rPr>
        <w:fldChar w:fldCharType="separate"/>
      </w:r>
      <w:r>
        <w:rPr>
          <w:b/>
          <w:sz w:val="21"/>
          <w:szCs w:val="21"/>
        </w:rPr>
        <w:t>4</w:t>
      </w:r>
      <w:r>
        <w:rPr>
          <w:b/>
          <w:sz w:val="21"/>
          <w:szCs w:val="21"/>
        </w:rPr>
        <w:fldChar w:fldCharType="end"/>
      </w:r>
      <w:r>
        <w:rPr>
          <w:b/>
          <w:sz w:val="21"/>
          <w:szCs w:val="21"/>
        </w:rPr>
        <w:t>.</w:t>
      </w:r>
      <w:r>
        <w:rPr>
          <w:b/>
          <w:bCs/>
          <w:sz w:val="21"/>
          <w:szCs w:val="21"/>
        </w:rPr>
        <w:t xml:space="preserve"> Przedsiębiorstwa, które</w:t>
      </w:r>
      <w:r w:rsidR="006343E1">
        <w:rPr>
          <w:b/>
          <w:bCs/>
          <w:sz w:val="21"/>
          <w:szCs w:val="21"/>
        </w:rPr>
        <w:t xml:space="preserve"> w </w:t>
      </w:r>
      <w:r>
        <w:rPr>
          <w:b/>
          <w:bCs/>
          <w:sz w:val="21"/>
          <w:szCs w:val="21"/>
        </w:rPr>
        <w:t>latach 2016</w:t>
      </w:r>
      <w:r w:rsidR="0045672D">
        <w:rPr>
          <w:rFonts w:ascii="Times New Roman" w:hAnsi="Times New Roman" w:cs="Times New Roman"/>
          <w:b/>
          <w:bCs/>
          <w:sz w:val="21"/>
          <w:szCs w:val="21"/>
        </w:rPr>
        <w:t>–</w:t>
      </w:r>
      <w:r w:rsidR="0045359D">
        <w:rPr>
          <w:b/>
          <w:bCs/>
          <w:sz w:val="21"/>
          <w:szCs w:val="21"/>
        </w:rPr>
        <w:t xml:space="preserve">2018 </w:t>
      </w:r>
      <w:r>
        <w:rPr>
          <w:b/>
          <w:bCs/>
          <w:sz w:val="21"/>
          <w:szCs w:val="21"/>
        </w:rPr>
        <w:t>dokonały zgłoszeń</w:t>
      </w:r>
      <w:r w:rsidR="006343E1">
        <w:rPr>
          <w:b/>
          <w:bCs/>
          <w:sz w:val="21"/>
          <w:szCs w:val="21"/>
        </w:rPr>
        <w:t xml:space="preserve"> w </w:t>
      </w:r>
      <w:r>
        <w:rPr>
          <w:b/>
          <w:bCs/>
          <w:sz w:val="21"/>
          <w:szCs w:val="21"/>
        </w:rPr>
        <w:t>Urzędzie Patentowym RP (w %)</w:t>
      </w:r>
      <w:r w:rsidRPr="00B21056">
        <w:rPr>
          <w:noProof/>
          <w:lang w:eastAsia="pl-PL"/>
        </w:rPr>
        <w:drawing>
          <wp:inline distT="0" distB="0" distL="0" distR="0" wp14:anchorId="3FBE4045" wp14:editId="71B615D2">
            <wp:extent cx="3872286" cy="2330542"/>
            <wp:effectExtent l="0" t="19050" r="0" b="31750"/>
            <wp:docPr id="44" name="Diagram 4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6" r:lo="rId127" r:qs="rId128" r:cs="rId129"/>
              </a:graphicData>
            </a:graphic>
          </wp:inline>
        </w:drawing>
      </w:r>
    </w:p>
    <w:p w14:paraId="6816FA68" w14:textId="4F57A38B" w:rsidR="003C3957" w:rsidRDefault="003C3957" w:rsidP="003D2F32">
      <w:pPr>
        <w:pStyle w:val="Bezodstpw"/>
        <w:jc w:val="left"/>
      </w:pPr>
      <w:r>
        <w:t xml:space="preserve">Źródło: Opracowanie </w:t>
      </w:r>
      <w:r w:rsidR="003A56DA">
        <w:t>MRiT</w:t>
      </w:r>
      <w:r w:rsidR="003A5EA7">
        <w:t xml:space="preserve"> </w:t>
      </w:r>
      <w:r>
        <w:t>na podstawie danych GUS (</w:t>
      </w:r>
      <w:r w:rsidR="0045359D">
        <w:t>2021</w:t>
      </w:r>
      <w:r>
        <w:t>)</w:t>
      </w:r>
    </w:p>
    <w:p w14:paraId="6785F4C8" w14:textId="143532A7" w:rsidR="003C3957" w:rsidRDefault="003C3957" w:rsidP="003C3957">
      <w:r>
        <w:t>Jednocześnie</w:t>
      </w:r>
      <w:r w:rsidR="006343E1">
        <w:t xml:space="preserve"> w </w:t>
      </w:r>
      <w:r>
        <w:t>rankingach światowych polskie szkolnictwo wyższe zajmuje niskie pozycje.</w:t>
      </w:r>
      <w:r w:rsidR="006343E1">
        <w:t xml:space="preserve"> W </w:t>
      </w:r>
      <w:r w:rsidRPr="00CB07D4">
        <w:rPr>
          <w:i/>
        </w:rPr>
        <w:t>The World University Rankings</w:t>
      </w:r>
      <w:r>
        <w:t xml:space="preserve"> (THE, 2019) pierwsze polskie uczelnie</w:t>
      </w:r>
      <w:r w:rsidR="0045672D">
        <w:t>,</w:t>
      </w:r>
      <w:r>
        <w:t xml:space="preserve"> tj. Uniwersytet Jagielloński </w:t>
      </w:r>
      <w:r w:rsidR="0045672D">
        <w:t>i</w:t>
      </w:r>
      <w:r>
        <w:t xml:space="preserve"> Uniwersytet Warszawski</w:t>
      </w:r>
      <w:r w:rsidR="0045672D">
        <w:t>,</w:t>
      </w:r>
      <w:r>
        <w:t xml:space="preserve"> znajdują się na pozycjach 601</w:t>
      </w:r>
      <w:r w:rsidR="0045672D">
        <w:rPr>
          <w:rFonts w:ascii="Times New Roman" w:hAnsi="Times New Roman" w:cs="Times New Roman"/>
        </w:rPr>
        <w:t>–</w:t>
      </w:r>
      <w:r>
        <w:t>800. Znacznie gorzej wypadają uczelnie techniczne: pierwsze znajdują się między ósmą</w:t>
      </w:r>
      <w:r w:rsidR="006343E1">
        <w:t xml:space="preserve"> a </w:t>
      </w:r>
      <w:r>
        <w:t>dziesiątą setką. Czechy mają osiem uczelni na tysiąc pozycji rankingu,</w:t>
      </w:r>
      <w:r w:rsidR="006343E1">
        <w:t xml:space="preserve"> z </w:t>
      </w:r>
      <w:r>
        <w:t>czego pierwsza uczelnia czeska znajduje się między czwartą</w:t>
      </w:r>
      <w:r w:rsidR="006343E1">
        <w:t xml:space="preserve"> a </w:t>
      </w:r>
      <w:r>
        <w:t>piątą setką.</w:t>
      </w:r>
    </w:p>
    <w:p w14:paraId="190C791F" w14:textId="232BB874" w:rsidR="003C3957" w:rsidRPr="00CB07D4" w:rsidRDefault="003C3957" w:rsidP="003D2F32">
      <w:pPr>
        <w:pStyle w:val="Nagwek4"/>
        <w:rPr>
          <w:rStyle w:val="Wyrnienieintensywne1"/>
          <w:b/>
          <w:color w:val="002060"/>
        </w:rPr>
      </w:pPr>
      <w:r w:rsidRPr="003D2F32">
        <w:rPr>
          <w:rStyle w:val="Wyrnienieintensywne1"/>
          <w:b/>
          <w:bCs w:val="0"/>
          <w:i w:val="0"/>
          <w:iCs/>
          <w:color w:val="002060"/>
        </w:rPr>
        <w:t xml:space="preserve">Tabela </w:t>
      </w:r>
      <w:r w:rsidRPr="003D2F32">
        <w:rPr>
          <w:rStyle w:val="Wyrnienieintensywne1"/>
          <w:b/>
          <w:bCs w:val="0"/>
          <w:i w:val="0"/>
          <w:iCs/>
          <w:color w:val="002060"/>
        </w:rPr>
        <w:fldChar w:fldCharType="begin"/>
      </w:r>
      <w:r w:rsidRPr="003D2F32">
        <w:rPr>
          <w:rStyle w:val="Wyrnienieintensywne1"/>
          <w:b/>
          <w:bCs w:val="0"/>
          <w:i w:val="0"/>
          <w:iCs/>
          <w:color w:val="002060"/>
        </w:rPr>
        <w:instrText xml:space="preserve"> SEQ "Tabela" \* ARABIC </w:instrText>
      </w:r>
      <w:r w:rsidRPr="003D2F32">
        <w:rPr>
          <w:rStyle w:val="Wyrnienieintensywne1"/>
          <w:b/>
          <w:bCs w:val="0"/>
          <w:i w:val="0"/>
          <w:iCs/>
          <w:color w:val="002060"/>
        </w:rPr>
        <w:fldChar w:fldCharType="separate"/>
      </w:r>
      <w:r w:rsidR="00332B11">
        <w:rPr>
          <w:rStyle w:val="Wyrnienieintensywne1"/>
          <w:b/>
          <w:bCs w:val="0"/>
          <w:i w:val="0"/>
          <w:iCs/>
          <w:noProof/>
          <w:color w:val="002060"/>
        </w:rPr>
        <w:t>1</w:t>
      </w:r>
      <w:r w:rsidRPr="003D2F32">
        <w:rPr>
          <w:rStyle w:val="Wyrnienieintensywne1"/>
          <w:b/>
          <w:bCs w:val="0"/>
          <w:i w:val="0"/>
          <w:iCs/>
          <w:color w:val="002060"/>
        </w:rPr>
        <w:fldChar w:fldCharType="end"/>
      </w:r>
      <w:r w:rsidR="00311B4A">
        <w:rPr>
          <w:rStyle w:val="Wyrnienieintensywne1"/>
          <w:b/>
          <w:bCs w:val="0"/>
          <w:i w:val="0"/>
          <w:iCs/>
          <w:color w:val="002060"/>
        </w:rPr>
        <w:t>2</w:t>
      </w:r>
      <w:r w:rsidRPr="003D2F32">
        <w:rPr>
          <w:rStyle w:val="Wyrnienieintensywne1"/>
          <w:b/>
          <w:bCs w:val="0"/>
          <w:i w:val="0"/>
          <w:iCs/>
          <w:color w:val="002060"/>
        </w:rPr>
        <w:t>. Miejsce krajowych uczelni</w:t>
      </w:r>
      <w:r w:rsidR="006343E1" w:rsidRPr="003D2F32">
        <w:rPr>
          <w:rStyle w:val="Wyrnienieintensywne1"/>
          <w:b/>
          <w:bCs w:val="0"/>
          <w:i w:val="0"/>
          <w:iCs/>
          <w:color w:val="002060"/>
        </w:rPr>
        <w:t xml:space="preserve"> w </w:t>
      </w:r>
      <w:r w:rsidRPr="007B7CEC">
        <w:rPr>
          <w:rStyle w:val="Wyrnienieintensywne1"/>
          <w:b/>
          <w:color w:val="002060"/>
        </w:rPr>
        <w:t>The World University Rankings</w:t>
      </w:r>
    </w:p>
    <w:tbl>
      <w:tblPr>
        <w:tblW w:w="0" w:type="auto"/>
        <w:tblInd w:w="108" w:type="dxa"/>
        <w:tblLayout w:type="fixed"/>
        <w:tblLook w:val="0000" w:firstRow="0" w:lastRow="0" w:firstColumn="0" w:lastColumn="0" w:noHBand="0" w:noVBand="0"/>
      </w:tblPr>
      <w:tblGrid>
        <w:gridCol w:w="1668"/>
        <w:gridCol w:w="4451"/>
      </w:tblGrid>
      <w:tr w:rsidR="003C3957" w14:paraId="221ABB2E" w14:textId="77777777" w:rsidTr="00CB07D4">
        <w:trPr>
          <w:trHeight w:val="216"/>
        </w:trPr>
        <w:tc>
          <w:tcPr>
            <w:tcW w:w="1668" w:type="dxa"/>
            <w:tcBorders>
              <w:top w:val="single" w:sz="8" w:space="0" w:color="78C0D4"/>
              <w:left w:val="single" w:sz="8" w:space="0" w:color="78C0D4"/>
              <w:bottom w:val="single" w:sz="4" w:space="0" w:color="auto"/>
              <w:right w:val="single" w:sz="4" w:space="0" w:color="auto"/>
            </w:tcBorders>
            <w:shd w:val="clear" w:color="auto" w:fill="4BACC6"/>
            <w:vAlign w:val="center"/>
          </w:tcPr>
          <w:p w14:paraId="0E8F5349" w14:textId="77777777" w:rsidR="003C3957" w:rsidRDefault="003C3957" w:rsidP="003224F9">
            <w:pPr>
              <w:spacing w:after="0" w:line="240" w:lineRule="auto"/>
            </w:pPr>
            <w:r>
              <w:rPr>
                <w:rFonts w:eastAsia="Times New Roman" w:cs="Calibri"/>
                <w:b/>
                <w:bCs/>
                <w:color w:val="FFFFFF"/>
                <w:sz w:val="21"/>
                <w:szCs w:val="21"/>
                <w:lang w:eastAsia="pl-PL"/>
              </w:rPr>
              <w:t xml:space="preserve">Pozycja </w:t>
            </w:r>
          </w:p>
        </w:tc>
        <w:tc>
          <w:tcPr>
            <w:tcW w:w="4451" w:type="dxa"/>
            <w:tcBorders>
              <w:top w:val="single" w:sz="8" w:space="0" w:color="78C0D4"/>
              <w:left w:val="single" w:sz="4" w:space="0" w:color="auto"/>
              <w:bottom w:val="single" w:sz="4" w:space="0" w:color="auto"/>
              <w:right w:val="single" w:sz="8" w:space="0" w:color="78C0D4"/>
            </w:tcBorders>
            <w:shd w:val="clear" w:color="auto" w:fill="4BACC6"/>
            <w:vAlign w:val="center"/>
          </w:tcPr>
          <w:p w14:paraId="2B7AD3C3" w14:textId="3DA620FC" w:rsidR="003C3957" w:rsidRDefault="003C3957" w:rsidP="003224F9">
            <w:pPr>
              <w:spacing w:after="0" w:line="240" w:lineRule="auto"/>
            </w:pPr>
            <w:r>
              <w:rPr>
                <w:rFonts w:cs="Calibri"/>
                <w:b/>
                <w:bCs/>
                <w:color w:val="FFFFFF"/>
                <w:sz w:val="21"/>
                <w:szCs w:val="21"/>
              </w:rPr>
              <w:t>Uczelnie</w:t>
            </w:r>
          </w:p>
        </w:tc>
      </w:tr>
      <w:tr w:rsidR="003C3957" w14:paraId="56231021" w14:textId="77777777" w:rsidTr="00CB07D4">
        <w:trPr>
          <w:trHeight w:val="216"/>
        </w:trPr>
        <w:tc>
          <w:tcPr>
            <w:tcW w:w="1668" w:type="dxa"/>
            <w:tcBorders>
              <w:top w:val="single" w:sz="4" w:space="0" w:color="auto"/>
              <w:left w:val="single" w:sz="8" w:space="0" w:color="78C0D4"/>
              <w:bottom w:val="single" w:sz="8" w:space="0" w:color="78C0D4"/>
              <w:right w:val="single" w:sz="4" w:space="0" w:color="auto"/>
            </w:tcBorders>
            <w:shd w:val="clear" w:color="auto" w:fill="auto"/>
          </w:tcPr>
          <w:p w14:paraId="768B974B" w14:textId="57E4F680" w:rsidR="003C3957" w:rsidRDefault="003C3957" w:rsidP="003224F9">
            <w:pPr>
              <w:spacing w:after="0" w:line="240" w:lineRule="auto"/>
            </w:pPr>
            <w:r>
              <w:rPr>
                <w:rFonts w:eastAsia="Times New Roman" w:cs="Calibri"/>
                <w:b/>
                <w:bCs/>
                <w:sz w:val="21"/>
                <w:szCs w:val="21"/>
                <w:lang w:eastAsia="pl-PL"/>
              </w:rPr>
              <w:t>601</w:t>
            </w:r>
            <w:r w:rsidR="0045672D">
              <w:rPr>
                <w:rFonts w:ascii="Times New Roman" w:eastAsia="Times New Roman" w:hAnsi="Times New Roman" w:cs="Times New Roman"/>
                <w:b/>
                <w:bCs/>
                <w:sz w:val="21"/>
                <w:szCs w:val="21"/>
                <w:lang w:eastAsia="pl-PL"/>
              </w:rPr>
              <w:t>–</w:t>
            </w:r>
            <w:r>
              <w:rPr>
                <w:rFonts w:eastAsia="Times New Roman" w:cs="Calibri"/>
                <w:b/>
                <w:bCs/>
                <w:sz w:val="21"/>
                <w:szCs w:val="21"/>
                <w:lang w:eastAsia="pl-PL"/>
              </w:rPr>
              <w:t>800</w:t>
            </w:r>
          </w:p>
        </w:tc>
        <w:tc>
          <w:tcPr>
            <w:tcW w:w="4451" w:type="dxa"/>
            <w:tcBorders>
              <w:top w:val="single" w:sz="4" w:space="0" w:color="auto"/>
              <w:left w:val="single" w:sz="4" w:space="0" w:color="auto"/>
              <w:bottom w:val="single" w:sz="8" w:space="0" w:color="78C0D4"/>
              <w:right w:val="single" w:sz="8" w:space="0" w:color="78C0D4"/>
            </w:tcBorders>
            <w:shd w:val="clear" w:color="auto" w:fill="auto"/>
          </w:tcPr>
          <w:p w14:paraId="6438124D" w14:textId="77777777" w:rsidR="003C3957" w:rsidRDefault="003C3957" w:rsidP="003224F9">
            <w:pPr>
              <w:spacing w:after="0" w:line="240" w:lineRule="auto"/>
            </w:pPr>
            <w:r>
              <w:rPr>
                <w:rFonts w:eastAsia="Times New Roman" w:cs="Calibri"/>
                <w:sz w:val="21"/>
                <w:szCs w:val="21"/>
                <w:lang w:eastAsia="pl-PL"/>
              </w:rPr>
              <w:t>Uniwersytet Jagielloński</w:t>
            </w:r>
          </w:p>
        </w:tc>
      </w:tr>
      <w:tr w:rsidR="003C3957" w14:paraId="779DDD87" w14:textId="77777777" w:rsidTr="00CB07D4">
        <w:trPr>
          <w:trHeight w:val="216"/>
        </w:trPr>
        <w:tc>
          <w:tcPr>
            <w:tcW w:w="1668" w:type="dxa"/>
            <w:tcBorders>
              <w:top w:val="single" w:sz="8" w:space="0" w:color="78C0D4"/>
              <w:left w:val="single" w:sz="8" w:space="0" w:color="78C0D4"/>
              <w:bottom w:val="single" w:sz="8" w:space="0" w:color="78C0D4"/>
              <w:right w:val="single" w:sz="4" w:space="0" w:color="auto"/>
            </w:tcBorders>
            <w:shd w:val="clear" w:color="auto" w:fill="D2EAF1"/>
          </w:tcPr>
          <w:p w14:paraId="1A2E9B01" w14:textId="77777777" w:rsidR="003C3957" w:rsidRDefault="003C3957" w:rsidP="003224F9">
            <w:pPr>
              <w:spacing w:after="0" w:line="240" w:lineRule="auto"/>
            </w:pPr>
            <w:r>
              <w:rPr>
                <w:rFonts w:eastAsia="Times New Roman" w:cs="Calibri"/>
                <w:b/>
                <w:bCs/>
                <w:sz w:val="21"/>
                <w:szCs w:val="21"/>
                <w:lang w:eastAsia="pl-PL"/>
              </w:rPr>
              <w:t>601–800</w:t>
            </w:r>
          </w:p>
        </w:tc>
        <w:tc>
          <w:tcPr>
            <w:tcW w:w="4451" w:type="dxa"/>
            <w:tcBorders>
              <w:top w:val="single" w:sz="8" w:space="0" w:color="78C0D4"/>
              <w:left w:val="single" w:sz="4" w:space="0" w:color="auto"/>
              <w:bottom w:val="single" w:sz="8" w:space="0" w:color="78C0D4"/>
              <w:right w:val="single" w:sz="8" w:space="0" w:color="78C0D4"/>
            </w:tcBorders>
            <w:shd w:val="clear" w:color="auto" w:fill="D2EAF1"/>
          </w:tcPr>
          <w:p w14:paraId="08FD471D" w14:textId="77777777" w:rsidR="003C3957" w:rsidRDefault="003C3957" w:rsidP="003224F9">
            <w:pPr>
              <w:spacing w:after="0" w:line="240" w:lineRule="auto"/>
            </w:pPr>
            <w:r>
              <w:rPr>
                <w:rFonts w:eastAsia="Times New Roman" w:cs="Calibri"/>
                <w:sz w:val="21"/>
                <w:szCs w:val="21"/>
                <w:lang w:eastAsia="pl-PL"/>
              </w:rPr>
              <w:t>Uniwersytet Warszawski</w:t>
            </w:r>
          </w:p>
        </w:tc>
      </w:tr>
      <w:tr w:rsidR="003C3957" w14:paraId="76A7E83E" w14:textId="77777777" w:rsidTr="00CB07D4">
        <w:trPr>
          <w:trHeight w:val="285"/>
        </w:trPr>
        <w:tc>
          <w:tcPr>
            <w:tcW w:w="1668" w:type="dxa"/>
            <w:tcBorders>
              <w:top w:val="single" w:sz="8" w:space="0" w:color="78C0D4"/>
              <w:left w:val="single" w:sz="8" w:space="0" w:color="78C0D4"/>
              <w:bottom w:val="single" w:sz="8" w:space="0" w:color="78C0D4"/>
              <w:right w:val="single" w:sz="4" w:space="0" w:color="auto"/>
            </w:tcBorders>
            <w:shd w:val="clear" w:color="auto" w:fill="auto"/>
          </w:tcPr>
          <w:p w14:paraId="7E487482" w14:textId="05D1716F" w:rsidR="003C3957" w:rsidRDefault="003C3957" w:rsidP="003224F9">
            <w:pPr>
              <w:spacing w:after="0" w:line="240" w:lineRule="auto"/>
            </w:pPr>
            <w:r>
              <w:rPr>
                <w:rFonts w:eastAsia="Times New Roman" w:cs="Calibri"/>
                <w:b/>
                <w:bCs/>
                <w:sz w:val="21"/>
                <w:szCs w:val="21"/>
                <w:lang w:eastAsia="pl-PL"/>
              </w:rPr>
              <w:t>801</w:t>
            </w:r>
            <w:r w:rsidR="0045672D">
              <w:rPr>
                <w:rFonts w:ascii="Times New Roman" w:eastAsia="Times New Roman" w:hAnsi="Times New Roman" w:cs="Times New Roman"/>
                <w:b/>
                <w:bCs/>
                <w:sz w:val="21"/>
                <w:szCs w:val="21"/>
                <w:lang w:eastAsia="pl-PL"/>
              </w:rPr>
              <w:t>–</w:t>
            </w:r>
            <w:r>
              <w:rPr>
                <w:rFonts w:eastAsia="Times New Roman" w:cs="Calibri"/>
                <w:b/>
                <w:bCs/>
                <w:sz w:val="21"/>
                <w:szCs w:val="21"/>
                <w:lang w:eastAsia="pl-PL"/>
              </w:rPr>
              <w:t>1000</w:t>
            </w:r>
          </w:p>
        </w:tc>
        <w:tc>
          <w:tcPr>
            <w:tcW w:w="4451" w:type="dxa"/>
            <w:tcBorders>
              <w:top w:val="single" w:sz="8" w:space="0" w:color="78C0D4"/>
              <w:left w:val="single" w:sz="4" w:space="0" w:color="auto"/>
              <w:bottom w:val="single" w:sz="8" w:space="0" w:color="78C0D4"/>
              <w:right w:val="single" w:sz="8" w:space="0" w:color="78C0D4"/>
            </w:tcBorders>
            <w:shd w:val="clear" w:color="auto" w:fill="auto"/>
          </w:tcPr>
          <w:p w14:paraId="3CAA91CB" w14:textId="4EF95623" w:rsidR="003C3957" w:rsidRDefault="003C3957" w:rsidP="003224F9">
            <w:pPr>
              <w:spacing w:after="0" w:line="240" w:lineRule="auto"/>
            </w:pPr>
            <w:r>
              <w:rPr>
                <w:rFonts w:eastAsia="Times New Roman" w:cs="Calibri"/>
                <w:sz w:val="21"/>
                <w:szCs w:val="21"/>
                <w:lang w:eastAsia="pl-PL"/>
              </w:rPr>
              <w:t xml:space="preserve">Uniwersytet </w:t>
            </w:r>
            <w:r w:rsidR="00CB1A6D">
              <w:rPr>
                <w:rFonts w:eastAsia="Times New Roman" w:cs="Calibri"/>
                <w:sz w:val="21"/>
                <w:szCs w:val="21"/>
                <w:lang w:eastAsia="pl-PL"/>
              </w:rPr>
              <w:t xml:space="preserve">im. </w:t>
            </w:r>
            <w:r>
              <w:rPr>
                <w:rFonts w:eastAsia="Times New Roman" w:cs="Calibri"/>
                <w:sz w:val="21"/>
                <w:szCs w:val="21"/>
                <w:lang w:eastAsia="pl-PL"/>
              </w:rPr>
              <w:t>Adama Mickiewicza</w:t>
            </w:r>
            <w:r w:rsidR="006343E1">
              <w:rPr>
                <w:rFonts w:eastAsia="Times New Roman" w:cs="Calibri"/>
                <w:sz w:val="21"/>
                <w:szCs w:val="21"/>
                <w:lang w:eastAsia="pl-PL"/>
              </w:rPr>
              <w:t xml:space="preserve"> w </w:t>
            </w:r>
            <w:r>
              <w:rPr>
                <w:rFonts w:eastAsia="Times New Roman" w:cs="Calibri"/>
                <w:sz w:val="21"/>
                <w:szCs w:val="21"/>
                <w:lang w:eastAsia="pl-PL"/>
              </w:rPr>
              <w:t>Poznaniu</w:t>
            </w:r>
          </w:p>
        </w:tc>
      </w:tr>
      <w:tr w:rsidR="003C3957" w14:paraId="0F78EC8D" w14:textId="77777777" w:rsidTr="00CB07D4">
        <w:trPr>
          <w:trHeight w:val="285"/>
        </w:trPr>
        <w:tc>
          <w:tcPr>
            <w:tcW w:w="1668" w:type="dxa"/>
            <w:tcBorders>
              <w:top w:val="single" w:sz="8" w:space="0" w:color="78C0D4"/>
              <w:left w:val="single" w:sz="8" w:space="0" w:color="78C0D4"/>
              <w:bottom w:val="single" w:sz="8" w:space="0" w:color="78C0D4"/>
              <w:right w:val="single" w:sz="4" w:space="0" w:color="auto"/>
            </w:tcBorders>
            <w:shd w:val="clear" w:color="auto" w:fill="D2EAF1"/>
          </w:tcPr>
          <w:p w14:paraId="22858803" w14:textId="4E6A5A00" w:rsidR="003C3957" w:rsidRDefault="003C3957" w:rsidP="003224F9">
            <w:pPr>
              <w:spacing w:after="0" w:line="240" w:lineRule="auto"/>
            </w:pPr>
            <w:r>
              <w:rPr>
                <w:rFonts w:eastAsia="Times New Roman" w:cs="Calibri"/>
                <w:b/>
                <w:bCs/>
                <w:sz w:val="21"/>
                <w:szCs w:val="21"/>
                <w:lang w:eastAsia="pl-PL"/>
              </w:rPr>
              <w:t>801</w:t>
            </w:r>
            <w:r w:rsidR="0045672D">
              <w:rPr>
                <w:rFonts w:ascii="Times New Roman" w:eastAsia="Times New Roman" w:hAnsi="Times New Roman" w:cs="Times New Roman"/>
                <w:b/>
                <w:bCs/>
                <w:sz w:val="21"/>
                <w:szCs w:val="21"/>
                <w:lang w:eastAsia="pl-PL"/>
              </w:rPr>
              <w:t>–</w:t>
            </w:r>
            <w:r>
              <w:rPr>
                <w:rFonts w:eastAsia="Times New Roman" w:cs="Calibri"/>
                <w:b/>
                <w:bCs/>
                <w:sz w:val="21"/>
                <w:szCs w:val="21"/>
                <w:lang w:eastAsia="pl-PL"/>
              </w:rPr>
              <w:t>1000</w:t>
            </w:r>
          </w:p>
        </w:tc>
        <w:tc>
          <w:tcPr>
            <w:tcW w:w="4451" w:type="dxa"/>
            <w:tcBorders>
              <w:top w:val="single" w:sz="8" w:space="0" w:color="78C0D4"/>
              <w:left w:val="single" w:sz="4" w:space="0" w:color="auto"/>
              <w:bottom w:val="single" w:sz="8" w:space="0" w:color="78C0D4"/>
              <w:right w:val="single" w:sz="8" w:space="0" w:color="78C0D4"/>
            </w:tcBorders>
            <w:shd w:val="clear" w:color="auto" w:fill="D2EAF1"/>
          </w:tcPr>
          <w:p w14:paraId="77BFADBC" w14:textId="77777777" w:rsidR="003C3957" w:rsidRDefault="003C3957" w:rsidP="003224F9">
            <w:pPr>
              <w:spacing w:after="0" w:line="240" w:lineRule="auto"/>
            </w:pPr>
            <w:r>
              <w:rPr>
                <w:rFonts w:eastAsia="Times New Roman" w:cs="Calibri"/>
                <w:sz w:val="21"/>
                <w:szCs w:val="21"/>
                <w:lang w:eastAsia="pl-PL"/>
              </w:rPr>
              <w:t>Akademia Górniczo-Hutnicza</w:t>
            </w:r>
          </w:p>
        </w:tc>
      </w:tr>
      <w:tr w:rsidR="003C3957" w14:paraId="4A9ED75C" w14:textId="77777777" w:rsidTr="00CB07D4">
        <w:trPr>
          <w:trHeight w:val="285"/>
        </w:trPr>
        <w:tc>
          <w:tcPr>
            <w:tcW w:w="1668" w:type="dxa"/>
            <w:tcBorders>
              <w:top w:val="single" w:sz="8" w:space="0" w:color="78C0D4"/>
              <w:left w:val="single" w:sz="8" w:space="0" w:color="78C0D4"/>
              <w:bottom w:val="single" w:sz="8" w:space="0" w:color="78C0D4"/>
              <w:right w:val="single" w:sz="4" w:space="0" w:color="auto"/>
            </w:tcBorders>
            <w:shd w:val="clear" w:color="auto" w:fill="auto"/>
          </w:tcPr>
          <w:p w14:paraId="2D179C64" w14:textId="610B914F" w:rsidR="003C3957" w:rsidRDefault="003C3957" w:rsidP="003224F9">
            <w:pPr>
              <w:spacing w:after="0" w:line="240" w:lineRule="auto"/>
            </w:pPr>
            <w:r>
              <w:rPr>
                <w:rFonts w:eastAsia="Times New Roman" w:cs="Calibri"/>
                <w:b/>
                <w:bCs/>
                <w:sz w:val="21"/>
                <w:szCs w:val="21"/>
                <w:lang w:eastAsia="pl-PL"/>
              </w:rPr>
              <w:t>801</w:t>
            </w:r>
            <w:r w:rsidR="0045672D">
              <w:rPr>
                <w:rFonts w:ascii="Times New Roman" w:eastAsia="Times New Roman" w:hAnsi="Times New Roman" w:cs="Times New Roman"/>
                <w:b/>
                <w:bCs/>
                <w:sz w:val="21"/>
                <w:szCs w:val="21"/>
                <w:lang w:eastAsia="pl-PL"/>
              </w:rPr>
              <w:t>–</w:t>
            </w:r>
            <w:r>
              <w:rPr>
                <w:rFonts w:eastAsia="Times New Roman" w:cs="Calibri"/>
                <w:b/>
                <w:bCs/>
                <w:sz w:val="21"/>
                <w:szCs w:val="21"/>
                <w:lang w:eastAsia="pl-PL"/>
              </w:rPr>
              <w:t>1000</w:t>
            </w:r>
          </w:p>
        </w:tc>
        <w:tc>
          <w:tcPr>
            <w:tcW w:w="4451" w:type="dxa"/>
            <w:tcBorders>
              <w:top w:val="single" w:sz="8" w:space="0" w:color="78C0D4"/>
              <w:left w:val="single" w:sz="4" w:space="0" w:color="auto"/>
              <w:bottom w:val="single" w:sz="8" w:space="0" w:color="78C0D4"/>
              <w:right w:val="single" w:sz="8" w:space="0" w:color="78C0D4"/>
            </w:tcBorders>
            <w:shd w:val="clear" w:color="auto" w:fill="auto"/>
          </w:tcPr>
          <w:p w14:paraId="7DD76085" w14:textId="77777777" w:rsidR="003C3957" w:rsidRDefault="003C3957" w:rsidP="003224F9">
            <w:pPr>
              <w:spacing w:after="0" w:line="240" w:lineRule="auto"/>
            </w:pPr>
            <w:r>
              <w:rPr>
                <w:rFonts w:eastAsia="Times New Roman" w:cs="Calibri"/>
                <w:sz w:val="21"/>
                <w:szCs w:val="21"/>
                <w:lang w:eastAsia="pl-PL"/>
              </w:rPr>
              <w:t>Politechnika Warszawska</w:t>
            </w:r>
          </w:p>
        </w:tc>
      </w:tr>
      <w:tr w:rsidR="003C3957" w14:paraId="43B18E04" w14:textId="77777777" w:rsidTr="00CB07D4">
        <w:trPr>
          <w:trHeight w:val="285"/>
        </w:trPr>
        <w:tc>
          <w:tcPr>
            <w:tcW w:w="1668" w:type="dxa"/>
            <w:tcBorders>
              <w:top w:val="single" w:sz="8" w:space="0" w:color="78C0D4"/>
              <w:left w:val="single" w:sz="8" w:space="0" w:color="78C0D4"/>
              <w:bottom w:val="single" w:sz="8" w:space="0" w:color="78C0D4"/>
              <w:right w:val="single" w:sz="4" w:space="0" w:color="auto"/>
            </w:tcBorders>
            <w:shd w:val="clear" w:color="auto" w:fill="D2EAF1"/>
          </w:tcPr>
          <w:p w14:paraId="4AB8C6CD" w14:textId="77777777" w:rsidR="003C3957" w:rsidRDefault="003C3957" w:rsidP="003224F9">
            <w:pPr>
              <w:spacing w:after="0" w:line="240" w:lineRule="auto"/>
            </w:pPr>
            <w:r>
              <w:rPr>
                <w:rFonts w:eastAsia="Times New Roman" w:cs="Calibri"/>
                <w:b/>
                <w:bCs/>
                <w:sz w:val="21"/>
                <w:szCs w:val="21"/>
                <w:lang w:eastAsia="pl-PL"/>
              </w:rPr>
              <w:t>1001+</w:t>
            </w:r>
          </w:p>
        </w:tc>
        <w:tc>
          <w:tcPr>
            <w:tcW w:w="4451" w:type="dxa"/>
            <w:tcBorders>
              <w:top w:val="single" w:sz="8" w:space="0" w:color="78C0D4"/>
              <w:left w:val="single" w:sz="4" w:space="0" w:color="auto"/>
              <w:bottom w:val="single" w:sz="8" w:space="0" w:color="78C0D4"/>
              <w:right w:val="single" w:sz="8" w:space="0" w:color="78C0D4"/>
            </w:tcBorders>
            <w:shd w:val="clear" w:color="auto" w:fill="D2EAF1"/>
          </w:tcPr>
          <w:p w14:paraId="2DAF9345" w14:textId="77777777" w:rsidR="003C3957" w:rsidRDefault="003C3957" w:rsidP="003224F9">
            <w:pPr>
              <w:spacing w:after="0" w:line="240" w:lineRule="auto"/>
            </w:pPr>
            <w:r>
              <w:rPr>
                <w:rFonts w:eastAsia="Times New Roman" w:cs="Calibri"/>
                <w:sz w:val="21"/>
                <w:szCs w:val="21"/>
                <w:lang w:eastAsia="pl-PL"/>
              </w:rPr>
              <w:t>Uniwersytet Gdański</w:t>
            </w:r>
          </w:p>
        </w:tc>
      </w:tr>
      <w:tr w:rsidR="003C3957" w14:paraId="4831185E" w14:textId="77777777" w:rsidTr="00CB07D4">
        <w:trPr>
          <w:trHeight w:val="285"/>
        </w:trPr>
        <w:tc>
          <w:tcPr>
            <w:tcW w:w="1668" w:type="dxa"/>
            <w:tcBorders>
              <w:top w:val="single" w:sz="8" w:space="0" w:color="78C0D4"/>
              <w:left w:val="single" w:sz="8" w:space="0" w:color="78C0D4"/>
              <w:bottom w:val="single" w:sz="8" w:space="0" w:color="78C0D4"/>
              <w:right w:val="single" w:sz="4" w:space="0" w:color="auto"/>
            </w:tcBorders>
            <w:shd w:val="clear" w:color="auto" w:fill="auto"/>
          </w:tcPr>
          <w:p w14:paraId="0DA20207" w14:textId="77777777" w:rsidR="003C3957" w:rsidRDefault="003C3957" w:rsidP="003224F9">
            <w:pPr>
              <w:spacing w:after="0" w:line="240" w:lineRule="auto"/>
            </w:pPr>
            <w:r>
              <w:rPr>
                <w:rFonts w:eastAsia="Times New Roman" w:cs="Calibri"/>
                <w:b/>
                <w:bCs/>
                <w:sz w:val="21"/>
                <w:szCs w:val="21"/>
                <w:lang w:eastAsia="pl-PL"/>
              </w:rPr>
              <w:t>1001+</w:t>
            </w:r>
          </w:p>
        </w:tc>
        <w:tc>
          <w:tcPr>
            <w:tcW w:w="4451" w:type="dxa"/>
            <w:tcBorders>
              <w:top w:val="single" w:sz="8" w:space="0" w:color="78C0D4"/>
              <w:left w:val="single" w:sz="4" w:space="0" w:color="auto"/>
              <w:bottom w:val="single" w:sz="8" w:space="0" w:color="78C0D4"/>
              <w:right w:val="single" w:sz="8" w:space="0" w:color="78C0D4"/>
            </w:tcBorders>
            <w:shd w:val="clear" w:color="auto" w:fill="auto"/>
          </w:tcPr>
          <w:p w14:paraId="1B348077" w14:textId="77777777" w:rsidR="003C3957" w:rsidRDefault="003C3957" w:rsidP="003224F9">
            <w:pPr>
              <w:spacing w:after="0" w:line="240" w:lineRule="auto"/>
            </w:pPr>
            <w:r>
              <w:rPr>
                <w:rFonts w:eastAsia="Times New Roman" w:cs="Calibri"/>
                <w:sz w:val="21"/>
                <w:szCs w:val="21"/>
                <w:lang w:eastAsia="pl-PL"/>
              </w:rPr>
              <w:t>Politechnika Gdańska</w:t>
            </w:r>
          </w:p>
        </w:tc>
      </w:tr>
      <w:tr w:rsidR="003C3957" w14:paraId="686C4983" w14:textId="77777777" w:rsidTr="00CB07D4">
        <w:trPr>
          <w:trHeight w:val="285"/>
        </w:trPr>
        <w:tc>
          <w:tcPr>
            <w:tcW w:w="1668" w:type="dxa"/>
            <w:tcBorders>
              <w:top w:val="single" w:sz="8" w:space="0" w:color="78C0D4"/>
              <w:left w:val="single" w:sz="8" w:space="0" w:color="78C0D4"/>
              <w:bottom w:val="single" w:sz="8" w:space="0" w:color="78C0D4"/>
              <w:right w:val="single" w:sz="4" w:space="0" w:color="auto"/>
            </w:tcBorders>
            <w:shd w:val="clear" w:color="auto" w:fill="D2EAF1"/>
          </w:tcPr>
          <w:p w14:paraId="1E809E66" w14:textId="77777777" w:rsidR="003C3957" w:rsidRDefault="003C3957" w:rsidP="003224F9">
            <w:pPr>
              <w:spacing w:after="0" w:line="240" w:lineRule="auto"/>
            </w:pPr>
            <w:r>
              <w:rPr>
                <w:rFonts w:eastAsia="Times New Roman" w:cs="Calibri"/>
                <w:b/>
                <w:bCs/>
                <w:sz w:val="21"/>
                <w:szCs w:val="21"/>
                <w:lang w:eastAsia="pl-PL"/>
              </w:rPr>
              <w:t>1001+</w:t>
            </w:r>
          </w:p>
        </w:tc>
        <w:tc>
          <w:tcPr>
            <w:tcW w:w="4451" w:type="dxa"/>
            <w:tcBorders>
              <w:top w:val="single" w:sz="8" w:space="0" w:color="78C0D4"/>
              <w:left w:val="single" w:sz="4" w:space="0" w:color="auto"/>
              <w:bottom w:val="single" w:sz="8" w:space="0" w:color="78C0D4"/>
              <w:right w:val="single" w:sz="8" w:space="0" w:color="78C0D4"/>
            </w:tcBorders>
            <w:shd w:val="clear" w:color="auto" w:fill="D2EAF1"/>
          </w:tcPr>
          <w:p w14:paraId="47497723" w14:textId="77777777" w:rsidR="003C3957" w:rsidRDefault="003C3957" w:rsidP="003224F9">
            <w:pPr>
              <w:spacing w:after="0" w:line="240" w:lineRule="auto"/>
            </w:pPr>
            <w:r>
              <w:rPr>
                <w:rFonts w:eastAsia="Times New Roman" w:cs="Calibri"/>
                <w:sz w:val="21"/>
                <w:szCs w:val="21"/>
                <w:lang w:eastAsia="pl-PL"/>
              </w:rPr>
              <w:t>Uniwersytet Łódzki</w:t>
            </w:r>
          </w:p>
        </w:tc>
      </w:tr>
      <w:tr w:rsidR="003C3957" w14:paraId="4DA9D234" w14:textId="77777777" w:rsidTr="00CB07D4">
        <w:trPr>
          <w:trHeight w:val="285"/>
        </w:trPr>
        <w:tc>
          <w:tcPr>
            <w:tcW w:w="1668" w:type="dxa"/>
            <w:tcBorders>
              <w:top w:val="single" w:sz="8" w:space="0" w:color="78C0D4"/>
              <w:left w:val="single" w:sz="8" w:space="0" w:color="78C0D4"/>
              <w:bottom w:val="single" w:sz="8" w:space="0" w:color="78C0D4"/>
              <w:right w:val="single" w:sz="4" w:space="0" w:color="auto"/>
            </w:tcBorders>
            <w:shd w:val="clear" w:color="auto" w:fill="auto"/>
          </w:tcPr>
          <w:p w14:paraId="1D4D1197" w14:textId="77777777" w:rsidR="003C3957" w:rsidRDefault="003C3957" w:rsidP="003224F9">
            <w:pPr>
              <w:spacing w:after="0" w:line="240" w:lineRule="auto"/>
            </w:pPr>
            <w:r>
              <w:rPr>
                <w:rFonts w:eastAsia="Times New Roman" w:cs="Calibri"/>
                <w:b/>
                <w:bCs/>
                <w:sz w:val="21"/>
                <w:szCs w:val="21"/>
                <w:lang w:eastAsia="pl-PL"/>
              </w:rPr>
              <w:t>1001+</w:t>
            </w:r>
          </w:p>
        </w:tc>
        <w:tc>
          <w:tcPr>
            <w:tcW w:w="4451" w:type="dxa"/>
            <w:tcBorders>
              <w:top w:val="single" w:sz="8" w:space="0" w:color="78C0D4"/>
              <w:left w:val="single" w:sz="4" w:space="0" w:color="auto"/>
              <w:bottom w:val="single" w:sz="8" w:space="0" w:color="78C0D4"/>
              <w:right w:val="single" w:sz="8" w:space="0" w:color="78C0D4"/>
            </w:tcBorders>
            <w:shd w:val="clear" w:color="auto" w:fill="auto"/>
          </w:tcPr>
          <w:p w14:paraId="30A89005" w14:textId="77777777" w:rsidR="003C3957" w:rsidRDefault="003C3957" w:rsidP="003224F9">
            <w:pPr>
              <w:spacing w:after="0" w:line="240" w:lineRule="auto"/>
            </w:pPr>
            <w:r>
              <w:rPr>
                <w:rFonts w:eastAsia="Times New Roman" w:cs="Calibri"/>
                <w:sz w:val="21"/>
                <w:szCs w:val="21"/>
                <w:lang w:eastAsia="pl-PL"/>
              </w:rPr>
              <w:t>Politechnika Łódzka</w:t>
            </w:r>
          </w:p>
        </w:tc>
      </w:tr>
      <w:tr w:rsidR="003C3957" w14:paraId="0633FC6B" w14:textId="77777777" w:rsidTr="00CB07D4">
        <w:trPr>
          <w:trHeight w:val="285"/>
        </w:trPr>
        <w:tc>
          <w:tcPr>
            <w:tcW w:w="1668" w:type="dxa"/>
            <w:tcBorders>
              <w:top w:val="single" w:sz="8" w:space="0" w:color="78C0D4"/>
              <w:left w:val="single" w:sz="8" w:space="0" w:color="78C0D4"/>
              <w:bottom w:val="single" w:sz="8" w:space="0" w:color="78C0D4"/>
              <w:right w:val="single" w:sz="4" w:space="0" w:color="auto"/>
            </w:tcBorders>
            <w:shd w:val="clear" w:color="auto" w:fill="D2EAF1"/>
          </w:tcPr>
          <w:p w14:paraId="06F1EC30" w14:textId="77777777" w:rsidR="003C3957" w:rsidRDefault="003C3957" w:rsidP="003224F9">
            <w:pPr>
              <w:spacing w:after="0" w:line="240" w:lineRule="auto"/>
            </w:pPr>
            <w:r>
              <w:rPr>
                <w:rFonts w:eastAsia="Times New Roman" w:cs="Calibri"/>
                <w:b/>
                <w:bCs/>
                <w:sz w:val="21"/>
                <w:szCs w:val="21"/>
                <w:lang w:eastAsia="pl-PL"/>
              </w:rPr>
              <w:t>1001+</w:t>
            </w:r>
          </w:p>
        </w:tc>
        <w:tc>
          <w:tcPr>
            <w:tcW w:w="4451" w:type="dxa"/>
            <w:tcBorders>
              <w:top w:val="single" w:sz="8" w:space="0" w:color="78C0D4"/>
              <w:left w:val="single" w:sz="4" w:space="0" w:color="auto"/>
              <w:bottom w:val="single" w:sz="8" w:space="0" w:color="78C0D4"/>
              <w:right w:val="single" w:sz="8" w:space="0" w:color="78C0D4"/>
            </w:tcBorders>
            <w:shd w:val="clear" w:color="auto" w:fill="D2EAF1"/>
          </w:tcPr>
          <w:p w14:paraId="09FE9202" w14:textId="370CB30D" w:rsidR="003C3957" w:rsidRDefault="003C3957" w:rsidP="003224F9">
            <w:pPr>
              <w:spacing w:after="0" w:line="240" w:lineRule="auto"/>
            </w:pPr>
            <w:r>
              <w:rPr>
                <w:rFonts w:eastAsia="Times New Roman" w:cs="Calibri"/>
                <w:sz w:val="21"/>
                <w:szCs w:val="21"/>
                <w:lang w:eastAsia="pl-PL"/>
              </w:rPr>
              <w:t>Uniwersytet im. Mikołaja Kopernika</w:t>
            </w:r>
            <w:r w:rsidR="006343E1">
              <w:rPr>
                <w:rFonts w:eastAsia="Times New Roman" w:cs="Calibri"/>
                <w:sz w:val="21"/>
                <w:szCs w:val="21"/>
                <w:lang w:eastAsia="pl-PL"/>
              </w:rPr>
              <w:t xml:space="preserve"> w </w:t>
            </w:r>
            <w:r>
              <w:rPr>
                <w:rFonts w:eastAsia="Times New Roman" w:cs="Calibri"/>
                <w:sz w:val="21"/>
                <w:szCs w:val="21"/>
                <w:lang w:eastAsia="pl-PL"/>
              </w:rPr>
              <w:t>Toruniu</w:t>
            </w:r>
          </w:p>
        </w:tc>
      </w:tr>
      <w:tr w:rsidR="003C3957" w14:paraId="172C694F" w14:textId="77777777" w:rsidTr="00CB07D4">
        <w:trPr>
          <w:trHeight w:val="285"/>
        </w:trPr>
        <w:tc>
          <w:tcPr>
            <w:tcW w:w="1668" w:type="dxa"/>
            <w:tcBorders>
              <w:top w:val="single" w:sz="8" w:space="0" w:color="78C0D4"/>
              <w:left w:val="single" w:sz="8" w:space="0" w:color="78C0D4"/>
              <w:bottom w:val="single" w:sz="8" w:space="0" w:color="78C0D4"/>
              <w:right w:val="single" w:sz="4" w:space="0" w:color="auto"/>
            </w:tcBorders>
            <w:shd w:val="clear" w:color="auto" w:fill="FFFFFF"/>
          </w:tcPr>
          <w:p w14:paraId="1367565D" w14:textId="77777777" w:rsidR="003C3957" w:rsidRDefault="003C3957" w:rsidP="003224F9">
            <w:pPr>
              <w:spacing w:after="0" w:line="240" w:lineRule="auto"/>
            </w:pPr>
            <w:r>
              <w:rPr>
                <w:rFonts w:eastAsia="Times New Roman" w:cs="Calibri"/>
                <w:b/>
                <w:bCs/>
                <w:sz w:val="21"/>
                <w:szCs w:val="21"/>
                <w:lang w:eastAsia="pl-PL"/>
              </w:rPr>
              <w:t>1001+</w:t>
            </w:r>
          </w:p>
        </w:tc>
        <w:tc>
          <w:tcPr>
            <w:tcW w:w="4451" w:type="dxa"/>
            <w:tcBorders>
              <w:top w:val="single" w:sz="8" w:space="0" w:color="78C0D4"/>
              <w:left w:val="single" w:sz="4" w:space="0" w:color="auto"/>
              <w:bottom w:val="single" w:sz="8" w:space="0" w:color="78C0D4"/>
              <w:right w:val="single" w:sz="8" w:space="0" w:color="78C0D4"/>
            </w:tcBorders>
            <w:shd w:val="clear" w:color="auto" w:fill="FFFFFF"/>
          </w:tcPr>
          <w:p w14:paraId="7E68D7D1" w14:textId="52FE78D7" w:rsidR="003C3957" w:rsidRDefault="003C3957" w:rsidP="003224F9">
            <w:pPr>
              <w:spacing w:after="0" w:line="240" w:lineRule="auto"/>
            </w:pPr>
            <w:r>
              <w:rPr>
                <w:rFonts w:eastAsia="Times New Roman" w:cs="Calibri"/>
                <w:sz w:val="21"/>
                <w:szCs w:val="21"/>
                <w:lang w:eastAsia="pl-PL"/>
              </w:rPr>
              <w:t>Uniwersytet Śląski</w:t>
            </w:r>
            <w:r w:rsidR="006343E1">
              <w:rPr>
                <w:rFonts w:eastAsia="Times New Roman" w:cs="Calibri"/>
                <w:sz w:val="21"/>
                <w:szCs w:val="21"/>
                <w:lang w:eastAsia="pl-PL"/>
              </w:rPr>
              <w:t xml:space="preserve"> w </w:t>
            </w:r>
            <w:r>
              <w:rPr>
                <w:rFonts w:eastAsia="Times New Roman" w:cs="Calibri"/>
                <w:sz w:val="21"/>
                <w:szCs w:val="21"/>
                <w:lang w:eastAsia="pl-PL"/>
              </w:rPr>
              <w:t>Katowicach</w:t>
            </w:r>
          </w:p>
        </w:tc>
      </w:tr>
      <w:tr w:rsidR="003C3957" w14:paraId="554C2AE7" w14:textId="77777777" w:rsidTr="00CB07D4">
        <w:trPr>
          <w:trHeight w:val="285"/>
        </w:trPr>
        <w:tc>
          <w:tcPr>
            <w:tcW w:w="1668" w:type="dxa"/>
            <w:tcBorders>
              <w:top w:val="single" w:sz="8" w:space="0" w:color="78C0D4"/>
              <w:left w:val="single" w:sz="8" w:space="0" w:color="78C0D4"/>
              <w:bottom w:val="single" w:sz="8" w:space="0" w:color="78C0D4"/>
              <w:right w:val="single" w:sz="4" w:space="0" w:color="auto"/>
            </w:tcBorders>
            <w:shd w:val="clear" w:color="auto" w:fill="D2EAF1"/>
          </w:tcPr>
          <w:p w14:paraId="1DD0C342" w14:textId="77777777" w:rsidR="003C3957" w:rsidRDefault="003C3957" w:rsidP="003224F9">
            <w:pPr>
              <w:spacing w:after="0" w:line="240" w:lineRule="auto"/>
            </w:pPr>
            <w:r>
              <w:rPr>
                <w:rFonts w:eastAsia="Times New Roman" w:cs="Calibri"/>
                <w:b/>
                <w:bCs/>
                <w:sz w:val="21"/>
                <w:szCs w:val="21"/>
                <w:lang w:eastAsia="pl-PL"/>
              </w:rPr>
              <w:t>1001+</w:t>
            </w:r>
          </w:p>
        </w:tc>
        <w:tc>
          <w:tcPr>
            <w:tcW w:w="4451" w:type="dxa"/>
            <w:tcBorders>
              <w:top w:val="single" w:sz="8" w:space="0" w:color="78C0D4"/>
              <w:left w:val="single" w:sz="4" w:space="0" w:color="auto"/>
              <w:bottom w:val="single" w:sz="8" w:space="0" w:color="78C0D4"/>
              <w:right w:val="single" w:sz="8" w:space="0" w:color="78C0D4"/>
            </w:tcBorders>
            <w:shd w:val="clear" w:color="auto" w:fill="D2EAF1"/>
          </w:tcPr>
          <w:p w14:paraId="6CDF805C" w14:textId="77777777" w:rsidR="003C3957" w:rsidRDefault="003C3957" w:rsidP="003224F9">
            <w:pPr>
              <w:spacing w:after="0" w:line="240" w:lineRule="auto"/>
            </w:pPr>
            <w:r>
              <w:rPr>
                <w:rFonts w:eastAsia="Times New Roman" w:cs="Calibri"/>
                <w:sz w:val="21"/>
                <w:szCs w:val="21"/>
                <w:lang w:eastAsia="pl-PL"/>
              </w:rPr>
              <w:t>Politechnika Wrocławska</w:t>
            </w:r>
          </w:p>
        </w:tc>
      </w:tr>
    </w:tbl>
    <w:p w14:paraId="04AF054E" w14:textId="77777777" w:rsidR="0045672D" w:rsidRDefault="0045672D" w:rsidP="003D2F32">
      <w:pPr>
        <w:pStyle w:val="Bezodstpw"/>
      </w:pPr>
    </w:p>
    <w:p w14:paraId="6616C5E5" w14:textId="77777777" w:rsidR="003C3957" w:rsidRDefault="003C3957" w:rsidP="003D2F32">
      <w:pPr>
        <w:pStyle w:val="Bezodstpw"/>
      </w:pPr>
      <w:r>
        <w:t>Źródło: THE (2019)</w:t>
      </w:r>
    </w:p>
    <w:p w14:paraId="14382A33" w14:textId="77777777" w:rsidR="001C0FF5" w:rsidRDefault="001C0FF5">
      <w:pPr>
        <w:spacing w:before="0" w:after="0" w:line="240" w:lineRule="auto"/>
        <w:jc w:val="left"/>
        <w:rPr>
          <w:rFonts w:eastAsia="Times New Roman" w:cs="Times New Roman"/>
          <w:b/>
          <w:bCs/>
          <w:color w:val="4F81BD"/>
          <w:szCs w:val="26"/>
        </w:rPr>
      </w:pPr>
      <w:bookmarkStart w:id="156" w:name="_Toc31808531"/>
      <w:r>
        <w:br w:type="page"/>
      </w:r>
    </w:p>
    <w:p w14:paraId="12B2C433" w14:textId="05792975" w:rsidR="003C3957" w:rsidRDefault="003C3957" w:rsidP="003C3957">
      <w:pPr>
        <w:pStyle w:val="Nagwek2"/>
      </w:pPr>
      <w:bookmarkStart w:id="157" w:name="_Toc106968815"/>
      <w:r>
        <w:lastRenderedPageBreak/>
        <w:t>Literatura</w:t>
      </w:r>
      <w:bookmarkEnd w:id="156"/>
      <w:bookmarkEnd w:id="157"/>
    </w:p>
    <w:p w14:paraId="5C5ED8E2" w14:textId="3BD0EFA4" w:rsidR="0045359D" w:rsidRPr="00CB07D4" w:rsidRDefault="0045359D" w:rsidP="0045359D">
      <w:pPr>
        <w:spacing w:after="0" w:line="240" w:lineRule="auto"/>
        <w:rPr>
          <w:sz w:val="21"/>
        </w:rPr>
      </w:pPr>
      <w:r>
        <w:rPr>
          <w:rFonts w:cs="Calibri"/>
          <w:sz w:val="21"/>
          <w:szCs w:val="21"/>
        </w:rPr>
        <w:t>Eurostat/OECD (</w:t>
      </w:r>
      <w:r w:rsidR="003C3957">
        <w:rPr>
          <w:rFonts w:cs="Calibri"/>
          <w:sz w:val="21"/>
          <w:szCs w:val="21"/>
        </w:rPr>
        <w:t>2005)</w:t>
      </w:r>
      <w:r w:rsidR="00682265">
        <w:rPr>
          <w:rFonts w:cs="Calibri"/>
          <w:sz w:val="21"/>
          <w:szCs w:val="21"/>
        </w:rPr>
        <w:t>.</w:t>
      </w:r>
      <w:r>
        <w:rPr>
          <w:rFonts w:cs="Calibri"/>
          <w:sz w:val="21"/>
          <w:szCs w:val="21"/>
        </w:rPr>
        <w:t xml:space="preserve"> </w:t>
      </w:r>
      <w:r w:rsidRPr="00CB07D4">
        <w:rPr>
          <w:i/>
          <w:sz w:val="21"/>
        </w:rPr>
        <w:t>Podręcznik Oslo</w:t>
      </w:r>
      <w:r w:rsidR="00682265" w:rsidRPr="00CB07D4">
        <w:rPr>
          <w:rFonts w:cs="Calibri"/>
          <w:i/>
          <w:sz w:val="21"/>
          <w:szCs w:val="21"/>
        </w:rPr>
        <w:t>:</w:t>
      </w:r>
      <w:r w:rsidR="003C3957" w:rsidRPr="00CB07D4">
        <w:rPr>
          <w:rFonts w:cs="Calibri"/>
          <w:i/>
          <w:sz w:val="21"/>
          <w:szCs w:val="21"/>
        </w:rPr>
        <w:t xml:space="preserve"> Zasady </w:t>
      </w:r>
      <w:r w:rsidR="0045672D" w:rsidRPr="00CB07D4">
        <w:rPr>
          <w:rFonts w:cs="Calibri"/>
          <w:i/>
          <w:sz w:val="21"/>
          <w:szCs w:val="21"/>
        </w:rPr>
        <w:t>g</w:t>
      </w:r>
      <w:r w:rsidR="003C3957" w:rsidRPr="00CB07D4">
        <w:rPr>
          <w:rFonts w:cs="Calibri"/>
          <w:i/>
          <w:sz w:val="21"/>
          <w:szCs w:val="21"/>
        </w:rPr>
        <w:t>romadzeni</w:t>
      </w:r>
      <w:r w:rsidR="0045672D" w:rsidRPr="00CB07D4">
        <w:rPr>
          <w:rFonts w:cs="Calibri"/>
          <w:i/>
          <w:sz w:val="21"/>
          <w:szCs w:val="21"/>
        </w:rPr>
        <w:t>a</w:t>
      </w:r>
      <w:r w:rsidRPr="00CB07D4">
        <w:rPr>
          <w:i/>
          <w:sz w:val="21"/>
        </w:rPr>
        <w:t xml:space="preserve"> i</w:t>
      </w:r>
      <w:r w:rsidR="006343E1" w:rsidRPr="00CB07D4">
        <w:rPr>
          <w:rFonts w:cs="Calibri"/>
          <w:i/>
          <w:sz w:val="21"/>
          <w:szCs w:val="21"/>
        </w:rPr>
        <w:t> </w:t>
      </w:r>
      <w:r w:rsidR="003C3957" w:rsidRPr="00CB07D4">
        <w:rPr>
          <w:rFonts w:cs="Calibri"/>
          <w:i/>
          <w:sz w:val="21"/>
          <w:szCs w:val="21"/>
        </w:rPr>
        <w:t>interpretacji</w:t>
      </w:r>
      <w:r w:rsidRPr="00CB07D4">
        <w:rPr>
          <w:i/>
          <w:sz w:val="21"/>
        </w:rPr>
        <w:t xml:space="preserve"> danych </w:t>
      </w:r>
      <w:r>
        <w:rPr>
          <w:rFonts w:cs="Calibri"/>
          <w:sz w:val="21"/>
          <w:szCs w:val="21"/>
        </w:rPr>
        <w:t>z zakresu</w:t>
      </w:r>
      <w:r w:rsidRPr="00CB07D4">
        <w:rPr>
          <w:i/>
          <w:sz w:val="21"/>
        </w:rPr>
        <w:t xml:space="preserve"> innowacji</w:t>
      </w:r>
      <w:r>
        <w:rPr>
          <w:rFonts w:cs="Calibri"/>
          <w:sz w:val="21"/>
          <w:szCs w:val="21"/>
        </w:rPr>
        <w:t>, Wydanie 4, polskie wydanie: GUS, Warszawa, Szczecin, 2020</w:t>
      </w:r>
    </w:p>
    <w:p w14:paraId="5EEF2D3C" w14:textId="77777777" w:rsidR="003C3957" w:rsidRDefault="00000000" w:rsidP="003C3957">
      <w:pPr>
        <w:spacing w:after="0" w:line="240" w:lineRule="auto"/>
        <w:rPr>
          <w:rFonts w:cs="Calibri"/>
          <w:bCs/>
          <w:sz w:val="21"/>
          <w:szCs w:val="21"/>
        </w:rPr>
      </w:pPr>
      <w:hyperlink r:id="rId131" w:history="1">
        <w:r w:rsidR="003C3957">
          <w:rPr>
            <w:rStyle w:val="Hipercze"/>
            <w:rFonts w:cs="Calibri"/>
            <w:bCs/>
            <w:sz w:val="21"/>
            <w:szCs w:val="21"/>
          </w:rPr>
          <w:t>http://www.oecd.org/sti/inno/oslomanualguidelinesforcollectingandinterpretinginnovationdata3rdedition.htm</w:t>
        </w:r>
      </w:hyperlink>
    </w:p>
    <w:p w14:paraId="18A74E03" w14:textId="59864D74" w:rsidR="003C3957" w:rsidRDefault="003C3957" w:rsidP="003C3957">
      <w:pPr>
        <w:spacing w:after="0" w:line="240" w:lineRule="auto"/>
      </w:pPr>
      <w:r>
        <w:rPr>
          <w:rFonts w:cs="Calibri"/>
          <w:bCs/>
          <w:sz w:val="21"/>
          <w:szCs w:val="21"/>
        </w:rPr>
        <w:t xml:space="preserve">EPO (2019). </w:t>
      </w:r>
      <w:r w:rsidRPr="00CB07D4">
        <w:rPr>
          <w:i/>
          <w:sz w:val="21"/>
        </w:rPr>
        <w:t>Statistics</w:t>
      </w:r>
    </w:p>
    <w:p w14:paraId="65687C30" w14:textId="77777777" w:rsidR="003C3957" w:rsidRPr="00D52A43" w:rsidRDefault="00000000" w:rsidP="003C3957">
      <w:pPr>
        <w:spacing w:after="0" w:line="240" w:lineRule="auto"/>
        <w:rPr>
          <w:rFonts w:cs="Calibri"/>
          <w:sz w:val="21"/>
          <w:szCs w:val="21"/>
        </w:rPr>
      </w:pPr>
      <w:hyperlink r:id="rId132" w:history="1">
        <w:r w:rsidR="003C3957">
          <w:rPr>
            <w:rStyle w:val="Hipercze"/>
            <w:rFonts w:cs="Calibri"/>
            <w:bCs/>
            <w:sz w:val="21"/>
            <w:szCs w:val="21"/>
          </w:rPr>
          <w:t>https://www.epo.org/about-us/annual-reports-statistics/statistics.html</w:t>
        </w:r>
      </w:hyperlink>
    </w:p>
    <w:p w14:paraId="747138FE" w14:textId="587D18DC" w:rsidR="003C3957" w:rsidRPr="00D52A43" w:rsidRDefault="003C3957" w:rsidP="003C3957">
      <w:pPr>
        <w:spacing w:after="0" w:line="240" w:lineRule="auto"/>
        <w:rPr>
          <w:lang w:val="en-US"/>
        </w:rPr>
      </w:pPr>
      <w:r>
        <w:rPr>
          <w:rFonts w:cs="Calibri"/>
          <w:sz w:val="21"/>
          <w:szCs w:val="21"/>
          <w:lang w:val="en-GB"/>
        </w:rPr>
        <w:t>EU (2019a)</w:t>
      </w:r>
      <w:r w:rsidR="0045672D">
        <w:rPr>
          <w:rFonts w:cs="Calibri"/>
          <w:sz w:val="21"/>
          <w:szCs w:val="21"/>
          <w:lang w:val="en-GB"/>
        </w:rPr>
        <w:t>.</w:t>
      </w:r>
      <w:r>
        <w:rPr>
          <w:rFonts w:cs="Calibri"/>
          <w:sz w:val="21"/>
          <w:szCs w:val="21"/>
          <w:lang w:val="en-GB"/>
        </w:rPr>
        <w:t xml:space="preserve"> </w:t>
      </w:r>
      <w:r>
        <w:rPr>
          <w:rFonts w:cs="Calibri"/>
          <w:i/>
          <w:sz w:val="21"/>
          <w:szCs w:val="21"/>
          <w:lang w:val="en-GB"/>
        </w:rPr>
        <w:t>The European Innovation Scoreboard</w:t>
      </w:r>
    </w:p>
    <w:p w14:paraId="36A45645" w14:textId="070C5543" w:rsidR="003C3957" w:rsidRDefault="00000000" w:rsidP="003C3957">
      <w:pPr>
        <w:spacing w:after="0" w:line="240" w:lineRule="auto"/>
        <w:rPr>
          <w:rFonts w:cs="Calibri"/>
          <w:sz w:val="21"/>
          <w:szCs w:val="21"/>
          <w:lang w:val="en-GB"/>
        </w:rPr>
      </w:pPr>
      <w:hyperlink r:id="rId133" w:history="1">
        <w:r w:rsidR="003C3957">
          <w:rPr>
            <w:rStyle w:val="Hipercze"/>
            <w:lang w:val="en-GB"/>
          </w:rPr>
          <w:t>http://ec.europa.eu/growth/industry/innovation/facts-figures/scoreboards_en</w:t>
        </w:r>
      </w:hyperlink>
    </w:p>
    <w:p w14:paraId="598E616B" w14:textId="61F7DD92" w:rsidR="003C3957" w:rsidRPr="00D52A43" w:rsidRDefault="003C3957" w:rsidP="003C3957">
      <w:pPr>
        <w:spacing w:after="0" w:line="240" w:lineRule="auto"/>
        <w:rPr>
          <w:lang w:val="en-US"/>
        </w:rPr>
      </w:pPr>
      <w:r>
        <w:rPr>
          <w:rFonts w:cs="Calibri"/>
          <w:sz w:val="21"/>
          <w:szCs w:val="21"/>
          <w:lang w:val="en-GB"/>
        </w:rPr>
        <w:t>EU (2019b)</w:t>
      </w:r>
      <w:r w:rsidR="0045672D">
        <w:rPr>
          <w:rFonts w:cs="Calibri"/>
          <w:sz w:val="21"/>
          <w:szCs w:val="21"/>
          <w:lang w:val="en-GB"/>
        </w:rPr>
        <w:t>.</w:t>
      </w:r>
      <w:r>
        <w:rPr>
          <w:rFonts w:cs="Calibri"/>
          <w:sz w:val="21"/>
          <w:szCs w:val="21"/>
          <w:lang w:val="en-GB"/>
        </w:rPr>
        <w:t xml:space="preserve"> </w:t>
      </w:r>
      <w:r>
        <w:rPr>
          <w:rFonts w:cs="Calibri"/>
          <w:i/>
          <w:sz w:val="21"/>
          <w:szCs w:val="21"/>
          <w:lang w:val="en-GB"/>
        </w:rPr>
        <w:t>The Regional Innovation Scoreboard</w:t>
      </w:r>
    </w:p>
    <w:p w14:paraId="463C233B" w14:textId="77777777" w:rsidR="003C3957" w:rsidRDefault="00000000" w:rsidP="003C3957">
      <w:pPr>
        <w:spacing w:after="0" w:line="240" w:lineRule="auto"/>
        <w:rPr>
          <w:rFonts w:cs="Calibri"/>
          <w:sz w:val="21"/>
          <w:szCs w:val="21"/>
          <w:lang w:val="en-GB"/>
        </w:rPr>
      </w:pPr>
      <w:hyperlink r:id="rId134" w:history="1">
        <w:r w:rsidR="003C3957">
          <w:rPr>
            <w:rStyle w:val="Hipercze"/>
            <w:rFonts w:cs="Calibri"/>
            <w:sz w:val="21"/>
            <w:szCs w:val="21"/>
            <w:lang w:val="en-GB"/>
          </w:rPr>
          <w:t>http://ec.europa.eu/growth/industry/innovation/facts-figures/regional_en</w:t>
        </w:r>
      </w:hyperlink>
    </w:p>
    <w:p w14:paraId="0C2074B7" w14:textId="6B2DA068" w:rsidR="003C3957" w:rsidRPr="00D52A43" w:rsidRDefault="003C3957" w:rsidP="003C3957">
      <w:pPr>
        <w:spacing w:after="0" w:line="240" w:lineRule="auto"/>
        <w:rPr>
          <w:lang w:val="en-US"/>
        </w:rPr>
      </w:pPr>
      <w:r>
        <w:rPr>
          <w:rFonts w:cs="Calibri"/>
          <w:sz w:val="21"/>
          <w:szCs w:val="21"/>
          <w:lang w:val="en-GB"/>
        </w:rPr>
        <w:t xml:space="preserve">EU (2018c). </w:t>
      </w:r>
      <w:r>
        <w:rPr>
          <w:rFonts w:cs="Calibri"/>
          <w:i/>
          <w:sz w:val="21"/>
          <w:szCs w:val="21"/>
          <w:lang w:val="en-GB"/>
        </w:rPr>
        <w:t>EIB Investment Survey 2018/2019</w:t>
      </w:r>
    </w:p>
    <w:p w14:paraId="542A41A2" w14:textId="77777777" w:rsidR="003C3957" w:rsidRPr="00D52A43" w:rsidRDefault="00000000" w:rsidP="003C3957">
      <w:pPr>
        <w:spacing w:after="0" w:line="240" w:lineRule="auto"/>
        <w:rPr>
          <w:lang w:val="de-DE"/>
        </w:rPr>
      </w:pPr>
      <w:hyperlink r:id="rId135" w:history="1">
        <w:r w:rsidR="003C3957">
          <w:rPr>
            <w:rStyle w:val="Hipercze"/>
            <w:rFonts w:cs="Calibri"/>
            <w:sz w:val="21"/>
            <w:szCs w:val="21"/>
            <w:lang w:val="en-GB"/>
          </w:rPr>
          <w:t>http://www.eib.org/about/economic-research/surveys-data/investment-survey.htm</w:t>
        </w:r>
      </w:hyperlink>
      <w:r w:rsidR="003C3957">
        <w:rPr>
          <w:rFonts w:cs="Calibri"/>
          <w:sz w:val="21"/>
          <w:szCs w:val="21"/>
          <w:lang w:val="en-GB"/>
        </w:rPr>
        <w:t xml:space="preserve"> </w:t>
      </w:r>
    </w:p>
    <w:p w14:paraId="7424C3AF" w14:textId="1445E043" w:rsidR="003C3957" w:rsidRPr="00D52A43" w:rsidRDefault="003C3957" w:rsidP="003C3957">
      <w:pPr>
        <w:spacing w:after="0" w:line="240" w:lineRule="auto"/>
        <w:rPr>
          <w:lang w:val="en-US"/>
        </w:rPr>
      </w:pPr>
      <w:r>
        <w:rPr>
          <w:rFonts w:eastAsia="Times New Roman" w:cs="Calibri"/>
          <w:sz w:val="20"/>
          <w:szCs w:val="20"/>
          <w:lang w:val="en-US" w:eastAsia="pl-PL"/>
        </w:rPr>
        <w:t>EU (2018d). COMMISSION STAFF WORKING DOCUMENT Country Report Poland 2018 Accompanying the document COMMUNICATION FROM THE COMMISSION TO THE EUROPEAN PARLIAMENT, THE COUNCIL, THE EUROPEAN CENTRAL BANK AND THE EUROGROUP 2018 European Semester: Assessment of progress on structural reforms, prevention and correction of macroeconomic imbalances, and results of in-depth reviews under Regulation (EU) No</w:t>
      </w:r>
      <w:r w:rsidR="0045672D">
        <w:rPr>
          <w:rFonts w:eastAsia="Times New Roman" w:cs="Calibri"/>
          <w:sz w:val="20"/>
          <w:szCs w:val="20"/>
          <w:lang w:val="en-US" w:eastAsia="pl-PL"/>
        </w:rPr>
        <w:t> </w:t>
      </w:r>
      <w:r>
        <w:rPr>
          <w:rFonts w:eastAsia="Times New Roman" w:cs="Calibri"/>
          <w:sz w:val="20"/>
          <w:szCs w:val="20"/>
          <w:lang w:val="en-US" w:eastAsia="pl-PL"/>
        </w:rPr>
        <w:t>1176/2011 {COM(2018) 120 final}</w:t>
      </w:r>
    </w:p>
    <w:p w14:paraId="4173F6A0" w14:textId="77777777" w:rsidR="003C3957" w:rsidRPr="00D52A43" w:rsidRDefault="00000000" w:rsidP="003C3957">
      <w:pPr>
        <w:spacing w:after="0" w:line="240" w:lineRule="auto"/>
        <w:rPr>
          <w:lang w:val="en-US"/>
        </w:rPr>
      </w:pPr>
      <w:hyperlink r:id="rId136" w:history="1">
        <w:r w:rsidR="003C3957">
          <w:rPr>
            <w:rStyle w:val="Hipercze"/>
            <w:rFonts w:cs="Calibri"/>
            <w:sz w:val="21"/>
            <w:szCs w:val="21"/>
            <w:lang w:val="en-US"/>
          </w:rPr>
          <w:t>https://eur-lex.europa.eu/legal-content/EN/TXT/?uri=COM:2018:120:FIN</w:t>
        </w:r>
      </w:hyperlink>
    </w:p>
    <w:p w14:paraId="18C94141" w14:textId="57B93232" w:rsidR="003C3957" w:rsidRDefault="003C3957" w:rsidP="003C3957">
      <w:pPr>
        <w:spacing w:after="0" w:line="240" w:lineRule="auto"/>
        <w:rPr>
          <w:rFonts w:cs="Calibri"/>
          <w:i/>
          <w:sz w:val="21"/>
          <w:szCs w:val="21"/>
          <w:lang w:val="en-GB"/>
        </w:rPr>
      </w:pPr>
      <w:r w:rsidRPr="00D52A43">
        <w:rPr>
          <w:lang w:val="en-US"/>
        </w:rPr>
        <w:t>EU (2020)</w:t>
      </w:r>
      <w:r w:rsidR="0045672D">
        <w:rPr>
          <w:lang w:val="en-US"/>
        </w:rPr>
        <w:t>.</w:t>
      </w:r>
      <w:r w:rsidRPr="00D52A43">
        <w:rPr>
          <w:lang w:val="en-US"/>
        </w:rPr>
        <w:t xml:space="preserve"> </w:t>
      </w:r>
      <w:r>
        <w:rPr>
          <w:rFonts w:cs="Calibri"/>
          <w:i/>
          <w:sz w:val="21"/>
          <w:szCs w:val="21"/>
          <w:lang w:val="en-GB"/>
        </w:rPr>
        <w:t>EIB Investment Survey 2018/2019</w:t>
      </w:r>
    </w:p>
    <w:p w14:paraId="7BD90804" w14:textId="77777777" w:rsidR="003C3957" w:rsidRPr="00D52A43" w:rsidRDefault="00000000" w:rsidP="003C3957">
      <w:pPr>
        <w:spacing w:after="0" w:line="240" w:lineRule="auto"/>
        <w:rPr>
          <w:lang w:val="en-GB"/>
        </w:rPr>
      </w:pPr>
      <w:hyperlink r:id="rId137" w:history="1">
        <w:r w:rsidR="003C3957">
          <w:rPr>
            <w:rStyle w:val="Hipercze"/>
            <w:rFonts w:cs="Calibri"/>
            <w:sz w:val="21"/>
            <w:szCs w:val="21"/>
            <w:lang w:val="en-GB"/>
          </w:rPr>
          <w:t>http://www.eib.org/about/economic-research/surveys-data/investment-survey.htm</w:t>
        </w:r>
      </w:hyperlink>
      <w:r w:rsidR="003C3957">
        <w:rPr>
          <w:rFonts w:cs="Calibri"/>
          <w:sz w:val="21"/>
          <w:szCs w:val="21"/>
          <w:lang w:val="en-GB"/>
        </w:rPr>
        <w:t xml:space="preserve"> </w:t>
      </w:r>
    </w:p>
    <w:p w14:paraId="50158481" w14:textId="359D8BF0" w:rsidR="003C3957" w:rsidRPr="00D52A43" w:rsidRDefault="003C3957" w:rsidP="003C3957">
      <w:pPr>
        <w:spacing w:after="0" w:line="240" w:lineRule="auto"/>
        <w:rPr>
          <w:lang w:val="en-US"/>
        </w:rPr>
      </w:pPr>
      <w:r>
        <w:rPr>
          <w:rFonts w:cs="Calibri"/>
          <w:sz w:val="21"/>
          <w:szCs w:val="21"/>
          <w:lang w:val="en-US"/>
        </w:rPr>
        <w:t>GII (</w:t>
      </w:r>
      <w:r w:rsidRPr="00E54226">
        <w:rPr>
          <w:rFonts w:cs="Calibri"/>
          <w:sz w:val="21"/>
          <w:szCs w:val="21"/>
          <w:lang w:val="en-US"/>
        </w:rPr>
        <w:t>2018)</w:t>
      </w:r>
      <w:r w:rsidR="0045672D" w:rsidRPr="00E54226">
        <w:rPr>
          <w:rFonts w:cs="Calibri"/>
          <w:sz w:val="21"/>
          <w:szCs w:val="21"/>
          <w:lang w:val="en-US"/>
        </w:rPr>
        <w:t>.</w:t>
      </w:r>
      <w:r>
        <w:rPr>
          <w:rFonts w:cs="Calibri"/>
          <w:sz w:val="21"/>
          <w:szCs w:val="21"/>
          <w:lang w:val="en-US"/>
        </w:rPr>
        <w:t xml:space="preserve"> </w:t>
      </w:r>
      <w:r w:rsidRPr="00CB07D4">
        <w:rPr>
          <w:i/>
          <w:sz w:val="21"/>
          <w:lang w:val="en-US"/>
        </w:rPr>
        <w:t xml:space="preserve">Global </w:t>
      </w:r>
      <w:r>
        <w:rPr>
          <w:rFonts w:cs="Calibri"/>
          <w:sz w:val="21"/>
          <w:szCs w:val="21"/>
          <w:lang w:val="en-US"/>
        </w:rPr>
        <w:t>Innovation</w:t>
      </w:r>
      <w:r w:rsidRPr="00CB07D4">
        <w:rPr>
          <w:i/>
          <w:sz w:val="21"/>
          <w:lang w:val="en-US"/>
        </w:rPr>
        <w:t xml:space="preserve"> Index</w:t>
      </w:r>
    </w:p>
    <w:p w14:paraId="648916DD" w14:textId="77777777" w:rsidR="003C3957" w:rsidRPr="00D52A43" w:rsidRDefault="00000000" w:rsidP="003C3957">
      <w:pPr>
        <w:spacing w:after="0" w:line="240" w:lineRule="auto"/>
        <w:rPr>
          <w:rFonts w:cs="Calibri"/>
          <w:sz w:val="21"/>
          <w:szCs w:val="21"/>
          <w:lang w:val="en-US"/>
        </w:rPr>
      </w:pPr>
      <w:hyperlink r:id="rId138" w:history="1">
        <w:r w:rsidR="003C3957">
          <w:rPr>
            <w:rStyle w:val="Hipercze"/>
            <w:rFonts w:cs="Calibri"/>
            <w:sz w:val="21"/>
            <w:szCs w:val="21"/>
            <w:lang w:val="en-US"/>
          </w:rPr>
          <w:t>https://www.globalinnovationindex.org/</w:t>
        </w:r>
      </w:hyperlink>
    </w:p>
    <w:p w14:paraId="7A3EF97E" w14:textId="780E3BF1" w:rsidR="003C3957" w:rsidRDefault="003C3957" w:rsidP="003C3957">
      <w:pPr>
        <w:spacing w:after="0" w:line="240" w:lineRule="auto"/>
      </w:pPr>
      <w:r>
        <w:rPr>
          <w:rFonts w:cs="Calibri"/>
          <w:sz w:val="21"/>
          <w:szCs w:val="21"/>
        </w:rPr>
        <w:t>GUS (2012)</w:t>
      </w:r>
      <w:r w:rsidR="0045672D">
        <w:rPr>
          <w:rFonts w:cs="Calibri"/>
          <w:sz w:val="21"/>
          <w:szCs w:val="21"/>
        </w:rPr>
        <w:t>.</w:t>
      </w:r>
      <w:r>
        <w:rPr>
          <w:rFonts w:cs="Calibri"/>
          <w:sz w:val="21"/>
          <w:szCs w:val="21"/>
        </w:rPr>
        <w:t xml:space="preserve"> </w:t>
      </w:r>
      <w:r>
        <w:rPr>
          <w:rFonts w:cs="Calibri"/>
          <w:i/>
          <w:sz w:val="21"/>
          <w:szCs w:val="21"/>
        </w:rPr>
        <w:t>Nauka</w:t>
      </w:r>
      <w:r w:rsidR="006343E1">
        <w:rPr>
          <w:rFonts w:cs="Calibri"/>
          <w:i/>
          <w:sz w:val="21"/>
          <w:szCs w:val="21"/>
        </w:rPr>
        <w:t xml:space="preserve"> i </w:t>
      </w:r>
      <w:r>
        <w:rPr>
          <w:rFonts w:cs="Calibri"/>
          <w:i/>
          <w:sz w:val="21"/>
          <w:szCs w:val="21"/>
        </w:rPr>
        <w:t>technika</w:t>
      </w:r>
      <w:r w:rsidR="006343E1">
        <w:rPr>
          <w:rFonts w:cs="Calibri"/>
          <w:i/>
          <w:sz w:val="21"/>
          <w:szCs w:val="21"/>
        </w:rPr>
        <w:t xml:space="preserve"> w </w:t>
      </w:r>
      <w:r>
        <w:rPr>
          <w:rFonts w:cs="Calibri"/>
          <w:i/>
          <w:sz w:val="21"/>
          <w:szCs w:val="21"/>
        </w:rPr>
        <w:t>2010 r.</w:t>
      </w:r>
    </w:p>
    <w:p w14:paraId="5CF6557A" w14:textId="77777777" w:rsidR="003C3957" w:rsidRDefault="00000000" w:rsidP="003C3957">
      <w:pPr>
        <w:spacing w:after="0" w:line="240" w:lineRule="auto"/>
        <w:rPr>
          <w:rFonts w:cs="Calibri"/>
          <w:sz w:val="21"/>
          <w:szCs w:val="21"/>
        </w:rPr>
      </w:pPr>
      <w:hyperlink r:id="rId139" w:history="1">
        <w:r w:rsidR="003C3957">
          <w:rPr>
            <w:rStyle w:val="Hipercze"/>
            <w:rFonts w:cs="Calibri"/>
            <w:sz w:val="21"/>
            <w:szCs w:val="21"/>
          </w:rPr>
          <w:t>https://stat.gov.pl/cps/rde/xbcr/gus/NTS_nauka_i_technika_2010.zip</w:t>
        </w:r>
      </w:hyperlink>
    </w:p>
    <w:p w14:paraId="713A0927" w14:textId="551E90E0" w:rsidR="003C3957" w:rsidRDefault="003C3957" w:rsidP="003C3957">
      <w:pPr>
        <w:spacing w:after="0" w:line="240" w:lineRule="auto"/>
      </w:pPr>
      <w:r>
        <w:rPr>
          <w:rFonts w:cs="Calibri"/>
          <w:sz w:val="21"/>
          <w:szCs w:val="21"/>
        </w:rPr>
        <w:t>GUS (2017)</w:t>
      </w:r>
      <w:r w:rsidR="0045672D">
        <w:rPr>
          <w:rFonts w:cs="Calibri"/>
          <w:sz w:val="21"/>
          <w:szCs w:val="21"/>
        </w:rPr>
        <w:t>.</w:t>
      </w:r>
      <w:r>
        <w:rPr>
          <w:rFonts w:cs="Calibri"/>
          <w:sz w:val="21"/>
          <w:szCs w:val="21"/>
        </w:rPr>
        <w:t xml:space="preserve"> </w:t>
      </w:r>
      <w:r>
        <w:rPr>
          <w:rFonts w:cs="Calibri"/>
          <w:i/>
          <w:sz w:val="21"/>
          <w:szCs w:val="21"/>
        </w:rPr>
        <w:t>Działalność innowacyjna przedsiębiorstw</w:t>
      </w:r>
      <w:r w:rsidR="006343E1">
        <w:rPr>
          <w:rFonts w:cs="Calibri"/>
          <w:i/>
          <w:sz w:val="21"/>
          <w:szCs w:val="21"/>
        </w:rPr>
        <w:t xml:space="preserve"> w </w:t>
      </w:r>
      <w:r>
        <w:rPr>
          <w:rFonts w:cs="Calibri"/>
          <w:i/>
          <w:sz w:val="21"/>
          <w:szCs w:val="21"/>
        </w:rPr>
        <w:t>latach 2014-2016</w:t>
      </w:r>
    </w:p>
    <w:p w14:paraId="5A7E0338" w14:textId="77777777" w:rsidR="003C3957" w:rsidRDefault="00000000" w:rsidP="003C3957">
      <w:pPr>
        <w:spacing w:after="0" w:line="240" w:lineRule="auto"/>
      </w:pPr>
      <w:hyperlink r:id="rId140" w:history="1">
        <w:r w:rsidR="003C3957">
          <w:rPr>
            <w:rStyle w:val="Hipercze"/>
            <w:rFonts w:cs="Calibri"/>
            <w:i/>
            <w:sz w:val="21"/>
            <w:szCs w:val="21"/>
          </w:rPr>
          <w:t>https://stat.gov.pl/obszary-tematyczne/nauka-i-technika-spoleczenstwo-informacyjne/nauka-i-technika/dzialalnosc-innowacyjna-przedsiebiorstw-w-latach-2014-2016,2,15.html</w:t>
        </w:r>
      </w:hyperlink>
      <w:r w:rsidR="003C3957">
        <w:rPr>
          <w:rFonts w:cs="Calibri"/>
          <w:i/>
          <w:sz w:val="21"/>
          <w:szCs w:val="21"/>
        </w:rPr>
        <w:t xml:space="preserve"> </w:t>
      </w:r>
    </w:p>
    <w:p w14:paraId="28668379" w14:textId="10A8B2AD" w:rsidR="003C3957" w:rsidRDefault="003C3957" w:rsidP="003C3957">
      <w:pPr>
        <w:spacing w:after="0" w:line="240" w:lineRule="auto"/>
      </w:pPr>
      <w:r>
        <w:rPr>
          <w:rFonts w:cs="Calibri"/>
          <w:sz w:val="21"/>
          <w:szCs w:val="21"/>
        </w:rPr>
        <w:t>GUS (2019)</w:t>
      </w:r>
      <w:r w:rsidR="0045672D">
        <w:rPr>
          <w:rFonts w:cs="Calibri"/>
          <w:sz w:val="21"/>
          <w:szCs w:val="21"/>
        </w:rPr>
        <w:t>.</w:t>
      </w:r>
      <w:r>
        <w:rPr>
          <w:rFonts w:cs="Calibri"/>
          <w:sz w:val="21"/>
          <w:szCs w:val="21"/>
        </w:rPr>
        <w:t xml:space="preserve"> </w:t>
      </w:r>
      <w:r>
        <w:rPr>
          <w:rFonts w:cs="Calibri"/>
          <w:i/>
          <w:sz w:val="21"/>
          <w:szCs w:val="21"/>
        </w:rPr>
        <w:t>Nauka</w:t>
      </w:r>
      <w:r w:rsidR="006343E1">
        <w:rPr>
          <w:rFonts w:cs="Calibri"/>
          <w:i/>
          <w:sz w:val="21"/>
          <w:szCs w:val="21"/>
        </w:rPr>
        <w:t xml:space="preserve"> i </w:t>
      </w:r>
      <w:r>
        <w:rPr>
          <w:rFonts w:cs="Calibri"/>
          <w:i/>
          <w:sz w:val="21"/>
          <w:szCs w:val="21"/>
        </w:rPr>
        <w:t>technika</w:t>
      </w:r>
      <w:r w:rsidR="006343E1">
        <w:rPr>
          <w:rFonts w:cs="Calibri"/>
          <w:i/>
          <w:sz w:val="21"/>
          <w:szCs w:val="21"/>
        </w:rPr>
        <w:t xml:space="preserve"> w </w:t>
      </w:r>
      <w:r>
        <w:rPr>
          <w:rFonts w:cs="Calibri"/>
          <w:i/>
          <w:sz w:val="21"/>
          <w:szCs w:val="21"/>
        </w:rPr>
        <w:t>2017 r.</w:t>
      </w:r>
    </w:p>
    <w:p w14:paraId="7FCE86F4" w14:textId="77777777" w:rsidR="003C3957" w:rsidRDefault="00000000" w:rsidP="003C3957">
      <w:pPr>
        <w:spacing w:after="0" w:line="240" w:lineRule="auto"/>
        <w:rPr>
          <w:rStyle w:val="Hipercze"/>
        </w:rPr>
      </w:pPr>
      <w:hyperlink r:id="rId141" w:history="1">
        <w:r w:rsidR="003C3957">
          <w:rPr>
            <w:rStyle w:val="Hipercze"/>
          </w:rPr>
          <w:t>https://stat.gov.pl/obszary-tematyczne/nauka-i-technika-spoleczenstwo-informacyjne/nauka-i-technika/nauka-i-technika-w-2017-roku,1,14.html</w:t>
        </w:r>
      </w:hyperlink>
    </w:p>
    <w:p w14:paraId="31084D1E" w14:textId="6615248F" w:rsidR="00CB653F" w:rsidRPr="00CB07D4" w:rsidRDefault="00CB653F" w:rsidP="00CB653F">
      <w:pPr>
        <w:spacing w:after="0" w:line="240" w:lineRule="auto"/>
        <w:rPr>
          <w:sz w:val="21"/>
        </w:rPr>
      </w:pPr>
      <w:r w:rsidRPr="00CB07D4">
        <w:rPr>
          <w:rStyle w:val="Hipercze"/>
          <w:sz w:val="21"/>
        </w:rPr>
        <w:t>GUS (</w:t>
      </w:r>
      <w:r w:rsidR="004834A5">
        <w:rPr>
          <w:rFonts w:cs="Calibri"/>
          <w:sz w:val="21"/>
          <w:szCs w:val="21"/>
        </w:rPr>
        <w:t>2020)</w:t>
      </w:r>
      <w:r w:rsidR="0045672D">
        <w:rPr>
          <w:rFonts w:cs="Calibri"/>
          <w:sz w:val="21"/>
          <w:szCs w:val="21"/>
        </w:rPr>
        <w:t>.</w:t>
      </w:r>
      <w:r w:rsidRPr="00CB07D4">
        <w:rPr>
          <w:rStyle w:val="Hipercze"/>
          <w:sz w:val="21"/>
        </w:rPr>
        <w:t xml:space="preserve"> </w:t>
      </w:r>
      <w:r>
        <w:rPr>
          <w:rFonts w:cs="Calibri"/>
          <w:i/>
          <w:sz w:val="21"/>
          <w:szCs w:val="21"/>
        </w:rPr>
        <w:t>Działalność innowacyjna przedsiębiorstw w latach 2018-2020</w:t>
      </w:r>
    </w:p>
    <w:p w14:paraId="40964780" w14:textId="3E0E67D9" w:rsidR="004834A5" w:rsidRDefault="004834A5" w:rsidP="003C3957">
      <w:pPr>
        <w:spacing w:after="0" w:line="240" w:lineRule="auto"/>
      </w:pPr>
      <w:r w:rsidRPr="004834A5">
        <w:t>https://stat.gov.pl/obszary-tematyczne/nauka-i-technika-spoleczenstwo-informacyjne/nauka-i-technika/dzialalnosc-innowacyjna-przedsiebiorstw-w-latach-2017-2019,2,18.html</w:t>
      </w:r>
    </w:p>
    <w:p w14:paraId="311C4237" w14:textId="54285F89" w:rsidR="003C3957" w:rsidRPr="00610657" w:rsidRDefault="003C3957" w:rsidP="003C3957">
      <w:pPr>
        <w:spacing w:after="0" w:line="240" w:lineRule="auto"/>
        <w:rPr>
          <w:b/>
          <w:bCs/>
        </w:rPr>
      </w:pPr>
      <w:r>
        <w:t>GUS (2019a)</w:t>
      </w:r>
      <w:r w:rsidR="0045672D">
        <w:t>.</w:t>
      </w:r>
      <w:r>
        <w:t xml:space="preserve"> </w:t>
      </w:r>
      <w:r w:rsidRPr="00610657">
        <w:rPr>
          <w:rFonts w:cs="Calibri"/>
          <w:i/>
          <w:sz w:val="21"/>
          <w:szCs w:val="21"/>
        </w:rPr>
        <w:t>Działalno</w:t>
      </w:r>
      <w:r>
        <w:rPr>
          <w:rFonts w:cs="Calibri"/>
          <w:i/>
          <w:sz w:val="21"/>
          <w:szCs w:val="21"/>
        </w:rPr>
        <w:t>ść</w:t>
      </w:r>
      <w:r w:rsidRPr="00610657">
        <w:rPr>
          <w:rFonts w:cs="Calibri"/>
          <w:i/>
          <w:sz w:val="21"/>
          <w:szCs w:val="21"/>
        </w:rPr>
        <w:t xml:space="preserve"> innowacyjna przedsiębiorstw</w:t>
      </w:r>
      <w:r w:rsidR="006343E1">
        <w:rPr>
          <w:rFonts w:cs="Calibri"/>
          <w:i/>
          <w:sz w:val="21"/>
          <w:szCs w:val="21"/>
        </w:rPr>
        <w:t xml:space="preserve"> </w:t>
      </w:r>
      <w:r w:rsidR="006343E1" w:rsidRPr="00610657">
        <w:rPr>
          <w:rFonts w:cs="Calibri"/>
          <w:i/>
          <w:sz w:val="21"/>
          <w:szCs w:val="21"/>
        </w:rPr>
        <w:t>w</w:t>
      </w:r>
      <w:r w:rsidR="006343E1">
        <w:rPr>
          <w:rFonts w:cs="Calibri"/>
          <w:i/>
          <w:sz w:val="21"/>
          <w:szCs w:val="21"/>
        </w:rPr>
        <w:t> </w:t>
      </w:r>
      <w:r w:rsidRPr="00610657">
        <w:rPr>
          <w:rFonts w:cs="Calibri"/>
          <w:i/>
          <w:sz w:val="21"/>
          <w:szCs w:val="21"/>
        </w:rPr>
        <w:t xml:space="preserve">latach </w:t>
      </w:r>
      <w:r w:rsidRPr="00235D6A">
        <w:rPr>
          <w:rFonts w:cs="Calibri"/>
          <w:i/>
          <w:sz w:val="21"/>
          <w:szCs w:val="21"/>
        </w:rPr>
        <w:t>2016</w:t>
      </w:r>
      <w:r w:rsidR="0045672D" w:rsidRPr="00235D6A">
        <w:rPr>
          <w:rFonts w:cs="Calibri"/>
          <w:i/>
          <w:sz w:val="21"/>
          <w:szCs w:val="21"/>
        </w:rPr>
        <w:t>-</w:t>
      </w:r>
      <w:r w:rsidRPr="00235D6A">
        <w:rPr>
          <w:rFonts w:cs="Calibri"/>
          <w:i/>
          <w:sz w:val="21"/>
          <w:szCs w:val="21"/>
        </w:rPr>
        <w:t>2018</w:t>
      </w:r>
    </w:p>
    <w:p w14:paraId="24251053" w14:textId="77777777" w:rsidR="003C3957" w:rsidRPr="00D52A43" w:rsidRDefault="003C3957" w:rsidP="003C3957">
      <w:pPr>
        <w:spacing w:after="0" w:line="240" w:lineRule="auto"/>
        <w:rPr>
          <w:rStyle w:val="Hipercze"/>
        </w:rPr>
      </w:pPr>
      <w:r w:rsidRPr="00D52A43">
        <w:rPr>
          <w:rStyle w:val="Hipercze"/>
        </w:rPr>
        <w:t>https://stat.gov.pl/obszary-tematyczne/nauka-i-technika-spoleczenstwo-informacyjne/nauka-i-technika/dzialalnosc-innowacyjna-przedsiebiorstw-w-latach-2016-2018,2,17.html</w:t>
      </w:r>
    </w:p>
    <w:p w14:paraId="3CEFF98C" w14:textId="6057A6B1" w:rsidR="003C3957" w:rsidRPr="00D52A43" w:rsidRDefault="003C3957" w:rsidP="003C3957">
      <w:pPr>
        <w:spacing w:after="0" w:line="240" w:lineRule="auto"/>
        <w:rPr>
          <w:lang w:val="en-US"/>
        </w:rPr>
      </w:pPr>
      <w:r>
        <w:rPr>
          <w:rFonts w:cs="Calibri"/>
          <w:sz w:val="21"/>
          <w:szCs w:val="21"/>
          <w:lang w:val="en-GB"/>
        </w:rPr>
        <w:t>ING (2017)</w:t>
      </w:r>
      <w:r w:rsidR="0045672D">
        <w:rPr>
          <w:rFonts w:cs="Calibri"/>
          <w:sz w:val="21"/>
          <w:szCs w:val="21"/>
          <w:lang w:val="en-GB"/>
        </w:rPr>
        <w:t>.</w:t>
      </w:r>
      <w:r>
        <w:rPr>
          <w:rFonts w:cs="Calibri"/>
          <w:sz w:val="21"/>
          <w:szCs w:val="21"/>
          <w:lang w:val="en-GB"/>
        </w:rPr>
        <w:t xml:space="preserve"> </w:t>
      </w:r>
      <w:r>
        <w:rPr>
          <w:rFonts w:cs="Calibri"/>
          <w:i/>
          <w:sz w:val="21"/>
          <w:szCs w:val="21"/>
          <w:lang w:val="en-GB"/>
        </w:rPr>
        <w:t>3D printing:</w:t>
      </w:r>
      <w:r w:rsidR="006343E1">
        <w:rPr>
          <w:rFonts w:cs="Calibri"/>
          <w:i/>
          <w:sz w:val="21"/>
          <w:szCs w:val="21"/>
          <w:lang w:val="en-GB"/>
        </w:rPr>
        <w:t xml:space="preserve"> a </w:t>
      </w:r>
      <w:r>
        <w:rPr>
          <w:rFonts w:cs="Calibri"/>
          <w:i/>
          <w:sz w:val="21"/>
          <w:szCs w:val="21"/>
          <w:lang w:val="en-GB"/>
        </w:rPr>
        <w:t>threat to global trade</w:t>
      </w:r>
    </w:p>
    <w:p w14:paraId="5D454EF1" w14:textId="77777777" w:rsidR="003C3957" w:rsidRPr="00D52A43" w:rsidRDefault="00000000" w:rsidP="003C3957">
      <w:pPr>
        <w:spacing w:after="0" w:line="240" w:lineRule="auto"/>
        <w:rPr>
          <w:rFonts w:cs="Calibri"/>
          <w:sz w:val="21"/>
          <w:szCs w:val="21"/>
          <w:lang w:val="en-US"/>
        </w:rPr>
      </w:pPr>
      <w:hyperlink r:id="rId142" w:history="1">
        <w:r w:rsidR="003C3957">
          <w:rPr>
            <w:rStyle w:val="Hipercze"/>
            <w:rFonts w:cs="Calibri"/>
            <w:sz w:val="21"/>
            <w:szCs w:val="21"/>
            <w:lang w:val="en-GB"/>
          </w:rPr>
          <w:t>https://www.ingwb.com/media/2088633/3d-printing-report-031017.pdf</w:t>
        </w:r>
      </w:hyperlink>
    </w:p>
    <w:p w14:paraId="46F260A5" w14:textId="1DA2D122" w:rsidR="003C3957" w:rsidRDefault="003C3957" w:rsidP="003C3957">
      <w:pPr>
        <w:spacing w:after="0" w:line="240" w:lineRule="auto"/>
      </w:pPr>
      <w:r>
        <w:rPr>
          <w:rFonts w:cs="Calibri"/>
          <w:sz w:val="21"/>
          <w:szCs w:val="21"/>
        </w:rPr>
        <w:t xml:space="preserve">Koloch G., Grobelna K., Zakrzewska-Szlichtyng K., Kamiński B., Kaszyński D. (2017). </w:t>
      </w:r>
      <w:r>
        <w:rPr>
          <w:rFonts w:cs="Calibri"/>
          <w:i/>
          <w:sz w:val="21"/>
          <w:szCs w:val="21"/>
        </w:rPr>
        <w:t>Intensywność wykorzystania danych</w:t>
      </w:r>
      <w:r w:rsidR="006343E1">
        <w:rPr>
          <w:rFonts w:cs="Calibri"/>
          <w:i/>
          <w:sz w:val="21"/>
          <w:szCs w:val="21"/>
        </w:rPr>
        <w:t xml:space="preserve"> w </w:t>
      </w:r>
      <w:r>
        <w:rPr>
          <w:rFonts w:cs="Calibri"/>
          <w:i/>
          <w:sz w:val="21"/>
          <w:szCs w:val="21"/>
        </w:rPr>
        <w:t>gospodarce</w:t>
      </w:r>
      <w:r w:rsidR="006343E1">
        <w:rPr>
          <w:rFonts w:cs="Calibri"/>
          <w:i/>
          <w:sz w:val="21"/>
          <w:szCs w:val="21"/>
        </w:rPr>
        <w:t xml:space="preserve"> a </w:t>
      </w:r>
      <w:r>
        <w:rPr>
          <w:rFonts w:cs="Calibri"/>
          <w:i/>
          <w:sz w:val="21"/>
          <w:szCs w:val="21"/>
        </w:rPr>
        <w:t>jej rozwój. Analiza diagnostyczna</w:t>
      </w:r>
    </w:p>
    <w:p w14:paraId="5B7285C3" w14:textId="77777777" w:rsidR="003C3957" w:rsidRPr="00D52A43" w:rsidRDefault="00000000" w:rsidP="003C3957">
      <w:pPr>
        <w:spacing w:after="0" w:line="240" w:lineRule="auto"/>
        <w:rPr>
          <w:rFonts w:cs="Calibri"/>
          <w:sz w:val="21"/>
          <w:szCs w:val="21"/>
        </w:rPr>
      </w:pPr>
      <w:hyperlink r:id="rId143" w:history="1">
        <w:r w:rsidR="003C3957">
          <w:rPr>
            <w:rStyle w:val="Hipercze"/>
            <w:rFonts w:cs="Calibri"/>
            <w:sz w:val="21"/>
            <w:szCs w:val="21"/>
          </w:rPr>
          <w:t>https://mc.bip.gov.pl/rok-2017/analiza-diagnostyczna-intesywnosc-wykorzystania-danych-w-gospodarce-a-jej-rozwoj.html</w:t>
        </w:r>
      </w:hyperlink>
    </w:p>
    <w:p w14:paraId="5382724A" w14:textId="58D23E28" w:rsidR="003C3957" w:rsidRPr="00D52A43" w:rsidRDefault="003C3957" w:rsidP="003C3957">
      <w:pPr>
        <w:spacing w:after="0" w:line="240" w:lineRule="auto"/>
        <w:rPr>
          <w:lang w:val="en-US"/>
        </w:rPr>
      </w:pPr>
      <w:r>
        <w:rPr>
          <w:rFonts w:cs="Calibri"/>
          <w:sz w:val="21"/>
          <w:szCs w:val="21"/>
          <w:lang w:val="en-GB"/>
        </w:rPr>
        <w:t>Kotler P., de Bes F.T. (2015)</w:t>
      </w:r>
      <w:r w:rsidR="0045672D">
        <w:rPr>
          <w:rFonts w:cs="Calibri"/>
          <w:sz w:val="21"/>
          <w:szCs w:val="21"/>
          <w:lang w:val="en-GB"/>
        </w:rPr>
        <w:t>.</w:t>
      </w:r>
      <w:r>
        <w:rPr>
          <w:rFonts w:cs="Calibri"/>
          <w:sz w:val="21"/>
          <w:szCs w:val="21"/>
          <w:lang w:val="en-GB"/>
        </w:rPr>
        <w:t xml:space="preserve"> </w:t>
      </w:r>
      <w:r w:rsidR="0045672D" w:rsidRPr="00CB07D4">
        <w:rPr>
          <w:rFonts w:cs="Calibri"/>
          <w:i/>
          <w:sz w:val="21"/>
          <w:szCs w:val="21"/>
          <w:lang w:val="en-GB"/>
        </w:rPr>
        <w:t>W</w:t>
      </w:r>
      <w:r w:rsidRPr="00CB07D4">
        <w:rPr>
          <w:i/>
          <w:sz w:val="21"/>
          <w:lang w:val="en-GB"/>
        </w:rPr>
        <w:t xml:space="preserve">inning at </w:t>
      </w:r>
      <w:r w:rsidR="00235D6A">
        <w:rPr>
          <w:rFonts w:cs="Calibri"/>
          <w:i/>
          <w:sz w:val="21"/>
          <w:szCs w:val="21"/>
          <w:lang w:val="en-GB"/>
        </w:rPr>
        <w:t>I</w:t>
      </w:r>
      <w:r w:rsidRPr="00CB07D4">
        <w:rPr>
          <w:i/>
          <w:sz w:val="21"/>
          <w:lang w:val="en-GB"/>
        </w:rPr>
        <w:t>nnovation</w:t>
      </w:r>
      <w:r w:rsidR="00235D6A">
        <w:rPr>
          <w:rFonts w:cs="Calibri"/>
          <w:sz w:val="21"/>
          <w:szCs w:val="21"/>
          <w:lang w:val="en-GB"/>
        </w:rPr>
        <w:t>:</w:t>
      </w:r>
      <w:r>
        <w:rPr>
          <w:rFonts w:cs="Calibri"/>
          <w:sz w:val="21"/>
          <w:szCs w:val="21"/>
          <w:lang w:val="en-GB"/>
        </w:rPr>
        <w:t xml:space="preserve"> The A-to-F </w:t>
      </w:r>
      <w:r w:rsidR="00235D6A">
        <w:rPr>
          <w:rFonts w:cs="Calibri"/>
          <w:sz w:val="21"/>
          <w:szCs w:val="21"/>
          <w:lang w:val="en-GB"/>
        </w:rPr>
        <w:t>M</w:t>
      </w:r>
      <w:r>
        <w:rPr>
          <w:rFonts w:cs="Calibri"/>
          <w:sz w:val="21"/>
          <w:szCs w:val="21"/>
          <w:lang w:val="en-GB"/>
        </w:rPr>
        <w:t>odel, P</w:t>
      </w:r>
      <w:r w:rsidR="00235D6A">
        <w:rPr>
          <w:rFonts w:cs="Calibri"/>
          <w:sz w:val="21"/>
          <w:szCs w:val="21"/>
          <w:lang w:val="en-GB"/>
        </w:rPr>
        <w:t>a</w:t>
      </w:r>
      <w:r>
        <w:rPr>
          <w:rFonts w:cs="Calibri"/>
          <w:sz w:val="21"/>
          <w:szCs w:val="21"/>
          <w:lang w:val="en-GB"/>
        </w:rPr>
        <w:t>lgrave</w:t>
      </w:r>
      <w:r w:rsidR="00235D6A">
        <w:rPr>
          <w:rFonts w:cs="Calibri"/>
          <w:sz w:val="21"/>
          <w:szCs w:val="21"/>
          <w:lang w:val="en-GB"/>
        </w:rPr>
        <w:t xml:space="preserve"> Macmillan</w:t>
      </w:r>
    </w:p>
    <w:p w14:paraId="4E6762AA" w14:textId="77777777" w:rsidR="003C3957" w:rsidRDefault="00000000" w:rsidP="003C3957">
      <w:pPr>
        <w:spacing w:after="0" w:line="240" w:lineRule="auto"/>
        <w:rPr>
          <w:rFonts w:cs="Calibri"/>
          <w:sz w:val="21"/>
          <w:szCs w:val="21"/>
          <w:lang w:val="en-GB"/>
        </w:rPr>
      </w:pPr>
      <w:hyperlink r:id="rId144" w:history="1">
        <w:r w:rsidR="003C3957">
          <w:rPr>
            <w:rStyle w:val="Hipercze"/>
            <w:rFonts w:cs="Calibri"/>
            <w:sz w:val="21"/>
            <w:szCs w:val="21"/>
            <w:lang w:val="en-GB"/>
          </w:rPr>
          <w:t>https://www.palgrave.com/br/book/9780230343436</w:t>
        </w:r>
      </w:hyperlink>
    </w:p>
    <w:p w14:paraId="6F40EF2B" w14:textId="14A7595A" w:rsidR="003C3957" w:rsidRPr="00D52A43" w:rsidRDefault="003C3957" w:rsidP="003C3957">
      <w:pPr>
        <w:spacing w:after="0" w:line="240" w:lineRule="auto"/>
        <w:rPr>
          <w:lang w:val="en-US"/>
        </w:rPr>
      </w:pPr>
      <w:r>
        <w:rPr>
          <w:rFonts w:cs="Calibri"/>
          <w:sz w:val="21"/>
          <w:szCs w:val="21"/>
          <w:lang w:val="en-GB"/>
        </w:rPr>
        <w:t>OECD (2017). AMNE Database – Activity of Multinational Enterprises</w:t>
      </w:r>
    </w:p>
    <w:p w14:paraId="2924358A" w14:textId="77777777" w:rsidR="003C3957" w:rsidRDefault="00000000" w:rsidP="003C3957">
      <w:pPr>
        <w:spacing w:after="0" w:line="240" w:lineRule="auto"/>
        <w:rPr>
          <w:rFonts w:cs="Calibri"/>
          <w:sz w:val="21"/>
          <w:szCs w:val="21"/>
          <w:lang w:val="en-GB"/>
        </w:rPr>
      </w:pPr>
      <w:hyperlink r:id="rId145" w:history="1">
        <w:r w:rsidR="003C3957">
          <w:rPr>
            <w:rStyle w:val="Hipercze"/>
            <w:lang w:val="en-GB"/>
          </w:rPr>
          <w:t>http://www.oecd.org/sti/ind/amne.htm</w:t>
        </w:r>
      </w:hyperlink>
    </w:p>
    <w:p w14:paraId="6D26BEC7" w14:textId="731B9CD8" w:rsidR="003C3957" w:rsidRPr="00D52A43" w:rsidRDefault="003C3957" w:rsidP="003C3957">
      <w:pPr>
        <w:spacing w:after="0" w:line="240" w:lineRule="auto"/>
        <w:rPr>
          <w:lang w:val="en-US"/>
        </w:rPr>
      </w:pPr>
      <w:r>
        <w:rPr>
          <w:rFonts w:cs="Calibri"/>
          <w:sz w:val="21"/>
          <w:szCs w:val="21"/>
          <w:lang w:val="en-GB"/>
        </w:rPr>
        <w:t>OECD (2018). OECD Economic Surveys POLAND</w:t>
      </w:r>
    </w:p>
    <w:p w14:paraId="0271DBB9" w14:textId="77777777" w:rsidR="003C3957" w:rsidRPr="00D52A43" w:rsidRDefault="00000000" w:rsidP="003C3957">
      <w:pPr>
        <w:spacing w:after="0" w:line="240" w:lineRule="auto"/>
        <w:rPr>
          <w:lang w:val="en-US"/>
        </w:rPr>
      </w:pPr>
      <w:hyperlink r:id="rId146" w:history="1">
        <w:r w:rsidR="003C3957">
          <w:rPr>
            <w:rStyle w:val="Hipercze"/>
            <w:rFonts w:cs="Calibri"/>
            <w:sz w:val="21"/>
            <w:szCs w:val="21"/>
            <w:lang w:val="en-GB"/>
          </w:rPr>
          <w:t>http://www.oecd.org/economy/poland-economic-snapshot/</w:t>
        </w:r>
      </w:hyperlink>
      <w:r w:rsidR="003C3957">
        <w:rPr>
          <w:rFonts w:cs="Calibri"/>
          <w:sz w:val="21"/>
          <w:szCs w:val="21"/>
          <w:lang w:val="en-GB"/>
        </w:rPr>
        <w:t xml:space="preserve"> </w:t>
      </w:r>
    </w:p>
    <w:p w14:paraId="6506EC65" w14:textId="055D11CB" w:rsidR="003C3957" w:rsidRPr="00D52A43" w:rsidRDefault="003C3957" w:rsidP="003C3957">
      <w:pPr>
        <w:spacing w:after="0" w:line="240" w:lineRule="auto"/>
        <w:rPr>
          <w:lang w:val="en-US"/>
        </w:rPr>
      </w:pPr>
      <w:r>
        <w:rPr>
          <w:rFonts w:cs="Calibri"/>
          <w:sz w:val="21"/>
          <w:szCs w:val="21"/>
          <w:lang w:val="en-GB"/>
        </w:rPr>
        <w:t xml:space="preserve">OECD (2019). Main Science and Technology Indicators </w:t>
      </w:r>
    </w:p>
    <w:p w14:paraId="55A7D4A1" w14:textId="77777777" w:rsidR="003C3957" w:rsidRDefault="00000000" w:rsidP="003C3957">
      <w:pPr>
        <w:spacing w:after="0" w:line="240" w:lineRule="auto"/>
        <w:rPr>
          <w:rFonts w:cs="Calibri"/>
          <w:sz w:val="21"/>
          <w:szCs w:val="21"/>
          <w:lang w:val="en-GB"/>
        </w:rPr>
      </w:pPr>
      <w:hyperlink r:id="rId147" w:history="1">
        <w:r w:rsidR="003C3957">
          <w:rPr>
            <w:rStyle w:val="Hipercze"/>
            <w:rFonts w:cs="Calibri"/>
            <w:sz w:val="21"/>
            <w:szCs w:val="21"/>
            <w:lang w:val="en-GB"/>
          </w:rPr>
          <w:t>http://www.oecd.org/sti/msti.htm</w:t>
        </w:r>
      </w:hyperlink>
    </w:p>
    <w:p w14:paraId="22951196" w14:textId="5E804DDE" w:rsidR="003C3957" w:rsidRPr="00D52A43" w:rsidRDefault="003C3957" w:rsidP="003C3957">
      <w:pPr>
        <w:spacing w:after="0" w:line="240" w:lineRule="auto"/>
        <w:rPr>
          <w:lang w:val="en-GB"/>
        </w:rPr>
      </w:pPr>
      <w:r>
        <w:rPr>
          <w:rFonts w:cs="Calibri"/>
          <w:sz w:val="21"/>
          <w:szCs w:val="21"/>
          <w:lang w:val="en-GB"/>
        </w:rPr>
        <w:t>Siemens (2018)</w:t>
      </w:r>
      <w:r w:rsidR="0045672D">
        <w:rPr>
          <w:rFonts w:cs="Calibri"/>
          <w:sz w:val="21"/>
          <w:szCs w:val="21"/>
          <w:lang w:val="en-GB"/>
        </w:rPr>
        <w:t>.</w:t>
      </w:r>
      <w:r>
        <w:rPr>
          <w:rFonts w:cs="Calibri"/>
          <w:sz w:val="21"/>
          <w:szCs w:val="21"/>
          <w:lang w:val="en-GB"/>
        </w:rPr>
        <w:t xml:space="preserve"> </w:t>
      </w:r>
      <w:r>
        <w:rPr>
          <w:rFonts w:cs="Calibri"/>
          <w:i/>
          <w:sz w:val="21"/>
          <w:szCs w:val="21"/>
          <w:lang w:val="en-GB"/>
        </w:rPr>
        <w:t>Smart Industry 2018</w:t>
      </w:r>
    </w:p>
    <w:p w14:paraId="4BD06CF3" w14:textId="77777777" w:rsidR="003C3957" w:rsidRPr="00D52A43" w:rsidRDefault="00000000" w:rsidP="003C3957">
      <w:pPr>
        <w:spacing w:after="0" w:line="240" w:lineRule="auto"/>
        <w:rPr>
          <w:lang w:val="en-GB"/>
        </w:rPr>
      </w:pPr>
      <w:hyperlink r:id="rId148" w:anchor="p=18" w:history="1">
        <w:r w:rsidR="003C3957">
          <w:rPr>
            <w:rStyle w:val="Hipercze"/>
            <w:rFonts w:cs="Calibri"/>
            <w:i/>
            <w:sz w:val="21"/>
            <w:szCs w:val="21"/>
            <w:lang w:val="en-GB"/>
          </w:rPr>
          <w:t>https://publikacje.siemens-info.com/webreader/00175-001613-raport-smart-industry-polska-2018/index.html#p=18</w:t>
        </w:r>
      </w:hyperlink>
      <w:r w:rsidR="003C3957">
        <w:rPr>
          <w:rFonts w:cs="Calibri"/>
          <w:i/>
          <w:sz w:val="21"/>
          <w:szCs w:val="21"/>
          <w:lang w:val="en-GB"/>
        </w:rPr>
        <w:t xml:space="preserve"> </w:t>
      </w:r>
    </w:p>
    <w:p w14:paraId="15F08EBB" w14:textId="366A9439" w:rsidR="003C3957" w:rsidRPr="00D52A43" w:rsidRDefault="003C3957" w:rsidP="003C3957">
      <w:pPr>
        <w:spacing w:after="0" w:line="240" w:lineRule="auto"/>
        <w:rPr>
          <w:lang w:val="en-GB"/>
        </w:rPr>
      </w:pPr>
      <w:r>
        <w:rPr>
          <w:rFonts w:cs="Calibri"/>
          <w:sz w:val="21"/>
          <w:szCs w:val="21"/>
          <w:lang w:val="en-GB"/>
        </w:rPr>
        <w:t>Siemens (2019)</w:t>
      </w:r>
      <w:r w:rsidR="0045672D">
        <w:rPr>
          <w:rFonts w:cs="Calibri"/>
          <w:sz w:val="21"/>
          <w:szCs w:val="21"/>
          <w:lang w:val="en-GB"/>
        </w:rPr>
        <w:t>.</w:t>
      </w:r>
      <w:r>
        <w:rPr>
          <w:rFonts w:cs="Calibri"/>
          <w:sz w:val="21"/>
          <w:szCs w:val="21"/>
          <w:lang w:val="en-GB"/>
        </w:rPr>
        <w:t xml:space="preserve"> </w:t>
      </w:r>
      <w:r>
        <w:rPr>
          <w:rFonts w:cs="Calibri"/>
          <w:i/>
          <w:sz w:val="21"/>
          <w:szCs w:val="21"/>
          <w:lang w:val="en-GB"/>
        </w:rPr>
        <w:t>Smart Industry Poland 2019</w:t>
      </w:r>
    </w:p>
    <w:p w14:paraId="48A0575A" w14:textId="77777777" w:rsidR="003C3957" w:rsidRPr="00D52A43" w:rsidRDefault="00000000" w:rsidP="003C3957">
      <w:pPr>
        <w:spacing w:after="0" w:line="240" w:lineRule="auto"/>
        <w:rPr>
          <w:lang w:val="en-GB"/>
        </w:rPr>
      </w:pPr>
      <w:hyperlink r:id="rId149" w:history="1">
        <w:r w:rsidR="003C3957">
          <w:rPr>
            <w:rStyle w:val="Hipercze"/>
            <w:lang w:val="en-US"/>
          </w:rPr>
          <w:t>https://www.siemens.pl/pool/files/2019_05_smart-industry-polska-2019_raport.pdf</w:t>
        </w:r>
      </w:hyperlink>
      <w:r w:rsidR="003C3957">
        <w:rPr>
          <w:lang w:val="en-US"/>
        </w:rPr>
        <w:t xml:space="preserve">  </w:t>
      </w:r>
    </w:p>
    <w:p w14:paraId="4A43F31C" w14:textId="77777777" w:rsidR="003C3957" w:rsidRPr="00D52A43" w:rsidRDefault="003C3957" w:rsidP="003C3957">
      <w:pPr>
        <w:spacing w:after="0" w:line="240" w:lineRule="auto"/>
        <w:rPr>
          <w:lang w:val="en-US"/>
        </w:rPr>
      </w:pPr>
      <w:r>
        <w:rPr>
          <w:rFonts w:cs="Calibri"/>
          <w:sz w:val="21"/>
          <w:szCs w:val="21"/>
          <w:lang w:val="en-GB"/>
        </w:rPr>
        <w:t xml:space="preserve">THE – Times Higher Education (2019). The World University Ranking </w:t>
      </w:r>
    </w:p>
    <w:p w14:paraId="2BD243BA" w14:textId="77777777" w:rsidR="003C3957" w:rsidRDefault="00000000" w:rsidP="003C3957">
      <w:pPr>
        <w:spacing w:after="0" w:line="240" w:lineRule="auto"/>
        <w:rPr>
          <w:rFonts w:cs="Calibri"/>
          <w:sz w:val="21"/>
          <w:szCs w:val="21"/>
          <w:lang w:val="en-GB"/>
        </w:rPr>
      </w:pPr>
      <w:hyperlink r:id="rId150" w:anchor="!/page/0/length/25/sort_by/rank/sort_order/asc/cols/stats" w:history="1">
        <w:r w:rsidR="003C3957">
          <w:rPr>
            <w:rStyle w:val="Hipercze"/>
            <w:lang w:val="en-GB"/>
          </w:rPr>
          <w:t>https://www.timeshighereducation.com/world-university-rankings/2019/world-ranking#!/page/0/length/25/sort_by/rank/sort_order/asc/cols/stats</w:t>
        </w:r>
      </w:hyperlink>
    </w:p>
    <w:p w14:paraId="3C7D0625" w14:textId="77777777" w:rsidR="003C3957" w:rsidRDefault="003C3957" w:rsidP="003C3957">
      <w:pPr>
        <w:spacing w:after="0" w:line="240" w:lineRule="auto"/>
        <w:rPr>
          <w:rFonts w:cs="Calibri"/>
          <w:sz w:val="21"/>
          <w:szCs w:val="21"/>
          <w:lang w:val="en-GB"/>
        </w:rPr>
      </w:pPr>
    </w:p>
    <w:p w14:paraId="51705BC9" w14:textId="77777777" w:rsidR="00E447CD" w:rsidRPr="00254AB9" w:rsidRDefault="00E447CD" w:rsidP="00EA60A4">
      <w:pPr>
        <w:pStyle w:val="Nagwek1"/>
        <w:pageBreakBefore/>
        <w:numPr>
          <w:ilvl w:val="0"/>
          <w:numId w:val="1"/>
        </w:numPr>
        <w:spacing w:before="0" w:line="240" w:lineRule="auto"/>
        <w:ind w:left="714" w:hanging="357"/>
        <w:rPr>
          <w:rFonts w:ascii="Calibri" w:hAnsi="Calibri" w:cs="Calibri"/>
          <w:sz w:val="32"/>
          <w:szCs w:val="32"/>
        </w:rPr>
      </w:pPr>
      <w:bookmarkStart w:id="158" w:name="_Toc511921201"/>
      <w:bookmarkStart w:id="159" w:name="_Toc31808532"/>
      <w:bookmarkStart w:id="160" w:name="_Toc106968816"/>
      <w:r w:rsidRPr="00254AB9">
        <w:rPr>
          <w:rFonts w:ascii="Calibri" w:hAnsi="Calibri" w:cs="Calibri"/>
          <w:sz w:val="32"/>
          <w:szCs w:val="32"/>
        </w:rPr>
        <w:lastRenderedPageBreak/>
        <w:t>Umiędzynarodowienie gospodarki</w:t>
      </w:r>
      <w:bookmarkEnd w:id="158"/>
      <w:bookmarkEnd w:id="159"/>
      <w:bookmarkEnd w:id="160"/>
    </w:p>
    <w:p w14:paraId="0FB064B4" w14:textId="32F6174C" w:rsidR="002C51A1" w:rsidRPr="00C836CA" w:rsidRDefault="002C51A1" w:rsidP="002C51A1">
      <w:r w:rsidRPr="00F66955">
        <w:rPr>
          <w:rFonts w:cs="Calibri"/>
        </w:rPr>
        <w:t>Globalizacja</w:t>
      </w:r>
      <w:r w:rsidRPr="00C836CA">
        <w:t xml:space="preserve"> międzynarodowych relacji gospodarczych zarówno na poziomie samych państw</w:t>
      </w:r>
      <w:r w:rsidR="00E54226">
        <w:t xml:space="preserve"> i</w:t>
      </w:r>
      <w:r w:rsidRPr="00C836CA">
        <w:t xml:space="preserve"> regionów</w:t>
      </w:r>
      <w:r w:rsidR="00E54226">
        <w:t>,</w:t>
      </w:r>
      <w:r w:rsidRPr="00C836CA">
        <w:t xml:space="preserve"> jak</w:t>
      </w:r>
      <w:r w:rsidR="006343E1">
        <w:t xml:space="preserve"> </w:t>
      </w:r>
      <w:r w:rsidR="006343E1" w:rsidRPr="00C836CA">
        <w:t>i</w:t>
      </w:r>
      <w:r w:rsidR="006343E1">
        <w:t> </w:t>
      </w:r>
      <w:r w:rsidR="00E54226" w:rsidRPr="00C836CA">
        <w:t xml:space="preserve">przedsiębiorstw </w:t>
      </w:r>
      <w:r w:rsidRPr="00C836CA">
        <w:t>szukających nowych impulsów d</w:t>
      </w:r>
      <w:r w:rsidR="00E54226">
        <w:t>o</w:t>
      </w:r>
      <w:r w:rsidRPr="00C836CA">
        <w:t xml:space="preserve"> rozwoju wymaga nieustannych działań na rzecz dostosowywania instrumentów polityki gospodarczej do bieżących wyzwań. Postępujące procesy umiędzynarodawiania poszczególnych gospodarek, widoczne</w:t>
      </w:r>
      <w:r w:rsidR="006343E1">
        <w:t xml:space="preserve"> </w:t>
      </w:r>
      <w:r w:rsidR="006343E1" w:rsidRPr="00C836CA">
        <w:t>w</w:t>
      </w:r>
      <w:r w:rsidR="006343E1">
        <w:t> </w:t>
      </w:r>
      <w:r w:rsidRPr="00F66955">
        <w:rPr>
          <w:rFonts w:cs="Calibri"/>
        </w:rPr>
        <w:t>ostatnich latach</w:t>
      </w:r>
      <w:r w:rsidR="006343E1">
        <w:rPr>
          <w:rFonts w:cs="Calibri"/>
        </w:rPr>
        <w:t xml:space="preserve"> </w:t>
      </w:r>
      <w:r w:rsidR="006343E1" w:rsidRPr="00F66955">
        <w:rPr>
          <w:rFonts w:cs="Calibri"/>
        </w:rPr>
        <w:t>w</w:t>
      </w:r>
      <w:r w:rsidR="006343E1">
        <w:rPr>
          <w:rFonts w:cs="Calibri"/>
        </w:rPr>
        <w:t> </w:t>
      </w:r>
      <w:r w:rsidRPr="00C836CA">
        <w:t xml:space="preserve">postaci rosnących relacji wartości eksportu </w:t>
      </w:r>
      <w:r w:rsidRPr="00F66955">
        <w:rPr>
          <w:rFonts w:cs="Calibri"/>
        </w:rPr>
        <w:t>do nominalnego</w:t>
      </w:r>
      <w:r w:rsidRPr="00C836CA">
        <w:t xml:space="preserve"> PKB</w:t>
      </w:r>
      <w:r w:rsidRPr="00C836CA">
        <w:rPr>
          <w:rStyle w:val="Odwoanieprzypisudolnego"/>
          <w:color w:val="000000"/>
        </w:rPr>
        <w:footnoteReference w:id="68"/>
      </w:r>
      <w:r w:rsidRPr="00C836CA">
        <w:t>, wskazują na pozytywne efekty otwierania się państw na szersze strumienie przepływu towarów</w:t>
      </w:r>
      <w:r w:rsidR="006343E1">
        <w:t xml:space="preserve"> </w:t>
      </w:r>
      <w:r w:rsidR="006343E1" w:rsidRPr="00C836CA">
        <w:t>i</w:t>
      </w:r>
      <w:r w:rsidR="006343E1">
        <w:t> </w:t>
      </w:r>
      <w:r w:rsidRPr="00C836CA">
        <w:t>usług. Bardzo często kolejnym etapem budowania trwalszych relacji jest transfer kapitału</w:t>
      </w:r>
      <w:r w:rsidR="006343E1">
        <w:t xml:space="preserve"> </w:t>
      </w:r>
      <w:r w:rsidR="006343E1" w:rsidRPr="00C836CA">
        <w:t>w</w:t>
      </w:r>
      <w:r w:rsidR="006343E1">
        <w:t> </w:t>
      </w:r>
      <w:r w:rsidRPr="00C836CA">
        <w:t>formie bezpośrednich inwestycji zagranicznych</w:t>
      </w:r>
      <w:r w:rsidRPr="00F66955">
        <w:rPr>
          <w:rFonts w:cs="Calibri"/>
        </w:rPr>
        <w:t xml:space="preserve"> (BIZ),</w:t>
      </w:r>
      <w:r w:rsidRPr="00C836CA">
        <w:t xml:space="preserve"> będących ważnym nośnikiem technologii</w:t>
      </w:r>
      <w:r w:rsidR="006343E1">
        <w:t xml:space="preserve"> </w:t>
      </w:r>
      <w:r w:rsidR="006343E1" w:rsidRPr="00C836CA">
        <w:t>i</w:t>
      </w:r>
      <w:r w:rsidR="006343E1">
        <w:t> </w:t>
      </w:r>
      <w:r w:rsidRPr="00C836CA">
        <w:t>wiedzy. Zrównoważony rozwój gospodarczy jest dziś niemożliwy bez aktywnego udziału</w:t>
      </w:r>
      <w:r w:rsidR="006343E1">
        <w:t xml:space="preserve"> </w:t>
      </w:r>
      <w:r w:rsidR="006343E1" w:rsidRPr="00C836CA">
        <w:t>w</w:t>
      </w:r>
      <w:r w:rsidR="006343E1">
        <w:t> </w:t>
      </w:r>
      <w:r w:rsidRPr="00C836CA">
        <w:t>światowych procesach gospodarczych,</w:t>
      </w:r>
      <w:r w:rsidR="006343E1">
        <w:t xml:space="preserve"> </w:t>
      </w:r>
      <w:r w:rsidR="006343E1" w:rsidRPr="00C836CA">
        <w:t>w</w:t>
      </w:r>
      <w:r w:rsidR="006343E1">
        <w:t> </w:t>
      </w:r>
      <w:r w:rsidRPr="00C836CA">
        <w:t>tym bez skutecznego korzystania</w:t>
      </w:r>
      <w:r w:rsidR="006343E1">
        <w:t xml:space="preserve"> </w:t>
      </w:r>
      <w:r w:rsidR="006343E1" w:rsidRPr="00C836CA">
        <w:t>z</w:t>
      </w:r>
      <w:r w:rsidR="006343E1">
        <w:t> </w:t>
      </w:r>
      <w:r w:rsidRPr="00C836CA">
        <w:t xml:space="preserve">zalet </w:t>
      </w:r>
      <w:r w:rsidRPr="00F66955">
        <w:rPr>
          <w:rFonts w:cs="Calibri"/>
        </w:rPr>
        <w:t>BIZ</w:t>
      </w:r>
      <w:r w:rsidRPr="00C836CA">
        <w:t>.</w:t>
      </w:r>
    </w:p>
    <w:p w14:paraId="7D1409EE" w14:textId="77777777" w:rsidR="002C51A1" w:rsidRPr="00C836CA" w:rsidRDefault="002C51A1" w:rsidP="002C51A1">
      <w:pPr>
        <w:pStyle w:val="Nagwek2"/>
      </w:pPr>
      <w:bookmarkStart w:id="161" w:name="_Toc511921202"/>
      <w:bookmarkStart w:id="162" w:name="_Toc31808533"/>
      <w:bookmarkStart w:id="163" w:name="_Toc106968817"/>
      <w:r w:rsidRPr="00C836CA">
        <w:t>Rola kapitału zagranicznego</w:t>
      </w:r>
      <w:bookmarkEnd w:id="161"/>
      <w:bookmarkEnd w:id="162"/>
      <w:bookmarkEnd w:id="163"/>
    </w:p>
    <w:p w14:paraId="04CDE6AD" w14:textId="76C8A752" w:rsidR="002C51A1" w:rsidRPr="00C836CA" w:rsidRDefault="002C51A1" w:rsidP="002C51A1">
      <w:r w:rsidRPr="00C836CA">
        <w:t>Podmioty</w:t>
      </w:r>
      <w:r w:rsidR="006343E1">
        <w:t xml:space="preserve"> </w:t>
      </w:r>
      <w:r w:rsidR="006343E1" w:rsidRPr="00C836CA">
        <w:t>z</w:t>
      </w:r>
      <w:r w:rsidR="006343E1">
        <w:t> </w:t>
      </w:r>
      <w:r w:rsidRPr="00C836CA">
        <w:t xml:space="preserve">udziałem kapitału zagranicznego stanowią istotny element polskiego systemu gospodarczego. </w:t>
      </w:r>
      <w:r w:rsidRPr="00FD185B">
        <w:t>Zapewniając niemalże 30% miejsc pracy</w:t>
      </w:r>
      <w:r w:rsidR="006343E1">
        <w:t xml:space="preserve"> </w:t>
      </w:r>
      <w:r w:rsidR="006343E1" w:rsidRPr="00FD185B">
        <w:t>w</w:t>
      </w:r>
      <w:r w:rsidR="006343E1">
        <w:t> </w:t>
      </w:r>
      <w:r w:rsidRPr="00FD185B">
        <w:t>sektorze przedsiębiorstw oraz generując ponad 35% wartości dodanej sektora, istotnie wpływają na poziom wydajności całej gospodarki (Eurostat). Relacja ta jest</w:t>
      </w:r>
      <w:r w:rsidR="006343E1">
        <w:t xml:space="preserve"> </w:t>
      </w:r>
      <w:r w:rsidR="006343E1" w:rsidRPr="00FD185B">
        <w:t>w</w:t>
      </w:r>
      <w:r w:rsidR="006343E1">
        <w:t> </w:t>
      </w:r>
      <w:r w:rsidRPr="00FD185B">
        <w:t>dużej mierze efektem skali</w:t>
      </w:r>
      <w:r w:rsidR="006343E1">
        <w:t xml:space="preserve"> </w:t>
      </w:r>
      <w:r w:rsidR="006343E1" w:rsidRPr="00FD185B">
        <w:rPr>
          <w:rFonts w:cs="Calibri"/>
        </w:rPr>
        <w:t>w</w:t>
      </w:r>
      <w:r w:rsidR="006343E1">
        <w:t> </w:t>
      </w:r>
      <w:r w:rsidRPr="00FD185B">
        <w:rPr>
          <w:rFonts w:cs="Calibri"/>
        </w:rPr>
        <w:t xml:space="preserve">wyniku </w:t>
      </w:r>
      <w:r w:rsidRPr="00FD185B">
        <w:t>ponoszonych nakładów inwestycyjnych</w:t>
      </w:r>
      <w:r w:rsidRPr="00C836CA">
        <w:rPr>
          <w:rStyle w:val="Odwoanieprzypisudolnego"/>
          <w:color w:val="000000"/>
        </w:rPr>
        <w:footnoteReference w:id="69"/>
      </w:r>
      <w:r w:rsidRPr="00C836CA">
        <w:t xml:space="preserve">, </w:t>
      </w:r>
      <w:r w:rsidRPr="00F66955">
        <w:rPr>
          <w:rFonts w:cs="Calibri"/>
        </w:rPr>
        <w:t>stanowiących</w:t>
      </w:r>
      <w:r w:rsidR="006343E1">
        <w:t xml:space="preserve"> </w:t>
      </w:r>
      <w:r w:rsidR="006343E1" w:rsidRPr="00C836CA">
        <w:t>w</w:t>
      </w:r>
      <w:r w:rsidR="006343E1">
        <w:t> </w:t>
      </w:r>
      <w:r w:rsidRPr="00C836CA">
        <w:t xml:space="preserve">dalszej kolejności bazę dla </w:t>
      </w:r>
      <w:r w:rsidRPr="00F66955">
        <w:rPr>
          <w:rFonts w:cs="Calibri"/>
        </w:rPr>
        <w:t xml:space="preserve">działań </w:t>
      </w:r>
      <w:r w:rsidRPr="00C836CA">
        <w:t>zwiększających efektywność procesów produkcyjnych</w:t>
      </w:r>
      <w:r w:rsidR="006343E1">
        <w:t xml:space="preserve"> </w:t>
      </w:r>
      <w:r w:rsidR="006343E1" w:rsidRPr="00C836CA">
        <w:t>w</w:t>
      </w:r>
      <w:r w:rsidR="006343E1">
        <w:t> </w:t>
      </w:r>
      <w:r w:rsidRPr="00C836CA">
        <w:t>obszarze B+R.</w:t>
      </w:r>
    </w:p>
    <w:p w14:paraId="6A172E05" w14:textId="71129FE4" w:rsidR="002C51A1" w:rsidRPr="00F66955" w:rsidRDefault="002C51A1" w:rsidP="002C51A1">
      <w:r w:rsidRPr="00F66955">
        <w:t>Poziom</w:t>
      </w:r>
      <w:r w:rsidR="006343E1">
        <w:t xml:space="preserve"> </w:t>
      </w:r>
      <w:r w:rsidR="006343E1" w:rsidRPr="00F66955">
        <w:t>i</w:t>
      </w:r>
      <w:r w:rsidR="006343E1">
        <w:t> </w:t>
      </w:r>
      <w:r w:rsidRPr="00F66955">
        <w:t>dynamika pozycji inwestycyjnej netto Polski</w:t>
      </w:r>
      <w:r w:rsidR="006343E1">
        <w:t xml:space="preserve"> </w:t>
      </w:r>
      <w:r w:rsidR="006343E1" w:rsidRPr="00F66955">
        <w:t>w</w:t>
      </w:r>
      <w:r w:rsidR="006343E1">
        <w:t> </w:t>
      </w:r>
      <w:r w:rsidRPr="00F66955">
        <w:t>zakresie inwestycji bezpośrednich wskazuje</w:t>
      </w:r>
      <w:r w:rsidR="00477C54">
        <w:t>, że </w:t>
      </w:r>
      <w:r w:rsidRPr="00F66955">
        <w:t>gospodarka polska wciąż znajduje się na etapie zwiększonego zapotrzebowania na kapitał zagraniczny.</w:t>
      </w:r>
      <w:r w:rsidRPr="00F66955">
        <w:rPr>
          <w:rStyle w:val="Odwoanieprzypisudolnego"/>
          <w:rFonts w:cs="Calibri"/>
          <w:color w:val="000000"/>
        </w:rPr>
        <w:footnoteReference w:id="70"/>
      </w:r>
      <w:r w:rsidR="006343E1">
        <w:t xml:space="preserve"> </w:t>
      </w:r>
      <w:r w:rsidR="006343E1" w:rsidRPr="00F66955">
        <w:t>W</w:t>
      </w:r>
      <w:r w:rsidR="006343E1">
        <w:t> </w:t>
      </w:r>
      <w:r w:rsidRPr="00F66955">
        <w:t>tym przypadku BIZ istotnie przyczyniają się do zwiększania bazy wytwórczej</w:t>
      </w:r>
      <w:r w:rsidR="006343E1">
        <w:t xml:space="preserve"> </w:t>
      </w:r>
      <w:r w:rsidR="006343E1" w:rsidRPr="00F66955">
        <w:t>i</w:t>
      </w:r>
      <w:r w:rsidR="006343E1">
        <w:t> </w:t>
      </w:r>
      <w:r w:rsidRPr="00F66955">
        <w:t>efektywności wykorzystania czynników produkcji, skutkując wzrostem produktywności</w:t>
      </w:r>
      <w:r w:rsidR="006343E1">
        <w:t xml:space="preserve"> </w:t>
      </w:r>
      <w:r w:rsidR="006343E1" w:rsidRPr="00F66955">
        <w:t>i</w:t>
      </w:r>
      <w:r w:rsidR="006343E1">
        <w:t> </w:t>
      </w:r>
      <w:r w:rsidRPr="00F66955">
        <w:t>konkurencyjności gospodarki, co</w:t>
      </w:r>
      <w:r w:rsidR="006343E1">
        <w:t xml:space="preserve"> </w:t>
      </w:r>
      <w:r w:rsidR="006343E1" w:rsidRPr="00F66955">
        <w:t>z</w:t>
      </w:r>
      <w:r w:rsidR="006343E1">
        <w:t> </w:t>
      </w:r>
      <w:r w:rsidRPr="00F66955">
        <w:t>kolei przekłada się na wzrost eksportu</w:t>
      </w:r>
      <w:r>
        <w:t>,</w:t>
      </w:r>
      <w:r w:rsidR="006343E1">
        <w:t xml:space="preserve"> a </w:t>
      </w:r>
      <w:r>
        <w:t>także</w:t>
      </w:r>
      <w:r w:rsidRPr="00F66955">
        <w:t xml:space="preserve"> dochodów mieszkańców. </w:t>
      </w:r>
    </w:p>
    <w:p w14:paraId="164D7858" w14:textId="2D335334" w:rsidR="002C51A1" w:rsidRPr="00F66955" w:rsidRDefault="002C51A1" w:rsidP="002C51A1">
      <w:r>
        <w:t>Poprawa</w:t>
      </w:r>
      <w:r w:rsidRPr="00F66955">
        <w:t xml:space="preserve"> konkurencyjnoś</w:t>
      </w:r>
      <w:r>
        <w:t>ci</w:t>
      </w:r>
      <w:r w:rsidRPr="00F66955">
        <w:t xml:space="preserve"> gospodarki </w:t>
      </w:r>
      <w:r>
        <w:t xml:space="preserve">odbywa się </w:t>
      </w:r>
      <w:r w:rsidRPr="00F66955">
        <w:t>m.in. poprzez powstanie</w:t>
      </w:r>
      <w:r w:rsidR="006343E1">
        <w:t xml:space="preserve"> </w:t>
      </w:r>
      <w:r w:rsidR="006343E1" w:rsidRPr="00F66955">
        <w:t>w</w:t>
      </w:r>
      <w:r w:rsidR="006343E1">
        <w:t> </w:t>
      </w:r>
      <w:r w:rsidRPr="00F66955">
        <w:t>stosunku do krajowych producentów</w:t>
      </w:r>
      <w:r w:rsidR="006343E1">
        <w:t xml:space="preserve"> </w:t>
      </w:r>
      <w:r w:rsidR="006343E1" w:rsidRPr="00F66955">
        <w:t>i</w:t>
      </w:r>
      <w:r w:rsidR="006343E1">
        <w:t> </w:t>
      </w:r>
      <w:r w:rsidRPr="00F66955">
        <w:t xml:space="preserve">konsumentów efektów </w:t>
      </w:r>
      <w:r w:rsidRPr="00CB07D4">
        <w:rPr>
          <w:i/>
        </w:rPr>
        <w:t>spill-over</w:t>
      </w:r>
      <w:r w:rsidRPr="00F66955">
        <w:t xml:space="preserve"> polegających na naturalnym</w:t>
      </w:r>
      <w:r w:rsidR="006343E1">
        <w:t xml:space="preserve"> </w:t>
      </w:r>
      <w:r w:rsidR="006343E1" w:rsidRPr="00F66955">
        <w:t>i</w:t>
      </w:r>
      <w:r w:rsidR="006343E1">
        <w:t> </w:t>
      </w:r>
      <w:r w:rsidRPr="00F66955">
        <w:t>w znacznej mierze nieodpłatnym transferze know-</w:t>
      </w:r>
      <w:r w:rsidR="004456AD">
        <w:t>-</w:t>
      </w:r>
      <w:r w:rsidRPr="00F66955">
        <w:t>how</w:t>
      </w:r>
      <w:r w:rsidR="006343E1">
        <w:t xml:space="preserve"> </w:t>
      </w:r>
      <w:r w:rsidR="006343E1" w:rsidRPr="00F66955">
        <w:t>i</w:t>
      </w:r>
      <w:r w:rsidR="006343E1">
        <w:t> </w:t>
      </w:r>
      <w:r w:rsidRPr="00F66955">
        <w:t>nowoczesnych rozwiązań organizacyjnych</w:t>
      </w:r>
      <w:r w:rsidR="006343E1">
        <w:t xml:space="preserve"> </w:t>
      </w:r>
      <w:r w:rsidR="006343E1" w:rsidRPr="00F66955">
        <w:t>w</w:t>
      </w:r>
      <w:r w:rsidR="006343E1">
        <w:t> </w:t>
      </w:r>
      <w:r w:rsidRPr="00F66955">
        <w:t>ramach bieżących kontaktów handlowych</w:t>
      </w:r>
      <w:r w:rsidR="006343E1">
        <w:t xml:space="preserve"> </w:t>
      </w:r>
      <w:r w:rsidR="006343E1" w:rsidRPr="00F66955">
        <w:t>i</w:t>
      </w:r>
      <w:r w:rsidR="006343E1">
        <w:t> </w:t>
      </w:r>
      <w:r w:rsidRPr="00F66955">
        <w:t>kooperacji lokalnych firm</w:t>
      </w:r>
      <w:r w:rsidR="006343E1">
        <w:t xml:space="preserve"> </w:t>
      </w:r>
      <w:r w:rsidR="006343E1" w:rsidRPr="00F66955">
        <w:t>z</w:t>
      </w:r>
      <w:r w:rsidR="006343E1">
        <w:t> </w:t>
      </w:r>
      <w:r w:rsidRPr="00F66955">
        <w:t xml:space="preserve">filiami zagranicznych koncernów. </w:t>
      </w:r>
      <w:r>
        <w:t>Na uwagę zasługują profity</w:t>
      </w:r>
      <w:r w:rsidR="006343E1">
        <w:t xml:space="preserve"> z </w:t>
      </w:r>
      <w:r w:rsidRPr="00F66955">
        <w:t>lepszego wykorzystania rodzimych zasobów przez uczestnictwo firm krajowych</w:t>
      </w:r>
      <w:r w:rsidR="006343E1">
        <w:t xml:space="preserve"> </w:t>
      </w:r>
      <w:r w:rsidR="006343E1" w:rsidRPr="00F66955">
        <w:t>w</w:t>
      </w:r>
      <w:r w:rsidR="006343E1">
        <w:t> </w:t>
      </w:r>
      <w:r w:rsidRPr="00F66955">
        <w:t>klastrach przemysłowych. Przy takim podejściu lepsze efekty mogą przynieść mniejsze, zaawansowane technologicznie projekty inwestycyjne</w:t>
      </w:r>
      <w:r w:rsidR="006343E1">
        <w:t xml:space="preserve"> </w:t>
      </w:r>
      <w:r w:rsidR="006343E1" w:rsidRPr="00F66955">
        <w:t>z</w:t>
      </w:r>
      <w:r w:rsidR="006343E1">
        <w:t> </w:t>
      </w:r>
      <w:r w:rsidRPr="00F66955">
        <w:t>kapitałem zagranicznym, jeśli tylko będą silnie zintegrowane</w:t>
      </w:r>
      <w:r w:rsidR="006343E1">
        <w:t xml:space="preserve"> </w:t>
      </w:r>
      <w:r w:rsidR="006343E1" w:rsidRPr="00F66955">
        <w:t>z</w:t>
      </w:r>
      <w:r w:rsidR="006343E1">
        <w:t> </w:t>
      </w:r>
      <w:r w:rsidRPr="00F66955">
        <w:t>lokalnym środowiskiem biznesowym</w:t>
      </w:r>
      <w:r w:rsidR="006343E1">
        <w:t xml:space="preserve"> </w:t>
      </w:r>
      <w:r w:rsidR="006343E1" w:rsidRPr="00F66955">
        <w:t>i</w:t>
      </w:r>
      <w:r w:rsidR="006343E1">
        <w:t> </w:t>
      </w:r>
      <w:r w:rsidRPr="00F66955">
        <w:t>ośrodkami akademickimi. Inwestorzy zagraniczni są</w:t>
      </w:r>
      <w:r w:rsidR="006343E1">
        <w:t xml:space="preserve"> </w:t>
      </w:r>
      <w:r w:rsidR="006343E1" w:rsidRPr="00F66955">
        <w:t>w</w:t>
      </w:r>
      <w:r w:rsidR="006343E1">
        <w:t> </w:t>
      </w:r>
      <w:r w:rsidRPr="00F66955">
        <w:t>stanie wykorzystać również potencjał lokalnych przedsiębiorców</w:t>
      </w:r>
      <w:r w:rsidR="006343E1">
        <w:t xml:space="preserve"> i </w:t>
      </w:r>
      <w:r w:rsidRPr="00F66955">
        <w:t xml:space="preserve">dostawców. </w:t>
      </w:r>
      <w:r>
        <w:t>Taka</w:t>
      </w:r>
      <w:r w:rsidRPr="00F66955">
        <w:t xml:space="preserve"> aktywiz</w:t>
      </w:r>
      <w:r>
        <w:t>acja</w:t>
      </w:r>
      <w:r w:rsidRPr="00F66955">
        <w:t xml:space="preserve"> lokaln</w:t>
      </w:r>
      <w:r>
        <w:t>ego</w:t>
      </w:r>
      <w:r w:rsidRPr="00F66955">
        <w:t xml:space="preserve"> rynk</w:t>
      </w:r>
      <w:r>
        <w:t>u</w:t>
      </w:r>
      <w:r w:rsidR="006343E1">
        <w:t xml:space="preserve"> </w:t>
      </w:r>
      <w:r w:rsidR="006343E1" w:rsidRPr="00F66955">
        <w:t>i</w:t>
      </w:r>
      <w:r w:rsidR="006343E1">
        <w:t> </w:t>
      </w:r>
      <w:r w:rsidRPr="00F66955">
        <w:t>kształtowa</w:t>
      </w:r>
      <w:r>
        <w:t>nie</w:t>
      </w:r>
      <w:r w:rsidRPr="00F66955">
        <w:t xml:space="preserve"> współprac</w:t>
      </w:r>
      <w:r>
        <w:t>y</w:t>
      </w:r>
      <w:r w:rsidR="006343E1">
        <w:t xml:space="preserve"> </w:t>
      </w:r>
      <w:r w:rsidR="006343E1" w:rsidRPr="00F66955">
        <w:t>w</w:t>
      </w:r>
      <w:r w:rsidR="006343E1">
        <w:t> </w:t>
      </w:r>
      <w:r w:rsidRPr="00F66955">
        <w:t>wybranych regionach</w:t>
      </w:r>
      <w:r w:rsidR="006343E1">
        <w:t xml:space="preserve"> </w:t>
      </w:r>
      <w:r w:rsidR="006343E1" w:rsidRPr="00F66955">
        <w:t>i</w:t>
      </w:r>
      <w:r w:rsidR="006343E1">
        <w:t> </w:t>
      </w:r>
      <w:r w:rsidRPr="00F66955">
        <w:t>sektorach</w:t>
      </w:r>
      <w:r w:rsidR="006343E1">
        <w:t xml:space="preserve"> w </w:t>
      </w:r>
      <w:r w:rsidRPr="00F66955">
        <w:t xml:space="preserve">dalszej kolejności wzmocni </w:t>
      </w:r>
      <w:r>
        <w:t>efekty</w:t>
      </w:r>
      <w:r w:rsidR="006343E1">
        <w:t xml:space="preserve"> </w:t>
      </w:r>
      <w:r w:rsidR="006343E1" w:rsidRPr="00F66955">
        <w:t>w</w:t>
      </w:r>
      <w:r w:rsidR="006343E1">
        <w:t> </w:t>
      </w:r>
      <w:r w:rsidRPr="00F66955">
        <w:t>skali makroekonomicznej.</w:t>
      </w:r>
    </w:p>
    <w:p w14:paraId="0A09BA6A" w14:textId="4E5CEE62" w:rsidR="002C51A1" w:rsidRPr="00C836CA" w:rsidRDefault="002C51A1" w:rsidP="00CB07D4">
      <w:pPr>
        <w:rPr>
          <w:color w:val="000000"/>
        </w:rPr>
      </w:pPr>
      <w:r>
        <w:rPr>
          <w:rFonts w:cs="Calibri"/>
        </w:rPr>
        <w:t>S</w:t>
      </w:r>
      <w:r w:rsidRPr="00F66955">
        <w:rPr>
          <w:rFonts w:cs="Calibri"/>
        </w:rPr>
        <w:t>ystem wsparcia napływu BIZ</w:t>
      </w:r>
      <w:r w:rsidRPr="00C836CA">
        <w:t xml:space="preserve"> powinien</w:t>
      </w:r>
      <w:r w:rsidR="006343E1">
        <w:t xml:space="preserve"> </w:t>
      </w:r>
      <w:r w:rsidR="006343E1" w:rsidRPr="00C836CA">
        <w:t>w</w:t>
      </w:r>
      <w:r w:rsidR="006343E1">
        <w:t> </w:t>
      </w:r>
      <w:r w:rsidRPr="00C836CA">
        <w:t>większym stopniu stymulować zagraniczne podmioty do działalności innowacyjnej. Bardziej przyjazne warunki do prowadzenia działalności gospodarczej,</w:t>
      </w:r>
      <w:r w:rsidR="006343E1">
        <w:t xml:space="preserve"> </w:t>
      </w:r>
      <w:r w:rsidR="006343E1" w:rsidRPr="00C836CA">
        <w:t>w</w:t>
      </w:r>
      <w:r w:rsidR="006343E1">
        <w:t> </w:t>
      </w:r>
      <w:r w:rsidRPr="00C836CA">
        <w:t>tym głównie do inwestowania, znajdą odzwierciedlenie</w:t>
      </w:r>
      <w:r w:rsidR="006343E1">
        <w:t xml:space="preserve"> </w:t>
      </w:r>
      <w:r w:rsidR="006343E1" w:rsidRPr="00C836CA">
        <w:t>w</w:t>
      </w:r>
      <w:r w:rsidR="006343E1">
        <w:t> </w:t>
      </w:r>
      <w:r w:rsidRPr="00C836CA">
        <w:t>poprawie skłonności zagranicznych firm do poszerzania zakresu działań</w:t>
      </w:r>
      <w:r w:rsidR="006343E1">
        <w:t xml:space="preserve"> </w:t>
      </w:r>
      <w:r w:rsidR="006343E1" w:rsidRPr="00C836CA">
        <w:t>w</w:t>
      </w:r>
      <w:r w:rsidR="006343E1">
        <w:t> </w:t>
      </w:r>
      <w:r w:rsidRPr="00C836CA">
        <w:t>obszarze B+R. Jest to szczególnie istotne</w:t>
      </w:r>
      <w:r w:rsidR="006343E1">
        <w:t xml:space="preserve"> </w:t>
      </w:r>
      <w:r w:rsidR="006343E1" w:rsidRPr="00C836CA">
        <w:t>w</w:t>
      </w:r>
      <w:r w:rsidR="006343E1">
        <w:t> </w:t>
      </w:r>
      <w:r w:rsidRPr="00C836CA">
        <w:t>przypadku zewnętrznych inwestorów dysponujących kapitałem, wiedzą i nowoczesnymi technologiami, których doświadczenie jest bezcenne</w:t>
      </w:r>
      <w:r w:rsidR="006343E1">
        <w:t xml:space="preserve"> </w:t>
      </w:r>
      <w:r w:rsidR="006343E1" w:rsidRPr="00C836CA">
        <w:t>z</w:t>
      </w:r>
      <w:r w:rsidR="006343E1">
        <w:t> </w:t>
      </w:r>
      <w:r w:rsidRPr="00C836CA">
        <w:t xml:space="preserve">punktu widzenia potencjalnych, lokalnych kooperantów. Poprzez różne formy współpracy biznesowej </w:t>
      </w:r>
      <w:r w:rsidR="004456AD" w:rsidRPr="00C836CA">
        <w:t>projekty</w:t>
      </w:r>
      <w:r w:rsidRPr="00C836CA">
        <w:t xml:space="preserve"> realizowane</w:t>
      </w:r>
      <w:r w:rsidR="006343E1">
        <w:t xml:space="preserve"> </w:t>
      </w:r>
      <w:r w:rsidR="006343E1" w:rsidRPr="00C836CA">
        <w:t>w</w:t>
      </w:r>
      <w:r w:rsidR="006343E1">
        <w:t> </w:t>
      </w:r>
      <w:r w:rsidRPr="00C836CA">
        <w:t xml:space="preserve">tym </w:t>
      </w:r>
      <w:r w:rsidRPr="00C836CA">
        <w:lastRenderedPageBreak/>
        <w:t xml:space="preserve">obszarze mogą być bowiem dla krajowych podmiotów </w:t>
      </w:r>
      <w:r w:rsidR="00CB07D4">
        <w:t>wzorcem</w:t>
      </w:r>
      <w:r w:rsidR="004456AD" w:rsidRPr="00C836CA">
        <w:t xml:space="preserve"> </w:t>
      </w:r>
      <w:r w:rsidRPr="00C836CA">
        <w:t>do naśladowania,</w:t>
      </w:r>
      <w:r w:rsidR="006343E1">
        <w:t xml:space="preserve"> </w:t>
      </w:r>
      <w:r w:rsidR="006343E1" w:rsidRPr="00C836CA">
        <w:t>a</w:t>
      </w:r>
      <w:r w:rsidR="006343E1">
        <w:t> </w:t>
      </w:r>
      <w:r w:rsidRPr="00C836CA">
        <w:t xml:space="preserve">na dalszym etapie </w:t>
      </w:r>
      <w:r w:rsidRPr="00F66955">
        <w:rPr>
          <w:rFonts w:cs="Calibri"/>
        </w:rPr>
        <w:t>–</w:t>
      </w:r>
      <w:r w:rsidRPr="00C836CA">
        <w:t xml:space="preserve"> </w:t>
      </w:r>
      <w:r w:rsidR="004456AD">
        <w:t xml:space="preserve">do </w:t>
      </w:r>
      <w:r w:rsidRPr="00C836CA">
        <w:t>tworzenia</w:t>
      </w:r>
      <w:r w:rsidR="006343E1">
        <w:t xml:space="preserve"> </w:t>
      </w:r>
      <w:r w:rsidR="006343E1" w:rsidRPr="00C836CA">
        <w:t>i</w:t>
      </w:r>
      <w:r w:rsidR="006343E1">
        <w:t> </w:t>
      </w:r>
      <w:r w:rsidRPr="00C836CA">
        <w:t>wdrażania własnych rozwiązań</w:t>
      </w:r>
      <w:r w:rsidR="006343E1">
        <w:t xml:space="preserve"> </w:t>
      </w:r>
      <w:r w:rsidR="006343E1" w:rsidRPr="00C836CA">
        <w:t>o</w:t>
      </w:r>
      <w:r w:rsidR="006343E1">
        <w:t> </w:t>
      </w:r>
      <w:r w:rsidRPr="00C836CA">
        <w:t xml:space="preserve">charakterze innowacyjnym. </w:t>
      </w:r>
    </w:p>
    <w:p w14:paraId="324127FC" w14:textId="50653964" w:rsidR="002C51A1" w:rsidRPr="00C836CA" w:rsidRDefault="002C51A1" w:rsidP="002C51A1">
      <w:r w:rsidRPr="00C836CA">
        <w:t>Proces ten powinien uwzględniać nakreśloną</w:t>
      </w:r>
      <w:r w:rsidR="006343E1">
        <w:t xml:space="preserve"> </w:t>
      </w:r>
      <w:r w:rsidR="006343E1" w:rsidRPr="00C836CA">
        <w:t>w</w:t>
      </w:r>
      <w:r w:rsidR="006343E1">
        <w:t> </w:t>
      </w:r>
      <w:r w:rsidRPr="00C836CA">
        <w:t>SOR potrzebę zachowania zrównoważonej struktury wzrostu gospodarczego Polski.</w:t>
      </w:r>
      <w:r w:rsidR="006343E1">
        <w:t xml:space="preserve"> </w:t>
      </w:r>
      <w:r w:rsidR="006343E1" w:rsidRPr="00C836CA">
        <w:t>Z</w:t>
      </w:r>
      <w:r w:rsidR="006343E1">
        <w:t> </w:t>
      </w:r>
      <w:r w:rsidRPr="00C836CA">
        <w:t>jednej strony dotyczy to samej trwałości</w:t>
      </w:r>
      <w:r w:rsidR="006343E1">
        <w:t xml:space="preserve"> </w:t>
      </w:r>
      <w:r w:rsidR="006343E1" w:rsidRPr="00C836CA">
        <w:t>i</w:t>
      </w:r>
      <w:r w:rsidR="006343E1">
        <w:t> </w:t>
      </w:r>
      <w:r w:rsidRPr="00C836CA">
        <w:t xml:space="preserve">stabilności przyrostu PKB, gdzie </w:t>
      </w:r>
      <w:r w:rsidR="004456AD" w:rsidRPr="00C836CA">
        <w:t xml:space="preserve">jest </w:t>
      </w:r>
      <w:r w:rsidRPr="00C836CA">
        <w:t>konieczne położenie większego nacisku na przyciąganie inwestycji do sektorów dysponujących największym potencjałem pod względem przyrostu wartości dodanej.</w:t>
      </w:r>
      <w:r w:rsidR="006343E1">
        <w:t xml:space="preserve"> </w:t>
      </w:r>
      <w:r w:rsidR="006343E1" w:rsidRPr="00C836CA">
        <w:t>Z</w:t>
      </w:r>
      <w:r w:rsidR="006343E1">
        <w:t> </w:t>
      </w:r>
      <w:r w:rsidRPr="00C836CA">
        <w:t xml:space="preserve">drugiej strony </w:t>
      </w:r>
      <w:r w:rsidR="00233415">
        <w:rPr>
          <w:rFonts w:cs="Calibri"/>
        </w:rPr>
        <w:t xml:space="preserve">dotyczy to </w:t>
      </w:r>
      <w:r w:rsidRPr="00C836CA">
        <w:t xml:space="preserve"> efektywności wykorzystania </w:t>
      </w:r>
      <w:r w:rsidR="00233415" w:rsidRPr="00C836CA">
        <w:t xml:space="preserve">kapitału </w:t>
      </w:r>
      <w:r w:rsidRPr="00C836CA">
        <w:t>napływającego</w:t>
      </w:r>
      <w:r w:rsidR="006343E1">
        <w:t xml:space="preserve"> </w:t>
      </w:r>
      <w:r w:rsidR="006343E1" w:rsidRPr="00C836CA">
        <w:t>w</w:t>
      </w:r>
      <w:r w:rsidR="006343E1">
        <w:t> </w:t>
      </w:r>
      <w:r w:rsidRPr="00C836CA">
        <w:t>formie BIZ.</w:t>
      </w:r>
      <w:r w:rsidR="006343E1">
        <w:t xml:space="preserve"> </w:t>
      </w:r>
      <w:r w:rsidR="006343E1" w:rsidRPr="00C836CA">
        <w:t>W</w:t>
      </w:r>
      <w:r w:rsidR="006343E1">
        <w:t> </w:t>
      </w:r>
      <w:r w:rsidRPr="00C836CA">
        <w:t>tym drugim aspekcie kluczowe wydają się m.in. odpowiednie przygotowanie kapitału ludzkiego</w:t>
      </w:r>
      <w:r w:rsidR="00233415">
        <w:t xml:space="preserve"> i </w:t>
      </w:r>
      <w:r w:rsidRPr="00C836CA">
        <w:t>zasobu siły roboczej</w:t>
      </w:r>
      <w:r w:rsidR="006343E1">
        <w:t xml:space="preserve"> </w:t>
      </w:r>
      <w:r w:rsidR="006343E1" w:rsidRPr="00C836CA">
        <w:t>i</w:t>
      </w:r>
      <w:r w:rsidR="006343E1">
        <w:t> </w:t>
      </w:r>
      <w:r w:rsidRPr="00C836CA">
        <w:t>samych przedsiębiorstw pod kątem wykorzystania nowych technologii – trzeba popraw</w:t>
      </w:r>
      <w:r w:rsidR="00233415">
        <w:t>ić</w:t>
      </w:r>
      <w:r w:rsidRPr="00C836CA">
        <w:t xml:space="preserve"> ucyfrowieni</w:t>
      </w:r>
      <w:r w:rsidR="00233415">
        <w:t>e</w:t>
      </w:r>
      <w:r w:rsidRPr="00C836CA">
        <w:t xml:space="preserve"> (EC, 2017), wypracowa</w:t>
      </w:r>
      <w:r w:rsidR="00233415">
        <w:t>ć</w:t>
      </w:r>
      <w:r w:rsidRPr="00C836CA">
        <w:t xml:space="preserve"> trwał</w:t>
      </w:r>
      <w:r w:rsidR="00233415">
        <w:t>e</w:t>
      </w:r>
      <w:r w:rsidRPr="00C836CA">
        <w:t xml:space="preserve"> mechanizm</w:t>
      </w:r>
      <w:r w:rsidR="00233415">
        <w:t>y</w:t>
      </w:r>
      <w:r w:rsidRPr="00C836CA">
        <w:t xml:space="preserve"> współpracy na linii biznes</w:t>
      </w:r>
      <w:r w:rsidR="00233415">
        <w:t xml:space="preserve"> </w:t>
      </w:r>
      <w:r w:rsidR="00233415">
        <w:rPr>
          <w:rFonts w:ascii="Times New Roman" w:hAnsi="Times New Roman" w:cs="Times New Roman"/>
        </w:rPr>
        <w:t>–</w:t>
      </w:r>
      <w:r w:rsidR="00233415">
        <w:t xml:space="preserve"> </w:t>
      </w:r>
      <w:r w:rsidRPr="00C836CA">
        <w:t xml:space="preserve">nauka czy też </w:t>
      </w:r>
      <w:r w:rsidR="00233415">
        <w:t>podjąć</w:t>
      </w:r>
      <w:r w:rsidRPr="00C836CA">
        <w:t xml:space="preserve"> działania ukierunkowane na zwiększenie świadomości polskich przedsiębiorców</w:t>
      </w:r>
      <w:r w:rsidR="006343E1">
        <w:t xml:space="preserve"> </w:t>
      </w:r>
      <w:r w:rsidR="006343E1" w:rsidRPr="00C836CA">
        <w:t>w</w:t>
      </w:r>
      <w:r w:rsidR="006343E1">
        <w:t> </w:t>
      </w:r>
      <w:r w:rsidRPr="00C836CA">
        <w:t>zakresie możliwych synergii płynących ze współpracy z zaawansowanymi technologicznie podmiotami</w:t>
      </w:r>
      <w:r w:rsidR="006343E1">
        <w:t xml:space="preserve"> </w:t>
      </w:r>
      <w:r w:rsidR="006343E1" w:rsidRPr="00C836CA">
        <w:t>z</w:t>
      </w:r>
      <w:r w:rsidR="006343E1">
        <w:t> </w:t>
      </w:r>
      <w:r w:rsidRPr="00C836CA">
        <w:t>zagranicy.</w:t>
      </w:r>
    </w:p>
    <w:p w14:paraId="08A7C039" w14:textId="24C2FA81" w:rsidR="002C51A1" w:rsidRPr="00C836CA" w:rsidRDefault="002C51A1" w:rsidP="002C51A1">
      <w:r w:rsidRPr="00C836CA">
        <w:t>Równowaga</w:t>
      </w:r>
      <w:r w:rsidR="006343E1">
        <w:t xml:space="preserve"> </w:t>
      </w:r>
      <w:r w:rsidR="006343E1" w:rsidRPr="00C836CA">
        <w:t>w</w:t>
      </w:r>
      <w:r w:rsidR="006343E1">
        <w:t> </w:t>
      </w:r>
      <w:r w:rsidRPr="00C836CA">
        <w:t>zakresie wykorzystania potencjału kapitału zagranicznego powinna obejmować również wymiar terytorialny. Dane Głównego Urzędu Statystycznego obrazujące regionalny rozkład liczby podmiotów zagranicznych na 10 tys. mieszkańców wskazują na rosnące dysproporcje</w:t>
      </w:r>
      <w:r w:rsidR="006343E1">
        <w:t xml:space="preserve"> </w:t>
      </w:r>
      <w:r w:rsidR="006343E1" w:rsidRPr="00C836CA">
        <w:t>w</w:t>
      </w:r>
      <w:r w:rsidR="006343E1">
        <w:t> </w:t>
      </w:r>
      <w:r w:rsidRPr="00C836CA">
        <w:t xml:space="preserve">tym zakresie. W badanych okresach </w:t>
      </w:r>
      <w:r w:rsidR="00233415">
        <w:t xml:space="preserve">w </w:t>
      </w:r>
      <w:r w:rsidRPr="00C836CA">
        <w:t>lat</w:t>
      </w:r>
      <w:r w:rsidR="00233415">
        <w:t>ach</w:t>
      </w:r>
      <w:r w:rsidRPr="00C836CA">
        <w:t xml:space="preserve"> 2003, 2009</w:t>
      </w:r>
      <w:r w:rsidR="006343E1">
        <w:t xml:space="preserve"> </w:t>
      </w:r>
      <w:r w:rsidR="006343E1" w:rsidRPr="00C836CA">
        <w:t>i</w:t>
      </w:r>
      <w:r w:rsidR="006343E1">
        <w:t> </w:t>
      </w:r>
      <w:r w:rsidRPr="00F66955">
        <w:rPr>
          <w:rFonts w:cs="Calibri"/>
        </w:rPr>
        <w:t>2017</w:t>
      </w:r>
      <w:r w:rsidRPr="00C836CA">
        <w:t xml:space="preserve"> różnica między wartością analizowanego wskaźnika</w:t>
      </w:r>
      <w:r w:rsidR="006343E1">
        <w:t xml:space="preserve"> </w:t>
      </w:r>
      <w:r w:rsidR="006343E1" w:rsidRPr="00C836CA">
        <w:t>w</w:t>
      </w:r>
      <w:r w:rsidR="006343E1">
        <w:t> </w:t>
      </w:r>
      <w:r w:rsidRPr="00C836CA">
        <w:t>14 województwach</w:t>
      </w:r>
      <w:r w:rsidR="006343E1">
        <w:t xml:space="preserve"> </w:t>
      </w:r>
      <w:r w:rsidR="006343E1" w:rsidRPr="00C836CA">
        <w:t>a</w:t>
      </w:r>
      <w:r w:rsidR="006343E1">
        <w:t> </w:t>
      </w:r>
      <w:r w:rsidRPr="00C836CA">
        <w:t xml:space="preserve">wartością dla całej Polski regularnie </w:t>
      </w:r>
      <w:r w:rsidR="00233415" w:rsidRPr="00C836CA">
        <w:t xml:space="preserve">się </w:t>
      </w:r>
      <w:r w:rsidRPr="00C836CA">
        <w:t>zmniejsza (</w:t>
      </w:r>
      <w:r w:rsidR="00233415" w:rsidRPr="00C836CA">
        <w:t xml:space="preserve">rosną </w:t>
      </w:r>
      <w:r w:rsidRPr="00C836CA">
        <w:t>dysproporcje). Jedynie</w:t>
      </w:r>
      <w:r w:rsidR="006343E1">
        <w:t xml:space="preserve"> </w:t>
      </w:r>
      <w:r w:rsidR="006343E1" w:rsidRPr="00C836CA">
        <w:t>w</w:t>
      </w:r>
      <w:r w:rsidR="006343E1">
        <w:t> </w:t>
      </w:r>
      <w:r w:rsidRPr="00F66955">
        <w:rPr>
          <w:rFonts w:cs="Calibri"/>
        </w:rPr>
        <w:t>3</w:t>
      </w:r>
      <w:r w:rsidRPr="00C836CA">
        <w:t xml:space="preserve"> województwach, tj. mazowieckim</w:t>
      </w:r>
      <w:r w:rsidRPr="00F66955">
        <w:rPr>
          <w:rFonts w:cs="Calibri"/>
        </w:rPr>
        <w:t>,</w:t>
      </w:r>
      <w:r w:rsidRPr="00C836CA">
        <w:t xml:space="preserve"> zachodniopomorskim</w:t>
      </w:r>
      <w:r w:rsidR="006343E1">
        <w:rPr>
          <w:rFonts w:cs="Calibri"/>
        </w:rPr>
        <w:t xml:space="preserve"> </w:t>
      </w:r>
      <w:r w:rsidR="006343E1" w:rsidRPr="00F66955">
        <w:rPr>
          <w:rFonts w:cs="Calibri"/>
        </w:rPr>
        <w:t>i</w:t>
      </w:r>
      <w:r w:rsidR="006343E1">
        <w:rPr>
          <w:rFonts w:cs="Calibri"/>
        </w:rPr>
        <w:t> </w:t>
      </w:r>
      <w:r w:rsidRPr="00F66955">
        <w:rPr>
          <w:rFonts w:cs="Calibri"/>
        </w:rPr>
        <w:t>dolnośląskim</w:t>
      </w:r>
      <w:r w:rsidRPr="00C836CA">
        <w:t>, różnica ta wzrosła. Oznacza to</w:t>
      </w:r>
      <w:r w:rsidR="00477C54">
        <w:t>, że </w:t>
      </w:r>
      <w:r w:rsidR="006343E1" w:rsidRPr="00C836CA">
        <w:t>z</w:t>
      </w:r>
      <w:r w:rsidR="006343E1">
        <w:t> </w:t>
      </w:r>
      <w:r w:rsidRPr="00C836CA">
        <w:t>roku na rok coraz więcej kapitału</w:t>
      </w:r>
      <w:r w:rsidR="006343E1">
        <w:t xml:space="preserve"> </w:t>
      </w:r>
      <w:r w:rsidR="006343E1" w:rsidRPr="00C836CA">
        <w:t>w</w:t>
      </w:r>
      <w:r w:rsidR="006343E1">
        <w:t> </w:t>
      </w:r>
      <w:r w:rsidRPr="00C836CA">
        <w:t>formie BIZ k</w:t>
      </w:r>
      <w:r>
        <w:t>o</w:t>
      </w:r>
      <w:r w:rsidRPr="00C836CA">
        <w:t>ncentruje się</w:t>
      </w:r>
      <w:r w:rsidR="006343E1">
        <w:t xml:space="preserve"> </w:t>
      </w:r>
      <w:r w:rsidR="006343E1" w:rsidRPr="00C836CA">
        <w:t>w</w:t>
      </w:r>
      <w:r w:rsidR="006343E1">
        <w:t> </w:t>
      </w:r>
      <w:r w:rsidRPr="00C836CA">
        <w:t>regionach zwiększających swoją przewagę</w:t>
      </w:r>
      <w:r w:rsidR="006343E1">
        <w:t xml:space="preserve"> </w:t>
      </w:r>
      <w:r w:rsidR="006343E1" w:rsidRPr="00C836CA">
        <w:t>w</w:t>
      </w:r>
      <w:r w:rsidR="006343E1">
        <w:t> </w:t>
      </w:r>
      <w:r w:rsidRPr="00C836CA">
        <w:t xml:space="preserve">tym zakresie nad pozostałymi. </w:t>
      </w:r>
    </w:p>
    <w:p w14:paraId="2685FDBC" w14:textId="49C24602" w:rsidR="002C51A1" w:rsidRPr="00C836CA" w:rsidRDefault="002C51A1" w:rsidP="00CB07D4">
      <w:pPr>
        <w:pStyle w:val="Nagwek4"/>
        <w:ind w:left="993" w:hanging="993"/>
      </w:pPr>
      <w:r w:rsidRPr="00C836CA">
        <w:t xml:space="preserve">Wykres </w:t>
      </w:r>
      <w:r w:rsidR="00FC6E8F">
        <w:t>88</w:t>
      </w:r>
      <w:r w:rsidRPr="00C836CA">
        <w:t>. Różnica</w:t>
      </w:r>
      <w:r w:rsidR="006343E1">
        <w:t xml:space="preserve"> </w:t>
      </w:r>
      <w:r w:rsidR="006343E1" w:rsidRPr="00C836CA">
        <w:t>w</w:t>
      </w:r>
      <w:r w:rsidR="006343E1">
        <w:t> </w:t>
      </w:r>
      <w:r w:rsidRPr="00C836CA">
        <w:t>liczbie podmiotów</w:t>
      </w:r>
      <w:r w:rsidR="006343E1">
        <w:t xml:space="preserve"> </w:t>
      </w:r>
      <w:r w:rsidR="006343E1" w:rsidRPr="00C836CA">
        <w:t>z</w:t>
      </w:r>
      <w:r w:rsidR="006343E1">
        <w:t> </w:t>
      </w:r>
      <w:r w:rsidRPr="00C836CA">
        <w:t>kapitałem zagranicznym</w:t>
      </w:r>
      <w:r w:rsidR="006343E1">
        <w:t xml:space="preserve"> </w:t>
      </w:r>
      <w:r w:rsidR="006343E1" w:rsidRPr="00C836CA">
        <w:t>w</w:t>
      </w:r>
      <w:r w:rsidR="006343E1">
        <w:t> </w:t>
      </w:r>
      <w:r w:rsidRPr="00C836CA">
        <w:t>poszczególnych województwach</w:t>
      </w:r>
      <w:r w:rsidR="006343E1">
        <w:t xml:space="preserve"> </w:t>
      </w:r>
      <w:r w:rsidR="006343E1" w:rsidRPr="00C836CA">
        <w:t>w</w:t>
      </w:r>
      <w:r w:rsidR="006343E1">
        <w:t> </w:t>
      </w:r>
      <w:r w:rsidRPr="00C836CA">
        <w:t>latach 2003, 2009</w:t>
      </w:r>
      <w:r w:rsidR="006343E1">
        <w:t xml:space="preserve"> </w:t>
      </w:r>
      <w:r w:rsidR="006343E1" w:rsidRPr="00C836CA">
        <w:t>i</w:t>
      </w:r>
      <w:r w:rsidR="006343E1">
        <w:t> </w:t>
      </w:r>
      <w:r w:rsidRPr="00F66955">
        <w:rPr>
          <w:rFonts w:cs="Calibri"/>
        </w:rPr>
        <w:t>2017</w:t>
      </w:r>
      <w:r w:rsidR="006343E1">
        <w:t xml:space="preserve"> </w:t>
      </w:r>
      <w:r w:rsidR="006343E1" w:rsidRPr="00C836CA">
        <w:t>w</w:t>
      </w:r>
      <w:r w:rsidR="006343E1">
        <w:t> </w:t>
      </w:r>
      <w:r w:rsidRPr="00C836CA">
        <w:t>odniesieniu do całej Polski (na 10 tys. mieszkańców)</w:t>
      </w:r>
    </w:p>
    <w:p w14:paraId="7D63E385" w14:textId="77777777" w:rsidR="002C51A1" w:rsidRPr="00F66955" w:rsidRDefault="002C51A1" w:rsidP="002C51A1">
      <w:pPr>
        <w:spacing w:after="0" w:line="240" w:lineRule="auto"/>
        <w:jc w:val="center"/>
        <w:rPr>
          <w:rFonts w:cs="Calibri"/>
        </w:rPr>
      </w:pPr>
      <w:r>
        <w:rPr>
          <w:rFonts w:cs="Calibri"/>
          <w:noProof/>
          <w:lang w:eastAsia="pl-PL"/>
        </w:rPr>
        <w:drawing>
          <wp:inline distT="0" distB="0" distL="0" distR="0" wp14:anchorId="27BE05B5" wp14:editId="3FEDAC79">
            <wp:extent cx="4563110" cy="2976245"/>
            <wp:effectExtent l="0" t="0" r="8890" b="0"/>
            <wp:docPr id="69" name="Obraz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563110" cy="2976245"/>
                    </a:xfrm>
                    <a:prstGeom prst="rect">
                      <a:avLst/>
                    </a:prstGeom>
                    <a:noFill/>
                    <a:ln>
                      <a:noFill/>
                    </a:ln>
                  </pic:spPr>
                </pic:pic>
              </a:graphicData>
            </a:graphic>
          </wp:inline>
        </w:drawing>
      </w:r>
    </w:p>
    <w:p w14:paraId="7C1C576E" w14:textId="6710DD8F" w:rsidR="002C51A1" w:rsidRPr="003D2F32" w:rsidRDefault="002C51A1" w:rsidP="003D2F32">
      <w:pPr>
        <w:pStyle w:val="Bezodstpw"/>
      </w:pPr>
      <w:r w:rsidRPr="003D2F32">
        <w:t xml:space="preserve">Źródło: Opracowanie </w:t>
      </w:r>
      <w:r w:rsidR="003A56DA">
        <w:t>MRiT</w:t>
      </w:r>
      <w:r w:rsidRPr="003D2F32">
        <w:t>, na podstawie danych GUS</w:t>
      </w:r>
    </w:p>
    <w:p w14:paraId="66530960" w14:textId="1B9BF005" w:rsidR="002C51A1" w:rsidRPr="00F66955" w:rsidRDefault="002C51A1" w:rsidP="002C51A1">
      <w:pPr>
        <w:rPr>
          <w:rFonts w:cs="Calibri"/>
        </w:rPr>
      </w:pPr>
      <w:r w:rsidRPr="00C836CA">
        <w:t>Potrzeba zapewnienia zrównoważonego terytorialnie rozkładu napływu BIZ wynika</w:t>
      </w:r>
      <w:r w:rsidR="006343E1">
        <w:t xml:space="preserve"> </w:t>
      </w:r>
      <w:r w:rsidR="006343E1" w:rsidRPr="00C836CA">
        <w:t>z</w:t>
      </w:r>
      <w:r w:rsidR="006343E1">
        <w:t> </w:t>
      </w:r>
      <w:r w:rsidRPr="00C836CA">
        <w:t>faktu znaczącego wpływu przedsiębiorstw zagranicznych na poziom aktywności gospodarczej</w:t>
      </w:r>
      <w:r w:rsidR="006343E1">
        <w:t xml:space="preserve"> </w:t>
      </w:r>
      <w:r w:rsidR="006343E1" w:rsidRPr="00C836CA">
        <w:t>w</w:t>
      </w:r>
      <w:r w:rsidR="006343E1">
        <w:t> </w:t>
      </w:r>
      <w:r w:rsidRPr="00C836CA">
        <w:t>kraju goszczącym. Ich dominująca koncentracja</w:t>
      </w:r>
      <w:r w:rsidR="006343E1">
        <w:t xml:space="preserve"> </w:t>
      </w:r>
      <w:r w:rsidR="006343E1" w:rsidRPr="00C836CA">
        <w:t>w</w:t>
      </w:r>
      <w:r w:rsidR="006343E1">
        <w:t> </w:t>
      </w:r>
      <w:r w:rsidRPr="00C836CA">
        <w:t>najsilniejszych gospodarczo regionach kraju zwiększa różnice</w:t>
      </w:r>
      <w:r w:rsidR="006343E1">
        <w:t xml:space="preserve"> </w:t>
      </w:r>
      <w:r w:rsidR="006343E1" w:rsidRPr="00C836CA">
        <w:t>w</w:t>
      </w:r>
      <w:r w:rsidR="006343E1">
        <w:t> </w:t>
      </w:r>
      <w:r w:rsidRPr="00C836CA">
        <w:t xml:space="preserve">poziomie dochodu </w:t>
      </w:r>
      <w:r w:rsidRPr="00C836CA">
        <w:rPr>
          <w:i/>
        </w:rPr>
        <w:t>per capita</w:t>
      </w:r>
      <w:r w:rsidRPr="00C836CA">
        <w:t>, pogłębiając tym samym dysproporcje rozwojowe między najsilniejszymi</w:t>
      </w:r>
      <w:r w:rsidR="006343E1">
        <w:t xml:space="preserve"> </w:t>
      </w:r>
      <w:r w:rsidR="006343E1" w:rsidRPr="00C836CA">
        <w:t>a</w:t>
      </w:r>
      <w:r w:rsidR="006343E1">
        <w:t> </w:t>
      </w:r>
      <w:r w:rsidRPr="00C836CA">
        <w:t>najsłabszymi regionami</w:t>
      </w:r>
      <w:r w:rsidR="006343E1">
        <w:t xml:space="preserve"> </w:t>
      </w:r>
      <w:r w:rsidR="006343E1" w:rsidRPr="00C836CA">
        <w:t>w</w:t>
      </w:r>
      <w:r w:rsidR="006343E1">
        <w:t> </w:t>
      </w:r>
      <w:r w:rsidRPr="00C836CA">
        <w:t>Polsce. Podmioty</w:t>
      </w:r>
      <w:r w:rsidR="006343E1">
        <w:t xml:space="preserve"> </w:t>
      </w:r>
      <w:r w:rsidR="006343E1" w:rsidRPr="00C836CA">
        <w:t>z</w:t>
      </w:r>
      <w:r w:rsidR="006343E1">
        <w:t> </w:t>
      </w:r>
      <w:r w:rsidRPr="00C836CA">
        <w:t>kapitałem zagranicznym,</w:t>
      </w:r>
      <w:r w:rsidR="006343E1">
        <w:t xml:space="preserve"> </w:t>
      </w:r>
      <w:r w:rsidR="006343E1" w:rsidRPr="00C836CA">
        <w:t>z</w:t>
      </w:r>
      <w:r w:rsidR="006343E1">
        <w:t> </w:t>
      </w:r>
      <w:r w:rsidRPr="00C836CA">
        <w:t>racji znaczącego wpływu na poziom wydajności</w:t>
      </w:r>
      <w:r w:rsidR="006343E1">
        <w:t xml:space="preserve"> </w:t>
      </w:r>
      <w:r w:rsidR="006343E1" w:rsidRPr="00C836CA">
        <w:t>w</w:t>
      </w:r>
      <w:r w:rsidR="006343E1">
        <w:t> </w:t>
      </w:r>
      <w:r w:rsidRPr="00C836CA">
        <w:t>całym sektorze przedsiębiorstw, powinny być ważnym komponentem</w:t>
      </w:r>
      <w:r w:rsidR="006343E1">
        <w:t xml:space="preserve"> </w:t>
      </w:r>
      <w:r w:rsidR="006343E1" w:rsidRPr="00C836CA">
        <w:t>w</w:t>
      </w:r>
      <w:r w:rsidR="006343E1">
        <w:t> </w:t>
      </w:r>
      <w:r w:rsidRPr="00C836CA">
        <w:t>procesie stymulowania rozwoju najsłabiej rozwiniętych regionów. Aktualnie ich rola wydaje się być odwrotna. Zamiast zmniejszać</w:t>
      </w:r>
      <w:r w:rsidR="0074197B">
        <w:t>,</w:t>
      </w:r>
      <w:r w:rsidRPr="00C836CA">
        <w:t xml:space="preserve"> pogłębiają różnice rozwojowe między </w:t>
      </w:r>
      <w:r w:rsidRPr="00C836CA">
        <w:lastRenderedPageBreak/>
        <w:t>województwami, co szczególnie widać</w:t>
      </w:r>
      <w:r w:rsidR="006343E1">
        <w:t xml:space="preserve"> </w:t>
      </w:r>
      <w:r w:rsidR="006343E1" w:rsidRPr="00C836CA">
        <w:t>w</w:t>
      </w:r>
      <w:r w:rsidR="006343E1">
        <w:t> </w:t>
      </w:r>
      <w:r w:rsidRPr="00C836CA">
        <w:t>rejonie Polski Wschodniej, czyli najmniej zasobnym</w:t>
      </w:r>
      <w:r w:rsidR="006343E1">
        <w:t xml:space="preserve"> </w:t>
      </w:r>
      <w:r w:rsidR="006343E1" w:rsidRPr="00C836CA">
        <w:t>w</w:t>
      </w:r>
      <w:r w:rsidR="006343E1">
        <w:t> </w:t>
      </w:r>
      <w:r w:rsidRPr="00C836CA">
        <w:t xml:space="preserve">podmioty zagraniczne, </w:t>
      </w:r>
      <w:r w:rsidR="00E85866">
        <w:t>w których</w:t>
      </w:r>
      <w:r w:rsidRPr="00C836CA">
        <w:t xml:space="preserve"> skala ujemnego odchylenia od wartości dla całego kraju regularnie rośnie. </w:t>
      </w:r>
    </w:p>
    <w:p w14:paraId="4E4F8517" w14:textId="64B975B4" w:rsidR="00CB653F" w:rsidRDefault="00CB653F" w:rsidP="00CB653F">
      <w:r>
        <w:t xml:space="preserve">Z drugiej strony, w latach 2018-2020 widoczne były pozytywne zmiany – wśród przedsiębiorstw przemysłowych współpracujących w zakresie działalności innowacyjnej największy odsetek w liczbie przedsiębiorstw aktywnych innowacyjnie odnotowano na terenie </w:t>
      </w:r>
      <w:r w:rsidR="002C51A1" w:rsidRPr="00F66955">
        <w:t>woj</w:t>
      </w:r>
      <w:r w:rsidR="00E85866">
        <w:t>ewództw</w:t>
      </w:r>
      <w:r>
        <w:t xml:space="preserve"> podlaskiego (36,2%), pomorskiego (27,7%) i śląskiego (27,5%).</w:t>
      </w:r>
      <w:r>
        <w:rPr>
          <w:rStyle w:val="Odwoanieprzypisudolnego"/>
          <w:rFonts w:cs="Calibri"/>
          <w:color w:val="000000"/>
        </w:rPr>
        <w:footnoteReference w:id="71"/>
      </w:r>
      <w:r>
        <w:t xml:space="preserve"> </w:t>
      </w:r>
    </w:p>
    <w:p w14:paraId="5CE882D6" w14:textId="2C4B3D06" w:rsidR="002C51A1" w:rsidRPr="00C836CA" w:rsidRDefault="002C51A1" w:rsidP="002C51A1">
      <w:r w:rsidRPr="00C836CA">
        <w:t>Poza czerpaniem korzyści</w:t>
      </w:r>
      <w:r w:rsidR="006343E1">
        <w:t xml:space="preserve"> </w:t>
      </w:r>
      <w:r w:rsidR="006343E1" w:rsidRPr="00C836CA">
        <w:t>z</w:t>
      </w:r>
      <w:r w:rsidR="006343E1">
        <w:t> </w:t>
      </w:r>
      <w:r w:rsidRPr="00C836CA">
        <w:t>doświadczeń oraz potencjału inwestycyjnego zagranicznych przedsiębiorstw działających</w:t>
      </w:r>
      <w:r w:rsidR="006343E1">
        <w:t xml:space="preserve"> </w:t>
      </w:r>
      <w:r w:rsidR="006343E1" w:rsidRPr="00C836CA">
        <w:t>w</w:t>
      </w:r>
      <w:r w:rsidR="006343E1">
        <w:t> </w:t>
      </w:r>
      <w:r w:rsidRPr="00C836CA">
        <w:t>Polsce umiędzynarodowienie gospodarki</w:t>
      </w:r>
      <w:r w:rsidR="006343E1">
        <w:t xml:space="preserve"> </w:t>
      </w:r>
      <w:r w:rsidR="006343E1" w:rsidRPr="00C836CA">
        <w:t>w</w:t>
      </w:r>
      <w:r w:rsidR="006343E1">
        <w:t> </w:t>
      </w:r>
      <w:r w:rsidRPr="00C836CA">
        <w:t>zakresie transferów kapitałowych powinno uwzględniać również inwestycje polskich podmiotów poza granicami kraju.</w:t>
      </w:r>
      <w:r w:rsidR="006343E1">
        <w:t xml:space="preserve"> </w:t>
      </w:r>
      <w:r w:rsidR="006343E1" w:rsidRPr="00C836CA">
        <w:t>W</w:t>
      </w:r>
      <w:r w:rsidR="006343E1">
        <w:t> </w:t>
      </w:r>
      <w:r w:rsidRPr="00C836CA">
        <w:t>tym aspekcie ważne jest, aby dostęp do instrumentów wsparcia miała cała zbiorowość podmiotów gospodarczych działających</w:t>
      </w:r>
      <w:r w:rsidR="006343E1">
        <w:t xml:space="preserve"> </w:t>
      </w:r>
      <w:r w:rsidR="006343E1" w:rsidRPr="00C836CA">
        <w:t>w</w:t>
      </w:r>
      <w:r w:rsidR="006343E1">
        <w:t> </w:t>
      </w:r>
      <w:r w:rsidRPr="00C836CA">
        <w:t>Polsce. Na szczególną uwagę zasługuje tu sektor MŚP, który dotychczas nie był postrzegany</w:t>
      </w:r>
      <w:r w:rsidR="006343E1">
        <w:t xml:space="preserve"> </w:t>
      </w:r>
      <w:r w:rsidR="006343E1" w:rsidRPr="00C836CA">
        <w:t>w</w:t>
      </w:r>
      <w:r w:rsidR="006343E1">
        <w:t> </w:t>
      </w:r>
      <w:r w:rsidRPr="00C836CA">
        <w:t>kategoriach znaczącego inwestora zagranicznego, choć udział polskich przedsiębiorstw zatrudniających do 250 osób</w:t>
      </w:r>
      <w:r w:rsidR="006343E1">
        <w:t xml:space="preserve"> </w:t>
      </w:r>
      <w:r w:rsidR="006343E1" w:rsidRPr="00C836CA">
        <w:t>w</w:t>
      </w:r>
      <w:r w:rsidR="006343E1">
        <w:t> </w:t>
      </w:r>
      <w:r w:rsidRPr="00C836CA">
        <w:t>ogóle kontrolowanego kapitału zagranicznego przekroczył już 50%.</w:t>
      </w:r>
      <w:r w:rsidRPr="00F66955">
        <w:rPr>
          <w:rStyle w:val="Odwoanieprzypisudolnego"/>
          <w:rFonts w:cs="Calibri"/>
          <w:color w:val="000000"/>
        </w:rPr>
        <w:footnoteReference w:id="72"/>
      </w:r>
      <w:r w:rsidRPr="00C836CA">
        <w:t xml:space="preserve"> Relatywnie większa elastyczność małych</w:t>
      </w:r>
      <w:r w:rsidR="006343E1">
        <w:t xml:space="preserve"> </w:t>
      </w:r>
      <w:r w:rsidR="006343E1" w:rsidRPr="00C836CA">
        <w:t>i</w:t>
      </w:r>
      <w:r w:rsidR="006343E1">
        <w:t> </w:t>
      </w:r>
      <w:r w:rsidRPr="00C836CA">
        <w:t>średnich firm</w:t>
      </w:r>
      <w:r w:rsidR="006343E1">
        <w:t xml:space="preserve"> </w:t>
      </w:r>
      <w:r w:rsidR="006343E1" w:rsidRPr="00C836CA">
        <w:t>w</w:t>
      </w:r>
      <w:r w:rsidR="006343E1">
        <w:t> </w:t>
      </w:r>
      <w:r w:rsidRPr="00C836CA">
        <w:t>zakresie dostosowań produktowych, procesów decyzyjnych, zmian organizacyjnych itp. sprawia</w:t>
      </w:r>
      <w:r w:rsidR="00477C54">
        <w:t>, że </w:t>
      </w:r>
      <w:r w:rsidRPr="00C836CA">
        <w:t>mogą stanowić one istotne źródło przewag konkurencyjnych dla całej gospodarki.</w:t>
      </w:r>
      <w:r w:rsidR="006343E1">
        <w:t xml:space="preserve"> </w:t>
      </w:r>
      <w:r w:rsidR="006343E1" w:rsidRPr="00C836CA">
        <w:t>W</w:t>
      </w:r>
      <w:r w:rsidR="006343E1">
        <w:t> </w:t>
      </w:r>
      <w:r w:rsidRPr="00C836CA">
        <w:t>przypadku kapitałowej ekspansji zagranicznej elementy te powinny być jednak podparte atrybutami cechującymi duże przedsiębiorstwa, jak dostęp do kapitału oraz wiedzy, których zapewnienie powinien gwarantować rządowy system wsparcia</w:t>
      </w:r>
      <w:r w:rsidR="00DF0012" w:rsidRPr="00C836CA">
        <w:t>.</w:t>
      </w:r>
    </w:p>
    <w:p w14:paraId="5EF04400" w14:textId="75371FA9" w:rsidR="002C51A1" w:rsidRPr="00C836CA" w:rsidRDefault="002C51A1" w:rsidP="00CB07D4">
      <w:pPr>
        <w:pStyle w:val="Nagwek4"/>
        <w:ind w:left="993" w:hanging="993"/>
      </w:pPr>
      <w:r w:rsidRPr="00C836CA">
        <w:t xml:space="preserve">Wykres </w:t>
      </w:r>
      <w:r w:rsidR="000935B2">
        <w:t>8</w:t>
      </w:r>
      <w:r w:rsidR="00FC6E8F">
        <w:t>9</w:t>
      </w:r>
      <w:r w:rsidRPr="00C836CA">
        <w:t>. Struktura grup okrojonych</w:t>
      </w:r>
      <w:r w:rsidRPr="00C836CA">
        <w:rPr>
          <w:rStyle w:val="Odwoanieprzypisudolnego"/>
          <w:color w:val="000000"/>
        </w:rPr>
        <w:footnoteReference w:id="73"/>
      </w:r>
      <w:r w:rsidRPr="00C836CA">
        <w:t xml:space="preserve"> pod kontrolą polskiego kapitału</w:t>
      </w:r>
      <w:r w:rsidR="006343E1">
        <w:t xml:space="preserve"> </w:t>
      </w:r>
      <w:r w:rsidR="006343E1" w:rsidRPr="00C836CA">
        <w:t>w</w:t>
      </w:r>
      <w:r w:rsidR="006343E1">
        <w:t> </w:t>
      </w:r>
      <w:r w:rsidRPr="00C836CA">
        <w:t>podziale na wielkość przedsiębiorstw (w</w:t>
      </w:r>
      <w:r w:rsidR="00E85866">
        <w:t>edłu</w:t>
      </w:r>
      <w:r w:rsidRPr="00C836CA">
        <w:t>g liczby zatrudnionych)</w:t>
      </w:r>
      <w:r w:rsidR="006343E1">
        <w:t xml:space="preserve"> </w:t>
      </w:r>
      <w:r w:rsidR="006343E1" w:rsidRPr="00C836CA">
        <w:t>w</w:t>
      </w:r>
      <w:r w:rsidR="006343E1">
        <w:t> </w:t>
      </w:r>
      <w:r w:rsidRPr="00C836CA">
        <w:t>latach 2010</w:t>
      </w:r>
      <w:r w:rsidR="00E85866">
        <w:rPr>
          <w:rFonts w:ascii="Times New Roman" w:hAnsi="Times New Roman" w:cs="Times New Roman"/>
        </w:rPr>
        <w:t>–</w:t>
      </w:r>
      <w:r w:rsidRPr="00F66955">
        <w:rPr>
          <w:rFonts w:cs="Calibri"/>
        </w:rPr>
        <w:t>2017</w:t>
      </w:r>
    </w:p>
    <w:p w14:paraId="426DA24B" w14:textId="77777777" w:rsidR="002C51A1" w:rsidRPr="00F66955" w:rsidRDefault="002C51A1" w:rsidP="002C51A1">
      <w:pPr>
        <w:spacing w:after="0" w:line="240" w:lineRule="auto"/>
        <w:jc w:val="center"/>
        <w:rPr>
          <w:rFonts w:cs="Calibri"/>
        </w:rPr>
      </w:pPr>
      <w:r>
        <w:rPr>
          <w:rFonts w:cs="Calibri"/>
          <w:noProof/>
          <w:lang w:eastAsia="pl-PL"/>
        </w:rPr>
        <w:drawing>
          <wp:inline distT="0" distB="0" distL="0" distR="0" wp14:anchorId="1BFE6EE2" wp14:editId="0AF08E2D">
            <wp:extent cx="4244340" cy="2752090"/>
            <wp:effectExtent l="0" t="0" r="3810" b="0"/>
            <wp:docPr id="70" name="Obraz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4244340" cy="2752090"/>
                    </a:xfrm>
                    <a:prstGeom prst="rect">
                      <a:avLst/>
                    </a:prstGeom>
                    <a:noFill/>
                    <a:ln>
                      <a:noFill/>
                    </a:ln>
                  </pic:spPr>
                </pic:pic>
              </a:graphicData>
            </a:graphic>
          </wp:inline>
        </w:drawing>
      </w:r>
    </w:p>
    <w:p w14:paraId="02F7FF7A" w14:textId="6466C1C1" w:rsidR="002C51A1" w:rsidRPr="003D2F32" w:rsidRDefault="002C51A1" w:rsidP="003D2F32">
      <w:pPr>
        <w:pStyle w:val="Bezodstpw"/>
      </w:pPr>
      <w:r w:rsidRPr="003D2F32">
        <w:t>Źródło: Opracowanie MR, na podstawie danych GUS</w:t>
      </w:r>
    </w:p>
    <w:p w14:paraId="7F1091D4" w14:textId="77777777" w:rsidR="002C51A1" w:rsidRPr="00254AB9" w:rsidRDefault="002C51A1" w:rsidP="002C51A1">
      <w:pPr>
        <w:pStyle w:val="Nagwek2"/>
      </w:pPr>
      <w:bookmarkStart w:id="164" w:name="_Toc511921203"/>
      <w:bookmarkStart w:id="165" w:name="_Toc31808534"/>
      <w:bookmarkStart w:id="166" w:name="_Toc106968818"/>
      <w:r w:rsidRPr="00254AB9">
        <w:t>Rola eksportu</w:t>
      </w:r>
      <w:bookmarkEnd w:id="164"/>
      <w:bookmarkEnd w:id="165"/>
      <w:bookmarkEnd w:id="166"/>
    </w:p>
    <w:p w14:paraId="39B78028" w14:textId="54376A5F" w:rsidR="002C51A1" w:rsidRPr="00254AB9" w:rsidRDefault="002C51A1" w:rsidP="002C51A1">
      <w:r w:rsidRPr="00254AB9">
        <w:t>Wraz</w:t>
      </w:r>
      <w:r w:rsidR="006343E1">
        <w:t xml:space="preserve"> </w:t>
      </w:r>
      <w:r w:rsidR="006343E1" w:rsidRPr="00254AB9">
        <w:t>z</w:t>
      </w:r>
      <w:r w:rsidR="006343E1">
        <w:t> </w:t>
      </w:r>
      <w:r w:rsidRPr="00254AB9">
        <w:t>postępującą globalizacją eksport nabiera coraz większego znaczenia</w:t>
      </w:r>
      <w:r w:rsidR="006343E1">
        <w:t xml:space="preserve"> </w:t>
      </w:r>
      <w:r w:rsidR="006343E1" w:rsidRPr="00254AB9">
        <w:t>w</w:t>
      </w:r>
      <w:r w:rsidR="006343E1">
        <w:t> </w:t>
      </w:r>
      <w:r w:rsidRPr="00254AB9">
        <w:t>polityce gospodarczej państwa. Jest on jednym</w:t>
      </w:r>
      <w:r w:rsidR="006343E1">
        <w:t xml:space="preserve"> </w:t>
      </w:r>
      <w:r w:rsidR="006343E1" w:rsidRPr="00254AB9">
        <w:t>z</w:t>
      </w:r>
      <w:r w:rsidR="006343E1">
        <w:t> </w:t>
      </w:r>
      <w:r w:rsidRPr="00254AB9">
        <w:t xml:space="preserve">kluczowych motorów rozwojowych gospodarek. Pozwala na wzrost produktywności, </w:t>
      </w:r>
      <w:r w:rsidRPr="00254AB9">
        <w:lastRenderedPageBreak/>
        <w:t>innowacyjności oraz dobrobytu poprzez specjalizację produkcji</w:t>
      </w:r>
      <w:r w:rsidR="006343E1">
        <w:t xml:space="preserve"> </w:t>
      </w:r>
      <w:r w:rsidR="006343E1" w:rsidRPr="00254AB9">
        <w:t>i</w:t>
      </w:r>
      <w:r w:rsidR="006343E1">
        <w:t> </w:t>
      </w:r>
      <w:r w:rsidRPr="00254AB9">
        <w:t xml:space="preserve">wymianę dóbr z państwami </w:t>
      </w:r>
      <w:r w:rsidR="00E85866">
        <w:t>m</w:t>
      </w:r>
      <w:r w:rsidRPr="00254AB9">
        <w:t>ającymi inne specjalizacje. Co więcej, specjalizacja jest także wyjściowym warunkiem do osiągnięcia korzyści skali produkcji (dzięki lepszemu</w:t>
      </w:r>
      <w:r w:rsidR="006343E1">
        <w:t xml:space="preserve"> </w:t>
      </w:r>
      <w:r w:rsidR="006343E1" w:rsidRPr="00254AB9">
        <w:t>i</w:t>
      </w:r>
      <w:r w:rsidR="006343E1">
        <w:t> </w:t>
      </w:r>
      <w:r w:rsidRPr="00254AB9">
        <w:t>pełniejszemu wykorzystaniu aparatu produkcyjnego).</w:t>
      </w:r>
      <w:r w:rsidR="006343E1">
        <w:t xml:space="preserve"> </w:t>
      </w:r>
      <w:r w:rsidR="006343E1" w:rsidRPr="00254AB9">
        <w:t>W</w:t>
      </w:r>
      <w:r w:rsidR="006343E1">
        <w:t> </w:t>
      </w:r>
      <w:r w:rsidRPr="00254AB9">
        <w:t xml:space="preserve">wyniku produkcji określonych towarów zużywa się bowiem mniejszą </w:t>
      </w:r>
      <w:r w:rsidR="00313ECA">
        <w:t>ilość</w:t>
      </w:r>
      <w:r w:rsidRPr="00254AB9">
        <w:t xml:space="preserve"> czynników produkcji</w:t>
      </w:r>
      <w:r w:rsidR="00313ECA">
        <w:t xml:space="preserve"> w przeliczeniu na jeden wyprodukowany towar</w:t>
      </w:r>
      <w:r w:rsidR="006343E1">
        <w:t xml:space="preserve"> </w:t>
      </w:r>
      <w:r w:rsidR="006343E1" w:rsidRPr="00254AB9">
        <w:t>i</w:t>
      </w:r>
      <w:r w:rsidR="006343E1">
        <w:t> </w:t>
      </w:r>
      <w:r w:rsidRPr="00254AB9">
        <w:t>obniża przeciętny koszt jednostkowy</w:t>
      </w:r>
      <w:r w:rsidR="006343E1">
        <w:t xml:space="preserve"> </w:t>
      </w:r>
      <w:r w:rsidR="006343E1" w:rsidRPr="00254AB9">
        <w:t>w</w:t>
      </w:r>
      <w:r w:rsidR="006343E1">
        <w:t> </w:t>
      </w:r>
      <w:r w:rsidRPr="00254AB9">
        <w:t xml:space="preserve">całej gospodarce. Kraj osiąga tym większe korzyści skali produkcji, im bardziej </w:t>
      </w:r>
      <w:r w:rsidR="00E85866" w:rsidRPr="00254AB9">
        <w:t xml:space="preserve">jest </w:t>
      </w:r>
      <w:r w:rsidRPr="00254AB9">
        <w:t xml:space="preserve">zaangażowany </w:t>
      </w:r>
      <w:r w:rsidR="006343E1" w:rsidRPr="00254AB9">
        <w:t>w</w:t>
      </w:r>
      <w:r w:rsidR="006343E1">
        <w:t> </w:t>
      </w:r>
      <w:r w:rsidRPr="00254AB9">
        <w:t>wymianę międzynarodową. Działalność eksportowa przyczynia się także do poprawy jakości oferowanych towarów</w:t>
      </w:r>
      <w:r w:rsidR="006343E1">
        <w:t xml:space="preserve"> </w:t>
      </w:r>
      <w:r w:rsidR="006343E1" w:rsidRPr="00254AB9">
        <w:t>i</w:t>
      </w:r>
      <w:r w:rsidR="006343E1">
        <w:t> </w:t>
      </w:r>
      <w:r w:rsidRPr="00254AB9">
        <w:t>usług. Stale rosnąca konkurencja wymusza na podmiotach uczestniczących</w:t>
      </w:r>
      <w:r w:rsidR="006343E1">
        <w:t xml:space="preserve"> </w:t>
      </w:r>
      <w:r w:rsidR="006343E1" w:rsidRPr="00254AB9">
        <w:t>w</w:t>
      </w:r>
      <w:r w:rsidR="006343E1">
        <w:t> </w:t>
      </w:r>
      <w:r w:rsidRPr="00254AB9">
        <w:t>wymianie międzynarodowej stały rozwój m.in. poprzez zwiększenie wydajności, wzrost jakości produktów</w:t>
      </w:r>
      <w:r w:rsidR="006343E1">
        <w:t xml:space="preserve"> </w:t>
      </w:r>
      <w:r w:rsidR="006343E1" w:rsidRPr="00254AB9">
        <w:t>i</w:t>
      </w:r>
      <w:r w:rsidR="006343E1">
        <w:t> </w:t>
      </w:r>
      <w:r w:rsidRPr="00254AB9">
        <w:t>redukcję kosztów.</w:t>
      </w:r>
    </w:p>
    <w:p w14:paraId="4FBC5EF7" w14:textId="27DE1FA1" w:rsidR="002C51A1" w:rsidRPr="00254AB9" w:rsidRDefault="002C51A1" w:rsidP="002C51A1">
      <w:r w:rsidRPr="00254AB9">
        <w:t>Korelacja eksportu</w:t>
      </w:r>
      <w:r w:rsidR="006343E1">
        <w:t xml:space="preserve"> </w:t>
      </w:r>
      <w:r w:rsidR="006343E1" w:rsidRPr="00254AB9">
        <w:t>z</w:t>
      </w:r>
      <w:r w:rsidR="006343E1">
        <w:t> </w:t>
      </w:r>
      <w:r w:rsidRPr="00254AB9">
        <w:t>rozwojem gospodarczym jest szczególnie widoczna</w:t>
      </w:r>
      <w:r w:rsidR="006343E1">
        <w:t xml:space="preserve"> </w:t>
      </w:r>
      <w:r w:rsidR="006343E1" w:rsidRPr="00254AB9">
        <w:t>w</w:t>
      </w:r>
      <w:r w:rsidR="006343E1">
        <w:t> </w:t>
      </w:r>
      <w:r w:rsidRPr="00254AB9">
        <w:t>przypadku rynków najbardziej otwartych</w:t>
      </w:r>
      <w:r w:rsidR="006343E1">
        <w:t xml:space="preserve"> </w:t>
      </w:r>
      <w:r w:rsidR="006343E1" w:rsidRPr="00254AB9">
        <w:t>i</w:t>
      </w:r>
      <w:r w:rsidR="006343E1">
        <w:t> </w:t>
      </w:r>
      <w:r w:rsidRPr="00254AB9">
        <w:t>silnie powiązanych</w:t>
      </w:r>
      <w:r w:rsidR="006343E1">
        <w:t xml:space="preserve"> </w:t>
      </w:r>
      <w:r w:rsidR="006343E1" w:rsidRPr="00254AB9">
        <w:t>z</w:t>
      </w:r>
      <w:r w:rsidR="006343E1">
        <w:t> </w:t>
      </w:r>
      <w:r w:rsidRPr="00254AB9">
        <w:t>zagranicą. Jednym</w:t>
      </w:r>
      <w:r w:rsidR="006343E1">
        <w:t xml:space="preserve"> </w:t>
      </w:r>
      <w:r w:rsidR="006343E1" w:rsidRPr="00254AB9">
        <w:t>z</w:t>
      </w:r>
      <w:r w:rsidR="006343E1">
        <w:t> </w:t>
      </w:r>
      <w:r w:rsidRPr="00254AB9">
        <w:t>istotnych mierników obrazujących stopień otwartości</w:t>
      </w:r>
      <w:r w:rsidR="006343E1">
        <w:t xml:space="preserve"> </w:t>
      </w:r>
      <w:r w:rsidR="006343E1" w:rsidRPr="00254AB9">
        <w:t>i</w:t>
      </w:r>
      <w:r w:rsidR="006343E1">
        <w:t> </w:t>
      </w:r>
      <w:r w:rsidRPr="00254AB9">
        <w:t>umiędzynarodowienia kraju jest udział obrotów</w:t>
      </w:r>
      <w:r w:rsidR="006343E1">
        <w:t xml:space="preserve"> </w:t>
      </w:r>
      <w:r w:rsidR="006343E1" w:rsidRPr="007B428A">
        <w:t>z</w:t>
      </w:r>
      <w:r w:rsidR="006343E1">
        <w:t> </w:t>
      </w:r>
      <w:r w:rsidRPr="007B428A">
        <w:t>zagranicą</w:t>
      </w:r>
      <w:r w:rsidR="006343E1">
        <w:t xml:space="preserve"> </w:t>
      </w:r>
      <w:r w:rsidR="006343E1" w:rsidRPr="00254AB9">
        <w:t>w</w:t>
      </w:r>
      <w:r w:rsidR="006343E1">
        <w:t> </w:t>
      </w:r>
      <w:r w:rsidRPr="00254AB9">
        <w:t>PKB, który</w:t>
      </w:r>
      <w:r w:rsidR="006343E1">
        <w:t xml:space="preserve"> </w:t>
      </w:r>
      <w:r w:rsidR="006343E1" w:rsidRPr="00254AB9">
        <w:t>w</w:t>
      </w:r>
      <w:r w:rsidR="006343E1">
        <w:t> </w:t>
      </w:r>
      <w:r w:rsidRPr="00254AB9">
        <w:t>Polsce w ostatnich latach wyraźnie się poprawił. Relacja obrotów towarowych do PKB</w:t>
      </w:r>
      <w:r w:rsidR="006343E1">
        <w:t xml:space="preserve"> </w:t>
      </w:r>
      <w:r w:rsidR="006343E1" w:rsidRPr="00254AB9">
        <w:t>w</w:t>
      </w:r>
      <w:r w:rsidR="006343E1">
        <w:t> </w:t>
      </w:r>
      <w:r w:rsidRPr="00254AB9">
        <w:t>Polsce</w:t>
      </w:r>
      <w:r w:rsidR="006343E1">
        <w:t xml:space="preserve"> </w:t>
      </w:r>
      <w:r w:rsidR="006343E1" w:rsidRPr="00254AB9">
        <w:t>w</w:t>
      </w:r>
      <w:r w:rsidR="006343E1">
        <w:t> </w:t>
      </w:r>
      <w:r>
        <w:t>latach 2010</w:t>
      </w:r>
      <w:r w:rsidR="00E85866" w:rsidRPr="00313ECA">
        <w:t>–</w:t>
      </w:r>
      <w:r>
        <w:t>2019</w:t>
      </w:r>
      <w:r w:rsidRPr="00254AB9">
        <w:t xml:space="preserve"> wzrosła</w:t>
      </w:r>
      <w:r w:rsidR="006343E1">
        <w:t xml:space="preserve"> </w:t>
      </w:r>
      <w:r w:rsidR="006343E1" w:rsidRPr="00254AB9">
        <w:t>z</w:t>
      </w:r>
      <w:r w:rsidR="006343E1">
        <w:t> </w:t>
      </w:r>
      <w:r>
        <w:t>68,5</w:t>
      </w:r>
      <w:r w:rsidRPr="00254AB9">
        <w:t xml:space="preserve">% do </w:t>
      </w:r>
      <w:r>
        <w:t>87,3</w:t>
      </w:r>
      <w:r w:rsidRPr="00254AB9">
        <w:t>%</w:t>
      </w:r>
      <w:r w:rsidR="006343E1">
        <w:t xml:space="preserve"> </w:t>
      </w:r>
      <w:r w:rsidR="006343E1" w:rsidRPr="00254AB9">
        <w:t>w</w:t>
      </w:r>
      <w:r w:rsidR="006343E1">
        <w:t> </w:t>
      </w:r>
      <w:r w:rsidRPr="00254AB9">
        <w:t>201</w:t>
      </w:r>
      <w:r>
        <w:t>9</w:t>
      </w:r>
      <w:r w:rsidR="00E85866">
        <w:t> </w:t>
      </w:r>
      <w:r w:rsidRPr="00254AB9">
        <w:t>r., co jest bardzo dobrym wynikiem, wyraźnie lepszym niż średnio</w:t>
      </w:r>
      <w:r w:rsidR="006343E1">
        <w:t xml:space="preserve"> </w:t>
      </w:r>
      <w:r w:rsidR="006343E1" w:rsidRPr="00254AB9">
        <w:t>w</w:t>
      </w:r>
      <w:r w:rsidR="006343E1">
        <w:t> </w:t>
      </w:r>
      <w:r w:rsidRPr="00254AB9">
        <w:t>UE</w:t>
      </w:r>
      <w:r w:rsidR="00E85866">
        <w:t>-</w:t>
      </w:r>
      <w:r>
        <w:t>28</w:t>
      </w:r>
      <w:r w:rsidRPr="00254AB9">
        <w:t xml:space="preserve"> (wzrost</w:t>
      </w:r>
      <w:r w:rsidR="006343E1">
        <w:t xml:space="preserve"> </w:t>
      </w:r>
      <w:r w:rsidR="006343E1" w:rsidRPr="00254AB9">
        <w:t>o</w:t>
      </w:r>
      <w:r w:rsidR="006343E1">
        <w:t> </w:t>
      </w:r>
      <w:r>
        <w:t>6,5</w:t>
      </w:r>
      <w:r w:rsidRPr="00254AB9">
        <w:t xml:space="preserve"> </w:t>
      </w:r>
      <w:r>
        <w:t>p</w:t>
      </w:r>
      <w:r w:rsidR="00E85866">
        <w:t>kt</w:t>
      </w:r>
      <w:r>
        <w:t>.</w:t>
      </w:r>
      <w:r w:rsidR="00E85866">
        <w:t xml:space="preserve"> </w:t>
      </w:r>
      <w:r>
        <w:t>p</w:t>
      </w:r>
      <w:r w:rsidR="00E85866">
        <w:t>roc</w:t>
      </w:r>
      <w:r>
        <w:t>.</w:t>
      </w:r>
      <w:r w:rsidRPr="00254AB9">
        <w:t xml:space="preserve"> do </w:t>
      </w:r>
      <w:r>
        <w:t>63,6</w:t>
      </w:r>
      <w:r w:rsidRPr="00254AB9">
        <w:t>%). Biorąc pod uwagę również usługi, wskaźnik ten dla Polski osiągnął</w:t>
      </w:r>
      <w:r w:rsidR="006343E1">
        <w:t xml:space="preserve"> </w:t>
      </w:r>
      <w:r w:rsidR="006343E1" w:rsidRPr="00254AB9">
        <w:t>w</w:t>
      </w:r>
      <w:r w:rsidR="006343E1">
        <w:t> </w:t>
      </w:r>
      <w:r w:rsidRPr="00254AB9">
        <w:t>201</w:t>
      </w:r>
      <w:r>
        <w:t>9</w:t>
      </w:r>
      <w:r w:rsidRPr="00254AB9">
        <w:t xml:space="preserve"> r. </w:t>
      </w:r>
      <w:r>
        <w:t>106,3</w:t>
      </w:r>
      <w:r w:rsidRPr="00254AB9">
        <w:t xml:space="preserve">% wobec </w:t>
      </w:r>
      <w:r>
        <w:t>82,0</w:t>
      </w:r>
      <w:r w:rsidRPr="00254AB9">
        <w:t>%</w:t>
      </w:r>
      <w:r w:rsidR="006343E1">
        <w:t xml:space="preserve"> </w:t>
      </w:r>
      <w:r w:rsidR="006343E1" w:rsidRPr="00254AB9">
        <w:t>w</w:t>
      </w:r>
      <w:r w:rsidR="006343E1">
        <w:t> </w:t>
      </w:r>
      <w:r>
        <w:t xml:space="preserve">2010 r. </w:t>
      </w:r>
      <w:r w:rsidR="006343E1">
        <w:t xml:space="preserve"> </w:t>
      </w:r>
      <w:r w:rsidR="006343E1" w:rsidRPr="00254AB9">
        <w:t>i</w:t>
      </w:r>
      <w:r w:rsidR="006343E1">
        <w:t> </w:t>
      </w:r>
      <w:r w:rsidRPr="00254AB9">
        <w:t>jednocześnie był</w:t>
      </w:r>
      <w:r w:rsidR="006343E1">
        <w:t xml:space="preserve"> </w:t>
      </w:r>
      <w:r w:rsidR="006343E1" w:rsidRPr="00254AB9">
        <w:t>o</w:t>
      </w:r>
      <w:r w:rsidR="006343E1">
        <w:t> </w:t>
      </w:r>
      <w:r>
        <w:t>16</w:t>
      </w:r>
      <w:r w:rsidRPr="00254AB9">
        <w:t xml:space="preserve"> </w:t>
      </w:r>
      <w:r>
        <w:t>p</w:t>
      </w:r>
      <w:r w:rsidR="00B80A0E">
        <w:t>kt</w:t>
      </w:r>
      <w:r>
        <w:t>.</w:t>
      </w:r>
      <w:r w:rsidR="00B80A0E">
        <w:t xml:space="preserve"> </w:t>
      </w:r>
      <w:r>
        <w:t>p</w:t>
      </w:r>
      <w:r w:rsidR="00B80A0E">
        <w:t>roc</w:t>
      </w:r>
      <w:r>
        <w:t xml:space="preserve">. </w:t>
      </w:r>
      <w:r w:rsidRPr="00254AB9">
        <w:t>wyższy niż średni dla UE</w:t>
      </w:r>
      <w:r w:rsidR="00B80A0E">
        <w:t>-</w:t>
      </w:r>
      <w:r>
        <w:t>28</w:t>
      </w:r>
      <w:r w:rsidRPr="00254AB9">
        <w:t xml:space="preserve">. </w:t>
      </w:r>
    </w:p>
    <w:p w14:paraId="0893FACE" w14:textId="1DA57B29" w:rsidR="002C51A1" w:rsidRDefault="002C51A1" w:rsidP="002C51A1">
      <w:pPr>
        <w:spacing w:after="0" w:line="240" w:lineRule="auto"/>
        <w:rPr>
          <w:rFonts w:cs="Calibri"/>
          <w:b/>
          <w:sz w:val="21"/>
          <w:szCs w:val="21"/>
        </w:rPr>
      </w:pPr>
      <w:r w:rsidRPr="00254AB9">
        <w:rPr>
          <w:rFonts w:cs="Calibri"/>
          <w:b/>
          <w:sz w:val="21"/>
          <w:szCs w:val="21"/>
        </w:rPr>
        <w:t xml:space="preserve">Tabela </w:t>
      </w:r>
      <w:r w:rsidRPr="00254AB9">
        <w:rPr>
          <w:rFonts w:cs="Calibri"/>
          <w:b/>
          <w:sz w:val="21"/>
          <w:szCs w:val="21"/>
        </w:rPr>
        <w:fldChar w:fldCharType="begin"/>
      </w:r>
      <w:r w:rsidRPr="00254AB9">
        <w:rPr>
          <w:rFonts w:cs="Calibri"/>
          <w:b/>
          <w:sz w:val="21"/>
          <w:szCs w:val="21"/>
        </w:rPr>
        <w:instrText xml:space="preserve"> SEQ Tabela \* ARABIC </w:instrText>
      </w:r>
      <w:r w:rsidRPr="00254AB9">
        <w:rPr>
          <w:rFonts w:cs="Calibri"/>
          <w:b/>
          <w:sz w:val="21"/>
          <w:szCs w:val="21"/>
        </w:rPr>
        <w:fldChar w:fldCharType="separate"/>
      </w:r>
      <w:r w:rsidR="00332B11">
        <w:rPr>
          <w:rFonts w:cs="Calibri"/>
          <w:b/>
          <w:noProof/>
          <w:sz w:val="21"/>
          <w:szCs w:val="21"/>
        </w:rPr>
        <w:t>1</w:t>
      </w:r>
      <w:r w:rsidRPr="00254AB9">
        <w:rPr>
          <w:rFonts w:cs="Calibri"/>
          <w:b/>
          <w:sz w:val="21"/>
          <w:szCs w:val="21"/>
        </w:rPr>
        <w:fldChar w:fldCharType="end"/>
      </w:r>
      <w:r w:rsidR="00311B4A">
        <w:rPr>
          <w:rFonts w:cs="Calibri"/>
          <w:b/>
          <w:sz w:val="21"/>
          <w:szCs w:val="21"/>
        </w:rPr>
        <w:t>3</w:t>
      </w:r>
      <w:r w:rsidRPr="00254AB9">
        <w:rPr>
          <w:rFonts w:cs="Calibri"/>
          <w:b/>
          <w:sz w:val="21"/>
          <w:szCs w:val="21"/>
        </w:rPr>
        <w:t>. Relacja obrotów towarami</w:t>
      </w:r>
      <w:r w:rsidR="006343E1">
        <w:rPr>
          <w:rFonts w:cs="Calibri"/>
          <w:b/>
          <w:sz w:val="21"/>
          <w:szCs w:val="21"/>
        </w:rPr>
        <w:t xml:space="preserve"> </w:t>
      </w:r>
      <w:r w:rsidR="006343E1" w:rsidRPr="00254AB9">
        <w:rPr>
          <w:rFonts w:cs="Calibri"/>
          <w:b/>
          <w:sz w:val="21"/>
          <w:szCs w:val="21"/>
        </w:rPr>
        <w:t>i</w:t>
      </w:r>
      <w:r w:rsidR="006343E1">
        <w:rPr>
          <w:rFonts w:cs="Calibri"/>
          <w:b/>
          <w:sz w:val="21"/>
          <w:szCs w:val="21"/>
        </w:rPr>
        <w:t> </w:t>
      </w:r>
      <w:r w:rsidRPr="00254AB9">
        <w:rPr>
          <w:rFonts w:cs="Calibri"/>
          <w:b/>
          <w:sz w:val="21"/>
          <w:szCs w:val="21"/>
        </w:rPr>
        <w:t xml:space="preserve">usługami do PKB </w:t>
      </w:r>
      <w:r w:rsidR="00B80A0E">
        <w:rPr>
          <w:rFonts w:cs="Calibri"/>
          <w:b/>
          <w:sz w:val="21"/>
          <w:szCs w:val="21"/>
        </w:rPr>
        <w:t>w</w:t>
      </w:r>
      <w:r w:rsidRPr="00254AB9">
        <w:rPr>
          <w:rFonts w:cs="Calibri"/>
          <w:b/>
          <w:sz w:val="21"/>
          <w:szCs w:val="21"/>
        </w:rPr>
        <w:t xml:space="preserve"> wybranych kraj</w:t>
      </w:r>
      <w:r w:rsidR="00B80A0E">
        <w:rPr>
          <w:rFonts w:cs="Calibri"/>
          <w:b/>
          <w:sz w:val="21"/>
          <w:szCs w:val="21"/>
        </w:rPr>
        <w:t>ach</w:t>
      </w:r>
      <w:r w:rsidRPr="00254AB9">
        <w:rPr>
          <w:rFonts w:cs="Calibri"/>
          <w:b/>
          <w:sz w:val="21"/>
          <w:szCs w:val="21"/>
        </w:rPr>
        <w:t xml:space="preserve"> UE (w %)</w:t>
      </w:r>
      <w:r>
        <w:rPr>
          <w:rFonts w:cs="Calibri"/>
          <w:b/>
          <w:sz w:val="21"/>
          <w:szCs w:val="21"/>
        </w:rPr>
        <w:t xml:space="preserve"> </w:t>
      </w:r>
    </w:p>
    <w:p w14:paraId="3EE79810" w14:textId="77777777" w:rsidR="00B80A0E" w:rsidRDefault="00B80A0E" w:rsidP="002C51A1">
      <w:pPr>
        <w:spacing w:after="0" w:line="240" w:lineRule="auto"/>
        <w:rPr>
          <w:rFonts w:cs="Calibri"/>
          <w:b/>
          <w:sz w:val="21"/>
          <w:szCs w:val="21"/>
        </w:rPr>
      </w:pPr>
    </w:p>
    <w:tbl>
      <w:tblPr>
        <w:tblW w:w="9080" w:type="dxa"/>
        <w:tblInd w:w="5" w:type="dxa"/>
        <w:tblCellMar>
          <w:left w:w="70" w:type="dxa"/>
          <w:right w:w="70" w:type="dxa"/>
        </w:tblCellMar>
        <w:tblLook w:val="04A0" w:firstRow="1" w:lastRow="0" w:firstColumn="1" w:lastColumn="0" w:noHBand="0" w:noVBand="1"/>
      </w:tblPr>
      <w:tblGrid>
        <w:gridCol w:w="1480"/>
        <w:gridCol w:w="760"/>
        <w:gridCol w:w="760"/>
        <w:gridCol w:w="760"/>
        <w:gridCol w:w="760"/>
        <w:gridCol w:w="760"/>
        <w:gridCol w:w="760"/>
        <w:gridCol w:w="760"/>
        <w:gridCol w:w="760"/>
        <w:gridCol w:w="760"/>
        <w:gridCol w:w="760"/>
      </w:tblGrid>
      <w:tr w:rsidR="002C51A1" w:rsidRPr="00481E86" w14:paraId="2B75DA95" w14:textId="77777777" w:rsidTr="00EF36FC">
        <w:trPr>
          <w:trHeight w:val="300"/>
        </w:trPr>
        <w:tc>
          <w:tcPr>
            <w:tcW w:w="1480" w:type="dxa"/>
            <w:tcBorders>
              <w:top w:val="single" w:sz="8" w:space="0" w:color="auto"/>
              <w:left w:val="single" w:sz="8" w:space="0" w:color="auto"/>
              <w:bottom w:val="single" w:sz="8" w:space="0" w:color="auto"/>
              <w:right w:val="nil"/>
            </w:tcBorders>
            <w:shd w:val="clear" w:color="000000" w:fill="767779"/>
            <w:noWrap/>
            <w:vAlign w:val="center"/>
            <w:hideMark/>
          </w:tcPr>
          <w:p w14:paraId="3A773D29" w14:textId="77777777" w:rsidR="002C51A1" w:rsidRPr="00C43E61" w:rsidRDefault="002C51A1" w:rsidP="00EF36FC">
            <w:pPr>
              <w:spacing w:before="0" w:after="0" w:line="240" w:lineRule="auto"/>
              <w:jc w:val="center"/>
              <w:rPr>
                <w:rFonts w:eastAsia="Times New Roman"/>
                <w:b/>
                <w:bCs/>
                <w:color w:val="FFFFFF"/>
                <w:sz w:val="18"/>
                <w:szCs w:val="18"/>
                <w:lang w:eastAsia="pl-PL"/>
              </w:rPr>
            </w:pPr>
            <w:r w:rsidRPr="00C43E61">
              <w:rPr>
                <w:rFonts w:eastAsia="Times New Roman"/>
                <w:b/>
                <w:bCs/>
                <w:color w:val="FFFFFF"/>
                <w:sz w:val="18"/>
                <w:szCs w:val="18"/>
                <w:lang w:eastAsia="pl-PL"/>
              </w:rPr>
              <w:t> </w:t>
            </w:r>
          </w:p>
        </w:tc>
        <w:tc>
          <w:tcPr>
            <w:tcW w:w="760" w:type="dxa"/>
            <w:tcBorders>
              <w:top w:val="single" w:sz="8" w:space="0" w:color="auto"/>
              <w:left w:val="single" w:sz="8" w:space="0" w:color="auto"/>
              <w:bottom w:val="single" w:sz="8" w:space="0" w:color="auto"/>
              <w:right w:val="single" w:sz="8" w:space="0" w:color="auto"/>
            </w:tcBorders>
            <w:shd w:val="clear" w:color="000000" w:fill="767779"/>
            <w:noWrap/>
            <w:vAlign w:val="center"/>
            <w:hideMark/>
          </w:tcPr>
          <w:p w14:paraId="0B722F74" w14:textId="77777777" w:rsidR="002C51A1" w:rsidRPr="00C43E61" w:rsidRDefault="002C51A1" w:rsidP="00EF36FC">
            <w:pPr>
              <w:spacing w:before="0" w:after="0" w:line="240" w:lineRule="auto"/>
              <w:jc w:val="center"/>
              <w:rPr>
                <w:rFonts w:eastAsia="Times New Roman"/>
                <w:b/>
                <w:bCs/>
                <w:color w:val="auto"/>
                <w:sz w:val="18"/>
                <w:szCs w:val="18"/>
                <w:lang w:eastAsia="pl-PL"/>
              </w:rPr>
            </w:pPr>
            <w:r w:rsidRPr="00C43E61">
              <w:rPr>
                <w:rFonts w:eastAsia="Times New Roman"/>
                <w:b/>
                <w:bCs/>
                <w:color w:val="auto"/>
                <w:sz w:val="18"/>
                <w:szCs w:val="18"/>
                <w:lang w:eastAsia="pl-PL"/>
              </w:rPr>
              <w:t>2010</w:t>
            </w:r>
          </w:p>
        </w:tc>
        <w:tc>
          <w:tcPr>
            <w:tcW w:w="760" w:type="dxa"/>
            <w:tcBorders>
              <w:top w:val="single" w:sz="8" w:space="0" w:color="auto"/>
              <w:left w:val="nil"/>
              <w:bottom w:val="single" w:sz="8" w:space="0" w:color="auto"/>
              <w:right w:val="single" w:sz="8" w:space="0" w:color="auto"/>
            </w:tcBorders>
            <w:shd w:val="clear" w:color="000000" w:fill="767779"/>
            <w:noWrap/>
            <w:vAlign w:val="center"/>
            <w:hideMark/>
          </w:tcPr>
          <w:p w14:paraId="36933BA6" w14:textId="77777777" w:rsidR="002C51A1" w:rsidRPr="00C43E61" w:rsidRDefault="002C51A1" w:rsidP="00EF36FC">
            <w:pPr>
              <w:spacing w:before="0" w:after="0" w:line="240" w:lineRule="auto"/>
              <w:jc w:val="center"/>
              <w:rPr>
                <w:rFonts w:eastAsia="Times New Roman"/>
                <w:b/>
                <w:bCs/>
                <w:color w:val="auto"/>
                <w:sz w:val="18"/>
                <w:szCs w:val="18"/>
                <w:lang w:eastAsia="pl-PL"/>
              </w:rPr>
            </w:pPr>
            <w:r w:rsidRPr="00C43E61">
              <w:rPr>
                <w:rFonts w:eastAsia="Times New Roman"/>
                <w:b/>
                <w:bCs/>
                <w:color w:val="auto"/>
                <w:sz w:val="18"/>
                <w:szCs w:val="18"/>
                <w:lang w:eastAsia="pl-PL"/>
              </w:rPr>
              <w:t>2011</w:t>
            </w:r>
          </w:p>
        </w:tc>
        <w:tc>
          <w:tcPr>
            <w:tcW w:w="760" w:type="dxa"/>
            <w:tcBorders>
              <w:top w:val="single" w:sz="8" w:space="0" w:color="auto"/>
              <w:left w:val="nil"/>
              <w:bottom w:val="single" w:sz="8" w:space="0" w:color="auto"/>
              <w:right w:val="single" w:sz="8" w:space="0" w:color="auto"/>
            </w:tcBorders>
            <w:shd w:val="clear" w:color="000000" w:fill="767779"/>
            <w:noWrap/>
            <w:vAlign w:val="center"/>
            <w:hideMark/>
          </w:tcPr>
          <w:p w14:paraId="49642639" w14:textId="77777777" w:rsidR="002C51A1" w:rsidRPr="00C43E61" w:rsidRDefault="002C51A1" w:rsidP="00EF36FC">
            <w:pPr>
              <w:spacing w:before="0" w:after="0" w:line="240" w:lineRule="auto"/>
              <w:jc w:val="center"/>
              <w:rPr>
                <w:rFonts w:eastAsia="Times New Roman"/>
                <w:b/>
                <w:bCs/>
                <w:color w:val="auto"/>
                <w:sz w:val="18"/>
                <w:szCs w:val="18"/>
                <w:lang w:eastAsia="pl-PL"/>
              </w:rPr>
            </w:pPr>
            <w:r w:rsidRPr="00C43E61">
              <w:rPr>
                <w:rFonts w:eastAsia="Times New Roman"/>
                <w:b/>
                <w:bCs/>
                <w:color w:val="auto"/>
                <w:sz w:val="18"/>
                <w:szCs w:val="18"/>
                <w:lang w:eastAsia="pl-PL"/>
              </w:rPr>
              <w:t>2012</w:t>
            </w:r>
          </w:p>
        </w:tc>
        <w:tc>
          <w:tcPr>
            <w:tcW w:w="760" w:type="dxa"/>
            <w:tcBorders>
              <w:top w:val="single" w:sz="8" w:space="0" w:color="auto"/>
              <w:left w:val="nil"/>
              <w:bottom w:val="single" w:sz="8" w:space="0" w:color="auto"/>
              <w:right w:val="single" w:sz="8" w:space="0" w:color="auto"/>
            </w:tcBorders>
            <w:shd w:val="clear" w:color="000000" w:fill="767779"/>
            <w:noWrap/>
            <w:vAlign w:val="center"/>
            <w:hideMark/>
          </w:tcPr>
          <w:p w14:paraId="221B2729" w14:textId="77777777" w:rsidR="002C51A1" w:rsidRPr="00C43E61" w:rsidRDefault="002C51A1" w:rsidP="00EF36FC">
            <w:pPr>
              <w:spacing w:before="0" w:after="0" w:line="240" w:lineRule="auto"/>
              <w:jc w:val="center"/>
              <w:rPr>
                <w:rFonts w:eastAsia="Times New Roman"/>
                <w:b/>
                <w:bCs/>
                <w:color w:val="auto"/>
                <w:sz w:val="18"/>
                <w:szCs w:val="18"/>
                <w:lang w:eastAsia="pl-PL"/>
              </w:rPr>
            </w:pPr>
            <w:r w:rsidRPr="00C43E61">
              <w:rPr>
                <w:rFonts w:eastAsia="Times New Roman"/>
                <w:b/>
                <w:bCs/>
                <w:color w:val="auto"/>
                <w:sz w:val="18"/>
                <w:szCs w:val="18"/>
                <w:lang w:eastAsia="pl-PL"/>
              </w:rPr>
              <w:t>2013</w:t>
            </w:r>
          </w:p>
        </w:tc>
        <w:tc>
          <w:tcPr>
            <w:tcW w:w="760" w:type="dxa"/>
            <w:tcBorders>
              <w:top w:val="single" w:sz="8" w:space="0" w:color="auto"/>
              <w:left w:val="nil"/>
              <w:bottom w:val="single" w:sz="8" w:space="0" w:color="auto"/>
              <w:right w:val="single" w:sz="8" w:space="0" w:color="auto"/>
            </w:tcBorders>
            <w:shd w:val="clear" w:color="000000" w:fill="767779"/>
            <w:noWrap/>
            <w:vAlign w:val="center"/>
            <w:hideMark/>
          </w:tcPr>
          <w:p w14:paraId="06BA0A31" w14:textId="77777777" w:rsidR="002C51A1" w:rsidRPr="00C43E61" w:rsidRDefault="002C51A1" w:rsidP="00EF36FC">
            <w:pPr>
              <w:spacing w:before="0" w:after="0" w:line="240" w:lineRule="auto"/>
              <w:jc w:val="center"/>
              <w:rPr>
                <w:rFonts w:eastAsia="Times New Roman"/>
                <w:b/>
                <w:bCs/>
                <w:color w:val="auto"/>
                <w:sz w:val="18"/>
                <w:szCs w:val="18"/>
                <w:lang w:eastAsia="pl-PL"/>
              </w:rPr>
            </w:pPr>
            <w:r w:rsidRPr="00C43E61">
              <w:rPr>
                <w:rFonts w:eastAsia="Times New Roman"/>
                <w:b/>
                <w:bCs/>
                <w:color w:val="auto"/>
                <w:sz w:val="18"/>
                <w:szCs w:val="18"/>
                <w:lang w:eastAsia="pl-PL"/>
              </w:rPr>
              <w:t>2014</w:t>
            </w:r>
          </w:p>
        </w:tc>
        <w:tc>
          <w:tcPr>
            <w:tcW w:w="760" w:type="dxa"/>
            <w:tcBorders>
              <w:top w:val="single" w:sz="8" w:space="0" w:color="auto"/>
              <w:left w:val="nil"/>
              <w:bottom w:val="single" w:sz="8" w:space="0" w:color="auto"/>
              <w:right w:val="single" w:sz="8" w:space="0" w:color="auto"/>
            </w:tcBorders>
            <w:shd w:val="clear" w:color="000000" w:fill="767779"/>
            <w:noWrap/>
            <w:vAlign w:val="center"/>
            <w:hideMark/>
          </w:tcPr>
          <w:p w14:paraId="2A25B96B" w14:textId="77777777" w:rsidR="002C51A1" w:rsidRPr="00C43E61" w:rsidRDefault="002C51A1" w:rsidP="00EF36FC">
            <w:pPr>
              <w:spacing w:before="0" w:after="0" w:line="240" w:lineRule="auto"/>
              <w:jc w:val="center"/>
              <w:rPr>
                <w:rFonts w:eastAsia="Times New Roman"/>
                <w:b/>
                <w:bCs/>
                <w:color w:val="auto"/>
                <w:sz w:val="18"/>
                <w:szCs w:val="18"/>
                <w:lang w:eastAsia="pl-PL"/>
              </w:rPr>
            </w:pPr>
            <w:r w:rsidRPr="00C43E61">
              <w:rPr>
                <w:rFonts w:eastAsia="Times New Roman"/>
                <w:b/>
                <w:bCs/>
                <w:color w:val="auto"/>
                <w:sz w:val="18"/>
                <w:szCs w:val="18"/>
                <w:lang w:eastAsia="pl-PL"/>
              </w:rPr>
              <w:t>2015</w:t>
            </w:r>
          </w:p>
        </w:tc>
        <w:tc>
          <w:tcPr>
            <w:tcW w:w="760" w:type="dxa"/>
            <w:tcBorders>
              <w:top w:val="single" w:sz="8" w:space="0" w:color="auto"/>
              <w:left w:val="nil"/>
              <w:bottom w:val="single" w:sz="8" w:space="0" w:color="auto"/>
              <w:right w:val="single" w:sz="8" w:space="0" w:color="auto"/>
            </w:tcBorders>
            <w:shd w:val="clear" w:color="000000" w:fill="767779"/>
            <w:noWrap/>
            <w:vAlign w:val="center"/>
            <w:hideMark/>
          </w:tcPr>
          <w:p w14:paraId="0446F985" w14:textId="77777777" w:rsidR="002C51A1" w:rsidRPr="00C43E61" w:rsidRDefault="002C51A1" w:rsidP="00EF36FC">
            <w:pPr>
              <w:spacing w:before="0" w:after="0" w:line="240" w:lineRule="auto"/>
              <w:jc w:val="center"/>
              <w:rPr>
                <w:rFonts w:eastAsia="Times New Roman"/>
                <w:b/>
                <w:bCs/>
                <w:color w:val="auto"/>
                <w:sz w:val="18"/>
                <w:szCs w:val="18"/>
                <w:lang w:eastAsia="pl-PL"/>
              </w:rPr>
            </w:pPr>
            <w:r w:rsidRPr="00C43E61">
              <w:rPr>
                <w:rFonts w:eastAsia="Times New Roman"/>
                <w:b/>
                <w:bCs/>
                <w:color w:val="auto"/>
                <w:sz w:val="18"/>
                <w:szCs w:val="18"/>
                <w:lang w:eastAsia="pl-PL"/>
              </w:rPr>
              <w:t>2016</w:t>
            </w:r>
          </w:p>
        </w:tc>
        <w:tc>
          <w:tcPr>
            <w:tcW w:w="760" w:type="dxa"/>
            <w:tcBorders>
              <w:top w:val="single" w:sz="8" w:space="0" w:color="auto"/>
              <w:left w:val="nil"/>
              <w:bottom w:val="single" w:sz="8" w:space="0" w:color="auto"/>
              <w:right w:val="single" w:sz="8" w:space="0" w:color="auto"/>
            </w:tcBorders>
            <w:shd w:val="clear" w:color="000000" w:fill="767779"/>
            <w:noWrap/>
            <w:vAlign w:val="center"/>
            <w:hideMark/>
          </w:tcPr>
          <w:p w14:paraId="31DF06E9" w14:textId="77777777" w:rsidR="002C51A1" w:rsidRPr="00C43E61" w:rsidRDefault="002C51A1" w:rsidP="00EF36FC">
            <w:pPr>
              <w:spacing w:before="0" w:after="0" w:line="240" w:lineRule="auto"/>
              <w:jc w:val="center"/>
              <w:rPr>
                <w:rFonts w:eastAsia="Times New Roman"/>
                <w:b/>
                <w:bCs/>
                <w:color w:val="auto"/>
                <w:sz w:val="18"/>
                <w:szCs w:val="18"/>
                <w:lang w:eastAsia="pl-PL"/>
              </w:rPr>
            </w:pPr>
            <w:r w:rsidRPr="00C43E61">
              <w:rPr>
                <w:rFonts w:eastAsia="Times New Roman"/>
                <w:b/>
                <w:bCs/>
                <w:color w:val="auto"/>
                <w:sz w:val="18"/>
                <w:szCs w:val="18"/>
                <w:lang w:eastAsia="pl-PL"/>
              </w:rPr>
              <w:t>2017</w:t>
            </w:r>
          </w:p>
        </w:tc>
        <w:tc>
          <w:tcPr>
            <w:tcW w:w="760" w:type="dxa"/>
            <w:tcBorders>
              <w:top w:val="single" w:sz="8" w:space="0" w:color="auto"/>
              <w:left w:val="nil"/>
              <w:bottom w:val="single" w:sz="8" w:space="0" w:color="auto"/>
              <w:right w:val="single" w:sz="8" w:space="0" w:color="auto"/>
            </w:tcBorders>
            <w:shd w:val="clear" w:color="000000" w:fill="767779"/>
            <w:noWrap/>
            <w:vAlign w:val="center"/>
            <w:hideMark/>
          </w:tcPr>
          <w:p w14:paraId="5418D6D6" w14:textId="77777777" w:rsidR="002C51A1" w:rsidRPr="00C43E61" w:rsidRDefault="002C51A1" w:rsidP="00EF36FC">
            <w:pPr>
              <w:spacing w:before="0" w:after="0" w:line="240" w:lineRule="auto"/>
              <w:jc w:val="center"/>
              <w:rPr>
                <w:rFonts w:eastAsia="Times New Roman"/>
                <w:b/>
                <w:bCs/>
                <w:color w:val="auto"/>
                <w:sz w:val="18"/>
                <w:szCs w:val="18"/>
                <w:lang w:eastAsia="pl-PL"/>
              </w:rPr>
            </w:pPr>
            <w:r w:rsidRPr="00C43E61">
              <w:rPr>
                <w:rFonts w:eastAsia="Times New Roman"/>
                <w:b/>
                <w:bCs/>
                <w:color w:val="auto"/>
                <w:sz w:val="18"/>
                <w:szCs w:val="18"/>
                <w:lang w:eastAsia="pl-PL"/>
              </w:rPr>
              <w:t>2018</w:t>
            </w:r>
          </w:p>
        </w:tc>
        <w:tc>
          <w:tcPr>
            <w:tcW w:w="760" w:type="dxa"/>
            <w:tcBorders>
              <w:top w:val="single" w:sz="8" w:space="0" w:color="auto"/>
              <w:left w:val="nil"/>
              <w:bottom w:val="single" w:sz="8" w:space="0" w:color="auto"/>
              <w:right w:val="single" w:sz="8" w:space="0" w:color="auto"/>
            </w:tcBorders>
            <w:shd w:val="clear" w:color="000000" w:fill="767779"/>
            <w:noWrap/>
            <w:vAlign w:val="center"/>
            <w:hideMark/>
          </w:tcPr>
          <w:p w14:paraId="57F6A070" w14:textId="77777777" w:rsidR="002C51A1" w:rsidRPr="00C43E61" w:rsidRDefault="002C51A1" w:rsidP="00EF36FC">
            <w:pPr>
              <w:spacing w:before="0" w:after="0" w:line="240" w:lineRule="auto"/>
              <w:jc w:val="center"/>
              <w:rPr>
                <w:rFonts w:eastAsia="Times New Roman"/>
                <w:b/>
                <w:bCs/>
                <w:color w:val="auto"/>
                <w:sz w:val="18"/>
                <w:szCs w:val="18"/>
                <w:lang w:eastAsia="pl-PL"/>
              </w:rPr>
            </w:pPr>
            <w:r w:rsidRPr="00C43E61">
              <w:rPr>
                <w:rFonts w:eastAsia="Times New Roman"/>
                <w:b/>
                <w:bCs/>
                <w:color w:val="auto"/>
                <w:sz w:val="18"/>
                <w:szCs w:val="18"/>
                <w:lang w:eastAsia="pl-PL"/>
              </w:rPr>
              <w:t>2019</w:t>
            </w:r>
          </w:p>
        </w:tc>
      </w:tr>
      <w:tr w:rsidR="002C51A1" w:rsidRPr="00481E86" w14:paraId="6AF9A112" w14:textId="77777777" w:rsidTr="00EF36FC">
        <w:trPr>
          <w:trHeight w:val="288"/>
        </w:trPr>
        <w:tc>
          <w:tcPr>
            <w:tcW w:w="1480" w:type="dxa"/>
            <w:tcBorders>
              <w:top w:val="nil"/>
              <w:left w:val="single" w:sz="8" w:space="0" w:color="auto"/>
              <w:bottom w:val="single" w:sz="4" w:space="0" w:color="auto"/>
              <w:right w:val="nil"/>
            </w:tcBorders>
            <w:shd w:val="clear" w:color="000000" w:fill="767779"/>
            <w:noWrap/>
            <w:vAlign w:val="center"/>
            <w:hideMark/>
          </w:tcPr>
          <w:p w14:paraId="634F3D33" w14:textId="1C2AB37A" w:rsidR="002C51A1" w:rsidRPr="00C43E61" w:rsidRDefault="002C51A1" w:rsidP="00EF36FC">
            <w:pPr>
              <w:spacing w:before="0" w:after="0" w:line="240" w:lineRule="auto"/>
              <w:jc w:val="left"/>
              <w:rPr>
                <w:rFonts w:eastAsia="Times New Roman"/>
                <w:b/>
                <w:bCs/>
                <w:color w:val="auto"/>
                <w:sz w:val="18"/>
                <w:szCs w:val="18"/>
                <w:lang w:eastAsia="pl-PL"/>
              </w:rPr>
            </w:pPr>
            <w:r w:rsidRPr="00C43E61">
              <w:rPr>
                <w:rFonts w:eastAsia="Times New Roman"/>
                <w:b/>
                <w:bCs/>
                <w:color w:val="auto"/>
                <w:sz w:val="18"/>
                <w:szCs w:val="18"/>
                <w:lang w:eastAsia="pl-PL"/>
              </w:rPr>
              <w:t>UE</w:t>
            </w:r>
            <w:r w:rsidR="00B80A0E">
              <w:rPr>
                <w:rFonts w:eastAsia="Times New Roman"/>
                <w:b/>
                <w:bCs/>
                <w:color w:val="auto"/>
                <w:sz w:val="18"/>
                <w:szCs w:val="18"/>
                <w:lang w:eastAsia="pl-PL"/>
              </w:rPr>
              <w:t>-</w:t>
            </w:r>
            <w:r w:rsidRPr="00C43E61">
              <w:rPr>
                <w:rFonts w:eastAsia="Times New Roman"/>
                <w:b/>
                <w:bCs/>
                <w:color w:val="auto"/>
                <w:sz w:val="18"/>
                <w:szCs w:val="18"/>
                <w:lang w:eastAsia="pl-PL"/>
              </w:rPr>
              <w:t>27</w:t>
            </w:r>
          </w:p>
        </w:tc>
        <w:tc>
          <w:tcPr>
            <w:tcW w:w="76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1EBBAC5"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79,0</w:t>
            </w:r>
          </w:p>
        </w:tc>
        <w:tc>
          <w:tcPr>
            <w:tcW w:w="760" w:type="dxa"/>
            <w:tcBorders>
              <w:top w:val="single" w:sz="8" w:space="0" w:color="auto"/>
              <w:left w:val="nil"/>
              <w:bottom w:val="single" w:sz="4" w:space="0" w:color="auto"/>
              <w:right w:val="single" w:sz="4" w:space="0" w:color="auto"/>
            </w:tcBorders>
            <w:shd w:val="clear" w:color="auto" w:fill="auto"/>
            <w:noWrap/>
            <w:vAlign w:val="center"/>
            <w:hideMark/>
          </w:tcPr>
          <w:p w14:paraId="7B691152"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84,7</w:t>
            </w:r>
          </w:p>
        </w:tc>
        <w:tc>
          <w:tcPr>
            <w:tcW w:w="760" w:type="dxa"/>
            <w:tcBorders>
              <w:top w:val="single" w:sz="8" w:space="0" w:color="auto"/>
              <w:left w:val="nil"/>
              <w:bottom w:val="single" w:sz="4" w:space="0" w:color="auto"/>
              <w:right w:val="single" w:sz="4" w:space="0" w:color="auto"/>
            </w:tcBorders>
            <w:shd w:val="clear" w:color="auto" w:fill="auto"/>
            <w:noWrap/>
            <w:vAlign w:val="center"/>
            <w:hideMark/>
          </w:tcPr>
          <w:p w14:paraId="08CA7D70"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86,8</w:t>
            </w:r>
          </w:p>
        </w:tc>
        <w:tc>
          <w:tcPr>
            <w:tcW w:w="760" w:type="dxa"/>
            <w:tcBorders>
              <w:top w:val="single" w:sz="8" w:space="0" w:color="auto"/>
              <w:left w:val="nil"/>
              <w:bottom w:val="single" w:sz="4" w:space="0" w:color="auto"/>
              <w:right w:val="single" w:sz="4" w:space="0" w:color="auto"/>
            </w:tcBorders>
            <w:shd w:val="clear" w:color="auto" w:fill="auto"/>
            <w:noWrap/>
            <w:vAlign w:val="center"/>
            <w:hideMark/>
          </w:tcPr>
          <w:p w14:paraId="5B3AF4E6"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86,5</w:t>
            </w:r>
          </w:p>
        </w:tc>
        <w:tc>
          <w:tcPr>
            <w:tcW w:w="760" w:type="dxa"/>
            <w:tcBorders>
              <w:top w:val="single" w:sz="8" w:space="0" w:color="auto"/>
              <w:left w:val="nil"/>
              <w:bottom w:val="single" w:sz="4" w:space="0" w:color="auto"/>
              <w:right w:val="single" w:sz="4" w:space="0" w:color="auto"/>
            </w:tcBorders>
            <w:shd w:val="clear" w:color="auto" w:fill="auto"/>
            <w:noWrap/>
            <w:vAlign w:val="center"/>
            <w:hideMark/>
          </w:tcPr>
          <w:p w14:paraId="7FD1F2C5"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87,8</w:t>
            </w:r>
          </w:p>
        </w:tc>
        <w:tc>
          <w:tcPr>
            <w:tcW w:w="760" w:type="dxa"/>
            <w:tcBorders>
              <w:top w:val="single" w:sz="8" w:space="0" w:color="auto"/>
              <w:left w:val="nil"/>
              <w:bottom w:val="single" w:sz="4" w:space="0" w:color="auto"/>
              <w:right w:val="single" w:sz="4" w:space="0" w:color="auto"/>
            </w:tcBorders>
            <w:shd w:val="clear" w:color="auto" w:fill="auto"/>
            <w:noWrap/>
            <w:vAlign w:val="center"/>
            <w:hideMark/>
          </w:tcPr>
          <w:p w14:paraId="345B59E4"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90,0</w:t>
            </w:r>
          </w:p>
        </w:tc>
        <w:tc>
          <w:tcPr>
            <w:tcW w:w="760" w:type="dxa"/>
            <w:tcBorders>
              <w:top w:val="single" w:sz="8" w:space="0" w:color="auto"/>
              <w:left w:val="nil"/>
              <w:bottom w:val="single" w:sz="4" w:space="0" w:color="auto"/>
              <w:right w:val="single" w:sz="4" w:space="0" w:color="auto"/>
            </w:tcBorders>
            <w:shd w:val="clear" w:color="auto" w:fill="auto"/>
            <w:noWrap/>
            <w:vAlign w:val="center"/>
            <w:hideMark/>
          </w:tcPr>
          <w:p w14:paraId="2F945014"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89,2</w:t>
            </w:r>
          </w:p>
        </w:tc>
        <w:tc>
          <w:tcPr>
            <w:tcW w:w="760" w:type="dxa"/>
            <w:tcBorders>
              <w:top w:val="single" w:sz="8" w:space="0" w:color="auto"/>
              <w:left w:val="nil"/>
              <w:bottom w:val="single" w:sz="4" w:space="0" w:color="auto"/>
              <w:right w:val="single" w:sz="4" w:space="0" w:color="auto"/>
            </w:tcBorders>
            <w:shd w:val="clear" w:color="auto" w:fill="auto"/>
            <w:noWrap/>
            <w:vAlign w:val="center"/>
            <w:hideMark/>
          </w:tcPr>
          <w:p w14:paraId="67D0D758"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92,7</w:t>
            </w:r>
          </w:p>
        </w:tc>
        <w:tc>
          <w:tcPr>
            <w:tcW w:w="760" w:type="dxa"/>
            <w:tcBorders>
              <w:top w:val="single" w:sz="8" w:space="0" w:color="auto"/>
              <w:left w:val="nil"/>
              <w:bottom w:val="single" w:sz="4" w:space="0" w:color="auto"/>
              <w:right w:val="single" w:sz="4" w:space="0" w:color="auto"/>
            </w:tcBorders>
            <w:shd w:val="clear" w:color="auto" w:fill="auto"/>
            <w:noWrap/>
            <w:vAlign w:val="center"/>
            <w:hideMark/>
          </w:tcPr>
          <w:p w14:paraId="51E24121"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94,7</w:t>
            </w:r>
          </w:p>
        </w:tc>
        <w:tc>
          <w:tcPr>
            <w:tcW w:w="760" w:type="dxa"/>
            <w:tcBorders>
              <w:top w:val="single" w:sz="8" w:space="0" w:color="auto"/>
              <w:left w:val="nil"/>
              <w:bottom w:val="single" w:sz="4" w:space="0" w:color="auto"/>
              <w:right w:val="single" w:sz="8" w:space="0" w:color="auto"/>
            </w:tcBorders>
            <w:shd w:val="clear" w:color="auto" w:fill="auto"/>
            <w:noWrap/>
            <w:vAlign w:val="center"/>
            <w:hideMark/>
          </w:tcPr>
          <w:p w14:paraId="6FE979FC"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95,1</w:t>
            </w:r>
          </w:p>
        </w:tc>
      </w:tr>
      <w:tr w:rsidR="002C51A1" w:rsidRPr="00481E86" w14:paraId="227C8209" w14:textId="77777777" w:rsidTr="00EF36FC">
        <w:trPr>
          <w:trHeight w:val="288"/>
        </w:trPr>
        <w:tc>
          <w:tcPr>
            <w:tcW w:w="1480" w:type="dxa"/>
            <w:tcBorders>
              <w:top w:val="nil"/>
              <w:left w:val="single" w:sz="8" w:space="0" w:color="auto"/>
              <w:bottom w:val="single" w:sz="4" w:space="0" w:color="auto"/>
              <w:right w:val="nil"/>
            </w:tcBorders>
            <w:shd w:val="clear" w:color="000000" w:fill="767779"/>
            <w:noWrap/>
            <w:vAlign w:val="center"/>
            <w:hideMark/>
          </w:tcPr>
          <w:p w14:paraId="05A5185E" w14:textId="2D341F92" w:rsidR="002C51A1" w:rsidRPr="00C43E61" w:rsidRDefault="002C51A1" w:rsidP="00EF36FC">
            <w:pPr>
              <w:spacing w:before="0" w:after="0" w:line="240" w:lineRule="auto"/>
              <w:jc w:val="left"/>
              <w:rPr>
                <w:rFonts w:eastAsia="Times New Roman"/>
                <w:b/>
                <w:bCs/>
                <w:color w:val="auto"/>
                <w:sz w:val="18"/>
                <w:szCs w:val="18"/>
                <w:lang w:eastAsia="pl-PL"/>
              </w:rPr>
            </w:pPr>
            <w:r w:rsidRPr="00C43E61">
              <w:rPr>
                <w:rFonts w:eastAsia="Times New Roman"/>
                <w:b/>
                <w:bCs/>
                <w:color w:val="auto"/>
                <w:sz w:val="18"/>
                <w:szCs w:val="18"/>
                <w:lang w:eastAsia="pl-PL"/>
              </w:rPr>
              <w:t>UE</w:t>
            </w:r>
            <w:r w:rsidR="00B80A0E">
              <w:rPr>
                <w:rFonts w:eastAsia="Times New Roman"/>
                <w:b/>
                <w:bCs/>
                <w:color w:val="auto"/>
                <w:sz w:val="18"/>
                <w:szCs w:val="18"/>
                <w:lang w:eastAsia="pl-PL"/>
              </w:rPr>
              <w:t>-</w:t>
            </w:r>
            <w:r w:rsidRPr="00C43E61">
              <w:rPr>
                <w:rFonts w:eastAsia="Times New Roman"/>
                <w:b/>
                <w:bCs/>
                <w:color w:val="auto"/>
                <w:sz w:val="18"/>
                <w:szCs w:val="18"/>
                <w:lang w:eastAsia="pl-PL"/>
              </w:rPr>
              <w:t>28</w:t>
            </w:r>
          </w:p>
        </w:tc>
        <w:tc>
          <w:tcPr>
            <w:tcW w:w="760" w:type="dxa"/>
            <w:tcBorders>
              <w:top w:val="nil"/>
              <w:left w:val="single" w:sz="8" w:space="0" w:color="auto"/>
              <w:bottom w:val="single" w:sz="4" w:space="0" w:color="auto"/>
              <w:right w:val="single" w:sz="4" w:space="0" w:color="auto"/>
            </w:tcBorders>
            <w:shd w:val="clear" w:color="auto" w:fill="auto"/>
            <w:noWrap/>
            <w:vAlign w:val="center"/>
            <w:hideMark/>
          </w:tcPr>
          <w:p w14:paraId="29A4861F"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76,1</w:t>
            </w:r>
          </w:p>
        </w:tc>
        <w:tc>
          <w:tcPr>
            <w:tcW w:w="760" w:type="dxa"/>
            <w:tcBorders>
              <w:top w:val="nil"/>
              <w:left w:val="nil"/>
              <w:bottom w:val="single" w:sz="4" w:space="0" w:color="auto"/>
              <w:right w:val="single" w:sz="4" w:space="0" w:color="auto"/>
            </w:tcBorders>
            <w:shd w:val="clear" w:color="auto" w:fill="auto"/>
            <w:noWrap/>
            <w:vAlign w:val="center"/>
            <w:hideMark/>
          </w:tcPr>
          <w:p w14:paraId="27BA210A"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81,5</w:t>
            </w:r>
          </w:p>
        </w:tc>
        <w:tc>
          <w:tcPr>
            <w:tcW w:w="760" w:type="dxa"/>
            <w:tcBorders>
              <w:top w:val="nil"/>
              <w:left w:val="nil"/>
              <w:bottom w:val="single" w:sz="4" w:space="0" w:color="auto"/>
              <w:right w:val="single" w:sz="4" w:space="0" w:color="auto"/>
            </w:tcBorders>
            <w:shd w:val="clear" w:color="auto" w:fill="auto"/>
            <w:noWrap/>
            <w:vAlign w:val="center"/>
            <w:hideMark/>
          </w:tcPr>
          <w:p w14:paraId="2A9244F1"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82,8</w:t>
            </w:r>
          </w:p>
        </w:tc>
        <w:tc>
          <w:tcPr>
            <w:tcW w:w="760" w:type="dxa"/>
            <w:tcBorders>
              <w:top w:val="nil"/>
              <w:left w:val="nil"/>
              <w:bottom w:val="single" w:sz="4" w:space="0" w:color="auto"/>
              <w:right w:val="single" w:sz="4" w:space="0" w:color="auto"/>
            </w:tcBorders>
            <w:shd w:val="clear" w:color="auto" w:fill="auto"/>
            <w:noWrap/>
            <w:vAlign w:val="center"/>
            <w:hideMark/>
          </w:tcPr>
          <w:p w14:paraId="486B8FE4"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82,6</w:t>
            </w:r>
          </w:p>
        </w:tc>
        <w:tc>
          <w:tcPr>
            <w:tcW w:w="760" w:type="dxa"/>
            <w:tcBorders>
              <w:top w:val="nil"/>
              <w:left w:val="nil"/>
              <w:bottom w:val="single" w:sz="4" w:space="0" w:color="auto"/>
              <w:right w:val="single" w:sz="4" w:space="0" w:color="auto"/>
            </w:tcBorders>
            <w:shd w:val="clear" w:color="auto" w:fill="auto"/>
            <w:noWrap/>
            <w:vAlign w:val="center"/>
            <w:hideMark/>
          </w:tcPr>
          <w:p w14:paraId="617BFC76"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82,9</w:t>
            </w:r>
          </w:p>
        </w:tc>
        <w:tc>
          <w:tcPr>
            <w:tcW w:w="760" w:type="dxa"/>
            <w:tcBorders>
              <w:top w:val="nil"/>
              <w:left w:val="nil"/>
              <w:bottom w:val="single" w:sz="4" w:space="0" w:color="auto"/>
              <w:right w:val="single" w:sz="4" w:space="0" w:color="auto"/>
            </w:tcBorders>
            <w:shd w:val="clear" w:color="auto" w:fill="auto"/>
            <w:noWrap/>
            <w:vAlign w:val="center"/>
            <w:hideMark/>
          </w:tcPr>
          <w:p w14:paraId="6C912484"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84,0</w:t>
            </w:r>
          </w:p>
        </w:tc>
        <w:tc>
          <w:tcPr>
            <w:tcW w:w="760" w:type="dxa"/>
            <w:tcBorders>
              <w:top w:val="nil"/>
              <w:left w:val="nil"/>
              <w:bottom w:val="single" w:sz="4" w:space="0" w:color="auto"/>
              <w:right w:val="single" w:sz="4" w:space="0" w:color="auto"/>
            </w:tcBorders>
            <w:shd w:val="clear" w:color="auto" w:fill="auto"/>
            <w:noWrap/>
            <w:vAlign w:val="center"/>
            <w:hideMark/>
          </w:tcPr>
          <w:p w14:paraId="1732BA24"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84,2</w:t>
            </w:r>
          </w:p>
        </w:tc>
        <w:tc>
          <w:tcPr>
            <w:tcW w:w="760" w:type="dxa"/>
            <w:tcBorders>
              <w:top w:val="nil"/>
              <w:left w:val="nil"/>
              <w:bottom w:val="single" w:sz="4" w:space="0" w:color="auto"/>
              <w:right w:val="single" w:sz="4" w:space="0" w:color="auto"/>
            </w:tcBorders>
            <w:shd w:val="clear" w:color="auto" w:fill="auto"/>
            <w:noWrap/>
            <w:vAlign w:val="center"/>
            <w:hideMark/>
          </w:tcPr>
          <w:p w14:paraId="101BB6FF"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87,9</w:t>
            </w:r>
          </w:p>
        </w:tc>
        <w:tc>
          <w:tcPr>
            <w:tcW w:w="760" w:type="dxa"/>
            <w:tcBorders>
              <w:top w:val="nil"/>
              <w:left w:val="nil"/>
              <w:bottom w:val="single" w:sz="4" w:space="0" w:color="auto"/>
              <w:right w:val="single" w:sz="4" w:space="0" w:color="auto"/>
            </w:tcBorders>
            <w:shd w:val="clear" w:color="auto" w:fill="auto"/>
            <w:noWrap/>
            <w:vAlign w:val="center"/>
            <w:hideMark/>
          </w:tcPr>
          <w:p w14:paraId="124805CB"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89,9</w:t>
            </w:r>
          </w:p>
        </w:tc>
        <w:tc>
          <w:tcPr>
            <w:tcW w:w="760" w:type="dxa"/>
            <w:tcBorders>
              <w:top w:val="nil"/>
              <w:left w:val="nil"/>
              <w:bottom w:val="single" w:sz="4" w:space="0" w:color="auto"/>
              <w:right w:val="single" w:sz="8" w:space="0" w:color="auto"/>
            </w:tcBorders>
            <w:shd w:val="clear" w:color="auto" w:fill="auto"/>
            <w:noWrap/>
            <w:vAlign w:val="center"/>
            <w:hideMark/>
          </w:tcPr>
          <w:p w14:paraId="7012F637"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90,3</w:t>
            </w:r>
          </w:p>
        </w:tc>
      </w:tr>
      <w:tr w:rsidR="002C51A1" w:rsidRPr="00481E86" w14:paraId="4C54D6FC" w14:textId="77777777" w:rsidTr="00EF36FC">
        <w:trPr>
          <w:trHeight w:val="288"/>
        </w:trPr>
        <w:tc>
          <w:tcPr>
            <w:tcW w:w="1480" w:type="dxa"/>
            <w:tcBorders>
              <w:top w:val="nil"/>
              <w:left w:val="single" w:sz="8" w:space="0" w:color="auto"/>
              <w:bottom w:val="single" w:sz="4" w:space="0" w:color="auto"/>
              <w:right w:val="nil"/>
            </w:tcBorders>
            <w:shd w:val="clear" w:color="000000" w:fill="767779"/>
            <w:noWrap/>
            <w:vAlign w:val="center"/>
            <w:hideMark/>
          </w:tcPr>
          <w:p w14:paraId="1D955608" w14:textId="43ABEC1F" w:rsidR="002C51A1" w:rsidRPr="00C43E61" w:rsidRDefault="002C51A1" w:rsidP="00EF36FC">
            <w:pPr>
              <w:spacing w:before="0" w:after="0" w:line="240" w:lineRule="auto"/>
              <w:jc w:val="left"/>
              <w:rPr>
                <w:rFonts w:eastAsia="Times New Roman"/>
                <w:b/>
                <w:bCs/>
                <w:color w:val="auto"/>
                <w:sz w:val="18"/>
                <w:szCs w:val="18"/>
                <w:lang w:eastAsia="pl-PL"/>
              </w:rPr>
            </w:pPr>
            <w:r w:rsidRPr="00C43E61">
              <w:rPr>
                <w:rFonts w:eastAsia="Times New Roman"/>
                <w:b/>
                <w:bCs/>
                <w:color w:val="auto"/>
                <w:sz w:val="18"/>
                <w:szCs w:val="18"/>
                <w:lang w:eastAsia="pl-PL"/>
              </w:rPr>
              <w:t xml:space="preserve">Strefa </w:t>
            </w:r>
            <w:r w:rsidR="00B80A0E">
              <w:rPr>
                <w:rFonts w:eastAsia="Times New Roman"/>
                <w:b/>
                <w:bCs/>
                <w:color w:val="auto"/>
                <w:sz w:val="18"/>
                <w:szCs w:val="18"/>
                <w:lang w:eastAsia="pl-PL"/>
              </w:rPr>
              <w:t>e</w:t>
            </w:r>
            <w:r w:rsidRPr="00C43E61">
              <w:rPr>
                <w:rFonts w:eastAsia="Times New Roman"/>
                <w:b/>
                <w:bCs/>
                <w:color w:val="auto"/>
                <w:sz w:val="18"/>
                <w:szCs w:val="18"/>
                <w:lang w:eastAsia="pl-PL"/>
              </w:rPr>
              <w:t>uro</w:t>
            </w:r>
          </w:p>
        </w:tc>
        <w:tc>
          <w:tcPr>
            <w:tcW w:w="760" w:type="dxa"/>
            <w:tcBorders>
              <w:top w:val="nil"/>
              <w:left w:val="single" w:sz="8" w:space="0" w:color="auto"/>
              <w:bottom w:val="single" w:sz="4" w:space="0" w:color="auto"/>
              <w:right w:val="single" w:sz="4" w:space="0" w:color="auto"/>
            </w:tcBorders>
            <w:shd w:val="clear" w:color="auto" w:fill="auto"/>
            <w:noWrap/>
            <w:vAlign w:val="center"/>
            <w:hideMark/>
          </w:tcPr>
          <w:p w14:paraId="051244AE"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76,5</w:t>
            </w:r>
          </w:p>
        </w:tc>
        <w:tc>
          <w:tcPr>
            <w:tcW w:w="760" w:type="dxa"/>
            <w:tcBorders>
              <w:top w:val="nil"/>
              <w:left w:val="nil"/>
              <w:bottom w:val="single" w:sz="4" w:space="0" w:color="auto"/>
              <w:right w:val="single" w:sz="4" w:space="0" w:color="auto"/>
            </w:tcBorders>
            <w:shd w:val="clear" w:color="auto" w:fill="auto"/>
            <w:noWrap/>
            <w:vAlign w:val="center"/>
            <w:hideMark/>
          </w:tcPr>
          <w:p w14:paraId="28E17D89"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82,1</w:t>
            </w:r>
          </w:p>
        </w:tc>
        <w:tc>
          <w:tcPr>
            <w:tcW w:w="760" w:type="dxa"/>
            <w:tcBorders>
              <w:top w:val="nil"/>
              <w:left w:val="nil"/>
              <w:bottom w:val="single" w:sz="4" w:space="0" w:color="auto"/>
              <w:right w:val="single" w:sz="4" w:space="0" w:color="auto"/>
            </w:tcBorders>
            <w:shd w:val="clear" w:color="auto" w:fill="auto"/>
            <w:noWrap/>
            <w:vAlign w:val="center"/>
            <w:hideMark/>
          </w:tcPr>
          <w:p w14:paraId="6D99BEB1"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84,2</w:t>
            </w:r>
          </w:p>
        </w:tc>
        <w:tc>
          <w:tcPr>
            <w:tcW w:w="760" w:type="dxa"/>
            <w:tcBorders>
              <w:top w:val="nil"/>
              <w:left w:val="nil"/>
              <w:bottom w:val="single" w:sz="4" w:space="0" w:color="auto"/>
              <w:right w:val="single" w:sz="4" w:space="0" w:color="auto"/>
            </w:tcBorders>
            <w:shd w:val="clear" w:color="auto" w:fill="auto"/>
            <w:noWrap/>
            <w:vAlign w:val="center"/>
            <w:hideMark/>
          </w:tcPr>
          <w:p w14:paraId="3E3588E8"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83,9</w:t>
            </w:r>
          </w:p>
        </w:tc>
        <w:tc>
          <w:tcPr>
            <w:tcW w:w="760" w:type="dxa"/>
            <w:tcBorders>
              <w:top w:val="nil"/>
              <w:left w:val="nil"/>
              <w:bottom w:val="single" w:sz="4" w:space="0" w:color="auto"/>
              <w:right w:val="single" w:sz="4" w:space="0" w:color="auto"/>
            </w:tcBorders>
            <w:shd w:val="clear" w:color="auto" w:fill="auto"/>
            <w:noWrap/>
            <w:vAlign w:val="center"/>
            <w:hideMark/>
          </w:tcPr>
          <w:p w14:paraId="26D208D2"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85,2</w:t>
            </w:r>
          </w:p>
        </w:tc>
        <w:tc>
          <w:tcPr>
            <w:tcW w:w="760" w:type="dxa"/>
            <w:tcBorders>
              <w:top w:val="nil"/>
              <w:left w:val="nil"/>
              <w:bottom w:val="single" w:sz="4" w:space="0" w:color="auto"/>
              <w:right w:val="single" w:sz="4" w:space="0" w:color="auto"/>
            </w:tcBorders>
            <w:shd w:val="clear" w:color="auto" w:fill="auto"/>
            <w:noWrap/>
            <w:vAlign w:val="center"/>
            <w:hideMark/>
          </w:tcPr>
          <w:p w14:paraId="62A92047"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87,8</w:t>
            </w:r>
          </w:p>
        </w:tc>
        <w:tc>
          <w:tcPr>
            <w:tcW w:w="760" w:type="dxa"/>
            <w:tcBorders>
              <w:top w:val="nil"/>
              <w:left w:val="nil"/>
              <w:bottom w:val="single" w:sz="4" w:space="0" w:color="auto"/>
              <w:right w:val="single" w:sz="4" w:space="0" w:color="auto"/>
            </w:tcBorders>
            <w:shd w:val="clear" w:color="auto" w:fill="auto"/>
            <w:noWrap/>
            <w:vAlign w:val="center"/>
            <w:hideMark/>
          </w:tcPr>
          <w:p w14:paraId="0D482248"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86,8</w:t>
            </w:r>
          </w:p>
        </w:tc>
        <w:tc>
          <w:tcPr>
            <w:tcW w:w="760" w:type="dxa"/>
            <w:tcBorders>
              <w:top w:val="nil"/>
              <w:left w:val="nil"/>
              <w:bottom w:val="single" w:sz="4" w:space="0" w:color="auto"/>
              <w:right w:val="single" w:sz="4" w:space="0" w:color="auto"/>
            </w:tcBorders>
            <w:shd w:val="clear" w:color="auto" w:fill="auto"/>
            <w:noWrap/>
            <w:vAlign w:val="center"/>
            <w:hideMark/>
          </w:tcPr>
          <w:p w14:paraId="2357D982"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90,3</w:t>
            </w:r>
          </w:p>
        </w:tc>
        <w:tc>
          <w:tcPr>
            <w:tcW w:w="760" w:type="dxa"/>
            <w:tcBorders>
              <w:top w:val="nil"/>
              <w:left w:val="nil"/>
              <w:bottom w:val="single" w:sz="4" w:space="0" w:color="auto"/>
              <w:right w:val="single" w:sz="4" w:space="0" w:color="auto"/>
            </w:tcBorders>
            <w:shd w:val="clear" w:color="auto" w:fill="auto"/>
            <w:noWrap/>
            <w:vAlign w:val="center"/>
            <w:hideMark/>
          </w:tcPr>
          <w:p w14:paraId="7C401049"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92,2</w:t>
            </w:r>
          </w:p>
        </w:tc>
        <w:tc>
          <w:tcPr>
            <w:tcW w:w="760" w:type="dxa"/>
            <w:tcBorders>
              <w:top w:val="nil"/>
              <w:left w:val="nil"/>
              <w:bottom w:val="single" w:sz="4" w:space="0" w:color="auto"/>
              <w:right w:val="single" w:sz="8" w:space="0" w:color="auto"/>
            </w:tcBorders>
            <w:shd w:val="clear" w:color="auto" w:fill="auto"/>
            <w:noWrap/>
            <w:vAlign w:val="center"/>
            <w:hideMark/>
          </w:tcPr>
          <w:p w14:paraId="40BDCC56"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92,7</w:t>
            </w:r>
          </w:p>
        </w:tc>
      </w:tr>
      <w:tr w:rsidR="002C51A1" w:rsidRPr="00481E86" w14:paraId="1BE62148" w14:textId="77777777" w:rsidTr="00EF36FC">
        <w:trPr>
          <w:trHeight w:val="288"/>
        </w:trPr>
        <w:tc>
          <w:tcPr>
            <w:tcW w:w="1480" w:type="dxa"/>
            <w:tcBorders>
              <w:top w:val="nil"/>
              <w:left w:val="single" w:sz="8" w:space="0" w:color="auto"/>
              <w:bottom w:val="single" w:sz="4" w:space="0" w:color="auto"/>
              <w:right w:val="nil"/>
            </w:tcBorders>
            <w:shd w:val="clear" w:color="000000" w:fill="767779"/>
            <w:noWrap/>
            <w:vAlign w:val="center"/>
            <w:hideMark/>
          </w:tcPr>
          <w:p w14:paraId="6DC84FEB" w14:textId="77777777" w:rsidR="002C51A1" w:rsidRPr="00C43E61" w:rsidRDefault="002C51A1" w:rsidP="00EF36FC">
            <w:pPr>
              <w:spacing w:before="0" w:after="0" w:line="240" w:lineRule="auto"/>
              <w:jc w:val="left"/>
              <w:rPr>
                <w:rFonts w:eastAsia="Times New Roman"/>
                <w:b/>
                <w:bCs/>
                <w:color w:val="auto"/>
                <w:sz w:val="18"/>
                <w:szCs w:val="18"/>
                <w:lang w:eastAsia="pl-PL"/>
              </w:rPr>
            </w:pPr>
            <w:r w:rsidRPr="00C43E61">
              <w:rPr>
                <w:rFonts w:eastAsia="Times New Roman"/>
                <w:b/>
                <w:bCs/>
                <w:color w:val="auto"/>
                <w:sz w:val="18"/>
                <w:szCs w:val="18"/>
                <w:lang w:eastAsia="pl-PL"/>
              </w:rPr>
              <w:t>Czechy</w:t>
            </w:r>
          </w:p>
        </w:tc>
        <w:tc>
          <w:tcPr>
            <w:tcW w:w="760" w:type="dxa"/>
            <w:tcBorders>
              <w:top w:val="nil"/>
              <w:left w:val="single" w:sz="8" w:space="0" w:color="auto"/>
              <w:bottom w:val="single" w:sz="4" w:space="0" w:color="auto"/>
              <w:right w:val="single" w:sz="4" w:space="0" w:color="auto"/>
            </w:tcBorders>
            <w:shd w:val="clear" w:color="auto" w:fill="auto"/>
            <w:noWrap/>
            <w:vAlign w:val="center"/>
            <w:hideMark/>
          </w:tcPr>
          <w:p w14:paraId="38AEEA6D"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128,0</w:t>
            </w:r>
          </w:p>
        </w:tc>
        <w:tc>
          <w:tcPr>
            <w:tcW w:w="760" w:type="dxa"/>
            <w:tcBorders>
              <w:top w:val="nil"/>
              <w:left w:val="nil"/>
              <w:bottom w:val="single" w:sz="4" w:space="0" w:color="auto"/>
              <w:right w:val="single" w:sz="4" w:space="0" w:color="auto"/>
            </w:tcBorders>
            <w:shd w:val="clear" w:color="auto" w:fill="auto"/>
            <w:noWrap/>
            <w:vAlign w:val="center"/>
            <w:hideMark/>
          </w:tcPr>
          <w:p w14:paraId="29641B69"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137,8</w:t>
            </w:r>
          </w:p>
        </w:tc>
        <w:tc>
          <w:tcPr>
            <w:tcW w:w="760" w:type="dxa"/>
            <w:tcBorders>
              <w:top w:val="nil"/>
              <w:left w:val="nil"/>
              <w:bottom w:val="single" w:sz="4" w:space="0" w:color="auto"/>
              <w:right w:val="single" w:sz="4" w:space="0" w:color="auto"/>
            </w:tcBorders>
            <w:shd w:val="clear" w:color="auto" w:fill="auto"/>
            <w:noWrap/>
            <w:vAlign w:val="center"/>
            <w:hideMark/>
          </w:tcPr>
          <w:p w14:paraId="007C4D63"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146,5</w:t>
            </w:r>
          </w:p>
        </w:tc>
        <w:tc>
          <w:tcPr>
            <w:tcW w:w="760" w:type="dxa"/>
            <w:tcBorders>
              <w:top w:val="nil"/>
              <w:left w:val="nil"/>
              <w:bottom w:val="single" w:sz="4" w:space="0" w:color="auto"/>
              <w:right w:val="single" w:sz="4" w:space="0" w:color="auto"/>
            </w:tcBorders>
            <w:shd w:val="clear" w:color="auto" w:fill="auto"/>
            <w:noWrap/>
            <w:vAlign w:val="center"/>
            <w:hideMark/>
          </w:tcPr>
          <w:p w14:paraId="3BB171F5"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146,5</w:t>
            </w:r>
          </w:p>
        </w:tc>
        <w:tc>
          <w:tcPr>
            <w:tcW w:w="760" w:type="dxa"/>
            <w:tcBorders>
              <w:top w:val="nil"/>
              <w:left w:val="nil"/>
              <w:bottom w:val="single" w:sz="4" w:space="0" w:color="auto"/>
              <w:right w:val="single" w:sz="4" w:space="0" w:color="auto"/>
            </w:tcBorders>
            <w:shd w:val="clear" w:color="auto" w:fill="auto"/>
            <w:noWrap/>
            <w:vAlign w:val="center"/>
            <w:hideMark/>
          </w:tcPr>
          <w:p w14:paraId="216D972D"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157,6</w:t>
            </w:r>
          </w:p>
        </w:tc>
        <w:tc>
          <w:tcPr>
            <w:tcW w:w="760" w:type="dxa"/>
            <w:tcBorders>
              <w:top w:val="nil"/>
              <w:left w:val="nil"/>
              <w:bottom w:val="single" w:sz="4" w:space="0" w:color="auto"/>
              <w:right w:val="single" w:sz="4" w:space="0" w:color="auto"/>
            </w:tcBorders>
            <w:shd w:val="clear" w:color="auto" w:fill="auto"/>
            <w:noWrap/>
            <w:vAlign w:val="center"/>
            <w:hideMark/>
          </w:tcPr>
          <w:p w14:paraId="044D701E"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155,2</w:t>
            </w:r>
          </w:p>
        </w:tc>
        <w:tc>
          <w:tcPr>
            <w:tcW w:w="760" w:type="dxa"/>
            <w:tcBorders>
              <w:top w:val="nil"/>
              <w:left w:val="nil"/>
              <w:bottom w:val="single" w:sz="4" w:space="0" w:color="auto"/>
              <w:right w:val="single" w:sz="4" w:space="0" w:color="auto"/>
            </w:tcBorders>
            <w:shd w:val="clear" w:color="auto" w:fill="auto"/>
            <w:noWrap/>
            <w:vAlign w:val="center"/>
            <w:hideMark/>
          </w:tcPr>
          <w:p w14:paraId="29D2EF6A"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150,6</w:t>
            </w:r>
          </w:p>
        </w:tc>
        <w:tc>
          <w:tcPr>
            <w:tcW w:w="760" w:type="dxa"/>
            <w:tcBorders>
              <w:top w:val="nil"/>
              <w:left w:val="nil"/>
              <w:bottom w:val="single" w:sz="4" w:space="0" w:color="auto"/>
              <w:right w:val="single" w:sz="4" w:space="0" w:color="auto"/>
            </w:tcBorders>
            <w:shd w:val="clear" w:color="auto" w:fill="auto"/>
            <w:noWrap/>
            <w:vAlign w:val="center"/>
            <w:hideMark/>
          </w:tcPr>
          <w:p w14:paraId="1C37780C"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150,5</w:t>
            </w:r>
          </w:p>
        </w:tc>
        <w:tc>
          <w:tcPr>
            <w:tcW w:w="760" w:type="dxa"/>
            <w:tcBorders>
              <w:top w:val="nil"/>
              <w:left w:val="nil"/>
              <w:bottom w:val="single" w:sz="4" w:space="0" w:color="auto"/>
              <w:right w:val="single" w:sz="4" w:space="0" w:color="auto"/>
            </w:tcBorders>
            <w:shd w:val="clear" w:color="auto" w:fill="auto"/>
            <w:noWrap/>
            <w:vAlign w:val="center"/>
            <w:hideMark/>
          </w:tcPr>
          <w:p w14:paraId="1705233A"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148,0</w:t>
            </w:r>
          </w:p>
        </w:tc>
        <w:tc>
          <w:tcPr>
            <w:tcW w:w="760" w:type="dxa"/>
            <w:tcBorders>
              <w:top w:val="nil"/>
              <w:left w:val="nil"/>
              <w:bottom w:val="single" w:sz="4" w:space="0" w:color="auto"/>
              <w:right w:val="single" w:sz="8" w:space="0" w:color="auto"/>
            </w:tcBorders>
            <w:shd w:val="clear" w:color="auto" w:fill="auto"/>
            <w:noWrap/>
            <w:vAlign w:val="center"/>
            <w:hideMark/>
          </w:tcPr>
          <w:p w14:paraId="3B252AC2"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142,8</w:t>
            </w:r>
          </w:p>
        </w:tc>
      </w:tr>
      <w:tr w:rsidR="002C51A1" w:rsidRPr="00481E86" w14:paraId="7200EA31" w14:textId="77777777" w:rsidTr="00EF36FC">
        <w:trPr>
          <w:trHeight w:val="288"/>
        </w:trPr>
        <w:tc>
          <w:tcPr>
            <w:tcW w:w="1480" w:type="dxa"/>
            <w:tcBorders>
              <w:top w:val="nil"/>
              <w:left w:val="single" w:sz="8" w:space="0" w:color="auto"/>
              <w:bottom w:val="single" w:sz="4" w:space="0" w:color="auto"/>
              <w:right w:val="nil"/>
            </w:tcBorders>
            <w:shd w:val="clear" w:color="000000" w:fill="767779"/>
            <w:noWrap/>
            <w:vAlign w:val="center"/>
            <w:hideMark/>
          </w:tcPr>
          <w:p w14:paraId="66978199" w14:textId="77777777" w:rsidR="002C51A1" w:rsidRPr="00C43E61" w:rsidRDefault="002C51A1" w:rsidP="00EF36FC">
            <w:pPr>
              <w:spacing w:before="0" w:after="0" w:line="240" w:lineRule="auto"/>
              <w:jc w:val="left"/>
              <w:rPr>
                <w:rFonts w:eastAsia="Times New Roman"/>
                <w:b/>
                <w:bCs/>
                <w:color w:val="auto"/>
                <w:sz w:val="18"/>
                <w:szCs w:val="18"/>
                <w:lang w:eastAsia="pl-PL"/>
              </w:rPr>
            </w:pPr>
            <w:r w:rsidRPr="00C43E61">
              <w:rPr>
                <w:rFonts w:eastAsia="Times New Roman"/>
                <w:b/>
                <w:bCs/>
                <w:color w:val="auto"/>
                <w:sz w:val="18"/>
                <w:szCs w:val="18"/>
                <w:lang w:eastAsia="pl-PL"/>
              </w:rPr>
              <w:t>Niemcy</w:t>
            </w:r>
          </w:p>
        </w:tc>
        <w:tc>
          <w:tcPr>
            <w:tcW w:w="760" w:type="dxa"/>
            <w:tcBorders>
              <w:top w:val="nil"/>
              <w:left w:val="single" w:sz="8" w:space="0" w:color="auto"/>
              <w:bottom w:val="single" w:sz="4" w:space="0" w:color="auto"/>
              <w:right w:val="single" w:sz="4" w:space="0" w:color="auto"/>
            </w:tcBorders>
            <w:shd w:val="clear" w:color="auto" w:fill="auto"/>
            <w:noWrap/>
            <w:vAlign w:val="center"/>
            <w:hideMark/>
          </w:tcPr>
          <w:p w14:paraId="5D53BE7F"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79,9</w:t>
            </w:r>
          </w:p>
        </w:tc>
        <w:tc>
          <w:tcPr>
            <w:tcW w:w="760" w:type="dxa"/>
            <w:tcBorders>
              <w:top w:val="nil"/>
              <w:left w:val="nil"/>
              <w:bottom w:val="single" w:sz="4" w:space="0" w:color="auto"/>
              <w:right w:val="single" w:sz="4" w:space="0" w:color="auto"/>
            </w:tcBorders>
            <w:shd w:val="clear" w:color="auto" w:fill="auto"/>
            <w:noWrap/>
            <w:vAlign w:val="center"/>
            <w:hideMark/>
          </w:tcPr>
          <w:p w14:paraId="70BFE7E6"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85,2</w:t>
            </w:r>
          </w:p>
        </w:tc>
        <w:tc>
          <w:tcPr>
            <w:tcW w:w="760" w:type="dxa"/>
            <w:tcBorders>
              <w:top w:val="nil"/>
              <w:left w:val="nil"/>
              <w:bottom w:val="single" w:sz="4" w:space="0" w:color="auto"/>
              <w:right w:val="single" w:sz="4" w:space="0" w:color="auto"/>
            </w:tcBorders>
            <w:shd w:val="clear" w:color="auto" w:fill="auto"/>
            <w:noWrap/>
            <w:vAlign w:val="center"/>
            <w:hideMark/>
          </w:tcPr>
          <w:p w14:paraId="0D3053A0"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86,5</w:t>
            </w:r>
          </w:p>
        </w:tc>
        <w:tc>
          <w:tcPr>
            <w:tcW w:w="760" w:type="dxa"/>
            <w:tcBorders>
              <w:top w:val="nil"/>
              <w:left w:val="nil"/>
              <w:bottom w:val="single" w:sz="4" w:space="0" w:color="auto"/>
              <w:right w:val="single" w:sz="4" w:space="0" w:color="auto"/>
            </w:tcBorders>
            <w:shd w:val="clear" w:color="auto" w:fill="auto"/>
            <w:noWrap/>
            <w:vAlign w:val="center"/>
            <w:hideMark/>
          </w:tcPr>
          <w:p w14:paraId="1204D85A"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85,1</w:t>
            </w:r>
          </w:p>
        </w:tc>
        <w:tc>
          <w:tcPr>
            <w:tcW w:w="760" w:type="dxa"/>
            <w:tcBorders>
              <w:top w:val="nil"/>
              <w:left w:val="nil"/>
              <w:bottom w:val="single" w:sz="4" w:space="0" w:color="auto"/>
              <w:right w:val="single" w:sz="4" w:space="0" w:color="auto"/>
            </w:tcBorders>
            <w:shd w:val="clear" w:color="auto" w:fill="auto"/>
            <w:noWrap/>
            <w:vAlign w:val="center"/>
            <w:hideMark/>
          </w:tcPr>
          <w:p w14:paraId="5EECA326"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84,6</w:t>
            </w:r>
          </w:p>
        </w:tc>
        <w:tc>
          <w:tcPr>
            <w:tcW w:w="760" w:type="dxa"/>
            <w:tcBorders>
              <w:top w:val="nil"/>
              <w:left w:val="nil"/>
              <w:bottom w:val="single" w:sz="4" w:space="0" w:color="auto"/>
              <w:right w:val="single" w:sz="4" w:space="0" w:color="auto"/>
            </w:tcBorders>
            <w:shd w:val="clear" w:color="auto" w:fill="auto"/>
            <w:noWrap/>
            <w:vAlign w:val="center"/>
            <w:hideMark/>
          </w:tcPr>
          <w:p w14:paraId="373BDA52"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86,2</w:t>
            </w:r>
          </w:p>
        </w:tc>
        <w:tc>
          <w:tcPr>
            <w:tcW w:w="760" w:type="dxa"/>
            <w:tcBorders>
              <w:top w:val="nil"/>
              <w:left w:val="nil"/>
              <w:bottom w:val="single" w:sz="4" w:space="0" w:color="auto"/>
              <w:right w:val="single" w:sz="4" w:space="0" w:color="auto"/>
            </w:tcBorders>
            <w:shd w:val="clear" w:color="auto" w:fill="auto"/>
            <w:noWrap/>
            <w:vAlign w:val="center"/>
            <w:hideMark/>
          </w:tcPr>
          <w:p w14:paraId="0E335CC0"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84,8</w:t>
            </w:r>
          </w:p>
        </w:tc>
        <w:tc>
          <w:tcPr>
            <w:tcW w:w="760" w:type="dxa"/>
            <w:tcBorders>
              <w:top w:val="nil"/>
              <w:left w:val="nil"/>
              <w:bottom w:val="single" w:sz="4" w:space="0" w:color="auto"/>
              <w:right w:val="single" w:sz="4" w:space="0" w:color="auto"/>
            </w:tcBorders>
            <w:shd w:val="clear" w:color="auto" w:fill="auto"/>
            <w:noWrap/>
            <w:vAlign w:val="center"/>
            <w:hideMark/>
          </w:tcPr>
          <w:p w14:paraId="6379E6DF"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87,4</w:t>
            </w:r>
          </w:p>
        </w:tc>
        <w:tc>
          <w:tcPr>
            <w:tcW w:w="760" w:type="dxa"/>
            <w:tcBorders>
              <w:top w:val="nil"/>
              <w:left w:val="nil"/>
              <w:bottom w:val="single" w:sz="4" w:space="0" w:color="auto"/>
              <w:right w:val="single" w:sz="4" w:space="0" w:color="auto"/>
            </w:tcBorders>
            <w:shd w:val="clear" w:color="auto" w:fill="auto"/>
            <w:noWrap/>
            <w:vAlign w:val="center"/>
            <w:hideMark/>
          </w:tcPr>
          <w:p w14:paraId="569AF0E5"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88,6</w:t>
            </w:r>
          </w:p>
        </w:tc>
        <w:tc>
          <w:tcPr>
            <w:tcW w:w="760" w:type="dxa"/>
            <w:tcBorders>
              <w:top w:val="nil"/>
              <w:left w:val="nil"/>
              <w:bottom w:val="single" w:sz="4" w:space="0" w:color="auto"/>
              <w:right w:val="single" w:sz="8" w:space="0" w:color="auto"/>
            </w:tcBorders>
            <w:shd w:val="clear" w:color="auto" w:fill="auto"/>
            <w:noWrap/>
            <w:vAlign w:val="center"/>
            <w:hideMark/>
          </w:tcPr>
          <w:p w14:paraId="11187303"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88,0</w:t>
            </w:r>
          </w:p>
        </w:tc>
      </w:tr>
      <w:tr w:rsidR="002C51A1" w:rsidRPr="00481E86" w14:paraId="0B75CCB0" w14:textId="77777777" w:rsidTr="00EF36FC">
        <w:trPr>
          <w:trHeight w:val="288"/>
        </w:trPr>
        <w:tc>
          <w:tcPr>
            <w:tcW w:w="1480" w:type="dxa"/>
            <w:tcBorders>
              <w:top w:val="nil"/>
              <w:left w:val="single" w:sz="8" w:space="0" w:color="auto"/>
              <w:bottom w:val="single" w:sz="4" w:space="0" w:color="auto"/>
              <w:right w:val="nil"/>
            </w:tcBorders>
            <w:shd w:val="clear" w:color="000000" w:fill="767779"/>
            <w:noWrap/>
            <w:vAlign w:val="center"/>
            <w:hideMark/>
          </w:tcPr>
          <w:p w14:paraId="28254B2B" w14:textId="77777777" w:rsidR="002C51A1" w:rsidRPr="00C43E61" w:rsidRDefault="002C51A1" w:rsidP="00EF36FC">
            <w:pPr>
              <w:spacing w:before="0" w:after="0" w:line="240" w:lineRule="auto"/>
              <w:jc w:val="left"/>
              <w:rPr>
                <w:rFonts w:eastAsia="Times New Roman"/>
                <w:b/>
                <w:bCs/>
                <w:color w:val="auto"/>
                <w:sz w:val="18"/>
                <w:szCs w:val="18"/>
                <w:lang w:eastAsia="pl-PL"/>
              </w:rPr>
            </w:pPr>
            <w:r w:rsidRPr="00C43E61">
              <w:rPr>
                <w:rFonts w:eastAsia="Times New Roman"/>
                <w:b/>
                <w:bCs/>
                <w:color w:val="auto"/>
                <w:sz w:val="18"/>
                <w:szCs w:val="18"/>
                <w:lang w:eastAsia="pl-PL"/>
              </w:rPr>
              <w:t>Hiszpania</w:t>
            </w:r>
          </w:p>
        </w:tc>
        <w:tc>
          <w:tcPr>
            <w:tcW w:w="760" w:type="dxa"/>
            <w:tcBorders>
              <w:top w:val="nil"/>
              <w:left w:val="single" w:sz="8" w:space="0" w:color="auto"/>
              <w:bottom w:val="single" w:sz="4" w:space="0" w:color="auto"/>
              <w:right w:val="single" w:sz="4" w:space="0" w:color="auto"/>
            </w:tcBorders>
            <w:shd w:val="clear" w:color="auto" w:fill="auto"/>
            <w:noWrap/>
            <w:vAlign w:val="center"/>
            <w:hideMark/>
          </w:tcPr>
          <w:p w14:paraId="39C183B8"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53,0</w:t>
            </w:r>
          </w:p>
        </w:tc>
        <w:tc>
          <w:tcPr>
            <w:tcW w:w="760" w:type="dxa"/>
            <w:tcBorders>
              <w:top w:val="nil"/>
              <w:left w:val="nil"/>
              <w:bottom w:val="single" w:sz="4" w:space="0" w:color="auto"/>
              <w:right w:val="single" w:sz="4" w:space="0" w:color="auto"/>
            </w:tcBorders>
            <w:shd w:val="clear" w:color="auto" w:fill="auto"/>
            <w:noWrap/>
            <w:vAlign w:val="center"/>
            <w:hideMark/>
          </w:tcPr>
          <w:p w14:paraId="4FE6EE2D"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58,8</w:t>
            </w:r>
          </w:p>
        </w:tc>
        <w:tc>
          <w:tcPr>
            <w:tcW w:w="760" w:type="dxa"/>
            <w:tcBorders>
              <w:top w:val="nil"/>
              <w:left w:val="nil"/>
              <w:bottom w:val="single" w:sz="4" w:space="0" w:color="auto"/>
              <w:right w:val="single" w:sz="4" w:space="0" w:color="auto"/>
            </w:tcBorders>
            <w:shd w:val="clear" w:color="auto" w:fill="auto"/>
            <w:noWrap/>
            <w:vAlign w:val="center"/>
            <w:hideMark/>
          </w:tcPr>
          <w:p w14:paraId="694C275C"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60,9</w:t>
            </w:r>
          </w:p>
        </w:tc>
        <w:tc>
          <w:tcPr>
            <w:tcW w:w="760" w:type="dxa"/>
            <w:tcBorders>
              <w:top w:val="nil"/>
              <w:left w:val="nil"/>
              <w:bottom w:val="single" w:sz="4" w:space="0" w:color="auto"/>
              <w:right w:val="single" w:sz="4" w:space="0" w:color="auto"/>
            </w:tcBorders>
            <w:shd w:val="clear" w:color="auto" w:fill="auto"/>
            <w:noWrap/>
            <w:vAlign w:val="center"/>
            <w:hideMark/>
          </w:tcPr>
          <w:p w14:paraId="298EEDA8"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62,0</w:t>
            </w:r>
          </w:p>
        </w:tc>
        <w:tc>
          <w:tcPr>
            <w:tcW w:w="760" w:type="dxa"/>
            <w:tcBorders>
              <w:top w:val="nil"/>
              <w:left w:val="nil"/>
              <w:bottom w:val="single" w:sz="4" w:space="0" w:color="auto"/>
              <w:right w:val="single" w:sz="4" w:space="0" w:color="auto"/>
            </w:tcBorders>
            <w:shd w:val="clear" w:color="auto" w:fill="auto"/>
            <w:noWrap/>
            <w:vAlign w:val="center"/>
            <w:hideMark/>
          </w:tcPr>
          <w:p w14:paraId="6B401BD2"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63,9</w:t>
            </w:r>
          </w:p>
        </w:tc>
        <w:tc>
          <w:tcPr>
            <w:tcW w:w="760" w:type="dxa"/>
            <w:tcBorders>
              <w:top w:val="nil"/>
              <w:left w:val="nil"/>
              <w:bottom w:val="single" w:sz="4" w:space="0" w:color="auto"/>
              <w:right w:val="single" w:sz="4" w:space="0" w:color="auto"/>
            </w:tcBorders>
            <w:shd w:val="clear" w:color="auto" w:fill="auto"/>
            <w:noWrap/>
            <w:vAlign w:val="center"/>
            <w:hideMark/>
          </w:tcPr>
          <w:p w14:paraId="157846AC"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64,2</w:t>
            </w:r>
          </w:p>
        </w:tc>
        <w:tc>
          <w:tcPr>
            <w:tcW w:w="760" w:type="dxa"/>
            <w:tcBorders>
              <w:top w:val="nil"/>
              <w:left w:val="nil"/>
              <w:bottom w:val="single" w:sz="4" w:space="0" w:color="auto"/>
              <w:right w:val="single" w:sz="4" w:space="0" w:color="auto"/>
            </w:tcBorders>
            <w:shd w:val="clear" w:color="auto" w:fill="auto"/>
            <w:noWrap/>
            <w:vAlign w:val="center"/>
            <w:hideMark/>
          </w:tcPr>
          <w:p w14:paraId="423BDFDE"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63,8</w:t>
            </w:r>
          </w:p>
        </w:tc>
        <w:tc>
          <w:tcPr>
            <w:tcW w:w="760" w:type="dxa"/>
            <w:tcBorders>
              <w:top w:val="nil"/>
              <w:left w:val="nil"/>
              <w:bottom w:val="single" w:sz="4" w:space="0" w:color="auto"/>
              <w:right w:val="single" w:sz="4" w:space="0" w:color="auto"/>
            </w:tcBorders>
            <w:shd w:val="clear" w:color="auto" w:fill="auto"/>
            <w:noWrap/>
            <w:vAlign w:val="center"/>
            <w:hideMark/>
          </w:tcPr>
          <w:p w14:paraId="0E082802"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66,6</w:t>
            </w:r>
          </w:p>
        </w:tc>
        <w:tc>
          <w:tcPr>
            <w:tcW w:w="760" w:type="dxa"/>
            <w:tcBorders>
              <w:top w:val="nil"/>
              <w:left w:val="nil"/>
              <w:bottom w:val="single" w:sz="4" w:space="0" w:color="auto"/>
              <w:right w:val="single" w:sz="4" w:space="0" w:color="auto"/>
            </w:tcBorders>
            <w:shd w:val="clear" w:color="auto" w:fill="auto"/>
            <w:noWrap/>
            <w:vAlign w:val="center"/>
            <w:hideMark/>
          </w:tcPr>
          <w:p w14:paraId="69F39ED4"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67,5</w:t>
            </w:r>
          </w:p>
        </w:tc>
        <w:tc>
          <w:tcPr>
            <w:tcW w:w="760" w:type="dxa"/>
            <w:tcBorders>
              <w:top w:val="nil"/>
              <w:left w:val="nil"/>
              <w:bottom w:val="single" w:sz="4" w:space="0" w:color="auto"/>
              <w:right w:val="single" w:sz="8" w:space="0" w:color="auto"/>
            </w:tcBorders>
            <w:shd w:val="clear" w:color="auto" w:fill="auto"/>
            <w:noWrap/>
            <w:vAlign w:val="center"/>
            <w:hideMark/>
          </w:tcPr>
          <w:p w14:paraId="42211D82"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66,8</w:t>
            </w:r>
          </w:p>
        </w:tc>
      </w:tr>
      <w:tr w:rsidR="002C51A1" w:rsidRPr="00481E86" w14:paraId="782EB189" w14:textId="77777777" w:rsidTr="00EF36FC">
        <w:trPr>
          <w:trHeight w:val="288"/>
        </w:trPr>
        <w:tc>
          <w:tcPr>
            <w:tcW w:w="1480" w:type="dxa"/>
            <w:tcBorders>
              <w:top w:val="nil"/>
              <w:left w:val="single" w:sz="8" w:space="0" w:color="auto"/>
              <w:bottom w:val="single" w:sz="4" w:space="0" w:color="auto"/>
              <w:right w:val="nil"/>
            </w:tcBorders>
            <w:shd w:val="clear" w:color="000000" w:fill="767779"/>
            <w:noWrap/>
            <w:vAlign w:val="center"/>
            <w:hideMark/>
          </w:tcPr>
          <w:p w14:paraId="413A21DA" w14:textId="77777777" w:rsidR="002C51A1" w:rsidRPr="00C43E61" w:rsidRDefault="002C51A1" w:rsidP="00EF36FC">
            <w:pPr>
              <w:spacing w:before="0" w:after="0" w:line="240" w:lineRule="auto"/>
              <w:jc w:val="left"/>
              <w:rPr>
                <w:rFonts w:eastAsia="Times New Roman"/>
                <w:b/>
                <w:bCs/>
                <w:color w:val="auto"/>
                <w:sz w:val="18"/>
                <w:szCs w:val="18"/>
                <w:lang w:eastAsia="pl-PL"/>
              </w:rPr>
            </w:pPr>
            <w:r w:rsidRPr="00C43E61">
              <w:rPr>
                <w:rFonts w:eastAsia="Times New Roman"/>
                <w:b/>
                <w:bCs/>
                <w:color w:val="auto"/>
                <w:sz w:val="18"/>
                <w:szCs w:val="18"/>
                <w:lang w:eastAsia="pl-PL"/>
              </w:rPr>
              <w:t>Francja</w:t>
            </w:r>
          </w:p>
        </w:tc>
        <w:tc>
          <w:tcPr>
            <w:tcW w:w="760" w:type="dxa"/>
            <w:tcBorders>
              <w:top w:val="nil"/>
              <w:left w:val="single" w:sz="8" w:space="0" w:color="auto"/>
              <w:bottom w:val="single" w:sz="4" w:space="0" w:color="auto"/>
              <w:right w:val="single" w:sz="4" w:space="0" w:color="auto"/>
            </w:tcBorders>
            <w:shd w:val="clear" w:color="auto" w:fill="auto"/>
            <w:noWrap/>
            <w:vAlign w:val="center"/>
            <w:hideMark/>
          </w:tcPr>
          <w:p w14:paraId="6E317E96"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54,9</w:t>
            </w:r>
          </w:p>
        </w:tc>
        <w:tc>
          <w:tcPr>
            <w:tcW w:w="760" w:type="dxa"/>
            <w:tcBorders>
              <w:top w:val="nil"/>
              <w:left w:val="nil"/>
              <w:bottom w:val="single" w:sz="4" w:space="0" w:color="auto"/>
              <w:right w:val="single" w:sz="4" w:space="0" w:color="auto"/>
            </w:tcBorders>
            <w:shd w:val="clear" w:color="auto" w:fill="auto"/>
            <w:noWrap/>
            <w:vAlign w:val="center"/>
            <w:hideMark/>
          </w:tcPr>
          <w:p w14:paraId="7BD22AE3"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58,8</w:t>
            </w:r>
          </w:p>
        </w:tc>
        <w:tc>
          <w:tcPr>
            <w:tcW w:w="760" w:type="dxa"/>
            <w:tcBorders>
              <w:top w:val="nil"/>
              <w:left w:val="nil"/>
              <w:bottom w:val="single" w:sz="4" w:space="0" w:color="auto"/>
              <w:right w:val="single" w:sz="4" w:space="0" w:color="auto"/>
            </w:tcBorders>
            <w:shd w:val="clear" w:color="auto" w:fill="auto"/>
            <w:noWrap/>
            <w:vAlign w:val="center"/>
            <w:hideMark/>
          </w:tcPr>
          <w:p w14:paraId="48C443F8"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59,7</w:t>
            </w:r>
          </w:p>
        </w:tc>
        <w:tc>
          <w:tcPr>
            <w:tcW w:w="760" w:type="dxa"/>
            <w:tcBorders>
              <w:top w:val="nil"/>
              <w:left w:val="nil"/>
              <w:bottom w:val="single" w:sz="4" w:space="0" w:color="auto"/>
              <w:right w:val="single" w:sz="4" w:space="0" w:color="auto"/>
            </w:tcBorders>
            <w:shd w:val="clear" w:color="auto" w:fill="auto"/>
            <w:noWrap/>
            <w:vAlign w:val="center"/>
            <w:hideMark/>
          </w:tcPr>
          <w:p w14:paraId="2C706486"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59,8</w:t>
            </w:r>
          </w:p>
        </w:tc>
        <w:tc>
          <w:tcPr>
            <w:tcW w:w="760" w:type="dxa"/>
            <w:tcBorders>
              <w:top w:val="nil"/>
              <w:left w:val="nil"/>
              <w:bottom w:val="single" w:sz="4" w:space="0" w:color="auto"/>
              <w:right w:val="single" w:sz="4" w:space="0" w:color="auto"/>
            </w:tcBorders>
            <w:shd w:val="clear" w:color="auto" w:fill="auto"/>
            <w:noWrap/>
            <w:vAlign w:val="center"/>
            <w:hideMark/>
          </w:tcPr>
          <w:p w14:paraId="6ECD43F1"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60,5</w:t>
            </w:r>
          </w:p>
        </w:tc>
        <w:tc>
          <w:tcPr>
            <w:tcW w:w="760" w:type="dxa"/>
            <w:tcBorders>
              <w:top w:val="nil"/>
              <w:left w:val="nil"/>
              <w:bottom w:val="single" w:sz="4" w:space="0" w:color="auto"/>
              <w:right w:val="single" w:sz="4" w:space="0" w:color="auto"/>
            </w:tcBorders>
            <w:shd w:val="clear" w:color="auto" w:fill="auto"/>
            <w:noWrap/>
            <w:vAlign w:val="center"/>
            <w:hideMark/>
          </w:tcPr>
          <w:p w14:paraId="53B45788"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61,8</w:t>
            </w:r>
          </w:p>
        </w:tc>
        <w:tc>
          <w:tcPr>
            <w:tcW w:w="760" w:type="dxa"/>
            <w:tcBorders>
              <w:top w:val="nil"/>
              <w:left w:val="nil"/>
              <w:bottom w:val="single" w:sz="4" w:space="0" w:color="auto"/>
              <w:right w:val="single" w:sz="4" w:space="0" w:color="auto"/>
            </w:tcBorders>
            <w:shd w:val="clear" w:color="auto" w:fill="auto"/>
            <w:noWrap/>
            <w:vAlign w:val="center"/>
            <w:hideMark/>
          </w:tcPr>
          <w:p w14:paraId="488ED44C"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61,1</w:t>
            </w:r>
          </w:p>
        </w:tc>
        <w:tc>
          <w:tcPr>
            <w:tcW w:w="760" w:type="dxa"/>
            <w:tcBorders>
              <w:top w:val="nil"/>
              <w:left w:val="nil"/>
              <w:bottom w:val="single" w:sz="4" w:space="0" w:color="auto"/>
              <w:right w:val="single" w:sz="4" w:space="0" w:color="auto"/>
            </w:tcBorders>
            <w:shd w:val="clear" w:color="auto" w:fill="auto"/>
            <w:noWrap/>
            <w:vAlign w:val="center"/>
            <w:hideMark/>
          </w:tcPr>
          <w:p w14:paraId="2A7343EC"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62,9</w:t>
            </w:r>
          </w:p>
        </w:tc>
        <w:tc>
          <w:tcPr>
            <w:tcW w:w="760" w:type="dxa"/>
            <w:tcBorders>
              <w:top w:val="nil"/>
              <w:left w:val="nil"/>
              <w:bottom w:val="single" w:sz="4" w:space="0" w:color="auto"/>
              <w:right w:val="single" w:sz="4" w:space="0" w:color="auto"/>
            </w:tcBorders>
            <w:shd w:val="clear" w:color="auto" w:fill="auto"/>
            <w:noWrap/>
            <w:vAlign w:val="center"/>
            <w:hideMark/>
          </w:tcPr>
          <w:p w14:paraId="2301862F"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64,5</w:t>
            </w:r>
          </w:p>
        </w:tc>
        <w:tc>
          <w:tcPr>
            <w:tcW w:w="760" w:type="dxa"/>
            <w:tcBorders>
              <w:top w:val="nil"/>
              <w:left w:val="nil"/>
              <w:bottom w:val="single" w:sz="4" w:space="0" w:color="auto"/>
              <w:right w:val="single" w:sz="8" w:space="0" w:color="auto"/>
            </w:tcBorders>
            <w:shd w:val="clear" w:color="auto" w:fill="auto"/>
            <w:noWrap/>
            <w:vAlign w:val="center"/>
            <w:hideMark/>
          </w:tcPr>
          <w:p w14:paraId="0C857D90"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64,6</w:t>
            </w:r>
          </w:p>
        </w:tc>
      </w:tr>
      <w:tr w:rsidR="002C51A1" w:rsidRPr="00481E86" w14:paraId="59A9CF39" w14:textId="77777777" w:rsidTr="00EF36FC">
        <w:trPr>
          <w:trHeight w:val="288"/>
        </w:trPr>
        <w:tc>
          <w:tcPr>
            <w:tcW w:w="1480" w:type="dxa"/>
            <w:tcBorders>
              <w:top w:val="nil"/>
              <w:left w:val="single" w:sz="8" w:space="0" w:color="auto"/>
              <w:bottom w:val="single" w:sz="4" w:space="0" w:color="auto"/>
              <w:right w:val="nil"/>
            </w:tcBorders>
            <w:shd w:val="clear" w:color="000000" w:fill="767779"/>
            <w:noWrap/>
            <w:vAlign w:val="center"/>
            <w:hideMark/>
          </w:tcPr>
          <w:p w14:paraId="325DC5C3" w14:textId="77777777" w:rsidR="002C51A1" w:rsidRPr="00C43E61" w:rsidRDefault="002C51A1" w:rsidP="00EF36FC">
            <w:pPr>
              <w:spacing w:before="0" w:after="0" w:line="240" w:lineRule="auto"/>
              <w:jc w:val="left"/>
              <w:rPr>
                <w:rFonts w:eastAsia="Times New Roman"/>
                <w:b/>
                <w:bCs/>
                <w:color w:val="auto"/>
                <w:sz w:val="18"/>
                <w:szCs w:val="18"/>
                <w:lang w:eastAsia="pl-PL"/>
              </w:rPr>
            </w:pPr>
            <w:r w:rsidRPr="00C43E61">
              <w:rPr>
                <w:rFonts w:eastAsia="Times New Roman"/>
                <w:b/>
                <w:bCs/>
                <w:color w:val="auto"/>
                <w:sz w:val="18"/>
                <w:szCs w:val="18"/>
                <w:lang w:eastAsia="pl-PL"/>
              </w:rPr>
              <w:t>Włochy</w:t>
            </w:r>
          </w:p>
        </w:tc>
        <w:tc>
          <w:tcPr>
            <w:tcW w:w="760" w:type="dxa"/>
            <w:tcBorders>
              <w:top w:val="nil"/>
              <w:left w:val="single" w:sz="8" w:space="0" w:color="auto"/>
              <w:bottom w:val="single" w:sz="4" w:space="0" w:color="auto"/>
              <w:right w:val="single" w:sz="4" w:space="0" w:color="auto"/>
            </w:tcBorders>
            <w:shd w:val="clear" w:color="auto" w:fill="auto"/>
            <w:noWrap/>
            <w:vAlign w:val="center"/>
            <w:hideMark/>
          </w:tcPr>
          <w:p w14:paraId="5278A062"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52,0</w:t>
            </w:r>
          </w:p>
        </w:tc>
        <w:tc>
          <w:tcPr>
            <w:tcW w:w="760" w:type="dxa"/>
            <w:tcBorders>
              <w:top w:val="nil"/>
              <w:left w:val="nil"/>
              <w:bottom w:val="single" w:sz="4" w:space="0" w:color="auto"/>
              <w:right w:val="single" w:sz="4" w:space="0" w:color="auto"/>
            </w:tcBorders>
            <w:shd w:val="clear" w:color="auto" w:fill="auto"/>
            <w:noWrap/>
            <w:vAlign w:val="center"/>
            <w:hideMark/>
          </w:tcPr>
          <w:p w14:paraId="78ADA192"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55,2</w:t>
            </w:r>
          </w:p>
        </w:tc>
        <w:tc>
          <w:tcPr>
            <w:tcW w:w="760" w:type="dxa"/>
            <w:tcBorders>
              <w:top w:val="nil"/>
              <w:left w:val="nil"/>
              <w:bottom w:val="single" w:sz="4" w:space="0" w:color="auto"/>
              <w:right w:val="single" w:sz="4" w:space="0" w:color="auto"/>
            </w:tcBorders>
            <w:shd w:val="clear" w:color="auto" w:fill="auto"/>
            <w:noWrap/>
            <w:vAlign w:val="center"/>
            <w:hideMark/>
          </w:tcPr>
          <w:p w14:paraId="381C534D"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55,7</w:t>
            </w:r>
          </w:p>
        </w:tc>
        <w:tc>
          <w:tcPr>
            <w:tcW w:w="760" w:type="dxa"/>
            <w:tcBorders>
              <w:top w:val="nil"/>
              <w:left w:val="nil"/>
              <w:bottom w:val="single" w:sz="4" w:space="0" w:color="auto"/>
              <w:right w:val="single" w:sz="4" w:space="0" w:color="auto"/>
            </w:tcBorders>
            <w:shd w:val="clear" w:color="auto" w:fill="auto"/>
            <w:noWrap/>
            <w:vAlign w:val="center"/>
            <w:hideMark/>
          </w:tcPr>
          <w:p w14:paraId="31B49527"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54,8</w:t>
            </w:r>
          </w:p>
        </w:tc>
        <w:tc>
          <w:tcPr>
            <w:tcW w:w="760" w:type="dxa"/>
            <w:tcBorders>
              <w:top w:val="nil"/>
              <w:left w:val="nil"/>
              <w:bottom w:val="single" w:sz="4" w:space="0" w:color="auto"/>
              <w:right w:val="single" w:sz="4" w:space="0" w:color="auto"/>
            </w:tcBorders>
            <w:shd w:val="clear" w:color="auto" w:fill="auto"/>
            <w:noWrap/>
            <w:vAlign w:val="center"/>
            <w:hideMark/>
          </w:tcPr>
          <w:p w14:paraId="77CACD62"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55,3</w:t>
            </w:r>
          </w:p>
        </w:tc>
        <w:tc>
          <w:tcPr>
            <w:tcW w:w="760" w:type="dxa"/>
            <w:tcBorders>
              <w:top w:val="nil"/>
              <w:left w:val="nil"/>
              <w:bottom w:val="single" w:sz="4" w:space="0" w:color="auto"/>
              <w:right w:val="single" w:sz="4" w:space="0" w:color="auto"/>
            </w:tcBorders>
            <w:shd w:val="clear" w:color="auto" w:fill="auto"/>
            <w:noWrap/>
            <w:vAlign w:val="center"/>
            <w:hideMark/>
          </w:tcPr>
          <w:p w14:paraId="3A362F19"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56,4</w:t>
            </w:r>
          </w:p>
        </w:tc>
        <w:tc>
          <w:tcPr>
            <w:tcW w:w="760" w:type="dxa"/>
            <w:tcBorders>
              <w:top w:val="nil"/>
              <w:left w:val="nil"/>
              <w:bottom w:val="single" w:sz="4" w:space="0" w:color="auto"/>
              <w:right w:val="single" w:sz="4" w:space="0" w:color="auto"/>
            </w:tcBorders>
            <w:shd w:val="clear" w:color="auto" w:fill="auto"/>
            <w:noWrap/>
            <w:vAlign w:val="center"/>
            <w:hideMark/>
          </w:tcPr>
          <w:p w14:paraId="4BB9ADB8"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55,3</w:t>
            </w:r>
          </w:p>
        </w:tc>
        <w:tc>
          <w:tcPr>
            <w:tcW w:w="760" w:type="dxa"/>
            <w:tcBorders>
              <w:top w:val="nil"/>
              <w:left w:val="nil"/>
              <w:bottom w:val="single" w:sz="4" w:space="0" w:color="auto"/>
              <w:right w:val="single" w:sz="4" w:space="0" w:color="auto"/>
            </w:tcBorders>
            <w:shd w:val="clear" w:color="auto" w:fill="auto"/>
            <w:noWrap/>
            <w:vAlign w:val="center"/>
            <w:hideMark/>
          </w:tcPr>
          <w:p w14:paraId="2D4A4B4E"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58,6</w:t>
            </w:r>
          </w:p>
        </w:tc>
        <w:tc>
          <w:tcPr>
            <w:tcW w:w="760" w:type="dxa"/>
            <w:tcBorders>
              <w:top w:val="nil"/>
              <w:left w:val="nil"/>
              <w:bottom w:val="single" w:sz="4" w:space="0" w:color="auto"/>
              <w:right w:val="single" w:sz="4" w:space="0" w:color="auto"/>
            </w:tcBorders>
            <w:shd w:val="clear" w:color="auto" w:fill="auto"/>
            <w:noWrap/>
            <w:vAlign w:val="center"/>
            <w:hideMark/>
          </w:tcPr>
          <w:p w14:paraId="1637B28D"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60,4</w:t>
            </w:r>
          </w:p>
        </w:tc>
        <w:tc>
          <w:tcPr>
            <w:tcW w:w="760" w:type="dxa"/>
            <w:tcBorders>
              <w:top w:val="nil"/>
              <w:left w:val="nil"/>
              <w:bottom w:val="single" w:sz="4" w:space="0" w:color="auto"/>
              <w:right w:val="single" w:sz="8" w:space="0" w:color="auto"/>
            </w:tcBorders>
            <w:shd w:val="clear" w:color="auto" w:fill="auto"/>
            <w:noWrap/>
            <w:vAlign w:val="center"/>
            <w:hideMark/>
          </w:tcPr>
          <w:p w14:paraId="71C97C13"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60,0</w:t>
            </w:r>
          </w:p>
        </w:tc>
      </w:tr>
      <w:tr w:rsidR="002C51A1" w:rsidRPr="00481E86" w14:paraId="2E64586B" w14:textId="77777777" w:rsidTr="00EF36FC">
        <w:trPr>
          <w:trHeight w:val="288"/>
        </w:trPr>
        <w:tc>
          <w:tcPr>
            <w:tcW w:w="1480" w:type="dxa"/>
            <w:tcBorders>
              <w:top w:val="nil"/>
              <w:left w:val="single" w:sz="8" w:space="0" w:color="auto"/>
              <w:bottom w:val="single" w:sz="4" w:space="0" w:color="auto"/>
              <w:right w:val="nil"/>
            </w:tcBorders>
            <w:shd w:val="clear" w:color="000000" w:fill="767779"/>
            <w:noWrap/>
            <w:vAlign w:val="center"/>
            <w:hideMark/>
          </w:tcPr>
          <w:p w14:paraId="627FB451" w14:textId="77777777" w:rsidR="002C51A1" w:rsidRPr="00C43E61" w:rsidRDefault="002C51A1" w:rsidP="00EF36FC">
            <w:pPr>
              <w:spacing w:before="0" w:after="0" w:line="240" w:lineRule="auto"/>
              <w:jc w:val="left"/>
              <w:rPr>
                <w:rFonts w:eastAsia="Times New Roman"/>
                <w:b/>
                <w:bCs/>
                <w:color w:val="auto"/>
                <w:sz w:val="18"/>
                <w:szCs w:val="18"/>
                <w:lang w:eastAsia="pl-PL"/>
              </w:rPr>
            </w:pPr>
            <w:r w:rsidRPr="00C43E61">
              <w:rPr>
                <w:rFonts w:eastAsia="Times New Roman"/>
                <w:b/>
                <w:bCs/>
                <w:color w:val="auto"/>
                <w:sz w:val="18"/>
                <w:szCs w:val="18"/>
                <w:lang w:eastAsia="pl-PL"/>
              </w:rPr>
              <w:t>Węgry</w:t>
            </w:r>
          </w:p>
        </w:tc>
        <w:tc>
          <w:tcPr>
            <w:tcW w:w="760" w:type="dxa"/>
            <w:tcBorders>
              <w:top w:val="nil"/>
              <w:left w:val="single" w:sz="8" w:space="0" w:color="auto"/>
              <w:bottom w:val="single" w:sz="4" w:space="0" w:color="auto"/>
              <w:right w:val="single" w:sz="4" w:space="0" w:color="auto"/>
            </w:tcBorders>
            <w:shd w:val="clear" w:color="auto" w:fill="auto"/>
            <w:noWrap/>
            <w:vAlign w:val="center"/>
            <w:hideMark/>
          </w:tcPr>
          <w:p w14:paraId="583575DE"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157,3</w:t>
            </w:r>
          </w:p>
        </w:tc>
        <w:tc>
          <w:tcPr>
            <w:tcW w:w="760" w:type="dxa"/>
            <w:tcBorders>
              <w:top w:val="nil"/>
              <w:left w:val="nil"/>
              <w:bottom w:val="single" w:sz="4" w:space="0" w:color="auto"/>
              <w:right w:val="single" w:sz="4" w:space="0" w:color="auto"/>
            </w:tcBorders>
            <w:shd w:val="clear" w:color="auto" w:fill="auto"/>
            <w:noWrap/>
            <w:vAlign w:val="center"/>
            <w:hideMark/>
          </w:tcPr>
          <w:p w14:paraId="15F7BBD0"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166,3</w:t>
            </w:r>
          </w:p>
        </w:tc>
        <w:tc>
          <w:tcPr>
            <w:tcW w:w="760" w:type="dxa"/>
            <w:tcBorders>
              <w:top w:val="nil"/>
              <w:left w:val="nil"/>
              <w:bottom w:val="single" w:sz="4" w:space="0" w:color="auto"/>
              <w:right w:val="single" w:sz="4" w:space="0" w:color="auto"/>
            </w:tcBorders>
            <w:shd w:val="clear" w:color="auto" w:fill="auto"/>
            <w:noWrap/>
            <w:vAlign w:val="center"/>
            <w:hideMark/>
          </w:tcPr>
          <w:p w14:paraId="5BECDF32"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165,4</w:t>
            </w:r>
          </w:p>
        </w:tc>
        <w:tc>
          <w:tcPr>
            <w:tcW w:w="760" w:type="dxa"/>
            <w:tcBorders>
              <w:top w:val="nil"/>
              <w:left w:val="nil"/>
              <w:bottom w:val="single" w:sz="4" w:space="0" w:color="auto"/>
              <w:right w:val="single" w:sz="4" w:space="0" w:color="auto"/>
            </w:tcBorders>
            <w:shd w:val="clear" w:color="auto" w:fill="auto"/>
            <w:noWrap/>
            <w:vAlign w:val="center"/>
            <w:hideMark/>
          </w:tcPr>
          <w:p w14:paraId="293B69B1"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164,2</w:t>
            </w:r>
          </w:p>
        </w:tc>
        <w:tc>
          <w:tcPr>
            <w:tcW w:w="760" w:type="dxa"/>
            <w:tcBorders>
              <w:top w:val="nil"/>
              <w:left w:val="nil"/>
              <w:bottom w:val="single" w:sz="4" w:space="0" w:color="auto"/>
              <w:right w:val="single" w:sz="4" w:space="0" w:color="auto"/>
            </w:tcBorders>
            <w:shd w:val="clear" w:color="auto" w:fill="auto"/>
            <w:noWrap/>
            <w:vAlign w:val="center"/>
            <w:hideMark/>
          </w:tcPr>
          <w:p w14:paraId="67526DAF"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168,3</w:t>
            </w:r>
          </w:p>
        </w:tc>
        <w:tc>
          <w:tcPr>
            <w:tcW w:w="760" w:type="dxa"/>
            <w:tcBorders>
              <w:top w:val="nil"/>
              <w:left w:val="nil"/>
              <w:bottom w:val="single" w:sz="4" w:space="0" w:color="auto"/>
              <w:right w:val="single" w:sz="4" w:space="0" w:color="auto"/>
            </w:tcBorders>
            <w:shd w:val="clear" w:color="auto" w:fill="auto"/>
            <w:noWrap/>
            <w:vAlign w:val="center"/>
            <w:hideMark/>
          </w:tcPr>
          <w:p w14:paraId="6046D03A"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167,2</w:t>
            </w:r>
          </w:p>
        </w:tc>
        <w:tc>
          <w:tcPr>
            <w:tcW w:w="760" w:type="dxa"/>
            <w:tcBorders>
              <w:top w:val="nil"/>
              <w:left w:val="nil"/>
              <w:bottom w:val="single" w:sz="4" w:space="0" w:color="auto"/>
              <w:right w:val="single" w:sz="4" w:space="0" w:color="auto"/>
            </w:tcBorders>
            <w:shd w:val="clear" w:color="auto" w:fill="auto"/>
            <w:noWrap/>
            <w:vAlign w:val="center"/>
            <w:hideMark/>
          </w:tcPr>
          <w:p w14:paraId="17AF325D"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164,3</w:t>
            </w:r>
          </w:p>
        </w:tc>
        <w:tc>
          <w:tcPr>
            <w:tcW w:w="760" w:type="dxa"/>
            <w:tcBorders>
              <w:top w:val="nil"/>
              <w:left w:val="nil"/>
              <w:bottom w:val="single" w:sz="4" w:space="0" w:color="auto"/>
              <w:right w:val="single" w:sz="4" w:space="0" w:color="auto"/>
            </w:tcBorders>
            <w:shd w:val="clear" w:color="auto" w:fill="auto"/>
            <w:noWrap/>
            <w:vAlign w:val="center"/>
            <w:hideMark/>
          </w:tcPr>
          <w:p w14:paraId="372BE5D7"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165,2</w:t>
            </w:r>
          </w:p>
        </w:tc>
        <w:tc>
          <w:tcPr>
            <w:tcW w:w="760" w:type="dxa"/>
            <w:tcBorders>
              <w:top w:val="nil"/>
              <w:left w:val="nil"/>
              <w:bottom w:val="single" w:sz="4" w:space="0" w:color="auto"/>
              <w:right w:val="single" w:sz="4" w:space="0" w:color="auto"/>
            </w:tcBorders>
            <w:shd w:val="clear" w:color="auto" w:fill="auto"/>
            <w:noWrap/>
            <w:vAlign w:val="center"/>
            <w:hideMark/>
          </w:tcPr>
          <w:p w14:paraId="2A1D2A98"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163,4</w:t>
            </w:r>
          </w:p>
        </w:tc>
        <w:tc>
          <w:tcPr>
            <w:tcW w:w="760" w:type="dxa"/>
            <w:tcBorders>
              <w:top w:val="nil"/>
              <w:left w:val="nil"/>
              <w:bottom w:val="single" w:sz="4" w:space="0" w:color="auto"/>
              <w:right w:val="single" w:sz="8" w:space="0" w:color="auto"/>
            </w:tcBorders>
            <w:shd w:val="clear" w:color="auto" w:fill="auto"/>
            <w:noWrap/>
            <w:vAlign w:val="center"/>
            <w:hideMark/>
          </w:tcPr>
          <w:p w14:paraId="3BF7D99E"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161,3</w:t>
            </w:r>
          </w:p>
        </w:tc>
      </w:tr>
      <w:tr w:rsidR="002C51A1" w:rsidRPr="00481E86" w14:paraId="09BCD066" w14:textId="77777777" w:rsidTr="00EF36FC">
        <w:trPr>
          <w:trHeight w:val="288"/>
        </w:trPr>
        <w:tc>
          <w:tcPr>
            <w:tcW w:w="1480" w:type="dxa"/>
            <w:tcBorders>
              <w:top w:val="nil"/>
              <w:left w:val="single" w:sz="8" w:space="0" w:color="auto"/>
              <w:bottom w:val="single" w:sz="4" w:space="0" w:color="auto"/>
              <w:right w:val="nil"/>
            </w:tcBorders>
            <w:shd w:val="clear" w:color="000000" w:fill="767779"/>
            <w:noWrap/>
            <w:vAlign w:val="center"/>
            <w:hideMark/>
          </w:tcPr>
          <w:p w14:paraId="5AA0C86D" w14:textId="77777777" w:rsidR="002C51A1" w:rsidRPr="00C43E61" w:rsidRDefault="002C51A1" w:rsidP="00EF36FC">
            <w:pPr>
              <w:spacing w:before="0" w:after="0" w:line="240" w:lineRule="auto"/>
              <w:jc w:val="left"/>
              <w:rPr>
                <w:rFonts w:eastAsia="Times New Roman"/>
                <w:b/>
                <w:bCs/>
                <w:color w:val="auto"/>
                <w:sz w:val="18"/>
                <w:szCs w:val="18"/>
                <w:lang w:eastAsia="pl-PL"/>
              </w:rPr>
            </w:pPr>
            <w:r w:rsidRPr="00C43E61">
              <w:rPr>
                <w:rFonts w:eastAsia="Times New Roman"/>
                <w:b/>
                <w:bCs/>
                <w:color w:val="auto"/>
                <w:sz w:val="18"/>
                <w:szCs w:val="18"/>
                <w:lang w:eastAsia="pl-PL"/>
              </w:rPr>
              <w:t>Niderlandy</w:t>
            </w:r>
          </w:p>
        </w:tc>
        <w:tc>
          <w:tcPr>
            <w:tcW w:w="760" w:type="dxa"/>
            <w:tcBorders>
              <w:top w:val="nil"/>
              <w:left w:val="single" w:sz="8" w:space="0" w:color="auto"/>
              <w:bottom w:val="single" w:sz="4" w:space="0" w:color="auto"/>
              <w:right w:val="single" w:sz="4" w:space="0" w:color="auto"/>
            </w:tcBorders>
            <w:shd w:val="clear" w:color="auto" w:fill="auto"/>
            <w:noWrap/>
            <w:vAlign w:val="center"/>
            <w:hideMark/>
          </w:tcPr>
          <w:p w14:paraId="6535E958"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131,5</w:t>
            </w:r>
          </w:p>
        </w:tc>
        <w:tc>
          <w:tcPr>
            <w:tcW w:w="760" w:type="dxa"/>
            <w:tcBorders>
              <w:top w:val="nil"/>
              <w:left w:val="nil"/>
              <w:bottom w:val="single" w:sz="4" w:space="0" w:color="auto"/>
              <w:right w:val="single" w:sz="4" w:space="0" w:color="auto"/>
            </w:tcBorders>
            <w:shd w:val="clear" w:color="auto" w:fill="auto"/>
            <w:noWrap/>
            <w:vAlign w:val="center"/>
            <w:hideMark/>
          </w:tcPr>
          <w:p w14:paraId="6045B673"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142,5</w:t>
            </w:r>
          </w:p>
        </w:tc>
        <w:tc>
          <w:tcPr>
            <w:tcW w:w="760" w:type="dxa"/>
            <w:tcBorders>
              <w:top w:val="nil"/>
              <w:left w:val="nil"/>
              <w:bottom w:val="single" w:sz="4" w:space="0" w:color="auto"/>
              <w:right w:val="single" w:sz="4" w:space="0" w:color="auto"/>
            </w:tcBorders>
            <w:shd w:val="clear" w:color="auto" w:fill="auto"/>
            <w:noWrap/>
            <w:vAlign w:val="center"/>
            <w:hideMark/>
          </w:tcPr>
          <w:p w14:paraId="6D753FAD"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149,3</w:t>
            </w:r>
          </w:p>
        </w:tc>
        <w:tc>
          <w:tcPr>
            <w:tcW w:w="760" w:type="dxa"/>
            <w:tcBorders>
              <w:top w:val="nil"/>
              <w:left w:val="nil"/>
              <w:bottom w:val="single" w:sz="4" w:space="0" w:color="auto"/>
              <w:right w:val="single" w:sz="4" w:space="0" w:color="auto"/>
            </w:tcBorders>
            <w:shd w:val="clear" w:color="auto" w:fill="auto"/>
            <w:noWrap/>
            <w:vAlign w:val="center"/>
            <w:hideMark/>
          </w:tcPr>
          <w:p w14:paraId="4618D140"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149,6</w:t>
            </w:r>
          </w:p>
        </w:tc>
        <w:tc>
          <w:tcPr>
            <w:tcW w:w="760" w:type="dxa"/>
            <w:tcBorders>
              <w:top w:val="nil"/>
              <w:left w:val="nil"/>
              <w:bottom w:val="single" w:sz="4" w:space="0" w:color="auto"/>
              <w:right w:val="single" w:sz="4" w:space="0" w:color="auto"/>
            </w:tcBorders>
            <w:shd w:val="clear" w:color="auto" w:fill="auto"/>
            <w:noWrap/>
            <w:vAlign w:val="center"/>
            <w:hideMark/>
          </w:tcPr>
          <w:p w14:paraId="41205267"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150,1</w:t>
            </w:r>
          </w:p>
        </w:tc>
        <w:tc>
          <w:tcPr>
            <w:tcW w:w="760" w:type="dxa"/>
            <w:tcBorders>
              <w:top w:val="nil"/>
              <w:left w:val="nil"/>
              <w:bottom w:val="single" w:sz="4" w:space="0" w:color="auto"/>
              <w:right w:val="single" w:sz="4" w:space="0" w:color="auto"/>
            </w:tcBorders>
            <w:shd w:val="clear" w:color="auto" w:fill="auto"/>
            <w:noWrap/>
            <w:vAlign w:val="center"/>
            <w:hideMark/>
          </w:tcPr>
          <w:p w14:paraId="1005FE35"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157,9</w:t>
            </w:r>
          </w:p>
        </w:tc>
        <w:tc>
          <w:tcPr>
            <w:tcW w:w="760" w:type="dxa"/>
            <w:tcBorders>
              <w:top w:val="nil"/>
              <w:left w:val="nil"/>
              <w:bottom w:val="single" w:sz="4" w:space="0" w:color="auto"/>
              <w:right w:val="single" w:sz="4" w:space="0" w:color="auto"/>
            </w:tcBorders>
            <w:shd w:val="clear" w:color="auto" w:fill="auto"/>
            <w:noWrap/>
            <w:vAlign w:val="center"/>
            <w:hideMark/>
          </w:tcPr>
          <w:p w14:paraId="50F5E0FD"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148,8</w:t>
            </w:r>
          </w:p>
        </w:tc>
        <w:tc>
          <w:tcPr>
            <w:tcW w:w="760" w:type="dxa"/>
            <w:tcBorders>
              <w:top w:val="nil"/>
              <w:left w:val="nil"/>
              <w:bottom w:val="single" w:sz="4" w:space="0" w:color="auto"/>
              <w:right w:val="single" w:sz="4" w:space="0" w:color="auto"/>
            </w:tcBorders>
            <w:shd w:val="clear" w:color="auto" w:fill="auto"/>
            <w:noWrap/>
            <w:vAlign w:val="center"/>
            <w:hideMark/>
          </w:tcPr>
          <w:p w14:paraId="03C52A6C"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156,0</w:t>
            </w:r>
          </w:p>
        </w:tc>
        <w:tc>
          <w:tcPr>
            <w:tcW w:w="760" w:type="dxa"/>
            <w:tcBorders>
              <w:top w:val="nil"/>
              <w:left w:val="nil"/>
              <w:bottom w:val="single" w:sz="4" w:space="0" w:color="auto"/>
              <w:right w:val="single" w:sz="4" w:space="0" w:color="auto"/>
            </w:tcBorders>
            <w:shd w:val="clear" w:color="auto" w:fill="auto"/>
            <w:noWrap/>
            <w:vAlign w:val="center"/>
            <w:hideMark/>
          </w:tcPr>
          <w:p w14:paraId="3DF922EA"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158,8</w:t>
            </w:r>
          </w:p>
        </w:tc>
        <w:tc>
          <w:tcPr>
            <w:tcW w:w="760" w:type="dxa"/>
            <w:tcBorders>
              <w:top w:val="nil"/>
              <w:left w:val="nil"/>
              <w:bottom w:val="single" w:sz="4" w:space="0" w:color="auto"/>
              <w:right w:val="single" w:sz="8" w:space="0" w:color="auto"/>
            </w:tcBorders>
            <w:shd w:val="clear" w:color="auto" w:fill="auto"/>
            <w:noWrap/>
            <w:vAlign w:val="center"/>
            <w:hideMark/>
          </w:tcPr>
          <w:p w14:paraId="19BD2EE5"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156,2</w:t>
            </w:r>
          </w:p>
        </w:tc>
      </w:tr>
      <w:tr w:rsidR="002C51A1" w:rsidRPr="00481E86" w14:paraId="66234359" w14:textId="77777777" w:rsidTr="00EF36FC">
        <w:trPr>
          <w:trHeight w:val="288"/>
        </w:trPr>
        <w:tc>
          <w:tcPr>
            <w:tcW w:w="1480" w:type="dxa"/>
            <w:tcBorders>
              <w:top w:val="nil"/>
              <w:left w:val="single" w:sz="8" w:space="0" w:color="auto"/>
              <w:bottom w:val="single" w:sz="4" w:space="0" w:color="auto"/>
              <w:right w:val="nil"/>
            </w:tcBorders>
            <w:shd w:val="clear" w:color="000000" w:fill="767779"/>
            <w:noWrap/>
            <w:vAlign w:val="center"/>
            <w:hideMark/>
          </w:tcPr>
          <w:p w14:paraId="2B939E4A" w14:textId="77777777" w:rsidR="002C51A1" w:rsidRPr="00C43E61" w:rsidRDefault="002C51A1" w:rsidP="00EF36FC">
            <w:pPr>
              <w:spacing w:before="0" w:after="0" w:line="240" w:lineRule="auto"/>
              <w:jc w:val="left"/>
              <w:rPr>
                <w:rFonts w:eastAsia="Times New Roman"/>
                <w:b/>
                <w:bCs/>
                <w:color w:val="auto"/>
                <w:sz w:val="18"/>
                <w:szCs w:val="18"/>
                <w:lang w:eastAsia="pl-PL"/>
              </w:rPr>
            </w:pPr>
            <w:r w:rsidRPr="00C43E61">
              <w:rPr>
                <w:rFonts w:eastAsia="Times New Roman"/>
                <w:b/>
                <w:bCs/>
                <w:color w:val="auto"/>
                <w:sz w:val="18"/>
                <w:szCs w:val="18"/>
                <w:lang w:eastAsia="pl-PL"/>
              </w:rPr>
              <w:t>Polska</w:t>
            </w:r>
          </w:p>
        </w:tc>
        <w:tc>
          <w:tcPr>
            <w:tcW w:w="760" w:type="dxa"/>
            <w:tcBorders>
              <w:top w:val="nil"/>
              <w:left w:val="single" w:sz="8" w:space="0" w:color="auto"/>
              <w:bottom w:val="single" w:sz="4" w:space="0" w:color="auto"/>
              <w:right w:val="single" w:sz="4" w:space="0" w:color="auto"/>
            </w:tcBorders>
            <w:shd w:val="clear" w:color="auto" w:fill="auto"/>
            <w:noWrap/>
            <w:vAlign w:val="center"/>
            <w:hideMark/>
          </w:tcPr>
          <w:p w14:paraId="592C506D"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82,0</w:t>
            </w:r>
          </w:p>
        </w:tc>
        <w:tc>
          <w:tcPr>
            <w:tcW w:w="760" w:type="dxa"/>
            <w:tcBorders>
              <w:top w:val="nil"/>
              <w:left w:val="nil"/>
              <w:bottom w:val="single" w:sz="4" w:space="0" w:color="auto"/>
              <w:right w:val="single" w:sz="4" w:space="0" w:color="auto"/>
            </w:tcBorders>
            <w:shd w:val="clear" w:color="auto" w:fill="auto"/>
            <w:noWrap/>
            <w:vAlign w:val="center"/>
            <w:hideMark/>
          </w:tcPr>
          <w:p w14:paraId="141653BF"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87,0</w:t>
            </w:r>
          </w:p>
        </w:tc>
        <w:tc>
          <w:tcPr>
            <w:tcW w:w="760" w:type="dxa"/>
            <w:tcBorders>
              <w:top w:val="nil"/>
              <w:left w:val="nil"/>
              <w:bottom w:val="single" w:sz="4" w:space="0" w:color="auto"/>
              <w:right w:val="single" w:sz="4" w:space="0" w:color="auto"/>
            </w:tcBorders>
            <w:shd w:val="clear" w:color="auto" w:fill="auto"/>
            <w:noWrap/>
            <w:vAlign w:val="center"/>
            <w:hideMark/>
          </w:tcPr>
          <w:p w14:paraId="37977A50"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89,3</w:t>
            </w:r>
          </w:p>
        </w:tc>
        <w:tc>
          <w:tcPr>
            <w:tcW w:w="760" w:type="dxa"/>
            <w:tcBorders>
              <w:top w:val="nil"/>
              <w:left w:val="nil"/>
              <w:bottom w:val="single" w:sz="4" w:space="0" w:color="auto"/>
              <w:right w:val="single" w:sz="4" w:space="0" w:color="auto"/>
            </w:tcBorders>
            <w:shd w:val="clear" w:color="auto" w:fill="auto"/>
            <w:noWrap/>
            <w:vAlign w:val="center"/>
            <w:hideMark/>
          </w:tcPr>
          <w:p w14:paraId="493C242E"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90,6</w:t>
            </w:r>
          </w:p>
        </w:tc>
        <w:tc>
          <w:tcPr>
            <w:tcW w:w="760" w:type="dxa"/>
            <w:tcBorders>
              <w:top w:val="nil"/>
              <w:left w:val="nil"/>
              <w:bottom w:val="single" w:sz="4" w:space="0" w:color="auto"/>
              <w:right w:val="single" w:sz="4" w:space="0" w:color="auto"/>
            </w:tcBorders>
            <w:shd w:val="clear" w:color="auto" w:fill="auto"/>
            <w:noWrap/>
            <w:vAlign w:val="center"/>
            <w:hideMark/>
          </w:tcPr>
          <w:p w14:paraId="2344DFBD"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93,5</w:t>
            </w:r>
          </w:p>
        </w:tc>
        <w:tc>
          <w:tcPr>
            <w:tcW w:w="760" w:type="dxa"/>
            <w:tcBorders>
              <w:top w:val="nil"/>
              <w:left w:val="nil"/>
              <w:bottom w:val="single" w:sz="4" w:space="0" w:color="auto"/>
              <w:right w:val="single" w:sz="4" w:space="0" w:color="auto"/>
            </w:tcBorders>
            <w:shd w:val="clear" w:color="auto" w:fill="auto"/>
            <w:noWrap/>
            <w:vAlign w:val="center"/>
            <w:hideMark/>
          </w:tcPr>
          <w:p w14:paraId="24482623"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95,4</w:t>
            </w:r>
          </w:p>
        </w:tc>
        <w:tc>
          <w:tcPr>
            <w:tcW w:w="760" w:type="dxa"/>
            <w:tcBorders>
              <w:top w:val="nil"/>
              <w:left w:val="nil"/>
              <w:bottom w:val="single" w:sz="4" w:space="0" w:color="auto"/>
              <w:right w:val="single" w:sz="4" w:space="0" w:color="auto"/>
            </w:tcBorders>
            <w:shd w:val="clear" w:color="auto" w:fill="auto"/>
            <w:noWrap/>
            <w:vAlign w:val="center"/>
            <w:hideMark/>
          </w:tcPr>
          <w:p w14:paraId="7EEBC356"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100,1</w:t>
            </w:r>
          </w:p>
        </w:tc>
        <w:tc>
          <w:tcPr>
            <w:tcW w:w="760" w:type="dxa"/>
            <w:tcBorders>
              <w:top w:val="nil"/>
              <w:left w:val="nil"/>
              <w:bottom w:val="single" w:sz="4" w:space="0" w:color="auto"/>
              <w:right w:val="single" w:sz="4" w:space="0" w:color="auto"/>
            </w:tcBorders>
            <w:shd w:val="clear" w:color="auto" w:fill="auto"/>
            <w:noWrap/>
            <w:vAlign w:val="center"/>
            <w:hideMark/>
          </w:tcPr>
          <w:p w14:paraId="35B1A40B"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104,6</w:t>
            </w:r>
          </w:p>
        </w:tc>
        <w:tc>
          <w:tcPr>
            <w:tcW w:w="760" w:type="dxa"/>
            <w:tcBorders>
              <w:top w:val="nil"/>
              <w:left w:val="nil"/>
              <w:bottom w:val="single" w:sz="4" w:space="0" w:color="auto"/>
              <w:right w:val="single" w:sz="4" w:space="0" w:color="auto"/>
            </w:tcBorders>
            <w:shd w:val="clear" w:color="auto" w:fill="auto"/>
            <w:noWrap/>
            <w:vAlign w:val="center"/>
            <w:hideMark/>
          </w:tcPr>
          <w:p w14:paraId="7AEEFFC0"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107,4</w:t>
            </w:r>
          </w:p>
        </w:tc>
        <w:tc>
          <w:tcPr>
            <w:tcW w:w="760" w:type="dxa"/>
            <w:tcBorders>
              <w:top w:val="nil"/>
              <w:left w:val="nil"/>
              <w:bottom w:val="single" w:sz="4" w:space="0" w:color="auto"/>
              <w:right w:val="single" w:sz="8" w:space="0" w:color="auto"/>
            </w:tcBorders>
            <w:shd w:val="clear" w:color="auto" w:fill="auto"/>
            <w:noWrap/>
            <w:vAlign w:val="center"/>
            <w:hideMark/>
          </w:tcPr>
          <w:p w14:paraId="3DD66D13"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106,3</w:t>
            </w:r>
          </w:p>
        </w:tc>
      </w:tr>
      <w:tr w:rsidR="002C51A1" w:rsidRPr="00481E86" w14:paraId="02CB485D" w14:textId="77777777" w:rsidTr="00EF36FC">
        <w:trPr>
          <w:trHeight w:val="288"/>
        </w:trPr>
        <w:tc>
          <w:tcPr>
            <w:tcW w:w="1480" w:type="dxa"/>
            <w:tcBorders>
              <w:top w:val="nil"/>
              <w:left w:val="single" w:sz="8" w:space="0" w:color="auto"/>
              <w:bottom w:val="single" w:sz="4" w:space="0" w:color="auto"/>
              <w:right w:val="nil"/>
            </w:tcBorders>
            <w:shd w:val="clear" w:color="000000" w:fill="767779"/>
            <w:noWrap/>
            <w:vAlign w:val="center"/>
            <w:hideMark/>
          </w:tcPr>
          <w:p w14:paraId="71DB982D" w14:textId="77777777" w:rsidR="002C51A1" w:rsidRPr="00C43E61" w:rsidRDefault="002C51A1" w:rsidP="00EF36FC">
            <w:pPr>
              <w:spacing w:before="0" w:after="0" w:line="240" w:lineRule="auto"/>
              <w:jc w:val="left"/>
              <w:rPr>
                <w:rFonts w:eastAsia="Times New Roman"/>
                <w:b/>
                <w:bCs/>
                <w:color w:val="auto"/>
                <w:sz w:val="18"/>
                <w:szCs w:val="18"/>
                <w:lang w:eastAsia="pl-PL"/>
              </w:rPr>
            </w:pPr>
            <w:r w:rsidRPr="00C43E61">
              <w:rPr>
                <w:rFonts w:eastAsia="Times New Roman"/>
                <w:b/>
                <w:bCs/>
                <w:color w:val="auto"/>
                <w:sz w:val="18"/>
                <w:szCs w:val="18"/>
                <w:lang w:eastAsia="pl-PL"/>
              </w:rPr>
              <w:t>Słowacja</w:t>
            </w:r>
          </w:p>
        </w:tc>
        <w:tc>
          <w:tcPr>
            <w:tcW w:w="760" w:type="dxa"/>
            <w:tcBorders>
              <w:top w:val="nil"/>
              <w:left w:val="single" w:sz="8" w:space="0" w:color="auto"/>
              <w:bottom w:val="single" w:sz="4" w:space="0" w:color="auto"/>
              <w:right w:val="single" w:sz="4" w:space="0" w:color="auto"/>
            </w:tcBorders>
            <w:shd w:val="clear" w:color="auto" w:fill="auto"/>
            <w:noWrap/>
            <w:vAlign w:val="center"/>
            <w:hideMark/>
          </w:tcPr>
          <w:p w14:paraId="1069F74D"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154,7</w:t>
            </w:r>
          </w:p>
        </w:tc>
        <w:tc>
          <w:tcPr>
            <w:tcW w:w="760" w:type="dxa"/>
            <w:tcBorders>
              <w:top w:val="nil"/>
              <w:left w:val="nil"/>
              <w:bottom w:val="single" w:sz="4" w:space="0" w:color="auto"/>
              <w:right w:val="single" w:sz="4" w:space="0" w:color="auto"/>
            </w:tcBorders>
            <w:shd w:val="clear" w:color="auto" w:fill="auto"/>
            <w:noWrap/>
            <w:vAlign w:val="center"/>
            <w:hideMark/>
          </w:tcPr>
          <w:p w14:paraId="4C410FAD"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169,1</w:t>
            </w:r>
          </w:p>
        </w:tc>
        <w:tc>
          <w:tcPr>
            <w:tcW w:w="760" w:type="dxa"/>
            <w:tcBorders>
              <w:top w:val="nil"/>
              <w:left w:val="nil"/>
              <w:bottom w:val="single" w:sz="4" w:space="0" w:color="auto"/>
              <w:right w:val="single" w:sz="4" w:space="0" w:color="auto"/>
            </w:tcBorders>
            <w:shd w:val="clear" w:color="auto" w:fill="auto"/>
            <w:noWrap/>
            <w:vAlign w:val="center"/>
            <w:hideMark/>
          </w:tcPr>
          <w:p w14:paraId="77033D5B"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176,3</w:t>
            </w:r>
          </w:p>
        </w:tc>
        <w:tc>
          <w:tcPr>
            <w:tcW w:w="760" w:type="dxa"/>
            <w:tcBorders>
              <w:top w:val="nil"/>
              <w:left w:val="nil"/>
              <w:bottom w:val="single" w:sz="4" w:space="0" w:color="auto"/>
              <w:right w:val="single" w:sz="4" w:space="0" w:color="auto"/>
            </w:tcBorders>
            <w:shd w:val="clear" w:color="auto" w:fill="auto"/>
            <w:noWrap/>
            <w:vAlign w:val="center"/>
            <w:hideMark/>
          </w:tcPr>
          <w:p w14:paraId="5255C046"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181,4</w:t>
            </w:r>
          </w:p>
        </w:tc>
        <w:tc>
          <w:tcPr>
            <w:tcW w:w="760" w:type="dxa"/>
            <w:tcBorders>
              <w:top w:val="nil"/>
              <w:left w:val="nil"/>
              <w:bottom w:val="single" w:sz="4" w:space="0" w:color="auto"/>
              <w:right w:val="single" w:sz="4" w:space="0" w:color="auto"/>
            </w:tcBorders>
            <w:shd w:val="clear" w:color="auto" w:fill="auto"/>
            <w:noWrap/>
            <w:vAlign w:val="center"/>
            <w:hideMark/>
          </w:tcPr>
          <w:p w14:paraId="3EBE0CC7"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178,2</w:t>
            </w:r>
          </w:p>
        </w:tc>
        <w:tc>
          <w:tcPr>
            <w:tcW w:w="760" w:type="dxa"/>
            <w:tcBorders>
              <w:top w:val="nil"/>
              <w:left w:val="nil"/>
              <w:bottom w:val="single" w:sz="4" w:space="0" w:color="auto"/>
              <w:right w:val="single" w:sz="4" w:space="0" w:color="auto"/>
            </w:tcBorders>
            <w:shd w:val="clear" w:color="auto" w:fill="auto"/>
            <w:noWrap/>
            <w:vAlign w:val="center"/>
            <w:hideMark/>
          </w:tcPr>
          <w:p w14:paraId="1BFD15D9"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180,9</w:t>
            </w:r>
          </w:p>
        </w:tc>
        <w:tc>
          <w:tcPr>
            <w:tcW w:w="760" w:type="dxa"/>
            <w:tcBorders>
              <w:top w:val="nil"/>
              <w:left w:val="nil"/>
              <w:bottom w:val="single" w:sz="4" w:space="0" w:color="auto"/>
              <w:right w:val="single" w:sz="4" w:space="0" w:color="auto"/>
            </w:tcBorders>
            <w:shd w:val="clear" w:color="auto" w:fill="auto"/>
            <w:noWrap/>
            <w:vAlign w:val="center"/>
            <w:hideMark/>
          </w:tcPr>
          <w:p w14:paraId="573BDA5B"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184,5</w:t>
            </w:r>
          </w:p>
        </w:tc>
        <w:tc>
          <w:tcPr>
            <w:tcW w:w="760" w:type="dxa"/>
            <w:tcBorders>
              <w:top w:val="nil"/>
              <w:left w:val="nil"/>
              <w:bottom w:val="single" w:sz="4" w:space="0" w:color="auto"/>
              <w:right w:val="single" w:sz="4" w:space="0" w:color="auto"/>
            </w:tcBorders>
            <w:shd w:val="clear" w:color="auto" w:fill="auto"/>
            <w:noWrap/>
            <w:vAlign w:val="center"/>
            <w:hideMark/>
          </w:tcPr>
          <w:p w14:paraId="2E34BB90"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188,1</w:t>
            </w:r>
          </w:p>
        </w:tc>
        <w:tc>
          <w:tcPr>
            <w:tcW w:w="760" w:type="dxa"/>
            <w:tcBorders>
              <w:top w:val="nil"/>
              <w:left w:val="nil"/>
              <w:bottom w:val="single" w:sz="4" w:space="0" w:color="auto"/>
              <w:right w:val="single" w:sz="4" w:space="0" w:color="auto"/>
            </w:tcBorders>
            <w:shd w:val="clear" w:color="auto" w:fill="auto"/>
            <w:noWrap/>
            <w:vAlign w:val="center"/>
            <w:hideMark/>
          </w:tcPr>
          <w:p w14:paraId="380C495F"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190,5</w:t>
            </w:r>
          </w:p>
        </w:tc>
        <w:tc>
          <w:tcPr>
            <w:tcW w:w="760" w:type="dxa"/>
            <w:tcBorders>
              <w:top w:val="nil"/>
              <w:left w:val="nil"/>
              <w:bottom w:val="single" w:sz="4" w:space="0" w:color="auto"/>
              <w:right w:val="single" w:sz="8" w:space="0" w:color="auto"/>
            </w:tcBorders>
            <w:shd w:val="clear" w:color="auto" w:fill="auto"/>
            <w:noWrap/>
            <w:vAlign w:val="center"/>
            <w:hideMark/>
          </w:tcPr>
          <w:p w14:paraId="4A6794FB"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184,4</w:t>
            </w:r>
          </w:p>
        </w:tc>
      </w:tr>
      <w:tr w:rsidR="002C51A1" w:rsidRPr="00481E86" w14:paraId="124D5928" w14:textId="77777777" w:rsidTr="00EF36FC">
        <w:trPr>
          <w:trHeight w:val="108"/>
        </w:trPr>
        <w:tc>
          <w:tcPr>
            <w:tcW w:w="1480" w:type="dxa"/>
            <w:tcBorders>
              <w:top w:val="nil"/>
              <w:left w:val="single" w:sz="8" w:space="0" w:color="auto"/>
              <w:bottom w:val="single" w:sz="4" w:space="0" w:color="auto"/>
              <w:right w:val="nil"/>
            </w:tcBorders>
            <w:shd w:val="clear" w:color="000000" w:fill="000000"/>
            <w:noWrap/>
            <w:vAlign w:val="center"/>
            <w:hideMark/>
          </w:tcPr>
          <w:p w14:paraId="4BA3CFD5" w14:textId="77777777" w:rsidR="002C51A1" w:rsidRPr="00C43E61" w:rsidRDefault="002C51A1" w:rsidP="00EF36FC">
            <w:pPr>
              <w:spacing w:before="0" w:after="0" w:line="240" w:lineRule="auto"/>
              <w:jc w:val="left"/>
              <w:rPr>
                <w:rFonts w:eastAsia="Times New Roman"/>
                <w:b/>
                <w:bCs/>
                <w:color w:val="auto"/>
                <w:sz w:val="18"/>
                <w:szCs w:val="18"/>
                <w:lang w:eastAsia="pl-PL"/>
              </w:rPr>
            </w:pPr>
            <w:r w:rsidRPr="00C43E61">
              <w:rPr>
                <w:rFonts w:eastAsia="Times New Roman"/>
                <w:b/>
                <w:bCs/>
                <w:color w:val="auto"/>
                <w:sz w:val="18"/>
                <w:szCs w:val="18"/>
                <w:lang w:eastAsia="pl-PL"/>
              </w:rPr>
              <w:t> </w:t>
            </w:r>
          </w:p>
        </w:tc>
        <w:tc>
          <w:tcPr>
            <w:tcW w:w="760" w:type="dxa"/>
            <w:tcBorders>
              <w:top w:val="nil"/>
              <w:left w:val="single" w:sz="8" w:space="0" w:color="auto"/>
              <w:bottom w:val="single" w:sz="4" w:space="0" w:color="auto"/>
              <w:right w:val="single" w:sz="4" w:space="0" w:color="auto"/>
            </w:tcBorders>
            <w:shd w:val="clear" w:color="000000" w:fill="000000"/>
            <w:noWrap/>
            <w:vAlign w:val="center"/>
            <w:hideMark/>
          </w:tcPr>
          <w:p w14:paraId="6668F320"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 </w:t>
            </w:r>
          </w:p>
        </w:tc>
        <w:tc>
          <w:tcPr>
            <w:tcW w:w="760" w:type="dxa"/>
            <w:tcBorders>
              <w:top w:val="nil"/>
              <w:left w:val="nil"/>
              <w:bottom w:val="single" w:sz="4" w:space="0" w:color="auto"/>
              <w:right w:val="single" w:sz="4" w:space="0" w:color="auto"/>
            </w:tcBorders>
            <w:shd w:val="clear" w:color="000000" w:fill="000000"/>
            <w:noWrap/>
            <w:vAlign w:val="center"/>
            <w:hideMark/>
          </w:tcPr>
          <w:p w14:paraId="6343EDD0"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 </w:t>
            </w:r>
          </w:p>
        </w:tc>
        <w:tc>
          <w:tcPr>
            <w:tcW w:w="760" w:type="dxa"/>
            <w:tcBorders>
              <w:top w:val="nil"/>
              <w:left w:val="nil"/>
              <w:bottom w:val="single" w:sz="4" w:space="0" w:color="auto"/>
              <w:right w:val="single" w:sz="4" w:space="0" w:color="auto"/>
            </w:tcBorders>
            <w:shd w:val="clear" w:color="000000" w:fill="000000"/>
            <w:noWrap/>
            <w:vAlign w:val="center"/>
            <w:hideMark/>
          </w:tcPr>
          <w:p w14:paraId="40072093"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 </w:t>
            </w:r>
          </w:p>
        </w:tc>
        <w:tc>
          <w:tcPr>
            <w:tcW w:w="760" w:type="dxa"/>
            <w:tcBorders>
              <w:top w:val="nil"/>
              <w:left w:val="nil"/>
              <w:bottom w:val="single" w:sz="4" w:space="0" w:color="auto"/>
              <w:right w:val="single" w:sz="4" w:space="0" w:color="auto"/>
            </w:tcBorders>
            <w:shd w:val="clear" w:color="000000" w:fill="000000"/>
            <w:noWrap/>
            <w:vAlign w:val="center"/>
            <w:hideMark/>
          </w:tcPr>
          <w:p w14:paraId="6C798356"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 </w:t>
            </w:r>
          </w:p>
        </w:tc>
        <w:tc>
          <w:tcPr>
            <w:tcW w:w="760" w:type="dxa"/>
            <w:tcBorders>
              <w:top w:val="nil"/>
              <w:left w:val="nil"/>
              <w:bottom w:val="single" w:sz="4" w:space="0" w:color="auto"/>
              <w:right w:val="single" w:sz="4" w:space="0" w:color="auto"/>
            </w:tcBorders>
            <w:shd w:val="clear" w:color="000000" w:fill="000000"/>
            <w:noWrap/>
            <w:vAlign w:val="center"/>
            <w:hideMark/>
          </w:tcPr>
          <w:p w14:paraId="0CB07594"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 </w:t>
            </w:r>
          </w:p>
        </w:tc>
        <w:tc>
          <w:tcPr>
            <w:tcW w:w="760" w:type="dxa"/>
            <w:tcBorders>
              <w:top w:val="nil"/>
              <w:left w:val="nil"/>
              <w:bottom w:val="single" w:sz="4" w:space="0" w:color="auto"/>
              <w:right w:val="single" w:sz="4" w:space="0" w:color="auto"/>
            </w:tcBorders>
            <w:shd w:val="clear" w:color="000000" w:fill="000000"/>
            <w:noWrap/>
            <w:vAlign w:val="center"/>
            <w:hideMark/>
          </w:tcPr>
          <w:p w14:paraId="689B61A4"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 </w:t>
            </w:r>
          </w:p>
        </w:tc>
        <w:tc>
          <w:tcPr>
            <w:tcW w:w="760" w:type="dxa"/>
            <w:tcBorders>
              <w:top w:val="nil"/>
              <w:left w:val="nil"/>
              <w:bottom w:val="single" w:sz="4" w:space="0" w:color="auto"/>
              <w:right w:val="single" w:sz="4" w:space="0" w:color="auto"/>
            </w:tcBorders>
            <w:shd w:val="clear" w:color="000000" w:fill="000000"/>
            <w:noWrap/>
            <w:vAlign w:val="center"/>
            <w:hideMark/>
          </w:tcPr>
          <w:p w14:paraId="2BFDB73B"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 </w:t>
            </w:r>
          </w:p>
        </w:tc>
        <w:tc>
          <w:tcPr>
            <w:tcW w:w="760" w:type="dxa"/>
            <w:tcBorders>
              <w:top w:val="nil"/>
              <w:left w:val="nil"/>
              <w:bottom w:val="single" w:sz="4" w:space="0" w:color="auto"/>
              <w:right w:val="single" w:sz="4" w:space="0" w:color="auto"/>
            </w:tcBorders>
            <w:shd w:val="clear" w:color="000000" w:fill="000000"/>
            <w:noWrap/>
            <w:vAlign w:val="center"/>
            <w:hideMark/>
          </w:tcPr>
          <w:p w14:paraId="3F6B266E"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 </w:t>
            </w:r>
          </w:p>
        </w:tc>
        <w:tc>
          <w:tcPr>
            <w:tcW w:w="760" w:type="dxa"/>
            <w:tcBorders>
              <w:top w:val="nil"/>
              <w:left w:val="nil"/>
              <w:bottom w:val="single" w:sz="4" w:space="0" w:color="auto"/>
              <w:right w:val="single" w:sz="4" w:space="0" w:color="auto"/>
            </w:tcBorders>
            <w:shd w:val="clear" w:color="000000" w:fill="000000"/>
            <w:noWrap/>
            <w:vAlign w:val="center"/>
            <w:hideMark/>
          </w:tcPr>
          <w:p w14:paraId="0CAE1531"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 </w:t>
            </w:r>
          </w:p>
        </w:tc>
        <w:tc>
          <w:tcPr>
            <w:tcW w:w="760" w:type="dxa"/>
            <w:tcBorders>
              <w:top w:val="nil"/>
              <w:left w:val="nil"/>
              <w:bottom w:val="single" w:sz="4" w:space="0" w:color="auto"/>
              <w:right w:val="single" w:sz="8" w:space="0" w:color="auto"/>
            </w:tcBorders>
            <w:shd w:val="clear" w:color="000000" w:fill="000000"/>
            <w:noWrap/>
            <w:vAlign w:val="center"/>
            <w:hideMark/>
          </w:tcPr>
          <w:p w14:paraId="0D6FBA5E"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 </w:t>
            </w:r>
          </w:p>
        </w:tc>
      </w:tr>
      <w:tr w:rsidR="002C51A1" w:rsidRPr="00481E86" w14:paraId="1DF9516B" w14:textId="77777777" w:rsidTr="00EF36FC">
        <w:trPr>
          <w:trHeight w:val="300"/>
        </w:trPr>
        <w:tc>
          <w:tcPr>
            <w:tcW w:w="1480" w:type="dxa"/>
            <w:tcBorders>
              <w:top w:val="nil"/>
              <w:left w:val="single" w:sz="8" w:space="0" w:color="auto"/>
              <w:bottom w:val="single" w:sz="8" w:space="0" w:color="auto"/>
              <w:right w:val="nil"/>
            </w:tcBorders>
            <w:shd w:val="clear" w:color="000000" w:fill="767779"/>
            <w:noWrap/>
            <w:vAlign w:val="center"/>
            <w:hideMark/>
          </w:tcPr>
          <w:p w14:paraId="3C61FF11" w14:textId="77777777" w:rsidR="002C51A1" w:rsidRPr="00C43E61" w:rsidRDefault="002C51A1" w:rsidP="00EF36FC">
            <w:pPr>
              <w:spacing w:before="0" w:after="0" w:line="240" w:lineRule="auto"/>
              <w:jc w:val="left"/>
              <w:rPr>
                <w:rFonts w:eastAsia="Times New Roman"/>
                <w:b/>
                <w:bCs/>
                <w:color w:val="auto"/>
                <w:sz w:val="18"/>
                <w:szCs w:val="18"/>
                <w:lang w:eastAsia="pl-PL"/>
              </w:rPr>
            </w:pPr>
            <w:r w:rsidRPr="00C43E61">
              <w:rPr>
                <w:rFonts w:eastAsia="Times New Roman"/>
                <w:b/>
                <w:bCs/>
                <w:color w:val="auto"/>
                <w:sz w:val="18"/>
                <w:szCs w:val="18"/>
                <w:lang w:eastAsia="pl-PL"/>
              </w:rPr>
              <w:t>Wielka Brytania</w:t>
            </w:r>
          </w:p>
        </w:tc>
        <w:tc>
          <w:tcPr>
            <w:tcW w:w="760" w:type="dxa"/>
            <w:tcBorders>
              <w:top w:val="nil"/>
              <w:left w:val="single" w:sz="8" w:space="0" w:color="auto"/>
              <w:bottom w:val="single" w:sz="8" w:space="0" w:color="auto"/>
              <w:right w:val="single" w:sz="4" w:space="0" w:color="auto"/>
            </w:tcBorders>
            <w:shd w:val="clear" w:color="auto" w:fill="auto"/>
            <w:noWrap/>
            <w:vAlign w:val="center"/>
            <w:hideMark/>
          </w:tcPr>
          <w:p w14:paraId="1682F71C"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58,5</w:t>
            </w:r>
          </w:p>
        </w:tc>
        <w:tc>
          <w:tcPr>
            <w:tcW w:w="760" w:type="dxa"/>
            <w:tcBorders>
              <w:top w:val="nil"/>
              <w:left w:val="nil"/>
              <w:bottom w:val="single" w:sz="8" w:space="0" w:color="auto"/>
              <w:right w:val="single" w:sz="4" w:space="0" w:color="auto"/>
            </w:tcBorders>
            <w:shd w:val="clear" w:color="auto" w:fill="auto"/>
            <w:noWrap/>
            <w:vAlign w:val="center"/>
            <w:hideMark/>
          </w:tcPr>
          <w:p w14:paraId="394EAF09"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62,4</w:t>
            </w:r>
          </w:p>
        </w:tc>
        <w:tc>
          <w:tcPr>
            <w:tcW w:w="760" w:type="dxa"/>
            <w:tcBorders>
              <w:top w:val="nil"/>
              <w:left w:val="nil"/>
              <w:bottom w:val="single" w:sz="8" w:space="0" w:color="auto"/>
              <w:right w:val="single" w:sz="4" w:space="0" w:color="auto"/>
            </w:tcBorders>
            <w:shd w:val="clear" w:color="auto" w:fill="auto"/>
            <w:noWrap/>
            <w:vAlign w:val="center"/>
            <w:hideMark/>
          </w:tcPr>
          <w:p w14:paraId="1A9DB926"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61,2</w:t>
            </w:r>
          </w:p>
        </w:tc>
        <w:tc>
          <w:tcPr>
            <w:tcW w:w="760" w:type="dxa"/>
            <w:tcBorders>
              <w:top w:val="nil"/>
              <w:left w:val="nil"/>
              <w:bottom w:val="single" w:sz="8" w:space="0" w:color="auto"/>
              <w:right w:val="single" w:sz="4" w:space="0" w:color="auto"/>
            </w:tcBorders>
            <w:shd w:val="clear" w:color="auto" w:fill="auto"/>
            <w:noWrap/>
            <w:vAlign w:val="center"/>
            <w:hideMark/>
          </w:tcPr>
          <w:p w14:paraId="2FD4A838"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61,2</w:t>
            </w:r>
          </w:p>
        </w:tc>
        <w:tc>
          <w:tcPr>
            <w:tcW w:w="760" w:type="dxa"/>
            <w:tcBorders>
              <w:top w:val="nil"/>
              <w:left w:val="nil"/>
              <w:bottom w:val="single" w:sz="8" w:space="0" w:color="auto"/>
              <w:right w:val="single" w:sz="4" w:space="0" w:color="auto"/>
            </w:tcBorders>
            <w:shd w:val="clear" w:color="auto" w:fill="auto"/>
            <w:noWrap/>
            <w:vAlign w:val="center"/>
            <w:hideMark/>
          </w:tcPr>
          <w:p w14:paraId="0C4635C7"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58,0</w:t>
            </w:r>
          </w:p>
        </w:tc>
        <w:tc>
          <w:tcPr>
            <w:tcW w:w="760" w:type="dxa"/>
            <w:tcBorders>
              <w:top w:val="nil"/>
              <w:left w:val="nil"/>
              <w:bottom w:val="single" w:sz="8" w:space="0" w:color="auto"/>
              <w:right w:val="single" w:sz="4" w:space="0" w:color="auto"/>
            </w:tcBorders>
            <w:shd w:val="clear" w:color="auto" w:fill="auto"/>
            <w:noWrap/>
            <w:vAlign w:val="center"/>
            <w:hideMark/>
          </w:tcPr>
          <w:p w14:paraId="7C89C711"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56,0</w:t>
            </w:r>
          </w:p>
        </w:tc>
        <w:tc>
          <w:tcPr>
            <w:tcW w:w="760" w:type="dxa"/>
            <w:tcBorders>
              <w:top w:val="nil"/>
              <w:left w:val="nil"/>
              <w:bottom w:val="single" w:sz="8" w:space="0" w:color="auto"/>
              <w:right w:val="single" w:sz="4" w:space="0" w:color="auto"/>
            </w:tcBorders>
            <w:shd w:val="clear" w:color="auto" w:fill="auto"/>
            <w:noWrap/>
            <w:vAlign w:val="center"/>
            <w:hideMark/>
          </w:tcPr>
          <w:p w14:paraId="4CA6C4B8"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58,2</w:t>
            </w:r>
          </w:p>
        </w:tc>
        <w:tc>
          <w:tcPr>
            <w:tcW w:w="760" w:type="dxa"/>
            <w:tcBorders>
              <w:top w:val="nil"/>
              <w:left w:val="nil"/>
              <w:bottom w:val="single" w:sz="8" w:space="0" w:color="auto"/>
              <w:right w:val="single" w:sz="4" w:space="0" w:color="auto"/>
            </w:tcBorders>
            <w:shd w:val="clear" w:color="auto" w:fill="auto"/>
            <w:noWrap/>
            <w:vAlign w:val="center"/>
            <w:hideMark/>
          </w:tcPr>
          <w:p w14:paraId="34D5B643"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61,7</w:t>
            </w:r>
          </w:p>
        </w:tc>
        <w:tc>
          <w:tcPr>
            <w:tcW w:w="760" w:type="dxa"/>
            <w:tcBorders>
              <w:top w:val="nil"/>
              <w:left w:val="nil"/>
              <w:bottom w:val="single" w:sz="8" w:space="0" w:color="auto"/>
              <w:right w:val="single" w:sz="4" w:space="0" w:color="auto"/>
            </w:tcBorders>
            <w:shd w:val="clear" w:color="auto" w:fill="auto"/>
            <w:noWrap/>
            <w:vAlign w:val="center"/>
            <w:hideMark/>
          </w:tcPr>
          <w:p w14:paraId="05BE0601"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63,0</w:t>
            </w:r>
          </w:p>
        </w:tc>
        <w:tc>
          <w:tcPr>
            <w:tcW w:w="760" w:type="dxa"/>
            <w:tcBorders>
              <w:top w:val="nil"/>
              <w:left w:val="nil"/>
              <w:bottom w:val="single" w:sz="8" w:space="0" w:color="auto"/>
              <w:right w:val="single" w:sz="8" w:space="0" w:color="auto"/>
            </w:tcBorders>
            <w:shd w:val="clear" w:color="auto" w:fill="auto"/>
            <w:noWrap/>
            <w:vAlign w:val="center"/>
            <w:hideMark/>
          </w:tcPr>
          <w:p w14:paraId="65F909C9" w14:textId="77777777" w:rsidR="002C51A1" w:rsidRPr="00C43E61" w:rsidRDefault="002C51A1" w:rsidP="00EF36FC">
            <w:pPr>
              <w:spacing w:before="0" w:after="0" w:line="240" w:lineRule="auto"/>
              <w:jc w:val="right"/>
              <w:rPr>
                <w:rFonts w:eastAsia="Times New Roman"/>
                <w:color w:val="auto"/>
                <w:sz w:val="18"/>
                <w:szCs w:val="18"/>
                <w:lang w:eastAsia="pl-PL"/>
              </w:rPr>
            </w:pPr>
            <w:r w:rsidRPr="00C43E61">
              <w:rPr>
                <w:rFonts w:eastAsia="Times New Roman"/>
                <w:color w:val="auto"/>
                <w:sz w:val="18"/>
                <w:szCs w:val="18"/>
                <w:lang w:eastAsia="pl-PL"/>
              </w:rPr>
              <w:t>63,4</w:t>
            </w:r>
          </w:p>
        </w:tc>
      </w:tr>
    </w:tbl>
    <w:p w14:paraId="423413B4" w14:textId="77777777" w:rsidR="00B80A0E" w:rsidRDefault="00B80A0E" w:rsidP="002C51A1">
      <w:pPr>
        <w:pStyle w:val="Bezodstpw"/>
      </w:pPr>
    </w:p>
    <w:p w14:paraId="00B530D8" w14:textId="358E3110" w:rsidR="002C51A1" w:rsidRPr="00254AB9" w:rsidRDefault="002C51A1" w:rsidP="002C51A1">
      <w:pPr>
        <w:pStyle w:val="Bezodstpw"/>
      </w:pPr>
      <w:r w:rsidRPr="00254AB9">
        <w:t xml:space="preserve">Źródło: Opracowanie </w:t>
      </w:r>
      <w:r w:rsidR="003A56DA">
        <w:t>MRiT</w:t>
      </w:r>
      <w:r w:rsidRPr="00254AB9">
        <w:t xml:space="preserve"> na po</w:t>
      </w:r>
      <w:r>
        <w:t>dstawie danych Eurostat</w:t>
      </w:r>
    </w:p>
    <w:p w14:paraId="421F8012" w14:textId="7EA29FAD" w:rsidR="002C51A1" w:rsidRPr="00254AB9" w:rsidRDefault="002C51A1" w:rsidP="002C51A1">
      <w:r w:rsidRPr="00254AB9">
        <w:t>Szybko rośnie także relacja samego eksportu towarów</w:t>
      </w:r>
      <w:r w:rsidR="006343E1">
        <w:t xml:space="preserve"> </w:t>
      </w:r>
      <w:r w:rsidR="006343E1" w:rsidRPr="00254AB9">
        <w:t>i</w:t>
      </w:r>
      <w:r w:rsidR="006343E1">
        <w:t> </w:t>
      </w:r>
      <w:r w:rsidRPr="00254AB9">
        <w:t xml:space="preserve">usług </w:t>
      </w:r>
      <w:r w:rsidR="00B80A0E">
        <w:t xml:space="preserve">w stosunku </w:t>
      </w:r>
      <w:r w:rsidRPr="00254AB9">
        <w:t>do PKB</w:t>
      </w:r>
      <w:r w:rsidR="006343E1">
        <w:t xml:space="preserve"> </w:t>
      </w:r>
      <w:r w:rsidR="006343E1" w:rsidRPr="00254AB9">
        <w:t>w</w:t>
      </w:r>
      <w:r w:rsidR="006343E1">
        <w:t> </w:t>
      </w:r>
      <w:r w:rsidRPr="00254AB9">
        <w:t>Polsce, tj.</w:t>
      </w:r>
      <w:r w:rsidR="006343E1">
        <w:t xml:space="preserve"> </w:t>
      </w:r>
      <w:r w:rsidR="006343E1" w:rsidRPr="00254AB9">
        <w:t>w</w:t>
      </w:r>
      <w:r w:rsidR="006343E1">
        <w:t> </w:t>
      </w:r>
      <w:r w:rsidRPr="00254AB9">
        <w:t xml:space="preserve">latach </w:t>
      </w:r>
      <w:r w:rsidR="00B80A0E">
        <w:br/>
      </w:r>
      <w:r>
        <w:t>2010</w:t>
      </w:r>
      <w:r w:rsidR="00B80A0E">
        <w:rPr>
          <w:rFonts w:ascii="Times New Roman" w:hAnsi="Times New Roman" w:cs="Times New Roman"/>
        </w:rPr>
        <w:t>–</w:t>
      </w:r>
      <w:r>
        <w:t>2019</w:t>
      </w:r>
      <w:r w:rsidR="006343E1">
        <w:t xml:space="preserve"> </w:t>
      </w:r>
      <w:r w:rsidR="006343E1" w:rsidRPr="00254AB9">
        <w:t>o</w:t>
      </w:r>
      <w:r w:rsidR="006343E1">
        <w:t> </w:t>
      </w:r>
      <w:r>
        <w:t>15,6</w:t>
      </w:r>
      <w:r w:rsidRPr="00254AB9">
        <w:t xml:space="preserve"> </w:t>
      </w:r>
      <w:r>
        <w:t>p</w:t>
      </w:r>
      <w:r w:rsidR="00B80A0E">
        <w:t>kt</w:t>
      </w:r>
      <w:r>
        <w:t>.</w:t>
      </w:r>
      <w:r w:rsidR="00B80A0E">
        <w:t xml:space="preserve"> </w:t>
      </w:r>
      <w:r>
        <w:t>p</w:t>
      </w:r>
      <w:r w:rsidR="00B80A0E">
        <w:t>roc</w:t>
      </w:r>
      <w:r>
        <w:t>.</w:t>
      </w:r>
      <w:r w:rsidRPr="00254AB9">
        <w:t xml:space="preserve"> do </w:t>
      </w:r>
      <w:r>
        <w:t>55,5</w:t>
      </w:r>
      <w:r w:rsidRPr="00254AB9">
        <w:t xml:space="preserve">%. Był to wzrost </w:t>
      </w:r>
      <w:r>
        <w:t>ok. 2</w:t>
      </w:r>
      <w:r w:rsidRPr="00254AB9">
        <w:t>-krotnie szybszy niż średni dla całej UE</w:t>
      </w:r>
      <w:r w:rsidR="00B80A0E">
        <w:t>-</w:t>
      </w:r>
      <w:r>
        <w:t>28</w:t>
      </w:r>
      <w:r w:rsidRPr="00254AB9">
        <w:t>. Jednocześnie należy zauważyć</w:t>
      </w:r>
      <w:r w:rsidR="00477C54">
        <w:t>, że </w:t>
      </w:r>
      <w:r w:rsidRPr="00254AB9">
        <w:t>relacja eksport</w:t>
      </w:r>
      <w:r w:rsidR="00B80A0E">
        <w:t xml:space="preserve">u i </w:t>
      </w:r>
      <w:r w:rsidRPr="00254AB9">
        <w:t>PKB jest najwyższa</w:t>
      </w:r>
      <w:r w:rsidR="006343E1">
        <w:t xml:space="preserve"> </w:t>
      </w:r>
      <w:r w:rsidR="006343E1" w:rsidRPr="00254AB9">
        <w:t>w</w:t>
      </w:r>
      <w:r w:rsidR="006343E1">
        <w:t> </w:t>
      </w:r>
      <w:r w:rsidRPr="00254AB9">
        <w:t>stosunkowo małych gospodarkach (np. Węg</w:t>
      </w:r>
      <w:r w:rsidR="00B80A0E">
        <w:t>ier</w:t>
      </w:r>
      <w:r w:rsidRPr="00254AB9">
        <w:t>, Słowacj</w:t>
      </w:r>
      <w:r w:rsidR="00B80A0E">
        <w:t>i</w:t>
      </w:r>
      <w:r w:rsidRPr="00254AB9">
        <w:t>)</w:t>
      </w:r>
      <w:r w:rsidR="00B80A0E">
        <w:t>,</w:t>
      </w:r>
      <w:r w:rsidRPr="00254AB9">
        <w:t xml:space="preserve"> znacznie silniej włączonych,  na skutek mniejszych korzyści skali produkcji,</w:t>
      </w:r>
      <w:r w:rsidR="006343E1">
        <w:t xml:space="preserve"> </w:t>
      </w:r>
      <w:r w:rsidR="006343E1" w:rsidRPr="00254AB9">
        <w:t>w</w:t>
      </w:r>
      <w:r w:rsidR="006343E1">
        <w:t> </w:t>
      </w:r>
      <w:r w:rsidRPr="00254AB9">
        <w:t>międzynarodową wymianę handlową.</w:t>
      </w:r>
    </w:p>
    <w:p w14:paraId="4D8115D2" w14:textId="128476AE" w:rsidR="002C51A1" w:rsidRDefault="002C51A1" w:rsidP="00CB07D4">
      <w:pPr>
        <w:pageBreakBefore/>
        <w:spacing w:after="0" w:line="240" w:lineRule="auto"/>
        <w:jc w:val="left"/>
        <w:rPr>
          <w:noProof/>
        </w:rPr>
      </w:pPr>
      <w:r>
        <w:rPr>
          <w:rFonts w:cs="Calibri"/>
          <w:b/>
          <w:sz w:val="21"/>
          <w:szCs w:val="21"/>
        </w:rPr>
        <w:lastRenderedPageBreak/>
        <w:t>W</w:t>
      </w:r>
      <w:r w:rsidRPr="00254AB9">
        <w:rPr>
          <w:rFonts w:cs="Calibri"/>
          <w:b/>
          <w:sz w:val="21"/>
          <w:szCs w:val="21"/>
        </w:rPr>
        <w:t xml:space="preserve">ykres </w:t>
      </w:r>
      <w:r w:rsidR="00FC6E8F">
        <w:rPr>
          <w:rFonts w:cs="Calibri"/>
          <w:b/>
          <w:sz w:val="21"/>
          <w:szCs w:val="21"/>
        </w:rPr>
        <w:t>90</w:t>
      </w:r>
      <w:r w:rsidRPr="00254AB9">
        <w:rPr>
          <w:rFonts w:cs="Calibri"/>
          <w:b/>
          <w:sz w:val="21"/>
          <w:szCs w:val="21"/>
        </w:rPr>
        <w:fldChar w:fldCharType="begin"/>
      </w:r>
      <w:r w:rsidRPr="00254AB9">
        <w:rPr>
          <w:rFonts w:cs="Calibri"/>
          <w:b/>
          <w:sz w:val="21"/>
          <w:szCs w:val="21"/>
        </w:rPr>
        <w:instrText xml:space="preserve"> SEQ Rysunek \* ARABIC </w:instrText>
      </w:r>
      <w:r w:rsidRPr="00254AB9">
        <w:rPr>
          <w:rFonts w:cs="Calibri"/>
          <w:b/>
          <w:sz w:val="21"/>
          <w:szCs w:val="21"/>
        </w:rPr>
        <w:fldChar w:fldCharType="end"/>
      </w:r>
      <w:r w:rsidRPr="00254AB9">
        <w:rPr>
          <w:rFonts w:cs="Calibri"/>
          <w:b/>
          <w:sz w:val="21"/>
          <w:szCs w:val="21"/>
        </w:rPr>
        <w:t>. Relacja eksportu towarów</w:t>
      </w:r>
      <w:r w:rsidR="006343E1">
        <w:rPr>
          <w:rFonts w:cs="Calibri"/>
          <w:b/>
          <w:sz w:val="21"/>
          <w:szCs w:val="21"/>
        </w:rPr>
        <w:t xml:space="preserve"> </w:t>
      </w:r>
      <w:r w:rsidR="006343E1" w:rsidRPr="00254AB9">
        <w:rPr>
          <w:rFonts w:cs="Calibri"/>
          <w:b/>
          <w:sz w:val="21"/>
          <w:szCs w:val="21"/>
        </w:rPr>
        <w:t>i</w:t>
      </w:r>
      <w:r w:rsidR="006343E1">
        <w:rPr>
          <w:rFonts w:cs="Calibri"/>
          <w:b/>
          <w:sz w:val="21"/>
          <w:szCs w:val="21"/>
        </w:rPr>
        <w:t> </w:t>
      </w:r>
      <w:r w:rsidRPr="00254AB9">
        <w:rPr>
          <w:rFonts w:cs="Calibri"/>
          <w:b/>
          <w:sz w:val="21"/>
          <w:szCs w:val="21"/>
        </w:rPr>
        <w:t xml:space="preserve">usług do PKB </w:t>
      </w:r>
      <w:r w:rsidR="00B80A0E">
        <w:rPr>
          <w:rFonts w:cs="Calibri"/>
          <w:b/>
          <w:sz w:val="21"/>
          <w:szCs w:val="21"/>
        </w:rPr>
        <w:t>w</w:t>
      </w:r>
      <w:r w:rsidRPr="00254AB9">
        <w:rPr>
          <w:rFonts w:cs="Calibri"/>
          <w:b/>
          <w:sz w:val="21"/>
          <w:szCs w:val="21"/>
        </w:rPr>
        <w:t xml:space="preserve"> wybranych kraj</w:t>
      </w:r>
      <w:r w:rsidR="00B80A0E">
        <w:rPr>
          <w:rFonts w:cs="Calibri"/>
          <w:b/>
          <w:sz w:val="21"/>
          <w:szCs w:val="21"/>
        </w:rPr>
        <w:t>ach</w:t>
      </w:r>
      <w:r w:rsidRPr="00254AB9">
        <w:rPr>
          <w:rFonts w:cs="Calibri"/>
          <w:b/>
          <w:sz w:val="21"/>
          <w:szCs w:val="21"/>
        </w:rPr>
        <w:t xml:space="preserve"> UE (w %)</w:t>
      </w:r>
      <w:r>
        <w:rPr>
          <w:rFonts w:cs="Calibri"/>
          <w:b/>
          <w:sz w:val="21"/>
          <w:szCs w:val="21"/>
        </w:rPr>
        <w:t xml:space="preserve"> </w:t>
      </w:r>
      <w:r>
        <w:rPr>
          <w:noProof/>
          <w:lang w:eastAsia="pl-PL"/>
        </w:rPr>
        <w:drawing>
          <wp:inline distT="0" distB="0" distL="0" distR="0" wp14:anchorId="498AFF0E" wp14:editId="69ED6E96">
            <wp:extent cx="4572000" cy="2371725"/>
            <wp:effectExtent l="0" t="0" r="0" b="0"/>
            <wp:docPr id="241" name="Wykres 241">
              <a:extLst xmlns:a="http://schemas.openxmlformats.org/drawingml/2006/main">
                <a:ext uri="{FF2B5EF4-FFF2-40B4-BE49-F238E27FC236}">
                  <a16:creationId xmlns:a16="http://schemas.microsoft.com/office/drawing/2014/main" id="{414352B4-89DF-4375-97C1-8953DA207E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p>
    <w:p w14:paraId="6009CC78" w14:textId="7E6798A6" w:rsidR="002C51A1" w:rsidRPr="00254AB9" w:rsidRDefault="002C51A1" w:rsidP="002C51A1">
      <w:pPr>
        <w:pStyle w:val="Bezodstpw"/>
      </w:pPr>
      <w:r w:rsidRPr="00254AB9">
        <w:t xml:space="preserve">Źródło: Opracowanie </w:t>
      </w:r>
      <w:r w:rsidR="003A56DA">
        <w:t>MRiT</w:t>
      </w:r>
      <w:r>
        <w:t xml:space="preserve"> </w:t>
      </w:r>
      <w:r w:rsidRPr="00254AB9">
        <w:t>na po</w:t>
      </w:r>
      <w:r w:rsidR="00A9445F">
        <w:t>dstawie danych Eurostat</w:t>
      </w:r>
    </w:p>
    <w:p w14:paraId="72F60450" w14:textId="368C292F" w:rsidR="002C51A1" w:rsidRPr="00254AB9" w:rsidRDefault="002C51A1" w:rsidP="002C51A1">
      <w:r w:rsidRPr="00254AB9">
        <w:t>Zwiększanie udziału eksportu</w:t>
      </w:r>
      <w:r w:rsidR="006343E1">
        <w:t xml:space="preserve"> </w:t>
      </w:r>
      <w:r w:rsidR="006343E1" w:rsidRPr="00254AB9">
        <w:t>w</w:t>
      </w:r>
      <w:r w:rsidR="006343E1">
        <w:t> </w:t>
      </w:r>
      <w:r w:rsidRPr="00254AB9">
        <w:t>PKB powoduje</w:t>
      </w:r>
      <w:r w:rsidR="00477C54">
        <w:t>, że </w:t>
      </w:r>
      <w:r w:rsidRPr="00254AB9">
        <w:t>oddziałuje on coraz silniej na stan polskiej gospodarki. Na</w:t>
      </w:r>
      <w:r w:rsidR="000C34A2">
        <w:t> </w:t>
      </w:r>
      <w:r w:rsidRPr="00254AB9">
        <w:t>poniższym wykresie pokazano, jak wahania</w:t>
      </w:r>
      <w:r w:rsidR="006343E1">
        <w:t xml:space="preserve"> </w:t>
      </w:r>
      <w:r w:rsidR="006343E1" w:rsidRPr="00254AB9">
        <w:t>w</w:t>
      </w:r>
      <w:r w:rsidR="006343E1">
        <w:t> </w:t>
      </w:r>
      <w:r w:rsidRPr="00254AB9">
        <w:t>dynamice eksportu wpływają na PKB. Najlepiej widać to</w:t>
      </w:r>
      <w:r w:rsidR="006343E1">
        <w:t xml:space="preserve"> </w:t>
      </w:r>
      <w:r w:rsidR="006343E1" w:rsidRPr="00254AB9">
        <w:t>w</w:t>
      </w:r>
      <w:r w:rsidR="006343E1">
        <w:t> </w:t>
      </w:r>
      <w:r w:rsidRPr="00254AB9">
        <w:t>kryzysowym roku 2009, kiedy spadek eksportu towarów przełożył się na spowolnienie tempa wzrostu PKB</w:t>
      </w:r>
      <w:r w:rsidR="000C34A2">
        <w:t>,</w:t>
      </w:r>
      <w:r w:rsidRPr="00254AB9">
        <w:t xml:space="preserve"> oraz</w:t>
      </w:r>
      <w:r w:rsidR="006343E1">
        <w:t xml:space="preserve"> </w:t>
      </w:r>
      <w:r w:rsidR="006343E1" w:rsidRPr="00254AB9">
        <w:t>w</w:t>
      </w:r>
      <w:r w:rsidR="006343E1">
        <w:t> </w:t>
      </w:r>
      <w:r w:rsidRPr="00254AB9">
        <w:t>roku 2016, kiedy to wyhamowanie wywozu szło w parze</w:t>
      </w:r>
      <w:r w:rsidR="006343E1">
        <w:t xml:space="preserve"> </w:t>
      </w:r>
      <w:r w:rsidR="006343E1" w:rsidRPr="00254AB9">
        <w:t>z</w:t>
      </w:r>
      <w:r w:rsidR="006343E1">
        <w:t> </w:t>
      </w:r>
      <w:r w:rsidRPr="00254AB9">
        <w:t>wolniejszym wzrostem gospodarczym.</w:t>
      </w:r>
      <w:r w:rsidR="006343E1">
        <w:t xml:space="preserve"> </w:t>
      </w:r>
      <w:r w:rsidR="006343E1" w:rsidRPr="00254AB9">
        <w:t>Z</w:t>
      </w:r>
      <w:r w:rsidR="006343E1">
        <w:t> </w:t>
      </w:r>
      <w:r w:rsidRPr="00254AB9">
        <w:t>kolei</w:t>
      </w:r>
      <w:r w:rsidR="006343E1">
        <w:t xml:space="preserve"> </w:t>
      </w:r>
      <w:r w:rsidR="006343E1" w:rsidRPr="00254AB9">
        <w:t>w</w:t>
      </w:r>
      <w:r w:rsidR="006343E1">
        <w:t> </w:t>
      </w:r>
      <w:r w:rsidRPr="00254AB9">
        <w:t>2017</w:t>
      </w:r>
      <w:r w:rsidR="000C34A2">
        <w:t> </w:t>
      </w:r>
      <w:r w:rsidRPr="00254AB9">
        <w:t>r.</w:t>
      </w:r>
      <w:r>
        <w:t xml:space="preserve"> </w:t>
      </w:r>
      <w:r w:rsidRPr="00254AB9">
        <w:t>notowaliśmy zarówno dynamiczny wzrost eksportu towarów (</w:t>
      </w:r>
      <w:r>
        <w:t>o</w:t>
      </w:r>
      <w:r w:rsidRPr="00254AB9">
        <w:t xml:space="preserve"> </w:t>
      </w:r>
      <w:r>
        <w:t xml:space="preserve">ok. </w:t>
      </w:r>
      <w:r w:rsidRPr="00254AB9">
        <w:t>1</w:t>
      </w:r>
      <w:r>
        <w:t>2</w:t>
      </w:r>
      <w:r w:rsidRPr="00254AB9">
        <w:t>%</w:t>
      </w:r>
      <w:r>
        <w:t xml:space="preserve"> w ujęciu EUR</w:t>
      </w:r>
      <w:r w:rsidRPr="00254AB9">
        <w:t>), jak</w:t>
      </w:r>
      <w:r w:rsidR="006343E1">
        <w:t xml:space="preserve"> </w:t>
      </w:r>
      <w:r w:rsidR="006343E1" w:rsidRPr="00254AB9">
        <w:t>i</w:t>
      </w:r>
      <w:r w:rsidR="006343E1">
        <w:t> </w:t>
      </w:r>
      <w:r w:rsidRPr="00254AB9">
        <w:t>PKB (4,</w:t>
      </w:r>
      <w:r>
        <w:t>8</w:t>
      </w:r>
      <w:r w:rsidRPr="00254AB9">
        <w:t>%).</w:t>
      </w:r>
      <w:r>
        <w:t xml:space="preserve"> </w:t>
      </w:r>
    </w:p>
    <w:p w14:paraId="63106067" w14:textId="1AC52E55" w:rsidR="002C51A1" w:rsidRDefault="002C51A1" w:rsidP="002C51A1">
      <w:pPr>
        <w:spacing w:after="0" w:line="240" w:lineRule="auto"/>
        <w:rPr>
          <w:rFonts w:cs="Calibri"/>
          <w:b/>
          <w:sz w:val="21"/>
          <w:szCs w:val="21"/>
        </w:rPr>
      </w:pPr>
      <w:r w:rsidRPr="00254AB9">
        <w:rPr>
          <w:rFonts w:cs="Calibri"/>
          <w:b/>
          <w:sz w:val="21"/>
          <w:szCs w:val="21"/>
        </w:rPr>
        <w:t xml:space="preserve">Wykres </w:t>
      </w:r>
      <w:r w:rsidR="00FC6E8F">
        <w:rPr>
          <w:rFonts w:cs="Calibri"/>
          <w:b/>
          <w:sz w:val="21"/>
          <w:szCs w:val="21"/>
        </w:rPr>
        <w:t>91</w:t>
      </w:r>
      <w:r w:rsidRPr="00254AB9">
        <w:rPr>
          <w:rFonts w:cs="Calibri"/>
          <w:b/>
          <w:sz w:val="21"/>
          <w:szCs w:val="21"/>
        </w:rPr>
        <w:fldChar w:fldCharType="begin"/>
      </w:r>
      <w:r w:rsidRPr="00254AB9">
        <w:rPr>
          <w:rFonts w:cs="Calibri"/>
          <w:b/>
          <w:sz w:val="21"/>
          <w:szCs w:val="21"/>
        </w:rPr>
        <w:instrText xml:space="preserve"> SEQ Rysunek \* ARABIC </w:instrText>
      </w:r>
      <w:r w:rsidRPr="00254AB9">
        <w:rPr>
          <w:rFonts w:cs="Calibri"/>
          <w:b/>
          <w:sz w:val="21"/>
          <w:szCs w:val="21"/>
        </w:rPr>
        <w:fldChar w:fldCharType="end"/>
      </w:r>
      <w:r w:rsidRPr="00254AB9">
        <w:rPr>
          <w:rFonts w:cs="Calibri"/>
          <w:b/>
          <w:sz w:val="21"/>
          <w:szCs w:val="21"/>
        </w:rPr>
        <w:t>. Dynamika eksportu towarów</w:t>
      </w:r>
      <w:r w:rsidR="006343E1">
        <w:rPr>
          <w:rFonts w:cs="Calibri"/>
          <w:b/>
          <w:sz w:val="21"/>
          <w:szCs w:val="21"/>
        </w:rPr>
        <w:t xml:space="preserve"> </w:t>
      </w:r>
      <w:r w:rsidR="006343E1" w:rsidRPr="00254AB9">
        <w:rPr>
          <w:rFonts w:cs="Calibri"/>
          <w:b/>
          <w:sz w:val="21"/>
          <w:szCs w:val="21"/>
        </w:rPr>
        <w:t>z</w:t>
      </w:r>
      <w:r w:rsidR="006343E1">
        <w:rPr>
          <w:rFonts w:cs="Calibri"/>
          <w:b/>
          <w:sz w:val="21"/>
          <w:szCs w:val="21"/>
        </w:rPr>
        <w:t> </w:t>
      </w:r>
      <w:r w:rsidRPr="00254AB9">
        <w:rPr>
          <w:rFonts w:cs="Calibri"/>
          <w:b/>
          <w:sz w:val="21"/>
          <w:szCs w:val="21"/>
        </w:rPr>
        <w:t>Polski (w ujęciu EUR) na tle</w:t>
      </w:r>
      <w:r>
        <w:rPr>
          <w:rFonts w:cs="Calibri"/>
          <w:b/>
          <w:sz w:val="21"/>
          <w:szCs w:val="21"/>
        </w:rPr>
        <w:t xml:space="preserve"> dynamiki PKB</w:t>
      </w:r>
      <w:r w:rsidR="006343E1">
        <w:rPr>
          <w:rFonts w:cs="Calibri"/>
          <w:b/>
          <w:sz w:val="21"/>
          <w:szCs w:val="21"/>
        </w:rPr>
        <w:t xml:space="preserve"> w </w:t>
      </w:r>
      <w:r>
        <w:rPr>
          <w:rFonts w:cs="Calibri"/>
          <w:b/>
          <w:sz w:val="21"/>
          <w:szCs w:val="21"/>
        </w:rPr>
        <w:t>latach 2009</w:t>
      </w:r>
      <w:r w:rsidR="000C34A2">
        <w:rPr>
          <w:rFonts w:ascii="Times New Roman" w:hAnsi="Times New Roman" w:cs="Times New Roman"/>
          <w:b/>
          <w:sz w:val="21"/>
          <w:szCs w:val="21"/>
        </w:rPr>
        <w:t>–</w:t>
      </w:r>
      <w:r>
        <w:rPr>
          <w:rFonts w:cs="Calibri"/>
          <w:b/>
          <w:sz w:val="21"/>
          <w:szCs w:val="21"/>
        </w:rPr>
        <w:t>2019</w:t>
      </w:r>
    </w:p>
    <w:p w14:paraId="1F82E817" w14:textId="77777777" w:rsidR="002C51A1" w:rsidRPr="00F4472F" w:rsidRDefault="002C51A1" w:rsidP="002C51A1">
      <w:r>
        <w:rPr>
          <w:noProof/>
          <w:lang w:eastAsia="pl-PL"/>
        </w:rPr>
        <w:drawing>
          <wp:inline distT="0" distB="0" distL="0" distR="0" wp14:anchorId="44E569C8" wp14:editId="3017E6B6">
            <wp:extent cx="5654040" cy="2743200"/>
            <wp:effectExtent l="0" t="0" r="3810" b="0"/>
            <wp:docPr id="242" name="Wykres 242">
              <a:extLst xmlns:a="http://schemas.openxmlformats.org/drawingml/2006/main">
                <a:ext uri="{FF2B5EF4-FFF2-40B4-BE49-F238E27FC236}">
                  <a16:creationId xmlns:a16="http://schemas.microsoft.com/office/drawing/2014/main" id="{E7101CFF-E40A-4AA1-8D7B-4FDC0B9202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p>
    <w:p w14:paraId="525BA1BF" w14:textId="4BFFF741" w:rsidR="002C51A1" w:rsidRDefault="002C51A1" w:rsidP="002C51A1">
      <w:pPr>
        <w:pStyle w:val="Bezodstpw"/>
      </w:pPr>
      <w:r w:rsidRPr="00254AB9">
        <w:t xml:space="preserve">Źródło: Opracowanie </w:t>
      </w:r>
      <w:r>
        <w:t>MRTiP</w:t>
      </w:r>
      <w:r w:rsidRPr="00254AB9">
        <w:t xml:space="preserve"> na podstawie danych </w:t>
      </w:r>
      <w:r>
        <w:t xml:space="preserve">GUS </w:t>
      </w:r>
    </w:p>
    <w:p w14:paraId="10A2D878" w14:textId="35BD5FB7" w:rsidR="002C51A1" w:rsidRPr="00254AB9" w:rsidRDefault="002C51A1" w:rsidP="002C51A1">
      <w:pPr>
        <w:rPr>
          <w:rFonts w:cs="Calibri"/>
          <w:sz w:val="21"/>
          <w:szCs w:val="21"/>
        </w:rPr>
      </w:pPr>
      <w:r w:rsidRPr="00254AB9">
        <w:t>Od lat tempo wzrostu polskich obrotów znacząco przewyższa wzrost</w:t>
      </w:r>
      <w:r w:rsidR="006343E1">
        <w:t xml:space="preserve"> </w:t>
      </w:r>
      <w:r w:rsidR="006343E1" w:rsidRPr="00254AB9">
        <w:t>w</w:t>
      </w:r>
      <w:r w:rsidR="006343E1">
        <w:t> </w:t>
      </w:r>
      <w:r w:rsidRPr="00254AB9">
        <w:t>skali globalnej.</w:t>
      </w:r>
      <w:r w:rsidR="006343E1">
        <w:t xml:space="preserve"> </w:t>
      </w:r>
      <w:r w:rsidR="006343E1" w:rsidRPr="00254AB9">
        <w:t>W</w:t>
      </w:r>
      <w:r w:rsidR="006343E1">
        <w:t> </w:t>
      </w:r>
      <w:r w:rsidRPr="00254AB9">
        <w:t xml:space="preserve">latach </w:t>
      </w:r>
      <w:r>
        <w:t>2010</w:t>
      </w:r>
      <w:r w:rsidR="000C34A2">
        <w:rPr>
          <w:rFonts w:ascii="Times New Roman" w:hAnsi="Times New Roman" w:cs="Times New Roman"/>
        </w:rPr>
        <w:t>–</w:t>
      </w:r>
      <w:r>
        <w:t>2019</w:t>
      </w:r>
      <w:r w:rsidRPr="00254AB9">
        <w:t xml:space="preserve"> średnioroczne tempo wzrostu polskiego eksportu towarów (w ujęciu dolarowym) wyniosło </w:t>
      </w:r>
      <w:r>
        <w:t>prawie 8</w:t>
      </w:r>
      <w:r w:rsidRPr="00254AB9">
        <w:t xml:space="preserve">%, wobec </w:t>
      </w:r>
      <w:r>
        <w:t xml:space="preserve">5,2% </w:t>
      </w:r>
      <w:r w:rsidR="006343E1">
        <w:t xml:space="preserve"> </w:t>
      </w:r>
      <w:r w:rsidR="006343E1" w:rsidRPr="00254AB9">
        <w:t>w</w:t>
      </w:r>
      <w:r w:rsidR="006343E1">
        <w:t> </w:t>
      </w:r>
      <w:r w:rsidRPr="00254AB9">
        <w:t>skali światowej. Efektem było umocnienie roli eksportu</w:t>
      </w:r>
      <w:r w:rsidR="006343E1">
        <w:t xml:space="preserve"> </w:t>
      </w:r>
      <w:r w:rsidR="006343E1" w:rsidRPr="00254AB9">
        <w:t>z</w:t>
      </w:r>
      <w:r w:rsidR="006343E1">
        <w:t> </w:t>
      </w:r>
      <w:r w:rsidRPr="00254AB9">
        <w:t xml:space="preserve">Polski na rynku światowym </w:t>
      </w:r>
      <w:r>
        <w:t>–</w:t>
      </w:r>
      <w:r w:rsidR="006343E1">
        <w:t xml:space="preserve"> </w:t>
      </w:r>
      <w:r w:rsidR="006343E1" w:rsidRPr="00254AB9">
        <w:t>w</w:t>
      </w:r>
      <w:r w:rsidR="006343E1">
        <w:t> </w:t>
      </w:r>
      <w:r w:rsidRPr="00254AB9">
        <w:t>roku 201</w:t>
      </w:r>
      <w:r>
        <w:t>9</w:t>
      </w:r>
      <w:r w:rsidRPr="00254AB9">
        <w:t xml:space="preserve"> udział polskiego eksportu towarów</w:t>
      </w:r>
      <w:r w:rsidR="006343E1">
        <w:t xml:space="preserve"> </w:t>
      </w:r>
      <w:r w:rsidR="006343E1" w:rsidRPr="00254AB9">
        <w:t>w</w:t>
      </w:r>
      <w:r w:rsidR="006343E1">
        <w:t> </w:t>
      </w:r>
      <w:r w:rsidRPr="00254AB9">
        <w:t>globalnym eksporcie wyniósł 1,</w:t>
      </w:r>
      <w:r>
        <w:t>4</w:t>
      </w:r>
      <w:r w:rsidRPr="00254AB9">
        <w:t>%. Jakkolwiek był to słabszy wynik niż wysokorozwiniętych krajów starej UE, takich jak Niemcy czy Francja, to naszym wyróżnikiem jest systematyczny wzrost tego wskaźnika. Zaowocowało to przesunięciem Polski na liście najważniejszych światowych eksporterów</w:t>
      </w:r>
      <w:r w:rsidR="006343E1">
        <w:t xml:space="preserve"> </w:t>
      </w:r>
      <w:r w:rsidR="006343E1" w:rsidRPr="00254AB9">
        <w:t>z</w:t>
      </w:r>
      <w:r w:rsidR="006343E1">
        <w:t> </w:t>
      </w:r>
      <w:r w:rsidRPr="00254AB9">
        <w:t>pozycji 2</w:t>
      </w:r>
      <w:r>
        <w:t>8</w:t>
      </w:r>
      <w:r w:rsidRPr="00254AB9">
        <w:t>.</w:t>
      </w:r>
      <w:r w:rsidR="006343E1">
        <w:t xml:space="preserve"> </w:t>
      </w:r>
      <w:r w:rsidR="006343E1" w:rsidRPr="00254AB9">
        <w:t>w</w:t>
      </w:r>
      <w:r w:rsidR="006343E1">
        <w:t> </w:t>
      </w:r>
      <w:r w:rsidRPr="00254AB9">
        <w:t>20</w:t>
      </w:r>
      <w:r>
        <w:t>10</w:t>
      </w:r>
      <w:r w:rsidRPr="00254AB9">
        <w:t xml:space="preserve"> r. na miejsce 2</w:t>
      </w:r>
      <w:r>
        <w:t>4</w:t>
      </w:r>
      <w:r w:rsidRPr="00254AB9">
        <w:t>.</w:t>
      </w:r>
      <w:r w:rsidR="006343E1">
        <w:t xml:space="preserve"> </w:t>
      </w:r>
      <w:r w:rsidR="006343E1" w:rsidRPr="00254AB9">
        <w:t>w</w:t>
      </w:r>
      <w:r w:rsidR="006343E1">
        <w:t> </w:t>
      </w:r>
      <w:r w:rsidRPr="00254AB9">
        <w:t>201</w:t>
      </w:r>
      <w:r>
        <w:t>9</w:t>
      </w:r>
      <w:r w:rsidRPr="00254AB9">
        <w:t xml:space="preserve"> r.</w:t>
      </w:r>
    </w:p>
    <w:p w14:paraId="52572B6A" w14:textId="277F578A" w:rsidR="002C51A1" w:rsidRDefault="002C51A1" w:rsidP="00990BBF">
      <w:pPr>
        <w:pStyle w:val="Nagwek4"/>
      </w:pPr>
      <w:r>
        <w:lastRenderedPageBreak/>
        <w:t xml:space="preserve">Wykres </w:t>
      </w:r>
      <w:r w:rsidR="000935B2">
        <w:t>9</w:t>
      </w:r>
      <w:r w:rsidR="00FC6E8F">
        <w:t>2</w:t>
      </w:r>
      <w:r w:rsidRPr="00254AB9">
        <w:t>. Światowi eksporterzy towarów</w:t>
      </w:r>
      <w:r w:rsidR="006343E1">
        <w:t xml:space="preserve"> </w:t>
      </w:r>
      <w:r w:rsidR="006343E1" w:rsidRPr="00254AB9">
        <w:t>w</w:t>
      </w:r>
      <w:r w:rsidR="006343E1">
        <w:t> </w:t>
      </w:r>
      <w:r w:rsidRPr="00254AB9">
        <w:t>201</w:t>
      </w:r>
      <w:r>
        <w:t>9</w:t>
      </w:r>
      <w:r w:rsidRPr="00254AB9">
        <w:t xml:space="preserve"> r. (udziały</w:t>
      </w:r>
      <w:r w:rsidR="006343E1">
        <w:t xml:space="preserve"> </w:t>
      </w:r>
      <w:r w:rsidR="006343E1" w:rsidRPr="00254AB9">
        <w:t>w</w:t>
      </w:r>
      <w:r w:rsidR="006343E1">
        <w:t> </w:t>
      </w:r>
      <w:r w:rsidRPr="00254AB9">
        <w:t>%)</w:t>
      </w:r>
    </w:p>
    <w:p w14:paraId="752967B5" w14:textId="77777777" w:rsidR="002C51A1" w:rsidRDefault="002C51A1" w:rsidP="002C51A1">
      <w:pPr>
        <w:spacing w:after="0" w:line="240" w:lineRule="auto"/>
        <w:rPr>
          <w:rFonts w:cs="Calibri"/>
          <w:b/>
          <w:sz w:val="21"/>
          <w:szCs w:val="21"/>
        </w:rPr>
      </w:pPr>
      <w:r>
        <w:rPr>
          <w:noProof/>
          <w:lang w:eastAsia="pl-PL"/>
        </w:rPr>
        <mc:AlternateContent>
          <mc:Choice Requires="wps">
            <w:drawing>
              <wp:anchor distT="0" distB="0" distL="114300" distR="114300" simplePos="0" relativeHeight="251676672" behindDoc="0" locked="0" layoutInCell="1" allowOverlap="1" wp14:anchorId="1FFAB1C8" wp14:editId="547B864A">
                <wp:simplePos x="0" y="0"/>
                <wp:positionH relativeFrom="column">
                  <wp:posOffset>4576881</wp:posOffset>
                </wp:positionH>
                <wp:positionV relativeFrom="paragraph">
                  <wp:posOffset>1348077</wp:posOffset>
                </wp:positionV>
                <wp:extent cx="810895" cy="381000"/>
                <wp:effectExtent l="0" t="0" r="46355" b="323850"/>
                <wp:wrapNone/>
                <wp:docPr id="240" name="Dymek mowy: prostokąt 240"/>
                <wp:cNvGraphicFramePr/>
                <a:graphic xmlns:a="http://schemas.openxmlformats.org/drawingml/2006/main">
                  <a:graphicData uri="http://schemas.microsoft.com/office/word/2010/wordprocessingShape">
                    <wps:wsp>
                      <wps:cNvSpPr/>
                      <wps:spPr>
                        <a:xfrm>
                          <a:off x="0" y="0"/>
                          <a:ext cx="810895" cy="381000"/>
                        </a:xfrm>
                        <a:prstGeom prst="wedgeRectCallout">
                          <a:avLst>
                            <a:gd name="adj1" fmla="val 50316"/>
                            <a:gd name="adj2" fmla="val 128214"/>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22D7BD2" w14:textId="77777777" w:rsidR="009F06E2" w:rsidRPr="00D52A43" w:rsidRDefault="009F06E2" w:rsidP="00D52A43">
                            <w:pPr>
                              <w:jc w:val="center"/>
                              <w:rPr>
                                <w:b/>
                                <w:bCs/>
                                <w:sz w:val="20"/>
                                <w:szCs w:val="20"/>
                              </w:rPr>
                            </w:pPr>
                            <w:r w:rsidRPr="00D52A43">
                              <w:rPr>
                                <w:b/>
                                <w:bCs/>
                                <w:sz w:val="20"/>
                                <w:szCs w:val="20"/>
                              </w:rPr>
                              <w:t>Pozycja 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FFAB1C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Dymek mowy: prostokąt 240" o:spid="_x0000_s1047" type="#_x0000_t61" style="position:absolute;left:0;text-align:left;margin-left:360.4pt;margin-top:106.15pt;width:63.85pt;height:30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" adj="21668,38494" fillcolor="white [3201]" strokecolor="black [3213]" strokeweight="2pt">
                <v:textbox>
                  <w:txbxContent>
                    <w:p w14:paraId="522D7BD2" w14:textId="77777777" w:rsidR="009F06E2" w:rsidRPr="00D52A43" w:rsidRDefault="009F06E2" w:rsidP="00D52A43">
                      <w:pPr>
                        <w:jc w:val="center"/>
                        <w:rPr>
                          <w:b/>
                          <w:bCs/>
                          <w:sz w:val="20"/>
                          <w:szCs w:val="20"/>
                        </w:rPr>
                      </w:pPr>
                      <w:r w:rsidRPr="00D52A43">
                        <w:rPr>
                          <w:b/>
                          <w:bCs/>
                          <w:sz w:val="20"/>
                          <w:szCs w:val="20"/>
                        </w:rPr>
                        <w:t>Pozycja 24.</w:t>
                      </w:r>
                    </w:p>
                  </w:txbxContent>
                </v:textbox>
              </v:shape>
            </w:pict>
          </mc:Fallback>
        </mc:AlternateContent>
      </w:r>
      <w:r>
        <w:rPr>
          <w:noProof/>
          <w:lang w:eastAsia="pl-PL"/>
        </w:rPr>
        <w:drawing>
          <wp:inline distT="0" distB="0" distL="0" distR="0" wp14:anchorId="0EE71BAA" wp14:editId="7797466B">
            <wp:extent cx="5760720" cy="2736376"/>
            <wp:effectExtent l="0" t="0" r="0" b="6985"/>
            <wp:docPr id="243" name="Wykres 243">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p w14:paraId="42B9D96E" w14:textId="77777777" w:rsidR="000C34A2" w:rsidRDefault="000C34A2" w:rsidP="002C51A1">
      <w:pPr>
        <w:pStyle w:val="Bezodstpw"/>
      </w:pPr>
    </w:p>
    <w:p w14:paraId="53873AC9" w14:textId="3D0DC6EC" w:rsidR="002C51A1" w:rsidRPr="00254AB9" w:rsidRDefault="002C51A1" w:rsidP="002C51A1">
      <w:pPr>
        <w:pStyle w:val="Bezodstpw"/>
      </w:pPr>
      <w:r w:rsidRPr="00254AB9">
        <w:t xml:space="preserve">Źródło: Opracowanie </w:t>
      </w:r>
      <w:r w:rsidR="003A56DA">
        <w:t>MRiT</w:t>
      </w:r>
      <w:r w:rsidRPr="00254AB9">
        <w:t xml:space="preserve"> na podstawie danych Światowej Organizacji Handlu</w:t>
      </w:r>
    </w:p>
    <w:p w14:paraId="05E71DAB" w14:textId="54952499" w:rsidR="002C51A1" w:rsidRPr="000F3C23" w:rsidRDefault="002C51A1" w:rsidP="002C51A1">
      <w:pPr>
        <w:rPr>
          <w:rFonts w:eastAsia="MS Mincho" w:cs="Calibri"/>
          <w:szCs w:val="24"/>
          <w:shd w:val="clear" w:color="auto" w:fill="FFFFFF"/>
          <w:lang w:eastAsia="pl-PL"/>
        </w:rPr>
      </w:pPr>
      <w:r w:rsidRPr="00254AB9">
        <w:t>Inną miarą stopnia internacjonalizacji gospodarki jest liczba podmiotów angażujących się w międzynarodową wymianę handlową. Niestety pod tym względem nasza gospodarka wypada dosyć słabo.</w:t>
      </w:r>
      <w:r w:rsidR="006343E1">
        <w:t xml:space="preserve"> </w:t>
      </w:r>
      <w:r w:rsidR="006343E1" w:rsidRPr="000F3C23">
        <w:rPr>
          <w:rFonts w:eastAsia="MS Mincho" w:cs="Calibri"/>
          <w:szCs w:val="24"/>
          <w:shd w:val="clear" w:color="auto" w:fill="FFFFFF"/>
          <w:lang w:eastAsia="pl-PL"/>
        </w:rPr>
        <w:t>Z</w:t>
      </w:r>
      <w:r w:rsidR="006343E1">
        <w:t> </w:t>
      </w:r>
      <w:r w:rsidRPr="000F3C23">
        <w:rPr>
          <w:rFonts w:eastAsia="MS Mincho" w:cs="Calibri"/>
          <w:szCs w:val="24"/>
          <w:shd w:val="clear" w:color="auto" w:fill="FFFFFF"/>
          <w:lang w:eastAsia="pl-PL"/>
        </w:rPr>
        <w:t>szacunków PARP opartych na danych GUS</w:t>
      </w:r>
      <w:r w:rsidR="000C34A2">
        <w:rPr>
          <w:rFonts w:eastAsia="MS Mincho" w:cs="Calibri"/>
          <w:szCs w:val="24"/>
          <w:shd w:val="clear" w:color="auto" w:fill="FFFFFF"/>
          <w:lang w:eastAsia="pl-PL"/>
        </w:rPr>
        <w:t xml:space="preserve"> </w:t>
      </w:r>
      <w:r w:rsidRPr="000F3C23">
        <w:rPr>
          <w:rFonts w:eastAsia="MS Mincho" w:cs="Calibri"/>
          <w:szCs w:val="24"/>
          <w:shd w:val="clear" w:color="auto" w:fill="FFFFFF"/>
          <w:lang w:eastAsia="pl-PL"/>
        </w:rPr>
        <w:t>wynika</w:t>
      </w:r>
      <w:r w:rsidR="00477C54">
        <w:rPr>
          <w:rFonts w:eastAsia="MS Mincho" w:cs="Calibri"/>
          <w:szCs w:val="24"/>
          <w:shd w:val="clear" w:color="auto" w:fill="FFFFFF"/>
          <w:lang w:eastAsia="pl-PL"/>
        </w:rPr>
        <w:t>, że </w:t>
      </w:r>
      <w:r w:rsidR="006343E1" w:rsidRPr="000F3C23">
        <w:rPr>
          <w:rFonts w:eastAsia="MS Mincho" w:cs="Calibri"/>
          <w:szCs w:val="24"/>
          <w:shd w:val="clear" w:color="auto" w:fill="FFFFFF"/>
          <w:lang w:eastAsia="pl-PL"/>
        </w:rPr>
        <w:t>w</w:t>
      </w:r>
      <w:r w:rsidR="006343E1">
        <w:rPr>
          <w:rFonts w:eastAsia="MS Mincho" w:cs="Calibri"/>
          <w:szCs w:val="24"/>
          <w:shd w:val="clear" w:color="auto" w:fill="FFFFFF"/>
          <w:lang w:eastAsia="pl-PL"/>
        </w:rPr>
        <w:t> </w:t>
      </w:r>
      <w:r w:rsidRPr="000F3C23">
        <w:rPr>
          <w:rFonts w:eastAsia="MS Mincho" w:cs="Calibri"/>
          <w:szCs w:val="24"/>
          <w:shd w:val="clear" w:color="auto" w:fill="FFFFFF"/>
          <w:lang w:eastAsia="pl-PL"/>
        </w:rPr>
        <w:t xml:space="preserve">2018 r. </w:t>
      </w:r>
      <w:r w:rsidRPr="000F3C23">
        <w:rPr>
          <w:rFonts w:cs="Calibri"/>
          <w:szCs w:val="24"/>
        </w:rPr>
        <w:t>4,6% firm działających</w:t>
      </w:r>
      <w:r w:rsidR="006343E1">
        <w:rPr>
          <w:rFonts w:cs="Calibri"/>
          <w:szCs w:val="24"/>
        </w:rPr>
        <w:t xml:space="preserve"> </w:t>
      </w:r>
      <w:r w:rsidR="006343E1" w:rsidRPr="000F3C23">
        <w:rPr>
          <w:rFonts w:cs="Calibri"/>
          <w:szCs w:val="24"/>
        </w:rPr>
        <w:t>w</w:t>
      </w:r>
      <w:r w:rsidR="006343E1">
        <w:rPr>
          <w:rFonts w:cs="Calibri"/>
          <w:szCs w:val="24"/>
        </w:rPr>
        <w:t> </w:t>
      </w:r>
      <w:r w:rsidRPr="000F3C23">
        <w:rPr>
          <w:rFonts w:cs="Calibri"/>
          <w:szCs w:val="24"/>
        </w:rPr>
        <w:t>Polsce (tj. 98,7 tys.) sprzedawało swoje wyroby za granicę,</w:t>
      </w:r>
      <w:r w:rsidR="006343E1">
        <w:rPr>
          <w:rFonts w:cs="Calibri"/>
          <w:szCs w:val="24"/>
        </w:rPr>
        <w:t xml:space="preserve"> </w:t>
      </w:r>
      <w:r w:rsidR="006343E1" w:rsidRPr="000F3C23">
        <w:rPr>
          <w:rFonts w:cs="Calibri"/>
          <w:szCs w:val="24"/>
        </w:rPr>
        <w:t>a</w:t>
      </w:r>
      <w:r w:rsidR="006343E1">
        <w:rPr>
          <w:rFonts w:cs="Calibri"/>
          <w:szCs w:val="24"/>
        </w:rPr>
        <w:t> </w:t>
      </w:r>
      <w:r w:rsidRPr="000F3C23">
        <w:rPr>
          <w:rFonts w:cs="Calibri"/>
          <w:szCs w:val="24"/>
        </w:rPr>
        <w:t>zaledwie 0,97% (20,9 tys.) – usługi.</w:t>
      </w:r>
      <w:r w:rsidRPr="000F3C23">
        <w:rPr>
          <w:rFonts w:eastAsia="MS Mincho" w:cs="Calibri"/>
          <w:szCs w:val="24"/>
          <w:shd w:val="clear" w:color="auto" w:fill="FFFFFF"/>
          <w:lang w:eastAsia="pl-PL"/>
        </w:rPr>
        <w:t xml:space="preserve"> </w:t>
      </w:r>
    </w:p>
    <w:p w14:paraId="0E69EB23" w14:textId="7FF26723" w:rsidR="002C51A1" w:rsidRPr="006C64A5" w:rsidRDefault="002C51A1" w:rsidP="002C51A1">
      <w:pPr>
        <w:rPr>
          <w:rFonts w:eastAsia="MS Mincho" w:cs="Calibri"/>
          <w:shd w:val="clear" w:color="auto" w:fill="FFFFFF"/>
          <w:lang w:eastAsia="pl-PL"/>
        </w:rPr>
      </w:pPr>
      <w:r w:rsidRPr="006C64A5">
        <w:rPr>
          <w:rFonts w:eastAsia="MS Mincho" w:cs="Calibri"/>
          <w:shd w:val="clear" w:color="auto" w:fill="FFFFFF"/>
          <w:lang w:eastAsia="pl-PL"/>
        </w:rPr>
        <w:t>Ekspansja zagraniczna jest udziałem przede wszystkim dużych firm – 69,6%</w:t>
      </w:r>
      <w:r w:rsidR="006343E1">
        <w:rPr>
          <w:rFonts w:eastAsia="MS Mincho" w:cs="Calibri"/>
          <w:shd w:val="clear" w:color="auto" w:fill="FFFFFF"/>
          <w:lang w:eastAsia="pl-PL"/>
        </w:rPr>
        <w:t xml:space="preserve"> </w:t>
      </w:r>
      <w:r w:rsidR="006343E1" w:rsidRPr="006C64A5">
        <w:rPr>
          <w:rFonts w:eastAsia="MS Mincho" w:cs="Calibri"/>
          <w:shd w:val="clear" w:color="auto" w:fill="FFFFFF"/>
          <w:lang w:eastAsia="pl-PL"/>
        </w:rPr>
        <w:t>z</w:t>
      </w:r>
      <w:r w:rsidR="006343E1">
        <w:rPr>
          <w:rFonts w:eastAsia="MS Mincho" w:cs="Calibri"/>
          <w:shd w:val="clear" w:color="auto" w:fill="FFFFFF"/>
          <w:lang w:eastAsia="pl-PL"/>
        </w:rPr>
        <w:t> </w:t>
      </w:r>
      <w:r w:rsidRPr="006C64A5">
        <w:rPr>
          <w:rFonts w:eastAsia="MS Mincho" w:cs="Calibri"/>
          <w:shd w:val="clear" w:color="auto" w:fill="FFFFFF"/>
          <w:lang w:eastAsia="pl-PL"/>
        </w:rPr>
        <w:t>nich sprzedaje za granicę towary,</w:t>
      </w:r>
      <w:r w:rsidR="006343E1">
        <w:rPr>
          <w:rFonts w:eastAsia="MS Mincho" w:cs="Calibri"/>
          <w:shd w:val="clear" w:color="auto" w:fill="FFFFFF"/>
          <w:lang w:eastAsia="pl-PL"/>
        </w:rPr>
        <w:t xml:space="preserve"> </w:t>
      </w:r>
      <w:r w:rsidR="006343E1" w:rsidRPr="006C64A5">
        <w:rPr>
          <w:rFonts w:eastAsia="MS Mincho" w:cs="Calibri"/>
          <w:shd w:val="clear" w:color="auto" w:fill="FFFFFF"/>
          <w:lang w:eastAsia="pl-PL"/>
        </w:rPr>
        <w:t>a</w:t>
      </w:r>
      <w:r w:rsidR="006343E1">
        <w:rPr>
          <w:rFonts w:eastAsia="MS Mincho" w:cs="Calibri"/>
          <w:shd w:val="clear" w:color="auto" w:fill="FFFFFF"/>
          <w:lang w:eastAsia="pl-PL"/>
        </w:rPr>
        <w:t> </w:t>
      </w:r>
      <w:r w:rsidRPr="006C64A5">
        <w:rPr>
          <w:rFonts w:eastAsia="MS Mincho" w:cs="Calibri"/>
          <w:shd w:val="clear" w:color="auto" w:fill="FFFFFF"/>
          <w:lang w:eastAsia="pl-PL"/>
        </w:rPr>
        <w:t>62,8% usługi</w:t>
      </w:r>
      <w:r w:rsidRPr="006C64A5">
        <w:rPr>
          <w:rFonts w:eastAsia="MS Mincho" w:cs="Calibri"/>
          <w:shd w:val="clear" w:color="auto" w:fill="FFFFFF"/>
          <w:vertAlign w:val="superscript"/>
          <w:lang w:eastAsia="pl-PL"/>
        </w:rPr>
        <w:footnoteReference w:id="74"/>
      </w:r>
      <w:r w:rsidRPr="006C64A5">
        <w:rPr>
          <w:rFonts w:eastAsia="MS Mincho" w:cs="Calibri"/>
          <w:shd w:val="clear" w:color="auto" w:fill="FFFFFF"/>
          <w:lang w:eastAsia="pl-PL"/>
        </w:rPr>
        <w:t>. Najgorzej pod tym względem wypadają mikroprzedsiębiorstwa, wśród których zaledwie 3,2% sprzedaje za granicę towary,</w:t>
      </w:r>
      <w:r w:rsidR="006343E1">
        <w:rPr>
          <w:rFonts w:eastAsia="MS Mincho" w:cs="Calibri"/>
          <w:shd w:val="clear" w:color="auto" w:fill="FFFFFF"/>
          <w:lang w:eastAsia="pl-PL"/>
        </w:rPr>
        <w:t xml:space="preserve"> </w:t>
      </w:r>
      <w:r w:rsidR="006343E1" w:rsidRPr="006C64A5">
        <w:rPr>
          <w:rFonts w:eastAsia="MS Mincho" w:cs="Calibri"/>
          <w:shd w:val="clear" w:color="auto" w:fill="FFFFFF"/>
          <w:lang w:eastAsia="pl-PL"/>
        </w:rPr>
        <w:t>a</w:t>
      </w:r>
      <w:r w:rsidR="006343E1">
        <w:rPr>
          <w:rFonts w:eastAsia="MS Mincho" w:cs="Calibri"/>
          <w:shd w:val="clear" w:color="auto" w:fill="FFFFFF"/>
          <w:lang w:eastAsia="pl-PL"/>
        </w:rPr>
        <w:t> </w:t>
      </w:r>
      <w:r w:rsidRPr="006C64A5">
        <w:rPr>
          <w:rFonts w:eastAsia="MS Mincho" w:cs="Calibri"/>
          <w:shd w:val="clear" w:color="auto" w:fill="FFFFFF"/>
          <w:lang w:eastAsia="pl-PL"/>
        </w:rPr>
        <w:t xml:space="preserve">0,38% usługi. </w:t>
      </w:r>
    </w:p>
    <w:p w14:paraId="106E522B" w14:textId="78A9EBC1" w:rsidR="002C51A1" w:rsidRPr="006C64A5" w:rsidRDefault="002C51A1" w:rsidP="002C51A1">
      <w:pPr>
        <w:rPr>
          <w:rFonts w:eastAsia="MS Mincho" w:cs="Calibri"/>
          <w:shd w:val="clear" w:color="auto" w:fill="FFFFFF"/>
          <w:lang w:eastAsia="pl-PL"/>
        </w:rPr>
      </w:pPr>
      <w:r w:rsidRPr="006C64A5">
        <w:rPr>
          <w:rFonts w:eastAsia="MS Mincho" w:cs="Calibri"/>
          <w:shd w:val="clear" w:color="auto" w:fill="FFFFFF"/>
          <w:lang w:eastAsia="pl-PL"/>
        </w:rPr>
        <w:t>Nieznacznie większe rozmiary umiędzynarodowienia polskich przedsiębiorstw widać</w:t>
      </w:r>
      <w:r w:rsidR="006343E1">
        <w:rPr>
          <w:rFonts w:eastAsia="MS Mincho" w:cs="Calibri"/>
          <w:shd w:val="clear" w:color="auto" w:fill="FFFFFF"/>
          <w:lang w:eastAsia="pl-PL"/>
        </w:rPr>
        <w:t xml:space="preserve"> </w:t>
      </w:r>
      <w:r w:rsidR="006343E1" w:rsidRPr="006C64A5">
        <w:rPr>
          <w:rFonts w:eastAsia="MS Mincho" w:cs="Calibri"/>
          <w:shd w:val="clear" w:color="auto" w:fill="FFFFFF"/>
          <w:lang w:eastAsia="pl-PL"/>
        </w:rPr>
        <w:t>w</w:t>
      </w:r>
      <w:r w:rsidR="006343E1">
        <w:rPr>
          <w:rFonts w:eastAsia="MS Mincho" w:cs="Calibri"/>
          <w:shd w:val="clear" w:color="auto" w:fill="FFFFFF"/>
          <w:lang w:eastAsia="pl-PL"/>
        </w:rPr>
        <w:t> </w:t>
      </w:r>
      <w:r w:rsidRPr="006C64A5">
        <w:rPr>
          <w:rFonts w:eastAsia="MS Mincho" w:cs="Calibri"/>
          <w:shd w:val="clear" w:color="auto" w:fill="FFFFFF"/>
          <w:lang w:eastAsia="pl-PL"/>
        </w:rPr>
        <w:t>imporcie.</w:t>
      </w:r>
      <w:r w:rsidR="006343E1">
        <w:rPr>
          <w:rFonts w:eastAsia="MS Mincho" w:cs="Calibri"/>
          <w:shd w:val="clear" w:color="auto" w:fill="FFFFFF"/>
          <w:lang w:eastAsia="pl-PL"/>
        </w:rPr>
        <w:t xml:space="preserve"> </w:t>
      </w:r>
      <w:r w:rsidR="006343E1" w:rsidRPr="006C64A5">
        <w:rPr>
          <w:rFonts w:cs="Calibri"/>
        </w:rPr>
        <w:t>W</w:t>
      </w:r>
      <w:r w:rsidR="006343E1">
        <w:rPr>
          <w:rFonts w:eastAsia="MS Mincho" w:cs="Calibri"/>
          <w:shd w:val="clear" w:color="auto" w:fill="FFFFFF"/>
          <w:lang w:eastAsia="pl-PL"/>
        </w:rPr>
        <w:t> </w:t>
      </w:r>
      <w:r w:rsidRPr="006C64A5">
        <w:rPr>
          <w:rFonts w:cs="Calibri"/>
        </w:rPr>
        <w:t>2018 r. odsetek firm sprowadzających wyroby</w:t>
      </w:r>
      <w:r w:rsidR="006343E1">
        <w:rPr>
          <w:rFonts w:cs="Calibri"/>
        </w:rPr>
        <w:t xml:space="preserve"> </w:t>
      </w:r>
      <w:r w:rsidR="006343E1" w:rsidRPr="006C64A5">
        <w:rPr>
          <w:rFonts w:cs="Calibri"/>
        </w:rPr>
        <w:t>z</w:t>
      </w:r>
      <w:r w:rsidR="006343E1">
        <w:rPr>
          <w:rFonts w:cs="Calibri"/>
        </w:rPr>
        <w:t> </w:t>
      </w:r>
      <w:r w:rsidRPr="006C64A5">
        <w:rPr>
          <w:rFonts w:cs="Calibri"/>
        </w:rPr>
        <w:t>zagranicy wyniósł 8,3% (178,9 tys.),</w:t>
      </w:r>
      <w:r w:rsidR="006343E1">
        <w:rPr>
          <w:rFonts w:cs="Calibri"/>
        </w:rPr>
        <w:t xml:space="preserve"> </w:t>
      </w:r>
      <w:r w:rsidR="006343E1" w:rsidRPr="006C64A5">
        <w:rPr>
          <w:rFonts w:cs="Calibri"/>
        </w:rPr>
        <w:t>a</w:t>
      </w:r>
      <w:r w:rsidR="006343E1">
        <w:rPr>
          <w:rFonts w:cs="Calibri"/>
        </w:rPr>
        <w:t> </w:t>
      </w:r>
      <w:r w:rsidRPr="006C64A5">
        <w:rPr>
          <w:rFonts w:cs="Calibri"/>
        </w:rPr>
        <w:t xml:space="preserve">usługi – 1,5% (31,2 tys.). </w:t>
      </w:r>
      <w:r w:rsidRPr="006C64A5">
        <w:rPr>
          <w:rFonts w:eastAsia="MS Mincho" w:cs="Calibri"/>
          <w:shd w:val="clear" w:color="auto" w:fill="FFFFFF"/>
          <w:lang w:eastAsia="pl-PL"/>
        </w:rPr>
        <w:t>Podobnie jak</w:t>
      </w:r>
      <w:r w:rsidR="006343E1">
        <w:rPr>
          <w:rFonts w:eastAsia="MS Mincho" w:cs="Calibri"/>
          <w:shd w:val="clear" w:color="auto" w:fill="FFFFFF"/>
          <w:lang w:eastAsia="pl-PL"/>
        </w:rPr>
        <w:t xml:space="preserve"> </w:t>
      </w:r>
      <w:r w:rsidR="006343E1" w:rsidRPr="006C64A5">
        <w:rPr>
          <w:rFonts w:eastAsia="MS Mincho" w:cs="Calibri"/>
          <w:shd w:val="clear" w:color="auto" w:fill="FFFFFF"/>
          <w:lang w:eastAsia="pl-PL"/>
        </w:rPr>
        <w:t>w</w:t>
      </w:r>
      <w:r w:rsidR="006343E1">
        <w:rPr>
          <w:rFonts w:eastAsia="MS Mincho" w:cs="Calibri"/>
          <w:shd w:val="clear" w:color="auto" w:fill="FFFFFF"/>
          <w:lang w:eastAsia="pl-PL"/>
        </w:rPr>
        <w:t> </w:t>
      </w:r>
      <w:r w:rsidRPr="006C64A5">
        <w:rPr>
          <w:rFonts w:eastAsia="MS Mincho" w:cs="Calibri"/>
          <w:shd w:val="clear" w:color="auto" w:fill="FFFFFF"/>
          <w:lang w:eastAsia="pl-PL"/>
        </w:rPr>
        <w:t>eksporcie najmniejszy odsetek importerów zanotowano wśród podmiotów mikro</w:t>
      </w:r>
      <w:r w:rsidRPr="006C64A5">
        <w:rPr>
          <w:rFonts w:eastAsia="MS Mincho" w:cs="Calibri"/>
          <w:shd w:val="clear" w:color="auto" w:fill="FFFFFF"/>
          <w:vertAlign w:val="superscript"/>
          <w:lang w:eastAsia="pl-PL"/>
        </w:rPr>
        <w:footnoteReference w:id="75"/>
      </w:r>
      <w:r w:rsidRPr="006C64A5">
        <w:rPr>
          <w:rFonts w:eastAsia="MS Mincho" w:cs="Calibri"/>
          <w:shd w:val="clear" w:color="auto" w:fill="FFFFFF"/>
          <w:lang w:eastAsia="pl-PL"/>
        </w:rPr>
        <w:t xml:space="preserve">. </w:t>
      </w:r>
    </w:p>
    <w:p w14:paraId="0162F1A8" w14:textId="3D5A393C" w:rsidR="0079166F" w:rsidRDefault="002C51A1" w:rsidP="0079166F">
      <w:pPr>
        <w:pStyle w:val="Nagwek4"/>
        <w:ind w:left="993" w:hanging="993"/>
        <w:jc w:val="left"/>
        <w:rPr>
          <w:noProof/>
        </w:rPr>
      </w:pPr>
      <w:r w:rsidRPr="00254AB9">
        <w:t xml:space="preserve">Wykres </w:t>
      </w:r>
      <w:r w:rsidR="00FC6E8F">
        <w:t>93</w:t>
      </w:r>
      <w:r w:rsidRPr="00254AB9">
        <w:fldChar w:fldCharType="begin"/>
      </w:r>
      <w:r w:rsidRPr="00254AB9">
        <w:instrText xml:space="preserve"> SEQ Rysunek \* ARABIC </w:instrText>
      </w:r>
      <w:r w:rsidRPr="00254AB9">
        <w:fldChar w:fldCharType="end"/>
      </w:r>
      <w:r w:rsidRPr="00254AB9">
        <w:t>. Odsetek polskich firm prowadzących działalność eksportową towarów</w:t>
      </w:r>
      <w:r w:rsidR="006343E1">
        <w:t xml:space="preserve"> </w:t>
      </w:r>
      <w:r w:rsidR="006343E1" w:rsidRPr="00254AB9">
        <w:t>w</w:t>
      </w:r>
      <w:r w:rsidR="006343E1">
        <w:t> </w:t>
      </w:r>
      <w:r w:rsidRPr="00254AB9">
        <w:t>grupach przedsiębiorstw według liczb</w:t>
      </w:r>
      <w:r>
        <w:t>y pracujących</w:t>
      </w:r>
      <w:r w:rsidR="006343E1">
        <w:t xml:space="preserve"> w </w:t>
      </w:r>
      <w:r>
        <w:t>roku 2010</w:t>
      </w:r>
      <w:r w:rsidR="006343E1">
        <w:t xml:space="preserve"> i </w:t>
      </w:r>
      <w:r>
        <w:t>2018</w:t>
      </w:r>
      <w:r w:rsidR="006343E1">
        <w:rPr>
          <w:noProof/>
        </w:rPr>
        <w:t xml:space="preserve"> </w:t>
      </w:r>
      <w:r w:rsidR="0079166F">
        <w:rPr>
          <w:noProof/>
        </w:rPr>
        <w:t>(</w:t>
      </w:r>
      <w:r w:rsidR="006343E1">
        <w:rPr>
          <w:noProof/>
        </w:rPr>
        <w:t>w </w:t>
      </w:r>
      <w:r>
        <w:rPr>
          <w:noProof/>
        </w:rPr>
        <w:t>%</w:t>
      </w:r>
      <w:r w:rsidR="0079166F">
        <w:rPr>
          <w:noProof/>
        </w:rPr>
        <w:t>)</w:t>
      </w:r>
      <w:r>
        <w:rPr>
          <w:noProof/>
        </w:rPr>
        <w:t xml:space="preserve"> </w:t>
      </w:r>
    </w:p>
    <w:p w14:paraId="19DFFE3E" w14:textId="33BABCD6" w:rsidR="002C51A1" w:rsidRDefault="002C51A1" w:rsidP="00CB07D4">
      <w:pPr>
        <w:pStyle w:val="Nagwek4"/>
        <w:ind w:left="993" w:hanging="993"/>
        <w:jc w:val="left"/>
      </w:pPr>
      <w:r>
        <w:rPr>
          <w:noProof/>
          <w:lang w:eastAsia="pl-PL"/>
        </w:rPr>
        <w:drawing>
          <wp:inline distT="0" distB="0" distL="0" distR="0" wp14:anchorId="1A105D0D" wp14:editId="336C2DE7">
            <wp:extent cx="4088130" cy="2714625"/>
            <wp:effectExtent l="0" t="0" r="7620" b="0"/>
            <wp:docPr id="244" name="Wykres 244">
              <a:extLst xmlns:a="http://schemas.openxmlformats.org/drawingml/2006/main">
                <a:ext uri="{FF2B5EF4-FFF2-40B4-BE49-F238E27FC236}">
                  <a16:creationId xmlns:a16="http://schemas.microsoft.com/office/drawing/2014/main" id="{2E476BDC-CE6E-4823-A4F2-A914D6C939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p>
    <w:p w14:paraId="412954EF" w14:textId="62C04C4F" w:rsidR="002C51A1" w:rsidRPr="00386C6D" w:rsidRDefault="002C51A1" w:rsidP="002C51A1">
      <w:pPr>
        <w:pStyle w:val="Bezodstpw"/>
      </w:pPr>
      <w:r w:rsidRPr="00254AB9">
        <w:t xml:space="preserve">Źródło: Opracowanie </w:t>
      </w:r>
      <w:r w:rsidR="003A56DA">
        <w:t>MRiT</w:t>
      </w:r>
      <w:r w:rsidRPr="00254AB9">
        <w:t xml:space="preserve"> na podstawie danych PARP</w:t>
      </w:r>
      <w:r>
        <w:t xml:space="preserve"> (2020</w:t>
      </w:r>
      <w:r w:rsidRPr="00254AB9">
        <w:t xml:space="preserve"> </w:t>
      </w:r>
    </w:p>
    <w:p w14:paraId="69AC2871" w14:textId="1B5F8D21" w:rsidR="002C51A1" w:rsidRPr="00254AB9" w:rsidRDefault="002C51A1" w:rsidP="002C51A1">
      <w:r w:rsidRPr="00254AB9">
        <w:t>Proces ustanawiania swobody przepływu kapitału</w:t>
      </w:r>
      <w:r w:rsidR="006343E1">
        <w:t xml:space="preserve"> </w:t>
      </w:r>
      <w:r w:rsidR="006343E1" w:rsidRPr="00254AB9">
        <w:t>i</w:t>
      </w:r>
      <w:r w:rsidR="006343E1">
        <w:t> </w:t>
      </w:r>
      <w:r w:rsidRPr="00254AB9">
        <w:t>swobody zakładania przedsiębiorstw skutkował w gospodarce polskiej zmianami</w:t>
      </w:r>
      <w:r w:rsidR="006343E1">
        <w:t xml:space="preserve"> </w:t>
      </w:r>
      <w:r w:rsidR="006343E1" w:rsidRPr="00254AB9">
        <w:t>w</w:t>
      </w:r>
      <w:r w:rsidR="006343E1">
        <w:t> </w:t>
      </w:r>
      <w:r w:rsidRPr="00254AB9">
        <w:t>sferze mikroekonomicznej.</w:t>
      </w:r>
      <w:r w:rsidR="000113D9">
        <w:t xml:space="preserve"> W</w:t>
      </w:r>
      <w:r w:rsidR="006343E1">
        <w:t> </w:t>
      </w:r>
      <w:r w:rsidR="000113D9" w:rsidRPr="00254AB9">
        <w:t xml:space="preserve">polskiej </w:t>
      </w:r>
      <w:r w:rsidRPr="00254AB9">
        <w:t>gospodarce pojawiła się znacząca grupa firm</w:t>
      </w:r>
      <w:r w:rsidR="006343E1">
        <w:t xml:space="preserve"> </w:t>
      </w:r>
      <w:r w:rsidR="006343E1" w:rsidRPr="00254AB9">
        <w:t>z</w:t>
      </w:r>
      <w:r w:rsidR="006343E1">
        <w:t> </w:t>
      </w:r>
      <w:r w:rsidRPr="00254AB9">
        <w:t>udziałem kapitału zagranicznego, która wywiera wpływ na gospodarkę jako całość</w:t>
      </w:r>
      <w:r w:rsidR="006343E1">
        <w:t xml:space="preserve"> </w:t>
      </w:r>
      <w:r w:rsidR="000113D9">
        <w:t>oraz na</w:t>
      </w:r>
      <w:r w:rsidR="006343E1">
        <w:t> </w:t>
      </w:r>
      <w:r w:rsidRPr="00254AB9">
        <w:t>funkcjonowanie krajowych przedsiębiorstw m.in. poprzez efekty demonstracji</w:t>
      </w:r>
      <w:r w:rsidRPr="00254AB9">
        <w:rPr>
          <w:rStyle w:val="Odwoanieprzypisudolnego"/>
          <w:rFonts w:cs="Calibri"/>
          <w:sz w:val="21"/>
          <w:szCs w:val="21"/>
        </w:rPr>
        <w:footnoteReference w:id="76"/>
      </w:r>
      <w:r w:rsidRPr="00254AB9">
        <w:t>, współpracy</w:t>
      </w:r>
      <w:r w:rsidR="006343E1">
        <w:t xml:space="preserve"> </w:t>
      </w:r>
      <w:r w:rsidR="006343E1" w:rsidRPr="00254AB9">
        <w:t>z</w:t>
      </w:r>
      <w:r w:rsidR="006343E1">
        <w:t> </w:t>
      </w:r>
      <w:r w:rsidRPr="00254AB9">
        <w:t>firmami krajowymi</w:t>
      </w:r>
      <w:r w:rsidR="006343E1">
        <w:t xml:space="preserve"> </w:t>
      </w:r>
      <w:r w:rsidR="006343E1" w:rsidRPr="00254AB9">
        <w:t>i</w:t>
      </w:r>
      <w:r w:rsidR="006343E1">
        <w:t> </w:t>
      </w:r>
      <w:r w:rsidRPr="00254AB9">
        <w:t>konkurencji.</w:t>
      </w:r>
      <w:r w:rsidR="006343E1">
        <w:t xml:space="preserve"> </w:t>
      </w:r>
      <w:r w:rsidR="006343E1" w:rsidRPr="00254AB9">
        <w:t>W</w:t>
      </w:r>
      <w:r w:rsidR="006343E1">
        <w:t> </w:t>
      </w:r>
      <w:r w:rsidRPr="00254AB9">
        <w:t>rezultacie przedsiębiorstwa z udziałem kapitału zagranicznego odgrywają dominującą rolę</w:t>
      </w:r>
      <w:r w:rsidR="006343E1">
        <w:t xml:space="preserve"> </w:t>
      </w:r>
      <w:r w:rsidR="006343E1" w:rsidRPr="00254AB9">
        <w:t>w</w:t>
      </w:r>
      <w:r w:rsidR="006343E1">
        <w:t> </w:t>
      </w:r>
      <w:r w:rsidRPr="00254AB9">
        <w:t>polskim eksporcie.</w:t>
      </w:r>
      <w:r w:rsidR="006343E1">
        <w:t xml:space="preserve"> </w:t>
      </w:r>
      <w:r w:rsidR="006343E1" w:rsidRPr="00254AB9">
        <w:t>W</w:t>
      </w:r>
      <w:r w:rsidR="006343E1">
        <w:t> </w:t>
      </w:r>
      <w:r w:rsidRPr="00254AB9">
        <w:t>dużej mierze jest to związane</w:t>
      </w:r>
      <w:r w:rsidR="006343E1">
        <w:t xml:space="preserve"> </w:t>
      </w:r>
      <w:r w:rsidR="006343E1" w:rsidRPr="00254AB9">
        <w:t>z</w:t>
      </w:r>
      <w:r w:rsidR="006343E1">
        <w:t> </w:t>
      </w:r>
      <w:r w:rsidRPr="00254AB9">
        <w:t>koncentracją kapitału zagranicznego</w:t>
      </w:r>
      <w:r w:rsidR="006343E1">
        <w:t xml:space="preserve"> </w:t>
      </w:r>
      <w:r w:rsidR="006343E1" w:rsidRPr="00254AB9">
        <w:t>w</w:t>
      </w:r>
      <w:r w:rsidR="006343E1">
        <w:t> </w:t>
      </w:r>
      <w:r w:rsidRPr="00254AB9">
        <w:t>branżach związanych</w:t>
      </w:r>
      <w:r w:rsidR="006343E1">
        <w:t xml:space="preserve"> </w:t>
      </w:r>
      <w:r w:rsidR="006343E1" w:rsidRPr="00254AB9">
        <w:t>z</w:t>
      </w:r>
      <w:r w:rsidR="006343E1">
        <w:t> </w:t>
      </w:r>
      <w:r w:rsidRPr="00254AB9">
        <w:t>produkcją pojazdów, maszyn</w:t>
      </w:r>
      <w:r w:rsidR="006343E1">
        <w:t xml:space="preserve"> </w:t>
      </w:r>
      <w:r w:rsidR="006343E1" w:rsidRPr="00254AB9">
        <w:t>i</w:t>
      </w:r>
      <w:r w:rsidR="006343E1">
        <w:t> </w:t>
      </w:r>
      <w:r w:rsidRPr="00254AB9">
        <w:t>elektroniki.</w:t>
      </w:r>
    </w:p>
    <w:p w14:paraId="0C986C2B" w14:textId="4A75E8E8" w:rsidR="002C51A1" w:rsidRPr="00254AB9" w:rsidRDefault="002C51A1" w:rsidP="002C51A1">
      <w:r w:rsidRPr="00254AB9">
        <w:t>Eksport firm</w:t>
      </w:r>
      <w:r w:rsidR="006343E1">
        <w:t xml:space="preserve"> </w:t>
      </w:r>
      <w:r w:rsidR="006343E1" w:rsidRPr="00254AB9">
        <w:t>z</w:t>
      </w:r>
      <w:r w:rsidR="006343E1">
        <w:t> </w:t>
      </w:r>
      <w:r w:rsidRPr="00254AB9">
        <w:t xml:space="preserve">kapitałem zagranicznym </w:t>
      </w:r>
      <w:r w:rsidR="000113D9" w:rsidRPr="00254AB9">
        <w:t xml:space="preserve">jest </w:t>
      </w:r>
      <w:r w:rsidRPr="00254AB9">
        <w:t>powiązany przede wszystkim</w:t>
      </w:r>
      <w:r w:rsidR="006343E1">
        <w:t xml:space="preserve"> </w:t>
      </w:r>
      <w:r w:rsidR="006343E1" w:rsidRPr="00254AB9">
        <w:t>z</w:t>
      </w:r>
      <w:r w:rsidR="006343E1">
        <w:t> </w:t>
      </w:r>
      <w:r w:rsidRPr="00254AB9">
        <w:t>opisywaną wcześniej przewagą konkurencyjną firm zagranicznych nad polskimi</w:t>
      </w:r>
      <w:r w:rsidR="000113D9">
        <w:t xml:space="preserve"> firmami</w:t>
      </w:r>
      <w:r w:rsidRPr="00254AB9">
        <w:t>. Przy większej produktywności, którą charakteryzują się firmy zagraniczne</w:t>
      </w:r>
      <w:r w:rsidR="000113D9">
        <w:t>,</w:t>
      </w:r>
      <w:r w:rsidRPr="00254AB9">
        <w:t xml:space="preserve"> maleje znaczna część kosztów pracy wchodzących pośrednio</w:t>
      </w:r>
      <w:r w:rsidR="006343E1">
        <w:t xml:space="preserve"> </w:t>
      </w:r>
      <w:r w:rsidR="006343E1" w:rsidRPr="00254AB9">
        <w:t>w</w:t>
      </w:r>
      <w:r w:rsidR="006343E1">
        <w:t> </w:t>
      </w:r>
      <w:r w:rsidRPr="00254AB9">
        <w:t>cenę produktu (i to pomimo wyższych płac</w:t>
      </w:r>
      <w:r w:rsidR="006343E1">
        <w:t xml:space="preserve"> </w:t>
      </w:r>
      <w:r w:rsidR="006343E1" w:rsidRPr="00254AB9">
        <w:t>w</w:t>
      </w:r>
      <w:r w:rsidR="006343E1">
        <w:t> </w:t>
      </w:r>
      <w:r w:rsidRPr="00254AB9">
        <w:t>firmach</w:t>
      </w:r>
      <w:r w:rsidR="006343E1">
        <w:t xml:space="preserve"> </w:t>
      </w:r>
      <w:r w:rsidR="006343E1" w:rsidRPr="00254AB9">
        <w:t>z</w:t>
      </w:r>
      <w:r w:rsidR="006343E1">
        <w:t> </w:t>
      </w:r>
      <w:r w:rsidRPr="00254AB9">
        <w:t>kapitałem zagranicznym). W rezultacie przewag</w:t>
      </w:r>
      <w:r w:rsidR="000113D9">
        <w:t>a</w:t>
      </w:r>
      <w:r w:rsidRPr="00254AB9">
        <w:t xml:space="preserve"> konkurencyjn</w:t>
      </w:r>
      <w:r w:rsidR="000113D9">
        <w:t>a</w:t>
      </w:r>
      <w:r w:rsidRPr="00254AB9">
        <w:t xml:space="preserve"> na rynku krajowym przekłada się na przewag</w:t>
      </w:r>
      <w:r w:rsidR="000113D9">
        <w:t>ę</w:t>
      </w:r>
      <w:r w:rsidRPr="00254AB9">
        <w:t xml:space="preserve"> na rynkach międzynarodowych.</w:t>
      </w:r>
    </w:p>
    <w:p w14:paraId="4E7A5D6D" w14:textId="2A7304FE" w:rsidR="002C51A1" w:rsidRDefault="002C51A1" w:rsidP="002C51A1">
      <w:r w:rsidRPr="00254AB9">
        <w:t>Zgodnie</w:t>
      </w:r>
      <w:r w:rsidR="006343E1">
        <w:t xml:space="preserve"> </w:t>
      </w:r>
      <w:r w:rsidR="006343E1" w:rsidRPr="00254AB9">
        <w:t>z</w:t>
      </w:r>
      <w:r w:rsidR="006343E1">
        <w:t> </w:t>
      </w:r>
      <w:r w:rsidRPr="00254AB9">
        <w:t>wynikami badań PARP (20</w:t>
      </w:r>
      <w:r>
        <w:t>20</w:t>
      </w:r>
      <w:r w:rsidRPr="00254AB9">
        <w:t>) przedstawionymi</w:t>
      </w:r>
      <w:r w:rsidR="006343E1">
        <w:t xml:space="preserve"> </w:t>
      </w:r>
      <w:r w:rsidR="006343E1" w:rsidRPr="00254AB9">
        <w:t>w</w:t>
      </w:r>
      <w:r w:rsidR="006343E1">
        <w:t> </w:t>
      </w:r>
      <w:r w:rsidRPr="00254AB9">
        <w:t>„Raporcie</w:t>
      </w:r>
      <w:r w:rsidR="006343E1">
        <w:t xml:space="preserve"> </w:t>
      </w:r>
      <w:r w:rsidR="006343E1" w:rsidRPr="00254AB9">
        <w:t>o</w:t>
      </w:r>
      <w:r w:rsidR="006343E1">
        <w:t> </w:t>
      </w:r>
      <w:r w:rsidRPr="00254AB9">
        <w:t>stanie polskiego sektora małych</w:t>
      </w:r>
      <w:r w:rsidR="006343E1">
        <w:t xml:space="preserve"> </w:t>
      </w:r>
      <w:r w:rsidR="006343E1" w:rsidRPr="00254AB9">
        <w:t>i</w:t>
      </w:r>
      <w:r w:rsidR="006343E1">
        <w:t> </w:t>
      </w:r>
      <w:r w:rsidRPr="00254AB9">
        <w:t>średnich przedsiębiorstw</w:t>
      </w:r>
      <w:r w:rsidR="006343E1">
        <w:t xml:space="preserve"> </w:t>
      </w:r>
      <w:r w:rsidR="006343E1" w:rsidRPr="00254AB9">
        <w:t>w</w:t>
      </w:r>
      <w:r w:rsidR="006343E1">
        <w:t> </w:t>
      </w:r>
      <w:r w:rsidRPr="00254AB9">
        <w:t>Polsce”</w:t>
      </w:r>
      <w:r w:rsidR="006343E1">
        <w:t xml:space="preserve"> </w:t>
      </w:r>
      <w:r w:rsidR="006343E1" w:rsidRPr="00254AB9">
        <w:t>w</w:t>
      </w:r>
      <w:r w:rsidR="006343E1">
        <w:t> </w:t>
      </w:r>
      <w:r w:rsidRPr="00254AB9">
        <w:t>201</w:t>
      </w:r>
      <w:r>
        <w:t>8</w:t>
      </w:r>
      <w:r w:rsidRPr="00254AB9">
        <w:t xml:space="preserve"> r</w:t>
      </w:r>
      <w:r w:rsidR="000113D9">
        <w:t>.</w:t>
      </w:r>
      <w:r w:rsidRPr="00254AB9">
        <w:t xml:space="preserve"> blisko dwie trzecie (</w:t>
      </w:r>
      <w:r>
        <w:t>63,4%</w:t>
      </w:r>
      <w:r w:rsidRPr="00254AB9">
        <w:t>) wartości całego polskiego eksportu generowanego przez przedsiębiorstwa</w:t>
      </w:r>
      <w:r w:rsidR="006343E1">
        <w:t xml:space="preserve"> </w:t>
      </w:r>
      <w:r w:rsidR="006343E1" w:rsidRPr="00254AB9">
        <w:t>o</w:t>
      </w:r>
      <w:r w:rsidR="006343E1">
        <w:t> </w:t>
      </w:r>
      <w:r w:rsidRPr="00254AB9">
        <w:t>liczbie pracujących powyżej 9 osób pochodzi od tej grupy przedsiębiorstw, przy czym stanowią jedną trzecią polskich eksporterów (31%; 5,</w:t>
      </w:r>
      <w:r>
        <w:t>6</w:t>
      </w:r>
      <w:r w:rsidRPr="00254AB9">
        <w:t xml:space="preserve"> tys. podmiotów). </w:t>
      </w:r>
    </w:p>
    <w:p w14:paraId="475EF417" w14:textId="312A76F5" w:rsidR="002C51A1" w:rsidRPr="00254AB9" w:rsidRDefault="002C51A1" w:rsidP="002C51A1">
      <w:r w:rsidRPr="00254AB9">
        <w:t>Przeciętny eksporter</w:t>
      </w:r>
      <w:r w:rsidR="006343E1">
        <w:t xml:space="preserve"> </w:t>
      </w:r>
      <w:r w:rsidR="006343E1" w:rsidRPr="00254AB9">
        <w:t>z</w:t>
      </w:r>
      <w:r w:rsidR="006343E1">
        <w:t> </w:t>
      </w:r>
      <w:r w:rsidRPr="00254AB9">
        <w:t>udziałem kapitału zagranicznego osiąga prawie cztery razy większe przychody</w:t>
      </w:r>
      <w:r w:rsidR="006343E1">
        <w:t xml:space="preserve"> </w:t>
      </w:r>
      <w:r w:rsidR="006343E1" w:rsidRPr="00254AB9">
        <w:t>z</w:t>
      </w:r>
      <w:r w:rsidR="006343E1">
        <w:t> </w:t>
      </w:r>
      <w:r w:rsidRPr="00254AB9">
        <w:t>eksportu (</w:t>
      </w:r>
      <w:r>
        <w:t>88,1</w:t>
      </w:r>
      <w:r w:rsidRPr="00254AB9">
        <w:t xml:space="preserve"> mln PLN) niż pozostałe podmioty (</w:t>
      </w:r>
      <w:r>
        <w:t>23,1</w:t>
      </w:r>
      <w:r w:rsidRPr="00254AB9">
        <w:t xml:space="preserve"> mln PLN). </w:t>
      </w:r>
      <w:r w:rsidRPr="00A86AEE">
        <w:t>Znaczna część przedsiębiorstw z udziałem kapitału zagranicznego to większe podmioty: blisko dwie piąte to średnie firmy, a jedna piąta – duże. Firmy te działają głównie</w:t>
      </w:r>
      <w:r w:rsidR="006343E1">
        <w:t xml:space="preserve"> </w:t>
      </w:r>
      <w:r w:rsidR="006343E1" w:rsidRPr="00A86AEE">
        <w:t>w</w:t>
      </w:r>
      <w:r w:rsidR="006343E1">
        <w:t> </w:t>
      </w:r>
      <w:r w:rsidRPr="00A86AEE">
        <w:t>dwóch sekcjach PKD – połowa</w:t>
      </w:r>
      <w:r w:rsidR="006343E1">
        <w:t xml:space="preserve"> </w:t>
      </w:r>
      <w:r w:rsidR="006343E1" w:rsidRPr="00A86AEE">
        <w:t>z</w:t>
      </w:r>
      <w:r w:rsidR="006343E1">
        <w:t> </w:t>
      </w:r>
      <w:r w:rsidRPr="00A86AEE">
        <w:t>nich</w:t>
      </w:r>
      <w:r w:rsidR="006343E1">
        <w:t xml:space="preserve"> </w:t>
      </w:r>
      <w:r w:rsidR="006343E1" w:rsidRPr="00A86AEE">
        <w:t>w</w:t>
      </w:r>
      <w:r w:rsidR="006343E1">
        <w:t> </w:t>
      </w:r>
      <w:r w:rsidRPr="00A86AEE">
        <w:t>przetw</w:t>
      </w:r>
      <w:r w:rsidRPr="00BC616D">
        <w:t>órstwie przemysłowym,</w:t>
      </w:r>
      <w:r w:rsidR="006343E1">
        <w:t xml:space="preserve"> </w:t>
      </w:r>
      <w:r w:rsidR="006343E1" w:rsidRPr="00BC616D">
        <w:t>a</w:t>
      </w:r>
      <w:r w:rsidR="006343E1">
        <w:t> </w:t>
      </w:r>
      <w:r w:rsidRPr="00BC616D">
        <w:t>jedna piąta</w:t>
      </w:r>
      <w:r w:rsidR="006343E1">
        <w:t xml:space="preserve"> </w:t>
      </w:r>
      <w:r w:rsidR="006343E1" w:rsidRPr="00BC616D">
        <w:t>w</w:t>
      </w:r>
      <w:r w:rsidR="006343E1">
        <w:t> </w:t>
      </w:r>
      <w:r w:rsidRPr="00BC616D">
        <w:t xml:space="preserve">handlu. </w:t>
      </w:r>
      <w:r w:rsidR="000113D9">
        <w:t xml:space="preserve">Prawie </w:t>
      </w:r>
      <w:r>
        <w:t>połow</w:t>
      </w:r>
      <w:r w:rsidR="000113D9">
        <w:t>a</w:t>
      </w:r>
      <w:r>
        <w:t xml:space="preserve"> </w:t>
      </w:r>
      <w:r w:rsidR="006343E1">
        <w:t xml:space="preserve"> </w:t>
      </w:r>
      <w:r w:rsidR="006343E1" w:rsidRPr="00BC616D">
        <w:t>z</w:t>
      </w:r>
      <w:r w:rsidR="006343E1">
        <w:t> </w:t>
      </w:r>
      <w:r w:rsidRPr="00BC616D">
        <w:t>nich to eksporterzy wyspecjalizowani.</w:t>
      </w:r>
    </w:p>
    <w:p w14:paraId="20C6F9DD" w14:textId="6B80F862" w:rsidR="002C51A1" w:rsidRPr="00254AB9" w:rsidRDefault="002C51A1" w:rsidP="002C51A1">
      <w:r w:rsidRPr="00254AB9">
        <w:t>Pomimo relatywnie niskiego stopnia powiązania polskich firm</w:t>
      </w:r>
      <w:r w:rsidR="006343E1">
        <w:t xml:space="preserve"> </w:t>
      </w:r>
      <w:r w:rsidR="006343E1" w:rsidRPr="00254AB9">
        <w:t>z</w:t>
      </w:r>
      <w:r w:rsidR="006343E1">
        <w:t> </w:t>
      </w:r>
      <w:r w:rsidRPr="00254AB9">
        <w:t>rynkiem międzynarodowym generują one stosunkowo duży odsetek swoich przychodów</w:t>
      </w:r>
      <w:r w:rsidR="006343E1">
        <w:t xml:space="preserve"> </w:t>
      </w:r>
      <w:r w:rsidR="006343E1" w:rsidRPr="00254AB9">
        <w:t>z</w:t>
      </w:r>
      <w:r w:rsidR="006343E1">
        <w:t> </w:t>
      </w:r>
      <w:r w:rsidRPr="00254AB9">
        <w:t>eksportu. Zgodnie</w:t>
      </w:r>
      <w:r w:rsidR="006343E1">
        <w:t xml:space="preserve"> </w:t>
      </w:r>
      <w:r w:rsidR="006343E1" w:rsidRPr="00254AB9">
        <w:t>z</w:t>
      </w:r>
      <w:r w:rsidR="006343E1">
        <w:t> </w:t>
      </w:r>
      <w:r w:rsidRPr="00254AB9">
        <w:t>szacunkami PARP</w:t>
      </w:r>
      <w:r w:rsidR="006343E1">
        <w:t xml:space="preserve"> </w:t>
      </w:r>
      <w:r w:rsidR="006343E1" w:rsidRPr="00254AB9">
        <w:t>w</w:t>
      </w:r>
      <w:r w:rsidR="006343E1">
        <w:t> </w:t>
      </w:r>
      <w:r w:rsidRPr="00254AB9">
        <w:t>201</w:t>
      </w:r>
      <w:r>
        <w:t>8</w:t>
      </w:r>
      <w:r w:rsidRPr="00254AB9">
        <w:t xml:space="preserve"> r. </w:t>
      </w:r>
      <w:r>
        <w:t>24,1</w:t>
      </w:r>
      <w:r w:rsidRPr="00254AB9">
        <w:t>% przychodów przedsiębiorstw pochodziło</w:t>
      </w:r>
      <w:r w:rsidR="006343E1">
        <w:t xml:space="preserve"> </w:t>
      </w:r>
      <w:r w:rsidR="006343E1" w:rsidRPr="00254AB9">
        <w:t>z</w:t>
      </w:r>
      <w:r w:rsidR="006343E1">
        <w:t> </w:t>
      </w:r>
      <w:r w:rsidRPr="00254AB9">
        <w:t>eksportu towarów, co oznacza wzrost</w:t>
      </w:r>
      <w:r w:rsidR="006343E1">
        <w:t xml:space="preserve"> </w:t>
      </w:r>
      <w:r w:rsidR="006343E1" w:rsidRPr="00254AB9">
        <w:t>o</w:t>
      </w:r>
      <w:r w:rsidR="006343E1">
        <w:t> </w:t>
      </w:r>
      <w:r>
        <w:t xml:space="preserve">6,5 </w:t>
      </w:r>
      <w:r w:rsidRPr="00254AB9">
        <w:t xml:space="preserve"> </w:t>
      </w:r>
      <w:r>
        <w:t>p</w:t>
      </w:r>
      <w:r w:rsidR="000113D9">
        <w:t>kt</w:t>
      </w:r>
      <w:r>
        <w:t>.</w:t>
      </w:r>
      <w:r w:rsidR="000113D9">
        <w:t xml:space="preserve"> </w:t>
      </w:r>
      <w:r>
        <w:t>p</w:t>
      </w:r>
      <w:r w:rsidR="000113D9">
        <w:t>roc</w:t>
      </w:r>
      <w:r>
        <w:t>.</w:t>
      </w:r>
      <w:r w:rsidR="006343E1">
        <w:t xml:space="preserve"> </w:t>
      </w:r>
      <w:r w:rsidR="006343E1" w:rsidRPr="00254AB9">
        <w:t>w</w:t>
      </w:r>
      <w:r w:rsidR="006343E1">
        <w:t> </w:t>
      </w:r>
      <w:r w:rsidRPr="00254AB9">
        <w:t xml:space="preserve">stosunku do </w:t>
      </w:r>
      <w:r>
        <w:t>2010</w:t>
      </w:r>
      <w:r w:rsidRPr="00254AB9">
        <w:t xml:space="preserve"> r. Najlepsze wyniki</w:t>
      </w:r>
      <w:r w:rsidR="006343E1">
        <w:t xml:space="preserve"> </w:t>
      </w:r>
      <w:r w:rsidR="006343E1" w:rsidRPr="00254AB9">
        <w:t>w</w:t>
      </w:r>
      <w:r w:rsidR="006343E1">
        <w:t> </w:t>
      </w:r>
      <w:r w:rsidRPr="00254AB9">
        <w:t xml:space="preserve">tym zakresie notują duże podmioty, których udział przychodów ze sprzedaży zagranicznej osiągnął </w:t>
      </w:r>
      <w:r>
        <w:t>26,5</w:t>
      </w:r>
      <w:r w:rsidRPr="00254AB9">
        <w:t>%</w:t>
      </w:r>
      <w:r w:rsidR="006343E1">
        <w:t xml:space="preserve"> </w:t>
      </w:r>
      <w:r w:rsidR="006343E1" w:rsidRPr="00254AB9">
        <w:t>w</w:t>
      </w:r>
      <w:r w:rsidR="006343E1">
        <w:t> </w:t>
      </w:r>
      <w:r w:rsidRPr="00254AB9">
        <w:t>201</w:t>
      </w:r>
      <w:r>
        <w:t>8</w:t>
      </w:r>
      <w:r w:rsidRPr="00254AB9">
        <w:t xml:space="preserve"> r.</w:t>
      </w:r>
      <w:r w:rsidR="000113D9">
        <w:t>,</w:t>
      </w:r>
      <w:r w:rsidRPr="00254AB9">
        <w:t xml:space="preserve"> najsłabsze</w:t>
      </w:r>
      <w:r w:rsidR="006343E1">
        <w:t xml:space="preserve"> </w:t>
      </w:r>
      <w:r w:rsidR="000113D9">
        <w:rPr>
          <w:rFonts w:ascii="Times New Roman" w:hAnsi="Times New Roman" w:cs="Times New Roman"/>
        </w:rPr>
        <w:t>–</w:t>
      </w:r>
      <w:r w:rsidRPr="00254AB9">
        <w:t xml:space="preserve"> </w:t>
      </w:r>
      <w:r>
        <w:t xml:space="preserve">mikroprzedsiębiorstwa </w:t>
      </w:r>
      <w:r w:rsidRPr="00254AB9">
        <w:t xml:space="preserve">(jedynie </w:t>
      </w:r>
      <w:r>
        <w:t>4,9</w:t>
      </w:r>
      <w:r w:rsidRPr="00254AB9">
        <w:t>% ich całkowitych przychodów pochodzi ze sprzedaży towarów za granicę). Biorąc pod uwagę wzrost przychodów</w:t>
      </w:r>
      <w:r w:rsidR="006343E1">
        <w:t xml:space="preserve"> </w:t>
      </w:r>
      <w:r w:rsidR="006343E1" w:rsidRPr="00254AB9">
        <w:t>z</w:t>
      </w:r>
      <w:r w:rsidR="006343E1">
        <w:t> </w:t>
      </w:r>
      <w:r w:rsidRPr="00254AB9">
        <w:t>eksportu</w:t>
      </w:r>
      <w:r w:rsidR="006343E1">
        <w:t xml:space="preserve"> </w:t>
      </w:r>
      <w:r w:rsidR="006343E1" w:rsidRPr="00254AB9">
        <w:t>w</w:t>
      </w:r>
      <w:r w:rsidR="006343E1">
        <w:t> </w:t>
      </w:r>
      <w:r w:rsidRPr="00254AB9">
        <w:t>latach 20</w:t>
      </w:r>
      <w:r>
        <w:t>10</w:t>
      </w:r>
      <w:r w:rsidR="000113D9">
        <w:rPr>
          <w:rFonts w:ascii="Times New Roman" w:hAnsi="Times New Roman" w:cs="Times New Roman"/>
        </w:rPr>
        <w:t>–</w:t>
      </w:r>
      <w:r w:rsidRPr="00254AB9">
        <w:t>201</w:t>
      </w:r>
      <w:r>
        <w:t>8</w:t>
      </w:r>
      <w:r w:rsidRPr="00254AB9">
        <w:t xml:space="preserve">, </w:t>
      </w:r>
      <w:r w:rsidR="000113D9">
        <w:t>należy stwierdzić, że</w:t>
      </w:r>
      <w:r w:rsidRPr="00254AB9">
        <w:t xml:space="preserve"> najszybciej zwiększyły się one wśród </w:t>
      </w:r>
      <w:r>
        <w:t>przedsiębiorstw</w:t>
      </w:r>
      <w:r w:rsidRPr="00254AB9">
        <w:t xml:space="preserve"> </w:t>
      </w:r>
      <w:r>
        <w:t>zatrudniających 50</w:t>
      </w:r>
      <w:r w:rsidR="000113D9">
        <w:rPr>
          <w:rFonts w:ascii="Times New Roman" w:hAnsi="Times New Roman" w:cs="Times New Roman"/>
        </w:rPr>
        <w:t>–</w:t>
      </w:r>
      <w:r>
        <w:t xml:space="preserve">249 pracowników </w:t>
      </w:r>
      <w:r w:rsidRPr="00254AB9">
        <w:t xml:space="preserve"> (o </w:t>
      </w:r>
      <w:r>
        <w:t>5,5</w:t>
      </w:r>
      <w:r w:rsidRPr="00254AB9">
        <w:t xml:space="preserve"> </w:t>
      </w:r>
      <w:r>
        <w:t>p</w:t>
      </w:r>
      <w:r w:rsidR="000113D9">
        <w:t>kt</w:t>
      </w:r>
      <w:r>
        <w:t>.</w:t>
      </w:r>
      <w:r w:rsidR="000113D9">
        <w:t xml:space="preserve"> </w:t>
      </w:r>
      <w:r>
        <w:t>p</w:t>
      </w:r>
      <w:r w:rsidR="000113D9">
        <w:t>roc</w:t>
      </w:r>
      <w:r>
        <w:t>.</w:t>
      </w:r>
      <w:r w:rsidRPr="00254AB9">
        <w:t xml:space="preserve"> do </w:t>
      </w:r>
      <w:r>
        <w:t>19,2</w:t>
      </w:r>
      <w:r w:rsidRPr="00254AB9">
        <w:t>%).</w:t>
      </w:r>
    </w:p>
    <w:p w14:paraId="0C6C4F28" w14:textId="4E780430" w:rsidR="002C51A1" w:rsidRDefault="002C51A1" w:rsidP="00CB07D4">
      <w:pPr>
        <w:pStyle w:val="Nagwek4"/>
        <w:ind w:left="993" w:hanging="993"/>
        <w:rPr>
          <w:color w:val="FF0000"/>
        </w:rPr>
      </w:pPr>
      <w:r w:rsidRPr="00254AB9">
        <w:t xml:space="preserve">Wykres </w:t>
      </w:r>
      <w:r w:rsidR="00FC6E8F">
        <w:t>94</w:t>
      </w:r>
      <w:r w:rsidRPr="00254AB9">
        <w:fldChar w:fldCharType="begin"/>
      </w:r>
      <w:r w:rsidRPr="00254AB9">
        <w:instrText xml:space="preserve"> SEQ Rysunek \* ARABIC </w:instrText>
      </w:r>
      <w:r w:rsidRPr="00254AB9">
        <w:fldChar w:fldCharType="end"/>
      </w:r>
      <w:r w:rsidRPr="00254AB9">
        <w:t>. Udział przychodu</w:t>
      </w:r>
      <w:r w:rsidR="006343E1">
        <w:t xml:space="preserve"> </w:t>
      </w:r>
      <w:r w:rsidR="006343E1" w:rsidRPr="00254AB9">
        <w:t>z</w:t>
      </w:r>
      <w:r w:rsidR="006343E1">
        <w:t> </w:t>
      </w:r>
      <w:r w:rsidRPr="00254AB9">
        <w:t xml:space="preserve">eksportu </w:t>
      </w:r>
      <w:r>
        <w:t>wyrobów</w:t>
      </w:r>
      <w:r w:rsidR="006343E1">
        <w:t xml:space="preserve"> </w:t>
      </w:r>
      <w:r w:rsidR="006343E1" w:rsidRPr="00254AB9">
        <w:t>w</w:t>
      </w:r>
      <w:r w:rsidR="006343E1">
        <w:t> </w:t>
      </w:r>
      <w:r w:rsidRPr="00254AB9">
        <w:t>przychodach firm według liczby pracujących w roku 20</w:t>
      </w:r>
      <w:r>
        <w:t>10</w:t>
      </w:r>
      <w:r w:rsidR="006343E1">
        <w:t xml:space="preserve"> </w:t>
      </w:r>
      <w:r w:rsidR="006343E1" w:rsidRPr="00254AB9">
        <w:t>i</w:t>
      </w:r>
      <w:r w:rsidR="006343E1">
        <w:t> </w:t>
      </w:r>
      <w:r w:rsidRPr="00254AB9">
        <w:t>201</w:t>
      </w:r>
      <w:r>
        <w:t>8</w:t>
      </w:r>
      <w:r w:rsidRPr="00254AB9">
        <w:t xml:space="preserve"> (w %)</w:t>
      </w:r>
      <w:r>
        <w:rPr>
          <w:color w:val="FF0000"/>
        </w:rPr>
        <w:t xml:space="preserve"> </w:t>
      </w:r>
    </w:p>
    <w:p w14:paraId="32256A07" w14:textId="77777777" w:rsidR="002C51A1" w:rsidRDefault="002C51A1" w:rsidP="002C51A1">
      <w:pPr>
        <w:spacing w:after="0" w:line="240" w:lineRule="auto"/>
        <w:rPr>
          <w:rFonts w:cs="Calibri"/>
          <w:b/>
          <w:sz w:val="21"/>
          <w:szCs w:val="21"/>
        </w:rPr>
      </w:pPr>
      <w:r>
        <w:rPr>
          <w:noProof/>
          <w:lang w:eastAsia="pl-PL"/>
        </w:rPr>
        <w:drawing>
          <wp:inline distT="0" distB="0" distL="0" distR="0" wp14:anchorId="2946FA24" wp14:editId="390FD2C6">
            <wp:extent cx="5760720" cy="2442949"/>
            <wp:effectExtent l="0" t="0" r="0" b="0"/>
            <wp:docPr id="245" name="Wykres 245">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p>
    <w:p w14:paraId="424E7D07" w14:textId="77777777" w:rsidR="000113D9" w:rsidRDefault="000113D9" w:rsidP="002C51A1">
      <w:pPr>
        <w:pStyle w:val="Bezodstpw"/>
      </w:pPr>
    </w:p>
    <w:p w14:paraId="13AF0C1F" w14:textId="2EA35A2D" w:rsidR="002C51A1" w:rsidRPr="00254AB9" w:rsidRDefault="002C51A1" w:rsidP="002C51A1">
      <w:pPr>
        <w:pStyle w:val="Bezodstpw"/>
      </w:pPr>
      <w:r w:rsidRPr="00254AB9">
        <w:t xml:space="preserve">Źródło: Opracowanie </w:t>
      </w:r>
      <w:r w:rsidR="003A56DA">
        <w:t>MRiT</w:t>
      </w:r>
      <w:r w:rsidRPr="00254AB9">
        <w:t xml:space="preserve"> na podstawie danych PARP</w:t>
      </w:r>
    </w:p>
    <w:p w14:paraId="3D70C23A" w14:textId="79E0301F" w:rsidR="002C51A1" w:rsidRDefault="002C51A1" w:rsidP="002C51A1">
      <w:r w:rsidRPr="00254AB9">
        <w:t xml:space="preserve">W ciągu ostatnich lat </w:t>
      </w:r>
      <w:r w:rsidR="000113D9" w:rsidRPr="00254AB9">
        <w:t xml:space="preserve">jest </w:t>
      </w:r>
      <w:r w:rsidRPr="00254AB9">
        <w:t>widoczna stopniowa zmiana modelu rozwoju eksportu</w:t>
      </w:r>
      <w:r w:rsidR="006343E1">
        <w:t xml:space="preserve"> </w:t>
      </w:r>
      <w:r w:rsidR="006343E1" w:rsidRPr="00254AB9">
        <w:t>w</w:t>
      </w:r>
      <w:r w:rsidR="006343E1">
        <w:t> </w:t>
      </w:r>
      <w:r w:rsidRPr="00254AB9">
        <w:t xml:space="preserve">Polsce. Obserwowany jest spadek udziału dóbr pośrednich (o </w:t>
      </w:r>
      <w:r>
        <w:t>2,3</w:t>
      </w:r>
      <w:r w:rsidRPr="00254AB9">
        <w:t xml:space="preserve"> </w:t>
      </w:r>
      <w:r w:rsidRPr="000C5EEF">
        <w:t>p</w:t>
      </w:r>
      <w:r w:rsidR="000113D9">
        <w:t>kt</w:t>
      </w:r>
      <w:r w:rsidRPr="000C5EEF">
        <w:t>.</w:t>
      </w:r>
      <w:r w:rsidR="000113D9">
        <w:t xml:space="preserve"> </w:t>
      </w:r>
      <w:r w:rsidRPr="000C5EEF">
        <w:t>p</w:t>
      </w:r>
      <w:r w:rsidR="000113D9">
        <w:t>roc</w:t>
      </w:r>
      <w:r w:rsidRPr="00254AB9">
        <w:t>.</w:t>
      </w:r>
      <w:r w:rsidR="006343E1">
        <w:t xml:space="preserve"> </w:t>
      </w:r>
      <w:r w:rsidR="006343E1" w:rsidRPr="00254AB9">
        <w:t>w</w:t>
      </w:r>
      <w:r w:rsidR="006343E1">
        <w:t> </w:t>
      </w:r>
      <w:r w:rsidRPr="00254AB9">
        <w:t xml:space="preserve">latach </w:t>
      </w:r>
      <w:r>
        <w:t>2010</w:t>
      </w:r>
      <w:r w:rsidR="000113D9">
        <w:rPr>
          <w:rFonts w:ascii="Times New Roman" w:hAnsi="Times New Roman" w:cs="Times New Roman"/>
        </w:rPr>
        <w:t>–</w:t>
      </w:r>
      <w:r>
        <w:t>2019</w:t>
      </w:r>
      <w:r w:rsidRPr="00254AB9">
        <w:t>) w całkowitym eksporcie na rzecz zwiększenia udziału eksportu zaawansowanych technologii,</w:t>
      </w:r>
      <w:r w:rsidR="006343E1">
        <w:t xml:space="preserve"> </w:t>
      </w:r>
      <w:r w:rsidR="006343E1" w:rsidRPr="00254AB9">
        <w:t>z</w:t>
      </w:r>
      <w:r w:rsidR="006343E1">
        <w:t> </w:t>
      </w:r>
      <w:r w:rsidRPr="00254AB9">
        <w:t xml:space="preserve">tym że ten ostatni wciąż pozostaje na  poziomie zdecydowanie niższym niż średnia </w:t>
      </w:r>
      <w:r w:rsidR="000113D9">
        <w:t xml:space="preserve">w </w:t>
      </w:r>
      <w:r w:rsidRPr="00254AB9">
        <w:t>U</w:t>
      </w:r>
      <w:r w:rsidR="000113D9">
        <w:t xml:space="preserve">nii </w:t>
      </w:r>
      <w:r w:rsidRPr="00254AB9">
        <w:t>E</w:t>
      </w:r>
      <w:r w:rsidR="000113D9">
        <w:t>uropejskiej</w:t>
      </w:r>
      <w:r w:rsidRPr="00254AB9">
        <w:t>.</w:t>
      </w:r>
    </w:p>
    <w:p w14:paraId="29D7F10E" w14:textId="1DB7EC49" w:rsidR="002C51A1" w:rsidRDefault="002C51A1" w:rsidP="00CB07D4">
      <w:pPr>
        <w:pStyle w:val="Nagwek4"/>
        <w:jc w:val="left"/>
      </w:pPr>
      <w:r w:rsidRPr="00254AB9">
        <w:t>Wykres</w:t>
      </w:r>
      <w:r>
        <w:t xml:space="preserve"> </w:t>
      </w:r>
      <w:r w:rsidR="000935B2">
        <w:t>9</w:t>
      </w:r>
      <w:r w:rsidR="00FC6E8F">
        <w:t>5</w:t>
      </w:r>
      <w:r w:rsidRPr="00254AB9">
        <w:t>. Udział eksportu półproduktów</w:t>
      </w:r>
      <w:r w:rsidR="006343E1">
        <w:t xml:space="preserve"> </w:t>
      </w:r>
      <w:r w:rsidR="006343E1" w:rsidRPr="00254AB9">
        <w:t>w</w:t>
      </w:r>
      <w:r w:rsidR="006343E1">
        <w:t> </w:t>
      </w:r>
      <w:r w:rsidRPr="00254AB9">
        <w:t>całkowitym eks</w:t>
      </w:r>
      <w:r>
        <w:t>porcie Polski</w:t>
      </w:r>
      <w:r w:rsidR="006343E1">
        <w:t xml:space="preserve"> w </w:t>
      </w:r>
      <w:r>
        <w:t>roku 2010</w:t>
      </w:r>
      <w:r w:rsidR="006343E1">
        <w:t xml:space="preserve"> i </w:t>
      </w:r>
      <w:r>
        <w:t>2019</w:t>
      </w:r>
      <w:r w:rsidRPr="00254AB9">
        <w:t xml:space="preserve"> (w %)</w:t>
      </w:r>
      <w:r>
        <w:t xml:space="preserve"> </w:t>
      </w:r>
      <w:r>
        <w:rPr>
          <w:noProof/>
          <w:lang w:eastAsia="pl-PL"/>
        </w:rPr>
        <w:drawing>
          <wp:inline distT="0" distB="0" distL="0" distR="0" wp14:anchorId="21AFBACB" wp14:editId="4EDAD032">
            <wp:extent cx="5438775" cy="2838735"/>
            <wp:effectExtent l="0" t="0" r="0" b="0"/>
            <wp:docPr id="246" name="Wykres 246">
              <a:extLst xmlns:a="http://schemas.openxmlformats.org/drawingml/2006/main">
                <a:ext uri="{FF2B5EF4-FFF2-40B4-BE49-F238E27FC236}">
                  <a16:creationId xmlns:a16="http://schemas.microsoft.com/office/drawing/2014/main" id="{7D27790B-85F9-4C00-9B1C-7DB9011155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inline>
        </w:drawing>
      </w:r>
    </w:p>
    <w:p w14:paraId="61163BEA" w14:textId="77777777" w:rsidR="000113D9" w:rsidRDefault="000113D9" w:rsidP="002C51A1">
      <w:pPr>
        <w:pStyle w:val="Bezodstpw"/>
      </w:pPr>
    </w:p>
    <w:p w14:paraId="5C477296" w14:textId="28A2FE8A" w:rsidR="002C51A1" w:rsidRPr="00B32BD2" w:rsidRDefault="002C51A1" w:rsidP="002C51A1">
      <w:pPr>
        <w:pStyle w:val="Bezodstpw"/>
        <w:rPr>
          <w:b/>
        </w:rPr>
      </w:pPr>
      <w:r w:rsidRPr="00254AB9">
        <w:t xml:space="preserve">Źródło: Opracowanie </w:t>
      </w:r>
      <w:r w:rsidR="003A56DA">
        <w:t>MRiT</w:t>
      </w:r>
      <w:r w:rsidRPr="00254AB9">
        <w:t xml:space="preserve"> na podstawie danych Eurostat </w:t>
      </w:r>
    </w:p>
    <w:p w14:paraId="3C03CFCA" w14:textId="4C452AC5" w:rsidR="002C51A1" w:rsidRPr="00254AB9" w:rsidRDefault="002C51A1" w:rsidP="002C51A1">
      <w:r w:rsidRPr="00254AB9">
        <w:t>Tendencję spadkową wykazuje także wskaźnik dot</w:t>
      </w:r>
      <w:r w:rsidR="006C0E8A">
        <w:t>yczący</w:t>
      </w:r>
      <w:r w:rsidRPr="00254AB9">
        <w:t xml:space="preserve"> udziału półproduktów</w:t>
      </w:r>
      <w:r w:rsidR="006343E1">
        <w:t xml:space="preserve"> </w:t>
      </w:r>
      <w:r w:rsidR="006343E1" w:rsidRPr="00254AB9">
        <w:t>w</w:t>
      </w:r>
      <w:r w:rsidR="006343E1">
        <w:t> </w:t>
      </w:r>
      <w:r w:rsidRPr="00254AB9">
        <w:t>naszym całkowitym imporcie</w:t>
      </w:r>
      <w:r w:rsidR="006C0E8A">
        <w:t>,</w:t>
      </w:r>
      <w:r w:rsidRPr="00254AB9">
        <w:t xml:space="preserve"> zmniejszył się on</w:t>
      </w:r>
      <w:r w:rsidR="006343E1">
        <w:t xml:space="preserve"> </w:t>
      </w:r>
      <w:r w:rsidR="006343E1" w:rsidRPr="00254AB9">
        <w:t>z</w:t>
      </w:r>
      <w:r w:rsidR="006343E1">
        <w:t> </w:t>
      </w:r>
      <w:r w:rsidRPr="00254AB9">
        <w:t>59,</w:t>
      </w:r>
      <w:r>
        <w:t>6</w:t>
      </w:r>
      <w:r w:rsidRPr="00254AB9">
        <w:t>%</w:t>
      </w:r>
      <w:r w:rsidR="006343E1">
        <w:t xml:space="preserve"> </w:t>
      </w:r>
      <w:r w:rsidR="006343E1" w:rsidRPr="00254AB9">
        <w:t>w</w:t>
      </w:r>
      <w:r w:rsidR="006343E1">
        <w:t> </w:t>
      </w:r>
      <w:r>
        <w:t>2010 r.</w:t>
      </w:r>
      <w:r w:rsidRPr="00254AB9">
        <w:t xml:space="preserve"> do </w:t>
      </w:r>
      <w:r>
        <w:t>55,1</w:t>
      </w:r>
      <w:r w:rsidRPr="00254AB9">
        <w:t>%</w:t>
      </w:r>
      <w:r w:rsidR="006343E1">
        <w:t xml:space="preserve"> </w:t>
      </w:r>
      <w:r w:rsidR="006343E1" w:rsidRPr="00254AB9">
        <w:t>w</w:t>
      </w:r>
      <w:r w:rsidR="006343E1">
        <w:t> </w:t>
      </w:r>
      <w:r w:rsidRPr="00254AB9">
        <w:t>201</w:t>
      </w:r>
      <w:r>
        <w:t>9</w:t>
      </w:r>
      <w:r w:rsidRPr="00254AB9">
        <w:t xml:space="preserve"> r. Jest to korzystne zjawisko, gdyż z jednej strony świadczy</w:t>
      </w:r>
      <w:r w:rsidR="006343E1">
        <w:t xml:space="preserve"> </w:t>
      </w:r>
      <w:r w:rsidR="006343E1" w:rsidRPr="00254AB9">
        <w:t>o</w:t>
      </w:r>
      <w:r w:rsidR="006343E1">
        <w:t> </w:t>
      </w:r>
      <w:r w:rsidRPr="00254AB9">
        <w:t>mniejszej zależności naszej gospodarki od importu komponentów z zagranicy,</w:t>
      </w:r>
      <w:r w:rsidR="006343E1">
        <w:t xml:space="preserve"> </w:t>
      </w:r>
      <w:r w:rsidR="006343E1" w:rsidRPr="00254AB9">
        <w:t>z</w:t>
      </w:r>
      <w:r w:rsidR="006343E1">
        <w:t> </w:t>
      </w:r>
      <w:r w:rsidRPr="00254AB9">
        <w:t>drugiej natomiast</w:t>
      </w:r>
      <w:r w:rsidR="006343E1">
        <w:t xml:space="preserve"> </w:t>
      </w:r>
      <w:r w:rsidR="006343E1" w:rsidRPr="00254AB9">
        <w:t>o</w:t>
      </w:r>
      <w:r w:rsidR="006343E1">
        <w:t> </w:t>
      </w:r>
      <w:r w:rsidRPr="00254AB9">
        <w:t>wzroście udziału</w:t>
      </w:r>
      <w:r w:rsidR="006343E1">
        <w:t xml:space="preserve"> </w:t>
      </w:r>
      <w:r w:rsidR="006343E1" w:rsidRPr="00254AB9">
        <w:t>w</w:t>
      </w:r>
      <w:r w:rsidR="006343E1">
        <w:t> </w:t>
      </w:r>
      <w:r w:rsidRPr="00254AB9">
        <w:t xml:space="preserve">przywozie dóbr konsumpcyjnych, co może wynikać ze wzrostu  zamożności społeczeństwa. </w:t>
      </w:r>
    </w:p>
    <w:p w14:paraId="2459A180" w14:textId="77777777" w:rsidR="001C0FF5" w:rsidRDefault="002C51A1" w:rsidP="00990BBF">
      <w:r w:rsidRPr="00254AB9">
        <w:t>Jednocześnie znaczący udział półproduktów</w:t>
      </w:r>
      <w:r w:rsidR="006343E1">
        <w:t xml:space="preserve"> </w:t>
      </w:r>
      <w:r w:rsidR="006343E1" w:rsidRPr="00254AB9">
        <w:t>w</w:t>
      </w:r>
      <w:r w:rsidR="006343E1">
        <w:t> </w:t>
      </w:r>
      <w:r w:rsidRPr="00254AB9">
        <w:t>całkowitych obrotach zagranicznych świadczy o fragmentaryzacji produkcji</w:t>
      </w:r>
      <w:r w:rsidR="006343E1">
        <w:t xml:space="preserve"> </w:t>
      </w:r>
      <w:r w:rsidR="006343E1" w:rsidRPr="00254AB9">
        <w:t>w</w:t>
      </w:r>
      <w:r w:rsidR="006343E1">
        <w:t> </w:t>
      </w:r>
      <w:r w:rsidRPr="00254AB9">
        <w:t>ramach globalnych łańcuchów wartości (</w:t>
      </w:r>
      <w:r w:rsidRPr="00CB07D4">
        <w:rPr>
          <w:rStyle w:val="st"/>
          <w:i/>
        </w:rPr>
        <w:t>Global Value Chain</w:t>
      </w:r>
      <w:r>
        <w:rPr>
          <w:rStyle w:val="st"/>
        </w:rPr>
        <w:t xml:space="preserve"> – GVC)</w:t>
      </w:r>
      <w:r w:rsidR="006343E1">
        <w:t xml:space="preserve"> </w:t>
      </w:r>
      <w:r w:rsidR="006343E1" w:rsidRPr="00254AB9">
        <w:t>i</w:t>
      </w:r>
      <w:r w:rsidR="006343E1">
        <w:t> </w:t>
      </w:r>
      <w:r w:rsidRPr="00254AB9">
        <w:t>silnych powiązań gospodarczych między krajami. Obecnie ciężko sobie wyobrazić, żeby jakaś gospodarka pozostawała poza G</w:t>
      </w:r>
      <w:r>
        <w:t>VC</w:t>
      </w:r>
      <w:r w:rsidRPr="00254AB9">
        <w:t>. Partycypacja</w:t>
      </w:r>
      <w:r w:rsidR="006343E1">
        <w:t xml:space="preserve"> </w:t>
      </w:r>
      <w:r w:rsidR="006343E1" w:rsidRPr="00254AB9">
        <w:t>w</w:t>
      </w:r>
      <w:r w:rsidR="006343E1">
        <w:t> </w:t>
      </w:r>
      <w:r w:rsidRPr="00254AB9">
        <w:t>nich jest pochodną postępującej globalizacji, digitalizacji</w:t>
      </w:r>
      <w:r w:rsidR="006343E1">
        <w:t xml:space="preserve"> </w:t>
      </w:r>
      <w:r w:rsidR="006343E1" w:rsidRPr="00254AB9">
        <w:t>i</w:t>
      </w:r>
      <w:r w:rsidR="006343E1">
        <w:t> </w:t>
      </w:r>
      <w:r w:rsidRPr="00254AB9">
        <w:t>fragmentaryzacji produkcji. Dzisiaj każdy samochód, samolot czy pociąg składa się</w:t>
      </w:r>
      <w:r w:rsidR="006343E1">
        <w:t xml:space="preserve"> </w:t>
      </w:r>
      <w:r w:rsidR="006343E1" w:rsidRPr="00254AB9">
        <w:t>z</w:t>
      </w:r>
      <w:r w:rsidR="006343E1">
        <w:t> </w:t>
      </w:r>
      <w:r w:rsidRPr="00254AB9">
        <w:t>elementów tworzonych na całym świecie,</w:t>
      </w:r>
      <w:r w:rsidR="006343E1">
        <w:t xml:space="preserve"> </w:t>
      </w:r>
      <w:r w:rsidR="006343E1" w:rsidRPr="00254AB9">
        <w:t>a</w:t>
      </w:r>
      <w:r w:rsidR="006343E1">
        <w:t> </w:t>
      </w:r>
      <w:r w:rsidRPr="00254AB9">
        <w:t>zamiast</w:t>
      </w:r>
      <w:r>
        <w:t xml:space="preserve"> klasycznych</w:t>
      </w:r>
      <w:r w:rsidRPr="00254AB9">
        <w:t xml:space="preserve"> fabryk </w:t>
      </w:r>
      <w:r>
        <w:t xml:space="preserve">prowadzi się </w:t>
      </w:r>
      <w:r w:rsidRPr="00254AB9">
        <w:t xml:space="preserve">montownie. </w:t>
      </w:r>
    </w:p>
    <w:p w14:paraId="4B765AA8" w14:textId="1D958172" w:rsidR="002C51A1" w:rsidRPr="00DB693E" w:rsidRDefault="002C51A1" w:rsidP="00990BBF">
      <w:pPr>
        <w:rPr>
          <w:rFonts w:cs="Calibri"/>
          <w:b/>
          <w:sz w:val="21"/>
          <w:szCs w:val="21"/>
        </w:rPr>
      </w:pPr>
      <w:r w:rsidRPr="00254AB9">
        <w:rPr>
          <w:rFonts w:cs="Calibri"/>
          <w:b/>
          <w:sz w:val="21"/>
          <w:szCs w:val="21"/>
        </w:rPr>
        <w:t>Wykres</w:t>
      </w:r>
      <w:r>
        <w:rPr>
          <w:rFonts w:cs="Calibri"/>
          <w:b/>
          <w:sz w:val="21"/>
          <w:szCs w:val="21"/>
        </w:rPr>
        <w:t xml:space="preserve"> </w:t>
      </w:r>
      <w:r w:rsidR="000935B2">
        <w:rPr>
          <w:rFonts w:cs="Calibri"/>
          <w:b/>
          <w:sz w:val="21"/>
          <w:szCs w:val="21"/>
        </w:rPr>
        <w:t>9</w:t>
      </w:r>
      <w:r w:rsidR="00FC6E8F">
        <w:rPr>
          <w:rFonts w:cs="Calibri"/>
          <w:b/>
          <w:sz w:val="21"/>
          <w:szCs w:val="21"/>
        </w:rPr>
        <w:t>6</w:t>
      </w:r>
      <w:r w:rsidRPr="00254AB9">
        <w:rPr>
          <w:rFonts w:cs="Calibri"/>
          <w:b/>
          <w:sz w:val="21"/>
          <w:szCs w:val="21"/>
        </w:rPr>
        <w:t>. Poziom</w:t>
      </w:r>
      <w:r w:rsidRPr="00CB07D4">
        <w:rPr>
          <w:rStyle w:val="Odwoanieprzypisudolnego"/>
          <w:sz w:val="21"/>
        </w:rPr>
        <w:footnoteReference w:id="77"/>
      </w:r>
      <w:r w:rsidRPr="00254AB9">
        <w:rPr>
          <w:rFonts w:cs="Calibri"/>
          <w:b/>
          <w:sz w:val="21"/>
          <w:szCs w:val="21"/>
        </w:rPr>
        <w:t xml:space="preserve"> zintegrowania Polski</w:t>
      </w:r>
      <w:r w:rsidR="006343E1">
        <w:rPr>
          <w:rFonts w:cs="Calibri"/>
          <w:b/>
          <w:sz w:val="21"/>
          <w:szCs w:val="21"/>
        </w:rPr>
        <w:t xml:space="preserve"> </w:t>
      </w:r>
      <w:r w:rsidR="006343E1" w:rsidRPr="00254AB9">
        <w:rPr>
          <w:rFonts w:cs="Calibri"/>
          <w:b/>
          <w:sz w:val="21"/>
          <w:szCs w:val="21"/>
        </w:rPr>
        <w:t>z</w:t>
      </w:r>
      <w:r w:rsidR="006343E1">
        <w:rPr>
          <w:rFonts w:cs="Calibri"/>
          <w:b/>
          <w:sz w:val="21"/>
          <w:szCs w:val="21"/>
        </w:rPr>
        <w:t> </w:t>
      </w:r>
      <w:r w:rsidRPr="00254AB9">
        <w:rPr>
          <w:rFonts w:cs="Calibri"/>
          <w:b/>
          <w:sz w:val="21"/>
          <w:szCs w:val="21"/>
        </w:rPr>
        <w:t>międzynarodowymi siec</w:t>
      </w:r>
      <w:r>
        <w:rPr>
          <w:rFonts w:cs="Calibri"/>
          <w:b/>
          <w:sz w:val="21"/>
          <w:szCs w:val="21"/>
        </w:rPr>
        <w:t>iami produkcyjnymi w latach 2005</w:t>
      </w:r>
      <w:r w:rsidR="006C0E8A">
        <w:rPr>
          <w:rFonts w:ascii="Times New Roman" w:hAnsi="Times New Roman" w:cs="Times New Roman"/>
          <w:b/>
          <w:sz w:val="21"/>
          <w:szCs w:val="21"/>
        </w:rPr>
        <w:t>–</w:t>
      </w:r>
      <w:r>
        <w:rPr>
          <w:rFonts w:cs="Calibri"/>
          <w:b/>
          <w:sz w:val="21"/>
          <w:szCs w:val="21"/>
        </w:rPr>
        <w:t xml:space="preserve">2015 </w:t>
      </w:r>
      <w:r>
        <w:rPr>
          <w:noProof/>
          <w:lang w:eastAsia="pl-PL"/>
        </w:rPr>
        <mc:AlternateContent>
          <mc:Choice Requires="wps">
            <w:drawing>
              <wp:anchor distT="0" distB="0" distL="114300" distR="114300" simplePos="0" relativeHeight="251656192" behindDoc="0" locked="0" layoutInCell="1" allowOverlap="1" wp14:anchorId="55542D00" wp14:editId="194F32D7">
                <wp:simplePos x="0" y="0"/>
                <wp:positionH relativeFrom="column">
                  <wp:posOffset>3500755</wp:posOffset>
                </wp:positionH>
                <wp:positionV relativeFrom="paragraph">
                  <wp:posOffset>205739</wp:posOffset>
                </wp:positionV>
                <wp:extent cx="504825" cy="352425"/>
                <wp:effectExtent l="57150" t="38100" r="85725" b="257175"/>
                <wp:wrapNone/>
                <wp:docPr id="13" name="Objaśnienie prostokątne zaokrąglone 1"/>
                <wp:cNvGraphicFramePr/>
                <a:graphic xmlns:a="http://schemas.openxmlformats.org/drawingml/2006/main">
                  <a:graphicData uri="http://schemas.microsoft.com/office/word/2010/wordprocessingShape">
                    <wps:wsp>
                      <wps:cNvSpPr/>
                      <wps:spPr>
                        <a:xfrm>
                          <a:off x="0" y="0"/>
                          <a:ext cx="504825" cy="352425"/>
                        </a:xfrm>
                        <a:prstGeom prst="wedgeRoundRectCallout">
                          <a:avLst>
                            <a:gd name="adj1" fmla="val -46611"/>
                            <a:gd name="adj2" fmla="val 93158"/>
                            <a:gd name="adj3" fmla="val 16667"/>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35F4167C" w14:textId="77777777" w:rsidR="009F06E2" w:rsidRPr="00FD48DE" w:rsidRDefault="009F06E2" w:rsidP="002C51A1">
                            <w:pPr>
                              <w:rPr>
                                <w:b/>
                                <w:sz w:val="20"/>
                              </w:rPr>
                            </w:pPr>
                            <w:r w:rsidRPr="00FD48DE">
                              <w:rPr>
                                <w:b/>
                                <w:sz w:val="20"/>
                              </w:rPr>
                              <w:t>48,1</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55542D0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Objaśnienie prostokątne zaokrąglone 1" o:spid="_x0000_s1048" type="#_x0000_t62" style="position:absolute;left:0;text-align:left;margin-left:275.65pt;margin-top:16.2pt;width:39.75pt;height:2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" adj="732,30922" fillcolor="#bcbcbc">
                <v:fill color2="#ededed" rotate="t" angle="180" colors="0 #bcbcbc;22938f #d0d0d0;1 #ededed" focus="100%" type="gradient"/>
                <v:shadow on="t" color="black" opacity="24903f" origin=",.5" offset="0,.55556mm"/>
                <v:textbox>
                  <w:txbxContent>
                    <w:p w14:paraId="35F4167C" w14:textId="77777777" w:rsidR="009F06E2" w:rsidRPr="00FD48DE" w:rsidRDefault="009F06E2" w:rsidP="002C51A1">
                      <w:pPr>
                        <w:rPr>
                          <w:b/>
                          <w:sz w:val="20"/>
                        </w:rPr>
                      </w:pPr>
                      <w:r w:rsidRPr="00FD48DE">
                        <w:rPr>
                          <w:b/>
                          <w:sz w:val="20"/>
                        </w:rPr>
                        <w:t>48,1</w:t>
                      </w:r>
                    </w:p>
                  </w:txbxContent>
                </v:textbox>
              </v:shape>
            </w:pict>
          </mc:Fallback>
        </mc:AlternateContent>
      </w:r>
      <w:r>
        <w:rPr>
          <w:noProof/>
          <w:lang w:eastAsia="pl-PL"/>
        </w:rPr>
        <w:drawing>
          <wp:inline distT="0" distB="0" distL="0" distR="0" wp14:anchorId="0E5E33C8" wp14:editId="01B209F6">
            <wp:extent cx="4038600" cy="2876550"/>
            <wp:effectExtent l="0" t="0" r="0" b="0"/>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inline>
        </w:drawing>
      </w:r>
    </w:p>
    <w:p w14:paraId="1680A9D0" w14:textId="0FC8B6DB" w:rsidR="002C51A1" w:rsidRPr="00254AB9" w:rsidRDefault="002C51A1" w:rsidP="002C51A1">
      <w:pPr>
        <w:pStyle w:val="Bezodstpw"/>
      </w:pPr>
      <w:r w:rsidRPr="00254AB9">
        <w:t xml:space="preserve">Źródło: Opracowanie </w:t>
      </w:r>
      <w:r w:rsidR="003A56DA">
        <w:t>MRiT</w:t>
      </w:r>
      <w:r w:rsidR="003A5EA7">
        <w:t xml:space="preserve"> </w:t>
      </w:r>
      <w:r w:rsidRPr="00254AB9">
        <w:t>na podstawie danych OECD/WTO (2018)</w:t>
      </w:r>
    </w:p>
    <w:p w14:paraId="60FF4EAD" w14:textId="1A570C9B" w:rsidR="002C51A1" w:rsidRPr="00254AB9" w:rsidRDefault="002C51A1" w:rsidP="002C51A1">
      <w:r w:rsidRPr="00254AB9">
        <w:t>W 201</w:t>
      </w:r>
      <w:r>
        <w:t>5</w:t>
      </w:r>
      <w:r w:rsidRPr="00254AB9">
        <w:t xml:space="preserve"> r. ok. </w:t>
      </w:r>
      <w:r>
        <w:t>48</w:t>
      </w:r>
      <w:r w:rsidRPr="00254AB9">
        <w:t>% eksportu Polski było realizowane</w:t>
      </w:r>
      <w:r w:rsidR="006343E1">
        <w:t xml:space="preserve"> </w:t>
      </w:r>
      <w:r w:rsidR="006343E1" w:rsidRPr="00254AB9">
        <w:t>w</w:t>
      </w:r>
      <w:r w:rsidR="006343E1">
        <w:t> </w:t>
      </w:r>
      <w:r w:rsidRPr="00254AB9">
        <w:t>ramach G</w:t>
      </w:r>
      <w:r w:rsidR="00CB07D4">
        <w:t>VC</w:t>
      </w:r>
      <w:r w:rsidRPr="00254AB9">
        <w:t>, czyli</w:t>
      </w:r>
      <w:r w:rsidR="006343E1">
        <w:t xml:space="preserve"> </w:t>
      </w:r>
      <w:r w:rsidR="006343E1" w:rsidRPr="00254AB9">
        <w:t>o</w:t>
      </w:r>
      <w:r w:rsidR="006343E1">
        <w:t> </w:t>
      </w:r>
      <w:r>
        <w:t>ok. 3,5</w:t>
      </w:r>
      <w:r w:rsidRPr="00254AB9">
        <w:t xml:space="preserve"> pkt. proc. więcej niż</w:t>
      </w:r>
      <w:r w:rsidR="006343E1">
        <w:t xml:space="preserve"> </w:t>
      </w:r>
      <w:r w:rsidR="006343E1" w:rsidRPr="00254AB9">
        <w:t>w</w:t>
      </w:r>
      <w:r w:rsidR="006343E1">
        <w:t> </w:t>
      </w:r>
      <w:r w:rsidRPr="00254AB9">
        <w:t>200</w:t>
      </w:r>
      <w:r>
        <w:t>5</w:t>
      </w:r>
      <w:r w:rsidRPr="00254AB9">
        <w:t xml:space="preserve"> r. Oznacza to</w:t>
      </w:r>
      <w:r w:rsidR="00477C54">
        <w:t>, że </w:t>
      </w:r>
      <w:r w:rsidRPr="00254AB9">
        <w:t>Polska jest coraz bardziej aktywnym podmiotem procesów umiędzynarodowienia produkcji.</w:t>
      </w:r>
      <w:r w:rsidR="006343E1">
        <w:t xml:space="preserve"> </w:t>
      </w:r>
      <w:r w:rsidR="006343E1" w:rsidRPr="00254AB9">
        <w:t>W</w:t>
      </w:r>
      <w:r w:rsidR="006343E1">
        <w:t> </w:t>
      </w:r>
      <w:r w:rsidRPr="00254AB9">
        <w:t>okresie 200</w:t>
      </w:r>
      <w:r>
        <w:t>5</w:t>
      </w:r>
      <w:r w:rsidR="006C0E8A">
        <w:rPr>
          <w:rFonts w:ascii="Times New Roman" w:hAnsi="Times New Roman" w:cs="Times New Roman"/>
        </w:rPr>
        <w:t>–</w:t>
      </w:r>
      <w:r w:rsidRPr="00254AB9">
        <w:t>201</w:t>
      </w:r>
      <w:r>
        <w:t>5</w:t>
      </w:r>
      <w:r w:rsidRPr="00254AB9">
        <w:t xml:space="preserve"> szybciej rósł udział zagranicznej wartości dodanej</w:t>
      </w:r>
      <w:r w:rsidR="006343E1">
        <w:t xml:space="preserve"> </w:t>
      </w:r>
      <w:r w:rsidR="006343E1" w:rsidRPr="00254AB9">
        <w:t>w</w:t>
      </w:r>
      <w:r w:rsidR="006343E1">
        <w:t> </w:t>
      </w:r>
      <w:r w:rsidRPr="00254AB9">
        <w:t xml:space="preserve">naszym eksporcie (o </w:t>
      </w:r>
      <w:r>
        <w:t>1,9</w:t>
      </w:r>
      <w:r w:rsidRPr="00254AB9">
        <w:t xml:space="preserve"> pkt. proc. do </w:t>
      </w:r>
      <w:r>
        <w:t>26,6</w:t>
      </w:r>
      <w:r w:rsidRPr="00254AB9">
        <w:t xml:space="preserve">%) niż krajowej wartości dodanej w eksporcie innych krajów (o </w:t>
      </w:r>
      <w:r>
        <w:t>1,5</w:t>
      </w:r>
      <w:r w:rsidRPr="00254AB9">
        <w:t xml:space="preserve"> pkt. proc. do 2</w:t>
      </w:r>
      <w:r>
        <w:t>1</w:t>
      </w:r>
      <w:r w:rsidRPr="00254AB9">
        <w:t>,5%</w:t>
      </w:r>
      <w:r w:rsidR="006343E1">
        <w:t xml:space="preserve"> </w:t>
      </w:r>
      <w:r w:rsidR="006343E1" w:rsidRPr="00254AB9">
        <w:t>w</w:t>
      </w:r>
      <w:r w:rsidR="006343E1">
        <w:t> </w:t>
      </w:r>
      <w:r w:rsidRPr="00254AB9">
        <w:t>201</w:t>
      </w:r>
      <w:r>
        <w:t>5</w:t>
      </w:r>
      <w:r w:rsidRPr="00254AB9">
        <w:t xml:space="preserve"> r.).</w:t>
      </w:r>
      <w:r>
        <w:t xml:space="preserve"> Choć różnica ta była niewielka</w:t>
      </w:r>
      <w:r w:rsidR="006C0E8A">
        <w:t>,</w:t>
      </w:r>
      <w:r>
        <w:t xml:space="preserve"> to jednak świadczy </w:t>
      </w:r>
      <w:r w:rsidR="006343E1" w:rsidRPr="00254AB9">
        <w:t>o</w:t>
      </w:r>
      <w:r w:rsidR="006343E1">
        <w:t> </w:t>
      </w:r>
      <w:r w:rsidRPr="00254AB9">
        <w:t>tym</w:t>
      </w:r>
      <w:r w:rsidR="00477C54">
        <w:t>, że </w:t>
      </w:r>
      <w:r w:rsidRPr="00254AB9">
        <w:t>Polska jest bardziej atrakcyjna jako miejsce przetwarzania półproduktów (co jest rezultatem m.in. względnie niskich kosztów pracy) niż jako producent</w:t>
      </w:r>
      <w:r w:rsidR="006343E1">
        <w:t xml:space="preserve"> </w:t>
      </w:r>
      <w:r w:rsidR="006343E1" w:rsidRPr="00254AB9">
        <w:t>i</w:t>
      </w:r>
      <w:r w:rsidR="006343E1">
        <w:t> </w:t>
      </w:r>
      <w:r w:rsidRPr="00254AB9">
        <w:t>eksporter półproduktów, wchodzących następnie</w:t>
      </w:r>
      <w:r w:rsidR="006343E1">
        <w:t xml:space="preserve"> </w:t>
      </w:r>
      <w:r w:rsidR="006343E1" w:rsidRPr="00254AB9">
        <w:t>w</w:t>
      </w:r>
      <w:r w:rsidR="006343E1">
        <w:t> </w:t>
      </w:r>
      <w:r w:rsidRPr="00254AB9">
        <w:t>skład bardziej złożonych produktów kierowanych na eksport</w:t>
      </w:r>
      <w:r>
        <w:t>.</w:t>
      </w:r>
    </w:p>
    <w:p w14:paraId="3D7A32F1" w14:textId="6A982B21" w:rsidR="002C51A1" w:rsidRPr="00254AB9" w:rsidRDefault="002C51A1" w:rsidP="002C51A1">
      <w:r w:rsidRPr="00254AB9">
        <w:t>Systematyczne zwiększanie udziału zagranicznej wartości dodanej</w:t>
      </w:r>
      <w:r w:rsidR="006343E1">
        <w:t xml:space="preserve"> </w:t>
      </w:r>
      <w:r w:rsidR="006343E1" w:rsidRPr="00254AB9">
        <w:t>w</w:t>
      </w:r>
      <w:r w:rsidR="006343E1">
        <w:t> </w:t>
      </w:r>
      <w:r w:rsidRPr="00254AB9">
        <w:t>naszym eksporcie oznacza jednocześnie spadek udziału</w:t>
      </w:r>
      <w:r w:rsidR="006343E1">
        <w:t xml:space="preserve"> </w:t>
      </w:r>
      <w:r w:rsidR="006343E1" w:rsidRPr="00254AB9">
        <w:t>w</w:t>
      </w:r>
      <w:r w:rsidR="006343E1">
        <w:t> </w:t>
      </w:r>
      <w:r w:rsidRPr="00254AB9">
        <w:t>nim krajowej wartości dodanej. Świadczy to</w:t>
      </w:r>
      <w:r w:rsidR="006343E1">
        <w:t xml:space="preserve"> </w:t>
      </w:r>
      <w:r w:rsidR="006343E1" w:rsidRPr="00254AB9">
        <w:t>o</w:t>
      </w:r>
      <w:r w:rsidR="006343E1">
        <w:t> </w:t>
      </w:r>
      <w:r w:rsidRPr="00254AB9">
        <w:t>odnoszeniu przez nasze przedsiębiorstwa stosunkowo niewielkich korzyści</w:t>
      </w:r>
      <w:r w:rsidR="006343E1">
        <w:t xml:space="preserve"> </w:t>
      </w:r>
      <w:r w:rsidR="006343E1" w:rsidRPr="00254AB9">
        <w:t>z</w:t>
      </w:r>
      <w:r w:rsidR="006343E1">
        <w:t> </w:t>
      </w:r>
      <w:r w:rsidRPr="00254AB9">
        <w:t>uczestnictwa</w:t>
      </w:r>
      <w:r w:rsidR="006343E1">
        <w:t xml:space="preserve"> </w:t>
      </w:r>
      <w:r w:rsidR="006343E1" w:rsidRPr="00254AB9">
        <w:t>w</w:t>
      </w:r>
      <w:r w:rsidR="006343E1">
        <w:t> </w:t>
      </w:r>
      <w:r w:rsidRPr="00254AB9">
        <w:t>G</w:t>
      </w:r>
      <w:r w:rsidR="00CB07D4">
        <w:t>VC</w:t>
      </w:r>
      <w:r w:rsidRPr="00254AB9">
        <w:t>. Wynika to</w:t>
      </w:r>
      <w:r w:rsidR="006343E1">
        <w:t xml:space="preserve"> </w:t>
      </w:r>
      <w:r w:rsidR="006343E1" w:rsidRPr="00254AB9">
        <w:t>z</w:t>
      </w:r>
      <w:r w:rsidR="006343E1">
        <w:t> </w:t>
      </w:r>
      <w:r w:rsidRPr="00254AB9">
        <w:t xml:space="preserve">tego, </w:t>
      </w:r>
      <w:r w:rsidR="006C0E8A">
        <w:t>że</w:t>
      </w:r>
      <w:r w:rsidRPr="00254AB9">
        <w:t xml:space="preserve"> nasi przedsiębiorcy zazwyczaj partycypują</w:t>
      </w:r>
      <w:r w:rsidR="006343E1">
        <w:t xml:space="preserve"> </w:t>
      </w:r>
      <w:r w:rsidR="006343E1" w:rsidRPr="00254AB9">
        <w:t>w</w:t>
      </w:r>
      <w:r w:rsidR="006343E1">
        <w:t> </w:t>
      </w:r>
      <w:r w:rsidRPr="00254AB9">
        <w:t>środkowej części łańcucha, czyli tej</w:t>
      </w:r>
      <w:r w:rsidR="006C0E8A">
        <w:t>,</w:t>
      </w:r>
      <w:r w:rsidRPr="00254AB9">
        <w:t xml:space="preserve"> </w:t>
      </w:r>
      <w:r w:rsidR="006C0E8A">
        <w:t>w której</w:t>
      </w:r>
      <w:r w:rsidRPr="00254AB9">
        <w:t xml:space="preserve"> wytwarza</w:t>
      </w:r>
      <w:r w:rsidR="006C0E8A">
        <w:t xml:space="preserve"> się</w:t>
      </w:r>
      <w:r w:rsidRPr="00254AB9">
        <w:t xml:space="preserve"> najmniej wartości dodanej (jest to faza produkcyjna), czemu towarzyszy wysoka importochłonność produkcji</w:t>
      </w:r>
      <w:r w:rsidR="006343E1">
        <w:t xml:space="preserve"> </w:t>
      </w:r>
      <w:r w:rsidR="006343E1" w:rsidRPr="00254AB9">
        <w:t>i</w:t>
      </w:r>
      <w:r w:rsidR="006343E1">
        <w:t> </w:t>
      </w:r>
      <w:r w:rsidRPr="00254AB9">
        <w:t>eksportu. Najbardziej wartościowa (zyskowna) jest początkowa (działalność B+R, projektowanie) oraz końcowa (marketing, reklama, dystrybucja) część łańcucha. Ważne, aby polskie przedsiębiorstwa sukcesywnie przesunęły się do bardziej wartościowych ogniw. Niezbędnym warunkiem</w:t>
      </w:r>
      <w:r w:rsidR="006343E1">
        <w:t xml:space="preserve"> </w:t>
      </w:r>
      <w:r w:rsidR="006343E1" w:rsidRPr="00254AB9">
        <w:t>w</w:t>
      </w:r>
      <w:r w:rsidR="006343E1">
        <w:t> </w:t>
      </w:r>
      <w:r w:rsidRPr="00254AB9">
        <w:t xml:space="preserve">osiągnięciu tego </w:t>
      </w:r>
      <w:r w:rsidR="006C0E8A">
        <w:t>są</w:t>
      </w:r>
      <w:r w:rsidRPr="00254AB9">
        <w:t xml:space="preserve"> skuteczna działalność innowacyjna, ukierunkowana na tworzenie nowoczesnych produktów</w:t>
      </w:r>
      <w:r w:rsidR="006343E1">
        <w:t xml:space="preserve"> </w:t>
      </w:r>
      <w:r w:rsidR="006343E1" w:rsidRPr="00254AB9">
        <w:t>i</w:t>
      </w:r>
      <w:r w:rsidR="006343E1">
        <w:t> </w:t>
      </w:r>
      <w:r w:rsidRPr="00254AB9">
        <w:t>usług oraz nieustanne poszukiwanie nowych rozwiązań, które odpowiadają na zmieniające się potrzeby klientów.</w:t>
      </w:r>
    </w:p>
    <w:p w14:paraId="14011734" w14:textId="6ABB71A5" w:rsidR="002C51A1" w:rsidRPr="008C5CC5" w:rsidRDefault="002C51A1" w:rsidP="002C51A1">
      <w:pPr>
        <w:rPr>
          <w:rFonts w:cstheme="minorHAnsi"/>
        </w:rPr>
      </w:pPr>
      <w:r w:rsidRPr="00254AB9">
        <w:t>Polski handel zagraniczny ma charakter wewnątrzgałęziowy, co oznacza</w:t>
      </w:r>
      <w:r w:rsidR="006C0E8A">
        <w:t>,</w:t>
      </w:r>
      <w:r w:rsidRPr="00254AB9">
        <w:t xml:space="preserve"> że</w:t>
      </w:r>
      <w:r w:rsidR="006343E1">
        <w:t xml:space="preserve"> </w:t>
      </w:r>
      <w:r w:rsidR="006343E1" w:rsidRPr="00254AB9">
        <w:t>w</w:t>
      </w:r>
      <w:r w:rsidR="006343E1">
        <w:t> </w:t>
      </w:r>
      <w:r w:rsidRPr="00254AB9">
        <w:t>eksporcie</w:t>
      </w:r>
      <w:r w:rsidR="006343E1">
        <w:t xml:space="preserve"> </w:t>
      </w:r>
      <w:r w:rsidR="006343E1" w:rsidRPr="00254AB9">
        <w:t>i</w:t>
      </w:r>
      <w:r w:rsidR="006343E1">
        <w:t> </w:t>
      </w:r>
      <w:r w:rsidRPr="00254AB9">
        <w:t>imporcie najważniejsze znaczenie mają te same produkty, tj. wyroby elektromaszynowe</w:t>
      </w:r>
      <w:r w:rsidR="006343E1">
        <w:t xml:space="preserve"> </w:t>
      </w:r>
      <w:r w:rsidR="006343E1" w:rsidRPr="00254AB9">
        <w:t>i</w:t>
      </w:r>
      <w:r w:rsidR="006343E1">
        <w:t> </w:t>
      </w:r>
      <w:r w:rsidRPr="00254AB9">
        <w:t>produkty przemysłu chemicznego. Bardziej szczegółową strukturę przedmiotową naszego eksportu przedstawiono na poniższym wykresie. Jak widać, 5</w:t>
      </w:r>
      <w:r w:rsidR="0052672C">
        <w:t> </w:t>
      </w:r>
      <w:r w:rsidRPr="00254AB9">
        <w:t xml:space="preserve">pozycji towarowych odpowiada za </w:t>
      </w:r>
      <w:r>
        <w:t>ok.</w:t>
      </w:r>
      <w:r w:rsidRPr="00254AB9">
        <w:t xml:space="preserve"> 4</w:t>
      </w:r>
      <w:r>
        <w:t>7</w:t>
      </w:r>
      <w:r w:rsidRPr="00254AB9">
        <w:t>% całkowitego eksportu</w:t>
      </w:r>
      <w:r w:rsidR="006343E1">
        <w:t xml:space="preserve"> </w:t>
      </w:r>
      <w:r w:rsidR="006343E1" w:rsidRPr="00254AB9">
        <w:t>z</w:t>
      </w:r>
      <w:r w:rsidR="006343E1">
        <w:t> </w:t>
      </w:r>
      <w:r w:rsidRPr="00254AB9">
        <w:t>Polski,</w:t>
      </w:r>
      <w:r w:rsidR="006343E1">
        <w:t xml:space="preserve"> </w:t>
      </w:r>
      <w:r w:rsidR="006343E1" w:rsidRPr="00254AB9">
        <w:t>a</w:t>
      </w:r>
      <w:r w:rsidR="006343E1">
        <w:t> </w:t>
      </w:r>
      <w:r w:rsidRPr="00254AB9">
        <w:t>dominujące znaczenie mają maszyny</w:t>
      </w:r>
      <w:r w:rsidR="006343E1">
        <w:t xml:space="preserve"> </w:t>
      </w:r>
      <w:r w:rsidR="006343E1" w:rsidRPr="00254AB9">
        <w:t>i</w:t>
      </w:r>
      <w:r w:rsidR="006343E1">
        <w:t> </w:t>
      </w:r>
      <w:r w:rsidRPr="00254AB9">
        <w:t>urządzenia mechaniczne</w:t>
      </w:r>
      <w:r w:rsidR="006343E1">
        <w:t xml:space="preserve"> </w:t>
      </w:r>
      <w:r w:rsidR="006343E1" w:rsidRPr="00254AB9">
        <w:t>i</w:t>
      </w:r>
      <w:r w:rsidR="006343E1">
        <w:t> </w:t>
      </w:r>
      <w:r w:rsidRPr="00254AB9">
        <w:t>elektryczne</w:t>
      </w:r>
      <w:r w:rsidR="006343E1">
        <w:t xml:space="preserve"> </w:t>
      </w:r>
      <w:r w:rsidR="006343E1" w:rsidRPr="00254AB9">
        <w:t>i</w:t>
      </w:r>
      <w:r w:rsidR="006343E1">
        <w:t> </w:t>
      </w:r>
      <w:r w:rsidRPr="00254AB9">
        <w:t>ich części</w:t>
      </w:r>
      <w:r w:rsidR="006343E1">
        <w:t xml:space="preserve"> </w:t>
      </w:r>
      <w:r w:rsidR="006343E1" w:rsidRPr="00254AB9">
        <w:t>i</w:t>
      </w:r>
      <w:r w:rsidR="006343E1">
        <w:t> </w:t>
      </w:r>
      <w:r w:rsidRPr="00254AB9">
        <w:t>akcesoria (ok. ¼ całkowitego eksportu) oraz pojazdy</w:t>
      </w:r>
      <w:r w:rsidR="006343E1">
        <w:t xml:space="preserve"> </w:t>
      </w:r>
      <w:r w:rsidR="006343E1" w:rsidRPr="00254AB9">
        <w:t>i</w:t>
      </w:r>
      <w:r w:rsidR="006343E1">
        <w:t> </w:t>
      </w:r>
      <w:r w:rsidRPr="00254AB9">
        <w:t>ich akcesoria (ok. 1</w:t>
      </w:r>
      <w:r>
        <w:t>1</w:t>
      </w:r>
      <w:r w:rsidRPr="00254AB9">
        <w:t xml:space="preserve">%). </w:t>
      </w:r>
    </w:p>
    <w:p w14:paraId="08E3DC98" w14:textId="45729848" w:rsidR="002C51A1" w:rsidRPr="008C5CC5" w:rsidRDefault="002C51A1" w:rsidP="002C51A1">
      <w:pPr>
        <w:rPr>
          <w:rFonts w:cstheme="minorHAnsi"/>
        </w:rPr>
      </w:pPr>
      <w:r w:rsidRPr="008C5CC5">
        <w:rPr>
          <w:rFonts w:cstheme="minorHAnsi"/>
        </w:rPr>
        <w:t>Polskie meble</w:t>
      </w:r>
      <w:r w:rsidR="006343E1">
        <w:rPr>
          <w:rFonts w:cstheme="minorHAnsi"/>
        </w:rPr>
        <w:t xml:space="preserve"> </w:t>
      </w:r>
      <w:r w:rsidR="006343E1" w:rsidRPr="008C5CC5">
        <w:rPr>
          <w:rFonts w:cstheme="minorHAnsi"/>
        </w:rPr>
        <w:t>z</w:t>
      </w:r>
      <w:r w:rsidR="006343E1">
        <w:rPr>
          <w:rFonts w:cstheme="minorHAnsi"/>
        </w:rPr>
        <w:t> </w:t>
      </w:r>
      <w:r w:rsidRPr="008C5CC5">
        <w:rPr>
          <w:rFonts w:cstheme="minorHAnsi"/>
        </w:rPr>
        <w:t xml:space="preserve">sukcesem podbijają globalny rynek. </w:t>
      </w:r>
      <w:bookmarkStart w:id="167" w:name="_Hlk60220751"/>
      <w:r w:rsidRPr="008C5CC5">
        <w:rPr>
          <w:rFonts w:cstheme="minorHAnsi"/>
        </w:rPr>
        <w:t>Według danych OIGPM</w:t>
      </w:r>
      <w:r w:rsidR="006343E1">
        <w:rPr>
          <w:rFonts w:cstheme="minorHAnsi"/>
        </w:rPr>
        <w:t xml:space="preserve"> </w:t>
      </w:r>
      <w:r w:rsidR="006343E1" w:rsidRPr="008C5CC5">
        <w:rPr>
          <w:rFonts w:cstheme="minorHAnsi"/>
        </w:rPr>
        <w:t>w</w:t>
      </w:r>
      <w:r w:rsidR="006343E1">
        <w:rPr>
          <w:rFonts w:cstheme="minorHAnsi"/>
        </w:rPr>
        <w:t> </w:t>
      </w:r>
      <w:r w:rsidRPr="008C5CC5">
        <w:rPr>
          <w:rFonts w:cstheme="minorHAnsi"/>
        </w:rPr>
        <w:t xml:space="preserve">roku 2019 zajmowaliśmy </w:t>
      </w:r>
      <w:bookmarkEnd w:id="167"/>
      <w:r w:rsidRPr="008C5CC5">
        <w:rPr>
          <w:rFonts w:cstheme="minorHAnsi"/>
        </w:rPr>
        <w:t>2. miejsce na świecie (za Chinami,</w:t>
      </w:r>
      <w:r w:rsidR="006343E1">
        <w:rPr>
          <w:rFonts w:cstheme="minorHAnsi"/>
        </w:rPr>
        <w:t xml:space="preserve"> </w:t>
      </w:r>
      <w:r w:rsidR="006343E1" w:rsidRPr="008C5CC5">
        <w:rPr>
          <w:rFonts w:cstheme="minorHAnsi"/>
        </w:rPr>
        <w:t>a</w:t>
      </w:r>
      <w:r w:rsidR="006343E1">
        <w:rPr>
          <w:rFonts w:cstheme="minorHAnsi"/>
        </w:rPr>
        <w:t> </w:t>
      </w:r>
      <w:r w:rsidRPr="008C5CC5">
        <w:rPr>
          <w:rFonts w:cstheme="minorHAnsi"/>
        </w:rPr>
        <w:t>przed Niemcami</w:t>
      </w:r>
      <w:r w:rsidR="006343E1">
        <w:rPr>
          <w:rFonts w:cstheme="minorHAnsi"/>
        </w:rPr>
        <w:t xml:space="preserve"> </w:t>
      </w:r>
      <w:r w:rsidR="006343E1" w:rsidRPr="008C5CC5">
        <w:rPr>
          <w:rFonts w:cstheme="minorHAnsi"/>
        </w:rPr>
        <w:t>i</w:t>
      </w:r>
      <w:r w:rsidR="006343E1">
        <w:rPr>
          <w:rFonts w:cstheme="minorHAnsi"/>
        </w:rPr>
        <w:t> </w:t>
      </w:r>
      <w:r w:rsidRPr="008C5CC5">
        <w:rPr>
          <w:rFonts w:cstheme="minorHAnsi"/>
        </w:rPr>
        <w:t xml:space="preserve">Włochami) pod względem wartości wyeksportowanych mebli. </w:t>
      </w:r>
    </w:p>
    <w:p w14:paraId="22BD6328" w14:textId="4468461E" w:rsidR="002C51A1" w:rsidRDefault="002C51A1" w:rsidP="00CB07D4">
      <w:pPr>
        <w:spacing w:after="0" w:line="240" w:lineRule="auto"/>
        <w:jc w:val="left"/>
        <w:rPr>
          <w:rFonts w:cs="Calibri"/>
          <w:b/>
          <w:sz w:val="21"/>
          <w:szCs w:val="21"/>
        </w:rPr>
      </w:pPr>
      <w:r w:rsidRPr="00254AB9">
        <w:rPr>
          <w:rFonts w:cs="Calibri"/>
          <w:b/>
          <w:sz w:val="21"/>
          <w:szCs w:val="21"/>
        </w:rPr>
        <w:t xml:space="preserve">Wykres </w:t>
      </w:r>
      <w:r w:rsidR="00FC6E8F">
        <w:rPr>
          <w:rFonts w:cs="Calibri"/>
          <w:b/>
          <w:sz w:val="21"/>
          <w:szCs w:val="21"/>
        </w:rPr>
        <w:t>97.</w:t>
      </w:r>
      <w:r w:rsidRPr="00254AB9">
        <w:rPr>
          <w:rFonts w:cs="Calibri"/>
          <w:b/>
          <w:sz w:val="21"/>
          <w:szCs w:val="21"/>
        </w:rPr>
        <w:t xml:space="preserve"> Pozycje towarowe (CN2)</w:t>
      </w:r>
      <w:r w:rsidR="006343E1">
        <w:rPr>
          <w:rFonts w:cs="Calibri"/>
          <w:b/>
          <w:sz w:val="21"/>
          <w:szCs w:val="21"/>
        </w:rPr>
        <w:t xml:space="preserve"> </w:t>
      </w:r>
      <w:r w:rsidR="006343E1" w:rsidRPr="00254AB9">
        <w:rPr>
          <w:rFonts w:cs="Calibri"/>
          <w:b/>
          <w:sz w:val="21"/>
          <w:szCs w:val="21"/>
        </w:rPr>
        <w:t>o</w:t>
      </w:r>
      <w:r w:rsidR="006343E1">
        <w:rPr>
          <w:rFonts w:cs="Calibri"/>
          <w:b/>
          <w:sz w:val="21"/>
          <w:szCs w:val="21"/>
        </w:rPr>
        <w:t> </w:t>
      </w:r>
      <w:r w:rsidRPr="00254AB9">
        <w:rPr>
          <w:rFonts w:cs="Calibri"/>
          <w:b/>
          <w:sz w:val="21"/>
          <w:szCs w:val="21"/>
        </w:rPr>
        <w:t>największym udziale</w:t>
      </w:r>
      <w:r w:rsidR="006343E1">
        <w:rPr>
          <w:rFonts w:cs="Calibri"/>
          <w:b/>
          <w:sz w:val="21"/>
          <w:szCs w:val="21"/>
        </w:rPr>
        <w:t xml:space="preserve"> </w:t>
      </w:r>
      <w:r w:rsidR="006343E1" w:rsidRPr="00254AB9">
        <w:rPr>
          <w:rFonts w:cs="Calibri"/>
          <w:b/>
          <w:sz w:val="21"/>
          <w:szCs w:val="21"/>
        </w:rPr>
        <w:t>w</w:t>
      </w:r>
      <w:r w:rsidR="006343E1">
        <w:rPr>
          <w:rFonts w:cs="Calibri"/>
          <w:b/>
          <w:sz w:val="21"/>
          <w:szCs w:val="21"/>
        </w:rPr>
        <w:t> </w:t>
      </w:r>
      <w:r w:rsidRPr="00254AB9">
        <w:rPr>
          <w:rFonts w:cs="Calibri"/>
          <w:b/>
          <w:sz w:val="21"/>
          <w:szCs w:val="21"/>
        </w:rPr>
        <w:t>polskim eksporcie</w:t>
      </w:r>
      <w:r w:rsidR="006343E1">
        <w:rPr>
          <w:rFonts w:cs="Calibri"/>
          <w:b/>
          <w:sz w:val="21"/>
          <w:szCs w:val="21"/>
        </w:rPr>
        <w:t xml:space="preserve"> </w:t>
      </w:r>
      <w:r w:rsidR="006343E1" w:rsidRPr="00254AB9">
        <w:rPr>
          <w:rFonts w:cs="Calibri"/>
          <w:b/>
          <w:sz w:val="21"/>
          <w:szCs w:val="21"/>
        </w:rPr>
        <w:t>w</w:t>
      </w:r>
      <w:r w:rsidR="006343E1">
        <w:rPr>
          <w:rFonts w:cs="Calibri"/>
          <w:b/>
          <w:sz w:val="21"/>
          <w:szCs w:val="21"/>
        </w:rPr>
        <w:t> </w:t>
      </w:r>
      <w:r w:rsidRPr="00254AB9">
        <w:rPr>
          <w:rFonts w:cs="Calibri"/>
          <w:b/>
          <w:sz w:val="21"/>
          <w:szCs w:val="21"/>
        </w:rPr>
        <w:t>201</w:t>
      </w:r>
      <w:r>
        <w:rPr>
          <w:rFonts w:cs="Calibri"/>
          <w:b/>
          <w:sz w:val="21"/>
          <w:szCs w:val="21"/>
        </w:rPr>
        <w:t>9</w:t>
      </w:r>
      <w:r w:rsidRPr="00254AB9">
        <w:rPr>
          <w:rFonts w:cs="Calibri"/>
          <w:b/>
          <w:sz w:val="21"/>
          <w:szCs w:val="21"/>
        </w:rPr>
        <w:t xml:space="preserve"> r. (w %)</w:t>
      </w:r>
      <w:r>
        <w:rPr>
          <w:rFonts w:cs="Calibri"/>
          <w:b/>
          <w:sz w:val="21"/>
          <w:szCs w:val="21"/>
        </w:rPr>
        <w:t xml:space="preserve"> </w:t>
      </w:r>
      <w:r>
        <w:rPr>
          <w:noProof/>
          <w:lang w:eastAsia="pl-PL"/>
        </w:rPr>
        <w:drawing>
          <wp:inline distT="0" distB="0" distL="0" distR="0" wp14:anchorId="2FA631CD" wp14:editId="49BB57F3">
            <wp:extent cx="5610225" cy="2962275"/>
            <wp:effectExtent l="0" t="0" r="0" b="0"/>
            <wp:docPr id="247" name="Wykres 247">
              <a:extLst xmlns:a="http://schemas.openxmlformats.org/drawingml/2006/main">
                <a:ext uri="{FF2B5EF4-FFF2-40B4-BE49-F238E27FC236}">
                  <a16:creationId xmlns:a16="http://schemas.microsoft.com/office/drawing/2014/main" id="{D27DFF29-E21F-4D0A-B166-2812057B65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inline>
        </w:drawing>
      </w:r>
    </w:p>
    <w:p w14:paraId="2D01E912" w14:textId="3403ACEB" w:rsidR="002C51A1" w:rsidRPr="00254AB9" w:rsidRDefault="002C51A1" w:rsidP="002C51A1">
      <w:pPr>
        <w:pStyle w:val="Bezodstpw"/>
      </w:pPr>
      <w:r w:rsidRPr="00254AB9">
        <w:t>Źródło: Opracowan</w:t>
      </w:r>
      <w:r>
        <w:t>ie MRTiP na podstawie danych GUS</w:t>
      </w:r>
    </w:p>
    <w:p w14:paraId="3D570FD0" w14:textId="7BC353C1" w:rsidR="002C51A1" w:rsidRPr="00B674EC" w:rsidRDefault="002C51A1" w:rsidP="002C51A1">
      <w:pPr>
        <w:rPr>
          <w:lang w:eastAsia="pl-PL"/>
        </w:rPr>
      </w:pPr>
      <w:r w:rsidRPr="00B674EC">
        <w:rPr>
          <w:lang w:eastAsia="pl-PL"/>
        </w:rPr>
        <w:t>We współczesnej gospodarce globalnej znaczenie międzynarodowego handlu towarami zaawansowanymi technologicznie wykazuje tendencję rosnącą. Obroty handlowe towarami high-tech</w:t>
      </w:r>
      <w:r w:rsidR="006343E1">
        <w:rPr>
          <w:lang w:eastAsia="pl-PL"/>
        </w:rPr>
        <w:t xml:space="preserve"> </w:t>
      </w:r>
      <w:r w:rsidR="006343E1" w:rsidRPr="00B674EC">
        <w:rPr>
          <w:lang w:eastAsia="pl-PL"/>
        </w:rPr>
        <w:t>w</w:t>
      </w:r>
      <w:r w:rsidR="006343E1">
        <w:rPr>
          <w:lang w:eastAsia="pl-PL"/>
        </w:rPr>
        <w:t> </w:t>
      </w:r>
      <w:r w:rsidRPr="00B674EC">
        <w:rPr>
          <w:lang w:eastAsia="pl-PL"/>
        </w:rPr>
        <w:t>U</w:t>
      </w:r>
      <w:r w:rsidR="00D904DD">
        <w:rPr>
          <w:lang w:eastAsia="pl-PL"/>
        </w:rPr>
        <w:t xml:space="preserve">nii </w:t>
      </w:r>
      <w:r w:rsidRPr="00B674EC">
        <w:rPr>
          <w:lang w:eastAsia="pl-PL"/>
        </w:rPr>
        <w:t>E</w:t>
      </w:r>
      <w:r w:rsidR="00D904DD">
        <w:rPr>
          <w:lang w:eastAsia="pl-PL"/>
        </w:rPr>
        <w:t>uropejskiej</w:t>
      </w:r>
      <w:r w:rsidRPr="00B674EC">
        <w:rPr>
          <w:lang w:eastAsia="pl-PL"/>
        </w:rPr>
        <w:t>, zidentyfikowane według klasyfikacji SITC Rev. 4,</w:t>
      </w:r>
      <w:r w:rsidR="00D904DD">
        <w:rPr>
          <w:lang w:eastAsia="pl-PL"/>
        </w:rPr>
        <w:t xml:space="preserve"> </w:t>
      </w:r>
      <w:r w:rsidR="00D904DD" w:rsidRPr="00B674EC">
        <w:rPr>
          <w:lang w:eastAsia="pl-PL"/>
        </w:rPr>
        <w:t>są</w:t>
      </w:r>
      <w:r w:rsidRPr="00B674EC">
        <w:rPr>
          <w:lang w:eastAsia="pl-PL"/>
        </w:rPr>
        <w:t xml:space="preserve"> podzielone na dziewięć grup (</w:t>
      </w:r>
      <w:r w:rsidRPr="00B674EC">
        <w:rPr>
          <w:i/>
          <w:iCs/>
          <w:lang w:eastAsia="pl-PL"/>
        </w:rPr>
        <w:t>vide</w:t>
      </w:r>
      <w:r w:rsidRPr="00B674EC">
        <w:rPr>
          <w:lang w:eastAsia="pl-PL"/>
        </w:rPr>
        <w:t xml:space="preserve"> rysunek poniżej). Sektor high-tech odgrywa istotną rolę</w:t>
      </w:r>
      <w:r w:rsidR="006343E1">
        <w:rPr>
          <w:lang w:eastAsia="pl-PL"/>
        </w:rPr>
        <w:t xml:space="preserve"> </w:t>
      </w:r>
      <w:r w:rsidR="006343E1" w:rsidRPr="00B674EC">
        <w:rPr>
          <w:lang w:eastAsia="pl-PL"/>
        </w:rPr>
        <w:t>w</w:t>
      </w:r>
      <w:r w:rsidR="006343E1">
        <w:rPr>
          <w:lang w:eastAsia="pl-PL"/>
        </w:rPr>
        <w:t> </w:t>
      </w:r>
      <w:r w:rsidRPr="00B674EC">
        <w:rPr>
          <w:lang w:eastAsia="pl-PL"/>
        </w:rPr>
        <w:t>Unii Europejskiej, jednak jego udział</w:t>
      </w:r>
      <w:r w:rsidR="006343E1">
        <w:rPr>
          <w:lang w:eastAsia="pl-PL"/>
        </w:rPr>
        <w:t xml:space="preserve"> </w:t>
      </w:r>
      <w:r w:rsidR="006343E1" w:rsidRPr="00B674EC">
        <w:rPr>
          <w:lang w:eastAsia="pl-PL"/>
        </w:rPr>
        <w:t>w</w:t>
      </w:r>
      <w:r w:rsidR="006343E1">
        <w:rPr>
          <w:lang w:eastAsia="pl-PL"/>
        </w:rPr>
        <w:t> </w:t>
      </w:r>
      <w:r w:rsidRPr="00B674EC">
        <w:rPr>
          <w:lang w:eastAsia="pl-PL"/>
        </w:rPr>
        <w:t>wymianie handlowej państw członkowskich różni się. Dokładniejszy wgląd</w:t>
      </w:r>
      <w:r w:rsidR="006343E1">
        <w:rPr>
          <w:lang w:eastAsia="pl-PL"/>
        </w:rPr>
        <w:t xml:space="preserve"> </w:t>
      </w:r>
      <w:r w:rsidR="006343E1" w:rsidRPr="00B674EC">
        <w:rPr>
          <w:lang w:eastAsia="pl-PL"/>
        </w:rPr>
        <w:t>w</w:t>
      </w:r>
      <w:r w:rsidR="006343E1">
        <w:rPr>
          <w:lang w:eastAsia="pl-PL"/>
        </w:rPr>
        <w:t> </w:t>
      </w:r>
      <w:r w:rsidRPr="00B674EC">
        <w:rPr>
          <w:lang w:eastAsia="pl-PL"/>
        </w:rPr>
        <w:t>strukturę przedmiotową polskiego eksportu pozwala zauważyć</w:t>
      </w:r>
      <w:r w:rsidR="00477C54">
        <w:rPr>
          <w:lang w:eastAsia="pl-PL"/>
        </w:rPr>
        <w:t>, że </w:t>
      </w:r>
      <w:r w:rsidRPr="00B674EC">
        <w:rPr>
          <w:lang w:eastAsia="pl-PL"/>
        </w:rPr>
        <w:t>na tle U</w:t>
      </w:r>
      <w:r w:rsidR="00D904DD">
        <w:rPr>
          <w:lang w:eastAsia="pl-PL"/>
        </w:rPr>
        <w:t xml:space="preserve">nii </w:t>
      </w:r>
      <w:r w:rsidRPr="00B674EC">
        <w:rPr>
          <w:lang w:eastAsia="pl-PL"/>
        </w:rPr>
        <w:t>E</w:t>
      </w:r>
      <w:r w:rsidR="00D904DD">
        <w:rPr>
          <w:lang w:eastAsia="pl-PL"/>
        </w:rPr>
        <w:t>uropejskiej</w:t>
      </w:r>
      <w:r w:rsidRPr="00B674EC">
        <w:rPr>
          <w:lang w:eastAsia="pl-PL"/>
        </w:rPr>
        <w:t xml:space="preserve"> Polska jest krajem</w:t>
      </w:r>
      <w:r w:rsidR="006343E1">
        <w:rPr>
          <w:lang w:eastAsia="pl-PL"/>
        </w:rPr>
        <w:t xml:space="preserve"> </w:t>
      </w:r>
      <w:r w:rsidR="006343E1" w:rsidRPr="00B674EC">
        <w:rPr>
          <w:lang w:eastAsia="pl-PL"/>
        </w:rPr>
        <w:t>o</w:t>
      </w:r>
      <w:r w:rsidR="006343E1">
        <w:rPr>
          <w:lang w:eastAsia="pl-PL"/>
        </w:rPr>
        <w:t> </w:t>
      </w:r>
      <w:r w:rsidRPr="00B674EC">
        <w:rPr>
          <w:lang w:eastAsia="pl-PL"/>
        </w:rPr>
        <w:t>relatywnie niewielkim udziale towarów wysokiej techniki</w:t>
      </w:r>
      <w:r w:rsidR="006343E1">
        <w:rPr>
          <w:lang w:eastAsia="pl-PL"/>
        </w:rPr>
        <w:t xml:space="preserve"> </w:t>
      </w:r>
      <w:r w:rsidR="006343E1" w:rsidRPr="00B674EC">
        <w:rPr>
          <w:lang w:eastAsia="pl-PL"/>
        </w:rPr>
        <w:t>w</w:t>
      </w:r>
      <w:r w:rsidR="006343E1">
        <w:rPr>
          <w:lang w:eastAsia="pl-PL"/>
        </w:rPr>
        <w:t> </w:t>
      </w:r>
      <w:r w:rsidRPr="00B674EC">
        <w:rPr>
          <w:lang w:eastAsia="pl-PL"/>
        </w:rPr>
        <w:t>całkowitym eksporcie.</w:t>
      </w:r>
    </w:p>
    <w:p w14:paraId="500661D9" w14:textId="5D94EE5C" w:rsidR="002C51A1" w:rsidRPr="00B21290" w:rsidRDefault="002C51A1" w:rsidP="002C51A1">
      <w:pPr>
        <w:rPr>
          <w:lang w:eastAsia="pl-PL"/>
        </w:rPr>
      </w:pPr>
      <w:r w:rsidRPr="00B674EC">
        <w:rPr>
          <w:lang w:eastAsia="pl-PL"/>
        </w:rPr>
        <w:t>Według danych Eurostat</w:t>
      </w:r>
      <w:r w:rsidR="006343E1">
        <w:rPr>
          <w:lang w:eastAsia="pl-PL"/>
        </w:rPr>
        <w:t xml:space="preserve"> </w:t>
      </w:r>
      <w:r w:rsidR="006343E1" w:rsidRPr="00B674EC">
        <w:rPr>
          <w:lang w:eastAsia="pl-PL"/>
        </w:rPr>
        <w:t>w</w:t>
      </w:r>
      <w:r w:rsidR="006343E1">
        <w:rPr>
          <w:lang w:eastAsia="pl-PL"/>
        </w:rPr>
        <w:t> </w:t>
      </w:r>
      <w:r w:rsidRPr="00B674EC">
        <w:rPr>
          <w:lang w:eastAsia="pl-PL"/>
        </w:rPr>
        <w:t>Unii Europejskiej funkcjonowało ponad 46 tys. przedsiębiorstw w obszarze przemysłu wysokiej technologii. Cztery państwa członkowskie – Niemcy, Wielka Brytania, Włochy oraz Polska – odpowiadały za ok. 53% sektora high-tech U</w:t>
      </w:r>
      <w:r w:rsidR="00D904DD">
        <w:rPr>
          <w:lang w:eastAsia="pl-PL"/>
        </w:rPr>
        <w:t xml:space="preserve">nii </w:t>
      </w:r>
      <w:r w:rsidRPr="00B674EC">
        <w:rPr>
          <w:lang w:eastAsia="pl-PL"/>
        </w:rPr>
        <w:t>E</w:t>
      </w:r>
      <w:r w:rsidR="00D904DD">
        <w:rPr>
          <w:lang w:eastAsia="pl-PL"/>
        </w:rPr>
        <w:t>uropejskiej</w:t>
      </w:r>
      <w:r w:rsidRPr="00B674EC">
        <w:rPr>
          <w:lang w:eastAsia="pl-PL"/>
        </w:rPr>
        <w:t>. Towary zaawansowane technologicznie są przedmiotem wymiany handlowej zarówno na jednolitym rynku, jak</w:t>
      </w:r>
      <w:r w:rsidR="006343E1">
        <w:rPr>
          <w:lang w:eastAsia="pl-PL"/>
        </w:rPr>
        <w:t xml:space="preserve"> </w:t>
      </w:r>
      <w:r w:rsidR="006343E1" w:rsidRPr="00B674EC">
        <w:rPr>
          <w:lang w:eastAsia="pl-PL"/>
        </w:rPr>
        <w:t>i</w:t>
      </w:r>
      <w:r w:rsidR="006343E1">
        <w:rPr>
          <w:lang w:eastAsia="pl-PL"/>
        </w:rPr>
        <w:t> </w:t>
      </w:r>
      <w:r w:rsidRPr="00B674EC">
        <w:rPr>
          <w:lang w:eastAsia="pl-PL"/>
        </w:rPr>
        <w:t>z krajami spoza U</w:t>
      </w:r>
      <w:r w:rsidR="00D904DD">
        <w:rPr>
          <w:lang w:eastAsia="pl-PL"/>
        </w:rPr>
        <w:t xml:space="preserve">nii </w:t>
      </w:r>
      <w:r w:rsidRPr="00B674EC">
        <w:rPr>
          <w:lang w:eastAsia="pl-PL"/>
        </w:rPr>
        <w:t>E</w:t>
      </w:r>
      <w:r w:rsidR="00D904DD">
        <w:rPr>
          <w:lang w:eastAsia="pl-PL"/>
        </w:rPr>
        <w:t>uropejskiej</w:t>
      </w:r>
      <w:r w:rsidRPr="00B674EC">
        <w:rPr>
          <w:lang w:eastAsia="pl-PL"/>
        </w:rPr>
        <w:t>,</w:t>
      </w:r>
      <w:r w:rsidR="006343E1">
        <w:rPr>
          <w:lang w:eastAsia="pl-PL"/>
        </w:rPr>
        <w:t xml:space="preserve"> </w:t>
      </w:r>
      <w:r w:rsidR="006343E1" w:rsidRPr="00B674EC">
        <w:rPr>
          <w:lang w:eastAsia="pl-PL"/>
        </w:rPr>
        <w:t>a</w:t>
      </w:r>
      <w:r w:rsidR="006343E1">
        <w:rPr>
          <w:lang w:eastAsia="pl-PL"/>
        </w:rPr>
        <w:t> </w:t>
      </w:r>
      <w:r w:rsidRPr="00B674EC">
        <w:rPr>
          <w:lang w:eastAsia="pl-PL"/>
        </w:rPr>
        <w:t>ponad połowa transakcji sprzedaży</w:t>
      </w:r>
      <w:r w:rsidR="006343E1">
        <w:rPr>
          <w:lang w:eastAsia="pl-PL"/>
        </w:rPr>
        <w:t xml:space="preserve"> </w:t>
      </w:r>
      <w:r w:rsidR="006343E1" w:rsidRPr="00B674EC">
        <w:rPr>
          <w:lang w:eastAsia="pl-PL"/>
        </w:rPr>
        <w:t>i</w:t>
      </w:r>
      <w:r w:rsidR="006343E1">
        <w:rPr>
          <w:lang w:eastAsia="pl-PL"/>
        </w:rPr>
        <w:t> </w:t>
      </w:r>
      <w:r w:rsidRPr="00B674EC">
        <w:rPr>
          <w:lang w:eastAsia="pl-PL"/>
        </w:rPr>
        <w:t>nabycia towarów high-tech była realizowana pomiędzy partnerami</w:t>
      </w:r>
      <w:r w:rsidR="006343E1">
        <w:rPr>
          <w:lang w:eastAsia="pl-PL"/>
        </w:rPr>
        <w:t xml:space="preserve"> </w:t>
      </w:r>
      <w:r w:rsidR="006343E1" w:rsidRPr="00B674EC">
        <w:rPr>
          <w:lang w:eastAsia="pl-PL"/>
        </w:rPr>
        <w:t>z</w:t>
      </w:r>
      <w:r w:rsidR="006343E1">
        <w:rPr>
          <w:lang w:eastAsia="pl-PL"/>
        </w:rPr>
        <w:t> </w:t>
      </w:r>
      <w:r w:rsidRPr="00B674EC">
        <w:rPr>
          <w:lang w:eastAsia="pl-PL"/>
        </w:rPr>
        <w:t>krajów członkowskich</w:t>
      </w:r>
      <w:r w:rsidRPr="00B674EC">
        <w:rPr>
          <w:rFonts w:cs="Calibri"/>
          <w:sz w:val="21"/>
          <w:szCs w:val="21"/>
          <w:lang w:eastAsia="pl-PL"/>
        </w:rPr>
        <w:t>.</w:t>
      </w:r>
    </w:p>
    <w:p w14:paraId="1FE4A005" w14:textId="77777777" w:rsidR="002C51A1" w:rsidRPr="00B21290" w:rsidRDefault="002C51A1" w:rsidP="002C51A1">
      <w:pPr>
        <w:rPr>
          <w:lang w:eastAsia="pl-PL"/>
        </w:rPr>
      </w:pPr>
    </w:p>
    <w:p w14:paraId="20DB9FA8" w14:textId="77777777" w:rsidR="002C51A1" w:rsidRPr="00B21290" w:rsidRDefault="002C51A1" w:rsidP="002C51A1">
      <w:pPr>
        <w:tabs>
          <w:tab w:val="left" w:pos="2640"/>
        </w:tabs>
        <w:rPr>
          <w:lang w:eastAsia="pl-PL"/>
        </w:rPr>
      </w:pPr>
    </w:p>
    <w:p w14:paraId="2488C095" w14:textId="2FC25DFA" w:rsidR="002C51A1" w:rsidRPr="00254AB9" w:rsidRDefault="002C51A1" w:rsidP="002C51A1">
      <w:pPr>
        <w:pageBreakBefore/>
        <w:spacing w:after="0" w:line="240" w:lineRule="auto"/>
        <w:rPr>
          <w:rFonts w:cs="Calibri"/>
          <w:sz w:val="21"/>
          <w:szCs w:val="21"/>
          <w:lang w:eastAsia="pl-PL"/>
        </w:rPr>
      </w:pPr>
      <w:r w:rsidRPr="005436C4">
        <w:rPr>
          <w:b/>
          <w:sz w:val="21"/>
          <w:szCs w:val="21"/>
        </w:rPr>
        <w:t>Rys</w:t>
      </w:r>
      <w:r w:rsidR="00652745">
        <w:rPr>
          <w:b/>
          <w:sz w:val="21"/>
          <w:szCs w:val="21"/>
        </w:rPr>
        <w:t xml:space="preserve">. </w:t>
      </w:r>
      <w:r w:rsidR="000935B2">
        <w:rPr>
          <w:b/>
          <w:sz w:val="21"/>
          <w:szCs w:val="21"/>
        </w:rPr>
        <w:t>5</w:t>
      </w:r>
      <w:r w:rsidRPr="005436C4">
        <w:rPr>
          <w:b/>
          <w:sz w:val="21"/>
          <w:szCs w:val="21"/>
        </w:rPr>
        <w:t>.</w:t>
      </w:r>
      <w:r w:rsidRPr="00254AB9">
        <w:rPr>
          <w:rFonts w:cs="Calibri"/>
          <w:b/>
          <w:sz w:val="21"/>
          <w:szCs w:val="21"/>
          <w:lang w:eastAsia="pl-PL"/>
        </w:rPr>
        <w:t xml:space="preserve"> Grupy towarów wysoko przetworzonych według klasyfikacji SITC Rev. 4</w:t>
      </w:r>
    </w:p>
    <w:p w14:paraId="2D50D1B9" w14:textId="77777777" w:rsidR="002C51A1" w:rsidRPr="00254AB9" w:rsidRDefault="002C51A1" w:rsidP="002C51A1">
      <w:pPr>
        <w:spacing w:after="0" w:line="240" w:lineRule="auto"/>
        <w:rPr>
          <w:rFonts w:cs="Calibri"/>
          <w:sz w:val="21"/>
          <w:szCs w:val="21"/>
        </w:rPr>
      </w:pPr>
      <w:r>
        <w:rPr>
          <w:rFonts w:cs="Calibri"/>
          <w:noProof/>
          <w:sz w:val="21"/>
          <w:szCs w:val="21"/>
          <w:lang w:eastAsia="pl-PL"/>
        </w:rPr>
        <w:drawing>
          <wp:inline distT="0" distB="0" distL="0" distR="0" wp14:anchorId="389FB20B" wp14:editId="617E25A3">
            <wp:extent cx="5762625" cy="3062605"/>
            <wp:effectExtent l="0" t="0" r="9525" b="4445"/>
            <wp:docPr id="75" name="Obraz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6638"/>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762625" cy="3062605"/>
                    </a:xfrm>
                    <a:prstGeom prst="rect">
                      <a:avLst/>
                    </a:prstGeom>
                    <a:noFill/>
                    <a:ln>
                      <a:noFill/>
                    </a:ln>
                  </pic:spPr>
                </pic:pic>
              </a:graphicData>
            </a:graphic>
          </wp:inline>
        </w:drawing>
      </w:r>
    </w:p>
    <w:p w14:paraId="3547B4FA" w14:textId="77777777" w:rsidR="00D904DD" w:rsidRDefault="00D904DD" w:rsidP="002C51A1">
      <w:pPr>
        <w:pStyle w:val="Bezodstpw"/>
      </w:pPr>
    </w:p>
    <w:p w14:paraId="108A6586" w14:textId="4E9C0115" w:rsidR="002C51A1" w:rsidRPr="00B674EC" w:rsidRDefault="002C51A1" w:rsidP="002C51A1">
      <w:pPr>
        <w:pStyle w:val="Bezodstpw"/>
        <w:rPr>
          <w:lang w:eastAsia="pl-PL"/>
        </w:rPr>
      </w:pPr>
      <w:r w:rsidRPr="00B674EC">
        <w:t xml:space="preserve">Źródło: Opracowanie </w:t>
      </w:r>
      <w:r w:rsidR="003A56DA">
        <w:t>MRiT</w:t>
      </w:r>
      <w:r w:rsidRPr="00B674EC">
        <w:t xml:space="preserve"> na podstawie Eurostat</w:t>
      </w:r>
    </w:p>
    <w:p w14:paraId="28658BD0" w14:textId="624E36CE" w:rsidR="002C51A1" w:rsidRPr="00254AB9" w:rsidRDefault="002C51A1" w:rsidP="002C51A1">
      <w:pPr>
        <w:rPr>
          <w:lang w:eastAsia="pl-PL"/>
        </w:rPr>
      </w:pPr>
      <w:r w:rsidRPr="00B674EC">
        <w:rPr>
          <w:lang w:eastAsia="pl-PL"/>
        </w:rPr>
        <w:t>W 2018 r</w:t>
      </w:r>
      <w:r w:rsidR="00D904DD">
        <w:rPr>
          <w:lang w:eastAsia="pl-PL"/>
        </w:rPr>
        <w:t>.</w:t>
      </w:r>
      <w:r w:rsidRPr="00B674EC">
        <w:rPr>
          <w:lang w:eastAsia="pl-PL"/>
        </w:rPr>
        <w:t xml:space="preserve"> towary wysokiej techniki odpowiadały za ok. 18% wartości całkowitego unijnego eksportu. Najwyższy ich udział odnotowano w Irlandii (34,7%), </w:t>
      </w:r>
      <w:r w:rsidR="00D904DD">
        <w:rPr>
          <w:lang w:eastAsia="pl-PL"/>
        </w:rPr>
        <w:t>na</w:t>
      </w:r>
      <w:r w:rsidRPr="00B674EC">
        <w:rPr>
          <w:lang w:eastAsia="pl-PL"/>
        </w:rPr>
        <w:t xml:space="preserve"> Malcie (25,6%), </w:t>
      </w:r>
      <w:r w:rsidR="00D904DD">
        <w:rPr>
          <w:lang w:eastAsia="pl-PL"/>
        </w:rPr>
        <w:t xml:space="preserve">w </w:t>
      </w:r>
      <w:r w:rsidR="00856972">
        <w:rPr>
          <w:lang w:eastAsia="pl-PL"/>
        </w:rPr>
        <w:t>Niderlandach</w:t>
      </w:r>
      <w:r w:rsidRPr="00B674EC">
        <w:rPr>
          <w:lang w:eastAsia="pl-PL"/>
        </w:rPr>
        <w:t xml:space="preserve"> (21,3%) oraz we Francji (20,5%), natomiast najniższy w Portugalii (4%), Grecji (4,5%) oraz Hiszpanii (5,5</w:t>
      </w:r>
      <w:r w:rsidRPr="00B674EC">
        <w:t xml:space="preserve">%), </w:t>
      </w:r>
      <w:r w:rsidR="006343E1" w:rsidRPr="00B674EC">
        <w:t>w</w:t>
      </w:r>
      <w:r w:rsidR="006343E1">
        <w:t> </w:t>
      </w:r>
      <w:r w:rsidRPr="00B674EC">
        <w:t xml:space="preserve">Polsce </w:t>
      </w:r>
      <w:r w:rsidR="00D904DD" w:rsidRPr="00B674EC">
        <w:t>zaś</w:t>
      </w:r>
      <w:r w:rsidRPr="00B674EC">
        <w:t xml:space="preserve"> odpowiadały za 8,4% eksportu. </w:t>
      </w:r>
      <w:r w:rsidRPr="00B674EC">
        <w:rPr>
          <w:lang w:eastAsia="pl-PL"/>
        </w:rPr>
        <w:t>Dwie grupy towarów, tj. sprzęt lotniczy oraz środki farmaceutyczne, odpowiadały za 49% unijnego eksportu tej kategorii towarów. Następnie elektronika</w:t>
      </w:r>
      <w:r w:rsidR="00D904DD">
        <w:rPr>
          <w:lang w:eastAsia="pl-PL"/>
        </w:rPr>
        <w:t xml:space="preserve"> i </w:t>
      </w:r>
      <w:r w:rsidRPr="00B674EC">
        <w:rPr>
          <w:lang w:eastAsia="pl-PL"/>
        </w:rPr>
        <w:t>komunikacja</w:t>
      </w:r>
      <w:r w:rsidR="00D904DD">
        <w:rPr>
          <w:lang w:eastAsia="pl-PL"/>
        </w:rPr>
        <w:t xml:space="preserve"> oraz</w:t>
      </w:r>
      <w:r w:rsidRPr="00B674EC">
        <w:rPr>
          <w:lang w:eastAsia="pl-PL"/>
        </w:rPr>
        <w:t xml:space="preserve"> aparatura badawczo-naukowa stanowiły 36% tego eksportu, pozostałe </w:t>
      </w:r>
      <w:r w:rsidR="00D904DD" w:rsidRPr="00B674EC">
        <w:rPr>
          <w:lang w:eastAsia="pl-PL"/>
        </w:rPr>
        <w:t xml:space="preserve">zaś </w:t>
      </w:r>
      <w:r w:rsidRPr="00B674EC">
        <w:rPr>
          <w:lang w:eastAsia="pl-PL"/>
        </w:rPr>
        <w:t>pięć grup towarów – komputery</w:t>
      </w:r>
      <w:r w:rsidR="00D904DD">
        <w:rPr>
          <w:lang w:eastAsia="pl-PL"/>
        </w:rPr>
        <w:t xml:space="preserve"> i </w:t>
      </w:r>
      <w:r w:rsidRPr="00B674EC">
        <w:rPr>
          <w:lang w:eastAsia="pl-PL"/>
        </w:rPr>
        <w:t xml:space="preserve">maszyny biurowe, chemikalia, maszyny elektryczne, maszyny nieelektryczne oraz uzbrojenie </w:t>
      </w:r>
      <w:r w:rsidR="00D904DD">
        <w:rPr>
          <w:lang w:eastAsia="pl-PL"/>
        </w:rPr>
        <w:t>stanowiły</w:t>
      </w:r>
      <w:r w:rsidRPr="00B674EC">
        <w:rPr>
          <w:lang w:eastAsia="pl-PL"/>
        </w:rPr>
        <w:t xml:space="preserve"> ok. 16%</w:t>
      </w:r>
      <w:r w:rsidR="00D904DD">
        <w:rPr>
          <w:lang w:eastAsia="pl-PL"/>
        </w:rPr>
        <w:t xml:space="preserve"> eksportu</w:t>
      </w:r>
      <w:r w:rsidRPr="00B674EC">
        <w:rPr>
          <w:lang w:eastAsia="pl-PL"/>
        </w:rPr>
        <w:t>.</w:t>
      </w:r>
    </w:p>
    <w:p w14:paraId="5AB18500" w14:textId="6C896F8F" w:rsidR="002C51A1" w:rsidRPr="00254AB9" w:rsidRDefault="002C51A1" w:rsidP="002C51A1">
      <w:pPr>
        <w:spacing w:after="0" w:line="240" w:lineRule="auto"/>
        <w:rPr>
          <w:rFonts w:cs="Calibri"/>
          <w:b/>
          <w:sz w:val="21"/>
          <w:szCs w:val="21"/>
          <w:lang w:eastAsia="pl-PL"/>
        </w:rPr>
      </w:pPr>
      <w:r w:rsidRPr="00254AB9">
        <w:rPr>
          <w:rFonts w:cs="Calibri"/>
          <w:b/>
          <w:sz w:val="21"/>
          <w:szCs w:val="21"/>
        </w:rPr>
        <w:t xml:space="preserve">Wykres </w:t>
      </w:r>
      <w:r w:rsidR="000935B2">
        <w:rPr>
          <w:rFonts w:cs="Calibri"/>
          <w:b/>
          <w:sz w:val="21"/>
          <w:szCs w:val="21"/>
        </w:rPr>
        <w:t>9</w:t>
      </w:r>
      <w:r w:rsidR="00FC6E8F">
        <w:rPr>
          <w:rFonts w:cs="Calibri"/>
          <w:b/>
          <w:sz w:val="21"/>
          <w:szCs w:val="21"/>
        </w:rPr>
        <w:t>8</w:t>
      </w:r>
      <w:r w:rsidRPr="00254AB9">
        <w:rPr>
          <w:rFonts w:cs="Calibri"/>
          <w:b/>
          <w:sz w:val="21"/>
          <w:szCs w:val="21"/>
        </w:rPr>
        <w:fldChar w:fldCharType="begin"/>
      </w:r>
      <w:r w:rsidRPr="00254AB9">
        <w:rPr>
          <w:rFonts w:cs="Calibri"/>
          <w:b/>
          <w:sz w:val="21"/>
          <w:szCs w:val="21"/>
        </w:rPr>
        <w:instrText xml:space="preserve"> SEQ Rysunek \* ARABIC </w:instrText>
      </w:r>
      <w:r w:rsidRPr="00254AB9">
        <w:rPr>
          <w:rFonts w:cs="Calibri"/>
          <w:b/>
          <w:sz w:val="21"/>
          <w:szCs w:val="21"/>
        </w:rPr>
        <w:fldChar w:fldCharType="end"/>
      </w:r>
      <w:r w:rsidRPr="00254AB9">
        <w:rPr>
          <w:rFonts w:cs="Calibri"/>
          <w:b/>
          <w:sz w:val="21"/>
          <w:szCs w:val="21"/>
        </w:rPr>
        <w:t>.</w:t>
      </w:r>
      <w:r w:rsidRPr="00254AB9">
        <w:rPr>
          <w:rFonts w:cs="Calibri"/>
          <w:b/>
          <w:sz w:val="21"/>
          <w:szCs w:val="21"/>
          <w:lang w:eastAsia="pl-PL"/>
        </w:rPr>
        <w:t xml:space="preserve"> Udział towarów high-tech</w:t>
      </w:r>
      <w:r w:rsidR="006343E1">
        <w:rPr>
          <w:rFonts w:cs="Calibri"/>
          <w:b/>
          <w:sz w:val="21"/>
          <w:szCs w:val="21"/>
          <w:lang w:eastAsia="pl-PL"/>
        </w:rPr>
        <w:t xml:space="preserve"> </w:t>
      </w:r>
      <w:r w:rsidR="006343E1" w:rsidRPr="00254AB9">
        <w:rPr>
          <w:rFonts w:cs="Calibri"/>
          <w:b/>
          <w:sz w:val="21"/>
          <w:szCs w:val="21"/>
          <w:lang w:eastAsia="pl-PL"/>
        </w:rPr>
        <w:t>w</w:t>
      </w:r>
      <w:r w:rsidR="006343E1">
        <w:rPr>
          <w:rFonts w:cs="Calibri"/>
          <w:b/>
          <w:sz w:val="21"/>
          <w:szCs w:val="21"/>
          <w:lang w:eastAsia="pl-PL"/>
        </w:rPr>
        <w:t> </w:t>
      </w:r>
      <w:r w:rsidRPr="00254AB9">
        <w:rPr>
          <w:rFonts w:cs="Calibri"/>
          <w:b/>
          <w:sz w:val="21"/>
          <w:szCs w:val="21"/>
          <w:lang w:eastAsia="pl-PL"/>
        </w:rPr>
        <w:t>eksporcie ogółem państw członkowskich UE w 2008</w:t>
      </w:r>
      <w:r w:rsidR="006343E1">
        <w:rPr>
          <w:rFonts w:cs="Calibri"/>
          <w:b/>
          <w:sz w:val="21"/>
          <w:szCs w:val="21"/>
          <w:lang w:eastAsia="pl-PL"/>
        </w:rPr>
        <w:t xml:space="preserve"> </w:t>
      </w:r>
      <w:r w:rsidR="006343E1" w:rsidRPr="00254AB9">
        <w:rPr>
          <w:rFonts w:cs="Calibri"/>
          <w:b/>
          <w:sz w:val="21"/>
          <w:szCs w:val="21"/>
          <w:lang w:eastAsia="pl-PL"/>
        </w:rPr>
        <w:t>i</w:t>
      </w:r>
      <w:r w:rsidR="006343E1">
        <w:rPr>
          <w:rFonts w:cs="Calibri"/>
          <w:b/>
          <w:sz w:val="21"/>
          <w:szCs w:val="21"/>
          <w:lang w:eastAsia="pl-PL"/>
        </w:rPr>
        <w:t> </w:t>
      </w:r>
      <w:r w:rsidRPr="00254AB9">
        <w:rPr>
          <w:rFonts w:cs="Calibri"/>
          <w:b/>
          <w:sz w:val="21"/>
          <w:szCs w:val="21"/>
          <w:lang w:eastAsia="pl-PL"/>
        </w:rPr>
        <w:t>201</w:t>
      </w:r>
      <w:r>
        <w:rPr>
          <w:rFonts w:cs="Calibri"/>
          <w:b/>
          <w:sz w:val="21"/>
          <w:szCs w:val="21"/>
          <w:lang w:eastAsia="pl-PL"/>
        </w:rPr>
        <w:t>8</w:t>
      </w:r>
      <w:r w:rsidRPr="00254AB9">
        <w:rPr>
          <w:rFonts w:cs="Calibri"/>
          <w:b/>
          <w:sz w:val="21"/>
          <w:szCs w:val="21"/>
          <w:lang w:eastAsia="pl-PL"/>
        </w:rPr>
        <w:t xml:space="preserve"> r</w:t>
      </w:r>
      <w:r w:rsidR="00D904DD">
        <w:rPr>
          <w:rFonts w:cs="Calibri"/>
          <w:b/>
          <w:sz w:val="21"/>
          <w:szCs w:val="21"/>
          <w:lang w:eastAsia="pl-PL"/>
        </w:rPr>
        <w:t>.</w:t>
      </w:r>
      <w:r w:rsidRPr="00254AB9">
        <w:rPr>
          <w:rFonts w:cs="Calibri"/>
          <w:b/>
          <w:sz w:val="21"/>
          <w:szCs w:val="21"/>
          <w:lang w:eastAsia="pl-PL"/>
        </w:rPr>
        <w:t xml:space="preserve"> (w %)</w:t>
      </w:r>
    </w:p>
    <w:p w14:paraId="6748340E" w14:textId="77777777" w:rsidR="002C51A1" w:rsidRDefault="002C51A1" w:rsidP="002C51A1">
      <w:pPr>
        <w:spacing w:after="0" w:line="240" w:lineRule="auto"/>
        <w:rPr>
          <w:rFonts w:cs="Calibri"/>
          <w:noProof/>
          <w:sz w:val="21"/>
          <w:szCs w:val="21"/>
          <w:lang w:eastAsia="pl-PL"/>
        </w:rPr>
      </w:pPr>
      <w:r>
        <w:rPr>
          <w:rFonts w:cs="Calibri"/>
          <w:noProof/>
          <w:sz w:val="21"/>
          <w:szCs w:val="21"/>
          <w:lang w:eastAsia="pl-PL"/>
        </w:rPr>
        <mc:AlternateContent>
          <mc:Choice Requires="wps">
            <w:drawing>
              <wp:anchor distT="0" distB="0" distL="114300" distR="114300" simplePos="0" relativeHeight="251674624" behindDoc="0" locked="0" layoutInCell="1" allowOverlap="1" wp14:anchorId="3F76CFA8" wp14:editId="4C093A05">
                <wp:simplePos x="0" y="0"/>
                <wp:positionH relativeFrom="column">
                  <wp:posOffset>2996344</wp:posOffset>
                </wp:positionH>
                <wp:positionV relativeFrom="paragraph">
                  <wp:posOffset>1194297</wp:posOffset>
                </wp:positionV>
                <wp:extent cx="182880" cy="1366989"/>
                <wp:effectExtent l="0" t="0" r="26670" b="24130"/>
                <wp:wrapNone/>
                <wp:docPr id="294" name="Prostokąt 294"/>
                <wp:cNvGraphicFramePr/>
                <a:graphic xmlns:a="http://schemas.openxmlformats.org/drawingml/2006/main">
                  <a:graphicData uri="http://schemas.microsoft.com/office/word/2010/wordprocessingShape">
                    <wps:wsp>
                      <wps:cNvSpPr/>
                      <wps:spPr>
                        <a:xfrm>
                          <a:off x="0" y="0"/>
                          <a:ext cx="182880" cy="1366989"/>
                        </a:xfrm>
                        <a:prstGeom prst="rect">
                          <a:avLst/>
                        </a:prstGeom>
                        <a:no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FB4C3E4" id="Prostokąt 294" o:spid="_x0000_s1026" style="position:absolute;margin-left:235.95pt;margin-top:94.05pt;width:14.4pt;height:107.6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" filled="f" strokecolor="#002060" strokeweight="2pt"/>
            </w:pict>
          </mc:Fallback>
        </mc:AlternateContent>
      </w:r>
      <w:r>
        <w:rPr>
          <w:rFonts w:cs="Calibri"/>
          <w:noProof/>
          <w:sz w:val="21"/>
          <w:szCs w:val="21"/>
          <w:lang w:eastAsia="pl-PL"/>
        </w:rPr>
        <w:drawing>
          <wp:inline distT="0" distB="0" distL="0" distR="0" wp14:anchorId="1903B16D" wp14:editId="72FAB84B">
            <wp:extent cx="5175885" cy="2726055"/>
            <wp:effectExtent l="0" t="0" r="0" b="0"/>
            <wp:docPr id="74" name="Wykres 7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inline>
        </w:drawing>
      </w:r>
    </w:p>
    <w:p w14:paraId="0DD78BDB" w14:textId="77777777" w:rsidR="00856972" w:rsidRDefault="00856972" w:rsidP="002C51A1">
      <w:pPr>
        <w:pStyle w:val="Bezodstpw"/>
        <w:rPr>
          <w:lang w:eastAsia="pl-PL"/>
        </w:rPr>
      </w:pPr>
    </w:p>
    <w:p w14:paraId="5801DBDE" w14:textId="7861CB8E" w:rsidR="002C51A1" w:rsidRDefault="002C51A1" w:rsidP="002C51A1">
      <w:pPr>
        <w:pStyle w:val="Bezodstpw"/>
        <w:rPr>
          <w:rFonts w:cs="Calibri"/>
          <w:i w:val="0"/>
          <w:iCs/>
          <w:sz w:val="21"/>
          <w:szCs w:val="21"/>
          <w:lang w:eastAsia="pl-PL"/>
        </w:rPr>
      </w:pPr>
      <w:r w:rsidRPr="00254AB9">
        <w:rPr>
          <w:lang w:eastAsia="pl-PL"/>
        </w:rPr>
        <w:t xml:space="preserve">Źródło: </w:t>
      </w:r>
      <w:r w:rsidRPr="00254AB9">
        <w:t xml:space="preserve">Opracowanie </w:t>
      </w:r>
      <w:r w:rsidR="003A56DA">
        <w:rPr>
          <w:lang w:eastAsia="pl-PL"/>
        </w:rPr>
        <w:t>MRiT</w:t>
      </w:r>
      <w:r w:rsidRPr="00254AB9">
        <w:rPr>
          <w:lang w:eastAsia="pl-PL"/>
        </w:rPr>
        <w:t xml:space="preserve"> na podstawie </w:t>
      </w:r>
      <w:r>
        <w:rPr>
          <w:lang w:eastAsia="pl-PL"/>
        </w:rPr>
        <w:t xml:space="preserve">wstępnych </w:t>
      </w:r>
      <w:r w:rsidRPr="00254AB9">
        <w:rPr>
          <w:lang w:eastAsia="pl-PL"/>
        </w:rPr>
        <w:t>danych Eurostat</w:t>
      </w:r>
    </w:p>
    <w:p w14:paraId="34ED92BE" w14:textId="77777777" w:rsidR="002C51A1" w:rsidRDefault="002C51A1" w:rsidP="00CB07D4">
      <w:pPr>
        <w:spacing w:after="0" w:line="240" w:lineRule="auto"/>
        <w:rPr>
          <w:rFonts w:cs="Calibri"/>
          <w:i/>
          <w:iCs/>
          <w:sz w:val="21"/>
          <w:szCs w:val="21"/>
          <w:lang w:eastAsia="pl-PL"/>
        </w:rPr>
      </w:pPr>
    </w:p>
    <w:p w14:paraId="1923439D" w14:textId="75C53BD1" w:rsidR="002C51A1" w:rsidRPr="00B21290" w:rsidRDefault="00311B4A" w:rsidP="002C51A1">
      <w:pPr>
        <w:pageBreakBefore/>
        <w:spacing w:after="0" w:line="240" w:lineRule="auto"/>
        <w:rPr>
          <w:rFonts w:cs="Calibri"/>
          <w:sz w:val="21"/>
          <w:szCs w:val="21"/>
          <w:lang w:eastAsia="pl-PL"/>
        </w:rPr>
      </w:pPr>
      <w:r>
        <w:rPr>
          <w:b/>
          <w:sz w:val="21"/>
          <w:szCs w:val="21"/>
        </w:rPr>
        <w:t>Mapa</w:t>
      </w:r>
      <w:r w:rsidR="002C51A1" w:rsidRPr="005436C4">
        <w:rPr>
          <w:b/>
          <w:sz w:val="21"/>
          <w:szCs w:val="21"/>
        </w:rPr>
        <w:t xml:space="preserve"> </w:t>
      </w:r>
      <w:r>
        <w:rPr>
          <w:b/>
          <w:sz w:val="21"/>
          <w:szCs w:val="21"/>
        </w:rPr>
        <w:t>8</w:t>
      </w:r>
      <w:r w:rsidR="002C51A1">
        <w:rPr>
          <w:b/>
          <w:sz w:val="21"/>
          <w:szCs w:val="21"/>
        </w:rPr>
        <w:t>.</w:t>
      </w:r>
      <w:r w:rsidR="00856972">
        <w:rPr>
          <w:b/>
          <w:sz w:val="21"/>
          <w:szCs w:val="21"/>
        </w:rPr>
        <w:t xml:space="preserve"> </w:t>
      </w:r>
      <w:r w:rsidR="002C51A1">
        <w:rPr>
          <w:rFonts w:cs="Calibri"/>
          <w:b/>
          <w:sz w:val="21"/>
          <w:szCs w:val="21"/>
          <w:lang w:eastAsia="pl-PL"/>
        </w:rPr>
        <w:t>Udział eksportu towarów high-tech</w:t>
      </w:r>
      <w:r w:rsidR="006343E1">
        <w:rPr>
          <w:rFonts w:cs="Calibri"/>
          <w:b/>
          <w:sz w:val="21"/>
          <w:szCs w:val="21"/>
          <w:lang w:eastAsia="pl-PL"/>
        </w:rPr>
        <w:t xml:space="preserve"> w </w:t>
      </w:r>
      <w:r w:rsidR="002C51A1">
        <w:rPr>
          <w:rFonts w:cs="Calibri"/>
          <w:b/>
          <w:sz w:val="21"/>
          <w:szCs w:val="21"/>
          <w:lang w:eastAsia="pl-PL"/>
        </w:rPr>
        <w:t>eksporcie ogółem państw członkowskich UE</w:t>
      </w:r>
      <w:r w:rsidR="00CB07D4">
        <w:rPr>
          <w:rFonts w:cs="Calibri"/>
          <w:b/>
          <w:sz w:val="21"/>
          <w:szCs w:val="21"/>
          <w:lang w:eastAsia="pl-PL"/>
        </w:rPr>
        <w:t>-</w:t>
      </w:r>
      <w:r w:rsidR="002C51A1">
        <w:rPr>
          <w:rFonts w:cs="Calibri"/>
          <w:b/>
          <w:sz w:val="21"/>
          <w:szCs w:val="21"/>
          <w:lang w:eastAsia="pl-PL"/>
        </w:rPr>
        <w:t>28</w:t>
      </w:r>
      <w:r w:rsidR="006343E1">
        <w:rPr>
          <w:rFonts w:cs="Calibri"/>
          <w:b/>
          <w:sz w:val="21"/>
          <w:szCs w:val="21"/>
          <w:lang w:eastAsia="pl-PL"/>
        </w:rPr>
        <w:t xml:space="preserve"> w </w:t>
      </w:r>
      <w:r w:rsidR="002C51A1">
        <w:rPr>
          <w:rFonts w:cs="Calibri"/>
          <w:b/>
          <w:sz w:val="21"/>
          <w:szCs w:val="21"/>
          <w:lang w:eastAsia="pl-PL"/>
        </w:rPr>
        <w:t>2018 r</w:t>
      </w:r>
      <w:r w:rsidR="00856972">
        <w:rPr>
          <w:rFonts w:cs="Calibri"/>
          <w:b/>
          <w:sz w:val="21"/>
          <w:szCs w:val="21"/>
          <w:lang w:eastAsia="pl-PL"/>
        </w:rPr>
        <w:t>.</w:t>
      </w:r>
      <w:r w:rsidR="002C51A1">
        <w:rPr>
          <w:rFonts w:cs="Calibri"/>
          <w:b/>
          <w:sz w:val="21"/>
          <w:szCs w:val="21"/>
          <w:lang w:eastAsia="pl-PL"/>
        </w:rPr>
        <w:t xml:space="preserve"> (w %)</w:t>
      </w:r>
    </w:p>
    <w:p w14:paraId="78E5A789" w14:textId="0FEEC030" w:rsidR="002C51A1" w:rsidRDefault="002C51A1" w:rsidP="002C51A1">
      <w:pPr>
        <w:spacing w:after="0" w:line="240" w:lineRule="auto"/>
        <w:jc w:val="center"/>
        <w:rPr>
          <w:rFonts w:cs="Calibri"/>
          <w:i/>
          <w:iCs/>
          <w:sz w:val="21"/>
          <w:szCs w:val="21"/>
          <w:lang w:eastAsia="pl-PL"/>
        </w:rPr>
      </w:pPr>
      <w:r w:rsidRPr="004969DD">
        <w:rPr>
          <w:rFonts w:cs="Calibri"/>
          <w:i/>
          <w:iCs/>
          <w:noProof/>
          <w:sz w:val="21"/>
          <w:szCs w:val="21"/>
          <w:lang w:eastAsia="pl-PL"/>
        </w:rPr>
        <mc:AlternateContent>
          <mc:Choice Requires="wps">
            <w:drawing>
              <wp:anchor distT="0" distB="0" distL="114300" distR="114300" simplePos="0" relativeHeight="251670528" behindDoc="0" locked="0" layoutInCell="1" allowOverlap="1" wp14:anchorId="34F7355D" wp14:editId="0AC6F57F">
                <wp:simplePos x="0" y="0"/>
                <wp:positionH relativeFrom="column">
                  <wp:posOffset>3989705</wp:posOffset>
                </wp:positionH>
                <wp:positionV relativeFrom="paragraph">
                  <wp:posOffset>1500505</wp:posOffset>
                </wp:positionV>
                <wp:extent cx="685800" cy="292100"/>
                <wp:effectExtent l="0" t="0" r="0" b="0"/>
                <wp:wrapNone/>
                <wp:docPr id="29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92100"/>
                        </a:xfrm>
                        <a:prstGeom prst="rect">
                          <a:avLst/>
                        </a:prstGeom>
                        <a:noFill/>
                        <a:ln w="9525">
                          <a:noFill/>
                          <a:miter lim="800000"/>
                          <a:headEnd/>
                          <a:tailEnd/>
                        </a:ln>
                      </wps:spPr>
                      <wps:txbx>
                        <w:txbxContent>
                          <w:p w14:paraId="700F5BCD" w14:textId="77777777" w:rsidR="009F06E2" w:rsidRPr="004969DD" w:rsidRDefault="009F06E2" w:rsidP="002C51A1">
                            <w:pPr>
                              <w:rPr>
                                <w:sz w:val="14"/>
                              </w:rPr>
                            </w:pPr>
                            <w:r>
                              <w:rPr>
                                <w:sz w:val="14"/>
                              </w:rPr>
                              <w:t>16,5</w:t>
                            </w:r>
                            <w:r w:rsidRPr="004969DD">
                              <w:rPr>
                                <w:sz w:val="14"/>
                              </w:rPr>
                              <w:t xml:space="preserve"> &lt;</w:t>
                            </w:r>
                            <w:r>
                              <w:rPr>
                                <w:sz w:val="14"/>
                              </w:rPr>
                              <w:t xml:space="preserve"> </w:t>
                            </w:r>
                          </w:p>
                          <w:p w14:paraId="1841AFA0" w14:textId="77777777" w:rsidR="009F06E2" w:rsidRPr="004969DD" w:rsidRDefault="009F06E2" w:rsidP="002C51A1">
                            <w:pPr>
                              <w:rPr>
                                <w:sz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F7355D" id="_x0000_t202" coordsize="21600,21600" o:spt="202" path="m,l,21600r21600,l21600,xe">
                <v:stroke joinstyle="miter"/>
                <v:path gradientshapeok="t" o:connecttype="rect"/>
              </v:shapetype>
              <v:shape id="Pole tekstowe 2" o:spid="_x0000_s1049" type="#_x0000_t202" style="position:absolute;left:0;text-align:left;margin-left:314.15pt;margin-top:118.15pt;width:54pt;height:2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" filled="f" stroked="f">
                <v:textbox>
                  <w:txbxContent>
                    <w:p w14:paraId="700F5BCD" w14:textId="77777777" w:rsidR="009F06E2" w:rsidRPr="004969DD" w:rsidRDefault="009F06E2" w:rsidP="002C51A1">
                      <w:pPr>
                        <w:rPr>
                          <w:sz w:val="14"/>
                        </w:rPr>
                      </w:pPr>
                      <w:r>
                        <w:rPr>
                          <w:sz w:val="14"/>
                        </w:rPr>
                        <w:t>16,5</w:t>
                      </w:r>
                      <w:r w:rsidRPr="004969DD">
                        <w:rPr>
                          <w:sz w:val="14"/>
                        </w:rPr>
                        <w:t xml:space="preserve"> &lt;</w:t>
                      </w:r>
                      <w:r>
                        <w:rPr>
                          <w:sz w:val="14"/>
                        </w:rPr>
                        <w:t xml:space="preserve"> </w:t>
                      </w:r>
                    </w:p>
                    <w:p w14:paraId="1841AFA0" w14:textId="77777777" w:rsidR="009F06E2" w:rsidRPr="004969DD" w:rsidRDefault="009F06E2" w:rsidP="002C51A1">
                      <w:pPr>
                        <w:rPr>
                          <w:sz w:val="14"/>
                        </w:rPr>
                      </w:pPr>
                    </w:p>
                  </w:txbxContent>
                </v:textbox>
              </v:shape>
            </w:pict>
          </mc:Fallback>
        </mc:AlternateContent>
      </w:r>
      <w:r w:rsidRPr="004969DD">
        <w:rPr>
          <w:rFonts w:cs="Calibri"/>
          <w:i/>
          <w:iCs/>
          <w:noProof/>
          <w:sz w:val="21"/>
          <w:szCs w:val="21"/>
          <w:lang w:eastAsia="pl-PL"/>
        </w:rPr>
        <mc:AlternateContent>
          <mc:Choice Requires="wps">
            <w:drawing>
              <wp:anchor distT="0" distB="0" distL="114300" distR="114300" simplePos="0" relativeHeight="251672576" behindDoc="0" locked="0" layoutInCell="1" allowOverlap="1" wp14:anchorId="0DC4D245" wp14:editId="7D4AC279">
                <wp:simplePos x="0" y="0"/>
                <wp:positionH relativeFrom="column">
                  <wp:posOffset>3996055</wp:posOffset>
                </wp:positionH>
                <wp:positionV relativeFrom="paragraph">
                  <wp:posOffset>1608455</wp:posOffset>
                </wp:positionV>
                <wp:extent cx="704850" cy="279400"/>
                <wp:effectExtent l="0" t="0" r="0" b="6350"/>
                <wp:wrapNone/>
                <wp:docPr id="29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9400"/>
                        </a:xfrm>
                        <a:prstGeom prst="rect">
                          <a:avLst/>
                        </a:prstGeom>
                        <a:noFill/>
                        <a:ln w="9525">
                          <a:noFill/>
                          <a:miter lim="800000"/>
                          <a:headEnd/>
                          <a:tailEnd/>
                        </a:ln>
                      </wps:spPr>
                      <wps:txbx>
                        <w:txbxContent>
                          <w:p w14:paraId="2AFB532F" w14:textId="77777777" w:rsidR="009F06E2" w:rsidRPr="004969DD" w:rsidRDefault="009F06E2" w:rsidP="002C51A1">
                            <w:pPr>
                              <w:rPr>
                                <w:sz w:val="14"/>
                              </w:rPr>
                            </w:pPr>
                            <w:r>
                              <w:rPr>
                                <w:sz w:val="14"/>
                              </w:rPr>
                              <w:t>Brak danych</w:t>
                            </w:r>
                          </w:p>
                          <w:p w14:paraId="06B3058C" w14:textId="77777777" w:rsidR="009F06E2" w:rsidRPr="004969DD" w:rsidRDefault="009F06E2" w:rsidP="002C51A1">
                            <w:pPr>
                              <w:rPr>
                                <w:sz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4D245" id="_x0000_s1050" type="#_x0000_t202" style="position:absolute;left:0;text-align:left;margin-left:314.65pt;margin-top:126.65pt;width:55.5pt;height:2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" filled="f" stroked="f">
                <v:textbox>
                  <w:txbxContent>
                    <w:p w14:paraId="2AFB532F" w14:textId="77777777" w:rsidR="009F06E2" w:rsidRPr="004969DD" w:rsidRDefault="009F06E2" w:rsidP="002C51A1">
                      <w:pPr>
                        <w:rPr>
                          <w:sz w:val="14"/>
                        </w:rPr>
                      </w:pPr>
                      <w:r>
                        <w:rPr>
                          <w:sz w:val="14"/>
                        </w:rPr>
                        <w:t>Brak danych</w:t>
                      </w:r>
                    </w:p>
                    <w:p w14:paraId="06B3058C" w14:textId="77777777" w:rsidR="009F06E2" w:rsidRPr="004969DD" w:rsidRDefault="009F06E2" w:rsidP="002C51A1">
                      <w:pPr>
                        <w:rPr>
                          <w:sz w:val="14"/>
                        </w:rPr>
                      </w:pPr>
                    </w:p>
                  </w:txbxContent>
                </v:textbox>
              </v:shape>
            </w:pict>
          </mc:Fallback>
        </mc:AlternateContent>
      </w:r>
      <w:r w:rsidRPr="004969DD">
        <w:rPr>
          <w:rFonts w:cs="Calibri"/>
          <w:i/>
          <w:iCs/>
          <w:noProof/>
          <w:sz w:val="21"/>
          <w:szCs w:val="21"/>
          <w:lang w:eastAsia="pl-PL"/>
        </w:rPr>
        <mc:AlternateContent>
          <mc:Choice Requires="wps">
            <w:drawing>
              <wp:anchor distT="0" distB="0" distL="114300" distR="114300" simplePos="0" relativeHeight="251668480" behindDoc="0" locked="0" layoutInCell="1" allowOverlap="1" wp14:anchorId="2C2D178C" wp14:editId="11A4779D">
                <wp:simplePos x="0" y="0"/>
                <wp:positionH relativeFrom="column">
                  <wp:posOffset>3983355</wp:posOffset>
                </wp:positionH>
                <wp:positionV relativeFrom="paragraph">
                  <wp:posOffset>1367155</wp:posOffset>
                </wp:positionV>
                <wp:extent cx="704850" cy="279400"/>
                <wp:effectExtent l="0" t="0" r="0" b="6350"/>
                <wp:wrapNone/>
                <wp:docPr id="29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9400"/>
                        </a:xfrm>
                        <a:prstGeom prst="rect">
                          <a:avLst/>
                        </a:prstGeom>
                        <a:noFill/>
                        <a:ln w="9525">
                          <a:noFill/>
                          <a:miter lim="800000"/>
                          <a:headEnd/>
                          <a:tailEnd/>
                        </a:ln>
                      </wps:spPr>
                      <wps:txbx>
                        <w:txbxContent>
                          <w:p w14:paraId="1CE88CAD" w14:textId="77777777" w:rsidR="009F06E2" w:rsidRPr="004969DD" w:rsidRDefault="009F06E2" w:rsidP="002C51A1">
                            <w:pPr>
                              <w:rPr>
                                <w:sz w:val="14"/>
                              </w:rPr>
                            </w:pPr>
                            <w:r>
                              <w:rPr>
                                <w:sz w:val="14"/>
                              </w:rPr>
                              <w:t>11,3</w:t>
                            </w:r>
                            <w:r w:rsidRPr="004969DD">
                              <w:rPr>
                                <w:sz w:val="14"/>
                              </w:rPr>
                              <w:t xml:space="preserve"> &lt;</w:t>
                            </w:r>
                            <w:r>
                              <w:rPr>
                                <w:sz w:val="14"/>
                              </w:rPr>
                              <w:t xml:space="preserve"> 16,4</w:t>
                            </w:r>
                          </w:p>
                          <w:p w14:paraId="206980E5" w14:textId="77777777" w:rsidR="009F06E2" w:rsidRPr="004969DD" w:rsidRDefault="009F06E2" w:rsidP="002C51A1">
                            <w:pPr>
                              <w:rPr>
                                <w:sz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2D178C" id="_x0000_s1051" type="#_x0000_t202" style="position:absolute;left:0;text-align:left;margin-left:313.65pt;margin-top:107.65pt;width:55.5pt;height:2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" filled="f" stroked="f">
                <v:textbox>
                  <w:txbxContent>
                    <w:p w14:paraId="1CE88CAD" w14:textId="77777777" w:rsidR="009F06E2" w:rsidRPr="004969DD" w:rsidRDefault="009F06E2" w:rsidP="002C51A1">
                      <w:pPr>
                        <w:rPr>
                          <w:sz w:val="14"/>
                        </w:rPr>
                      </w:pPr>
                      <w:r>
                        <w:rPr>
                          <w:sz w:val="14"/>
                        </w:rPr>
                        <w:t>11,3</w:t>
                      </w:r>
                      <w:r w:rsidRPr="004969DD">
                        <w:rPr>
                          <w:sz w:val="14"/>
                        </w:rPr>
                        <w:t xml:space="preserve"> &lt;</w:t>
                      </w:r>
                      <w:r>
                        <w:rPr>
                          <w:sz w:val="14"/>
                        </w:rPr>
                        <w:t xml:space="preserve"> 16,4</w:t>
                      </w:r>
                    </w:p>
                    <w:p w14:paraId="206980E5" w14:textId="77777777" w:rsidR="009F06E2" w:rsidRPr="004969DD" w:rsidRDefault="009F06E2" w:rsidP="002C51A1">
                      <w:pPr>
                        <w:rPr>
                          <w:sz w:val="14"/>
                        </w:rPr>
                      </w:pPr>
                    </w:p>
                  </w:txbxContent>
                </v:textbox>
              </v:shape>
            </w:pict>
          </mc:Fallback>
        </mc:AlternateContent>
      </w:r>
      <w:r w:rsidRPr="004969DD">
        <w:rPr>
          <w:rFonts w:cs="Calibri"/>
          <w:i/>
          <w:iCs/>
          <w:noProof/>
          <w:sz w:val="21"/>
          <w:szCs w:val="21"/>
          <w:lang w:eastAsia="pl-PL"/>
        </w:rPr>
        <mc:AlternateContent>
          <mc:Choice Requires="wps">
            <w:drawing>
              <wp:anchor distT="0" distB="0" distL="114300" distR="114300" simplePos="0" relativeHeight="251666432" behindDoc="0" locked="0" layoutInCell="1" allowOverlap="1" wp14:anchorId="1B889784" wp14:editId="50E43DAA">
                <wp:simplePos x="0" y="0"/>
                <wp:positionH relativeFrom="column">
                  <wp:posOffset>4002405</wp:posOffset>
                </wp:positionH>
                <wp:positionV relativeFrom="paragraph">
                  <wp:posOffset>1246505</wp:posOffset>
                </wp:positionV>
                <wp:extent cx="666115" cy="266700"/>
                <wp:effectExtent l="0" t="0" r="0" b="0"/>
                <wp:wrapNone/>
                <wp:docPr id="29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115" cy="266700"/>
                        </a:xfrm>
                        <a:prstGeom prst="rect">
                          <a:avLst/>
                        </a:prstGeom>
                        <a:noFill/>
                        <a:ln w="9525">
                          <a:noFill/>
                          <a:miter lim="800000"/>
                          <a:headEnd/>
                          <a:tailEnd/>
                        </a:ln>
                      </wps:spPr>
                      <wps:txbx>
                        <w:txbxContent>
                          <w:p w14:paraId="0A82A5F0" w14:textId="77777777" w:rsidR="009F06E2" w:rsidRPr="004969DD" w:rsidRDefault="009F06E2" w:rsidP="002C51A1">
                            <w:pPr>
                              <w:rPr>
                                <w:sz w:val="14"/>
                              </w:rPr>
                            </w:pPr>
                            <w:r>
                              <w:rPr>
                                <w:sz w:val="14"/>
                              </w:rPr>
                              <w:t>8,5</w:t>
                            </w:r>
                            <w:r w:rsidRPr="004969DD">
                              <w:rPr>
                                <w:sz w:val="14"/>
                              </w:rPr>
                              <w:t xml:space="preserve"> &lt;</w:t>
                            </w:r>
                            <w:r>
                              <w:rPr>
                                <w:sz w:val="14"/>
                              </w:rPr>
                              <w:t xml:space="preserve"> 11,2</w:t>
                            </w:r>
                          </w:p>
                          <w:p w14:paraId="5124AC5F" w14:textId="77777777" w:rsidR="009F06E2" w:rsidRPr="004969DD" w:rsidRDefault="009F06E2" w:rsidP="002C51A1">
                            <w:pPr>
                              <w:rPr>
                                <w:sz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889784" id="_x0000_s1052" type="#_x0000_t202" style="position:absolute;left:0;text-align:left;margin-left:315.15pt;margin-top:98.15pt;width:52.45pt;height: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" filled="f" stroked="f">
                <v:textbox>
                  <w:txbxContent>
                    <w:p w14:paraId="0A82A5F0" w14:textId="77777777" w:rsidR="009F06E2" w:rsidRPr="004969DD" w:rsidRDefault="009F06E2" w:rsidP="002C51A1">
                      <w:pPr>
                        <w:rPr>
                          <w:sz w:val="14"/>
                        </w:rPr>
                      </w:pPr>
                      <w:r>
                        <w:rPr>
                          <w:sz w:val="14"/>
                        </w:rPr>
                        <w:t>8,5</w:t>
                      </w:r>
                      <w:r w:rsidRPr="004969DD">
                        <w:rPr>
                          <w:sz w:val="14"/>
                        </w:rPr>
                        <w:t xml:space="preserve"> &lt;</w:t>
                      </w:r>
                      <w:r>
                        <w:rPr>
                          <w:sz w:val="14"/>
                        </w:rPr>
                        <w:t xml:space="preserve"> 11,2</w:t>
                      </w:r>
                    </w:p>
                    <w:p w14:paraId="5124AC5F" w14:textId="77777777" w:rsidR="009F06E2" w:rsidRPr="004969DD" w:rsidRDefault="009F06E2" w:rsidP="002C51A1">
                      <w:pPr>
                        <w:rPr>
                          <w:sz w:val="14"/>
                        </w:rPr>
                      </w:pPr>
                    </w:p>
                  </w:txbxContent>
                </v:textbox>
              </v:shape>
            </w:pict>
          </mc:Fallback>
        </mc:AlternateContent>
      </w:r>
      <w:r w:rsidRPr="004969DD">
        <w:rPr>
          <w:rFonts w:cs="Calibri"/>
          <w:i/>
          <w:iCs/>
          <w:noProof/>
          <w:sz w:val="21"/>
          <w:szCs w:val="21"/>
          <w:lang w:eastAsia="pl-PL"/>
        </w:rPr>
        <mc:AlternateContent>
          <mc:Choice Requires="wps">
            <w:drawing>
              <wp:anchor distT="0" distB="0" distL="114300" distR="114300" simplePos="0" relativeHeight="251660288" behindDoc="0" locked="0" layoutInCell="1" allowOverlap="1" wp14:anchorId="6946F037" wp14:editId="47AAD74D">
                <wp:simplePos x="0" y="0"/>
                <wp:positionH relativeFrom="column">
                  <wp:posOffset>3989070</wp:posOffset>
                </wp:positionH>
                <wp:positionV relativeFrom="paragraph">
                  <wp:posOffset>1005205</wp:posOffset>
                </wp:positionV>
                <wp:extent cx="692150" cy="292100"/>
                <wp:effectExtent l="0" t="0" r="0" b="0"/>
                <wp:wrapNone/>
                <wp:docPr id="6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 cy="292100"/>
                        </a:xfrm>
                        <a:prstGeom prst="rect">
                          <a:avLst/>
                        </a:prstGeom>
                        <a:noFill/>
                        <a:ln w="9525">
                          <a:noFill/>
                          <a:miter lim="800000"/>
                          <a:headEnd/>
                          <a:tailEnd/>
                        </a:ln>
                      </wps:spPr>
                      <wps:txbx>
                        <w:txbxContent>
                          <w:p w14:paraId="06F59D98" w14:textId="77777777" w:rsidR="009F06E2" w:rsidRPr="00B21290" w:rsidRDefault="009F06E2" w:rsidP="002C51A1">
                            <w:pPr>
                              <w:rPr>
                                <w:sz w:val="14"/>
                              </w:rPr>
                            </w:pPr>
                            <w:r w:rsidRPr="00B21290">
                              <w:rPr>
                                <w:sz w:val="14"/>
                              </w:rPr>
                              <w:t>4,3 &lt; 6,8</w:t>
                            </w:r>
                          </w:p>
                          <w:p w14:paraId="17AB84F9" w14:textId="77777777" w:rsidR="009F06E2" w:rsidRPr="004969DD" w:rsidRDefault="009F06E2" w:rsidP="002C51A1">
                            <w:pPr>
                              <w:rPr>
                                <w:sz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46F037" id="_x0000_s1053" type="#_x0000_t202" style="position:absolute;left:0;text-align:left;margin-left:314.1pt;margin-top:79.15pt;width:54.5pt;height: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" filled="f" stroked="f">
                <v:textbox>
                  <w:txbxContent>
                    <w:p w14:paraId="06F59D98" w14:textId="77777777" w:rsidR="009F06E2" w:rsidRPr="00B21290" w:rsidRDefault="009F06E2" w:rsidP="002C51A1">
                      <w:pPr>
                        <w:rPr>
                          <w:sz w:val="14"/>
                        </w:rPr>
                      </w:pPr>
                      <w:r w:rsidRPr="00B21290">
                        <w:rPr>
                          <w:sz w:val="14"/>
                        </w:rPr>
                        <w:t>4,3 &lt; 6,8</w:t>
                      </w:r>
                    </w:p>
                    <w:p w14:paraId="17AB84F9" w14:textId="77777777" w:rsidR="009F06E2" w:rsidRPr="004969DD" w:rsidRDefault="009F06E2" w:rsidP="002C51A1">
                      <w:pPr>
                        <w:rPr>
                          <w:sz w:val="14"/>
                        </w:rPr>
                      </w:pPr>
                    </w:p>
                  </w:txbxContent>
                </v:textbox>
              </v:shape>
            </w:pict>
          </mc:Fallback>
        </mc:AlternateContent>
      </w:r>
      <w:r w:rsidRPr="004969DD">
        <w:rPr>
          <w:rFonts w:cs="Calibri"/>
          <w:i/>
          <w:iCs/>
          <w:noProof/>
          <w:sz w:val="21"/>
          <w:szCs w:val="21"/>
          <w:lang w:eastAsia="pl-PL"/>
        </w:rPr>
        <mc:AlternateContent>
          <mc:Choice Requires="wps">
            <w:drawing>
              <wp:anchor distT="0" distB="0" distL="114300" distR="114300" simplePos="0" relativeHeight="251658240" behindDoc="0" locked="0" layoutInCell="1" allowOverlap="1" wp14:anchorId="2C5E46BD" wp14:editId="739043BF">
                <wp:simplePos x="0" y="0"/>
                <wp:positionH relativeFrom="column">
                  <wp:posOffset>3989705</wp:posOffset>
                </wp:positionH>
                <wp:positionV relativeFrom="paragraph">
                  <wp:posOffset>890905</wp:posOffset>
                </wp:positionV>
                <wp:extent cx="698500" cy="273050"/>
                <wp:effectExtent l="0" t="0" r="0" b="0"/>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273050"/>
                        </a:xfrm>
                        <a:prstGeom prst="rect">
                          <a:avLst/>
                        </a:prstGeom>
                        <a:noFill/>
                        <a:ln w="9525">
                          <a:noFill/>
                          <a:miter lim="800000"/>
                          <a:headEnd/>
                          <a:tailEnd/>
                        </a:ln>
                      </wps:spPr>
                      <wps:txbx>
                        <w:txbxContent>
                          <w:p w14:paraId="2A18F324" w14:textId="77777777" w:rsidR="009F06E2" w:rsidRPr="004969DD" w:rsidRDefault="009F06E2" w:rsidP="002C51A1">
                            <w:pPr>
                              <w:rPr>
                                <w:sz w:val="14"/>
                              </w:rPr>
                            </w:pPr>
                            <w:r w:rsidRPr="004969DD">
                              <w:rPr>
                                <w:sz w:val="14"/>
                              </w:rPr>
                              <w:t>0</w:t>
                            </w:r>
                            <w:r>
                              <w:rPr>
                                <w:sz w:val="14"/>
                              </w:rPr>
                              <w:t>,</w:t>
                            </w:r>
                            <w:r w:rsidRPr="004969DD">
                              <w:rPr>
                                <w:sz w:val="14"/>
                              </w:rPr>
                              <w:t>8 &lt;</w:t>
                            </w:r>
                            <w:r>
                              <w:rPr>
                                <w:sz w:val="14"/>
                              </w:rPr>
                              <w:t xml:space="preserve"> </w:t>
                            </w:r>
                            <w:r w:rsidRPr="004969DD">
                              <w:rPr>
                                <w:sz w:val="14"/>
                              </w:rPr>
                              <w:t>4,</w:t>
                            </w:r>
                            <w:r>
                              <w:rPr>
                                <w:sz w:val="14"/>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5E46BD" id="_x0000_s1054" type="#_x0000_t202" style="position:absolute;left:0;text-align:left;margin-left:314.15pt;margin-top:70.15pt;width:55pt;height: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" filled="f" stroked="f">
                <v:textbox>
                  <w:txbxContent>
                    <w:p w14:paraId="2A18F324" w14:textId="77777777" w:rsidR="009F06E2" w:rsidRPr="004969DD" w:rsidRDefault="009F06E2" w:rsidP="002C51A1">
                      <w:pPr>
                        <w:rPr>
                          <w:sz w:val="14"/>
                        </w:rPr>
                      </w:pPr>
                      <w:r w:rsidRPr="004969DD">
                        <w:rPr>
                          <w:sz w:val="14"/>
                        </w:rPr>
                        <w:t>0</w:t>
                      </w:r>
                      <w:r>
                        <w:rPr>
                          <w:sz w:val="14"/>
                        </w:rPr>
                        <w:t>,</w:t>
                      </w:r>
                      <w:r w:rsidRPr="004969DD">
                        <w:rPr>
                          <w:sz w:val="14"/>
                        </w:rPr>
                        <w:t>8 &lt;</w:t>
                      </w:r>
                      <w:r>
                        <w:rPr>
                          <w:sz w:val="14"/>
                        </w:rPr>
                        <w:t xml:space="preserve"> </w:t>
                      </w:r>
                      <w:r w:rsidRPr="004969DD">
                        <w:rPr>
                          <w:sz w:val="14"/>
                        </w:rPr>
                        <w:t>4,</w:t>
                      </w:r>
                      <w:r>
                        <w:rPr>
                          <w:sz w:val="14"/>
                        </w:rPr>
                        <w:t>2</w:t>
                      </w:r>
                    </w:p>
                  </w:txbxContent>
                </v:textbox>
              </v:shape>
            </w:pict>
          </mc:Fallback>
        </mc:AlternateContent>
      </w:r>
      <w:r w:rsidRPr="004969DD">
        <w:rPr>
          <w:rFonts w:cs="Calibri"/>
          <w:i/>
          <w:iCs/>
          <w:noProof/>
          <w:sz w:val="21"/>
          <w:szCs w:val="21"/>
          <w:lang w:eastAsia="pl-PL"/>
        </w:rPr>
        <mc:AlternateContent>
          <mc:Choice Requires="wps">
            <w:drawing>
              <wp:anchor distT="0" distB="0" distL="114300" distR="114300" simplePos="0" relativeHeight="251662336" behindDoc="0" locked="0" layoutInCell="1" allowOverlap="1" wp14:anchorId="3A8D2902" wp14:editId="2ADEBFCB">
                <wp:simplePos x="0" y="0"/>
                <wp:positionH relativeFrom="column">
                  <wp:posOffset>3945255</wp:posOffset>
                </wp:positionH>
                <wp:positionV relativeFrom="paragraph">
                  <wp:posOffset>706755</wp:posOffset>
                </wp:positionV>
                <wp:extent cx="692150" cy="311150"/>
                <wp:effectExtent l="0" t="0" r="0" b="0"/>
                <wp:wrapNone/>
                <wp:docPr id="28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 cy="311150"/>
                        </a:xfrm>
                        <a:prstGeom prst="rect">
                          <a:avLst/>
                        </a:prstGeom>
                        <a:noFill/>
                        <a:ln w="9525">
                          <a:noFill/>
                          <a:miter lim="800000"/>
                          <a:headEnd/>
                          <a:tailEnd/>
                        </a:ln>
                      </wps:spPr>
                      <wps:txbx>
                        <w:txbxContent>
                          <w:p w14:paraId="1A3465C7" w14:textId="77777777" w:rsidR="009F06E2" w:rsidRPr="004969DD" w:rsidRDefault="009F06E2" w:rsidP="002C51A1">
                            <w:pPr>
                              <w:rPr>
                                <w:b/>
                                <w:sz w:val="16"/>
                              </w:rPr>
                            </w:pPr>
                            <w:r w:rsidRPr="004969DD">
                              <w:rPr>
                                <w:b/>
                                <w:sz w:val="16"/>
                              </w:rPr>
                              <w:t>LEGENDA</w:t>
                            </w:r>
                          </w:p>
                          <w:p w14:paraId="67313186" w14:textId="77777777" w:rsidR="009F06E2" w:rsidRPr="004969DD" w:rsidRDefault="009F06E2" w:rsidP="002C51A1">
                            <w:pPr>
                              <w:rPr>
                                <w:sz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8D2902" id="_x0000_s1055" type="#_x0000_t202" style="position:absolute;left:0;text-align:left;margin-left:310.65pt;margin-top:55.65pt;width:54.5pt;height:2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" filled="f" stroked="f">
                <v:textbox>
                  <w:txbxContent>
                    <w:p w14:paraId="1A3465C7" w14:textId="77777777" w:rsidR="009F06E2" w:rsidRPr="004969DD" w:rsidRDefault="009F06E2" w:rsidP="002C51A1">
                      <w:pPr>
                        <w:rPr>
                          <w:b/>
                          <w:sz w:val="16"/>
                        </w:rPr>
                      </w:pPr>
                      <w:r w:rsidRPr="004969DD">
                        <w:rPr>
                          <w:b/>
                          <w:sz w:val="16"/>
                        </w:rPr>
                        <w:t>LEGENDA</w:t>
                      </w:r>
                    </w:p>
                    <w:p w14:paraId="67313186" w14:textId="77777777" w:rsidR="009F06E2" w:rsidRPr="004969DD" w:rsidRDefault="009F06E2" w:rsidP="002C51A1">
                      <w:pPr>
                        <w:rPr>
                          <w:sz w:val="14"/>
                        </w:rPr>
                      </w:pPr>
                    </w:p>
                  </w:txbxContent>
                </v:textbox>
              </v:shape>
            </w:pict>
          </mc:Fallback>
        </mc:AlternateContent>
      </w:r>
      <w:r w:rsidRPr="004969DD">
        <w:rPr>
          <w:rFonts w:cs="Calibri"/>
          <w:i/>
          <w:iCs/>
          <w:noProof/>
          <w:sz w:val="21"/>
          <w:szCs w:val="21"/>
          <w:lang w:eastAsia="pl-PL"/>
        </w:rPr>
        <mc:AlternateContent>
          <mc:Choice Requires="wps">
            <w:drawing>
              <wp:anchor distT="0" distB="0" distL="114300" distR="114300" simplePos="0" relativeHeight="251664384" behindDoc="0" locked="0" layoutInCell="1" allowOverlap="1" wp14:anchorId="26FB6A21" wp14:editId="16233CBF">
                <wp:simplePos x="0" y="0"/>
                <wp:positionH relativeFrom="column">
                  <wp:posOffset>3994934</wp:posOffset>
                </wp:positionH>
                <wp:positionV relativeFrom="paragraph">
                  <wp:posOffset>1129314</wp:posOffset>
                </wp:positionV>
                <wp:extent cx="672465" cy="260667"/>
                <wp:effectExtent l="0" t="0" r="0" b="6350"/>
                <wp:wrapNone/>
                <wp:docPr id="28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260667"/>
                        </a:xfrm>
                        <a:prstGeom prst="rect">
                          <a:avLst/>
                        </a:prstGeom>
                        <a:noFill/>
                        <a:ln w="9525">
                          <a:noFill/>
                          <a:miter lim="800000"/>
                          <a:headEnd/>
                          <a:tailEnd/>
                        </a:ln>
                      </wps:spPr>
                      <wps:txbx>
                        <w:txbxContent>
                          <w:p w14:paraId="6545BE4A" w14:textId="77777777" w:rsidR="009F06E2" w:rsidRPr="004969DD" w:rsidRDefault="009F06E2" w:rsidP="002C51A1">
                            <w:pPr>
                              <w:rPr>
                                <w:sz w:val="14"/>
                              </w:rPr>
                            </w:pPr>
                            <w:r>
                              <w:rPr>
                                <w:sz w:val="14"/>
                              </w:rPr>
                              <w:t>6,9</w:t>
                            </w:r>
                            <w:r w:rsidRPr="004969DD">
                              <w:rPr>
                                <w:sz w:val="14"/>
                              </w:rPr>
                              <w:t xml:space="preserve"> &lt;</w:t>
                            </w:r>
                            <w:r>
                              <w:rPr>
                                <w:sz w:val="14"/>
                              </w:rPr>
                              <w:t xml:space="preserve"> 8,4</w:t>
                            </w:r>
                          </w:p>
                          <w:p w14:paraId="3FA20A34" w14:textId="77777777" w:rsidR="009F06E2" w:rsidRPr="004969DD" w:rsidRDefault="009F06E2" w:rsidP="002C51A1">
                            <w:pPr>
                              <w:rPr>
                                <w:sz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FB6A21" id="_x0000_s1056" type="#_x0000_t202" style="position:absolute;left:0;text-align:left;margin-left:314.55pt;margin-top:88.9pt;width:52.95pt;height:2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" filled="f" stroked="f">
                <v:textbox>
                  <w:txbxContent>
                    <w:p w14:paraId="6545BE4A" w14:textId="77777777" w:rsidR="009F06E2" w:rsidRPr="004969DD" w:rsidRDefault="009F06E2" w:rsidP="002C51A1">
                      <w:pPr>
                        <w:rPr>
                          <w:sz w:val="14"/>
                        </w:rPr>
                      </w:pPr>
                      <w:r>
                        <w:rPr>
                          <w:sz w:val="14"/>
                        </w:rPr>
                        <w:t>6,9</w:t>
                      </w:r>
                      <w:r w:rsidRPr="004969DD">
                        <w:rPr>
                          <w:sz w:val="14"/>
                        </w:rPr>
                        <w:t xml:space="preserve"> &lt;</w:t>
                      </w:r>
                      <w:r>
                        <w:rPr>
                          <w:sz w:val="14"/>
                        </w:rPr>
                        <w:t xml:space="preserve"> 8,4</w:t>
                      </w:r>
                    </w:p>
                    <w:p w14:paraId="3FA20A34" w14:textId="77777777" w:rsidR="009F06E2" w:rsidRPr="004969DD" w:rsidRDefault="009F06E2" w:rsidP="002C51A1">
                      <w:pPr>
                        <w:rPr>
                          <w:sz w:val="14"/>
                        </w:rPr>
                      </w:pPr>
                    </w:p>
                  </w:txbxContent>
                </v:textbox>
              </v:shape>
            </w:pict>
          </mc:Fallback>
        </mc:AlternateContent>
      </w:r>
      <w:r>
        <w:rPr>
          <w:rFonts w:cs="Calibri"/>
          <w:i/>
          <w:iCs/>
          <w:noProof/>
          <w:sz w:val="21"/>
          <w:szCs w:val="21"/>
          <w:lang w:eastAsia="pl-PL"/>
        </w:rPr>
        <w:drawing>
          <wp:inline distT="0" distB="0" distL="0" distR="0" wp14:anchorId="60DE2D2C" wp14:editId="7ECD4487">
            <wp:extent cx="3761117" cy="3558196"/>
            <wp:effectExtent l="0" t="0" r="0" b="4445"/>
            <wp:docPr id="71" name="Obraz 71" descr="C:\Users\r.staskiewicz\Desktop\hightech ma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C:\Users\r.staskiewicz\Desktop\hightech mapa.jp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761117" cy="3558196"/>
                    </a:xfrm>
                    <a:prstGeom prst="rect">
                      <a:avLst/>
                    </a:prstGeom>
                    <a:noFill/>
                    <a:ln>
                      <a:noFill/>
                    </a:ln>
                  </pic:spPr>
                </pic:pic>
              </a:graphicData>
            </a:graphic>
          </wp:inline>
        </w:drawing>
      </w:r>
    </w:p>
    <w:p w14:paraId="5179E66C" w14:textId="77777777" w:rsidR="00856972" w:rsidRDefault="00856972" w:rsidP="002C51A1">
      <w:pPr>
        <w:pStyle w:val="Bezodstpw"/>
        <w:rPr>
          <w:lang w:eastAsia="pl-PL"/>
        </w:rPr>
      </w:pPr>
    </w:p>
    <w:p w14:paraId="1D593A3E" w14:textId="43545C6F" w:rsidR="002C51A1" w:rsidRPr="00254AB9" w:rsidRDefault="002C51A1" w:rsidP="002C51A1">
      <w:pPr>
        <w:pStyle w:val="Bezodstpw"/>
        <w:rPr>
          <w:lang w:eastAsia="pl-PL"/>
        </w:rPr>
      </w:pPr>
      <w:r w:rsidRPr="00254AB9">
        <w:rPr>
          <w:lang w:eastAsia="pl-PL"/>
        </w:rPr>
        <w:t xml:space="preserve">Źródło: </w:t>
      </w:r>
      <w:r w:rsidRPr="00254AB9">
        <w:t xml:space="preserve">Opracowanie </w:t>
      </w:r>
      <w:r w:rsidR="003A56DA">
        <w:rPr>
          <w:lang w:eastAsia="pl-PL"/>
        </w:rPr>
        <w:t>MRiT</w:t>
      </w:r>
      <w:r w:rsidR="003A5EA7">
        <w:rPr>
          <w:lang w:eastAsia="pl-PL"/>
        </w:rPr>
        <w:t xml:space="preserve"> </w:t>
      </w:r>
      <w:r w:rsidRPr="00254AB9">
        <w:rPr>
          <w:lang w:eastAsia="pl-PL"/>
        </w:rPr>
        <w:t>na podstawie danych Eurostat</w:t>
      </w:r>
    </w:p>
    <w:p w14:paraId="031C1F97" w14:textId="4C21399F" w:rsidR="002C51A1" w:rsidRPr="00254AB9" w:rsidRDefault="002C51A1" w:rsidP="002C51A1">
      <w:pPr>
        <w:rPr>
          <w:lang w:eastAsia="pl-PL"/>
        </w:rPr>
      </w:pPr>
      <w:r w:rsidRPr="00254AB9">
        <w:rPr>
          <w:lang w:eastAsia="pl-PL"/>
        </w:rPr>
        <w:t xml:space="preserve">W ujęciu wartościowym Niemcy były unijnym liderem eksportującym najwięcej towarów high-tech (ok. </w:t>
      </w:r>
      <w:r>
        <w:rPr>
          <w:lang w:eastAsia="pl-PL"/>
        </w:rPr>
        <w:t>200</w:t>
      </w:r>
      <w:r w:rsidRPr="00254AB9">
        <w:rPr>
          <w:lang w:eastAsia="pl-PL"/>
        </w:rPr>
        <w:t xml:space="preserve"> mld EUR</w:t>
      </w:r>
      <w:r w:rsidR="006343E1">
        <w:rPr>
          <w:lang w:eastAsia="pl-PL"/>
        </w:rPr>
        <w:t xml:space="preserve"> </w:t>
      </w:r>
      <w:r w:rsidR="006343E1" w:rsidRPr="00254AB9">
        <w:rPr>
          <w:lang w:eastAsia="pl-PL"/>
        </w:rPr>
        <w:t>w</w:t>
      </w:r>
      <w:r w:rsidR="006343E1">
        <w:rPr>
          <w:lang w:eastAsia="pl-PL"/>
        </w:rPr>
        <w:t> </w:t>
      </w:r>
      <w:r w:rsidRPr="00254AB9">
        <w:rPr>
          <w:lang w:eastAsia="pl-PL"/>
        </w:rPr>
        <w:t>201</w:t>
      </w:r>
      <w:r>
        <w:rPr>
          <w:lang w:eastAsia="pl-PL"/>
        </w:rPr>
        <w:t>8</w:t>
      </w:r>
      <w:r w:rsidRPr="00254AB9">
        <w:rPr>
          <w:lang w:eastAsia="pl-PL"/>
        </w:rPr>
        <w:t xml:space="preserve"> r.), na kolejnych miejscach znalazły się </w:t>
      </w:r>
      <w:r w:rsidR="00856972">
        <w:rPr>
          <w:lang w:eastAsia="pl-PL"/>
        </w:rPr>
        <w:t>Niderlandy</w:t>
      </w:r>
      <w:r w:rsidRPr="00254AB9">
        <w:rPr>
          <w:lang w:eastAsia="pl-PL"/>
        </w:rPr>
        <w:t xml:space="preserve"> (</w:t>
      </w:r>
      <w:r>
        <w:rPr>
          <w:lang w:eastAsia="pl-PL"/>
        </w:rPr>
        <w:t>130</w:t>
      </w:r>
      <w:r w:rsidRPr="00254AB9">
        <w:rPr>
          <w:lang w:eastAsia="pl-PL"/>
        </w:rPr>
        <w:t xml:space="preserve"> mld EUR), Francja (</w:t>
      </w:r>
      <w:r>
        <w:rPr>
          <w:lang w:eastAsia="pl-PL"/>
        </w:rPr>
        <w:t>10</w:t>
      </w:r>
      <w:r w:rsidRPr="00254AB9">
        <w:rPr>
          <w:lang w:eastAsia="pl-PL"/>
        </w:rPr>
        <w:t xml:space="preserve"> mld EUR) oraz Wielka Brytania (69 mld EUR). Polska</w:t>
      </w:r>
      <w:r w:rsidR="006343E1">
        <w:rPr>
          <w:lang w:eastAsia="pl-PL"/>
        </w:rPr>
        <w:t xml:space="preserve"> </w:t>
      </w:r>
      <w:r w:rsidR="006343E1" w:rsidRPr="00254AB9">
        <w:rPr>
          <w:lang w:eastAsia="pl-PL"/>
        </w:rPr>
        <w:t>w</w:t>
      </w:r>
      <w:r w:rsidR="006343E1">
        <w:rPr>
          <w:lang w:eastAsia="pl-PL"/>
        </w:rPr>
        <w:t> </w:t>
      </w:r>
      <w:r w:rsidRPr="00254AB9">
        <w:rPr>
          <w:lang w:eastAsia="pl-PL"/>
        </w:rPr>
        <w:t xml:space="preserve">tym zestawieniu znalazła się na </w:t>
      </w:r>
      <w:r>
        <w:rPr>
          <w:lang w:eastAsia="pl-PL"/>
        </w:rPr>
        <w:t>10</w:t>
      </w:r>
      <w:r w:rsidRPr="00254AB9">
        <w:rPr>
          <w:lang w:eastAsia="pl-PL"/>
        </w:rPr>
        <w:t>. pozycji</w:t>
      </w:r>
      <w:r w:rsidR="006343E1">
        <w:rPr>
          <w:lang w:eastAsia="pl-PL"/>
        </w:rPr>
        <w:t xml:space="preserve"> </w:t>
      </w:r>
      <w:r w:rsidR="006343E1" w:rsidRPr="00254AB9">
        <w:rPr>
          <w:lang w:eastAsia="pl-PL"/>
        </w:rPr>
        <w:t>z</w:t>
      </w:r>
      <w:r w:rsidR="006343E1">
        <w:rPr>
          <w:lang w:eastAsia="pl-PL"/>
        </w:rPr>
        <w:t> </w:t>
      </w:r>
      <w:r w:rsidRPr="00254AB9">
        <w:rPr>
          <w:lang w:eastAsia="pl-PL"/>
        </w:rPr>
        <w:t xml:space="preserve">wynikiem ponad </w:t>
      </w:r>
      <w:r>
        <w:rPr>
          <w:lang w:eastAsia="pl-PL"/>
        </w:rPr>
        <w:t>18,5</w:t>
      </w:r>
      <w:r w:rsidRPr="00254AB9">
        <w:rPr>
          <w:lang w:eastAsia="pl-PL"/>
        </w:rPr>
        <w:t xml:space="preserve"> mld EUR (pomiędzy </w:t>
      </w:r>
      <w:r>
        <w:rPr>
          <w:lang w:eastAsia="pl-PL"/>
        </w:rPr>
        <w:t>Austrią</w:t>
      </w:r>
      <w:r w:rsidR="006343E1">
        <w:rPr>
          <w:lang w:eastAsia="pl-PL"/>
        </w:rPr>
        <w:t xml:space="preserve"> a </w:t>
      </w:r>
      <w:r>
        <w:rPr>
          <w:lang w:eastAsia="pl-PL"/>
        </w:rPr>
        <w:t>Węgrami</w:t>
      </w:r>
      <w:r w:rsidRPr="00254AB9">
        <w:rPr>
          <w:lang w:eastAsia="pl-PL"/>
        </w:rPr>
        <w:t>). Spośród państw członkowskich U</w:t>
      </w:r>
      <w:r w:rsidR="00856972">
        <w:rPr>
          <w:lang w:eastAsia="pl-PL"/>
        </w:rPr>
        <w:t xml:space="preserve">nii </w:t>
      </w:r>
      <w:r w:rsidRPr="00254AB9">
        <w:rPr>
          <w:lang w:eastAsia="pl-PL"/>
        </w:rPr>
        <w:t>E</w:t>
      </w:r>
      <w:r w:rsidR="00856972">
        <w:rPr>
          <w:lang w:eastAsia="pl-PL"/>
        </w:rPr>
        <w:t>uropejskiej</w:t>
      </w:r>
      <w:r w:rsidRPr="00254AB9">
        <w:rPr>
          <w:lang w:eastAsia="pl-PL"/>
        </w:rPr>
        <w:t xml:space="preserve"> tylko </w:t>
      </w:r>
      <w:r>
        <w:rPr>
          <w:lang w:eastAsia="pl-PL"/>
        </w:rPr>
        <w:t>pięć</w:t>
      </w:r>
      <w:r w:rsidRPr="00254AB9">
        <w:rPr>
          <w:lang w:eastAsia="pl-PL"/>
        </w:rPr>
        <w:t xml:space="preserve"> krajów odnotowało nadwyżkę</w:t>
      </w:r>
      <w:r w:rsidR="006343E1">
        <w:rPr>
          <w:lang w:eastAsia="pl-PL"/>
        </w:rPr>
        <w:t xml:space="preserve"> </w:t>
      </w:r>
      <w:r w:rsidR="006343E1" w:rsidRPr="00254AB9">
        <w:rPr>
          <w:lang w:eastAsia="pl-PL"/>
        </w:rPr>
        <w:t>w</w:t>
      </w:r>
      <w:r w:rsidR="006343E1">
        <w:rPr>
          <w:lang w:eastAsia="pl-PL"/>
        </w:rPr>
        <w:t> </w:t>
      </w:r>
      <w:r w:rsidRPr="00254AB9">
        <w:rPr>
          <w:lang w:eastAsia="pl-PL"/>
        </w:rPr>
        <w:t>handlu towarami wysokoprzetworzonymi</w:t>
      </w:r>
      <w:r w:rsidR="00856972">
        <w:rPr>
          <w:lang w:eastAsia="pl-PL"/>
        </w:rPr>
        <w:t xml:space="preserve">; </w:t>
      </w:r>
      <w:r w:rsidRPr="00254AB9">
        <w:rPr>
          <w:lang w:eastAsia="pl-PL"/>
        </w:rPr>
        <w:t>były to Belgia, Niemcy, Irlandia, Francja</w:t>
      </w:r>
      <w:r>
        <w:rPr>
          <w:lang w:eastAsia="pl-PL"/>
        </w:rPr>
        <w:t xml:space="preserve"> oraz Holandia. </w:t>
      </w:r>
    </w:p>
    <w:p w14:paraId="68F486C5" w14:textId="5B0B15B1" w:rsidR="002C51A1" w:rsidRPr="00254AB9" w:rsidRDefault="002C51A1" w:rsidP="002C51A1">
      <w:pPr>
        <w:rPr>
          <w:lang w:eastAsia="pl-PL"/>
        </w:rPr>
      </w:pPr>
      <w:r w:rsidRPr="00254AB9">
        <w:rPr>
          <w:lang w:eastAsia="pl-PL"/>
        </w:rPr>
        <w:t>Według danych GUS</w:t>
      </w:r>
      <w:r w:rsidR="006343E1">
        <w:rPr>
          <w:lang w:eastAsia="pl-PL"/>
        </w:rPr>
        <w:t xml:space="preserve"> w </w:t>
      </w:r>
      <w:r w:rsidRPr="00AC4302">
        <w:rPr>
          <w:lang w:eastAsia="pl-PL"/>
        </w:rPr>
        <w:t>20</w:t>
      </w:r>
      <w:r>
        <w:rPr>
          <w:lang w:eastAsia="pl-PL"/>
        </w:rPr>
        <w:t>19</w:t>
      </w:r>
      <w:r w:rsidRPr="00AC4302">
        <w:rPr>
          <w:lang w:eastAsia="pl-PL"/>
        </w:rPr>
        <w:t xml:space="preserve"> r</w:t>
      </w:r>
      <w:r w:rsidR="00856972">
        <w:rPr>
          <w:lang w:eastAsia="pl-PL"/>
        </w:rPr>
        <w:t>.</w:t>
      </w:r>
      <w:r w:rsidRPr="00AC4302">
        <w:rPr>
          <w:lang w:eastAsia="pl-PL"/>
        </w:rPr>
        <w:t xml:space="preserve"> towary wysokiej techniki  odpowiadały za 8,</w:t>
      </w:r>
      <w:r w:rsidR="00A9445F">
        <w:rPr>
          <w:lang w:eastAsia="pl-PL"/>
        </w:rPr>
        <w:t xml:space="preserve">6% </w:t>
      </w:r>
      <w:r w:rsidRPr="00AC4302">
        <w:rPr>
          <w:lang w:eastAsia="pl-PL"/>
        </w:rPr>
        <w:t>całkowitego polskiego eksportu,</w:t>
      </w:r>
      <w:r w:rsidR="006343E1">
        <w:rPr>
          <w:lang w:eastAsia="pl-PL"/>
        </w:rPr>
        <w:t xml:space="preserve"> </w:t>
      </w:r>
      <w:r w:rsidR="006343E1" w:rsidRPr="00AC4302">
        <w:rPr>
          <w:lang w:eastAsia="pl-PL"/>
        </w:rPr>
        <w:t>z</w:t>
      </w:r>
      <w:r w:rsidR="006343E1">
        <w:rPr>
          <w:lang w:eastAsia="pl-PL"/>
        </w:rPr>
        <w:t> </w:t>
      </w:r>
      <w:r w:rsidRPr="00AC4302">
        <w:rPr>
          <w:lang w:eastAsia="pl-PL"/>
        </w:rPr>
        <w:t>kolei</w:t>
      </w:r>
      <w:r w:rsidR="006343E1">
        <w:rPr>
          <w:lang w:eastAsia="pl-PL"/>
        </w:rPr>
        <w:t xml:space="preserve"> </w:t>
      </w:r>
      <w:r w:rsidR="006343E1" w:rsidRPr="00AC4302">
        <w:rPr>
          <w:lang w:eastAsia="pl-PL"/>
        </w:rPr>
        <w:t>w</w:t>
      </w:r>
      <w:r w:rsidR="006343E1">
        <w:rPr>
          <w:lang w:eastAsia="pl-PL"/>
        </w:rPr>
        <w:t> </w:t>
      </w:r>
      <w:r w:rsidRPr="00AC4302">
        <w:rPr>
          <w:lang w:eastAsia="pl-PL"/>
        </w:rPr>
        <w:t xml:space="preserve">całkowitym imporcie </w:t>
      </w:r>
      <w:r w:rsidR="00856972">
        <w:rPr>
          <w:rFonts w:ascii="Times New Roman" w:hAnsi="Times New Roman" w:cs="Times New Roman"/>
          <w:lang w:eastAsia="pl-PL"/>
        </w:rPr>
        <w:t>–</w:t>
      </w:r>
      <w:r w:rsidRPr="00AC4302">
        <w:rPr>
          <w:lang w:eastAsia="pl-PL"/>
        </w:rPr>
        <w:t xml:space="preserve"> </w:t>
      </w:r>
      <w:r>
        <w:rPr>
          <w:lang w:eastAsia="pl-PL"/>
        </w:rPr>
        <w:t>12,3</w:t>
      </w:r>
      <w:r w:rsidR="00A9445F">
        <w:rPr>
          <w:lang w:eastAsia="pl-PL"/>
        </w:rPr>
        <w:t>%</w:t>
      </w:r>
      <w:r w:rsidRPr="00AC4302">
        <w:rPr>
          <w:lang w:eastAsia="pl-PL"/>
        </w:rPr>
        <w:t xml:space="preserve">. Wartość wywozu tych towarów wyniosła ok. </w:t>
      </w:r>
      <w:r>
        <w:rPr>
          <w:lang w:eastAsia="pl-PL"/>
        </w:rPr>
        <w:t>20,7</w:t>
      </w:r>
      <w:r w:rsidRPr="00AC4302">
        <w:rPr>
          <w:lang w:eastAsia="pl-PL"/>
        </w:rPr>
        <w:t xml:space="preserve"> mld EUR</w:t>
      </w:r>
      <w:r w:rsidR="006343E1">
        <w:rPr>
          <w:lang w:eastAsia="pl-PL"/>
        </w:rPr>
        <w:t xml:space="preserve"> </w:t>
      </w:r>
      <w:r w:rsidR="006343E1" w:rsidRPr="00AC4302">
        <w:rPr>
          <w:lang w:eastAsia="pl-PL"/>
        </w:rPr>
        <w:t>i</w:t>
      </w:r>
      <w:r w:rsidR="006343E1">
        <w:rPr>
          <w:lang w:eastAsia="pl-PL"/>
        </w:rPr>
        <w:t> </w:t>
      </w:r>
      <w:r w:rsidRPr="00AC4302">
        <w:rPr>
          <w:lang w:eastAsia="pl-PL"/>
        </w:rPr>
        <w:t>była wyższa</w:t>
      </w:r>
      <w:r w:rsidR="006343E1">
        <w:rPr>
          <w:lang w:eastAsia="pl-PL"/>
        </w:rPr>
        <w:t xml:space="preserve"> </w:t>
      </w:r>
      <w:r w:rsidR="006343E1" w:rsidRPr="00AC4302">
        <w:rPr>
          <w:lang w:eastAsia="pl-PL"/>
        </w:rPr>
        <w:t>o</w:t>
      </w:r>
      <w:r w:rsidR="006343E1">
        <w:rPr>
          <w:lang w:eastAsia="pl-PL"/>
        </w:rPr>
        <w:t> </w:t>
      </w:r>
      <w:r>
        <w:rPr>
          <w:lang w:eastAsia="pl-PL"/>
        </w:rPr>
        <w:t>10,9</w:t>
      </w:r>
      <w:r w:rsidRPr="00AC4302">
        <w:rPr>
          <w:lang w:eastAsia="pl-PL"/>
        </w:rPr>
        <w:t xml:space="preserve">% </w:t>
      </w:r>
      <w:r w:rsidR="00856972">
        <w:rPr>
          <w:lang w:eastAsia="pl-PL"/>
        </w:rPr>
        <w:t>od</w:t>
      </w:r>
      <w:r w:rsidRPr="00AC4302">
        <w:rPr>
          <w:lang w:eastAsia="pl-PL"/>
        </w:rPr>
        <w:t xml:space="preserve"> poziomu sprzed roku. Głównymi polskimi odbiorcami tej grupy towarów były Niemcy (25,</w:t>
      </w:r>
      <w:r>
        <w:rPr>
          <w:lang w:eastAsia="pl-PL"/>
        </w:rPr>
        <w:t>1</w:t>
      </w:r>
      <w:r w:rsidRPr="00AC4302">
        <w:rPr>
          <w:lang w:eastAsia="pl-PL"/>
        </w:rPr>
        <w:t>% udziału), USA (10,</w:t>
      </w:r>
      <w:r>
        <w:rPr>
          <w:lang w:eastAsia="pl-PL"/>
        </w:rPr>
        <w:t>8</w:t>
      </w:r>
      <w:r w:rsidRPr="00AC4302">
        <w:rPr>
          <w:lang w:eastAsia="pl-PL"/>
        </w:rPr>
        <w:t xml:space="preserve">%), </w:t>
      </w:r>
      <w:r w:rsidR="00856972">
        <w:rPr>
          <w:lang w:eastAsia="pl-PL"/>
        </w:rPr>
        <w:t xml:space="preserve">Niderlandy </w:t>
      </w:r>
      <w:r w:rsidRPr="00AC4302">
        <w:rPr>
          <w:lang w:eastAsia="pl-PL"/>
        </w:rPr>
        <w:t>(7,</w:t>
      </w:r>
      <w:r>
        <w:rPr>
          <w:lang w:eastAsia="pl-PL"/>
        </w:rPr>
        <w:t>9</w:t>
      </w:r>
      <w:r w:rsidRPr="00AC4302">
        <w:rPr>
          <w:lang w:eastAsia="pl-PL"/>
        </w:rPr>
        <w:t xml:space="preserve">%), Wielka Brytania (7,5%) oraz Francja (5,8%). Import towarów wysokiej techniki do Polski wyniósł ok. </w:t>
      </w:r>
      <w:r>
        <w:rPr>
          <w:lang w:eastAsia="pl-PL"/>
        </w:rPr>
        <w:t>29,1</w:t>
      </w:r>
      <w:r w:rsidRPr="00AC4302">
        <w:rPr>
          <w:lang w:eastAsia="pl-PL"/>
        </w:rPr>
        <w:t xml:space="preserve"> mld EUR</w:t>
      </w:r>
      <w:r w:rsidR="006343E1">
        <w:rPr>
          <w:lang w:eastAsia="pl-PL"/>
        </w:rPr>
        <w:t xml:space="preserve"> </w:t>
      </w:r>
      <w:r w:rsidR="006343E1" w:rsidRPr="00AC4302">
        <w:rPr>
          <w:lang w:eastAsia="pl-PL"/>
        </w:rPr>
        <w:t>i</w:t>
      </w:r>
      <w:r w:rsidR="006343E1">
        <w:rPr>
          <w:lang w:eastAsia="pl-PL"/>
        </w:rPr>
        <w:t> </w:t>
      </w:r>
      <w:r w:rsidRPr="00AC4302">
        <w:rPr>
          <w:lang w:eastAsia="pl-PL"/>
        </w:rPr>
        <w:t>był wyższy</w:t>
      </w:r>
      <w:r w:rsidR="006343E1">
        <w:rPr>
          <w:lang w:eastAsia="pl-PL"/>
        </w:rPr>
        <w:t xml:space="preserve"> </w:t>
      </w:r>
      <w:r w:rsidR="006343E1" w:rsidRPr="00AC4302">
        <w:rPr>
          <w:lang w:eastAsia="pl-PL"/>
        </w:rPr>
        <w:t>o</w:t>
      </w:r>
      <w:r w:rsidR="006343E1">
        <w:rPr>
          <w:lang w:eastAsia="pl-PL"/>
        </w:rPr>
        <w:t> </w:t>
      </w:r>
      <w:r>
        <w:rPr>
          <w:lang w:eastAsia="pl-PL"/>
        </w:rPr>
        <w:t>8,6</w:t>
      </w:r>
      <w:r w:rsidRPr="00AC4302">
        <w:rPr>
          <w:lang w:eastAsia="pl-PL"/>
        </w:rPr>
        <w:t>% niż przed rokiem. Najwięcej towarów pochodziło</w:t>
      </w:r>
      <w:r w:rsidR="006343E1">
        <w:rPr>
          <w:lang w:eastAsia="pl-PL"/>
        </w:rPr>
        <w:t xml:space="preserve"> </w:t>
      </w:r>
      <w:r w:rsidR="006343E1" w:rsidRPr="00AC4302">
        <w:rPr>
          <w:lang w:eastAsia="pl-PL"/>
        </w:rPr>
        <w:t>z</w:t>
      </w:r>
      <w:r w:rsidR="006343E1">
        <w:rPr>
          <w:lang w:eastAsia="pl-PL"/>
        </w:rPr>
        <w:t> </w:t>
      </w:r>
      <w:r w:rsidRPr="00AC4302">
        <w:rPr>
          <w:lang w:eastAsia="pl-PL"/>
        </w:rPr>
        <w:t>Chin (26,4%), Niemiec (15,</w:t>
      </w:r>
      <w:r>
        <w:rPr>
          <w:lang w:eastAsia="pl-PL"/>
        </w:rPr>
        <w:t>2</w:t>
      </w:r>
      <w:r w:rsidRPr="00AC4302">
        <w:rPr>
          <w:lang w:eastAsia="pl-PL"/>
        </w:rPr>
        <w:t>%), USA (</w:t>
      </w:r>
      <w:r>
        <w:rPr>
          <w:lang w:eastAsia="pl-PL"/>
        </w:rPr>
        <w:t>10</w:t>
      </w:r>
      <w:r w:rsidRPr="00AC4302">
        <w:rPr>
          <w:lang w:eastAsia="pl-PL"/>
        </w:rPr>
        <w:t xml:space="preserve">%), </w:t>
      </w:r>
      <w:r w:rsidR="00856972">
        <w:rPr>
          <w:lang w:eastAsia="pl-PL"/>
        </w:rPr>
        <w:t>Niderlandów</w:t>
      </w:r>
      <w:r w:rsidRPr="00AC4302">
        <w:rPr>
          <w:lang w:eastAsia="pl-PL"/>
        </w:rPr>
        <w:t xml:space="preserve"> (</w:t>
      </w:r>
      <w:r>
        <w:rPr>
          <w:lang w:eastAsia="pl-PL"/>
        </w:rPr>
        <w:t>6,8</w:t>
      </w:r>
      <w:r w:rsidRPr="00AC4302">
        <w:rPr>
          <w:lang w:eastAsia="pl-PL"/>
        </w:rPr>
        <w:t>%)</w:t>
      </w:r>
      <w:r w:rsidR="006343E1">
        <w:rPr>
          <w:lang w:eastAsia="pl-PL"/>
        </w:rPr>
        <w:t xml:space="preserve"> </w:t>
      </w:r>
      <w:r w:rsidR="006343E1" w:rsidRPr="00AC4302">
        <w:rPr>
          <w:lang w:eastAsia="pl-PL"/>
        </w:rPr>
        <w:t>i</w:t>
      </w:r>
      <w:r w:rsidR="006343E1">
        <w:rPr>
          <w:lang w:eastAsia="pl-PL"/>
        </w:rPr>
        <w:t> </w:t>
      </w:r>
      <w:r w:rsidRPr="00AC4302">
        <w:rPr>
          <w:lang w:eastAsia="pl-PL"/>
        </w:rPr>
        <w:t>Wietnamu (3,</w:t>
      </w:r>
      <w:r>
        <w:rPr>
          <w:lang w:eastAsia="pl-PL"/>
        </w:rPr>
        <w:t>8</w:t>
      </w:r>
      <w:r w:rsidRPr="00AC4302">
        <w:rPr>
          <w:lang w:eastAsia="pl-PL"/>
        </w:rPr>
        <w:t>%).</w:t>
      </w:r>
    </w:p>
    <w:p w14:paraId="07E32623" w14:textId="0E8AF78B" w:rsidR="002C51A1" w:rsidRPr="00254AB9" w:rsidRDefault="002C51A1" w:rsidP="002C51A1">
      <w:pPr>
        <w:pageBreakBefore/>
        <w:spacing w:after="0" w:line="240" w:lineRule="auto"/>
        <w:rPr>
          <w:rFonts w:cs="Calibri"/>
          <w:b/>
          <w:bCs/>
          <w:sz w:val="21"/>
          <w:szCs w:val="21"/>
          <w:lang w:eastAsia="pl-PL"/>
        </w:rPr>
      </w:pPr>
      <w:r>
        <w:rPr>
          <w:rFonts w:cs="Calibri"/>
          <w:b/>
          <w:sz w:val="21"/>
          <w:szCs w:val="21"/>
        </w:rPr>
        <w:t>W</w:t>
      </w:r>
      <w:r w:rsidRPr="00254AB9">
        <w:rPr>
          <w:rFonts w:cs="Calibri"/>
          <w:b/>
          <w:sz w:val="21"/>
          <w:szCs w:val="21"/>
        </w:rPr>
        <w:t xml:space="preserve">ykres </w:t>
      </w:r>
      <w:r w:rsidR="000935B2">
        <w:rPr>
          <w:rFonts w:cs="Calibri"/>
          <w:b/>
          <w:sz w:val="21"/>
          <w:szCs w:val="21"/>
        </w:rPr>
        <w:t>9</w:t>
      </w:r>
      <w:r w:rsidR="00FC6E8F">
        <w:rPr>
          <w:rFonts w:cs="Calibri"/>
          <w:b/>
          <w:sz w:val="21"/>
          <w:szCs w:val="21"/>
        </w:rPr>
        <w:t>9</w:t>
      </w:r>
      <w:r w:rsidRPr="00254AB9">
        <w:rPr>
          <w:rFonts w:cs="Calibri"/>
          <w:b/>
          <w:sz w:val="21"/>
          <w:szCs w:val="21"/>
        </w:rPr>
        <w:t>.</w:t>
      </w:r>
      <w:r w:rsidRPr="00254AB9">
        <w:rPr>
          <w:rFonts w:cs="Calibri"/>
          <w:b/>
          <w:bCs/>
          <w:sz w:val="21"/>
          <w:szCs w:val="21"/>
          <w:lang w:eastAsia="pl-PL"/>
        </w:rPr>
        <w:t xml:space="preserve"> Udział eksportu wyrobów </w:t>
      </w:r>
      <w:r w:rsidR="00703314">
        <w:rPr>
          <w:rFonts w:cs="Calibri"/>
          <w:b/>
          <w:bCs/>
          <w:sz w:val="21"/>
          <w:szCs w:val="21"/>
          <w:lang w:eastAsia="pl-PL"/>
        </w:rPr>
        <w:t xml:space="preserve">zaawansowanych technologicznie </w:t>
      </w:r>
      <w:r w:rsidR="006343E1" w:rsidRPr="00254AB9">
        <w:rPr>
          <w:rFonts w:cs="Calibri"/>
          <w:b/>
          <w:bCs/>
          <w:sz w:val="21"/>
          <w:szCs w:val="21"/>
          <w:lang w:eastAsia="pl-PL"/>
        </w:rPr>
        <w:t>w</w:t>
      </w:r>
      <w:r w:rsidR="006343E1">
        <w:rPr>
          <w:rFonts w:cs="Calibri"/>
          <w:b/>
          <w:bCs/>
          <w:sz w:val="21"/>
          <w:szCs w:val="21"/>
          <w:lang w:eastAsia="pl-PL"/>
        </w:rPr>
        <w:t> </w:t>
      </w:r>
      <w:r w:rsidRPr="00254AB9">
        <w:rPr>
          <w:rFonts w:cs="Calibri"/>
          <w:b/>
          <w:bCs/>
          <w:sz w:val="21"/>
          <w:szCs w:val="21"/>
          <w:lang w:eastAsia="pl-PL"/>
        </w:rPr>
        <w:t>całkowitym eksporcie</w:t>
      </w:r>
      <w:r w:rsidR="006343E1">
        <w:rPr>
          <w:rFonts w:cs="Calibri"/>
          <w:b/>
          <w:bCs/>
          <w:sz w:val="21"/>
          <w:szCs w:val="21"/>
          <w:lang w:eastAsia="pl-PL"/>
        </w:rPr>
        <w:t xml:space="preserve"> </w:t>
      </w:r>
      <w:r w:rsidR="006343E1" w:rsidRPr="00254AB9">
        <w:rPr>
          <w:rFonts w:cs="Calibri"/>
          <w:b/>
          <w:bCs/>
          <w:sz w:val="21"/>
          <w:szCs w:val="21"/>
          <w:lang w:eastAsia="pl-PL"/>
        </w:rPr>
        <w:t>z</w:t>
      </w:r>
      <w:r w:rsidR="006343E1">
        <w:rPr>
          <w:rFonts w:cs="Calibri"/>
          <w:b/>
          <w:bCs/>
          <w:sz w:val="21"/>
          <w:szCs w:val="21"/>
          <w:lang w:eastAsia="pl-PL"/>
        </w:rPr>
        <w:t> </w:t>
      </w:r>
      <w:r w:rsidRPr="00254AB9">
        <w:rPr>
          <w:rFonts w:cs="Calibri"/>
          <w:b/>
          <w:bCs/>
          <w:sz w:val="21"/>
          <w:szCs w:val="21"/>
          <w:lang w:eastAsia="pl-PL"/>
        </w:rPr>
        <w:t>Polski (w %)</w:t>
      </w:r>
    </w:p>
    <w:p w14:paraId="303ACCC8" w14:textId="77777777" w:rsidR="002C51A1" w:rsidRPr="00C36A1C" w:rsidRDefault="002C51A1" w:rsidP="002C51A1">
      <w:pPr>
        <w:spacing w:after="0" w:line="240" w:lineRule="auto"/>
        <w:rPr>
          <w:rFonts w:cs="Calibri"/>
          <w:i/>
          <w:color w:val="05295B"/>
          <w:sz w:val="21"/>
          <w:szCs w:val="21"/>
          <w:lang w:eastAsia="pl-PL"/>
        </w:rPr>
      </w:pPr>
      <w:r w:rsidRPr="00777631">
        <w:rPr>
          <w:rFonts w:cs="Calibri"/>
          <w:i/>
          <w:noProof/>
          <w:sz w:val="21"/>
          <w:szCs w:val="21"/>
          <w:lang w:eastAsia="pl-PL"/>
        </w:rPr>
        <w:drawing>
          <wp:inline distT="0" distB="0" distL="0" distR="0" wp14:anchorId="7F6FF282" wp14:editId="2EC48CEA">
            <wp:extent cx="4304665" cy="1835624"/>
            <wp:effectExtent l="0" t="0" r="635" b="0"/>
            <wp:docPr id="73" name="Wykres 7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4"/>
              </a:graphicData>
            </a:graphic>
          </wp:inline>
        </w:drawing>
      </w:r>
    </w:p>
    <w:p w14:paraId="1EF6DC77" w14:textId="77777777" w:rsidR="00703314" w:rsidRDefault="00703314" w:rsidP="002C51A1">
      <w:pPr>
        <w:pStyle w:val="Bezodstpw"/>
        <w:rPr>
          <w:lang w:eastAsia="pl-PL"/>
        </w:rPr>
      </w:pPr>
    </w:p>
    <w:p w14:paraId="5ACED3BF" w14:textId="07E63682" w:rsidR="002C51A1" w:rsidRPr="00254AB9" w:rsidRDefault="002C51A1" w:rsidP="002C51A1">
      <w:pPr>
        <w:pStyle w:val="Bezodstpw"/>
        <w:rPr>
          <w:lang w:eastAsia="pl-PL"/>
        </w:rPr>
      </w:pPr>
      <w:r w:rsidRPr="00254AB9">
        <w:rPr>
          <w:lang w:eastAsia="pl-PL"/>
        </w:rPr>
        <w:t xml:space="preserve">Źródło: </w:t>
      </w:r>
      <w:r w:rsidRPr="00254AB9">
        <w:t xml:space="preserve">Opracowanie </w:t>
      </w:r>
      <w:r w:rsidR="003A56DA">
        <w:rPr>
          <w:lang w:eastAsia="pl-PL"/>
        </w:rPr>
        <w:t>MRiT</w:t>
      </w:r>
      <w:r w:rsidR="003A5EA7">
        <w:rPr>
          <w:lang w:eastAsia="pl-PL"/>
        </w:rPr>
        <w:t xml:space="preserve"> </w:t>
      </w:r>
      <w:r w:rsidR="00AF2A9A">
        <w:rPr>
          <w:lang w:eastAsia="pl-PL"/>
        </w:rPr>
        <w:t>na podstawie danych GUS</w:t>
      </w:r>
    </w:p>
    <w:p w14:paraId="4B9E1DFA" w14:textId="29CD078B" w:rsidR="002C51A1" w:rsidRPr="00254AB9" w:rsidRDefault="002C51A1" w:rsidP="002C51A1">
      <w:pPr>
        <w:spacing w:after="0" w:line="240" w:lineRule="auto"/>
        <w:rPr>
          <w:rFonts w:cs="Calibri"/>
          <w:sz w:val="21"/>
          <w:szCs w:val="21"/>
          <w:lang w:eastAsia="pl-PL"/>
        </w:rPr>
      </w:pPr>
      <w:r w:rsidRPr="00254AB9">
        <w:rPr>
          <w:rFonts w:cs="Calibri"/>
          <w:sz w:val="21"/>
          <w:szCs w:val="21"/>
          <w:lang w:eastAsia="pl-PL"/>
        </w:rPr>
        <w:t>Wśród towarów wysokiej techniki, dominujące znaczenie</w:t>
      </w:r>
      <w:r w:rsidR="006343E1">
        <w:rPr>
          <w:rFonts w:cs="Calibri"/>
          <w:sz w:val="21"/>
          <w:szCs w:val="21"/>
          <w:lang w:eastAsia="pl-PL"/>
        </w:rPr>
        <w:t xml:space="preserve"> </w:t>
      </w:r>
      <w:r w:rsidR="006343E1" w:rsidRPr="00254AB9">
        <w:rPr>
          <w:rFonts w:cs="Calibri"/>
          <w:sz w:val="21"/>
          <w:szCs w:val="21"/>
          <w:lang w:eastAsia="pl-PL"/>
        </w:rPr>
        <w:t>w</w:t>
      </w:r>
      <w:r w:rsidR="006343E1">
        <w:rPr>
          <w:rFonts w:cs="Calibri"/>
          <w:sz w:val="21"/>
          <w:szCs w:val="21"/>
          <w:lang w:eastAsia="pl-PL"/>
        </w:rPr>
        <w:t> </w:t>
      </w:r>
      <w:r w:rsidRPr="00254AB9">
        <w:rPr>
          <w:rFonts w:cs="Calibri"/>
          <w:sz w:val="21"/>
          <w:szCs w:val="21"/>
          <w:lang w:eastAsia="pl-PL"/>
        </w:rPr>
        <w:t>201</w:t>
      </w:r>
      <w:r>
        <w:rPr>
          <w:rFonts w:cs="Calibri"/>
          <w:sz w:val="21"/>
          <w:szCs w:val="21"/>
          <w:lang w:eastAsia="pl-PL"/>
        </w:rPr>
        <w:t>9</w:t>
      </w:r>
      <w:r w:rsidRPr="00254AB9">
        <w:rPr>
          <w:rFonts w:cs="Calibri"/>
          <w:sz w:val="21"/>
          <w:szCs w:val="21"/>
          <w:lang w:eastAsia="pl-PL"/>
        </w:rPr>
        <w:t xml:space="preserve"> r. miały:</w:t>
      </w:r>
    </w:p>
    <w:p w14:paraId="0BF0E6A0" w14:textId="1EFFC717" w:rsidR="002C51A1" w:rsidRPr="00254AB9" w:rsidRDefault="002C51A1" w:rsidP="00A9445F">
      <w:pPr>
        <w:pStyle w:val="Akapitzlist"/>
        <w:numPr>
          <w:ilvl w:val="0"/>
          <w:numId w:val="3"/>
        </w:numPr>
        <w:spacing w:after="0" w:line="240" w:lineRule="auto"/>
        <w:rPr>
          <w:rFonts w:cs="Calibri"/>
          <w:sz w:val="21"/>
          <w:szCs w:val="21"/>
          <w:lang w:eastAsia="pl-PL"/>
        </w:rPr>
      </w:pPr>
      <w:r w:rsidRPr="00254AB9">
        <w:rPr>
          <w:rFonts w:eastAsia="+mn-ea" w:cs="Calibri"/>
          <w:kern w:val="24"/>
          <w:sz w:val="21"/>
          <w:szCs w:val="21"/>
          <w:lang w:eastAsia="pl-PL"/>
        </w:rPr>
        <w:t>różne maszyny cyfrowe do automatycznego przetwarzania danych (</w:t>
      </w:r>
      <w:r>
        <w:rPr>
          <w:rFonts w:eastAsia="+mn-ea" w:cs="Calibri"/>
          <w:kern w:val="24"/>
          <w:sz w:val="21"/>
          <w:szCs w:val="21"/>
          <w:lang w:eastAsia="pl-PL"/>
        </w:rPr>
        <w:t>17</w:t>
      </w:r>
      <w:r w:rsidRPr="00254AB9">
        <w:rPr>
          <w:rFonts w:eastAsia="+mn-ea" w:cs="Calibri"/>
          <w:kern w:val="24"/>
          <w:sz w:val="21"/>
          <w:szCs w:val="21"/>
          <w:lang w:eastAsia="pl-PL"/>
        </w:rPr>
        <w:t>%)</w:t>
      </w:r>
      <w:r w:rsidR="00703314">
        <w:rPr>
          <w:rFonts w:eastAsia="+mn-ea" w:cs="Calibri"/>
          <w:kern w:val="24"/>
          <w:sz w:val="21"/>
          <w:szCs w:val="21"/>
          <w:lang w:eastAsia="pl-PL"/>
        </w:rPr>
        <w:t>,</w:t>
      </w:r>
    </w:p>
    <w:p w14:paraId="33CC43B2" w14:textId="37916F7D" w:rsidR="002C51A1" w:rsidRPr="00254AB9" w:rsidRDefault="002C51A1" w:rsidP="00A9445F">
      <w:pPr>
        <w:pStyle w:val="Akapitzlist"/>
        <w:numPr>
          <w:ilvl w:val="0"/>
          <w:numId w:val="3"/>
        </w:numPr>
        <w:spacing w:after="0" w:line="240" w:lineRule="auto"/>
        <w:rPr>
          <w:rFonts w:cs="Calibri"/>
          <w:sz w:val="21"/>
          <w:szCs w:val="21"/>
          <w:lang w:eastAsia="pl-PL"/>
        </w:rPr>
      </w:pPr>
      <w:r w:rsidRPr="00254AB9">
        <w:rPr>
          <w:rFonts w:eastAsia="+mn-ea" w:cs="Calibri"/>
          <w:kern w:val="24"/>
          <w:sz w:val="21"/>
          <w:szCs w:val="21"/>
          <w:lang w:eastAsia="pl-PL"/>
        </w:rPr>
        <w:t>części silników turboodrzutowych</w:t>
      </w:r>
      <w:r w:rsidR="006343E1">
        <w:rPr>
          <w:rFonts w:eastAsia="+mn-ea" w:cs="Calibri"/>
          <w:kern w:val="24"/>
          <w:sz w:val="21"/>
          <w:szCs w:val="21"/>
          <w:lang w:eastAsia="pl-PL"/>
        </w:rPr>
        <w:t xml:space="preserve"> </w:t>
      </w:r>
      <w:r w:rsidR="006343E1" w:rsidRPr="00254AB9">
        <w:rPr>
          <w:rFonts w:eastAsia="+mn-ea" w:cs="Calibri"/>
          <w:kern w:val="24"/>
          <w:sz w:val="21"/>
          <w:szCs w:val="21"/>
          <w:lang w:eastAsia="pl-PL"/>
        </w:rPr>
        <w:t>i</w:t>
      </w:r>
      <w:r w:rsidR="006343E1">
        <w:rPr>
          <w:rFonts w:eastAsia="+mn-ea" w:cs="Calibri"/>
          <w:kern w:val="24"/>
          <w:sz w:val="21"/>
          <w:szCs w:val="21"/>
          <w:lang w:eastAsia="pl-PL"/>
        </w:rPr>
        <w:t> </w:t>
      </w:r>
      <w:r w:rsidRPr="00254AB9">
        <w:rPr>
          <w:rFonts w:eastAsia="+mn-ea" w:cs="Calibri"/>
          <w:kern w:val="24"/>
          <w:sz w:val="21"/>
          <w:szCs w:val="21"/>
          <w:lang w:eastAsia="pl-PL"/>
        </w:rPr>
        <w:t>turbośmigłowych (10,</w:t>
      </w:r>
      <w:r>
        <w:rPr>
          <w:rFonts w:eastAsia="+mn-ea" w:cs="Calibri"/>
          <w:kern w:val="24"/>
          <w:sz w:val="21"/>
          <w:szCs w:val="21"/>
          <w:lang w:eastAsia="pl-PL"/>
        </w:rPr>
        <w:t>9</w:t>
      </w:r>
      <w:r w:rsidRPr="00254AB9">
        <w:rPr>
          <w:rFonts w:eastAsia="+mn-ea" w:cs="Calibri"/>
          <w:kern w:val="24"/>
          <w:sz w:val="21"/>
          <w:szCs w:val="21"/>
          <w:lang w:eastAsia="pl-PL"/>
        </w:rPr>
        <w:t>%)</w:t>
      </w:r>
      <w:r w:rsidR="00703314">
        <w:rPr>
          <w:rFonts w:eastAsia="+mn-ea" w:cs="Calibri"/>
          <w:kern w:val="24"/>
          <w:sz w:val="21"/>
          <w:szCs w:val="21"/>
          <w:lang w:eastAsia="pl-PL"/>
        </w:rPr>
        <w:t>,</w:t>
      </w:r>
    </w:p>
    <w:p w14:paraId="3E4DC6A6" w14:textId="747ACBD2" w:rsidR="002C51A1" w:rsidRPr="00254AB9" w:rsidRDefault="002C51A1" w:rsidP="00A9445F">
      <w:pPr>
        <w:pStyle w:val="Akapitzlist"/>
        <w:numPr>
          <w:ilvl w:val="0"/>
          <w:numId w:val="3"/>
        </w:numPr>
        <w:spacing w:after="0" w:line="240" w:lineRule="auto"/>
        <w:rPr>
          <w:rFonts w:cs="Calibri"/>
          <w:sz w:val="21"/>
          <w:szCs w:val="21"/>
          <w:lang w:eastAsia="pl-PL"/>
        </w:rPr>
      </w:pPr>
      <w:r w:rsidRPr="00254AB9">
        <w:rPr>
          <w:rFonts w:eastAsia="+mn-ea" w:cs="Calibri"/>
          <w:kern w:val="24"/>
          <w:sz w:val="21"/>
          <w:szCs w:val="21"/>
          <w:lang w:eastAsia="pl-PL"/>
        </w:rPr>
        <w:t>maszyny do odbioru, konwersji</w:t>
      </w:r>
      <w:r w:rsidR="006343E1">
        <w:rPr>
          <w:rFonts w:eastAsia="+mn-ea" w:cs="Calibri"/>
          <w:kern w:val="24"/>
          <w:sz w:val="21"/>
          <w:szCs w:val="21"/>
          <w:lang w:eastAsia="pl-PL"/>
        </w:rPr>
        <w:t xml:space="preserve"> </w:t>
      </w:r>
      <w:r w:rsidR="006343E1" w:rsidRPr="00254AB9">
        <w:rPr>
          <w:rFonts w:eastAsia="+mn-ea" w:cs="Calibri"/>
          <w:kern w:val="24"/>
          <w:sz w:val="21"/>
          <w:szCs w:val="21"/>
          <w:lang w:eastAsia="pl-PL"/>
        </w:rPr>
        <w:t>i</w:t>
      </w:r>
      <w:r w:rsidR="006343E1">
        <w:rPr>
          <w:rFonts w:eastAsia="+mn-ea" w:cs="Calibri"/>
          <w:kern w:val="24"/>
          <w:sz w:val="21"/>
          <w:szCs w:val="21"/>
          <w:lang w:eastAsia="pl-PL"/>
        </w:rPr>
        <w:t> </w:t>
      </w:r>
      <w:r w:rsidRPr="00254AB9">
        <w:rPr>
          <w:rFonts w:eastAsia="+mn-ea" w:cs="Calibri"/>
          <w:kern w:val="24"/>
          <w:sz w:val="21"/>
          <w:szCs w:val="21"/>
          <w:lang w:eastAsia="pl-PL"/>
        </w:rPr>
        <w:t>transmisji, regeneracji głosu, obrazu lub innych danych (</w:t>
      </w:r>
      <w:r>
        <w:rPr>
          <w:rFonts w:eastAsia="+mn-ea" w:cs="Calibri"/>
          <w:kern w:val="24"/>
          <w:sz w:val="21"/>
          <w:szCs w:val="21"/>
          <w:lang w:eastAsia="pl-PL"/>
        </w:rPr>
        <w:t>4,5</w:t>
      </w:r>
      <w:r w:rsidRPr="00254AB9">
        <w:rPr>
          <w:rFonts w:eastAsia="+mn-ea" w:cs="Calibri"/>
          <w:kern w:val="24"/>
          <w:sz w:val="21"/>
          <w:szCs w:val="21"/>
          <w:lang w:eastAsia="pl-PL"/>
        </w:rPr>
        <w:t>%)</w:t>
      </w:r>
      <w:r w:rsidR="00703314">
        <w:rPr>
          <w:rFonts w:eastAsia="+mn-ea" w:cs="Calibri"/>
          <w:kern w:val="24"/>
          <w:sz w:val="21"/>
          <w:szCs w:val="21"/>
          <w:lang w:eastAsia="pl-PL"/>
        </w:rPr>
        <w:t>,</w:t>
      </w:r>
    </w:p>
    <w:p w14:paraId="48CAB6FB" w14:textId="10A58E12" w:rsidR="002C51A1" w:rsidRPr="00B44F12" w:rsidRDefault="002C51A1" w:rsidP="00A9445F">
      <w:pPr>
        <w:pStyle w:val="Akapitzlist"/>
        <w:numPr>
          <w:ilvl w:val="0"/>
          <w:numId w:val="3"/>
        </w:numPr>
        <w:spacing w:after="0" w:line="240" w:lineRule="auto"/>
        <w:rPr>
          <w:rFonts w:cs="Calibri"/>
          <w:sz w:val="21"/>
          <w:szCs w:val="21"/>
          <w:lang w:eastAsia="pl-PL"/>
        </w:rPr>
      </w:pPr>
      <w:r w:rsidRPr="00254AB9">
        <w:rPr>
          <w:rFonts w:eastAsia="+mn-ea" w:cs="Calibri"/>
          <w:kern w:val="24"/>
          <w:sz w:val="21"/>
          <w:szCs w:val="21"/>
          <w:lang w:eastAsia="pl-PL"/>
        </w:rPr>
        <w:t>aparaty słuchowe,</w:t>
      </w:r>
      <w:r w:rsidR="006343E1">
        <w:rPr>
          <w:rFonts w:eastAsia="+mn-ea" w:cs="Calibri"/>
          <w:kern w:val="24"/>
          <w:sz w:val="21"/>
          <w:szCs w:val="21"/>
          <w:lang w:eastAsia="pl-PL"/>
        </w:rPr>
        <w:t xml:space="preserve"> </w:t>
      </w:r>
      <w:r w:rsidR="006343E1" w:rsidRPr="00254AB9">
        <w:rPr>
          <w:rFonts w:eastAsia="+mn-ea" w:cs="Calibri"/>
          <w:kern w:val="24"/>
          <w:sz w:val="21"/>
          <w:szCs w:val="21"/>
          <w:lang w:eastAsia="pl-PL"/>
        </w:rPr>
        <w:t>z</w:t>
      </w:r>
      <w:r w:rsidR="006343E1">
        <w:rPr>
          <w:rFonts w:eastAsia="+mn-ea" w:cs="Calibri"/>
          <w:kern w:val="24"/>
          <w:sz w:val="21"/>
          <w:szCs w:val="21"/>
          <w:lang w:eastAsia="pl-PL"/>
        </w:rPr>
        <w:t> </w:t>
      </w:r>
      <w:r w:rsidRPr="00254AB9">
        <w:rPr>
          <w:rFonts w:eastAsia="+mn-ea" w:cs="Calibri"/>
          <w:kern w:val="24"/>
          <w:sz w:val="21"/>
          <w:szCs w:val="21"/>
          <w:lang w:eastAsia="pl-PL"/>
        </w:rPr>
        <w:t>wyłączeniem części</w:t>
      </w:r>
      <w:r w:rsidR="006343E1">
        <w:rPr>
          <w:rFonts w:eastAsia="+mn-ea" w:cs="Calibri"/>
          <w:kern w:val="24"/>
          <w:sz w:val="21"/>
          <w:szCs w:val="21"/>
          <w:lang w:eastAsia="pl-PL"/>
        </w:rPr>
        <w:t xml:space="preserve"> </w:t>
      </w:r>
      <w:r w:rsidR="006343E1" w:rsidRPr="00254AB9">
        <w:rPr>
          <w:rFonts w:eastAsia="+mn-ea" w:cs="Calibri"/>
          <w:kern w:val="24"/>
          <w:sz w:val="21"/>
          <w:szCs w:val="21"/>
          <w:lang w:eastAsia="pl-PL"/>
        </w:rPr>
        <w:t>i</w:t>
      </w:r>
      <w:r w:rsidR="006343E1">
        <w:rPr>
          <w:rFonts w:eastAsia="+mn-ea" w:cs="Calibri"/>
          <w:kern w:val="24"/>
          <w:sz w:val="21"/>
          <w:szCs w:val="21"/>
          <w:lang w:eastAsia="pl-PL"/>
        </w:rPr>
        <w:t> </w:t>
      </w:r>
      <w:r w:rsidRPr="00254AB9">
        <w:rPr>
          <w:rFonts w:eastAsia="+mn-ea" w:cs="Calibri"/>
          <w:kern w:val="24"/>
          <w:sz w:val="21"/>
          <w:szCs w:val="21"/>
          <w:lang w:eastAsia="pl-PL"/>
        </w:rPr>
        <w:t>akcesoriów (</w:t>
      </w:r>
      <w:r>
        <w:rPr>
          <w:rFonts w:eastAsia="+mn-ea" w:cs="Calibri"/>
          <w:kern w:val="24"/>
          <w:sz w:val="21"/>
          <w:szCs w:val="21"/>
          <w:lang w:eastAsia="pl-PL"/>
        </w:rPr>
        <w:t>4,3</w:t>
      </w:r>
      <w:r w:rsidRPr="00254AB9">
        <w:rPr>
          <w:rFonts w:eastAsia="+mn-ea" w:cs="Calibri"/>
          <w:kern w:val="24"/>
          <w:sz w:val="21"/>
          <w:szCs w:val="21"/>
          <w:lang w:eastAsia="pl-PL"/>
        </w:rPr>
        <w:t>%)</w:t>
      </w:r>
      <w:r w:rsidR="00703314">
        <w:rPr>
          <w:rFonts w:eastAsia="+mn-ea" w:cs="Calibri"/>
          <w:kern w:val="24"/>
          <w:sz w:val="21"/>
          <w:szCs w:val="21"/>
          <w:lang w:eastAsia="pl-PL"/>
        </w:rPr>
        <w:t>,</w:t>
      </w:r>
    </w:p>
    <w:p w14:paraId="23DA8B82" w14:textId="43EC61B5" w:rsidR="002C51A1" w:rsidRPr="00254AB9" w:rsidRDefault="002C51A1" w:rsidP="00A9445F">
      <w:pPr>
        <w:pStyle w:val="Akapitzlist"/>
        <w:numPr>
          <w:ilvl w:val="0"/>
          <w:numId w:val="3"/>
        </w:numPr>
        <w:spacing w:after="0" w:line="240" w:lineRule="auto"/>
        <w:rPr>
          <w:rFonts w:cs="Calibri"/>
          <w:sz w:val="21"/>
          <w:szCs w:val="21"/>
          <w:lang w:eastAsia="pl-PL"/>
        </w:rPr>
      </w:pPr>
      <w:r w:rsidRPr="00254AB9">
        <w:rPr>
          <w:rFonts w:eastAsia="+mn-ea" w:cs="Calibri"/>
          <w:kern w:val="24"/>
          <w:sz w:val="21"/>
          <w:szCs w:val="21"/>
          <w:lang w:eastAsia="pl-PL"/>
        </w:rPr>
        <w:t>tablice, szafy</w:t>
      </w:r>
      <w:r w:rsidR="006343E1">
        <w:rPr>
          <w:rFonts w:eastAsia="+mn-ea" w:cs="Calibri"/>
          <w:kern w:val="24"/>
          <w:sz w:val="21"/>
          <w:szCs w:val="21"/>
          <w:lang w:eastAsia="pl-PL"/>
        </w:rPr>
        <w:t xml:space="preserve"> </w:t>
      </w:r>
      <w:r w:rsidR="006343E1" w:rsidRPr="00254AB9">
        <w:rPr>
          <w:rFonts w:eastAsia="+mn-ea" w:cs="Calibri"/>
          <w:kern w:val="24"/>
          <w:sz w:val="21"/>
          <w:szCs w:val="21"/>
          <w:lang w:eastAsia="pl-PL"/>
        </w:rPr>
        <w:t>i</w:t>
      </w:r>
      <w:r w:rsidR="006343E1">
        <w:rPr>
          <w:rFonts w:eastAsia="+mn-ea" w:cs="Calibri"/>
          <w:kern w:val="24"/>
          <w:sz w:val="21"/>
          <w:szCs w:val="21"/>
          <w:lang w:eastAsia="pl-PL"/>
        </w:rPr>
        <w:t> </w:t>
      </w:r>
      <w:r w:rsidRPr="00254AB9">
        <w:rPr>
          <w:rFonts w:eastAsia="+mn-ea" w:cs="Calibri"/>
          <w:kern w:val="24"/>
          <w:sz w:val="21"/>
          <w:szCs w:val="21"/>
          <w:lang w:eastAsia="pl-PL"/>
        </w:rPr>
        <w:t>podobne zestawy aparatów do elektrycznego sterowania lub rozdziału energii elektrycznej (</w:t>
      </w:r>
      <w:r>
        <w:rPr>
          <w:rFonts w:eastAsia="+mn-ea" w:cs="Calibri"/>
          <w:kern w:val="24"/>
          <w:sz w:val="21"/>
          <w:szCs w:val="21"/>
          <w:lang w:eastAsia="pl-PL"/>
        </w:rPr>
        <w:t>3,8</w:t>
      </w:r>
      <w:r w:rsidRPr="00254AB9">
        <w:rPr>
          <w:rFonts w:eastAsia="+mn-ea" w:cs="Calibri"/>
          <w:kern w:val="24"/>
          <w:sz w:val="21"/>
          <w:szCs w:val="21"/>
          <w:lang w:eastAsia="pl-PL"/>
        </w:rPr>
        <w:t>%)</w:t>
      </w:r>
      <w:r w:rsidR="00703314">
        <w:rPr>
          <w:rFonts w:eastAsia="+mn-ea" w:cs="Calibri"/>
          <w:kern w:val="24"/>
          <w:sz w:val="21"/>
          <w:szCs w:val="21"/>
          <w:lang w:eastAsia="pl-PL"/>
        </w:rPr>
        <w:t>,</w:t>
      </w:r>
    </w:p>
    <w:p w14:paraId="1226C947" w14:textId="73A4B27F" w:rsidR="002C51A1" w:rsidRPr="00254AB9" w:rsidRDefault="002C51A1" w:rsidP="00A9445F">
      <w:pPr>
        <w:pStyle w:val="Akapitzlist"/>
        <w:numPr>
          <w:ilvl w:val="0"/>
          <w:numId w:val="3"/>
        </w:numPr>
        <w:spacing w:after="0" w:line="240" w:lineRule="auto"/>
        <w:rPr>
          <w:rFonts w:cs="Calibri"/>
          <w:sz w:val="21"/>
          <w:szCs w:val="21"/>
          <w:lang w:eastAsia="pl-PL"/>
        </w:rPr>
      </w:pPr>
      <w:r>
        <w:rPr>
          <w:rFonts w:eastAsia="+mn-ea" w:cs="Calibri"/>
          <w:kern w:val="24"/>
          <w:sz w:val="21"/>
          <w:szCs w:val="21"/>
          <w:lang w:eastAsia="pl-PL"/>
        </w:rPr>
        <w:t>telefony</w:t>
      </w:r>
      <w:r w:rsidRPr="00254AB9">
        <w:rPr>
          <w:rFonts w:eastAsia="+mn-ea" w:cs="Calibri"/>
          <w:kern w:val="24"/>
          <w:sz w:val="21"/>
          <w:szCs w:val="21"/>
          <w:lang w:eastAsia="pl-PL"/>
        </w:rPr>
        <w:t xml:space="preserve"> dla sieci komórkowych lub dla innych sieci bezprzewodowych (</w:t>
      </w:r>
      <w:r>
        <w:rPr>
          <w:rFonts w:eastAsia="+mn-ea" w:cs="Calibri"/>
          <w:kern w:val="24"/>
          <w:sz w:val="21"/>
          <w:szCs w:val="21"/>
          <w:lang w:eastAsia="pl-PL"/>
        </w:rPr>
        <w:t>3,6</w:t>
      </w:r>
      <w:r w:rsidRPr="00254AB9">
        <w:rPr>
          <w:rFonts w:eastAsia="+mn-ea" w:cs="Calibri"/>
          <w:kern w:val="24"/>
          <w:sz w:val="21"/>
          <w:szCs w:val="21"/>
          <w:lang w:eastAsia="pl-PL"/>
        </w:rPr>
        <w:t>%)</w:t>
      </w:r>
      <w:r w:rsidR="00703314">
        <w:rPr>
          <w:rFonts w:eastAsia="+mn-ea" w:cs="Calibri"/>
          <w:kern w:val="24"/>
          <w:sz w:val="21"/>
          <w:szCs w:val="21"/>
          <w:lang w:eastAsia="pl-PL"/>
        </w:rPr>
        <w:t>.</w:t>
      </w:r>
    </w:p>
    <w:p w14:paraId="58598C1B" w14:textId="25C5C7AF" w:rsidR="002C51A1" w:rsidRPr="00254AB9" w:rsidRDefault="002C51A1" w:rsidP="002C51A1">
      <w:r w:rsidRPr="00254AB9">
        <w:t>Cechą charakterystyczną polskiego eksportu jest także silna koncentracja na rynkach państw UE</w:t>
      </w:r>
      <w:r w:rsidR="00AF2A9A">
        <w:t>-</w:t>
      </w:r>
      <w:r>
        <w:t>28</w:t>
      </w:r>
      <w:r w:rsidRPr="00254AB9">
        <w:t>, co powoduje</w:t>
      </w:r>
      <w:r w:rsidR="00477C54">
        <w:t>, że </w:t>
      </w:r>
      <w:r w:rsidR="006343E1" w:rsidRPr="00254AB9">
        <w:t>w</w:t>
      </w:r>
      <w:r w:rsidR="006343E1">
        <w:t> </w:t>
      </w:r>
      <w:r w:rsidRPr="00254AB9">
        <w:t xml:space="preserve">dużym stopniu jego wyniki </w:t>
      </w:r>
      <w:r w:rsidR="00703314" w:rsidRPr="00254AB9">
        <w:t xml:space="preserve">są </w:t>
      </w:r>
      <w:r w:rsidRPr="00254AB9">
        <w:t>uzależnione od wahań koniunkturalnych gospodarek unijnych.</w:t>
      </w:r>
      <w:r w:rsidR="006343E1">
        <w:t xml:space="preserve"> </w:t>
      </w:r>
      <w:r w:rsidR="006343E1" w:rsidRPr="00254AB9">
        <w:t>W</w:t>
      </w:r>
      <w:r w:rsidR="006343E1">
        <w:t> </w:t>
      </w:r>
      <w:r w:rsidRPr="00254AB9">
        <w:t>201</w:t>
      </w:r>
      <w:r>
        <w:t>9</w:t>
      </w:r>
      <w:r w:rsidRPr="00254AB9">
        <w:t xml:space="preserve"> r. do Unii Europejskiej trafiło </w:t>
      </w:r>
      <w:r>
        <w:t>80</w:t>
      </w:r>
      <w:r w:rsidRPr="00254AB9">
        <w:t>% całkowitego wywozu</w:t>
      </w:r>
      <w:r w:rsidR="006343E1">
        <w:t xml:space="preserve"> </w:t>
      </w:r>
      <w:r w:rsidR="006343E1" w:rsidRPr="00254AB9">
        <w:t>z</w:t>
      </w:r>
      <w:r w:rsidR="006343E1">
        <w:t> </w:t>
      </w:r>
      <w:r w:rsidRPr="00254AB9">
        <w:t>Polski,</w:t>
      </w:r>
      <w:r w:rsidR="006343E1">
        <w:t xml:space="preserve"> </w:t>
      </w:r>
      <w:r w:rsidR="006343E1" w:rsidRPr="00254AB9">
        <w:t>w</w:t>
      </w:r>
      <w:r w:rsidR="006343E1">
        <w:t> </w:t>
      </w:r>
      <w:r w:rsidRPr="00254AB9">
        <w:t xml:space="preserve">tym do Niemiec </w:t>
      </w:r>
      <w:r>
        <w:t>27,7</w:t>
      </w:r>
      <w:r w:rsidRPr="00254AB9">
        <w:t>%, Czech</w:t>
      </w:r>
      <w:r>
        <w:t xml:space="preserve"> 6,1%</w:t>
      </w:r>
      <w:r w:rsidR="00703314">
        <w:t>,</w:t>
      </w:r>
      <w:r w:rsidR="006343E1">
        <w:t> </w:t>
      </w:r>
      <w:r>
        <w:t>Wielkiej Brytanii 6%</w:t>
      </w:r>
      <w:r w:rsidR="00703314">
        <w:t xml:space="preserve"> i</w:t>
      </w:r>
      <w:r>
        <w:t xml:space="preserve"> Francji 5,9%. </w:t>
      </w:r>
      <w:r w:rsidRPr="00254AB9">
        <w:t>Na liście 10 najważniejszych odbiorców towarów</w:t>
      </w:r>
      <w:r w:rsidR="006343E1">
        <w:t xml:space="preserve"> </w:t>
      </w:r>
      <w:r w:rsidR="006343E1" w:rsidRPr="00254AB9">
        <w:t>z</w:t>
      </w:r>
      <w:r w:rsidR="006343E1">
        <w:t> </w:t>
      </w:r>
      <w:r w:rsidRPr="00254AB9">
        <w:t>Polski</w:t>
      </w:r>
      <w:r w:rsidR="006343E1">
        <w:t xml:space="preserve"> </w:t>
      </w:r>
      <w:r w:rsidR="006343E1" w:rsidRPr="00254AB9">
        <w:t>w</w:t>
      </w:r>
      <w:r w:rsidR="006343E1">
        <w:t> </w:t>
      </w:r>
      <w:r w:rsidRPr="00254AB9">
        <w:t>201</w:t>
      </w:r>
      <w:r>
        <w:t>9</w:t>
      </w:r>
      <w:r w:rsidRPr="00254AB9">
        <w:t> r. znalazły się jedynie dwa rynki spoza U</w:t>
      </w:r>
      <w:r w:rsidR="00703314">
        <w:t xml:space="preserve">nii </w:t>
      </w:r>
      <w:r w:rsidRPr="00254AB9">
        <w:t>E</w:t>
      </w:r>
      <w:r w:rsidR="00703314">
        <w:t>uropejskiej</w:t>
      </w:r>
      <w:r w:rsidRPr="00254AB9">
        <w:t>, tj. Rosja (na miejscu 7.,</w:t>
      </w:r>
      <w:r w:rsidR="006343E1">
        <w:t xml:space="preserve"> </w:t>
      </w:r>
      <w:r w:rsidR="006343E1" w:rsidRPr="00254AB9">
        <w:t>z</w:t>
      </w:r>
      <w:r w:rsidR="006343E1">
        <w:t> </w:t>
      </w:r>
      <w:r w:rsidRPr="00254AB9">
        <w:t>udziałem 3</w:t>
      </w:r>
      <w:r>
        <w:t>,1</w:t>
      </w:r>
      <w:r w:rsidRPr="00254AB9">
        <w:t xml:space="preserve">%) oraz USA (na pozycji </w:t>
      </w:r>
      <w:r>
        <w:t>8</w:t>
      </w:r>
      <w:r w:rsidRPr="00254AB9">
        <w:t>., z udziałem 2,</w:t>
      </w:r>
      <w:r>
        <w:t>8</w:t>
      </w:r>
      <w:r w:rsidRPr="00254AB9">
        <w:t>%).</w:t>
      </w:r>
    </w:p>
    <w:p w14:paraId="7E60C7F0" w14:textId="4B29A764" w:rsidR="002C51A1" w:rsidRPr="00254AB9" w:rsidRDefault="002C51A1" w:rsidP="002C51A1">
      <w:r w:rsidRPr="00254AB9">
        <w:t>Niezależnie od wagi państw Unii Europejskiej</w:t>
      </w:r>
      <w:r w:rsidR="006343E1">
        <w:t xml:space="preserve"> </w:t>
      </w:r>
      <w:r w:rsidR="006343E1" w:rsidRPr="00254AB9">
        <w:t>w</w:t>
      </w:r>
      <w:r w:rsidR="006343E1">
        <w:t> </w:t>
      </w:r>
      <w:r w:rsidRPr="00254AB9">
        <w:t xml:space="preserve">polskim eksporcie, </w:t>
      </w:r>
      <w:r w:rsidR="00703314">
        <w:t>wzorując się na</w:t>
      </w:r>
      <w:r w:rsidRPr="00254AB9">
        <w:t xml:space="preserve"> wysoko rozwiniętych kraj</w:t>
      </w:r>
      <w:r w:rsidR="00703314">
        <w:t>ach</w:t>
      </w:r>
      <w:r w:rsidRPr="00254AB9">
        <w:t xml:space="preserve"> unijnych, takich jak np. Niemcy, Francja czy Wielka Brytania, należy dążyć do większej dywersyfikacji geograficznej naszego eksportu. Nasze przedsiębiorstwa, przy wsparciu państwa, powinny wzmacniać aktywność na perspektywicznych rynkach – azjatyckim, afrykańskim</w:t>
      </w:r>
      <w:r w:rsidR="006343E1">
        <w:t xml:space="preserve"> </w:t>
      </w:r>
      <w:r w:rsidR="006343E1" w:rsidRPr="00254AB9">
        <w:t>i</w:t>
      </w:r>
      <w:r w:rsidR="006343E1">
        <w:t> </w:t>
      </w:r>
      <w:r w:rsidRPr="00254AB9">
        <w:t>amerykańskim, które często notują znacznie wyższe wskaźniki wzrostu PKB</w:t>
      </w:r>
      <w:r w:rsidR="006343E1">
        <w:t xml:space="preserve"> </w:t>
      </w:r>
      <w:r w:rsidR="006343E1" w:rsidRPr="00254AB9">
        <w:t>i</w:t>
      </w:r>
      <w:r w:rsidR="006343E1">
        <w:t> </w:t>
      </w:r>
      <w:r w:rsidRPr="00254AB9">
        <w:t xml:space="preserve">obrotów handlowych (w tym importu) niż rynki unijne oraz </w:t>
      </w:r>
      <w:r w:rsidR="00703314">
        <w:t>m</w:t>
      </w:r>
      <w:r w:rsidRPr="00254AB9">
        <w:t xml:space="preserve">ają jeszcze niezagospodarowany potencjał popytu wewnętrznego. </w:t>
      </w:r>
    </w:p>
    <w:p w14:paraId="66B8E52C" w14:textId="2CF94CDD" w:rsidR="002C51A1" w:rsidRPr="00254AB9" w:rsidRDefault="002C51A1" w:rsidP="00CB07D4">
      <w:pPr>
        <w:spacing w:after="0" w:line="240" w:lineRule="auto"/>
        <w:jc w:val="left"/>
        <w:rPr>
          <w:rFonts w:cs="Calibri"/>
          <w:sz w:val="21"/>
          <w:szCs w:val="21"/>
        </w:rPr>
      </w:pPr>
      <w:r w:rsidRPr="00254AB9">
        <w:rPr>
          <w:rFonts w:cs="Calibri"/>
          <w:b/>
          <w:sz w:val="21"/>
          <w:szCs w:val="21"/>
        </w:rPr>
        <w:t xml:space="preserve">Wykres </w:t>
      </w:r>
      <w:r w:rsidR="00FC6E8F">
        <w:rPr>
          <w:rFonts w:cs="Calibri"/>
          <w:b/>
          <w:sz w:val="21"/>
          <w:szCs w:val="21"/>
        </w:rPr>
        <w:t>100</w:t>
      </w:r>
      <w:r w:rsidRPr="00254AB9">
        <w:rPr>
          <w:rFonts w:cs="Calibri"/>
          <w:b/>
          <w:sz w:val="21"/>
          <w:szCs w:val="21"/>
        </w:rPr>
        <w:t>.</w:t>
      </w:r>
      <w:r w:rsidRPr="00254AB9">
        <w:rPr>
          <w:rFonts w:cs="Calibri"/>
          <w:b/>
          <w:bCs/>
          <w:sz w:val="21"/>
          <w:szCs w:val="21"/>
        </w:rPr>
        <w:t xml:space="preserve"> </w:t>
      </w:r>
      <w:r w:rsidRPr="00254AB9">
        <w:rPr>
          <w:rFonts w:cs="Calibri"/>
          <w:b/>
          <w:bCs/>
          <w:sz w:val="21"/>
          <w:szCs w:val="21"/>
          <w:lang w:eastAsia="pl-PL"/>
        </w:rPr>
        <w:t>Udział eksportu do UE</w:t>
      </w:r>
      <w:r w:rsidR="006343E1">
        <w:rPr>
          <w:rFonts w:cs="Calibri"/>
          <w:b/>
          <w:bCs/>
          <w:sz w:val="21"/>
          <w:szCs w:val="21"/>
          <w:lang w:eastAsia="pl-PL"/>
        </w:rPr>
        <w:t xml:space="preserve"> </w:t>
      </w:r>
      <w:r w:rsidR="006343E1" w:rsidRPr="00254AB9">
        <w:rPr>
          <w:rFonts w:cs="Calibri"/>
          <w:b/>
          <w:bCs/>
          <w:sz w:val="21"/>
          <w:szCs w:val="21"/>
          <w:lang w:eastAsia="pl-PL"/>
        </w:rPr>
        <w:t>w</w:t>
      </w:r>
      <w:r w:rsidR="006343E1">
        <w:rPr>
          <w:rFonts w:cs="Calibri"/>
          <w:b/>
          <w:bCs/>
          <w:sz w:val="21"/>
          <w:szCs w:val="21"/>
          <w:lang w:eastAsia="pl-PL"/>
        </w:rPr>
        <w:t> </w:t>
      </w:r>
      <w:r w:rsidRPr="00254AB9">
        <w:rPr>
          <w:rFonts w:cs="Calibri"/>
          <w:b/>
          <w:bCs/>
          <w:sz w:val="21"/>
          <w:szCs w:val="21"/>
          <w:lang w:eastAsia="pl-PL"/>
        </w:rPr>
        <w:t>całkowitym eksporcie wybranych rynków unijnych</w:t>
      </w:r>
      <w:r w:rsidR="006343E1">
        <w:rPr>
          <w:rFonts w:cs="Calibri"/>
          <w:b/>
          <w:bCs/>
          <w:sz w:val="21"/>
          <w:szCs w:val="21"/>
          <w:lang w:eastAsia="pl-PL"/>
        </w:rPr>
        <w:t xml:space="preserve"> </w:t>
      </w:r>
      <w:r w:rsidR="006343E1" w:rsidRPr="00254AB9">
        <w:rPr>
          <w:rFonts w:cs="Calibri"/>
          <w:b/>
          <w:bCs/>
          <w:sz w:val="21"/>
          <w:szCs w:val="21"/>
          <w:lang w:eastAsia="pl-PL"/>
        </w:rPr>
        <w:t>w</w:t>
      </w:r>
      <w:r w:rsidRPr="00254AB9">
        <w:rPr>
          <w:rFonts w:cs="Calibri"/>
          <w:b/>
          <w:bCs/>
          <w:sz w:val="21"/>
          <w:szCs w:val="21"/>
          <w:lang w:eastAsia="pl-PL"/>
        </w:rPr>
        <w:t xml:space="preserve"> 201</w:t>
      </w:r>
      <w:r>
        <w:rPr>
          <w:rFonts w:cs="Calibri"/>
          <w:b/>
          <w:bCs/>
          <w:sz w:val="21"/>
          <w:szCs w:val="21"/>
          <w:lang w:eastAsia="pl-PL"/>
        </w:rPr>
        <w:t>8</w:t>
      </w:r>
      <w:r w:rsidRPr="00254AB9">
        <w:rPr>
          <w:rFonts w:cs="Calibri"/>
          <w:b/>
          <w:bCs/>
          <w:sz w:val="21"/>
          <w:szCs w:val="21"/>
          <w:lang w:eastAsia="pl-PL"/>
        </w:rPr>
        <w:t xml:space="preserve"> </w:t>
      </w:r>
      <w:r w:rsidR="00703314">
        <w:rPr>
          <w:rFonts w:cs="Calibri"/>
          <w:b/>
          <w:bCs/>
          <w:sz w:val="21"/>
          <w:szCs w:val="21"/>
          <w:lang w:eastAsia="pl-PL"/>
        </w:rPr>
        <w:t>r.</w:t>
      </w:r>
      <w:r w:rsidRPr="00254AB9">
        <w:rPr>
          <w:rFonts w:cs="Calibri"/>
          <w:b/>
          <w:bCs/>
          <w:sz w:val="21"/>
          <w:szCs w:val="21"/>
          <w:lang w:eastAsia="pl-PL"/>
        </w:rPr>
        <w:t xml:space="preserve"> (w %)</w:t>
      </w:r>
      <w:r>
        <w:rPr>
          <w:noProof/>
          <w:lang w:eastAsia="pl-PL"/>
        </w:rPr>
        <w:drawing>
          <wp:inline distT="0" distB="0" distL="0" distR="0" wp14:anchorId="08371BAE" wp14:editId="4784F14A">
            <wp:extent cx="5589905" cy="2866030"/>
            <wp:effectExtent l="0" t="0" r="0" b="0"/>
            <wp:docPr id="72" name="Wykres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p w14:paraId="66581976" w14:textId="77777777" w:rsidR="00C94DAB" w:rsidRDefault="00C94DAB" w:rsidP="002C51A1">
      <w:pPr>
        <w:pStyle w:val="Bezodstpw"/>
      </w:pPr>
    </w:p>
    <w:p w14:paraId="5E3CC49D" w14:textId="12AEE8CC" w:rsidR="002C51A1" w:rsidRPr="00254AB9" w:rsidRDefault="002C51A1" w:rsidP="002C51A1">
      <w:pPr>
        <w:pStyle w:val="Bezodstpw"/>
      </w:pPr>
      <w:r w:rsidRPr="00254AB9">
        <w:t xml:space="preserve">Źródło: Opracowanie </w:t>
      </w:r>
      <w:r w:rsidR="003A56DA">
        <w:t>MRiT</w:t>
      </w:r>
      <w:r w:rsidRPr="00254AB9">
        <w:t xml:space="preserve"> na podstawie </w:t>
      </w:r>
      <w:r>
        <w:t xml:space="preserve">danych Eurostat </w:t>
      </w:r>
      <w:r w:rsidRPr="00254AB9">
        <w:t>(201</w:t>
      </w:r>
      <w:r>
        <w:t>9</w:t>
      </w:r>
      <w:r w:rsidRPr="00254AB9">
        <w:t>), dla Polski dane GUS (201</w:t>
      </w:r>
      <w:r>
        <w:t>9</w:t>
      </w:r>
      <w:r w:rsidRPr="00254AB9">
        <w:t xml:space="preserve">d) </w:t>
      </w:r>
    </w:p>
    <w:p w14:paraId="5C4FAFFF" w14:textId="5C899431" w:rsidR="002C51A1" w:rsidRPr="00254AB9" w:rsidRDefault="002C51A1" w:rsidP="002C51A1">
      <w:r w:rsidRPr="00254AB9">
        <w:t>Podsumowując, eksport jest ważną częścią gospodarki państwa. Pozwala na głębszą integrację</w:t>
      </w:r>
      <w:r w:rsidR="006343E1">
        <w:t xml:space="preserve"> </w:t>
      </w:r>
      <w:r w:rsidR="006343E1" w:rsidRPr="00254AB9">
        <w:t>z</w:t>
      </w:r>
      <w:r w:rsidR="006343E1">
        <w:t> </w:t>
      </w:r>
      <w:r w:rsidRPr="00254AB9">
        <w:t>gospodarką światową oraz przyczynia się do poprawy pozycji</w:t>
      </w:r>
      <w:r w:rsidR="006343E1">
        <w:t xml:space="preserve"> </w:t>
      </w:r>
      <w:r w:rsidR="006343E1" w:rsidRPr="00254AB9">
        <w:t>w</w:t>
      </w:r>
      <w:r w:rsidR="006343E1">
        <w:t> </w:t>
      </w:r>
      <w:r w:rsidRPr="00254AB9">
        <w:t xml:space="preserve">globalnym łańcuchu wartości, stymulując procesy rozwojowe na rynku krajowym. </w:t>
      </w:r>
    </w:p>
    <w:p w14:paraId="781FB83A" w14:textId="5A638D84" w:rsidR="002C51A1" w:rsidRPr="00254AB9" w:rsidRDefault="002C51A1" w:rsidP="002C51A1">
      <w:r w:rsidRPr="00254AB9">
        <w:t>Proponowanymi działaniami, jakie powinny być podjęte</w:t>
      </w:r>
      <w:r w:rsidR="006343E1">
        <w:t xml:space="preserve"> </w:t>
      </w:r>
      <w:r w:rsidR="006343E1" w:rsidRPr="00254AB9">
        <w:t>w</w:t>
      </w:r>
      <w:r w:rsidR="006343E1">
        <w:t> </w:t>
      </w:r>
      <w:r w:rsidRPr="00254AB9">
        <w:t>tym obszarze</w:t>
      </w:r>
      <w:r w:rsidR="00C94DAB">
        <w:t>,</w:t>
      </w:r>
      <w:r w:rsidRPr="00254AB9">
        <w:t xml:space="preserve"> </w:t>
      </w:r>
      <w:r w:rsidR="00C94DAB">
        <w:t>są</w:t>
      </w:r>
      <w:r w:rsidRPr="00254AB9">
        <w:t xml:space="preserve"> wsparcie produkcji i eksportu towarów najbardziej </w:t>
      </w:r>
      <w:r w:rsidR="00CB7686">
        <w:t>zaawansowanych technologicznie</w:t>
      </w:r>
      <w:r w:rsidRPr="00254AB9">
        <w:t xml:space="preserve"> oraz wsparcie internacjonalizacji MSP,</w:t>
      </w:r>
      <w:r w:rsidR="006343E1">
        <w:t xml:space="preserve"> </w:t>
      </w:r>
      <w:r w:rsidR="006343E1" w:rsidRPr="00254AB9">
        <w:t>w</w:t>
      </w:r>
      <w:r w:rsidR="006343E1">
        <w:t> </w:t>
      </w:r>
      <w:r w:rsidRPr="00254AB9">
        <w:t>tym rozwijanie bardziej zaawansowanych form współpracy</w:t>
      </w:r>
      <w:r w:rsidR="006343E1">
        <w:t xml:space="preserve"> </w:t>
      </w:r>
      <w:r w:rsidR="006343E1" w:rsidRPr="00254AB9">
        <w:t>z</w:t>
      </w:r>
      <w:r w:rsidR="006343E1">
        <w:t> </w:t>
      </w:r>
      <w:r w:rsidRPr="00254AB9">
        <w:t>zagranicą (</w:t>
      </w:r>
      <w:r w:rsidR="00C94DAB">
        <w:t xml:space="preserve">tak </w:t>
      </w:r>
      <w:r w:rsidRPr="00254AB9">
        <w:t>żeby nie koncentrowała się ona jedynie na eksporcie</w:t>
      </w:r>
      <w:r w:rsidR="006343E1">
        <w:t xml:space="preserve"> </w:t>
      </w:r>
      <w:r w:rsidR="006343E1" w:rsidRPr="00254AB9">
        <w:t>i</w:t>
      </w:r>
      <w:r w:rsidR="006343E1">
        <w:t> </w:t>
      </w:r>
      <w:r w:rsidRPr="00254AB9">
        <w:t>imporcie).</w:t>
      </w:r>
      <w:r w:rsidR="006343E1">
        <w:t xml:space="preserve"> </w:t>
      </w:r>
      <w:r w:rsidR="006343E1" w:rsidRPr="00254AB9">
        <w:t>W</w:t>
      </w:r>
      <w:r w:rsidR="006343E1">
        <w:t> </w:t>
      </w:r>
      <w:r w:rsidRPr="00254AB9">
        <w:t>skutecznej ekspansji zagranicznej naszych firm istotna jest także promocja Polski oraz polskich towarów na rynkach zagranicznych</w:t>
      </w:r>
      <w:r w:rsidR="006343E1">
        <w:t xml:space="preserve"> </w:t>
      </w:r>
      <w:r w:rsidR="006343E1" w:rsidRPr="00254AB9">
        <w:t>w</w:t>
      </w:r>
      <w:r w:rsidR="006343E1">
        <w:t> </w:t>
      </w:r>
      <w:r w:rsidRPr="00254AB9">
        <w:t>celu zwiększenia rozpoznawalności</w:t>
      </w:r>
      <w:r w:rsidR="00C94DAB">
        <w:t xml:space="preserve"> tych towarów</w:t>
      </w:r>
      <w:r w:rsidRPr="00254AB9">
        <w:t xml:space="preserve">. Obecnie zbyt duża część polskich produktów trafia na rynki zagraniczne pod marką innego kraju albo jako jedynie półprodukty, które są elementami innych zagranicznych towarów. </w:t>
      </w:r>
      <w:r w:rsidR="00C94DAB">
        <w:t>A</w:t>
      </w:r>
      <w:r w:rsidRPr="00254AB9">
        <w:t>by zmniejszyć zależność wyników polskiego eksportu od sytuacji gospodarczej państw U</w:t>
      </w:r>
      <w:r w:rsidR="00C94DAB">
        <w:t xml:space="preserve">nii </w:t>
      </w:r>
      <w:r w:rsidRPr="00254AB9">
        <w:t>E</w:t>
      </w:r>
      <w:r w:rsidR="00C94DAB">
        <w:t>uropejskiej</w:t>
      </w:r>
      <w:r w:rsidRPr="00254AB9">
        <w:t xml:space="preserve">, należy dążyć do większej dywersyfikacji kierunków eksportowych polskich firm. </w:t>
      </w:r>
    </w:p>
    <w:p w14:paraId="3C46F6DE" w14:textId="77777777" w:rsidR="001C0FF5" w:rsidRDefault="001C0FF5">
      <w:pPr>
        <w:spacing w:before="0" w:after="0" w:line="240" w:lineRule="auto"/>
        <w:jc w:val="left"/>
        <w:rPr>
          <w:rFonts w:eastAsia="Times New Roman" w:cs="Times New Roman"/>
          <w:b/>
          <w:bCs/>
          <w:color w:val="4F81BD"/>
          <w:szCs w:val="26"/>
          <w:lang w:val="en-US"/>
        </w:rPr>
      </w:pPr>
      <w:bookmarkStart w:id="168" w:name="_Toc31808535"/>
      <w:r>
        <w:rPr>
          <w:lang w:val="en-US"/>
        </w:rPr>
        <w:br w:type="page"/>
      </w:r>
    </w:p>
    <w:p w14:paraId="73EB8D2B" w14:textId="0B93B301" w:rsidR="002C51A1" w:rsidRPr="009760C6" w:rsidRDefault="002C51A1" w:rsidP="002C51A1">
      <w:pPr>
        <w:pStyle w:val="Nagwek2"/>
        <w:rPr>
          <w:lang w:val="en-US"/>
        </w:rPr>
      </w:pPr>
      <w:bookmarkStart w:id="169" w:name="_Toc106968819"/>
      <w:r w:rsidRPr="009760C6">
        <w:rPr>
          <w:lang w:val="en-US"/>
        </w:rPr>
        <w:t>Literatura</w:t>
      </w:r>
      <w:bookmarkEnd w:id="168"/>
      <w:bookmarkEnd w:id="169"/>
    </w:p>
    <w:p w14:paraId="2E938D74" w14:textId="77777777" w:rsidR="002C51A1" w:rsidRDefault="002C51A1" w:rsidP="002C51A1">
      <w:pPr>
        <w:spacing w:after="0" w:line="240" w:lineRule="auto"/>
        <w:rPr>
          <w:lang w:val="en-GB"/>
        </w:rPr>
      </w:pPr>
      <w:r w:rsidRPr="004A4CAB">
        <w:rPr>
          <w:lang w:val="en-GB"/>
        </w:rPr>
        <w:t>EC (2017). Digital Economy and Society Index</w:t>
      </w:r>
    </w:p>
    <w:p w14:paraId="6DA66518" w14:textId="40EE8D3D" w:rsidR="002C51A1" w:rsidRPr="00254AB9" w:rsidRDefault="002C51A1" w:rsidP="002C51A1">
      <w:pPr>
        <w:spacing w:after="0" w:line="240" w:lineRule="auto"/>
        <w:rPr>
          <w:rFonts w:cs="Calibri"/>
          <w:sz w:val="21"/>
          <w:szCs w:val="21"/>
          <w:lang w:val="en-GB"/>
        </w:rPr>
      </w:pPr>
      <w:r w:rsidRPr="00CB7686">
        <w:rPr>
          <w:rFonts w:cs="Calibri"/>
          <w:sz w:val="21"/>
          <w:szCs w:val="21"/>
          <w:lang w:val="en-GB"/>
        </w:rPr>
        <w:t>https://ec.europa.eu/digital-single-market/en/desi</w:t>
      </w:r>
    </w:p>
    <w:p w14:paraId="23812E46" w14:textId="67D6C71A" w:rsidR="002C51A1" w:rsidRPr="00254AB9" w:rsidRDefault="002C51A1" w:rsidP="002C51A1">
      <w:pPr>
        <w:spacing w:after="0" w:line="240" w:lineRule="auto"/>
        <w:rPr>
          <w:rFonts w:cs="Calibri"/>
          <w:sz w:val="21"/>
          <w:szCs w:val="21"/>
        </w:rPr>
      </w:pPr>
      <w:r w:rsidRPr="00254AB9">
        <w:rPr>
          <w:rFonts w:cs="Calibri"/>
          <w:sz w:val="21"/>
          <w:szCs w:val="21"/>
        </w:rPr>
        <w:t xml:space="preserve">GUS (2018a). Bank danych lokalnych, Podgrupa: </w:t>
      </w:r>
      <w:r w:rsidRPr="00254AB9">
        <w:rPr>
          <w:rFonts w:cs="Calibri"/>
          <w:i/>
          <w:sz w:val="21"/>
          <w:szCs w:val="21"/>
        </w:rPr>
        <w:t>Nakłady inwestycyjne</w:t>
      </w:r>
      <w:r w:rsidR="006343E1">
        <w:rPr>
          <w:rFonts w:cs="Calibri"/>
          <w:i/>
          <w:sz w:val="21"/>
          <w:szCs w:val="21"/>
        </w:rPr>
        <w:t xml:space="preserve"> </w:t>
      </w:r>
      <w:r w:rsidR="006343E1" w:rsidRPr="00254AB9">
        <w:rPr>
          <w:rFonts w:cs="Calibri"/>
          <w:i/>
          <w:sz w:val="21"/>
          <w:szCs w:val="21"/>
        </w:rPr>
        <w:t>w</w:t>
      </w:r>
      <w:r w:rsidR="006343E1">
        <w:rPr>
          <w:rFonts w:cs="Calibri"/>
          <w:i/>
          <w:sz w:val="21"/>
          <w:szCs w:val="21"/>
        </w:rPr>
        <w:t> </w:t>
      </w:r>
      <w:r w:rsidRPr="00254AB9">
        <w:rPr>
          <w:rFonts w:cs="Calibri"/>
          <w:i/>
          <w:sz w:val="21"/>
          <w:szCs w:val="21"/>
        </w:rPr>
        <w:t>spółkach</w:t>
      </w:r>
      <w:r w:rsidR="006343E1">
        <w:rPr>
          <w:rFonts w:cs="Calibri"/>
          <w:i/>
          <w:sz w:val="21"/>
          <w:szCs w:val="21"/>
        </w:rPr>
        <w:t xml:space="preserve"> </w:t>
      </w:r>
      <w:r w:rsidR="006343E1" w:rsidRPr="00254AB9">
        <w:rPr>
          <w:rFonts w:cs="Calibri"/>
          <w:i/>
          <w:sz w:val="21"/>
          <w:szCs w:val="21"/>
        </w:rPr>
        <w:t>z</w:t>
      </w:r>
      <w:r w:rsidR="006343E1">
        <w:rPr>
          <w:rFonts w:cs="Calibri"/>
          <w:i/>
          <w:sz w:val="21"/>
          <w:szCs w:val="21"/>
        </w:rPr>
        <w:t> </w:t>
      </w:r>
      <w:r w:rsidRPr="00254AB9">
        <w:rPr>
          <w:rFonts w:cs="Calibri"/>
          <w:i/>
          <w:sz w:val="21"/>
          <w:szCs w:val="21"/>
        </w:rPr>
        <w:t>udziałem kapitału zagranicznego</w:t>
      </w:r>
      <w:r w:rsidR="006343E1">
        <w:rPr>
          <w:rFonts w:cs="Calibri"/>
          <w:i/>
          <w:sz w:val="21"/>
          <w:szCs w:val="21"/>
        </w:rPr>
        <w:t xml:space="preserve"> </w:t>
      </w:r>
      <w:r w:rsidR="006343E1" w:rsidRPr="00254AB9">
        <w:rPr>
          <w:rFonts w:cs="Calibri"/>
          <w:i/>
          <w:sz w:val="21"/>
          <w:szCs w:val="21"/>
        </w:rPr>
        <w:t>w</w:t>
      </w:r>
      <w:r w:rsidR="006343E1">
        <w:rPr>
          <w:rFonts w:cs="Calibri"/>
          <w:i/>
          <w:sz w:val="21"/>
          <w:szCs w:val="21"/>
        </w:rPr>
        <w:t> </w:t>
      </w:r>
      <w:r w:rsidRPr="00254AB9">
        <w:rPr>
          <w:rFonts w:cs="Calibri"/>
          <w:i/>
          <w:sz w:val="21"/>
          <w:szCs w:val="21"/>
        </w:rPr>
        <w:t>stosunku do nakładów inwestycyjnych ogółem</w:t>
      </w:r>
    </w:p>
    <w:p w14:paraId="2DD90447" w14:textId="0B2E1CE9" w:rsidR="002C51A1" w:rsidRPr="00254AB9" w:rsidRDefault="002C51A1" w:rsidP="002C51A1">
      <w:pPr>
        <w:spacing w:after="0" w:line="240" w:lineRule="auto"/>
        <w:rPr>
          <w:rFonts w:cs="Calibri"/>
          <w:sz w:val="21"/>
          <w:szCs w:val="21"/>
        </w:rPr>
      </w:pPr>
      <w:r w:rsidRPr="00CB7686">
        <w:rPr>
          <w:rFonts w:cs="Calibri"/>
          <w:sz w:val="21"/>
          <w:szCs w:val="21"/>
        </w:rPr>
        <w:t>https://bdl.stat.gov.pl/BDL/metadane/cechy/3450</w:t>
      </w:r>
    </w:p>
    <w:p w14:paraId="7985F141" w14:textId="35A10F3B" w:rsidR="002C51A1" w:rsidRPr="00254AB9" w:rsidRDefault="002C51A1" w:rsidP="002C51A1">
      <w:pPr>
        <w:spacing w:after="0" w:line="240" w:lineRule="auto"/>
        <w:rPr>
          <w:rFonts w:cs="Calibri"/>
          <w:sz w:val="21"/>
          <w:szCs w:val="21"/>
        </w:rPr>
      </w:pPr>
      <w:r w:rsidRPr="00254AB9">
        <w:rPr>
          <w:rFonts w:cs="Calibri"/>
          <w:sz w:val="21"/>
          <w:szCs w:val="21"/>
        </w:rPr>
        <w:t xml:space="preserve">GUS (2018b). Bank danych lokalnych, Podgrupa: </w:t>
      </w:r>
      <w:r w:rsidRPr="00254AB9">
        <w:rPr>
          <w:rFonts w:cs="Calibri"/>
          <w:i/>
          <w:sz w:val="21"/>
          <w:szCs w:val="21"/>
        </w:rPr>
        <w:t>Podmioty</w:t>
      </w:r>
      <w:r w:rsidR="006343E1">
        <w:rPr>
          <w:rFonts w:cs="Calibri"/>
          <w:i/>
          <w:sz w:val="21"/>
          <w:szCs w:val="21"/>
        </w:rPr>
        <w:t xml:space="preserve"> </w:t>
      </w:r>
      <w:r w:rsidR="006343E1" w:rsidRPr="00254AB9">
        <w:rPr>
          <w:rFonts w:cs="Calibri"/>
          <w:i/>
          <w:sz w:val="21"/>
          <w:szCs w:val="21"/>
        </w:rPr>
        <w:t>z</w:t>
      </w:r>
      <w:r w:rsidR="006343E1">
        <w:rPr>
          <w:rFonts w:cs="Calibri"/>
          <w:i/>
          <w:sz w:val="21"/>
          <w:szCs w:val="21"/>
        </w:rPr>
        <w:t> </w:t>
      </w:r>
      <w:r w:rsidRPr="00254AB9">
        <w:rPr>
          <w:rFonts w:cs="Calibri"/>
          <w:i/>
          <w:sz w:val="21"/>
          <w:szCs w:val="21"/>
        </w:rPr>
        <w:t>udziałem kapitału zagranicznego na 10 tys. mieszkańców</w:t>
      </w:r>
    </w:p>
    <w:p w14:paraId="2285462C" w14:textId="702558DB" w:rsidR="002C51A1" w:rsidRPr="00254AB9" w:rsidRDefault="002C51A1" w:rsidP="002C51A1">
      <w:pPr>
        <w:spacing w:after="0" w:line="240" w:lineRule="auto"/>
        <w:rPr>
          <w:rFonts w:cs="Calibri"/>
          <w:sz w:val="21"/>
          <w:szCs w:val="21"/>
        </w:rPr>
      </w:pPr>
      <w:r w:rsidRPr="00CB7686">
        <w:rPr>
          <w:rFonts w:cs="Calibri"/>
          <w:sz w:val="21"/>
          <w:szCs w:val="21"/>
        </w:rPr>
        <w:t>https://bdl.stat.gov.pl/BDL/metadane/cechy/3407</w:t>
      </w:r>
    </w:p>
    <w:p w14:paraId="6DE1CDB0" w14:textId="7ED21BA7" w:rsidR="002C51A1" w:rsidRPr="00254AB9" w:rsidRDefault="002C51A1" w:rsidP="002C51A1">
      <w:pPr>
        <w:spacing w:after="0" w:line="240" w:lineRule="auto"/>
        <w:rPr>
          <w:rFonts w:cs="Calibri"/>
          <w:sz w:val="21"/>
          <w:szCs w:val="21"/>
        </w:rPr>
      </w:pPr>
      <w:r w:rsidRPr="00254AB9">
        <w:rPr>
          <w:rFonts w:cs="Calibri"/>
          <w:sz w:val="21"/>
          <w:szCs w:val="21"/>
        </w:rPr>
        <w:t xml:space="preserve">GUS (2018c). </w:t>
      </w:r>
      <w:r w:rsidRPr="00254AB9">
        <w:rPr>
          <w:rFonts w:cs="Calibri"/>
          <w:i/>
          <w:sz w:val="21"/>
          <w:szCs w:val="21"/>
        </w:rPr>
        <w:t>Działalność podmiotów posiadających jednostki zagraniczne</w:t>
      </w:r>
      <w:r w:rsidR="006343E1">
        <w:rPr>
          <w:rFonts w:cs="Calibri"/>
          <w:i/>
          <w:sz w:val="21"/>
          <w:szCs w:val="21"/>
        </w:rPr>
        <w:t xml:space="preserve"> </w:t>
      </w:r>
      <w:r w:rsidR="006343E1" w:rsidRPr="00254AB9">
        <w:rPr>
          <w:rFonts w:cs="Calibri"/>
          <w:i/>
          <w:sz w:val="21"/>
          <w:szCs w:val="21"/>
        </w:rPr>
        <w:t>w</w:t>
      </w:r>
      <w:r w:rsidR="006343E1">
        <w:rPr>
          <w:rFonts w:cs="Calibri"/>
          <w:i/>
          <w:sz w:val="21"/>
          <w:szCs w:val="21"/>
        </w:rPr>
        <w:t> </w:t>
      </w:r>
      <w:r w:rsidRPr="00254AB9">
        <w:rPr>
          <w:rFonts w:cs="Calibri"/>
          <w:i/>
          <w:sz w:val="21"/>
          <w:szCs w:val="21"/>
        </w:rPr>
        <w:t>2016 roku</w:t>
      </w:r>
    </w:p>
    <w:p w14:paraId="0A9CD2A0" w14:textId="5B9C6B95" w:rsidR="002C51A1" w:rsidRDefault="002C51A1" w:rsidP="002C51A1">
      <w:pPr>
        <w:spacing w:after="0" w:line="240" w:lineRule="auto"/>
        <w:rPr>
          <w:rStyle w:val="Hipercze"/>
          <w:rFonts w:cs="Calibri"/>
          <w:i/>
          <w:sz w:val="21"/>
          <w:szCs w:val="21"/>
        </w:rPr>
      </w:pPr>
      <w:r w:rsidRPr="00CB7686">
        <w:rPr>
          <w:rFonts w:cs="Calibri"/>
          <w:i/>
          <w:sz w:val="21"/>
          <w:szCs w:val="21"/>
        </w:rPr>
        <w:t>http://stat.gov.pl/obszary-tematyczne/podmioty-gospodarcze-wyniki-finansowe/przedsiebiorstwa-niefinansowe/dzialalnosc-podmiotow-posiadajacych-jednostki-zagraniczne-w-2016-roku,5,9.html</w:t>
      </w:r>
    </w:p>
    <w:p w14:paraId="3D48F700" w14:textId="5D7BD1F9" w:rsidR="002C51A1" w:rsidRPr="00A9445F" w:rsidRDefault="002C51A1" w:rsidP="002C51A1">
      <w:pPr>
        <w:spacing w:after="0" w:line="240" w:lineRule="auto"/>
        <w:rPr>
          <w:i/>
          <w:iCs/>
          <w:sz w:val="20"/>
          <w:szCs w:val="20"/>
        </w:rPr>
      </w:pPr>
      <w:r w:rsidRPr="00A9445F">
        <w:rPr>
          <w:sz w:val="20"/>
          <w:szCs w:val="20"/>
        </w:rPr>
        <w:t>GUS (2020)</w:t>
      </w:r>
      <w:r w:rsidR="00C94DAB">
        <w:rPr>
          <w:sz w:val="20"/>
          <w:szCs w:val="20"/>
        </w:rPr>
        <w:t>.</w:t>
      </w:r>
      <w:r w:rsidR="00CB653F" w:rsidRPr="00A9445F">
        <w:rPr>
          <w:sz w:val="20"/>
          <w:szCs w:val="20"/>
        </w:rPr>
        <w:t>202</w:t>
      </w:r>
      <w:r w:rsidR="00CB653F">
        <w:rPr>
          <w:sz w:val="20"/>
          <w:szCs w:val="20"/>
        </w:rPr>
        <w:t>1</w:t>
      </w:r>
      <w:r w:rsidRPr="00A9445F">
        <w:rPr>
          <w:sz w:val="20"/>
          <w:szCs w:val="20"/>
        </w:rPr>
        <w:t xml:space="preserve">) </w:t>
      </w:r>
      <w:r w:rsidRPr="00A9445F">
        <w:rPr>
          <w:i/>
          <w:iCs/>
          <w:sz w:val="20"/>
          <w:szCs w:val="20"/>
        </w:rPr>
        <w:t>Działalność innowacyjna przedsiębiorstw</w:t>
      </w:r>
      <w:r w:rsidR="006343E1" w:rsidRPr="00A9445F">
        <w:rPr>
          <w:i/>
          <w:iCs/>
          <w:sz w:val="20"/>
          <w:szCs w:val="20"/>
        </w:rPr>
        <w:t xml:space="preserve"> w </w:t>
      </w:r>
      <w:r w:rsidRPr="00A9445F">
        <w:rPr>
          <w:i/>
          <w:iCs/>
          <w:sz w:val="20"/>
          <w:szCs w:val="20"/>
        </w:rPr>
        <w:t xml:space="preserve">latach </w:t>
      </w:r>
      <w:r w:rsidR="00CB653F" w:rsidRPr="00A9445F">
        <w:rPr>
          <w:i/>
          <w:iCs/>
          <w:sz w:val="20"/>
          <w:szCs w:val="20"/>
        </w:rPr>
        <w:t>20</w:t>
      </w:r>
      <w:r w:rsidR="00CB653F">
        <w:rPr>
          <w:i/>
          <w:iCs/>
          <w:sz w:val="20"/>
          <w:szCs w:val="20"/>
        </w:rPr>
        <w:t>18</w:t>
      </w:r>
      <w:r w:rsidRPr="00A9445F">
        <w:rPr>
          <w:i/>
          <w:iCs/>
          <w:sz w:val="20"/>
          <w:szCs w:val="20"/>
        </w:rPr>
        <w:t>-</w:t>
      </w:r>
      <w:r w:rsidR="00CB653F" w:rsidRPr="00A9445F">
        <w:rPr>
          <w:i/>
          <w:iCs/>
          <w:sz w:val="20"/>
          <w:szCs w:val="20"/>
        </w:rPr>
        <w:t>20</w:t>
      </w:r>
      <w:r w:rsidR="00CB653F">
        <w:rPr>
          <w:i/>
          <w:iCs/>
          <w:sz w:val="20"/>
          <w:szCs w:val="20"/>
        </w:rPr>
        <w:t>20</w:t>
      </w:r>
    </w:p>
    <w:p w14:paraId="73A00698" w14:textId="176DC87F" w:rsidR="00CB653F" w:rsidRDefault="00CB653F" w:rsidP="00CB653F">
      <w:pPr>
        <w:spacing w:after="0" w:line="240" w:lineRule="auto"/>
        <w:rPr>
          <w:rFonts w:cs="Calibri"/>
          <w:iCs/>
          <w:sz w:val="21"/>
          <w:szCs w:val="21"/>
        </w:rPr>
      </w:pPr>
      <w:r w:rsidRPr="00CB7686">
        <w:rPr>
          <w:rFonts w:cs="Calibri"/>
          <w:iCs/>
          <w:sz w:val="21"/>
          <w:szCs w:val="21"/>
        </w:rPr>
        <w:t>https://stat.gov.pl/obszary-tematyczne/nauka-i-technika-spoleczenstwo-informacyjne/nauka-i-technika/dzialalnosc-innowacyjna-przedsiebiorstw-w-latach-2018-2020,2,20.html</w:t>
      </w:r>
    </w:p>
    <w:p w14:paraId="1E9E57AA" w14:textId="2F0B7985" w:rsidR="002C51A1" w:rsidRPr="002C51A1" w:rsidRDefault="002C51A1" w:rsidP="002C51A1">
      <w:pPr>
        <w:spacing w:after="0" w:line="240" w:lineRule="auto"/>
        <w:rPr>
          <w:rFonts w:cs="Calibri"/>
          <w:sz w:val="21"/>
          <w:szCs w:val="21"/>
          <w:lang w:val="nl-NL"/>
        </w:rPr>
      </w:pPr>
      <w:r w:rsidRPr="002C51A1">
        <w:rPr>
          <w:rFonts w:cs="Calibri"/>
          <w:sz w:val="21"/>
          <w:szCs w:val="21"/>
          <w:lang w:val="nl-NL"/>
        </w:rPr>
        <w:t xml:space="preserve">GUS (2021d). </w:t>
      </w:r>
      <w:r w:rsidRPr="002C51A1">
        <w:rPr>
          <w:rFonts w:cs="Calibri"/>
          <w:i/>
          <w:sz w:val="21"/>
          <w:szCs w:val="21"/>
          <w:lang w:val="nl-NL"/>
        </w:rPr>
        <w:t>Handel Zagraniczny</w:t>
      </w:r>
    </w:p>
    <w:p w14:paraId="3B95DFFD" w14:textId="77777777" w:rsidR="002C51A1" w:rsidRPr="002C51A1" w:rsidRDefault="002C51A1" w:rsidP="002C51A1">
      <w:pPr>
        <w:spacing w:after="0" w:line="240" w:lineRule="auto"/>
        <w:rPr>
          <w:rFonts w:cs="Calibri"/>
          <w:sz w:val="21"/>
          <w:szCs w:val="21"/>
          <w:lang w:val="nl-NL"/>
        </w:rPr>
      </w:pPr>
      <w:r w:rsidRPr="002C51A1">
        <w:rPr>
          <w:rFonts w:cs="Calibri"/>
          <w:sz w:val="21"/>
          <w:szCs w:val="21"/>
          <w:lang w:val="nl-NL"/>
        </w:rPr>
        <w:t>http://swaid.stat.gov.pl/SitePagesDBW/HandelZagraniczny.aspx</w:t>
      </w:r>
    </w:p>
    <w:p w14:paraId="7FBEAE78" w14:textId="6641C04D" w:rsidR="002C51A1" w:rsidRDefault="002C51A1" w:rsidP="002C51A1">
      <w:pPr>
        <w:spacing w:after="0" w:line="240" w:lineRule="auto"/>
      </w:pPr>
      <w:r>
        <w:t xml:space="preserve">PARP (2014). </w:t>
      </w:r>
      <w:r w:rsidRPr="00CB07D4">
        <w:rPr>
          <w:i/>
        </w:rPr>
        <w:t>Ewaluacja potencjału eksportowego przedsiębiorstw</w:t>
      </w:r>
      <w:r w:rsidR="006343E1" w:rsidRPr="00CB07D4">
        <w:rPr>
          <w:i/>
        </w:rPr>
        <w:t xml:space="preserve"> w </w:t>
      </w:r>
      <w:r w:rsidRPr="00CB07D4">
        <w:rPr>
          <w:i/>
        </w:rPr>
        <w:t>Polsce</w:t>
      </w:r>
      <w:r>
        <w:t>, Warszawa</w:t>
      </w:r>
    </w:p>
    <w:p w14:paraId="51382F53" w14:textId="396DD1A3" w:rsidR="002C51A1" w:rsidRDefault="002C51A1" w:rsidP="002C51A1">
      <w:pPr>
        <w:spacing w:after="0" w:line="240" w:lineRule="auto"/>
      </w:pPr>
      <w:r w:rsidRPr="00CB7686">
        <w:t>http://www.parp.gov.pl/publikacje/ebook/553</w:t>
      </w:r>
    </w:p>
    <w:p w14:paraId="737C5532" w14:textId="287DF8B1" w:rsidR="002C51A1" w:rsidRPr="00254AB9" w:rsidRDefault="002C51A1" w:rsidP="002C51A1">
      <w:pPr>
        <w:spacing w:after="0" w:line="240" w:lineRule="auto"/>
        <w:rPr>
          <w:rFonts w:cs="Calibri"/>
          <w:sz w:val="21"/>
          <w:szCs w:val="21"/>
        </w:rPr>
      </w:pPr>
      <w:r w:rsidRPr="00254AB9">
        <w:rPr>
          <w:rFonts w:cs="Calibri"/>
          <w:sz w:val="21"/>
          <w:szCs w:val="21"/>
        </w:rPr>
        <w:t>PARP (20</w:t>
      </w:r>
      <w:r>
        <w:rPr>
          <w:rFonts w:cs="Calibri"/>
          <w:sz w:val="21"/>
          <w:szCs w:val="21"/>
        </w:rPr>
        <w:t>20</w:t>
      </w:r>
      <w:r w:rsidRPr="00254AB9">
        <w:rPr>
          <w:rFonts w:cs="Calibri"/>
          <w:sz w:val="21"/>
          <w:szCs w:val="21"/>
        </w:rPr>
        <w:t xml:space="preserve">). </w:t>
      </w:r>
      <w:r w:rsidRPr="00CB07D4">
        <w:rPr>
          <w:i/>
          <w:sz w:val="21"/>
        </w:rPr>
        <w:t>Raport</w:t>
      </w:r>
      <w:r w:rsidR="006343E1" w:rsidRPr="00CB07D4">
        <w:rPr>
          <w:i/>
          <w:sz w:val="21"/>
        </w:rPr>
        <w:t xml:space="preserve"> o </w:t>
      </w:r>
      <w:r w:rsidRPr="00CB07D4">
        <w:rPr>
          <w:i/>
          <w:sz w:val="21"/>
        </w:rPr>
        <w:t>stanie polskiego sektora małych</w:t>
      </w:r>
      <w:r w:rsidR="006343E1" w:rsidRPr="00CB07D4">
        <w:rPr>
          <w:i/>
          <w:sz w:val="21"/>
        </w:rPr>
        <w:t xml:space="preserve"> i </w:t>
      </w:r>
      <w:r w:rsidRPr="00CB07D4">
        <w:rPr>
          <w:i/>
          <w:sz w:val="21"/>
        </w:rPr>
        <w:t>średnich przedsiębiorstw</w:t>
      </w:r>
      <w:r w:rsidR="006343E1" w:rsidRPr="00CB07D4">
        <w:rPr>
          <w:i/>
          <w:sz w:val="21"/>
        </w:rPr>
        <w:t xml:space="preserve"> w </w:t>
      </w:r>
      <w:r w:rsidRPr="00CB07D4">
        <w:rPr>
          <w:i/>
          <w:sz w:val="21"/>
        </w:rPr>
        <w:t>Polsce</w:t>
      </w:r>
      <w:r w:rsidRPr="00254AB9">
        <w:rPr>
          <w:rFonts w:cs="Calibri"/>
          <w:sz w:val="21"/>
          <w:szCs w:val="21"/>
        </w:rPr>
        <w:t>, Warszawa</w:t>
      </w:r>
    </w:p>
    <w:p w14:paraId="00CF44B6" w14:textId="77777777" w:rsidR="000C164F" w:rsidRDefault="002C51A1" w:rsidP="002C51A1">
      <w:pPr>
        <w:spacing w:after="0" w:line="240" w:lineRule="auto"/>
        <w:rPr>
          <w:rFonts w:cs="Calibri"/>
          <w:i/>
          <w:sz w:val="21"/>
          <w:szCs w:val="21"/>
        </w:rPr>
      </w:pPr>
      <w:r w:rsidRPr="00664BA2">
        <w:t xml:space="preserve">https://www.parp.gov.pl/storage/publications/pdf/ROSS-2020_30_06.pdf </w:t>
      </w:r>
      <w:r w:rsidRPr="00664BA2">
        <w:rPr>
          <w:rFonts w:cs="Calibri"/>
          <w:sz w:val="21"/>
          <w:szCs w:val="21"/>
        </w:rPr>
        <w:t>WTO (2019)</w:t>
      </w:r>
      <w:r w:rsidRPr="00664BA2">
        <w:rPr>
          <w:rFonts w:cs="Calibri"/>
          <w:i/>
          <w:sz w:val="21"/>
          <w:szCs w:val="21"/>
        </w:rPr>
        <w:t xml:space="preserve">. </w:t>
      </w:r>
    </w:p>
    <w:p w14:paraId="0C3BC179" w14:textId="6A18E8B7" w:rsidR="002C51A1" w:rsidRPr="00CB7686" w:rsidRDefault="00CB7686" w:rsidP="002C51A1">
      <w:pPr>
        <w:spacing w:after="0" w:line="240" w:lineRule="auto"/>
        <w:rPr>
          <w:rFonts w:cs="Calibri"/>
          <w:sz w:val="21"/>
          <w:szCs w:val="21"/>
        </w:rPr>
      </w:pPr>
      <w:r w:rsidRPr="00CB7686">
        <w:rPr>
          <w:rFonts w:cs="Calibri"/>
          <w:sz w:val="21"/>
          <w:szCs w:val="21"/>
        </w:rPr>
        <w:t>WTO, Statystyki dotyczące wartości dodanej</w:t>
      </w:r>
    </w:p>
    <w:p w14:paraId="6B7A065D" w14:textId="3E86F3D8" w:rsidR="002C51A1" w:rsidRPr="00CB7686" w:rsidRDefault="002C51A1" w:rsidP="002C51A1">
      <w:pPr>
        <w:spacing w:after="0" w:line="240" w:lineRule="auto"/>
      </w:pPr>
      <w:r w:rsidRPr="00CB7686">
        <w:t>https://www.wto.org/english/res_e/statis_e/miwi_e/countryprofiles_e.htm</w:t>
      </w:r>
    </w:p>
    <w:p w14:paraId="4352FB98" w14:textId="1E7E29DB" w:rsidR="002C51A1" w:rsidRPr="001C3C76" w:rsidRDefault="002C51A1" w:rsidP="002C51A1">
      <w:pPr>
        <w:spacing w:after="0" w:line="240" w:lineRule="auto"/>
        <w:rPr>
          <w:lang w:val="en-GB"/>
        </w:rPr>
      </w:pPr>
      <w:r w:rsidRPr="001C3C76">
        <w:rPr>
          <w:lang w:val="en-GB"/>
        </w:rPr>
        <w:t>WTO (2020)</w:t>
      </w:r>
      <w:r w:rsidR="00652745" w:rsidRPr="001C3C76">
        <w:rPr>
          <w:lang w:val="en-GB"/>
        </w:rPr>
        <w:t>.</w:t>
      </w:r>
      <w:r w:rsidRPr="001C3C76">
        <w:rPr>
          <w:lang w:val="en-GB"/>
        </w:rPr>
        <w:t xml:space="preserve"> Trade statistics and outlook</w:t>
      </w:r>
    </w:p>
    <w:p w14:paraId="618ADFF1" w14:textId="77777777" w:rsidR="002C51A1" w:rsidRPr="00C36A1C" w:rsidRDefault="002C51A1" w:rsidP="002C51A1">
      <w:pPr>
        <w:spacing w:after="0" w:line="240" w:lineRule="auto"/>
        <w:rPr>
          <w:rFonts w:cs="Calibri"/>
          <w:iCs/>
          <w:sz w:val="21"/>
          <w:szCs w:val="21"/>
          <w:lang w:val="en-GB"/>
        </w:rPr>
      </w:pPr>
      <w:r w:rsidRPr="00C36A1C">
        <w:rPr>
          <w:rFonts w:cs="Calibri"/>
          <w:iCs/>
          <w:sz w:val="21"/>
          <w:szCs w:val="21"/>
          <w:lang w:val="en-GB"/>
        </w:rPr>
        <w:t>https://www.wto.org/english/news_e/pres20_e/pr855_e.pdf</w:t>
      </w:r>
    </w:p>
    <w:p w14:paraId="40FEEE1F" w14:textId="77777777" w:rsidR="00FA0B46" w:rsidRPr="002C51A1" w:rsidRDefault="00FA0B46" w:rsidP="00FA0B46">
      <w:pPr>
        <w:spacing w:after="0" w:line="240" w:lineRule="auto"/>
        <w:rPr>
          <w:rFonts w:cs="Calibri"/>
          <w:iCs/>
          <w:sz w:val="21"/>
          <w:szCs w:val="21"/>
          <w:lang w:val="en-GB"/>
        </w:rPr>
      </w:pPr>
    </w:p>
    <w:p w14:paraId="0F02013E" w14:textId="77777777" w:rsidR="00FA0B46" w:rsidRPr="00254AB9" w:rsidRDefault="00FA0B46" w:rsidP="00730223">
      <w:pPr>
        <w:spacing w:after="0" w:line="240" w:lineRule="auto"/>
        <w:rPr>
          <w:rFonts w:cs="Calibri"/>
          <w:sz w:val="21"/>
          <w:szCs w:val="21"/>
          <w:lang w:val="en-GB"/>
        </w:rPr>
      </w:pPr>
    </w:p>
    <w:sectPr w:rsidR="00FA0B46" w:rsidRPr="00254AB9" w:rsidSect="00CB7686">
      <w:headerReference w:type="even" r:id="rId166"/>
      <w:headerReference w:type="default" r:id="rId167"/>
      <w:footerReference w:type="even" r:id="rId168"/>
      <w:footerReference w:type="default" r:id="rId169"/>
      <w:headerReference w:type="first" r:id="rId170"/>
      <w:footerReference w:type="first" r:id="rId171"/>
      <w:pgSz w:w="11906" w:h="16838"/>
      <w:pgMar w:top="1134" w:right="1417" w:bottom="1135" w:left="1417" w:header="708" w:footer="2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7A714" w14:textId="77777777" w:rsidR="00CE7E90" w:rsidRDefault="00CE7E90" w:rsidP="00FF5339">
      <w:pPr>
        <w:spacing w:after="0" w:line="240" w:lineRule="auto"/>
      </w:pPr>
      <w:r>
        <w:separator/>
      </w:r>
    </w:p>
  </w:endnote>
  <w:endnote w:type="continuationSeparator" w:id="0">
    <w:p w14:paraId="45D4BBF1" w14:textId="77777777" w:rsidR="00CE7E90" w:rsidRDefault="00CE7E90" w:rsidP="00FF5339">
      <w:pPr>
        <w:spacing w:after="0" w:line="240" w:lineRule="auto"/>
      </w:pPr>
      <w:r>
        <w:continuationSeparator/>
      </w:r>
    </w:p>
  </w:endnote>
  <w:endnote w:type="continuationNotice" w:id="1">
    <w:p w14:paraId="27F8B840" w14:textId="77777777" w:rsidR="00CE7E90" w:rsidRDefault="00CE7E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ms Rmn">
    <w:altName w:val="Times New Roman"/>
    <w:panose1 w:val="02020603040505020304"/>
    <w:charset w:val="00"/>
    <w:family w:val="roman"/>
    <w:notTrueType/>
    <w:pitch w:val="variable"/>
    <w:sig w:usb0="00000003" w:usb1="00000000" w:usb2="00000000" w:usb3="00000000" w:csb0="00000001" w:csb1="00000000"/>
  </w:font>
  <w:font w:name="Roboto-Regular">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54F8B" w14:textId="77777777" w:rsidR="009F06E2" w:rsidRDefault="009F06E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A2F8A" w14:textId="5E8196F4" w:rsidR="009F06E2" w:rsidRDefault="009F06E2">
    <w:pPr>
      <w:pStyle w:val="Stopka"/>
    </w:pPr>
  </w:p>
  <w:p w14:paraId="7C4DF3D4" w14:textId="77777777" w:rsidR="009F06E2" w:rsidRDefault="009F06E2">
    <w:pPr>
      <w:pStyle w:val="Stopka"/>
      <w:jc w:val="center"/>
    </w:pPr>
  </w:p>
  <w:p w14:paraId="55900E9D" w14:textId="77777777" w:rsidR="009F06E2" w:rsidRDefault="009F06E2">
    <w:pPr>
      <w:pStyle w:val="Stopka"/>
      <w:jc w:val="center"/>
    </w:pPr>
  </w:p>
  <w:p w14:paraId="128D8DF5" w14:textId="228ADB2D" w:rsidR="009F06E2" w:rsidRDefault="009F06E2">
    <w:pPr>
      <w:pStyle w:val="Stopka"/>
      <w:jc w:val="center"/>
    </w:pPr>
    <w:r w:rsidRPr="00AF6A4E">
      <w:rPr>
        <w:sz w:val="18"/>
        <w:szCs w:val="18"/>
      </w:rPr>
      <w:t xml:space="preserve">Strona </w:t>
    </w:r>
    <w:r w:rsidRPr="00AF6A4E">
      <w:rPr>
        <w:bCs/>
        <w:sz w:val="18"/>
        <w:szCs w:val="18"/>
      </w:rPr>
      <w:fldChar w:fldCharType="begin"/>
    </w:r>
    <w:r w:rsidRPr="00AF6A4E">
      <w:rPr>
        <w:bCs/>
        <w:sz w:val="18"/>
        <w:szCs w:val="18"/>
      </w:rPr>
      <w:instrText>PAGE</w:instrText>
    </w:r>
    <w:r w:rsidRPr="00AF6A4E">
      <w:rPr>
        <w:bCs/>
        <w:sz w:val="18"/>
        <w:szCs w:val="18"/>
      </w:rPr>
      <w:fldChar w:fldCharType="separate"/>
    </w:r>
    <w:r w:rsidR="00D43255">
      <w:rPr>
        <w:bCs/>
        <w:noProof/>
        <w:sz w:val="18"/>
        <w:szCs w:val="18"/>
      </w:rPr>
      <w:t>2</w:t>
    </w:r>
    <w:r w:rsidRPr="00AF6A4E">
      <w:rPr>
        <w:bCs/>
        <w:sz w:val="18"/>
        <w:szCs w:val="18"/>
      </w:rPr>
      <w:fldChar w:fldCharType="end"/>
    </w:r>
    <w:r>
      <w:rPr>
        <w:sz w:val="18"/>
        <w:szCs w:val="18"/>
      </w:rPr>
      <w:t xml:space="preserve"> </w:t>
    </w:r>
    <w:r w:rsidRPr="00AF6A4E">
      <w:rPr>
        <w:sz w:val="18"/>
        <w:szCs w:val="18"/>
      </w:rPr>
      <w:t>z</w:t>
    </w:r>
    <w:r>
      <w:rPr>
        <w:sz w:val="18"/>
        <w:szCs w:val="18"/>
      </w:rPr>
      <w:t> </w:t>
    </w:r>
    <w:r w:rsidRPr="00AF6A4E">
      <w:rPr>
        <w:bCs/>
        <w:sz w:val="18"/>
        <w:szCs w:val="18"/>
      </w:rPr>
      <w:fldChar w:fldCharType="begin"/>
    </w:r>
    <w:r w:rsidRPr="00AF6A4E">
      <w:rPr>
        <w:bCs/>
        <w:sz w:val="18"/>
        <w:szCs w:val="18"/>
      </w:rPr>
      <w:instrText>NUMPAGES</w:instrText>
    </w:r>
    <w:r w:rsidRPr="00AF6A4E">
      <w:rPr>
        <w:bCs/>
        <w:sz w:val="18"/>
        <w:szCs w:val="18"/>
      </w:rPr>
      <w:fldChar w:fldCharType="separate"/>
    </w:r>
    <w:r w:rsidR="00D43255">
      <w:rPr>
        <w:bCs/>
        <w:noProof/>
        <w:sz w:val="18"/>
        <w:szCs w:val="18"/>
      </w:rPr>
      <w:t>139</w:t>
    </w:r>
    <w:r w:rsidRPr="00AF6A4E">
      <w:rPr>
        <w:bCs/>
        <w:sz w:val="18"/>
        <w:szCs w:val="18"/>
      </w:rPr>
      <w:fldChar w:fldCharType="end"/>
    </w:r>
  </w:p>
  <w:p w14:paraId="5B8B9937" w14:textId="77777777" w:rsidR="009F06E2" w:rsidRDefault="009F06E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0F91A" w14:textId="77777777" w:rsidR="009F06E2" w:rsidRDefault="009F06E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F5EC6" w14:textId="77777777" w:rsidR="00CE7E90" w:rsidRDefault="00CE7E90" w:rsidP="00FF5339">
      <w:pPr>
        <w:spacing w:after="0" w:line="240" w:lineRule="auto"/>
      </w:pPr>
      <w:r>
        <w:separator/>
      </w:r>
    </w:p>
  </w:footnote>
  <w:footnote w:type="continuationSeparator" w:id="0">
    <w:p w14:paraId="412A9861" w14:textId="77777777" w:rsidR="00CE7E90" w:rsidRDefault="00CE7E90" w:rsidP="00FF5339">
      <w:pPr>
        <w:spacing w:after="0" w:line="240" w:lineRule="auto"/>
      </w:pPr>
      <w:r>
        <w:continuationSeparator/>
      </w:r>
    </w:p>
  </w:footnote>
  <w:footnote w:type="continuationNotice" w:id="1">
    <w:p w14:paraId="0B5DC8EC" w14:textId="77777777" w:rsidR="00CE7E90" w:rsidRDefault="00CE7E90">
      <w:pPr>
        <w:spacing w:after="0" w:line="240" w:lineRule="auto"/>
      </w:pPr>
    </w:p>
  </w:footnote>
  <w:footnote w:id="2">
    <w:p w14:paraId="7CEA8728" w14:textId="4DEC1689" w:rsidR="009F06E2" w:rsidRPr="0037667F" w:rsidRDefault="009F06E2" w:rsidP="00CB07D4">
      <w:pPr>
        <w:pStyle w:val="Tekstprzypisudolnego"/>
        <w:ind w:left="142" w:hanging="142"/>
        <w:rPr>
          <w:sz w:val="18"/>
          <w:szCs w:val="18"/>
        </w:rPr>
      </w:pPr>
      <w:r w:rsidRPr="0037667F">
        <w:rPr>
          <w:rStyle w:val="Odwoanieprzypisudolnego"/>
          <w:sz w:val="18"/>
          <w:szCs w:val="18"/>
        </w:rPr>
        <w:footnoteRef/>
      </w:r>
      <w:r w:rsidRPr="0037667F">
        <w:rPr>
          <w:sz w:val="18"/>
          <w:szCs w:val="18"/>
        </w:rPr>
        <w:t xml:space="preserve"> Zrównoważony w czasie – czyli zapewniający przyszłym pokoleniom możliwość korzystania z zasobów naturalnych; zrównoważony w przestrzeni – czyli nie dopuszczający do utrwalenia się nadmiernych zróżnicowań terytorialnych; zrównoważony społecznie (inkluzywny) – czyli pozwalający wszystkim grupom społecznym na korzystanie z podniesionego poziomu dobrobytu. </w:t>
      </w:r>
    </w:p>
  </w:footnote>
  <w:footnote w:id="3">
    <w:p w14:paraId="4C501127" w14:textId="02DD0E3C" w:rsidR="009F06E2" w:rsidRPr="0037667F" w:rsidRDefault="009F06E2" w:rsidP="00CB07D4">
      <w:pPr>
        <w:pStyle w:val="Tekstprzypisudolnego"/>
        <w:ind w:left="142" w:hanging="142"/>
        <w:rPr>
          <w:sz w:val="18"/>
          <w:szCs w:val="18"/>
        </w:rPr>
      </w:pPr>
      <w:r w:rsidRPr="0037667F">
        <w:rPr>
          <w:rStyle w:val="Odwoanieprzypisudolnego"/>
          <w:sz w:val="18"/>
          <w:szCs w:val="18"/>
        </w:rPr>
        <w:footnoteRef/>
      </w:r>
      <w:r w:rsidRPr="0037667F">
        <w:rPr>
          <w:sz w:val="18"/>
          <w:szCs w:val="18"/>
        </w:rPr>
        <w:t xml:space="preserve">  Wartość dodana to różnica pomiędzy wartością produkcji a zużyciem pośrednim. Można ją obliczać na dwa sposoby, które teoretycznie powinny prowadzić do tego samego wyniku: odejmując ww. zużycie pośrednie (materiałów, surowców, energii) od wartości produkcji albo sumując korzyści odniesione z procesu produkcji przez wszystkie podmioty (głównie: zysk firmy, wynagrodzenia pracowników, wpływy podatkowe państwa).</w:t>
      </w:r>
    </w:p>
  </w:footnote>
  <w:footnote w:id="4">
    <w:p w14:paraId="36AED651" w14:textId="691E87A3" w:rsidR="009F06E2" w:rsidRPr="0037667F" w:rsidRDefault="009F06E2" w:rsidP="00CB07D4">
      <w:pPr>
        <w:pStyle w:val="Tekstprzypisudolnego"/>
        <w:ind w:left="142" w:hanging="142"/>
        <w:rPr>
          <w:sz w:val="18"/>
          <w:szCs w:val="18"/>
        </w:rPr>
      </w:pPr>
      <w:r w:rsidRPr="0037667F">
        <w:rPr>
          <w:rStyle w:val="Odwoanieprzypisudolnego"/>
          <w:sz w:val="18"/>
          <w:szCs w:val="18"/>
        </w:rPr>
        <w:footnoteRef/>
      </w:r>
      <w:r w:rsidRPr="0037667F">
        <w:rPr>
          <w:sz w:val="18"/>
          <w:szCs w:val="18"/>
        </w:rPr>
        <w:t xml:space="preserve">  Spotyka się też równoznaczne określenie ang. </w:t>
      </w:r>
      <w:r w:rsidRPr="0037667F">
        <w:rPr>
          <w:i/>
          <w:sz w:val="18"/>
        </w:rPr>
        <w:t>multifactor productivity</w:t>
      </w:r>
      <w:r w:rsidRPr="0037667F">
        <w:rPr>
          <w:sz w:val="18"/>
          <w:szCs w:val="18"/>
        </w:rPr>
        <w:t xml:space="preserve"> ( MFP).</w:t>
      </w:r>
    </w:p>
  </w:footnote>
  <w:footnote w:id="5">
    <w:p w14:paraId="6C60B066" w14:textId="0A537281" w:rsidR="009F06E2" w:rsidRPr="0037667F" w:rsidRDefault="009F06E2" w:rsidP="00CB07D4">
      <w:pPr>
        <w:pStyle w:val="Tekstprzypisudolnego"/>
        <w:ind w:left="142" w:hanging="142"/>
      </w:pPr>
      <w:r w:rsidRPr="0037667F">
        <w:rPr>
          <w:rStyle w:val="Odwoanieprzypisudolnego"/>
          <w:sz w:val="18"/>
          <w:szCs w:val="18"/>
        </w:rPr>
        <w:footnoteRef/>
      </w:r>
      <w:r w:rsidRPr="0037667F">
        <w:rPr>
          <w:sz w:val="18"/>
          <w:szCs w:val="18"/>
        </w:rPr>
        <w:t xml:space="preserve">  Obrazuje łączną efektywność wykorzystania pracy i kapitału. Wydajność pracy może wzrosnąć w wyniku czysto ilościowego wzrostu inwestycji kapitałowych bez zmiany ich zaawansowania technologicznego. TFP jest odporna na ten efekt. Jednak nowe technologie często wchodzą do gospodarki „ucieleśnione” w inwestycjach kapitałowych i wówczas podnoszą wydajność pracy, ale nie TFP. Tłumaczy to, dlaczego wzrost wydajności pracy jest szybszy niż wzrost TFP.</w:t>
      </w:r>
    </w:p>
  </w:footnote>
  <w:footnote w:id="6">
    <w:p w14:paraId="285B9025" w14:textId="77777777" w:rsidR="009F06E2" w:rsidRPr="0037667F" w:rsidRDefault="009F06E2" w:rsidP="00A30C03">
      <w:pPr>
        <w:pStyle w:val="Tekstprzypisudolnego"/>
        <w:ind w:left="142" w:hanging="142"/>
        <w:rPr>
          <w:sz w:val="18"/>
          <w:szCs w:val="18"/>
        </w:rPr>
      </w:pPr>
      <w:r w:rsidRPr="0037667F">
        <w:rPr>
          <w:rStyle w:val="Odwoanieprzypisudolnego"/>
          <w:sz w:val="18"/>
          <w:szCs w:val="18"/>
        </w:rPr>
        <w:footnoteRef/>
      </w:r>
      <w:r w:rsidRPr="0037667F">
        <w:rPr>
          <w:sz w:val="18"/>
          <w:szCs w:val="18"/>
        </w:rPr>
        <w:t xml:space="preserve"> Jakkolwiek badanie nominalnie dotyczy stopnia wykorzystania danych w gospodarce, to fakt wykorzystania w nim szerokiego zakresu wskaźników dotyczących wielu powiązanych z danymi zjawisk (m.in. zbierania, przechowywania, przesyłania, cyfrowego przetwarzania, wspomagania procesów zarządczych w przedsiębiorstwach) powoduje, że można traktować je jako przybliżony pomiar ogólnego ucyfrowienia gospodarki i jego wpływu na produktywność.</w:t>
      </w:r>
    </w:p>
  </w:footnote>
  <w:footnote w:id="7">
    <w:p w14:paraId="6DE2CF31" w14:textId="143B520B" w:rsidR="009F06E2" w:rsidRPr="0037667F" w:rsidRDefault="009F06E2" w:rsidP="00CB07D4">
      <w:pPr>
        <w:pStyle w:val="Tekstprzypisudolnego"/>
        <w:ind w:left="142" w:hanging="142"/>
        <w:rPr>
          <w:sz w:val="18"/>
          <w:szCs w:val="18"/>
        </w:rPr>
      </w:pPr>
      <w:r w:rsidRPr="0037667F">
        <w:rPr>
          <w:rStyle w:val="Odwoanieprzypisudolnego"/>
        </w:rPr>
        <w:footnoteRef/>
      </w:r>
      <w:r w:rsidRPr="0037667F">
        <w:rPr>
          <w:sz w:val="18"/>
          <w:szCs w:val="18"/>
        </w:rPr>
        <w:t xml:space="preserve"> </w:t>
      </w:r>
      <w:r w:rsidRPr="0037667F">
        <w:t>Kwestią do dyskusji jest proporcja, w jakiej opisywane zjawiska wynikają ze zmiany strukturalnej, a w jakiej z cyklu koniunkturalnego (ceny surowców i towarów na rynkach światowych, wydarzenia jednorazowe, działania konkurentów, dynamika wykorzystywania funduszy unijnych itp.).</w:t>
      </w:r>
    </w:p>
  </w:footnote>
  <w:footnote w:id="8">
    <w:p w14:paraId="31337666" w14:textId="05105515" w:rsidR="009F06E2" w:rsidRPr="0037667F" w:rsidRDefault="009F06E2" w:rsidP="008E15C9">
      <w:pPr>
        <w:pStyle w:val="Tekstprzypisudolnego"/>
      </w:pPr>
      <w:r w:rsidRPr="0037667F">
        <w:rPr>
          <w:rStyle w:val="Odwoanieprzypisudolnego"/>
        </w:rPr>
        <w:footnoteRef/>
      </w:r>
      <w:r w:rsidRPr="0037667F">
        <w:t xml:space="preserve"> W przedsiębiorstwach powyżej 9 pracowników. Obliczenie własne MRiT na podstawie danych GUS.</w:t>
      </w:r>
    </w:p>
  </w:footnote>
  <w:footnote w:id="9">
    <w:p w14:paraId="1E51FA9A" w14:textId="0D0E4C0C" w:rsidR="009F06E2" w:rsidRPr="0037667F" w:rsidRDefault="009F06E2" w:rsidP="00CB07D4">
      <w:pPr>
        <w:pStyle w:val="Tekstprzypisudolnego"/>
        <w:ind w:left="142" w:hanging="142"/>
      </w:pPr>
      <w:r w:rsidRPr="0037667F">
        <w:rPr>
          <w:rStyle w:val="Odwoanieprzypisudolnego"/>
        </w:rPr>
        <w:footnoteRef/>
      </w:r>
      <w:r w:rsidRPr="0037667F">
        <w:t xml:space="preserve"> Według danych GUS (Bank Danych Lokalnych) w 2016 r. w gospodarce narodowej przeciętnie zatrudnienie wynosiło 10,12 mln osób, w tym 2,37 mln w przemyśle przetwórczym.</w:t>
      </w:r>
    </w:p>
  </w:footnote>
  <w:footnote w:id="10">
    <w:p w14:paraId="4A07ADBA" w14:textId="740DBC4C" w:rsidR="009F06E2" w:rsidRPr="0037667F" w:rsidRDefault="009F06E2" w:rsidP="00CB07D4">
      <w:pPr>
        <w:pStyle w:val="Tekstprzypisudolnego"/>
        <w:ind w:left="142" w:hanging="142"/>
      </w:pPr>
      <w:r w:rsidRPr="0037667F">
        <w:rPr>
          <w:rStyle w:val="Odwoanieprzypisudolnego"/>
        </w:rPr>
        <w:footnoteRef/>
      </w:r>
      <w:r w:rsidRPr="0037667F">
        <w:t xml:space="preserve"> Jeden punkt odpowiada jednemu państwu Unii Europejskiej w jednym roku. Łączna liczba punktów to zatem liczba państw pomnożona przez liczbę lat. Skala logarytmiczna została użyta dla wygody prezentacji danych i nie wpływa na wynik analizy.</w:t>
      </w:r>
    </w:p>
  </w:footnote>
  <w:footnote w:id="11">
    <w:p w14:paraId="23A092DC" w14:textId="692543AF" w:rsidR="009F06E2" w:rsidRPr="0037667F" w:rsidRDefault="009F06E2" w:rsidP="00CB07D4">
      <w:pPr>
        <w:pStyle w:val="Tekstprzypisudolnego"/>
        <w:ind w:left="142" w:hanging="142"/>
      </w:pPr>
      <w:r w:rsidRPr="0037667F">
        <w:rPr>
          <w:rStyle w:val="Odwoanieprzypisudolnego"/>
        </w:rPr>
        <w:footnoteRef/>
      </w:r>
      <w:r w:rsidRPr="0037667F">
        <w:t xml:space="preserve"> </w:t>
      </w:r>
      <w:r w:rsidRPr="0037667F">
        <w:rPr>
          <w:sz w:val="18"/>
        </w:rPr>
        <w:t xml:space="preserve">Jego rola zobrazowana w cenach bieżących </w:t>
      </w:r>
      <w:r w:rsidRPr="0037667F">
        <w:rPr>
          <w:sz w:val="18"/>
          <w:szCs w:val="18"/>
        </w:rPr>
        <w:t xml:space="preserve">może </w:t>
      </w:r>
      <w:r w:rsidRPr="0037667F">
        <w:rPr>
          <w:sz w:val="18"/>
        </w:rPr>
        <w:t xml:space="preserve">być nieznacznie przeszacowana z powodu trudności z dostępem do szczegółowych </w:t>
      </w:r>
      <w:r w:rsidRPr="0037667F">
        <w:rPr>
          <w:sz w:val="18"/>
          <w:szCs w:val="18"/>
        </w:rPr>
        <w:t xml:space="preserve">  </w:t>
      </w:r>
      <w:r w:rsidRPr="0037667F">
        <w:t>danych w cenach stałych.</w:t>
      </w:r>
    </w:p>
  </w:footnote>
  <w:footnote w:id="12">
    <w:p w14:paraId="622ED70A" w14:textId="7CA43EF2" w:rsidR="009F06E2" w:rsidRPr="0037667F" w:rsidRDefault="009F06E2" w:rsidP="00CB07D4">
      <w:pPr>
        <w:pStyle w:val="Tekstprzypisudolnego"/>
        <w:ind w:left="142" w:hanging="142"/>
        <w:rPr>
          <w:sz w:val="18"/>
        </w:rPr>
      </w:pPr>
      <w:r w:rsidRPr="0037667F">
        <w:rPr>
          <w:rStyle w:val="Odwoanieprzypisudolnego"/>
        </w:rPr>
        <w:footnoteRef/>
      </w:r>
      <w:r w:rsidRPr="0037667F">
        <w:t xml:space="preserve"> </w:t>
      </w:r>
      <w:r w:rsidRPr="0037667F">
        <w:rPr>
          <w:sz w:val="18"/>
        </w:rPr>
        <w:t>Rozstęp ćwiartkowy to różnica pomiędzy wartością, poniżej której leży 75% obserwacji (III kwartyl</w:t>
      </w:r>
      <w:r w:rsidRPr="0037667F">
        <w:rPr>
          <w:sz w:val="18"/>
          <w:szCs w:val="18"/>
        </w:rPr>
        <w:t>),</w:t>
      </w:r>
      <w:r w:rsidRPr="0037667F">
        <w:t>)</w:t>
      </w:r>
      <w:r w:rsidRPr="0037667F">
        <w:rPr>
          <w:sz w:val="18"/>
        </w:rPr>
        <w:t xml:space="preserve"> a wartością, poniżej której leży 25%</w:t>
      </w:r>
      <w:r w:rsidRPr="0037667F">
        <w:rPr>
          <w:sz w:val="18"/>
          <w:szCs w:val="18"/>
        </w:rPr>
        <w:t> </w:t>
      </w:r>
      <w:r w:rsidRPr="0037667F">
        <w:rPr>
          <w:sz w:val="18"/>
        </w:rPr>
        <w:t>obserwacji (I kwartyl). Z definicji pomiędzy tymi wartościami znajduje się zatem 50% wszystkich obserwacji położonych centralnie w rozkładzie (w omawianym przypadku – 8 średnich województw). Stąd im większa szerokość rozstępu ćwiartkowego, tym większe zróżnicowanie cechy.</w:t>
      </w:r>
    </w:p>
  </w:footnote>
  <w:footnote w:id="13">
    <w:p w14:paraId="498C1BF2" w14:textId="57DC7C02" w:rsidR="009F06E2" w:rsidRPr="0037667F" w:rsidRDefault="009F06E2">
      <w:pPr>
        <w:pStyle w:val="Tekstprzypisudolnego"/>
        <w:rPr>
          <w:sz w:val="18"/>
        </w:rPr>
      </w:pPr>
      <w:r w:rsidRPr="0037667F">
        <w:rPr>
          <w:rStyle w:val="Odwoanieprzypisudolnego"/>
        </w:rPr>
        <w:footnoteRef/>
      </w:r>
      <w:r w:rsidRPr="0037667F">
        <w:t xml:space="preserve"> </w:t>
      </w:r>
      <w:r w:rsidRPr="0037667F">
        <w:rPr>
          <w:sz w:val="18"/>
        </w:rPr>
        <w:t>Bank Danych Lokalnych GUS</w:t>
      </w:r>
    </w:p>
  </w:footnote>
  <w:footnote w:id="14">
    <w:p w14:paraId="25443DB7" w14:textId="0A95CED4" w:rsidR="009F06E2" w:rsidRPr="0037667F" w:rsidRDefault="009F06E2" w:rsidP="006E0D25">
      <w:pPr>
        <w:pStyle w:val="Tekstprzypisudolnego"/>
        <w:ind w:left="142" w:hanging="142"/>
        <w:rPr>
          <w:sz w:val="18"/>
          <w:szCs w:val="18"/>
        </w:rPr>
      </w:pPr>
      <w:r w:rsidRPr="0037667F">
        <w:rPr>
          <w:rStyle w:val="Odwoanieprzypisudolnego"/>
        </w:rPr>
        <w:footnoteRef/>
      </w:r>
      <w:r w:rsidRPr="0037667F">
        <w:t xml:space="preserve"> Szczególnie głęboki spadek widać w Hiszpanii, którą wybrano do porównania jako kraj o względnie zbliżonym do Polski potencjale gospodarczym. Spadek ten wynika ze spektakularnego boomu na rynku budowlanym, jaki ten kraj przeżywał w I dekadzie XXI wieku, zakończonego równie spektakularnym załamaniem.</w:t>
      </w:r>
    </w:p>
  </w:footnote>
  <w:footnote w:id="15">
    <w:p w14:paraId="2C171231" w14:textId="77777777" w:rsidR="009F06E2" w:rsidRPr="0037667F" w:rsidRDefault="009F06E2" w:rsidP="00CB07D4">
      <w:pPr>
        <w:pStyle w:val="Tekstprzypisudolnego"/>
        <w:ind w:left="142" w:hanging="142"/>
        <w:rPr>
          <w:sz w:val="18"/>
          <w:szCs w:val="18"/>
        </w:rPr>
      </w:pPr>
      <w:r w:rsidRPr="0037667F">
        <w:rPr>
          <w:rStyle w:val="Odwoanieprzypisudolnego"/>
          <w:sz w:val="18"/>
          <w:szCs w:val="18"/>
        </w:rPr>
        <w:footnoteRef/>
      </w:r>
      <w:r w:rsidRPr="0037667F">
        <w:rPr>
          <w:sz w:val="18"/>
          <w:szCs w:val="18"/>
        </w:rPr>
        <w:t xml:space="preserve"> Na podstawie danych GUS, bez uwzględnienia mikroprzedsiębiorstw. Warto odnotować, że na 13,6 mld zł przeznaczonych w 2017 r. ogółem na inwestycje w wartości niematerialne i prawne, 6,9 mld to nakłady dużych przedsiębiorstw z sekcji PKD Informacja i komunikacja, za co prawdopodobnie w szczególnym stopniu odpowiadają spółki telekomunikacyjne.</w:t>
      </w:r>
    </w:p>
  </w:footnote>
  <w:footnote w:id="16">
    <w:p w14:paraId="69B8B71F" w14:textId="440FD308" w:rsidR="009F06E2" w:rsidRPr="0037667F" w:rsidRDefault="009F06E2" w:rsidP="00CB07D4">
      <w:pPr>
        <w:pStyle w:val="Tekstprzypisudolnego"/>
        <w:ind w:left="142" w:hanging="142"/>
      </w:pPr>
      <w:r w:rsidRPr="0037667F">
        <w:rPr>
          <w:rStyle w:val="Odwoanieprzypisudolnego"/>
        </w:rPr>
        <w:footnoteRef/>
      </w:r>
      <w:r w:rsidRPr="0037667F">
        <w:t xml:space="preserve"> Do porównywania przepływów energii i materiałów wykorzystano przeliczeniową jednostkę egzergii jako miarę użytecznej pracy, jaką należy wykonać, by z powszechnie występujących składników otaczającej przyrody wytworzyć wymaganą substancję o wymaganych parametrach, wykorzystując otaczającą przyrodę jako źródło ciepła bezwartościowego pod względem termodynamicznym. Korzystanie z egzergii zapewnia odpowiednią jednolitą miarę energii i materiałów, co pozwala na wizualizację interakcji materiałów i energii w procesach przemysłowych na pojedynczym schemacie.</w:t>
      </w:r>
    </w:p>
  </w:footnote>
  <w:footnote w:id="17">
    <w:p w14:paraId="6F6EA147" w14:textId="77777777" w:rsidR="009F06E2" w:rsidRPr="0037667F" w:rsidRDefault="009F06E2"/>
    <w:p w14:paraId="6E5613A6" w14:textId="77777777" w:rsidR="009F06E2" w:rsidRPr="0037667F" w:rsidRDefault="009F06E2" w:rsidP="005B060B">
      <w:pPr>
        <w:spacing w:after="0" w:line="240" w:lineRule="auto"/>
      </w:pPr>
    </w:p>
  </w:footnote>
  <w:footnote w:id="18">
    <w:p w14:paraId="022E0C2B" w14:textId="77777777" w:rsidR="009F06E2" w:rsidRPr="0037667F" w:rsidRDefault="009F06E2"/>
    <w:p w14:paraId="773CBD04" w14:textId="77777777" w:rsidR="009F06E2" w:rsidRPr="0037667F" w:rsidRDefault="009F06E2" w:rsidP="005B060B"/>
  </w:footnote>
  <w:footnote w:id="19">
    <w:p w14:paraId="071EBC8E" w14:textId="2E1FC32F" w:rsidR="009F06E2" w:rsidRPr="0037667F" w:rsidRDefault="009F06E2">
      <w:pPr>
        <w:pStyle w:val="Tekstprzypisudolnego"/>
      </w:pPr>
      <w:r w:rsidRPr="0037667F">
        <w:rPr>
          <w:rStyle w:val="Odwoanieprzypisudolnego"/>
        </w:rPr>
        <w:footnoteRef/>
      </w:r>
      <w:r w:rsidRPr="0037667F">
        <w:t xml:space="preserve"> Ze względu na zmianę metodologii od 2018 r. nie podajemy późniejszych danych.</w:t>
      </w:r>
    </w:p>
  </w:footnote>
  <w:footnote w:id="20">
    <w:p w14:paraId="7EE675BA" w14:textId="48C9E584" w:rsidR="009F06E2" w:rsidRPr="0037667F" w:rsidRDefault="009F06E2" w:rsidP="000B3CE9">
      <w:pPr>
        <w:pStyle w:val="Tekstprzypisudolnego"/>
      </w:pPr>
      <w:r w:rsidRPr="0037667F">
        <w:rPr>
          <w:rStyle w:val="Odwoanieprzypisudolnego"/>
        </w:rPr>
        <w:footnoteRef/>
      </w:r>
      <w:r w:rsidRPr="0037667F">
        <w:t xml:space="preserve"> Wcześniej Ministerstwo Gospodarki i Ministerstwo Rozwoju. </w:t>
      </w:r>
    </w:p>
  </w:footnote>
  <w:footnote w:id="21">
    <w:p w14:paraId="6A3F6EEF" w14:textId="77777777" w:rsidR="009F06E2" w:rsidRPr="0037667F" w:rsidRDefault="009F06E2" w:rsidP="00CB07D4">
      <w:pPr>
        <w:pStyle w:val="Tekstprzypisudolnego"/>
        <w:ind w:left="142" w:hanging="142"/>
      </w:pPr>
      <w:r w:rsidRPr="0037667F">
        <w:rPr>
          <w:rStyle w:val="Odwoanieprzypisudolnego"/>
        </w:rPr>
        <w:footnoteRef/>
      </w:r>
      <w:r w:rsidRPr="0037667F">
        <w:t xml:space="preserve"> Dane dotyczą jedynie przedsiębiorstw zatrudniających powyżej 49 pracowników. Dane dla całej populacji mogą wskazywać na jeszcze wyższy udział środków własnych przedsiębiorców. </w:t>
      </w:r>
    </w:p>
  </w:footnote>
  <w:footnote w:id="22">
    <w:p w14:paraId="1E8FA529" w14:textId="72F74728" w:rsidR="009F06E2" w:rsidRPr="0037667F" w:rsidRDefault="009F06E2" w:rsidP="00CB07D4">
      <w:pPr>
        <w:pStyle w:val="Tekstprzypisudolnego"/>
        <w:ind w:left="284" w:hanging="284"/>
      </w:pPr>
      <w:r w:rsidRPr="0037667F">
        <w:rPr>
          <w:rStyle w:val="Odwoanieprzypisudolnego"/>
        </w:rPr>
        <w:footnoteRef/>
      </w:r>
      <w:r w:rsidRPr="0037667F">
        <w:t xml:space="preserve"> Projekt Strategii rozwoju rynku kapitałowego przygotowywany jest przez Ministerstwo Finansów we współpracy z Europejskim Bankiem Odbudowy i Rozwoju (EBOR).</w:t>
      </w:r>
    </w:p>
  </w:footnote>
  <w:footnote w:id="23">
    <w:p w14:paraId="07BFE3AD" w14:textId="77777777" w:rsidR="009F06E2" w:rsidRPr="0037667F" w:rsidRDefault="009F06E2" w:rsidP="00930093">
      <w:pPr>
        <w:pStyle w:val="Tekstprzypisudolnego"/>
        <w:rPr>
          <w:sz w:val="18"/>
        </w:rPr>
      </w:pPr>
      <w:r w:rsidRPr="0037667F">
        <w:rPr>
          <w:rStyle w:val="Odwoanieprzypisudolnego"/>
          <w:sz w:val="18"/>
        </w:rPr>
        <w:footnoteRef/>
      </w:r>
      <w:r w:rsidRPr="0037667F">
        <w:rPr>
          <w:sz w:val="18"/>
        </w:rPr>
        <w:t xml:space="preserve"> Jak wskazuje Ministerstwo Finansów na swojej stronie internetowej, za koszty kwalifikowalne można uznać m.in.:</w:t>
      </w:r>
    </w:p>
    <w:p w14:paraId="678E05CA" w14:textId="6C4F3C1E" w:rsidR="009F06E2" w:rsidRPr="0037667F" w:rsidRDefault="009F06E2" w:rsidP="00CB07D4">
      <w:pPr>
        <w:pStyle w:val="Tekstprzypisudolnego"/>
        <w:numPr>
          <w:ilvl w:val="0"/>
          <w:numId w:val="4"/>
        </w:numPr>
        <w:ind w:left="567"/>
        <w:rPr>
          <w:sz w:val="18"/>
        </w:rPr>
      </w:pPr>
      <w:r w:rsidRPr="0037667F">
        <w:rPr>
          <w:sz w:val="18"/>
        </w:rPr>
        <w:t>wynagrodzenia dotyczące pracowników zatrudnionych w celu realizacji działalności badawczo-rozwojowej oraz związane z nimi składki na ubezpieczenia społeczne,</w:t>
      </w:r>
    </w:p>
    <w:p w14:paraId="4E80FB16" w14:textId="002E2539" w:rsidR="009F06E2" w:rsidRPr="0037667F" w:rsidRDefault="009F06E2" w:rsidP="00CB07D4">
      <w:pPr>
        <w:pStyle w:val="Tekstprzypisudolnego"/>
        <w:numPr>
          <w:ilvl w:val="0"/>
          <w:numId w:val="4"/>
        </w:numPr>
        <w:ind w:left="567"/>
        <w:rPr>
          <w:sz w:val="18"/>
        </w:rPr>
      </w:pPr>
      <w:r w:rsidRPr="0037667F">
        <w:rPr>
          <w:sz w:val="18"/>
        </w:rPr>
        <w:t>nabycie materiałów i surowców bezpośrednio związanych z prowadzoną działalnością badawczo-rozwojową,</w:t>
      </w:r>
    </w:p>
    <w:p w14:paraId="452D59A0" w14:textId="39D3D49E" w:rsidR="009F06E2" w:rsidRPr="0037667F" w:rsidRDefault="009F06E2" w:rsidP="00CB07D4">
      <w:pPr>
        <w:pStyle w:val="Tekstprzypisudolnego"/>
        <w:numPr>
          <w:ilvl w:val="0"/>
          <w:numId w:val="4"/>
        </w:numPr>
        <w:ind w:left="567"/>
        <w:rPr>
          <w:sz w:val="18"/>
        </w:rPr>
      </w:pPr>
      <w:r w:rsidRPr="0037667F">
        <w:rPr>
          <w:sz w:val="18"/>
        </w:rPr>
        <w:t>ekspertyzy, opinie, usługi doradcze i usługi równorzędne, a także nabycie wyników badań naukowych, świadczonych lub wykonywanych na podstawie umowy przez jednostkę naukową w rozumieniu ustawy z dnia 30 kwietnia 2010 r. o zasadach finansowania nauki (Dz. U. z 2014 r. poz. 1620</w:t>
      </w:r>
      <w:r w:rsidRPr="0037667F">
        <w:rPr>
          <w:sz w:val="18"/>
          <w:szCs w:val="18"/>
        </w:rPr>
        <w:t>,</w:t>
      </w:r>
      <w:r w:rsidRPr="0037667F">
        <w:rPr>
          <w:sz w:val="18"/>
        </w:rPr>
        <w:t xml:space="preserve"> z póź.zm.) na potrzeby prowadzonej działalności badawczo-rozwojowej,</w:t>
      </w:r>
    </w:p>
    <w:p w14:paraId="77D438C5" w14:textId="70D9104C" w:rsidR="009F06E2" w:rsidRPr="0037667F" w:rsidRDefault="009F06E2" w:rsidP="00CB07D4">
      <w:pPr>
        <w:pStyle w:val="Tekstprzypisudolnego"/>
        <w:numPr>
          <w:ilvl w:val="0"/>
          <w:numId w:val="4"/>
        </w:numPr>
        <w:ind w:left="567"/>
        <w:rPr>
          <w:sz w:val="18"/>
        </w:rPr>
      </w:pPr>
      <w:r w:rsidRPr="0037667F">
        <w:rPr>
          <w:sz w:val="18"/>
        </w:rPr>
        <w:t>odpłatne korzystanie z aparatury naukowo-badawczej wykorzystywanej wyłącznie w prowadzonej działalności badawczo-</w:t>
      </w:r>
      <w:r w:rsidRPr="0037667F">
        <w:rPr>
          <w:sz w:val="18"/>
          <w:szCs w:val="18"/>
        </w:rPr>
        <w:br/>
        <w:t>-</w:t>
      </w:r>
      <w:r w:rsidRPr="0037667F">
        <w:rPr>
          <w:sz w:val="18"/>
        </w:rPr>
        <w:t>rozwojowej, jeżeli to korzystanie nie wynika z umowy zawartej z podmiotem powiązanym w rozumieniu art. 11 ust. 1 i 4 ustawy z dnia 15 lutego 1992 r. o podatku dochodowym od osób prawnych (Dz. U. 1992 nr 21 poz. 86 z późn. zm.).</w:t>
      </w:r>
    </w:p>
  </w:footnote>
  <w:footnote w:id="24">
    <w:p w14:paraId="2392E21E" w14:textId="18DE49D8" w:rsidR="009F06E2" w:rsidRPr="0037667F" w:rsidRDefault="009F06E2" w:rsidP="00551A66">
      <w:pPr>
        <w:pStyle w:val="Tekstprzypisudolnego"/>
        <w:rPr>
          <w:sz w:val="18"/>
          <w:szCs w:val="18"/>
        </w:rPr>
      </w:pPr>
      <w:r w:rsidRPr="0037667F">
        <w:rPr>
          <w:rStyle w:val="Odwoanieprzypisudolnego"/>
          <w:sz w:val="18"/>
          <w:szCs w:val="18"/>
        </w:rPr>
        <w:footnoteRef/>
      </w:r>
      <w:r w:rsidRPr="0037667F">
        <w:rPr>
          <w:sz w:val="18"/>
          <w:szCs w:val="18"/>
        </w:rPr>
        <w:t xml:space="preserve"> Według stanu na 1.07.2019 r. </w:t>
      </w:r>
    </w:p>
  </w:footnote>
  <w:footnote w:id="25">
    <w:p w14:paraId="5952BB35" w14:textId="138F9D6C" w:rsidR="009F06E2" w:rsidRPr="0037667F" w:rsidRDefault="009F06E2" w:rsidP="00CB07D4">
      <w:pPr>
        <w:pStyle w:val="Tekstprzypisudolnego"/>
        <w:ind w:left="142" w:hanging="142"/>
        <w:rPr>
          <w:sz w:val="18"/>
          <w:szCs w:val="18"/>
        </w:rPr>
      </w:pPr>
      <w:r w:rsidRPr="0037667F">
        <w:rPr>
          <w:rStyle w:val="Odwoanieprzypisudolnego"/>
          <w:sz w:val="18"/>
          <w:szCs w:val="18"/>
        </w:rPr>
        <w:footnoteRef/>
      </w:r>
      <w:r w:rsidRPr="0037667F">
        <w:rPr>
          <w:sz w:val="18"/>
          <w:szCs w:val="18"/>
        </w:rPr>
        <w:t xml:space="preserve"> Przez przedsiębiorstwa należy rozumieć podmioty należące do następujących form prawnych: fundusze, oddziały zagranicznych przedsiębiorców, osoby fizyczne prowadzące działalność gospodarczą, przedsiębiorstwa państwowe, przedsiębiorstwa zagraniczne, spółki akcyjne, spółki cywilne prowadzące działalność na podstawie umowy zawartej zgodnie z Kodeksem cywilnym, spółki europejskie, spółki jawne, spółki komandytowe, spółki komandytowo-akcyjne, spółki partnerskie, spółki przewidziane w przepisach innych ustaw niż Kodeks spółek handlowych i Kodeks cywilny lub formy prawne, spółki z ograniczoną odpowiedzialnością.</w:t>
      </w:r>
    </w:p>
  </w:footnote>
  <w:footnote w:id="26">
    <w:p w14:paraId="55E4D045" w14:textId="21D08181" w:rsidR="009F06E2" w:rsidRPr="0037667F" w:rsidRDefault="009F06E2" w:rsidP="00F84351">
      <w:pPr>
        <w:pStyle w:val="Tekstprzypisudolnego"/>
        <w:rPr>
          <w:sz w:val="18"/>
          <w:szCs w:val="18"/>
        </w:rPr>
      </w:pPr>
      <w:r w:rsidRPr="0037667F">
        <w:rPr>
          <w:rStyle w:val="Odwoanieprzypisudolnego"/>
          <w:sz w:val="18"/>
          <w:szCs w:val="18"/>
        </w:rPr>
        <w:footnoteRef/>
      </w:r>
      <w:r w:rsidRPr="0037667F">
        <w:rPr>
          <w:sz w:val="18"/>
          <w:szCs w:val="18"/>
        </w:rPr>
        <w:t xml:space="preserve"> CT1: Wzmacnianie badań naukowych, rozwoju technologicznego i innowacji.</w:t>
      </w:r>
    </w:p>
  </w:footnote>
  <w:footnote w:id="27">
    <w:p w14:paraId="4616D61C" w14:textId="1C3A4B2A" w:rsidR="009F06E2" w:rsidRPr="0037667F" w:rsidRDefault="009F06E2" w:rsidP="00F84351">
      <w:pPr>
        <w:pStyle w:val="Tekstprzypisudolnego"/>
        <w:rPr>
          <w:sz w:val="18"/>
          <w:szCs w:val="18"/>
        </w:rPr>
      </w:pPr>
      <w:r w:rsidRPr="0037667F">
        <w:rPr>
          <w:rStyle w:val="Odwoanieprzypisudolnego"/>
          <w:sz w:val="18"/>
          <w:szCs w:val="18"/>
        </w:rPr>
        <w:footnoteRef/>
      </w:r>
      <w:r w:rsidRPr="0037667F">
        <w:rPr>
          <w:sz w:val="18"/>
          <w:szCs w:val="18"/>
        </w:rPr>
        <w:t xml:space="preserve"> CT3: Wzmacnianie konkurencyjności małych i średnich przedsiębiorstw (MŚP).</w:t>
      </w:r>
    </w:p>
  </w:footnote>
  <w:footnote w:id="28">
    <w:p w14:paraId="7520D15A" w14:textId="77777777" w:rsidR="009F06E2" w:rsidRPr="0037667F" w:rsidRDefault="009F06E2" w:rsidP="00551A66">
      <w:pPr>
        <w:pStyle w:val="Tekstprzypisudolnego"/>
      </w:pPr>
      <w:r w:rsidRPr="0037667F">
        <w:rPr>
          <w:rStyle w:val="Odwoanieprzypisudolnego"/>
          <w:sz w:val="18"/>
          <w:szCs w:val="18"/>
        </w:rPr>
        <w:footnoteRef/>
      </w:r>
      <w:r w:rsidRPr="0037667F">
        <w:rPr>
          <w:sz w:val="18"/>
          <w:szCs w:val="18"/>
        </w:rPr>
        <w:t xml:space="preserve"> Uwzględniono jedynie projekty podpisane do 1.07.2019 r.</w:t>
      </w:r>
    </w:p>
  </w:footnote>
  <w:footnote w:id="29">
    <w:p w14:paraId="070C5A17" w14:textId="77777777" w:rsidR="009F06E2" w:rsidRPr="0037667F" w:rsidRDefault="009F06E2" w:rsidP="00CB07D4">
      <w:pPr>
        <w:pStyle w:val="Tekstprzypisudolnego"/>
        <w:ind w:left="284" w:hanging="284"/>
      </w:pPr>
      <w:r w:rsidRPr="0037667F">
        <w:rPr>
          <w:rStyle w:val="Odwoanieprzypisudolnego"/>
        </w:rPr>
        <w:footnoteRef/>
      </w:r>
      <w:r w:rsidRPr="0037667F">
        <w:t xml:space="preserve"> Środki pochodzące zarówno ze środków krajowych (budżetowych, krajowych instytucji rozwojowych) lub środków europejskich. </w:t>
      </w:r>
    </w:p>
  </w:footnote>
  <w:footnote w:id="30">
    <w:p w14:paraId="7FE8E983" w14:textId="33885C95" w:rsidR="009F06E2" w:rsidRPr="0037667F" w:rsidRDefault="009F06E2" w:rsidP="00CB07D4">
      <w:pPr>
        <w:pStyle w:val="Tekstprzypisudolnego"/>
        <w:ind w:left="284" w:hanging="284"/>
      </w:pPr>
      <w:r w:rsidRPr="0037667F">
        <w:rPr>
          <w:rStyle w:val="Odwoanieprzypisudolnego"/>
        </w:rPr>
        <w:footnoteRef/>
      </w:r>
      <w:r w:rsidRPr="0037667F">
        <w:t xml:space="preserve"> Tzw. mała ustawa o innowacyjności – ustawa z dnia 4 listopada 2016 r. o zmianie niektórych ustaw określających warunki prowadzenia działalności innowacyjnej (Dz. U. z 2016 r. poz. 1933).</w:t>
      </w:r>
    </w:p>
  </w:footnote>
  <w:footnote w:id="31">
    <w:p w14:paraId="25533988" w14:textId="45D1778E" w:rsidR="009F06E2" w:rsidRPr="0037667F" w:rsidRDefault="009F06E2" w:rsidP="00CB07D4">
      <w:pPr>
        <w:pStyle w:val="Tekstprzypisudolnego"/>
        <w:ind w:left="284" w:hanging="284"/>
      </w:pPr>
      <w:r w:rsidRPr="0037667F">
        <w:rPr>
          <w:rStyle w:val="Odwoanieprzypisudolnego"/>
        </w:rPr>
        <w:footnoteRef/>
      </w:r>
      <w:r w:rsidRPr="0037667F">
        <w:t xml:space="preserve"> Tzw. druga ustawa o innowacyjności – ustawa z dnia 9 listopada 2017 r. o zmianie niektórych ustaw w celu poprawy otoczenia prawnego działalności innowacyjnej (Dz. U. z 2017 r. poz. 2201).</w:t>
      </w:r>
    </w:p>
  </w:footnote>
  <w:footnote w:id="32">
    <w:p w14:paraId="04D2E276" w14:textId="0E2C1FA7" w:rsidR="009F06E2" w:rsidRPr="0037667F" w:rsidRDefault="009F06E2" w:rsidP="00FF4AF1">
      <w:pPr>
        <w:pStyle w:val="Tekstprzypisudolnego"/>
      </w:pPr>
      <w:r w:rsidRPr="0037667F">
        <w:rPr>
          <w:rStyle w:val="Odwoanieprzypisudolnego"/>
        </w:rPr>
        <w:footnoteRef/>
      </w:r>
      <w:r w:rsidRPr="0037667F">
        <w:t xml:space="preserve"> Zgodnie z koncepcją </w:t>
      </w:r>
      <w:r w:rsidRPr="0037667F">
        <w:rPr>
          <w:i/>
        </w:rPr>
        <w:t>capability maturity model</w:t>
      </w:r>
      <w:r w:rsidRPr="0037667F">
        <w:t xml:space="preserve"> (CMM).</w:t>
      </w:r>
    </w:p>
  </w:footnote>
  <w:footnote w:id="33">
    <w:p w14:paraId="7B01B606" w14:textId="77777777" w:rsidR="009F06E2" w:rsidRPr="0037667F" w:rsidRDefault="009F06E2" w:rsidP="00CB07D4">
      <w:pPr>
        <w:pStyle w:val="Tekstprzypisudolnego"/>
        <w:ind w:left="142" w:hanging="142"/>
      </w:pPr>
      <w:r w:rsidRPr="0037667F">
        <w:rPr>
          <w:rStyle w:val="Odwoanieprzypisudolnego"/>
        </w:rPr>
        <w:footnoteRef/>
      </w:r>
      <w:r w:rsidRPr="0037667F">
        <w:t xml:space="preserve"> Gdzie jako inwestycje przyjmuje się zgodnie ze stanem prawnym na dzień ogłoszenia </w:t>
      </w:r>
      <w:r w:rsidRPr="0037667F">
        <w:rPr>
          <w:i/>
        </w:rPr>
        <w:t>Strategii</w:t>
      </w:r>
      <w:r w:rsidRPr="0037667F">
        <w:t>: założenie nowego zakładu, zwiększenie zdolności produkcyjnych, wprowadzenie produktów dotąd niewytwarzanych, zasadniczą zmianę procesu produkcyjnego.</w:t>
      </w:r>
    </w:p>
  </w:footnote>
  <w:footnote w:id="34">
    <w:p w14:paraId="0BB10BA7" w14:textId="2543E51B" w:rsidR="009F06E2" w:rsidRPr="0037667F" w:rsidRDefault="009F06E2" w:rsidP="00EC5ABF">
      <w:pPr>
        <w:pStyle w:val="Tekstprzypisudolnego"/>
      </w:pPr>
      <w:r w:rsidRPr="0037667F">
        <w:rPr>
          <w:vertAlign w:val="superscript"/>
        </w:rPr>
        <w:footnoteRef/>
      </w:r>
      <w:r w:rsidRPr="0037667F">
        <w:rPr>
          <w:sz w:val="18"/>
          <w:szCs w:val="18"/>
        </w:rPr>
        <w:t xml:space="preserve"> </w:t>
      </w:r>
      <w:r w:rsidRPr="0037667F">
        <w:t>Zachęty inwestycyjne w krajach konkurujących z Polską o bezpośrednie inwestycje zagraniczne, PSIH, Warszawa</w:t>
      </w:r>
      <w:r w:rsidRPr="0037667F">
        <w:rPr>
          <w:sz w:val="18"/>
          <w:szCs w:val="18"/>
        </w:rPr>
        <w:t>,</w:t>
      </w:r>
      <w:r w:rsidRPr="0037667F">
        <w:t xml:space="preserve"> XII 2019.</w:t>
      </w:r>
    </w:p>
  </w:footnote>
  <w:footnote w:id="35">
    <w:p w14:paraId="2218C8BB" w14:textId="486DB676" w:rsidR="009F06E2" w:rsidRPr="0037667F" w:rsidRDefault="009F06E2" w:rsidP="00CB07D4">
      <w:pPr>
        <w:pStyle w:val="Tekstprzypisudolnego"/>
        <w:ind w:left="142" w:hanging="142"/>
      </w:pPr>
      <w:r w:rsidRPr="0037667F">
        <w:rPr>
          <w:vertAlign w:val="superscript"/>
        </w:rPr>
        <w:footnoteRef/>
      </w:r>
      <w:r w:rsidRPr="0037667F">
        <w:rPr>
          <w:vertAlign w:val="superscript"/>
        </w:rPr>
        <w:t xml:space="preserve"> </w:t>
      </w:r>
      <w:r w:rsidRPr="0037667F">
        <w:t xml:space="preserve">Utrzymuje się dobry klimat dla biznesu. Wyniki 12. edycji badania „Klimat inwestycyjny w Polsce”, przeprowadzonego przez Polską </w:t>
      </w:r>
      <w:r w:rsidRPr="0037667F">
        <w:rPr>
          <w:sz w:val="18"/>
          <w:szCs w:val="18"/>
        </w:rPr>
        <w:t xml:space="preserve">  </w:t>
      </w:r>
      <w:r w:rsidRPr="0037667F">
        <w:t>Agencję Inwestycji i Handlu we współpracy z firmą audytorsko-doradczą Grant Thornton i HSBC, Warszawa, VI 2019.</w:t>
      </w:r>
    </w:p>
  </w:footnote>
  <w:footnote w:id="36">
    <w:p w14:paraId="01D4BAC2" w14:textId="77777777" w:rsidR="009F06E2" w:rsidRPr="0037667F" w:rsidRDefault="009F06E2" w:rsidP="00B620BC">
      <w:pPr>
        <w:pStyle w:val="Tekstprzypisudolnego"/>
      </w:pPr>
      <w:r w:rsidRPr="0037667F">
        <w:rPr>
          <w:rStyle w:val="Znakiprzypiswdolnych"/>
          <w:vertAlign w:val="superscript"/>
        </w:rPr>
        <w:footnoteRef/>
      </w:r>
      <w:r w:rsidRPr="0037667F">
        <w:t xml:space="preserve"> https://www.gov.pl/cyfryzacja/program-zintegrowanej-informatyzacji-panstwa</w:t>
      </w:r>
    </w:p>
  </w:footnote>
  <w:footnote w:id="37">
    <w:p w14:paraId="590D5BEC" w14:textId="77777777" w:rsidR="009F06E2" w:rsidRPr="0037667F" w:rsidRDefault="009F06E2" w:rsidP="00B620BC">
      <w:pPr>
        <w:pStyle w:val="Tekstprzypisudolnego"/>
      </w:pPr>
      <w:r w:rsidRPr="0037667F">
        <w:rPr>
          <w:rStyle w:val="Znakiprzypiswdolnych"/>
          <w:vertAlign w:val="superscript"/>
        </w:rPr>
        <w:footnoteRef/>
      </w:r>
      <w:r w:rsidRPr="0037667F">
        <w:t xml:space="preserve"> https://dane.gov.pl/article/653</w:t>
      </w:r>
    </w:p>
  </w:footnote>
  <w:footnote w:id="38">
    <w:p w14:paraId="708C5675" w14:textId="77777777" w:rsidR="009F06E2" w:rsidRPr="0037667F" w:rsidRDefault="009F06E2" w:rsidP="00B620BC">
      <w:pPr>
        <w:pStyle w:val="Tekstprzypisudolnego"/>
      </w:pPr>
      <w:r w:rsidRPr="0037667F">
        <w:rPr>
          <w:rStyle w:val="Znakiprzypiswdolnych"/>
          <w:vertAlign w:val="superscript"/>
        </w:rPr>
        <w:footnoteRef/>
      </w:r>
      <w:r w:rsidRPr="0037667F">
        <w:rPr>
          <w:vertAlign w:val="superscript"/>
        </w:rPr>
        <w:t xml:space="preserve"> </w:t>
      </w:r>
      <w:r w:rsidRPr="0037667F">
        <w:t>https://www.gov.pl/cyfryzacja/narodowy-plan-szerokopasmowy</w:t>
      </w:r>
    </w:p>
  </w:footnote>
  <w:footnote w:id="39">
    <w:p w14:paraId="52DDC2A9" w14:textId="256DC0DC" w:rsidR="009F06E2" w:rsidRPr="0037667F" w:rsidRDefault="009F06E2" w:rsidP="00CB07D4">
      <w:pPr>
        <w:pStyle w:val="Tekstprzypisudolnego"/>
        <w:ind w:left="142" w:hanging="142"/>
      </w:pPr>
      <w:r w:rsidRPr="0037667F">
        <w:rPr>
          <w:rStyle w:val="Znakiprzypiswdolnych"/>
          <w:vertAlign w:val="superscript"/>
        </w:rPr>
        <w:footnoteRef/>
      </w:r>
      <w:r w:rsidRPr="0037667F">
        <w:rPr>
          <w:vertAlign w:val="superscript"/>
        </w:rPr>
        <w:t xml:space="preserve"> </w:t>
      </w:r>
      <w:r w:rsidRPr="0037667F">
        <w:t xml:space="preserve">Oryginalna nazwa angielska „Integration of Digital Technology” nie wskazuje na aspekt biznesowo-handlowy, jednak analiza wskaźników </w:t>
      </w:r>
      <w:r w:rsidRPr="0037667F">
        <w:rPr>
          <w:sz w:val="18"/>
          <w:szCs w:val="18"/>
        </w:rPr>
        <w:t xml:space="preserve"> </w:t>
      </w:r>
      <w:r w:rsidRPr="0037667F">
        <w:t>wchodzących w skład tego wymiaru nie pozostawia wątpliwości, że taka jego interpretacja jest słuszna.</w:t>
      </w:r>
    </w:p>
  </w:footnote>
  <w:footnote w:id="40">
    <w:p w14:paraId="2081A67D" w14:textId="481F033C" w:rsidR="009F06E2" w:rsidRPr="0037667F" w:rsidRDefault="009F06E2" w:rsidP="00CB07D4">
      <w:pPr>
        <w:pStyle w:val="Tekstprzypisudolnego"/>
        <w:ind w:left="142" w:hanging="142"/>
      </w:pPr>
      <w:r w:rsidRPr="0037667F">
        <w:rPr>
          <w:rStyle w:val="Znakiprzypiswdolnych"/>
          <w:vertAlign w:val="superscript"/>
        </w:rPr>
        <w:footnoteRef/>
      </w:r>
      <w:r w:rsidRPr="0037667F">
        <w:rPr>
          <w:vertAlign w:val="superscript"/>
        </w:rPr>
        <w:t xml:space="preserve"> </w:t>
      </w:r>
      <w:r w:rsidRPr="0037667F">
        <w:t>Gdy są przywoływane dane GUS</w:t>
      </w:r>
      <w:r w:rsidRPr="0037667F">
        <w:rPr>
          <w:sz w:val="18"/>
          <w:szCs w:val="18"/>
        </w:rPr>
        <w:t>,</w:t>
      </w:r>
      <w:r w:rsidRPr="0037667F">
        <w:t xml:space="preserve"> badaną populacją bazową są przedsiębiorstwa niefinansowe, zatrudniające powyżej 9 osób.</w:t>
      </w:r>
    </w:p>
  </w:footnote>
  <w:footnote w:id="41">
    <w:p w14:paraId="28DCBBC4" w14:textId="2695DAC2" w:rsidR="009F06E2" w:rsidRPr="0037667F" w:rsidRDefault="009F06E2" w:rsidP="00CB07D4">
      <w:pPr>
        <w:pStyle w:val="Tekstprzypisudolnego"/>
        <w:ind w:left="142" w:hanging="142"/>
      </w:pPr>
      <w:r w:rsidRPr="0037667F">
        <w:rPr>
          <w:rStyle w:val="Znakiprzypiswdolnych"/>
          <w:vertAlign w:val="superscript"/>
        </w:rPr>
        <w:footnoteRef/>
      </w:r>
      <w:r w:rsidRPr="0037667F">
        <w:t xml:space="preserve"> Celem teleinformatycznych systemów ERP (</w:t>
      </w:r>
      <w:r w:rsidRPr="0037667F">
        <w:rPr>
          <w:i/>
        </w:rPr>
        <w:t>Enterprise Resource Planning</w:t>
      </w:r>
      <w:r w:rsidRPr="0037667F">
        <w:t>) jest umożliwienie wymiany danych między różnymi procesami biznesowymi zachodzącymi w organizacji, dotyczącymi różnych obszarów jej działalności: zarządzania finansami i księgowością, środkami trwałymi, projektowaniem, produkcją, serwisem, sprzedażą i zakupami, marketingiem. Potrzeba używania takiego systemu rośnie zatem wraz z rozmiarem firmy i stopniem jej wewnętrznej złożoności.</w:t>
      </w:r>
    </w:p>
  </w:footnote>
  <w:footnote w:id="42">
    <w:p w14:paraId="1D609087" w14:textId="70A60ADF" w:rsidR="009F06E2" w:rsidRPr="0037667F" w:rsidRDefault="009F06E2" w:rsidP="00606ACD">
      <w:pPr>
        <w:pStyle w:val="Tekstprzypisudolnego"/>
        <w:ind w:left="142" w:hanging="142"/>
      </w:pPr>
      <w:r w:rsidRPr="0037667F">
        <w:rPr>
          <w:rStyle w:val="Znakiprzypiswdolnych"/>
          <w:vertAlign w:val="superscript"/>
        </w:rPr>
        <w:footnoteRef/>
      </w:r>
      <w:r w:rsidRPr="0037667F">
        <w:t xml:space="preserve"> Wskaźnik identyfikuje przedsiębiorstwa kupujące co najmniej jedną z następujących usług w chmurze: hosting bazy danych, oprogramowanie do prowadzenia księgowości, oprogramowanie do zarządzania relacjami z klientami (tzw. CRM), moc obliczeniową.</w:t>
      </w:r>
    </w:p>
    <w:p w14:paraId="371C0414" w14:textId="1A7D3892" w:rsidR="009F06E2" w:rsidRPr="0037667F" w:rsidRDefault="009F06E2" w:rsidP="00B620BC">
      <w:pPr>
        <w:pStyle w:val="Tekstprzypisudolnego"/>
      </w:pPr>
      <w:r w:rsidRPr="0037667F">
        <w:t>obliczeniowa.</w:t>
      </w:r>
    </w:p>
  </w:footnote>
  <w:footnote w:id="43">
    <w:p w14:paraId="39F6B4F5" w14:textId="2726EDAA" w:rsidR="009F06E2" w:rsidRPr="0037667F" w:rsidRDefault="009F06E2" w:rsidP="00E60A8D">
      <w:pPr>
        <w:pStyle w:val="Nagwek1"/>
        <w:spacing w:before="0"/>
        <w:rPr>
          <w:color w:val="002060"/>
          <w:sz w:val="48"/>
        </w:rPr>
      </w:pPr>
      <w:r w:rsidRPr="0037667F">
        <w:rPr>
          <w:rStyle w:val="Znakiprzypiswdolnych"/>
          <w:rFonts w:eastAsia="Calibri"/>
          <w:b w:val="0"/>
          <w:color w:val="002060"/>
          <w:sz w:val="20"/>
          <w:vertAlign w:val="superscript"/>
        </w:rPr>
        <w:footnoteRef/>
      </w:r>
      <w:r w:rsidRPr="0037667F">
        <w:rPr>
          <w:rStyle w:val="Znakiprzypiswdolnych"/>
          <w:rFonts w:eastAsia="Calibri"/>
          <w:b w:val="0"/>
          <w:color w:val="002060"/>
          <w:sz w:val="20"/>
          <w:vertAlign w:val="superscript"/>
        </w:rPr>
        <w:t xml:space="preserve"> </w:t>
      </w:r>
      <w:r w:rsidRPr="0037667F">
        <w:rPr>
          <w:rFonts w:eastAsia="Calibri"/>
          <w:b w:val="0"/>
          <w:color w:val="002060"/>
          <w:sz w:val="20"/>
        </w:rPr>
        <w:t>The Digital Economy and Society Index </w:t>
      </w:r>
      <w:r w:rsidRPr="0037667F">
        <w:rPr>
          <w:rFonts w:eastAsia="Calibri" w:cs="Arial"/>
          <w:b w:val="0"/>
          <w:bCs w:val="0"/>
          <w:color w:val="002060"/>
          <w:sz w:val="20"/>
          <w:szCs w:val="20"/>
        </w:rPr>
        <w:t>2019</w:t>
      </w:r>
      <w:r w:rsidRPr="0037667F">
        <w:rPr>
          <w:rFonts w:eastAsia="Calibri" w:cs="Arial"/>
          <w:b w:val="0"/>
          <w:bCs w:val="0"/>
          <w:color w:val="002060"/>
          <w:sz w:val="18"/>
          <w:szCs w:val="18"/>
        </w:rPr>
        <w:t>.</w:t>
      </w:r>
      <w:r w:rsidRPr="0037667F">
        <w:rPr>
          <w:rFonts w:eastAsia="Calibri" w:cs="Arial"/>
          <w:b w:val="0"/>
          <w:bCs w:val="0"/>
          <w:color w:val="002060"/>
          <w:sz w:val="20"/>
          <w:szCs w:val="20"/>
        </w:rPr>
        <w:t>2020</w:t>
      </w:r>
    </w:p>
    <w:p w14:paraId="20439201" w14:textId="4888DEBD" w:rsidR="009F06E2" w:rsidRPr="0037667F" w:rsidRDefault="009F06E2">
      <w:pPr>
        <w:pStyle w:val="Tekstprzypisudolnego"/>
      </w:pPr>
    </w:p>
  </w:footnote>
  <w:footnote w:id="44">
    <w:p w14:paraId="48D53DBE" w14:textId="42E991EA" w:rsidR="009F06E2" w:rsidRPr="0037667F" w:rsidRDefault="009F06E2" w:rsidP="00CB07D4">
      <w:pPr>
        <w:pStyle w:val="Tekstprzypisudolnego"/>
        <w:ind w:left="142" w:hanging="142"/>
      </w:pPr>
      <w:r w:rsidRPr="0037667F">
        <w:rPr>
          <w:rStyle w:val="Znakiprzypiswdolnych"/>
          <w:vertAlign w:val="superscript"/>
        </w:rPr>
        <w:footnoteRef/>
      </w:r>
      <w:r w:rsidRPr="0037667F">
        <w:rPr>
          <w:sz w:val="18"/>
        </w:rPr>
        <w:t xml:space="preserve"> Tzw. </w:t>
      </w:r>
      <w:r w:rsidRPr="0037667F">
        <w:rPr>
          <w:i/>
        </w:rPr>
        <w:t>collaborative robots</w:t>
      </w:r>
      <w:r w:rsidRPr="0037667F">
        <w:t>, czyli roboty współpracujące, tj. dostosowane do pracy w sąsiedztwie człowieka i bliskiej współpracy z nim dzięki rozwiązaniom projektowym, konstrukcyjnym i programistycznym gwarantującym bezpieczeństwo człowieka, który ich używa.</w:t>
      </w:r>
    </w:p>
  </w:footnote>
  <w:footnote w:id="45">
    <w:p w14:paraId="37AE90FE" w14:textId="158F91B5" w:rsidR="009F06E2" w:rsidRPr="0037667F" w:rsidRDefault="009F06E2" w:rsidP="00B620BC">
      <w:pPr>
        <w:pStyle w:val="Tekstprzypisudolnego"/>
      </w:pPr>
      <w:r w:rsidRPr="0037667F">
        <w:rPr>
          <w:rStyle w:val="Znakiprzypiswdolnych"/>
          <w:vertAlign w:val="superscript"/>
        </w:rPr>
        <w:footnoteRef/>
      </w:r>
      <w:r w:rsidRPr="0037667F">
        <w:t xml:space="preserve"> Pozostałe reprezentowane kraje to USA (7 firm), Japonia (3), Wielka Brytania (1), Francja (1) oraz Szwajcaria (1).</w:t>
      </w:r>
    </w:p>
  </w:footnote>
  <w:footnote w:id="46">
    <w:p w14:paraId="3EFD3A7D" w14:textId="0B1DC70E" w:rsidR="009F06E2" w:rsidRPr="0037667F" w:rsidRDefault="009F06E2" w:rsidP="00B620BC">
      <w:pPr>
        <w:pStyle w:val="Tekstprzypisudolnego"/>
      </w:pPr>
      <w:r w:rsidRPr="0037667F">
        <w:rPr>
          <w:rStyle w:val="Znakiprzypiswdolnych"/>
          <w:vertAlign w:val="superscript"/>
        </w:rPr>
        <w:footnoteRef/>
      </w:r>
      <w:r w:rsidRPr="0037667F">
        <w:rPr>
          <w:vertAlign w:val="superscript"/>
        </w:rPr>
        <w:t xml:space="preserve"> </w:t>
      </w:r>
      <w:r w:rsidRPr="0037667F">
        <w:t>Wszelkie dane pochodzące z tego badania dotyczą firm zatrudniających powyżej 9 pracowników.</w:t>
      </w:r>
    </w:p>
  </w:footnote>
  <w:footnote w:id="47">
    <w:p w14:paraId="13B99B90" w14:textId="3D68B1CF" w:rsidR="009F06E2" w:rsidRPr="0037667F" w:rsidRDefault="009F06E2" w:rsidP="00CB07D4">
      <w:pPr>
        <w:pStyle w:val="Tekstprzypisudolnego"/>
        <w:ind w:left="142" w:hanging="142"/>
      </w:pPr>
      <w:r w:rsidRPr="0037667F">
        <w:rPr>
          <w:rStyle w:val="Znakiprzypiswdolnych"/>
          <w:vertAlign w:val="superscript"/>
        </w:rPr>
        <w:footnoteRef/>
      </w:r>
      <w:r w:rsidRPr="0037667F">
        <w:t xml:space="preserve"> Obliczenie na podstawie zbioru danych udostępnionego MRiT przez GUS w ramach umowy dwustronnej. W porównaniu z publikacją GUS (2017 r.)) firm jest zatem mniej (1783 wobec 2278), a ponadto agregacji dokonano na poziomie grup (a nie klas) PKD, a zatem – na poziomie o jeden szczebel wyższym.</w:t>
      </w:r>
    </w:p>
  </w:footnote>
  <w:footnote w:id="48">
    <w:p w14:paraId="5291A819" w14:textId="77777777" w:rsidR="009F06E2" w:rsidRPr="0037667F" w:rsidRDefault="009F06E2" w:rsidP="00B620BC">
      <w:pPr>
        <w:pStyle w:val="Tekstprzypisudolnego"/>
      </w:pPr>
      <w:r w:rsidRPr="0037667F">
        <w:rPr>
          <w:rStyle w:val="Znakiprzypiswdolnych"/>
          <w:vertAlign w:val="superscript"/>
        </w:rPr>
        <w:footnoteRef/>
      </w:r>
      <w:r w:rsidRPr="0037667F">
        <w:t xml:space="preserve"> Instytut Sobieskiego 2019, s. 25.</w:t>
      </w:r>
    </w:p>
  </w:footnote>
  <w:footnote w:id="49">
    <w:p w14:paraId="38EA972E" w14:textId="77777777" w:rsidR="009F06E2" w:rsidRPr="0037667F" w:rsidRDefault="009F06E2" w:rsidP="00B620BC">
      <w:pPr>
        <w:pStyle w:val="Tekstprzypisudolnego"/>
        <w:rPr>
          <w:sz w:val="18"/>
          <w:lang w:val="en-US"/>
        </w:rPr>
      </w:pPr>
      <w:r w:rsidRPr="0037667F">
        <w:rPr>
          <w:rStyle w:val="Znakiprzypiswdolnych"/>
          <w:sz w:val="18"/>
          <w:vertAlign w:val="superscript"/>
        </w:rPr>
        <w:footnoteRef/>
      </w:r>
      <w:r w:rsidRPr="0037667F">
        <w:rPr>
          <w:sz w:val="18"/>
        </w:rPr>
        <w:t xml:space="preserve"> </w:t>
      </w:r>
      <w:r w:rsidRPr="0037667F">
        <w:t xml:space="preserve">Por. np. </w:t>
      </w:r>
      <w:r w:rsidRPr="0037667F">
        <w:rPr>
          <w:lang w:val="en-US"/>
        </w:rPr>
        <w:t>Ministerstwo Cyfryzacji 2018, Instytut Sobieskiego 2019.</w:t>
      </w:r>
    </w:p>
  </w:footnote>
  <w:footnote w:id="50">
    <w:p w14:paraId="1AB6A039" w14:textId="76855331" w:rsidR="009F06E2" w:rsidRPr="0037667F" w:rsidRDefault="009F06E2" w:rsidP="00B620BC">
      <w:pPr>
        <w:pStyle w:val="Tekstprzypisudolnego"/>
        <w:rPr>
          <w:lang w:val="en-US"/>
        </w:rPr>
      </w:pPr>
      <w:r w:rsidRPr="0037667F">
        <w:rPr>
          <w:rStyle w:val="Znakiprzypiswdolnych"/>
          <w:vertAlign w:val="superscript"/>
        </w:rPr>
        <w:footnoteRef/>
      </w:r>
      <w:r w:rsidRPr="0037667F">
        <w:rPr>
          <w:vertAlign w:val="superscript"/>
          <w:lang w:val="en-US"/>
        </w:rPr>
        <w:t xml:space="preserve"> </w:t>
      </w:r>
      <w:r w:rsidRPr="0037667F">
        <w:rPr>
          <w:lang w:val="en-US"/>
        </w:rPr>
        <w:t xml:space="preserve">Zob. Accenture, </w:t>
      </w:r>
      <w:r w:rsidRPr="0037667F">
        <w:rPr>
          <w:i/>
          <w:iCs/>
          <w:lang w:val="en-US"/>
        </w:rPr>
        <w:t>How SI boosts industry profits and innovation</w:t>
      </w:r>
      <w:r w:rsidRPr="0037667F">
        <w:rPr>
          <w:lang w:val="en-US"/>
        </w:rPr>
        <w:t>, https://www.accenture.com/us-en/insight-ai-industry-growth.</w:t>
      </w:r>
    </w:p>
  </w:footnote>
  <w:footnote w:id="51">
    <w:p w14:paraId="6B2D5C62" w14:textId="3FD57C1C" w:rsidR="009F06E2" w:rsidRPr="0037667F" w:rsidRDefault="009F06E2" w:rsidP="00CB07D4">
      <w:pPr>
        <w:pStyle w:val="Tekstprzypisudolnego"/>
        <w:ind w:left="142" w:hanging="142"/>
        <w:rPr>
          <w:lang w:val="en-US"/>
        </w:rPr>
      </w:pPr>
      <w:r w:rsidRPr="0037667F">
        <w:rPr>
          <w:rStyle w:val="Znakiprzypiswdolnych"/>
          <w:vertAlign w:val="superscript"/>
        </w:rPr>
        <w:footnoteRef/>
      </w:r>
      <w:r w:rsidRPr="0037667F">
        <w:rPr>
          <w:lang w:val="en-US"/>
        </w:rPr>
        <w:t xml:space="preserve"> Zob. Gartner, </w:t>
      </w:r>
      <w:r w:rsidRPr="0037667F">
        <w:rPr>
          <w:i/>
          <w:iCs/>
          <w:lang w:val="en-US"/>
        </w:rPr>
        <w:t xml:space="preserve">SI and the future of work, </w:t>
      </w:r>
      <w:r w:rsidRPr="0037667F">
        <w:rPr>
          <w:iCs/>
          <w:lang w:val="en-US"/>
        </w:rPr>
        <w:t>grudzień</w:t>
      </w:r>
      <w:r w:rsidRPr="0037667F">
        <w:rPr>
          <w:i/>
          <w:iCs/>
          <w:lang w:val="en-US"/>
        </w:rPr>
        <w:t xml:space="preserve"> </w:t>
      </w:r>
      <w:r w:rsidRPr="0037667F">
        <w:rPr>
          <w:lang w:val="en-US"/>
        </w:rPr>
        <w:t>2017</w:t>
      </w:r>
      <w:r w:rsidRPr="0037667F">
        <w:rPr>
          <w:i/>
          <w:iCs/>
          <w:lang w:val="en-US"/>
        </w:rPr>
        <w:t xml:space="preserve">, </w:t>
      </w:r>
      <w:r w:rsidRPr="0037667F">
        <w:rPr>
          <w:iCs/>
          <w:lang w:val="en-US"/>
        </w:rPr>
        <w:t>https://www.gartner.com/en/documents/3833572/predicts-2018-ai-and-the-future-of-work.</w:t>
      </w:r>
    </w:p>
  </w:footnote>
  <w:footnote w:id="52">
    <w:p w14:paraId="463E05DA" w14:textId="77777777" w:rsidR="009F06E2" w:rsidRPr="0037667F" w:rsidRDefault="009F06E2" w:rsidP="00B620BC">
      <w:pPr>
        <w:pStyle w:val="Tekstprzypisudolnego"/>
        <w:rPr>
          <w:lang w:val="en-US"/>
        </w:rPr>
      </w:pPr>
      <w:r w:rsidRPr="0037667F">
        <w:rPr>
          <w:rStyle w:val="Znakiprzypiswdolnych"/>
          <w:vertAlign w:val="superscript"/>
        </w:rPr>
        <w:footnoteRef/>
      </w:r>
      <w:r w:rsidRPr="0037667F">
        <w:rPr>
          <w:lang w:val="en-US"/>
        </w:rPr>
        <w:t xml:space="preserve"> McKinsey, </w:t>
      </w:r>
      <w:r w:rsidRPr="0037667F">
        <w:rPr>
          <w:i/>
          <w:lang w:val="en-US"/>
        </w:rPr>
        <w:t>op.cit</w:t>
      </w:r>
      <w:r w:rsidRPr="0037667F">
        <w:rPr>
          <w:lang w:val="en-US"/>
        </w:rPr>
        <w:t>.</w:t>
      </w:r>
    </w:p>
  </w:footnote>
  <w:footnote w:id="53">
    <w:p w14:paraId="65400564" w14:textId="77777777" w:rsidR="009F06E2" w:rsidRPr="0037667F" w:rsidRDefault="009F06E2" w:rsidP="00B620BC">
      <w:pPr>
        <w:pStyle w:val="Tekstprzypisudolnego"/>
        <w:rPr>
          <w:lang w:val="en-US"/>
        </w:rPr>
      </w:pPr>
      <w:r w:rsidRPr="0037667F">
        <w:rPr>
          <w:rStyle w:val="Znakiprzypiswdolnych"/>
          <w:vertAlign w:val="superscript"/>
        </w:rPr>
        <w:footnoteRef/>
      </w:r>
      <w:r w:rsidRPr="0037667F">
        <w:rPr>
          <w:vertAlign w:val="superscript"/>
          <w:lang w:val="en-US"/>
        </w:rPr>
        <w:t xml:space="preserve"> </w:t>
      </w:r>
      <w:r w:rsidRPr="0037667F">
        <w:rPr>
          <w:lang w:val="en-US"/>
        </w:rPr>
        <w:t>Zob. https://www.pekao.com.pl/binsource/f/00/Raport_2018_pol.pdf.</w:t>
      </w:r>
    </w:p>
  </w:footnote>
  <w:footnote w:id="54">
    <w:p w14:paraId="641BBEFE" w14:textId="30C4225B" w:rsidR="009F06E2" w:rsidRPr="0037667F" w:rsidRDefault="009F06E2" w:rsidP="00CB07D4">
      <w:pPr>
        <w:pStyle w:val="Tekstprzypisudolnego"/>
        <w:ind w:left="142" w:hanging="142"/>
      </w:pPr>
      <w:r w:rsidRPr="0037667F">
        <w:rPr>
          <w:rStyle w:val="Znakiprzypiswdolnych"/>
          <w:vertAlign w:val="superscript"/>
        </w:rPr>
        <w:footnoteRef/>
      </w:r>
      <w:r w:rsidRPr="0037667F">
        <w:t xml:space="preserve"> Zob. Technologie cyfrowe w mikro i małych firmach DELab dla PKO BP (w:) </w:t>
      </w:r>
      <w:r w:rsidRPr="0037667F">
        <w:rPr>
          <w:i/>
          <w:iCs/>
        </w:rPr>
        <w:t>Raport o sytuacji mikro i małych polskich firm w roku 2017</w:t>
      </w:r>
      <w:r w:rsidRPr="0037667F">
        <w:t>, s. 130; https://www.pekao.com.pl/binsource/f/00/Raport_2018_pol.pdf</w:t>
      </w:r>
    </w:p>
  </w:footnote>
  <w:footnote w:id="55">
    <w:p w14:paraId="177B052C" w14:textId="77777777" w:rsidR="009F06E2" w:rsidRPr="0037667F" w:rsidRDefault="009F06E2" w:rsidP="00B620BC">
      <w:pPr>
        <w:pStyle w:val="Tekstprzypisudolnego"/>
      </w:pPr>
      <w:r w:rsidRPr="0037667F">
        <w:rPr>
          <w:rStyle w:val="Znakiprzypiswdolnych"/>
          <w:vertAlign w:val="superscript"/>
        </w:rPr>
        <w:footnoteRef/>
      </w:r>
      <w:r w:rsidRPr="0037667F">
        <w:t xml:space="preserve"> McKinsey, </w:t>
      </w:r>
      <w:r w:rsidRPr="0037667F">
        <w:rPr>
          <w:i/>
        </w:rPr>
        <w:t>op.cit.</w:t>
      </w:r>
    </w:p>
  </w:footnote>
  <w:footnote w:id="56">
    <w:p w14:paraId="658215DD" w14:textId="36060A36" w:rsidR="009F06E2" w:rsidRPr="0037667F" w:rsidRDefault="009F06E2" w:rsidP="00CB07D4">
      <w:pPr>
        <w:pStyle w:val="NormalnyWeb2"/>
        <w:spacing w:before="200" w:after="0" w:line="216" w:lineRule="auto"/>
        <w:ind w:left="142" w:hanging="142"/>
        <w:rPr>
          <w:rFonts w:ascii="Arial Narrow" w:eastAsia="Calibri" w:hAnsi="Arial Narrow" w:cs="Arial"/>
          <w:sz w:val="20"/>
          <w:szCs w:val="20"/>
          <w:lang w:eastAsia="en-US"/>
        </w:rPr>
      </w:pPr>
      <w:r w:rsidRPr="0037667F">
        <w:rPr>
          <w:rStyle w:val="Znakiprzypiswdolnych"/>
          <w:rFonts w:ascii="Arial Narrow" w:hAnsi="Arial Narrow"/>
          <w:sz w:val="20"/>
          <w:vertAlign w:val="superscript"/>
        </w:rPr>
        <w:footnoteRef/>
      </w:r>
      <w:r w:rsidRPr="0037667F">
        <w:rPr>
          <w:rFonts w:ascii="Arial Narrow" w:hAnsi="Arial Narrow"/>
          <w:sz w:val="20"/>
        </w:rPr>
        <w:t xml:space="preserve"> </w:t>
      </w:r>
      <w:r w:rsidRPr="0037667F">
        <w:rPr>
          <w:rFonts w:ascii="Arial Narrow" w:eastAsia="Calibri" w:hAnsi="Arial Narrow" w:cs="Arial"/>
          <w:sz w:val="20"/>
          <w:szCs w:val="20"/>
          <w:lang w:eastAsia="en-US"/>
        </w:rPr>
        <w:t>Zob. G. Koloch, K. Grobelna, K. Zakrzewska-Szlichtyng, B. Kamiński, D. Kaszyński (w:) Raport: Intensywność wykorzystania danych w gospodarce a jej rozwój – na podstawie analizy diagnostycznej.</w:t>
      </w:r>
    </w:p>
  </w:footnote>
  <w:footnote w:id="57">
    <w:p w14:paraId="4A8DB7EB" w14:textId="20C2999A" w:rsidR="009F06E2" w:rsidRPr="0037667F" w:rsidRDefault="009F06E2" w:rsidP="00B620BC">
      <w:pPr>
        <w:pStyle w:val="Tekstprzypisudolnego"/>
        <w:rPr>
          <w:lang w:val="en-US"/>
        </w:rPr>
      </w:pPr>
      <w:r w:rsidRPr="0037667F">
        <w:rPr>
          <w:rStyle w:val="Znakiprzypiswdolnych"/>
          <w:vertAlign w:val="superscript"/>
        </w:rPr>
        <w:footnoteRef/>
      </w:r>
      <w:r w:rsidRPr="0037667F">
        <w:rPr>
          <w:lang w:val="en-US"/>
        </w:rPr>
        <w:t xml:space="preserve"> Zob. tabela Creative Class Share 2015 (poz. 33); www.martinprosperity.org/media/Global-Creativity-Index-2015.pdf.</w:t>
      </w:r>
    </w:p>
  </w:footnote>
  <w:footnote w:id="58">
    <w:p w14:paraId="39D59D25" w14:textId="648B7692" w:rsidR="009F06E2" w:rsidRPr="0037667F" w:rsidRDefault="009F06E2" w:rsidP="00CB07D4">
      <w:pPr>
        <w:pStyle w:val="Tekstprzypisudolnego"/>
        <w:ind w:left="142" w:hanging="142"/>
      </w:pPr>
      <w:r w:rsidRPr="0037667F">
        <w:rPr>
          <w:rStyle w:val="Znakiprzypiswdolnych"/>
          <w:vertAlign w:val="superscript"/>
        </w:rPr>
        <w:footnoteRef/>
      </w:r>
      <w:r w:rsidRPr="0037667F">
        <w:t xml:space="preserve"> Zob. OECD PISA, test: http://www.oecd.org/pisa/pisa-2015-results-in-focus.pdf oraz por. http://www.oecd.org/pisa/keyfindings/pisa-2012-results-overview.pdf.</w:t>
      </w:r>
    </w:p>
  </w:footnote>
  <w:footnote w:id="59">
    <w:p w14:paraId="52FA6810" w14:textId="55509FC5" w:rsidR="009F06E2" w:rsidRPr="0037667F" w:rsidRDefault="009F06E2" w:rsidP="00CB07D4">
      <w:pPr>
        <w:pStyle w:val="Tekstprzypisudolnego"/>
        <w:ind w:left="142" w:hanging="142"/>
      </w:pPr>
      <w:r w:rsidRPr="0037667F">
        <w:rPr>
          <w:rStyle w:val="Znakiprzypiswdolnych"/>
          <w:vertAlign w:val="superscript"/>
        </w:rPr>
        <w:footnoteRef/>
      </w:r>
      <w:r w:rsidRPr="0037667F">
        <w:t xml:space="preserve"> Zob. grupy przy MC, Założenia do strategii SI w Polsce, Warszawa, 2018, https://www.gov.pl/web/cyfryzacja/sztuczna-inteligencja-polska-2118.</w:t>
      </w:r>
    </w:p>
  </w:footnote>
  <w:footnote w:id="60">
    <w:p w14:paraId="4EC3F67B" w14:textId="491A3EB1" w:rsidR="009F06E2" w:rsidRPr="0037667F" w:rsidRDefault="009F06E2" w:rsidP="00B620BC">
      <w:pPr>
        <w:pStyle w:val="Tekstprzypisudolnego"/>
        <w:rPr>
          <w:lang w:val="en-US"/>
        </w:rPr>
      </w:pPr>
      <w:r w:rsidRPr="0037667F">
        <w:rPr>
          <w:rStyle w:val="Znakiprzypiswdolnych"/>
          <w:vertAlign w:val="superscript"/>
        </w:rPr>
        <w:footnoteRef/>
      </w:r>
      <w:r w:rsidRPr="0037667F">
        <w:rPr>
          <w:lang w:val="en-US"/>
        </w:rPr>
        <w:t xml:space="preserve"> Źródł</w:t>
      </w:r>
      <w:r>
        <w:rPr>
          <w:lang w:val="en-US"/>
        </w:rPr>
        <w:t>o</w:t>
      </w:r>
      <w:r w:rsidRPr="0037667F">
        <w:rPr>
          <w:lang w:val="en-US"/>
        </w:rPr>
        <w:t>: Opracowanie Linkedin</w:t>
      </w:r>
      <w:r w:rsidRPr="0037667F">
        <w:rPr>
          <w:i/>
          <w:iCs/>
          <w:lang w:val="en-US"/>
        </w:rPr>
        <w:t xml:space="preserve"> Ai Talents in Labour Market, </w:t>
      </w:r>
      <w:r w:rsidRPr="0037667F">
        <w:rPr>
          <w:lang w:val="en-US"/>
        </w:rPr>
        <w:t>2019</w:t>
      </w:r>
      <w:r w:rsidRPr="0037667F">
        <w:rPr>
          <w:i/>
          <w:iCs/>
          <w:lang w:val="en-US"/>
        </w:rPr>
        <w:t>.</w:t>
      </w:r>
    </w:p>
  </w:footnote>
  <w:footnote w:id="61">
    <w:p w14:paraId="4ED3A253" w14:textId="16EA9518" w:rsidR="009F06E2" w:rsidRPr="0037667F" w:rsidRDefault="009F06E2" w:rsidP="00CB07D4">
      <w:pPr>
        <w:pBdr>
          <w:top w:val="none" w:sz="0" w:space="0" w:color="000000"/>
          <w:left w:val="none" w:sz="0" w:space="0" w:color="000000"/>
          <w:bottom w:val="none" w:sz="0" w:space="0" w:color="000000"/>
          <w:right w:val="none" w:sz="0" w:space="0" w:color="000000"/>
        </w:pBdr>
        <w:spacing w:after="0" w:line="240" w:lineRule="auto"/>
        <w:ind w:left="142" w:hanging="142"/>
        <w:rPr>
          <w:sz w:val="20"/>
          <w:lang w:val="en-US"/>
        </w:rPr>
      </w:pPr>
      <w:r w:rsidRPr="0037667F">
        <w:rPr>
          <w:rStyle w:val="Znakiprzypiswdolnych"/>
          <w:sz w:val="20"/>
          <w:vertAlign w:val="superscript"/>
        </w:rPr>
        <w:footnoteRef/>
      </w:r>
      <w:r w:rsidRPr="0037667F">
        <w:rPr>
          <w:sz w:val="20"/>
          <w:vertAlign w:val="superscript"/>
          <w:lang w:val="en-US"/>
        </w:rPr>
        <w:t xml:space="preserve"> </w:t>
      </w:r>
      <w:r w:rsidRPr="0037667F">
        <w:rPr>
          <w:sz w:val="20"/>
          <w:szCs w:val="20"/>
          <w:lang w:val="en-US"/>
        </w:rPr>
        <w:t>Zob</w:t>
      </w:r>
      <w:r w:rsidRPr="0037667F">
        <w:rPr>
          <w:i/>
          <w:sz w:val="20"/>
          <w:lang w:val="en-US"/>
        </w:rPr>
        <w:t xml:space="preserve">. Times Higher Education, </w:t>
      </w:r>
      <w:r w:rsidRPr="0037667F">
        <w:rPr>
          <w:sz w:val="20"/>
          <w:lang w:val="en-US"/>
        </w:rPr>
        <w:t>The Nikkel &amp; Elsevier</w:t>
      </w:r>
      <w:r w:rsidRPr="0037667F">
        <w:rPr>
          <w:i/>
          <w:sz w:val="20"/>
          <w:lang w:val="en-US"/>
        </w:rPr>
        <w:t>, SI research institutions in the global top 100 for SI-related research paper citations.</w:t>
      </w:r>
      <w:r w:rsidRPr="0037667F">
        <w:rPr>
          <w:sz w:val="20"/>
          <w:lang w:val="en-US"/>
        </w:rPr>
        <w:t xml:space="preserve"> </w:t>
      </w:r>
    </w:p>
    <w:p w14:paraId="28073B98" w14:textId="77777777" w:rsidR="009F06E2" w:rsidRPr="0037667F" w:rsidRDefault="009F06E2" w:rsidP="00B620BC">
      <w:pPr>
        <w:pStyle w:val="Tekstprzypisudolnego"/>
        <w:rPr>
          <w:lang w:val="en-US"/>
        </w:rPr>
      </w:pPr>
    </w:p>
  </w:footnote>
  <w:footnote w:id="62">
    <w:p w14:paraId="38861035" w14:textId="77777777" w:rsidR="009F06E2" w:rsidRPr="0037667F" w:rsidRDefault="009F06E2" w:rsidP="00B620BC">
      <w:pPr>
        <w:pStyle w:val="Tekstprzypisudolnego"/>
        <w:rPr>
          <w:lang w:val="en-US"/>
        </w:rPr>
      </w:pPr>
      <w:r w:rsidRPr="0037667F">
        <w:rPr>
          <w:rStyle w:val="Znakiprzypiswdolnych"/>
          <w:sz w:val="18"/>
          <w:vertAlign w:val="superscript"/>
        </w:rPr>
        <w:footnoteRef/>
      </w:r>
      <w:r w:rsidRPr="0037667F">
        <w:rPr>
          <w:sz w:val="18"/>
          <w:lang w:val="en-US"/>
        </w:rPr>
        <w:t xml:space="preserve"> </w:t>
      </w:r>
      <w:r w:rsidRPr="0037667F">
        <w:rPr>
          <w:lang w:val="en-US"/>
        </w:rPr>
        <w:t xml:space="preserve">Zob. McKinsey Global Institute (w:) </w:t>
      </w:r>
      <w:r w:rsidRPr="0037667F">
        <w:rPr>
          <w:i/>
          <w:lang w:val="en-US"/>
        </w:rPr>
        <w:t xml:space="preserve">Artificial Intelligence: The Next Digital Frontier, </w:t>
      </w:r>
      <w:r w:rsidRPr="0037667F">
        <w:rPr>
          <w:lang w:val="en-US"/>
        </w:rPr>
        <w:t xml:space="preserve">2017, </w:t>
      </w:r>
      <w:r w:rsidRPr="0037667F">
        <w:rPr>
          <w:rStyle w:val="Hipercze"/>
          <w:color w:val="002060"/>
          <w:lang w:val="en-US"/>
        </w:rPr>
        <w:t>https://www.mckinsey.com/~/media/McKinsey/Industries/Advanced%20Electronics/Our%20Insights/How%20artificial%20intelligence%20can%20deliver%20real%20value%20to%20companies/MGI-Artificial-Intelligence-Discussion-paper.ashx</w:t>
      </w:r>
      <w:r w:rsidRPr="0037667F">
        <w:rPr>
          <w:lang w:val="en-US"/>
        </w:rPr>
        <w:t>.</w:t>
      </w:r>
    </w:p>
  </w:footnote>
  <w:footnote w:id="63">
    <w:p w14:paraId="0A28A0DE" w14:textId="77777777" w:rsidR="009F06E2" w:rsidRPr="0037667F" w:rsidRDefault="009F06E2" w:rsidP="00B620BC">
      <w:pPr>
        <w:pStyle w:val="Tekstprzypisudolnego"/>
        <w:rPr>
          <w:lang w:val="en-US"/>
        </w:rPr>
      </w:pPr>
      <w:r w:rsidRPr="0037667F">
        <w:rPr>
          <w:rStyle w:val="Znakiprzypiswdolnych"/>
          <w:vertAlign w:val="superscript"/>
        </w:rPr>
        <w:footnoteRef/>
      </w:r>
      <w:r w:rsidRPr="0037667F">
        <w:rPr>
          <w:vertAlign w:val="superscript"/>
          <w:lang w:val="en-US"/>
        </w:rPr>
        <w:t xml:space="preserve"> </w:t>
      </w:r>
      <w:r w:rsidRPr="0037667F">
        <w:rPr>
          <w:lang w:val="en-US"/>
        </w:rPr>
        <w:t xml:space="preserve">Gartner, </w:t>
      </w:r>
      <w:r w:rsidRPr="0037667F">
        <w:rPr>
          <w:i/>
          <w:lang w:val="en-US"/>
        </w:rPr>
        <w:t>op.cit.</w:t>
      </w:r>
      <w:r w:rsidRPr="0037667F">
        <w:rPr>
          <w:lang w:val="en-US"/>
        </w:rPr>
        <w:t xml:space="preserve"> </w:t>
      </w:r>
    </w:p>
  </w:footnote>
  <w:footnote w:id="64">
    <w:p w14:paraId="53B00F6E" w14:textId="0EE3E82B" w:rsidR="009F06E2" w:rsidRPr="0037667F" w:rsidRDefault="009F06E2" w:rsidP="00CB07D4">
      <w:pPr>
        <w:pStyle w:val="Tekstprzypisudolnego"/>
        <w:ind w:left="142" w:hanging="142"/>
        <w:rPr>
          <w:lang w:val="en-US"/>
        </w:rPr>
      </w:pPr>
      <w:r w:rsidRPr="0037667F">
        <w:rPr>
          <w:rStyle w:val="Znakiprzypiswdolnych"/>
          <w:vertAlign w:val="superscript"/>
        </w:rPr>
        <w:footnoteRef/>
      </w:r>
      <w:r w:rsidRPr="0037667F">
        <w:rPr>
          <w:lang w:val="en-US"/>
        </w:rPr>
        <w:t xml:space="preserve"> Zob. Roland Berger, </w:t>
      </w:r>
      <w:r w:rsidRPr="0037667F">
        <w:rPr>
          <w:i/>
          <w:iCs/>
          <w:lang w:val="en-US"/>
        </w:rPr>
        <w:t>Artificial Intelligence – A strategy for European startups,</w:t>
      </w:r>
      <w:r w:rsidRPr="0037667F">
        <w:rPr>
          <w:lang w:val="en-US"/>
        </w:rPr>
        <w:t xml:space="preserve"> https://www.rolandberger.com/publications/publication_pdf/roland_berger_ai_strategy_for_european_startups.pdf.</w:t>
      </w:r>
    </w:p>
  </w:footnote>
  <w:footnote w:id="65">
    <w:p w14:paraId="244CE44D" w14:textId="40667789" w:rsidR="009F06E2" w:rsidRPr="0037667F" w:rsidRDefault="009F06E2" w:rsidP="00B620BC">
      <w:pPr>
        <w:pStyle w:val="Tekstprzypisudolnego"/>
      </w:pPr>
      <w:r w:rsidRPr="0037667F">
        <w:rPr>
          <w:rStyle w:val="Znakiprzypiswdolnych"/>
          <w:vertAlign w:val="superscript"/>
        </w:rPr>
        <w:footnoteRef/>
      </w:r>
      <w:r w:rsidRPr="0037667F">
        <w:t xml:space="preserve"> Wyliczenia własne Grupy 2 przy MC, Finansowanie badań i rozwoju, Założenia do strategii SI w Polsce, Warszawa, 2018.</w:t>
      </w:r>
    </w:p>
  </w:footnote>
  <w:footnote w:id="66">
    <w:p w14:paraId="2ECDBE43" w14:textId="5FA84310" w:rsidR="009F06E2" w:rsidRPr="0037667F" w:rsidRDefault="009F06E2" w:rsidP="003C3957">
      <w:pPr>
        <w:pStyle w:val="Tekstprzypisudolnego"/>
      </w:pPr>
      <w:r w:rsidRPr="0037667F">
        <w:rPr>
          <w:rStyle w:val="Znakiprzypiswdolnych"/>
          <w:vertAlign w:val="superscript"/>
        </w:rPr>
        <w:footnoteRef/>
      </w:r>
      <w:r w:rsidRPr="0037667F">
        <w:rPr>
          <w:rFonts w:cs="Calibri"/>
        </w:rPr>
        <w:t xml:space="preserve"> </w:t>
      </w:r>
      <w:r w:rsidRPr="0037667F">
        <w:rPr>
          <w:rFonts w:cs="Calibri"/>
          <w:sz w:val="16"/>
          <w:szCs w:val="16"/>
        </w:rPr>
        <w:t>Począwszy od EIS 2017 metodologia jest inna niż poprzednich edycjach raportu.</w:t>
      </w:r>
    </w:p>
  </w:footnote>
  <w:footnote w:id="67">
    <w:p w14:paraId="2608E011" w14:textId="1016E7A3" w:rsidR="009F06E2" w:rsidRPr="0037667F" w:rsidRDefault="009F06E2" w:rsidP="00CB07D4">
      <w:pPr>
        <w:pStyle w:val="Tekstprzypisudolnego"/>
        <w:ind w:left="142" w:hanging="142"/>
      </w:pPr>
      <w:r w:rsidRPr="0037667F">
        <w:rPr>
          <w:rStyle w:val="Znakiprzypiswdolnych"/>
          <w:vertAlign w:val="superscript"/>
        </w:rPr>
        <w:footnoteRef/>
      </w:r>
      <w:r w:rsidRPr="0037667F">
        <w:t xml:space="preserve"> Zgodnie z definicją [w] GUS (2018</w:t>
      </w:r>
      <w:r w:rsidRPr="0037667F">
        <w:rPr>
          <w:sz w:val="16"/>
          <w:szCs w:val="16"/>
        </w:rPr>
        <w:t>2021</w:t>
      </w:r>
      <w:r w:rsidRPr="0037667F">
        <w:t>): 1) działalność innowacyjna (s. 99</w:t>
      </w:r>
      <w:r w:rsidRPr="0037667F">
        <w:rPr>
          <w:sz w:val="16"/>
          <w:szCs w:val="16"/>
        </w:rPr>
        <w:t>27</w:t>
      </w:r>
      <w:r w:rsidRPr="0037667F">
        <w:t>) polega na angażowaniu się przedsiębiorstw w różnego rodzaju działania naukowe, techniczne, organizacyjne, finansowe i komercyjne, które prowadzą lub mają w zamierzeniu prowadzić do wdrażania innowacji. Niektóre z tych działań mają charakter innowacyjny, natomiast inne nie są nowością, lecz są konieczne do wdrażania innowacji. Działalność innowacyjna obejmuje także działalność badawczą i rozwojową (B+R), która nie jest bezpośrednio związana z tworzeniem konkretnej innowacji. Z kolei przedsiębiorstwo aktywne innowacyjnie (s. 21) to takie, które w badanym okresie wprowadziło przynajmniej jedną innowację produktową lub procesów biznesowych  lub realizowało w tym okresie przynajmniej jeden projekt innowacyjny, który został przerwany lub zaniechany w trakcie badanego okresu (niezakończony sukcesem) lub nie został do końca tego okresu ukończony (tzn. jest kontynuowany).</w:t>
      </w:r>
    </w:p>
  </w:footnote>
  <w:footnote w:id="68">
    <w:p w14:paraId="44D8E52F" w14:textId="1C0EEAAE" w:rsidR="009F06E2" w:rsidRPr="0037667F" w:rsidRDefault="009F06E2" w:rsidP="00CB07D4">
      <w:pPr>
        <w:pStyle w:val="Tekstprzypisudolnego"/>
        <w:ind w:left="142" w:hanging="142"/>
      </w:pPr>
      <w:r w:rsidRPr="0037667F">
        <w:rPr>
          <w:rStyle w:val="Odwoanieprzypisudolnego"/>
        </w:rPr>
        <w:footnoteRef/>
      </w:r>
      <w:r w:rsidRPr="0037667F">
        <w:t xml:space="preserve"> Według danych MFW (WEO Database – April 2019) w latach 2010</w:t>
      </w:r>
      <w:r w:rsidRPr="0037667F">
        <w:rPr>
          <w:rFonts w:cs="Times New Roman"/>
        </w:rPr>
        <w:t>–</w:t>
      </w:r>
      <w:r w:rsidRPr="0037667F">
        <w:t>2018 światowy PKB rósł średniorocznie o 3,8%, podczas gdy wolumen eksportu o 4,9% r/r.</w:t>
      </w:r>
    </w:p>
  </w:footnote>
  <w:footnote w:id="69">
    <w:p w14:paraId="4FDD2293" w14:textId="2BDC4BCA" w:rsidR="009F06E2" w:rsidRPr="0037667F" w:rsidRDefault="009F06E2" w:rsidP="00CB07D4">
      <w:pPr>
        <w:pStyle w:val="Tekstprzypisudolnego"/>
        <w:ind w:left="142" w:hanging="142"/>
      </w:pPr>
      <w:r w:rsidRPr="0037667F">
        <w:rPr>
          <w:rStyle w:val="Odwoanieprzypisudolnego"/>
        </w:rPr>
        <w:footnoteRef/>
      </w:r>
      <w:r w:rsidRPr="0037667F">
        <w:t xml:space="preserve"> Na koniec 2017 r. udział podmiotów z kapitałem zagranicznym zatrudniających ponad 49 osób w nakładach inwestycyjnych ogółem sektora przedsiębiorstw wyniósł 43,3% (GUS, 2018a).)  </w:t>
      </w:r>
    </w:p>
  </w:footnote>
  <w:footnote w:id="70">
    <w:p w14:paraId="71844DD2" w14:textId="1DB03443" w:rsidR="009F06E2" w:rsidRPr="0037667F" w:rsidRDefault="009F06E2" w:rsidP="002C51A1">
      <w:pPr>
        <w:pStyle w:val="Tekstprzypisudolnego"/>
      </w:pPr>
      <w:r w:rsidRPr="0037667F">
        <w:rPr>
          <w:rStyle w:val="Odwoanieprzypisudolnego"/>
        </w:rPr>
        <w:footnoteRef/>
      </w:r>
      <w:r>
        <w:t xml:space="preserve"> Według</w:t>
      </w:r>
      <w:r w:rsidRPr="0037667F">
        <w:t xml:space="preserve"> danych NBP.</w:t>
      </w:r>
    </w:p>
  </w:footnote>
  <w:footnote w:id="71">
    <w:p w14:paraId="47727E23" w14:textId="77777777" w:rsidR="009F06E2" w:rsidRPr="0037667F" w:rsidRDefault="009F06E2" w:rsidP="00CB653F">
      <w:pPr>
        <w:pStyle w:val="Nagwek2"/>
        <w:rPr>
          <w:rFonts w:eastAsia="Calibri" w:cs="Arial"/>
          <w:b w:val="0"/>
          <w:bCs w:val="0"/>
          <w:color w:val="002060"/>
          <w:sz w:val="20"/>
          <w:szCs w:val="20"/>
        </w:rPr>
      </w:pPr>
      <w:r w:rsidRPr="0037667F">
        <w:rPr>
          <w:rFonts w:eastAsia="Calibri" w:cs="Arial"/>
          <w:b w:val="0"/>
          <w:bCs w:val="0"/>
          <w:color w:val="002060"/>
          <w:sz w:val="20"/>
          <w:szCs w:val="20"/>
        </w:rPr>
        <w:t>71 GUS (2021)</w:t>
      </w:r>
    </w:p>
  </w:footnote>
  <w:footnote w:id="72">
    <w:p w14:paraId="53DC6B96" w14:textId="65254FC7" w:rsidR="009F06E2" w:rsidRPr="0037667F" w:rsidRDefault="009F06E2" w:rsidP="002C51A1">
      <w:pPr>
        <w:spacing w:after="0" w:line="240" w:lineRule="auto"/>
        <w:rPr>
          <w:sz w:val="20"/>
          <w:szCs w:val="20"/>
        </w:rPr>
      </w:pPr>
      <w:r w:rsidRPr="0037667F">
        <w:rPr>
          <w:rStyle w:val="Odwoanieprzypisudolnego"/>
        </w:rPr>
        <w:footnoteRef/>
      </w:r>
      <w:r w:rsidRPr="0037667F">
        <w:t xml:space="preserve"> </w:t>
      </w:r>
      <w:r w:rsidRPr="0037667F">
        <w:rPr>
          <w:sz w:val="20"/>
          <w:szCs w:val="20"/>
        </w:rPr>
        <w:t>Grupy przedsiębiorstw w Polsce w 2017 r., tabl. 13.</w:t>
      </w:r>
    </w:p>
  </w:footnote>
  <w:footnote w:id="73">
    <w:p w14:paraId="4A1845EA" w14:textId="0EDB8EB1" w:rsidR="009F06E2" w:rsidRPr="0037667F" w:rsidRDefault="009F06E2" w:rsidP="00CB07D4">
      <w:pPr>
        <w:pStyle w:val="Tekstprzypisudolnego"/>
        <w:ind w:left="142" w:hanging="142"/>
      </w:pPr>
      <w:r w:rsidRPr="0037667F">
        <w:rPr>
          <w:rStyle w:val="Odwoanieprzypisudolnego"/>
        </w:rPr>
        <w:footnoteRef/>
      </w:r>
      <w:r w:rsidRPr="0037667F">
        <w:t xml:space="preserve"> Część grupy międzynarodowej, dla której jednostką dominującą najwyższego szczebla jest podmiot krajowy. Poza granicami kraju </w:t>
      </w:r>
      <w:r w:rsidRPr="0037667F">
        <w:rPr>
          <w:sz w:val="18"/>
          <w:szCs w:val="18"/>
        </w:rPr>
        <w:t xml:space="preserve">są </w:t>
      </w:r>
      <w:r w:rsidRPr="0037667F">
        <w:t>zlokalizowane tylko jednostki od niej zależne (bezpośrednio lub pośrednio).</w:t>
      </w:r>
    </w:p>
  </w:footnote>
  <w:footnote w:id="74">
    <w:p w14:paraId="203EF57B" w14:textId="77777777" w:rsidR="009F06E2" w:rsidRPr="0037667F" w:rsidRDefault="009F06E2" w:rsidP="002C51A1">
      <w:pPr>
        <w:pStyle w:val="TekstprzypisudolnegoPodrozdziaPrzypisFunoteFootnotePodrozdzia3-EFunotentextFunotentextUrsprungFunotentextUrsprung-EFunotentextFootnotetextTekstprzypisuZnakZnakZnakZnakTekstprzypisuZnakZnakZnakZnakZnakPl"/>
        <w:rPr>
          <w:rFonts w:ascii="Arial Narrow" w:hAnsi="Arial Narrow"/>
          <w:color w:val="002060"/>
          <w:lang w:val="pl-PL"/>
        </w:rPr>
      </w:pPr>
      <w:r w:rsidRPr="0037667F">
        <w:rPr>
          <w:rStyle w:val="Odwoanieprzypisudolnego"/>
          <w:rFonts w:ascii="Arial Narrow" w:hAnsi="Arial Narrow"/>
          <w:color w:val="002060"/>
        </w:rPr>
        <w:footnoteRef/>
      </w:r>
      <w:r w:rsidRPr="0037667F">
        <w:rPr>
          <w:rFonts w:ascii="Arial Narrow" w:hAnsi="Arial Narrow"/>
          <w:color w:val="002060"/>
          <w:lang w:val="pl-PL"/>
        </w:rPr>
        <w:t xml:space="preserve"> Dane za 2018 r.</w:t>
      </w:r>
    </w:p>
  </w:footnote>
  <w:footnote w:id="75">
    <w:p w14:paraId="2A5C3080" w14:textId="64536262" w:rsidR="009F06E2" w:rsidRPr="0037667F" w:rsidRDefault="009F06E2" w:rsidP="002C51A1">
      <w:pPr>
        <w:pStyle w:val="TekstprzypisudolnegoPodrozdziaPrzypisFunoteFootnotePodrozdzia3-EFunotentextFunotentextUrsprungFunotentextUrsprung-EFunotentextFootnotetextTekstprzypisuZnakZnakZnakZnakTekstprzypisuZnakZnakZnakZnakZnakPl"/>
        <w:rPr>
          <w:rFonts w:ascii="Arial Narrow" w:hAnsi="Arial Narrow"/>
          <w:color w:val="002060"/>
          <w:lang w:val="pl-PL"/>
        </w:rPr>
      </w:pPr>
      <w:r w:rsidRPr="0037667F">
        <w:rPr>
          <w:rFonts w:ascii="Arial Narrow" w:hAnsi="Arial Narrow"/>
          <w:color w:val="002060"/>
          <w:vertAlign w:val="superscript"/>
        </w:rPr>
        <w:footnoteRef/>
      </w:r>
      <w:r w:rsidRPr="0037667F">
        <w:rPr>
          <w:rFonts w:ascii="Arial Narrow" w:hAnsi="Arial Narrow"/>
          <w:color w:val="002060"/>
          <w:lang w:val="pl-PL"/>
        </w:rPr>
        <w:t xml:space="preserve"> </w:t>
      </w:r>
      <w:r w:rsidRPr="0037667F">
        <w:rPr>
          <w:rFonts w:ascii="Arial Narrow" w:hAnsi="Arial Narrow"/>
          <w:i/>
          <w:color w:val="002060"/>
          <w:lang w:val="pl-PL"/>
        </w:rPr>
        <w:t>Raport o stanie sektora małych i średnich przedsiębiorstw w Polsce</w:t>
      </w:r>
      <w:r w:rsidRPr="0037667F">
        <w:rPr>
          <w:rFonts w:ascii="Arial Narrow" w:hAnsi="Arial Narrow"/>
          <w:color w:val="002060"/>
          <w:lang w:val="pl-PL"/>
        </w:rPr>
        <w:t>, PARP, Warszawa 2020.</w:t>
      </w:r>
    </w:p>
  </w:footnote>
  <w:footnote w:id="76">
    <w:p w14:paraId="2DBD568C" w14:textId="6372650D" w:rsidR="009F06E2" w:rsidRPr="0037667F" w:rsidRDefault="009F06E2" w:rsidP="00CB07D4">
      <w:pPr>
        <w:pStyle w:val="Tekstprzypisudolnego"/>
        <w:ind w:left="284" w:hanging="284"/>
      </w:pPr>
      <w:r w:rsidRPr="0037667F">
        <w:rPr>
          <w:rStyle w:val="Odwoanieprzypisudolnego"/>
        </w:rPr>
        <w:footnoteRef/>
      </w:r>
      <w:r w:rsidRPr="0037667F">
        <w:t xml:space="preserve"> Efekt demonstracji (efekt Veblena, efekt prestiżowy), zwany także paradoksem Veblena, dotyczy dóbr luksusowych i najbogatszych grup społecznych. Jest to wzrost wielkości popytu na dobra luksusowe mimo wzrostu cen tych dóbr – firmy z kapitałem zagranicznym najczęściej dostarczają takie dobra.</w:t>
      </w:r>
    </w:p>
  </w:footnote>
  <w:footnote w:id="77">
    <w:p w14:paraId="53AE0D9A" w14:textId="05DD1D9C" w:rsidR="009F06E2" w:rsidRPr="0037667F" w:rsidRDefault="009F06E2" w:rsidP="00CB07D4">
      <w:pPr>
        <w:pStyle w:val="Tekstprzypisudolnego"/>
        <w:ind w:left="284" w:hanging="284"/>
      </w:pPr>
      <w:r w:rsidRPr="0037667F">
        <w:rPr>
          <w:rStyle w:val="Odwoanieprzypisudolnego"/>
        </w:rPr>
        <w:footnoteRef/>
      </w:r>
      <w:r w:rsidRPr="0037667F">
        <w:t xml:space="preserve"> Wskaźnik obliczony na podstawie sumy udziału zagranicznej wartości dodanej w krajowym eksporcie (</w:t>
      </w:r>
      <w:r w:rsidRPr="0037667F">
        <w:rPr>
          <w:i/>
        </w:rPr>
        <w:t>backward participation</w:t>
      </w:r>
      <w:r>
        <w:t>) oraz udziału</w:t>
      </w:r>
      <w:r w:rsidRPr="0037667F">
        <w:t xml:space="preserve"> krajowej wartości dodanej w eksporcie innych krajów (</w:t>
      </w:r>
      <w:r w:rsidRPr="0037667F">
        <w:rPr>
          <w:i/>
        </w:rPr>
        <w:t>forward participation</w:t>
      </w:r>
      <w:r w:rsidRPr="0037667F">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1BDA1" w14:textId="77777777" w:rsidR="009F06E2" w:rsidRDefault="009F06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1DE78" w14:textId="77777777" w:rsidR="009F06E2" w:rsidRDefault="009F06E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44E0E" w14:textId="77777777" w:rsidR="009F06E2" w:rsidRPr="00CB7686" w:rsidRDefault="009F06E2" w:rsidP="00CB7686">
    <w:pPr>
      <w:spacing w:before="0" w:after="0" w:line="240" w:lineRule="auto"/>
      <w:jc w:val="right"/>
      <w:rPr>
        <w:rFonts w:eastAsia="Times New Roman" w:cs="Times New Roman"/>
        <w:b/>
        <w:noProof/>
        <w:color w:val="244061" w:themeColor="accent1" w:themeShade="80"/>
        <w:sz w:val="20"/>
        <w:szCs w:val="20"/>
      </w:rPr>
    </w:pPr>
    <w:bookmarkStart w:id="170" w:name="_Hlk52198121"/>
    <w:bookmarkEnd w:id="170"/>
    <w:r w:rsidRPr="00CB7686">
      <w:rPr>
        <w:rFonts w:eastAsia="Times New Roman" w:cs="Times New Roman"/>
        <w:b/>
        <w:noProof/>
        <w:color w:val="244061" w:themeColor="accent1" w:themeShade="80"/>
        <w:sz w:val="20"/>
        <w:szCs w:val="20"/>
      </w:rPr>
      <w:t xml:space="preserve">Załącznik nr 1 </w:t>
    </w:r>
  </w:p>
  <w:p w14:paraId="2B736267" w14:textId="51DE4DC5" w:rsidR="009F06E2" w:rsidRPr="00CB7686" w:rsidRDefault="009F06E2" w:rsidP="00CB7686">
    <w:pPr>
      <w:spacing w:before="0" w:after="0" w:line="240" w:lineRule="auto"/>
      <w:jc w:val="right"/>
      <w:rPr>
        <w:rFonts w:eastAsia="Times New Roman" w:cs="Times New Roman"/>
        <w:b/>
        <w:noProof/>
        <w:color w:val="244061" w:themeColor="accent1" w:themeShade="80"/>
        <w:sz w:val="20"/>
        <w:szCs w:val="20"/>
      </w:rPr>
    </w:pPr>
    <w:r>
      <w:rPr>
        <w:rFonts w:eastAsia="Times New Roman" w:cs="Times New Roman"/>
        <w:b/>
        <w:noProof/>
        <w:color w:val="244061" w:themeColor="accent1" w:themeShade="80"/>
        <w:sz w:val="20"/>
        <w:szCs w:val="20"/>
      </w:rPr>
      <w:t>d</w:t>
    </w:r>
    <w:r w:rsidRPr="00CB7686">
      <w:rPr>
        <w:rFonts w:eastAsia="Times New Roman" w:cs="Times New Roman"/>
        <w:b/>
        <w:noProof/>
        <w:color w:val="244061" w:themeColor="accent1" w:themeShade="80"/>
        <w:sz w:val="20"/>
        <w:szCs w:val="20"/>
      </w:rPr>
      <w:t xml:space="preserve">o </w:t>
    </w:r>
    <w:r>
      <w:rPr>
        <w:rFonts w:eastAsia="Times New Roman" w:cs="Times New Roman"/>
        <w:b/>
        <w:noProof/>
        <w:color w:val="244061" w:themeColor="accent1" w:themeShade="80"/>
        <w:sz w:val="20"/>
        <w:szCs w:val="20"/>
      </w:rPr>
      <w:t>„</w:t>
    </w:r>
    <w:r w:rsidRPr="00CB7686">
      <w:rPr>
        <w:rFonts w:eastAsia="Times New Roman" w:cs="Times New Roman"/>
        <w:b/>
        <w:noProof/>
        <w:color w:val="244061" w:themeColor="accent1" w:themeShade="80"/>
        <w:sz w:val="20"/>
        <w:szCs w:val="20"/>
      </w:rPr>
      <w:t>Strategii produktywności 203</w:t>
    </w:r>
    <w:r>
      <w:rPr>
        <w:rFonts w:eastAsia="Times New Roman" w:cs="Times New Roman"/>
        <w:b/>
        <w:noProof/>
        <w:color w:val="244061" w:themeColor="accent1" w:themeShade="80"/>
        <w:sz w:val="20"/>
        <w:szCs w:val="20"/>
      </w:rPr>
      <w:t>0”</w:t>
    </w:r>
  </w:p>
  <w:p w14:paraId="1E9528E1" w14:textId="77777777" w:rsidR="009F06E2" w:rsidRDefault="009F06E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7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2" w15:restartNumberingAfterBreak="0">
    <w:nsid w:val="00000003"/>
    <w:multiLevelType w:val="multilevel"/>
    <w:tmpl w:val="00000003"/>
    <w:lvl w:ilvl="0">
      <w:start w:val="1"/>
      <w:numFmt w:val="decimal"/>
      <w:lvlText w:val="%1"/>
      <w:lvlJc w:val="left"/>
      <w:pPr>
        <w:tabs>
          <w:tab w:val="num" w:pos="1134"/>
        </w:tabs>
        <w:ind w:left="1134" w:hanging="1134"/>
      </w:pPr>
      <w:rPr>
        <w:rFonts w:cs="Times New Roman"/>
      </w:rPr>
    </w:lvl>
    <w:lvl w:ilvl="1">
      <w:start w:val="1"/>
      <w:numFmt w:val="bullet"/>
      <w:lvlText w:val=""/>
      <w:lvlJc w:val="left"/>
      <w:pPr>
        <w:tabs>
          <w:tab w:val="num" w:pos="1440"/>
        </w:tabs>
        <w:ind w:left="1440" w:hanging="360"/>
      </w:pPr>
      <w:rPr>
        <w:rFonts w:ascii="Symbol" w:hAnsi="Symbol" w:cs="Symbol"/>
      </w:rPr>
    </w:lvl>
    <w:lvl w:ilvl="2">
      <w:start w:val="1"/>
      <w:numFmt w:val="lowerRoman"/>
      <w:lvlText w:val="%2.%3"/>
      <w:lvlJc w:val="right"/>
      <w:pPr>
        <w:tabs>
          <w:tab w:val="num" w:pos="2160"/>
        </w:tabs>
        <w:ind w:left="2160" w:hanging="180"/>
      </w:pPr>
      <w:rPr>
        <w:rFonts w:cs="Times New Roman"/>
      </w:rPr>
    </w:lvl>
    <w:lvl w:ilvl="3">
      <w:start w:val="1"/>
      <w:numFmt w:val="decimal"/>
      <w:lvlText w:val="%3.%4"/>
      <w:lvlJc w:val="left"/>
      <w:pPr>
        <w:tabs>
          <w:tab w:val="num" w:pos="2880"/>
        </w:tabs>
        <w:ind w:left="2880" w:hanging="360"/>
      </w:pPr>
      <w:rPr>
        <w:rFonts w:cs="Times New Roman"/>
      </w:rPr>
    </w:lvl>
    <w:lvl w:ilvl="4">
      <w:start w:val="1"/>
      <w:numFmt w:val="lowerLetter"/>
      <w:lvlText w:val="%4.%5"/>
      <w:lvlJc w:val="left"/>
      <w:pPr>
        <w:tabs>
          <w:tab w:val="num" w:pos="3600"/>
        </w:tabs>
        <w:ind w:left="3600" w:hanging="360"/>
      </w:pPr>
      <w:rPr>
        <w:rFonts w:cs="Times New Roman"/>
      </w:rPr>
    </w:lvl>
    <w:lvl w:ilvl="5">
      <w:start w:val="1"/>
      <w:numFmt w:val="lowerRoman"/>
      <w:lvlText w:val="%5.%6"/>
      <w:lvlJc w:val="right"/>
      <w:pPr>
        <w:tabs>
          <w:tab w:val="num" w:pos="4320"/>
        </w:tabs>
        <w:ind w:left="4320" w:hanging="180"/>
      </w:pPr>
      <w:rPr>
        <w:rFonts w:cs="Times New Roman"/>
      </w:rPr>
    </w:lvl>
    <w:lvl w:ilvl="6">
      <w:start w:val="1"/>
      <w:numFmt w:val="decimal"/>
      <w:lvlText w:val="%6.%7"/>
      <w:lvlJc w:val="left"/>
      <w:pPr>
        <w:tabs>
          <w:tab w:val="num" w:pos="5040"/>
        </w:tabs>
        <w:ind w:left="5040" w:hanging="360"/>
      </w:pPr>
      <w:rPr>
        <w:rFonts w:cs="Times New Roman"/>
      </w:rPr>
    </w:lvl>
    <w:lvl w:ilvl="7">
      <w:start w:val="1"/>
      <w:numFmt w:val="lowerLetter"/>
      <w:lvlText w:val="%7.%8"/>
      <w:lvlJc w:val="left"/>
      <w:pPr>
        <w:tabs>
          <w:tab w:val="num" w:pos="5760"/>
        </w:tabs>
        <w:ind w:left="5760" w:hanging="360"/>
      </w:pPr>
      <w:rPr>
        <w:rFonts w:cs="Times New Roman"/>
      </w:rPr>
    </w:lvl>
    <w:lvl w:ilvl="8">
      <w:start w:val="1"/>
      <w:numFmt w:val="lowerRoman"/>
      <w:lvlText w:val="%8.%9"/>
      <w:lvlJc w:val="right"/>
      <w:pPr>
        <w:tabs>
          <w:tab w:val="num" w:pos="6480"/>
        </w:tabs>
        <w:ind w:left="6480" w:hanging="180"/>
      </w:pPr>
      <w:rPr>
        <w:rFonts w:cs="Times New Roman"/>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5"/>
    <w:multiLevelType w:val="multilevel"/>
    <w:tmpl w:val="00000005"/>
    <w:name w:val="WW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720" w:hanging="360"/>
      </w:p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6" w15:restartNumberingAfterBreak="0">
    <w:nsid w:val="00000007"/>
    <w:multiLevelType w:val="multilevel"/>
    <w:tmpl w:val="00000007"/>
    <w:name w:val="WW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15:restartNumberingAfterBreak="0">
    <w:nsid w:val="00000008"/>
    <w:multiLevelType w:val="multilevel"/>
    <w:tmpl w:val="00000008"/>
    <w:name w:val="WWNum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multilevel"/>
    <w:tmpl w:val="00000009"/>
    <w:name w:val="WWNum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A"/>
    <w:multiLevelType w:val="multilevel"/>
    <w:tmpl w:val="0000000A"/>
    <w:name w:val="WW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0B"/>
    <w:multiLevelType w:val="multilevel"/>
    <w:tmpl w:val="0000000B"/>
    <w:name w:val="WWNum1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00000C"/>
    <w:multiLevelType w:val="multilevel"/>
    <w:tmpl w:val="0000000C"/>
    <w:name w:val="WWNum1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15:restartNumberingAfterBreak="0">
    <w:nsid w:val="0000000D"/>
    <w:multiLevelType w:val="multilevel"/>
    <w:tmpl w:val="0000000D"/>
    <w:name w:val="WWNum12"/>
    <w:lvl w:ilvl="0">
      <w:start w:val="1"/>
      <w:numFmt w:val="decimal"/>
      <w:lvlText w:val="%1"/>
      <w:lvlJc w:val="left"/>
      <w:pPr>
        <w:tabs>
          <w:tab w:val="num" w:pos="0"/>
        </w:tabs>
        <w:ind w:left="720" w:hanging="360"/>
      </w:p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13" w15:restartNumberingAfterBreak="0">
    <w:nsid w:val="0000000E"/>
    <w:multiLevelType w:val="multilevel"/>
    <w:tmpl w:val="0000000E"/>
    <w:name w:val="WWNum13"/>
    <w:lvl w:ilvl="0">
      <w:start w:val="1"/>
      <w:numFmt w:val="lowerRoman"/>
      <w:lvlText w:val="%1"/>
      <w:lvlJc w:val="right"/>
      <w:pPr>
        <w:tabs>
          <w:tab w:val="num" w:pos="0"/>
        </w:tabs>
        <w:ind w:left="1428" w:hanging="360"/>
      </w:pPr>
    </w:lvl>
    <w:lvl w:ilvl="1">
      <w:start w:val="1"/>
      <w:numFmt w:val="lowerLetter"/>
      <w:lvlText w:val="%1.%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3.%4"/>
      <w:lvlJc w:val="left"/>
      <w:pPr>
        <w:tabs>
          <w:tab w:val="num" w:pos="0"/>
        </w:tabs>
        <w:ind w:left="3588" w:hanging="360"/>
      </w:pPr>
    </w:lvl>
    <w:lvl w:ilvl="4">
      <w:start w:val="1"/>
      <w:numFmt w:val="lowerLetter"/>
      <w:lvlText w:val="%4.%5"/>
      <w:lvlJc w:val="left"/>
      <w:pPr>
        <w:tabs>
          <w:tab w:val="num" w:pos="0"/>
        </w:tabs>
        <w:ind w:left="4308" w:hanging="360"/>
      </w:pPr>
    </w:lvl>
    <w:lvl w:ilvl="5">
      <w:start w:val="1"/>
      <w:numFmt w:val="lowerRoman"/>
      <w:lvlText w:val="%5.%6"/>
      <w:lvlJc w:val="right"/>
      <w:pPr>
        <w:tabs>
          <w:tab w:val="num" w:pos="0"/>
        </w:tabs>
        <w:ind w:left="5028" w:hanging="180"/>
      </w:pPr>
    </w:lvl>
    <w:lvl w:ilvl="6">
      <w:start w:val="1"/>
      <w:numFmt w:val="decimal"/>
      <w:lvlText w:val="%6.%7"/>
      <w:lvlJc w:val="left"/>
      <w:pPr>
        <w:tabs>
          <w:tab w:val="num" w:pos="0"/>
        </w:tabs>
        <w:ind w:left="5748" w:hanging="360"/>
      </w:pPr>
    </w:lvl>
    <w:lvl w:ilvl="7">
      <w:start w:val="1"/>
      <w:numFmt w:val="lowerLetter"/>
      <w:lvlText w:val="%7.%8"/>
      <w:lvlJc w:val="left"/>
      <w:pPr>
        <w:tabs>
          <w:tab w:val="num" w:pos="0"/>
        </w:tabs>
        <w:ind w:left="6468" w:hanging="360"/>
      </w:pPr>
    </w:lvl>
    <w:lvl w:ilvl="8">
      <w:start w:val="1"/>
      <w:numFmt w:val="lowerRoman"/>
      <w:lvlText w:val="%8.%9"/>
      <w:lvlJc w:val="right"/>
      <w:pPr>
        <w:tabs>
          <w:tab w:val="num" w:pos="0"/>
        </w:tabs>
        <w:ind w:left="7188" w:hanging="180"/>
      </w:pPr>
    </w:lvl>
  </w:abstractNum>
  <w:abstractNum w:abstractNumId="14" w15:restartNumberingAfterBreak="0">
    <w:nsid w:val="0000000F"/>
    <w:multiLevelType w:val="multilevel"/>
    <w:tmpl w:val="0000000F"/>
    <w:name w:val="WWNum1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15:restartNumberingAfterBreak="0">
    <w:nsid w:val="00000011"/>
    <w:multiLevelType w:val="multilevel"/>
    <w:tmpl w:val="00000011"/>
    <w:name w:val="WWNum1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15:restartNumberingAfterBreak="0">
    <w:nsid w:val="00000012"/>
    <w:multiLevelType w:val="multilevel"/>
    <w:tmpl w:val="00000012"/>
    <w:name w:val="WWNum17"/>
    <w:lvl w:ilvl="0">
      <w:start w:val="1"/>
      <w:numFmt w:val="bullet"/>
      <w:lvlText w:val="●"/>
      <w:lvlJc w:val="left"/>
      <w:pPr>
        <w:tabs>
          <w:tab w:val="num" w:pos="0"/>
        </w:tabs>
        <w:ind w:left="720" w:hanging="360"/>
      </w:pPr>
      <w:rPr>
        <w:rFonts w:ascii="Noto Sans Symbols" w:hAnsi="Noto Sans Symbols" w:cs="Noto Sans Symbol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Noto Sans Symbols" w:hAnsi="Noto Sans Symbols" w:cs="Noto Sans Symbols"/>
      </w:rPr>
    </w:lvl>
    <w:lvl w:ilvl="3">
      <w:start w:val="1"/>
      <w:numFmt w:val="bullet"/>
      <w:lvlText w:val="●"/>
      <w:lvlJc w:val="left"/>
      <w:pPr>
        <w:tabs>
          <w:tab w:val="num" w:pos="0"/>
        </w:tabs>
        <w:ind w:left="2880" w:hanging="360"/>
      </w:pPr>
      <w:rPr>
        <w:rFonts w:ascii="Noto Sans Symbols" w:hAnsi="Noto Sans Symbols" w:cs="Noto Sans Symbols"/>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Noto Sans Symbols" w:hAnsi="Noto Sans Symbols" w:cs="Noto Sans Symbols"/>
      </w:rPr>
    </w:lvl>
    <w:lvl w:ilvl="6">
      <w:start w:val="1"/>
      <w:numFmt w:val="bullet"/>
      <w:lvlText w:val="●"/>
      <w:lvlJc w:val="left"/>
      <w:pPr>
        <w:tabs>
          <w:tab w:val="num" w:pos="0"/>
        </w:tabs>
        <w:ind w:left="5040" w:hanging="360"/>
      </w:pPr>
      <w:rPr>
        <w:rFonts w:ascii="Noto Sans Symbols" w:hAnsi="Noto Sans Symbols" w:cs="Noto Sans Symbols"/>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Noto Sans Symbols" w:hAnsi="Noto Sans Symbols" w:cs="Noto Sans Symbols"/>
      </w:rPr>
    </w:lvl>
  </w:abstractNum>
  <w:abstractNum w:abstractNumId="18" w15:restartNumberingAfterBreak="0">
    <w:nsid w:val="00000013"/>
    <w:multiLevelType w:val="multilevel"/>
    <w:tmpl w:val="00000013"/>
    <w:name w:val="WWNum1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9" w15:restartNumberingAfterBreak="0">
    <w:nsid w:val="00000014"/>
    <w:multiLevelType w:val="multilevel"/>
    <w:tmpl w:val="00000014"/>
    <w:name w:val="WWNum19"/>
    <w:lvl w:ilvl="0">
      <w:start w:val="1"/>
      <w:numFmt w:val="decimal"/>
      <w:lvlText w:val="%1"/>
      <w:lvlJc w:val="left"/>
      <w:pPr>
        <w:tabs>
          <w:tab w:val="num" w:pos="0"/>
        </w:tabs>
        <w:ind w:left="720" w:hanging="360"/>
      </w:p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20" w15:restartNumberingAfterBreak="0">
    <w:nsid w:val="00000015"/>
    <w:multiLevelType w:val="multilevel"/>
    <w:tmpl w:val="00000015"/>
    <w:name w:val="WWNum20"/>
    <w:lvl w:ilvl="0">
      <w:start w:val="1"/>
      <w:numFmt w:val="decimal"/>
      <w:lvlText w:val="%1"/>
      <w:lvlJc w:val="left"/>
      <w:pPr>
        <w:tabs>
          <w:tab w:val="num" w:pos="0"/>
        </w:tabs>
        <w:ind w:left="720" w:hanging="360"/>
      </w:p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21" w15:restartNumberingAfterBreak="0">
    <w:nsid w:val="002C3934"/>
    <w:multiLevelType w:val="multilevel"/>
    <w:tmpl w:val="CEF079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0B6C572F"/>
    <w:multiLevelType w:val="hybridMultilevel"/>
    <w:tmpl w:val="E2C663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B9F0140"/>
    <w:multiLevelType w:val="hybridMultilevel"/>
    <w:tmpl w:val="3C1C82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0E114B5A"/>
    <w:multiLevelType w:val="hybridMultilevel"/>
    <w:tmpl w:val="F2F075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02A5C6B"/>
    <w:multiLevelType w:val="hybridMultilevel"/>
    <w:tmpl w:val="F0BE3B38"/>
    <w:lvl w:ilvl="0" w:tplc="3BACA576">
      <w:start w:val="1"/>
      <w:numFmt w:val="ordinal"/>
      <w:pStyle w:val="Mapatytul"/>
      <w:lvlText w:val="Mapa %1"/>
      <w:lvlJc w:val="left"/>
      <w:pPr>
        <w:tabs>
          <w:tab w:val="num" w:pos="1134"/>
        </w:tabs>
        <w:ind w:left="1134" w:hanging="1134"/>
      </w:pPr>
      <w:rPr>
        <w:rFonts w:cs="Times New Roman"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17AC627C"/>
    <w:multiLevelType w:val="hybridMultilevel"/>
    <w:tmpl w:val="1200F8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B524C74"/>
    <w:multiLevelType w:val="hybridMultilevel"/>
    <w:tmpl w:val="51E889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F9C48DC"/>
    <w:multiLevelType w:val="hybridMultilevel"/>
    <w:tmpl w:val="DC44BA9C"/>
    <w:lvl w:ilvl="0" w:tplc="E37E04B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1770224"/>
    <w:multiLevelType w:val="multilevel"/>
    <w:tmpl w:val="949230CA"/>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18777D9"/>
    <w:multiLevelType w:val="hybridMultilevel"/>
    <w:tmpl w:val="18363F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561209B"/>
    <w:multiLevelType w:val="hybridMultilevel"/>
    <w:tmpl w:val="2E9C90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C1718EE"/>
    <w:multiLevelType w:val="hybridMultilevel"/>
    <w:tmpl w:val="8A5A10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E083E55"/>
    <w:multiLevelType w:val="hybridMultilevel"/>
    <w:tmpl w:val="F4202F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1222CA4"/>
    <w:multiLevelType w:val="hybridMultilevel"/>
    <w:tmpl w:val="C8F023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5260B2A"/>
    <w:multiLevelType w:val="hybridMultilevel"/>
    <w:tmpl w:val="F6E085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B4F58CA"/>
    <w:multiLevelType w:val="hybridMultilevel"/>
    <w:tmpl w:val="2702F6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93194597">
    <w:abstractNumId w:val="21"/>
  </w:num>
  <w:num w:numId="2" w16cid:durableId="1933052978">
    <w:abstractNumId w:val="25"/>
  </w:num>
  <w:num w:numId="3" w16cid:durableId="1983658965">
    <w:abstractNumId w:val="28"/>
  </w:num>
  <w:num w:numId="4" w16cid:durableId="769811433">
    <w:abstractNumId w:val="32"/>
  </w:num>
  <w:num w:numId="5" w16cid:durableId="560557315">
    <w:abstractNumId w:val="27"/>
  </w:num>
  <w:num w:numId="6" w16cid:durableId="353727068">
    <w:abstractNumId w:val="33"/>
  </w:num>
  <w:num w:numId="7" w16cid:durableId="1102804539">
    <w:abstractNumId w:val="30"/>
  </w:num>
  <w:num w:numId="8" w16cid:durableId="1716734019">
    <w:abstractNumId w:val="36"/>
  </w:num>
  <w:num w:numId="9" w16cid:durableId="817115442">
    <w:abstractNumId w:val="22"/>
  </w:num>
  <w:num w:numId="10" w16cid:durableId="284626406">
    <w:abstractNumId w:val="26"/>
  </w:num>
  <w:num w:numId="11" w16cid:durableId="1377699865">
    <w:abstractNumId w:val="0"/>
  </w:num>
  <w:num w:numId="12" w16cid:durableId="1102725883">
    <w:abstractNumId w:val="2"/>
  </w:num>
  <w:num w:numId="13" w16cid:durableId="577255741">
    <w:abstractNumId w:val="3"/>
  </w:num>
  <w:num w:numId="14" w16cid:durableId="402336658">
    <w:abstractNumId w:val="4"/>
  </w:num>
  <w:num w:numId="15" w16cid:durableId="1474710045">
    <w:abstractNumId w:val="5"/>
  </w:num>
  <w:num w:numId="16" w16cid:durableId="1151362282">
    <w:abstractNumId w:val="6"/>
  </w:num>
  <w:num w:numId="17" w16cid:durableId="808282527">
    <w:abstractNumId w:val="7"/>
  </w:num>
  <w:num w:numId="18" w16cid:durableId="1034498291">
    <w:abstractNumId w:val="8"/>
  </w:num>
  <w:num w:numId="19" w16cid:durableId="2079327215">
    <w:abstractNumId w:val="9"/>
  </w:num>
  <w:num w:numId="20" w16cid:durableId="1488596710">
    <w:abstractNumId w:val="10"/>
  </w:num>
  <w:num w:numId="21" w16cid:durableId="320499993">
    <w:abstractNumId w:val="29"/>
  </w:num>
  <w:num w:numId="22" w16cid:durableId="601883800">
    <w:abstractNumId w:val="23"/>
  </w:num>
  <w:num w:numId="23" w16cid:durableId="532690980">
    <w:abstractNumId w:val="31"/>
  </w:num>
  <w:num w:numId="24" w16cid:durableId="1759017961">
    <w:abstractNumId w:val="24"/>
  </w:num>
  <w:num w:numId="25" w16cid:durableId="1269854755">
    <w:abstractNumId w:val="35"/>
  </w:num>
  <w:num w:numId="26" w16cid:durableId="185679357">
    <w:abstractNumId w:val="3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1F3"/>
    <w:rsid w:val="00002C4C"/>
    <w:rsid w:val="00002F40"/>
    <w:rsid w:val="00003189"/>
    <w:rsid w:val="000032F0"/>
    <w:rsid w:val="00004E7F"/>
    <w:rsid w:val="00005845"/>
    <w:rsid w:val="000072E3"/>
    <w:rsid w:val="000106AD"/>
    <w:rsid w:val="0001091F"/>
    <w:rsid w:val="000112E2"/>
    <w:rsid w:val="000113D9"/>
    <w:rsid w:val="00012C77"/>
    <w:rsid w:val="000131ED"/>
    <w:rsid w:val="0001337F"/>
    <w:rsid w:val="00016605"/>
    <w:rsid w:val="00016A1C"/>
    <w:rsid w:val="00017040"/>
    <w:rsid w:val="0001714C"/>
    <w:rsid w:val="0001762C"/>
    <w:rsid w:val="00022A1A"/>
    <w:rsid w:val="00022DF2"/>
    <w:rsid w:val="00023BB6"/>
    <w:rsid w:val="00023CBF"/>
    <w:rsid w:val="00024C18"/>
    <w:rsid w:val="00025F36"/>
    <w:rsid w:val="0002655F"/>
    <w:rsid w:val="00027674"/>
    <w:rsid w:val="00030AE7"/>
    <w:rsid w:val="00030FB5"/>
    <w:rsid w:val="00031007"/>
    <w:rsid w:val="0003198D"/>
    <w:rsid w:val="00033E2B"/>
    <w:rsid w:val="00035A46"/>
    <w:rsid w:val="00036386"/>
    <w:rsid w:val="00036AEB"/>
    <w:rsid w:val="00036B05"/>
    <w:rsid w:val="00037C10"/>
    <w:rsid w:val="000440EC"/>
    <w:rsid w:val="00044C5B"/>
    <w:rsid w:val="00045F59"/>
    <w:rsid w:val="00046D94"/>
    <w:rsid w:val="00051269"/>
    <w:rsid w:val="000512FF"/>
    <w:rsid w:val="00055006"/>
    <w:rsid w:val="0005525A"/>
    <w:rsid w:val="00056225"/>
    <w:rsid w:val="0006023E"/>
    <w:rsid w:val="000615CA"/>
    <w:rsid w:val="00061B2B"/>
    <w:rsid w:val="00061E22"/>
    <w:rsid w:val="00062AC8"/>
    <w:rsid w:val="00063270"/>
    <w:rsid w:val="000645C5"/>
    <w:rsid w:val="00064749"/>
    <w:rsid w:val="0006508F"/>
    <w:rsid w:val="0006691C"/>
    <w:rsid w:val="00066CF1"/>
    <w:rsid w:val="0006775C"/>
    <w:rsid w:val="00067D00"/>
    <w:rsid w:val="00070852"/>
    <w:rsid w:val="00070860"/>
    <w:rsid w:val="00070BCB"/>
    <w:rsid w:val="0007442B"/>
    <w:rsid w:val="00074EA9"/>
    <w:rsid w:val="00075037"/>
    <w:rsid w:val="00075EBA"/>
    <w:rsid w:val="00076CA1"/>
    <w:rsid w:val="000779D4"/>
    <w:rsid w:val="00077C64"/>
    <w:rsid w:val="00077CD4"/>
    <w:rsid w:val="00080061"/>
    <w:rsid w:val="00080E21"/>
    <w:rsid w:val="000811DA"/>
    <w:rsid w:val="00081D74"/>
    <w:rsid w:val="00085765"/>
    <w:rsid w:val="0008591A"/>
    <w:rsid w:val="0008616A"/>
    <w:rsid w:val="00087ABF"/>
    <w:rsid w:val="00090C7D"/>
    <w:rsid w:val="00091AB0"/>
    <w:rsid w:val="00092735"/>
    <w:rsid w:val="000935B2"/>
    <w:rsid w:val="00094CD1"/>
    <w:rsid w:val="00095D91"/>
    <w:rsid w:val="00096E00"/>
    <w:rsid w:val="0009707B"/>
    <w:rsid w:val="00097D20"/>
    <w:rsid w:val="000A077F"/>
    <w:rsid w:val="000A0F23"/>
    <w:rsid w:val="000A22A1"/>
    <w:rsid w:val="000A24A4"/>
    <w:rsid w:val="000A28F8"/>
    <w:rsid w:val="000A49AB"/>
    <w:rsid w:val="000A63AA"/>
    <w:rsid w:val="000A6EDE"/>
    <w:rsid w:val="000A7975"/>
    <w:rsid w:val="000B0949"/>
    <w:rsid w:val="000B1F98"/>
    <w:rsid w:val="000B3603"/>
    <w:rsid w:val="000B3650"/>
    <w:rsid w:val="000B3CE9"/>
    <w:rsid w:val="000B5F4C"/>
    <w:rsid w:val="000C164F"/>
    <w:rsid w:val="000C17E6"/>
    <w:rsid w:val="000C3456"/>
    <w:rsid w:val="000C34A2"/>
    <w:rsid w:val="000C4E41"/>
    <w:rsid w:val="000C5852"/>
    <w:rsid w:val="000C5C08"/>
    <w:rsid w:val="000C5C52"/>
    <w:rsid w:val="000C5EEF"/>
    <w:rsid w:val="000C65CD"/>
    <w:rsid w:val="000D009D"/>
    <w:rsid w:val="000D014C"/>
    <w:rsid w:val="000D03DE"/>
    <w:rsid w:val="000D072E"/>
    <w:rsid w:val="000D12F2"/>
    <w:rsid w:val="000D169C"/>
    <w:rsid w:val="000D5568"/>
    <w:rsid w:val="000E14A7"/>
    <w:rsid w:val="000E19FD"/>
    <w:rsid w:val="000E1FA5"/>
    <w:rsid w:val="000E20EA"/>
    <w:rsid w:val="000E2475"/>
    <w:rsid w:val="000E2883"/>
    <w:rsid w:val="000E3326"/>
    <w:rsid w:val="000E3507"/>
    <w:rsid w:val="000E4D35"/>
    <w:rsid w:val="000E5075"/>
    <w:rsid w:val="000E5167"/>
    <w:rsid w:val="000E532F"/>
    <w:rsid w:val="000E7361"/>
    <w:rsid w:val="000E7957"/>
    <w:rsid w:val="000F2209"/>
    <w:rsid w:val="000F38FB"/>
    <w:rsid w:val="000F45D9"/>
    <w:rsid w:val="000F5070"/>
    <w:rsid w:val="000F5E8C"/>
    <w:rsid w:val="000F630E"/>
    <w:rsid w:val="001002D8"/>
    <w:rsid w:val="00100756"/>
    <w:rsid w:val="00101544"/>
    <w:rsid w:val="001018C4"/>
    <w:rsid w:val="00102AED"/>
    <w:rsid w:val="00104255"/>
    <w:rsid w:val="00104A2A"/>
    <w:rsid w:val="00106DCD"/>
    <w:rsid w:val="001078C4"/>
    <w:rsid w:val="00107B7B"/>
    <w:rsid w:val="001107C4"/>
    <w:rsid w:val="0011314C"/>
    <w:rsid w:val="00115827"/>
    <w:rsid w:val="00116026"/>
    <w:rsid w:val="0011680D"/>
    <w:rsid w:val="001168CA"/>
    <w:rsid w:val="0011697C"/>
    <w:rsid w:val="00116A19"/>
    <w:rsid w:val="00117B42"/>
    <w:rsid w:val="0012231F"/>
    <w:rsid w:val="0012367C"/>
    <w:rsid w:val="00124C3E"/>
    <w:rsid w:val="00131B9E"/>
    <w:rsid w:val="00131D4A"/>
    <w:rsid w:val="00132410"/>
    <w:rsid w:val="00133894"/>
    <w:rsid w:val="00134974"/>
    <w:rsid w:val="00135458"/>
    <w:rsid w:val="00135513"/>
    <w:rsid w:val="00136C39"/>
    <w:rsid w:val="001401E5"/>
    <w:rsid w:val="00140B02"/>
    <w:rsid w:val="00140ED9"/>
    <w:rsid w:val="0014221C"/>
    <w:rsid w:val="001436F2"/>
    <w:rsid w:val="001454CE"/>
    <w:rsid w:val="00145CA2"/>
    <w:rsid w:val="0015030A"/>
    <w:rsid w:val="00152993"/>
    <w:rsid w:val="00153E3A"/>
    <w:rsid w:val="0015580A"/>
    <w:rsid w:val="00157924"/>
    <w:rsid w:val="00157DB2"/>
    <w:rsid w:val="00160CD5"/>
    <w:rsid w:val="00160F65"/>
    <w:rsid w:val="00161E44"/>
    <w:rsid w:val="00162B67"/>
    <w:rsid w:val="00164547"/>
    <w:rsid w:val="0016539E"/>
    <w:rsid w:val="00165905"/>
    <w:rsid w:val="001665E8"/>
    <w:rsid w:val="00170E32"/>
    <w:rsid w:val="00172236"/>
    <w:rsid w:val="00173E1B"/>
    <w:rsid w:val="0017473B"/>
    <w:rsid w:val="001748F3"/>
    <w:rsid w:val="00176456"/>
    <w:rsid w:val="00177082"/>
    <w:rsid w:val="00177D9B"/>
    <w:rsid w:val="00177FC7"/>
    <w:rsid w:val="00180327"/>
    <w:rsid w:val="0018174A"/>
    <w:rsid w:val="00181A7D"/>
    <w:rsid w:val="00183192"/>
    <w:rsid w:val="00183D4A"/>
    <w:rsid w:val="00184B99"/>
    <w:rsid w:val="001877F3"/>
    <w:rsid w:val="0019485C"/>
    <w:rsid w:val="0019778D"/>
    <w:rsid w:val="001A0216"/>
    <w:rsid w:val="001A1235"/>
    <w:rsid w:val="001A1DF5"/>
    <w:rsid w:val="001A25FE"/>
    <w:rsid w:val="001A281B"/>
    <w:rsid w:val="001A2CCA"/>
    <w:rsid w:val="001A359A"/>
    <w:rsid w:val="001A49BF"/>
    <w:rsid w:val="001A4BCD"/>
    <w:rsid w:val="001A5E3F"/>
    <w:rsid w:val="001A636A"/>
    <w:rsid w:val="001A65E5"/>
    <w:rsid w:val="001A6CDC"/>
    <w:rsid w:val="001A7792"/>
    <w:rsid w:val="001B1D3E"/>
    <w:rsid w:val="001B31DF"/>
    <w:rsid w:val="001B3C40"/>
    <w:rsid w:val="001B3E79"/>
    <w:rsid w:val="001B54F8"/>
    <w:rsid w:val="001B58F2"/>
    <w:rsid w:val="001B5CA3"/>
    <w:rsid w:val="001C08DC"/>
    <w:rsid w:val="001C0FF5"/>
    <w:rsid w:val="001C376A"/>
    <w:rsid w:val="001C3C76"/>
    <w:rsid w:val="001C3D1C"/>
    <w:rsid w:val="001C4413"/>
    <w:rsid w:val="001C4B38"/>
    <w:rsid w:val="001C57C2"/>
    <w:rsid w:val="001C68FB"/>
    <w:rsid w:val="001C781B"/>
    <w:rsid w:val="001D0254"/>
    <w:rsid w:val="001D06CC"/>
    <w:rsid w:val="001D157D"/>
    <w:rsid w:val="001D15D2"/>
    <w:rsid w:val="001D1602"/>
    <w:rsid w:val="001D1D46"/>
    <w:rsid w:val="001D2218"/>
    <w:rsid w:val="001D23B6"/>
    <w:rsid w:val="001D2A3C"/>
    <w:rsid w:val="001D3A52"/>
    <w:rsid w:val="001D5C65"/>
    <w:rsid w:val="001E171B"/>
    <w:rsid w:val="001E2583"/>
    <w:rsid w:val="001E4344"/>
    <w:rsid w:val="001E487E"/>
    <w:rsid w:val="001E4BE0"/>
    <w:rsid w:val="001E6D83"/>
    <w:rsid w:val="001E6DBB"/>
    <w:rsid w:val="001E7228"/>
    <w:rsid w:val="001F09F9"/>
    <w:rsid w:val="001F1380"/>
    <w:rsid w:val="001F1F0E"/>
    <w:rsid w:val="001F24EA"/>
    <w:rsid w:val="001F4BD3"/>
    <w:rsid w:val="001F4F4E"/>
    <w:rsid w:val="001F5A03"/>
    <w:rsid w:val="00202C56"/>
    <w:rsid w:val="002043EF"/>
    <w:rsid w:val="002061DE"/>
    <w:rsid w:val="00206588"/>
    <w:rsid w:val="0021167F"/>
    <w:rsid w:val="00212607"/>
    <w:rsid w:val="00212CAD"/>
    <w:rsid w:val="00214CC9"/>
    <w:rsid w:val="00215213"/>
    <w:rsid w:val="0021706B"/>
    <w:rsid w:val="002173F6"/>
    <w:rsid w:val="00217DAC"/>
    <w:rsid w:val="0022192E"/>
    <w:rsid w:val="002228BB"/>
    <w:rsid w:val="00223352"/>
    <w:rsid w:val="00224986"/>
    <w:rsid w:val="002251CF"/>
    <w:rsid w:val="002259F3"/>
    <w:rsid w:val="002309D0"/>
    <w:rsid w:val="00230CF2"/>
    <w:rsid w:val="002323F3"/>
    <w:rsid w:val="00233415"/>
    <w:rsid w:val="002337F6"/>
    <w:rsid w:val="0023516F"/>
    <w:rsid w:val="0023557B"/>
    <w:rsid w:val="002355B9"/>
    <w:rsid w:val="00235C40"/>
    <w:rsid w:val="00235D6A"/>
    <w:rsid w:val="00236C55"/>
    <w:rsid w:val="00237178"/>
    <w:rsid w:val="002371E1"/>
    <w:rsid w:val="002379C6"/>
    <w:rsid w:val="00237F41"/>
    <w:rsid w:val="00240B70"/>
    <w:rsid w:val="002412D0"/>
    <w:rsid w:val="0024179F"/>
    <w:rsid w:val="00241D17"/>
    <w:rsid w:val="002425A2"/>
    <w:rsid w:val="002434B3"/>
    <w:rsid w:val="00243C8B"/>
    <w:rsid w:val="002449E4"/>
    <w:rsid w:val="00244C75"/>
    <w:rsid w:val="00244E90"/>
    <w:rsid w:val="002461ED"/>
    <w:rsid w:val="00246A83"/>
    <w:rsid w:val="00246A98"/>
    <w:rsid w:val="00246BD2"/>
    <w:rsid w:val="002508DD"/>
    <w:rsid w:val="00251321"/>
    <w:rsid w:val="002514C6"/>
    <w:rsid w:val="00252A1E"/>
    <w:rsid w:val="00252CA8"/>
    <w:rsid w:val="00254354"/>
    <w:rsid w:val="00254AB9"/>
    <w:rsid w:val="00255296"/>
    <w:rsid w:val="002553A1"/>
    <w:rsid w:val="002562F8"/>
    <w:rsid w:val="00256384"/>
    <w:rsid w:val="0025672E"/>
    <w:rsid w:val="00257A82"/>
    <w:rsid w:val="00260125"/>
    <w:rsid w:val="002604A3"/>
    <w:rsid w:val="00261A3F"/>
    <w:rsid w:val="00261E99"/>
    <w:rsid w:val="00262440"/>
    <w:rsid w:val="002627DC"/>
    <w:rsid w:val="002642AF"/>
    <w:rsid w:val="002644B5"/>
    <w:rsid w:val="002647FB"/>
    <w:rsid w:val="00264D81"/>
    <w:rsid w:val="00265995"/>
    <w:rsid w:val="00267E0E"/>
    <w:rsid w:val="00270CB1"/>
    <w:rsid w:val="00272A83"/>
    <w:rsid w:val="002730D3"/>
    <w:rsid w:val="002744B8"/>
    <w:rsid w:val="00275B77"/>
    <w:rsid w:val="00276338"/>
    <w:rsid w:val="00280FAD"/>
    <w:rsid w:val="00282994"/>
    <w:rsid w:val="00284CCB"/>
    <w:rsid w:val="00284D31"/>
    <w:rsid w:val="0028694D"/>
    <w:rsid w:val="00287A0C"/>
    <w:rsid w:val="00291B8F"/>
    <w:rsid w:val="00292104"/>
    <w:rsid w:val="00294554"/>
    <w:rsid w:val="002946FB"/>
    <w:rsid w:val="00296714"/>
    <w:rsid w:val="002976D8"/>
    <w:rsid w:val="00297F7B"/>
    <w:rsid w:val="002A1B77"/>
    <w:rsid w:val="002A29F7"/>
    <w:rsid w:val="002A3250"/>
    <w:rsid w:val="002A4949"/>
    <w:rsid w:val="002A5261"/>
    <w:rsid w:val="002A5323"/>
    <w:rsid w:val="002A552D"/>
    <w:rsid w:val="002A7087"/>
    <w:rsid w:val="002B1723"/>
    <w:rsid w:val="002B199D"/>
    <w:rsid w:val="002B2708"/>
    <w:rsid w:val="002B346F"/>
    <w:rsid w:val="002B46D2"/>
    <w:rsid w:val="002B5DDE"/>
    <w:rsid w:val="002B674D"/>
    <w:rsid w:val="002B7455"/>
    <w:rsid w:val="002B74FE"/>
    <w:rsid w:val="002C04C2"/>
    <w:rsid w:val="002C0A4E"/>
    <w:rsid w:val="002C18A7"/>
    <w:rsid w:val="002C2929"/>
    <w:rsid w:val="002C4573"/>
    <w:rsid w:val="002C507E"/>
    <w:rsid w:val="002C51A1"/>
    <w:rsid w:val="002C5546"/>
    <w:rsid w:val="002C55C6"/>
    <w:rsid w:val="002C69F7"/>
    <w:rsid w:val="002C786C"/>
    <w:rsid w:val="002D1EF6"/>
    <w:rsid w:val="002D30BB"/>
    <w:rsid w:val="002D4AAB"/>
    <w:rsid w:val="002D4CDC"/>
    <w:rsid w:val="002D4FE3"/>
    <w:rsid w:val="002D5134"/>
    <w:rsid w:val="002D51E9"/>
    <w:rsid w:val="002D5FBC"/>
    <w:rsid w:val="002D661C"/>
    <w:rsid w:val="002D719B"/>
    <w:rsid w:val="002E0F0E"/>
    <w:rsid w:val="002E0F54"/>
    <w:rsid w:val="002E164E"/>
    <w:rsid w:val="002E3736"/>
    <w:rsid w:val="002E5362"/>
    <w:rsid w:val="002E64E1"/>
    <w:rsid w:val="002E6C76"/>
    <w:rsid w:val="002E75E1"/>
    <w:rsid w:val="002F1DBD"/>
    <w:rsid w:val="002F2DDF"/>
    <w:rsid w:val="002F3AF9"/>
    <w:rsid w:val="002F5309"/>
    <w:rsid w:val="002F55ED"/>
    <w:rsid w:val="002F5907"/>
    <w:rsid w:val="002F610C"/>
    <w:rsid w:val="00300062"/>
    <w:rsid w:val="00300734"/>
    <w:rsid w:val="00301A34"/>
    <w:rsid w:val="00301FC3"/>
    <w:rsid w:val="00302496"/>
    <w:rsid w:val="00303491"/>
    <w:rsid w:val="0030388D"/>
    <w:rsid w:val="00303A73"/>
    <w:rsid w:val="00303C3C"/>
    <w:rsid w:val="003040F1"/>
    <w:rsid w:val="00307D23"/>
    <w:rsid w:val="003107DD"/>
    <w:rsid w:val="00311AB7"/>
    <w:rsid w:val="00311AC7"/>
    <w:rsid w:val="00311B4A"/>
    <w:rsid w:val="00312EBE"/>
    <w:rsid w:val="00312F90"/>
    <w:rsid w:val="00313D93"/>
    <w:rsid w:val="00313ECA"/>
    <w:rsid w:val="003140D0"/>
    <w:rsid w:val="003144E2"/>
    <w:rsid w:val="00315DFB"/>
    <w:rsid w:val="00316BDF"/>
    <w:rsid w:val="00322218"/>
    <w:rsid w:val="003224F9"/>
    <w:rsid w:val="0032292A"/>
    <w:rsid w:val="00324122"/>
    <w:rsid w:val="003260C0"/>
    <w:rsid w:val="003313EA"/>
    <w:rsid w:val="00332B11"/>
    <w:rsid w:val="00332CC5"/>
    <w:rsid w:val="00332DF3"/>
    <w:rsid w:val="00333703"/>
    <w:rsid w:val="00333F81"/>
    <w:rsid w:val="003340E0"/>
    <w:rsid w:val="00335F47"/>
    <w:rsid w:val="00340A5F"/>
    <w:rsid w:val="00341970"/>
    <w:rsid w:val="00341E0E"/>
    <w:rsid w:val="00343392"/>
    <w:rsid w:val="003445E7"/>
    <w:rsid w:val="00345D89"/>
    <w:rsid w:val="00345EFB"/>
    <w:rsid w:val="00347577"/>
    <w:rsid w:val="0035123F"/>
    <w:rsid w:val="00351AA9"/>
    <w:rsid w:val="003524FD"/>
    <w:rsid w:val="003530EA"/>
    <w:rsid w:val="003535D3"/>
    <w:rsid w:val="00354616"/>
    <w:rsid w:val="00356432"/>
    <w:rsid w:val="003575A4"/>
    <w:rsid w:val="00357D17"/>
    <w:rsid w:val="00357E88"/>
    <w:rsid w:val="00360309"/>
    <w:rsid w:val="00363927"/>
    <w:rsid w:val="00364D03"/>
    <w:rsid w:val="00366EC2"/>
    <w:rsid w:val="003677F9"/>
    <w:rsid w:val="00367821"/>
    <w:rsid w:val="00367F34"/>
    <w:rsid w:val="0037058C"/>
    <w:rsid w:val="003713AB"/>
    <w:rsid w:val="00371D86"/>
    <w:rsid w:val="003724EA"/>
    <w:rsid w:val="0037394A"/>
    <w:rsid w:val="00374630"/>
    <w:rsid w:val="0037507A"/>
    <w:rsid w:val="003750C7"/>
    <w:rsid w:val="0037667F"/>
    <w:rsid w:val="003829E8"/>
    <w:rsid w:val="00383B33"/>
    <w:rsid w:val="00384415"/>
    <w:rsid w:val="003845FB"/>
    <w:rsid w:val="00384804"/>
    <w:rsid w:val="00386727"/>
    <w:rsid w:val="00386C6D"/>
    <w:rsid w:val="00387DC5"/>
    <w:rsid w:val="00387E8A"/>
    <w:rsid w:val="00390B44"/>
    <w:rsid w:val="00390FDA"/>
    <w:rsid w:val="00394994"/>
    <w:rsid w:val="0039520E"/>
    <w:rsid w:val="00397D90"/>
    <w:rsid w:val="003A0374"/>
    <w:rsid w:val="003A0D8A"/>
    <w:rsid w:val="003A1D2D"/>
    <w:rsid w:val="003A4945"/>
    <w:rsid w:val="003A53D2"/>
    <w:rsid w:val="003A56DA"/>
    <w:rsid w:val="003A5EA7"/>
    <w:rsid w:val="003A6743"/>
    <w:rsid w:val="003B186F"/>
    <w:rsid w:val="003B19BC"/>
    <w:rsid w:val="003B3A61"/>
    <w:rsid w:val="003B439B"/>
    <w:rsid w:val="003B43CE"/>
    <w:rsid w:val="003B4DD3"/>
    <w:rsid w:val="003B64A6"/>
    <w:rsid w:val="003B7AFE"/>
    <w:rsid w:val="003B7B8D"/>
    <w:rsid w:val="003C1112"/>
    <w:rsid w:val="003C205C"/>
    <w:rsid w:val="003C2E87"/>
    <w:rsid w:val="003C3957"/>
    <w:rsid w:val="003C3C67"/>
    <w:rsid w:val="003C4F4B"/>
    <w:rsid w:val="003C663C"/>
    <w:rsid w:val="003C7A1C"/>
    <w:rsid w:val="003D07A1"/>
    <w:rsid w:val="003D1CF3"/>
    <w:rsid w:val="003D226A"/>
    <w:rsid w:val="003D2F32"/>
    <w:rsid w:val="003D320A"/>
    <w:rsid w:val="003D33B1"/>
    <w:rsid w:val="003D5838"/>
    <w:rsid w:val="003D6A51"/>
    <w:rsid w:val="003D6D53"/>
    <w:rsid w:val="003D7AFA"/>
    <w:rsid w:val="003E1472"/>
    <w:rsid w:val="003E1771"/>
    <w:rsid w:val="003E298F"/>
    <w:rsid w:val="003E2EFA"/>
    <w:rsid w:val="003E2F1B"/>
    <w:rsid w:val="003E392B"/>
    <w:rsid w:val="003E4F55"/>
    <w:rsid w:val="003E5A74"/>
    <w:rsid w:val="003E7E3B"/>
    <w:rsid w:val="003E7FE8"/>
    <w:rsid w:val="003F1468"/>
    <w:rsid w:val="003F158A"/>
    <w:rsid w:val="003F295E"/>
    <w:rsid w:val="003F2F49"/>
    <w:rsid w:val="003F36EA"/>
    <w:rsid w:val="003F5BB7"/>
    <w:rsid w:val="003F5F57"/>
    <w:rsid w:val="003F71C9"/>
    <w:rsid w:val="003F7277"/>
    <w:rsid w:val="00401C7E"/>
    <w:rsid w:val="0040249C"/>
    <w:rsid w:val="00402E61"/>
    <w:rsid w:val="00403855"/>
    <w:rsid w:val="004039AE"/>
    <w:rsid w:val="00404042"/>
    <w:rsid w:val="004042CB"/>
    <w:rsid w:val="004043A1"/>
    <w:rsid w:val="0040524C"/>
    <w:rsid w:val="00405BE2"/>
    <w:rsid w:val="00405E7C"/>
    <w:rsid w:val="0040649E"/>
    <w:rsid w:val="00406FAA"/>
    <w:rsid w:val="00407DFD"/>
    <w:rsid w:val="00410005"/>
    <w:rsid w:val="00410B38"/>
    <w:rsid w:val="004113CD"/>
    <w:rsid w:val="00415A81"/>
    <w:rsid w:val="00415FFF"/>
    <w:rsid w:val="004171B1"/>
    <w:rsid w:val="00417731"/>
    <w:rsid w:val="00421FE4"/>
    <w:rsid w:val="00422089"/>
    <w:rsid w:val="0042398F"/>
    <w:rsid w:val="004244BA"/>
    <w:rsid w:val="00426A3B"/>
    <w:rsid w:val="00430D3F"/>
    <w:rsid w:val="0043112C"/>
    <w:rsid w:val="00432112"/>
    <w:rsid w:val="004326C1"/>
    <w:rsid w:val="0043317E"/>
    <w:rsid w:val="00435FC7"/>
    <w:rsid w:val="004412E4"/>
    <w:rsid w:val="0044290D"/>
    <w:rsid w:val="00444141"/>
    <w:rsid w:val="004441B5"/>
    <w:rsid w:val="00444597"/>
    <w:rsid w:val="004456AD"/>
    <w:rsid w:val="00447371"/>
    <w:rsid w:val="004505C0"/>
    <w:rsid w:val="00450EF0"/>
    <w:rsid w:val="0045239A"/>
    <w:rsid w:val="0045359D"/>
    <w:rsid w:val="00453F71"/>
    <w:rsid w:val="0045404D"/>
    <w:rsid w:val="00454987"/>
    <w:rsid w:val="0045672D"/>
    <w:rsid w:val="00460F46"/>
    <w:rsid w:val="00461584"/>
    <w:rsid w:val="00461C3E"/>
    <w:rsid w:val="00462076"/>
    <w:rsid w:val="00462852"/>
    <w:rsid w:val="00464A13"/>
    <w:rsid w:val="00465A56"/>
    <w:rsid w:val="0046670B"/>
    <w:rsid w:val="00466A2F"/>
    <w:rsid w:val="00467E43"/>
    <w:rsid w:val="0047104E"/>
    <w:rsid w:val="00471314"/>
    <w:rsid w:val="00472BA6"/>
    <w:rsid w:val="00472FD3"/>
    <w:rsid w:val="00474ABB"/>
    <w:rsid w:val="004754F7"/>
    <w:rsid w:val="00475D1C"/>
    <w:rsid w:val="004770F0"/>
    <w:rsid w:val="00477566"/>
    <w:rsid w:val="00477C54"/>
    <w:rsid w:val="004834A5"/>
    <w:rsid w:val="004848D7"/>
    <w:rsid w:val="00484ADB"/>
    <w:rsid w:val="00484F85"/>
    <w:rsid w:val="0048506E"/>
    <w:rsid w:val="004852AB"/>
    <w:rsid w:val="00490C2B"/>
    <w:rsid w:val="0049128C"/>
    <w:rsid w:val="004925F6"/>
    <w:rsid w:val="00492897"/>
    <w:rsid w:val="00495000"/>
    <w:rsid w:val="00495666"/>
    <w:rsid w:val="004A01C1"/>
    <w:rsid w:val="004A16C0"/>
    <w:rsid w:val="004A1B62"/>
    <w:rsid w:val="004A2D22"/>
    <w:rsid w:val="004A40DF"/>
    <w:rsid w:val="004A45A1"/>
    <w:rsid w:val="004A5384"/>
    <w:rsid w:val="004A60E9"/>
    <w:rsid w:val="004A6DC6"/>
    <w:rsid w:val="004B08C0"/>
    <w:rsid w:val="004B0CB2"/>
    <w:rsid w:val="004B3099"/>
    <w:rsid w:val="004B31E7"/>
    <w:rsid w:val="004B3668"/>
    <w:rsid w:val="004B369E"/>
    <w:rsid w:val="004B406D"/>
    <w:rsid w:val="004B50D2"/>
    <w:rsid w:val="004B562E"/>
    <w:rsid w:val="004B6219"/>
    <w:rsid w:val="004B6323"/>
    <w:rsid w:val="004C0A4E"/>
    <w:rsid w:val="004C1C0B"/>
    <w:rsid w:val="004C3B32"/>
    <w:rsid w:val="004C629F"/>
    <w:rsid w:val="004C639F"/>
    <w:rsid w:val="004C6939"/>
    <w:rsid w:val="004D3157"/>
    <w:rsid w:val="004D646E"/>
    <w:rsid w:val="004D7266"/>
    <w:rsid w:val="004D75FD"/>
    <w:rsid w:val="004D7BB3"/>
    <w:rsid w:val="004E0C3A"/>
    <w:rsid w:val="004E11AE"/>
    <w:rsid w:val="004E2594"/>
    <w:rsid w:val="004E29F4"/>
    <w:rsid w:val="004E2E5F"/>
    <w:rsid w:val="004E3F80"/>
    <w:rsid w:val="004E5511"/>
    <w:rsid w:val="004E70D3"/>
    <w:rsid w:val="004F0234"/>
    <w:rsid w:val="004F3831"/>
    <w:rsid w:val="004F4162"/>
    <w:rsid w:val="004F42A3"/>
    <w:rsid w:val="004F6E27"/>
    <w:rsid w:val="004F7355"/>
    <w:rsid w:val="004F77F4"/>
    <w:rsid w:val="00500F79"/>
    <w:rsid w:val="00500FD2"/>
    <w:rsid w:val="00501164"/>
    <w:rsid w:val="005018D4"/>
    <w:rsid w:val="005019FE"/>
    <w:rsid w:val="00503660"/>
    <w:rsid w:val="00504126"/>
    <w:rsid w:val="0050788E"/>
    <w:rsid w:val="005111DF"/>
    <w:rsid w:val="005112D5"/>
    <w:rsid w:val="0051241E"/>
    <w:rsid w:val="005125FA"/>
    <w:rsid w:val="005144CE"/>
    <w:rsid w:val="005148F8"/>
    <w:rsid w:val="00515F03"/>
    <w:rsid w:val="0051628E"/>
    <w:rsid w:val="00516B12"/>
    <w:rsid w:val="00517965"/>
    <w:rsid w:val="00517DF0"/>
    <w:rsid w:val="0052077D"/>
    <w:rsid w:val="00520B30"/>
    <w:rsid w:val="00521EB6"/>
    <w:rsid w:val="00523186"/>
    <w:rsid w:val="0052318A"/>
    <w:rsid w:val="00523C47"/>
    <w:rsid w:val="00523F9B"/>
    <w:rsid w:val="00525D66"/>
    <w:rsid w:val="0052672C"/>
    <w:rsid w:val="005271DA"/>
    <w:rsid w:val="00527704"/>
    <w:rsid w:val="00531299"/>
    <w:rsid w:val="00531C8C"/>
    <w:rsid w:val="00531D6C"/>
    <w:rsid w:val="00532452"/>
    <w:rsid w:val="00532B21"/>
    <w:rsid w:val="00533EAB"/>
    <w:rsid w:val="005352DB"/>
    <w:rsid w:val="0053548E"/>
    <w:rsid w:val="00535A5F"/>
    <w:rsid w:val="00535EB5"/>
    <w:rsid w:val="005368E4"/>
    <w:rsid w:val="0053714B"/>
    <w:rsid w:val="0054030A"/>
    <w:rsid w:val="00541381"/>
    <w:rsid w:val="005417A8"/>
    <w:rsid w:val="00542D11"/>
    <w:rsid w:val="0054457B"/>
    <w:rsid w:val="0054479A"/>
    <w:rsid w:val="00544A38"/>
    <w:rsid w:val="00544B1F"/>
    <w:rsid w:val="00544D6C"/>
    <w:rsid w:val="0054565D"/>
    <w:rsid w:val="00545DE4"/>
    <w:rsid w:val="005476F8"/>
    <w:rsid w:val="0054787B"/>
    <w:rsid w:val="00550B7C"/>
    <w:rsid w:val="00551A66"/>
    <w:rsid w:val="00552F57"/>
    <w:rsid w:val="00557757"/>
    <w:rsid w:val="00557F39"/>
    <w:rsid w:val="00560F04"/>
    <w:rsid w:val="005611FC"/>
    <w:rsid w:val="00563189"/>
    <w:rsid w:val="005635FE"/>
    <w:rsid w:val="005653EE"/>
    <w:rsid w:val="0056773D"/>
    <w:rsid w:val="00573C1F"/>
    <w:rsid w:val="00573EB1"/>
    <w:rsid w:val="00574E1A"/>
    <w:rsid w:val="0057517F"/>
    <w:rsid w:val="00575FF8"/>
    <w:rsid w:val="00577517"/>
    <w:rsid w:val="00580B16"/>
    <w:rsid w:val="005821E5"/>
    <w:rsid w:val="005845F5"/>
    <w:rsid w:val="0058461F"/>
    <w:rsid w:val="0058483F"/>
    <w:rsid w:val="005862DA"/>
    <w:rsid w:val="0058698A"/>
    <w:rsid w:val="005910D0"/>
    <w:rsid w:val="00591150"/>
    <w:rsid w:val="005911DB"/>
    <w:rsid w:val="005924B9"/>
    <w:rsid w:val="00592FD8"/>
    <w:rsid w:val="00593237"/>
    <w:rsid w:val="00593C24"/>
    <w:rsid w:val="00596304"/>
    <w:rsid w:val="0059639D"/>
    <w:rsid w:val="00596788"/>
    <w:rsid w:val="00596B6E"/>
    <w:rsid w:val="005A0B16"/>
    <w:rsid w:val="005A1CF9"/>
    <w:rsid w:val="005A28C1"/>
    <w:rsid w:val="005A31A1"/>
    <w:rsid w:val="005A3C6E"/>
    <w:rsid w:val="005A4C91"/>
    <w:rsid w:val="005A7128"/>
    <w:rsid w:val="005A792B"/>
    <w:rsid w:val="005B060B"/>
    <w:rsid w:val="005B3584"/>
    <w:rsid w:val="005B3736"/>
    <w:rsid w:val="005B4203"/>
    <w:rsid w:val="005B4D78"/>
    <w:rsid w:val="005B5CD1"/>
    <w:rsid w:val="005B5DB0"/>
    <w:rsid w:val="005B62BB"/>
    <w:rsid w:val="005B66D5"/>
    <w:rsid w:val="005B6851"/>
    <w:rsid w:val="005B7E78"/>
    <w:rsid w:val="005B7E93"/>
    <w:rsid w:val="005C07D4"/>
    <w:rsid w:val="005C087F"/>
    <w:rsid w:val="005C2E3B"/>
    <w:rsid w:val="005C3294"/>
    <w:rsid w:val="005C353A"/>
    <w:rsid w:val="005D278D"/>
    <w:rsid w:val="005D3254"/>
    <w:rsid w:val="005D331B"/>
    <w:rsid w:val="005D45E0"/>
    <w:rsid w:val="005D6160"/>
    <w:rsid w:val="005D672A"/>
    <w:rsid w:val="005D7434"/>
    <w:rsid w:val="005D7AA2"/>
    <w:rsid w:val="005D7F06"/>
    <w:rsid w:val="005E20F0"/>
    <w:rsid w:val="005E2B4C"/>
    <w:rsid w:val="005E2C0F"/>
    <w:rsid w:val="005E3732"/>
    <w:rsid w:val="005E375E"/>
    <w:rsid w:val="005E4C2C"/>
    <w:rsid w:val="005F0293"/>
    <w:rsid w:val="005F1BE0"/>
    <w:rsid w:val="005F1E20"/>
    <w:rsid w:val="005F20A7"/>
    <w:rsid w:val="005F5469"/>
    <w:rsid w:val="005F63F5"/>
    <w:rsid w:val="0060100E"/>
    <w:rsid w:val="006016AC"/>
    <w:rsid w:val="00601733"/>
    <w:rsid w:val="0060185B"/>
    <w:rsid w:val="00601A31"/>
    <w:rsid w:val="00603C07"/>
    <w:rsid w:val="0060518E"/>
    <w:rsid w:val="006063A6"/>
    <w:rsid w:val="00606ACD"/>
    <w:rsid w:val="0061050E"/>
    <w:rsid w:val="0061093C"/>
    <w:rsid w:val="00610A3C"/>
    <w:rsid w:val="00612520"/>
    <w:rsid w:val="00613179"/>
    <w:rsid w:val="006132CD"/>
    <w:rsid w:val="00613AE3"/>
    <w:rsid w:val="00613D2D"/>
    <w:rsid w:val="0061531D"/>
    <w:rsid w:val="006153D1"/>
    <w:rsid w:val="00617723"/>
    <w:rsid w:val="006214F3"/>
    <w:rsid w:val="0062383E"/>
    <w:rsid w:val="00624009"/>
    <w:rsid w:val="00626660"/>
    <w:rsid w:val="0062706D"/>
    <w:rsid w:val="00627175"/>
    <w:rsid w:val="006315A1"/>
    <w:rsid w:val="0063279D"/>
    <w:rsid w:val="0063357A"/>
    <w:rsid w:val="006343E1"/>
    <w:rsid w:val="0063499B"/>
    <w:rsid w:val="00634F0F"/>
    <w:rsid w:val="0063537F"/>
    <w:rsid w:val="0063640C"/>
    <w:rsid w:val="006365AA"/>
    <w:rsid w:val="00636995"/>
    <w:rsid w:val="0064002D"/>
    <w:rsid w:val="00641E7C"/>
    <w:rsid w:val="00642C93"/>
    <w:rsid w:val="00644A36"/>
    <w:rsid w:val="00646075"/>
    <w:rsid w:val="00647193"/>
    <w:rsid w:val="00647B19"/>
    <w:rsid w:val="00651470"/>
    <w:rsid w:val="00651AA9"/>
    <w:rsid w:val="00652745"/>
    <w:rsid w:val="00652E4B"/>
    <w:rsid w:val="00655CBC"/>
    <w:rsid w:val="00655ECE"/>
    <w:rsid w:val="006567DD"/>
    <w:rsid w:val="00662E5C"/>
    <w:rsid w:val="00663D72"/>
    <w:rsid w:val="0066441F"/>
    <w:rsid w:val="00664BA2"/>
    <w:rsid w:val="0066504F"/>
    <w:rsid w:val="0066526E"/>
    <w:rsid w:val="00665384"/>
    <w:rsid w:val="006669EE"/>
    <w:rsid w:val="0066783D"/>
    <w:rsid w:val="00670312"/>
    <w:rsid w:val="00670C47"/>
    <w:rsid w:val="00672897"/>
    <w:rsid w:val="0067353B"/>
    <w:rsid w:val="00673A50"/>
    <w:rsid w:val="00673E2B"/>
    <w:rsid w:val="00673FDF"/>
    <w:rsid w:val="00676989"/>
    <w:rsid w:val="00676C48"/>
    <w:rsid w:val="00677695"/>
    <w:rsid w:val="00682265"/>
    <w:rsid w:val="00682C4F"/>
    <w:rsid w:val="00685B84"/>
    <w:rsid w:val="0068646B"/>
    <w:rsid w:val="00687319"/>
    <w:rsid w:val="00687F2C"/>
    <w:rsid w:val="00690B3D"/>
    <w:rsid w:val="00693449"/>
    <w:rsid w:val="00693812"/>
    <w:rsid w:val="00694454"/>
    <w:rsid w:val="0069452A"/>
    <w:rsid w:val="00695C7D"/>
    <w:rsid w:val="00695D76"/>
    <w:rsid w:val="006967CC"/>
    <w:rsid w:val="006979A3"/>
    <w:rsid w:val="006A0492"/>
    <w:rsid w:val="006A0D88"/>
    <w:rsid w:val="006A0E85"/>
    <w:rsid w:val="006A1A31"/>
    <w:rsid w:val="006A1C53"/>
    <w:rsid w:val="006A2A77"/>
    <w:rsid w:val="006A4C95"/>
    <w:rsid w:val="006A59A8"/>
    <w:rsid w:val="006A5CCD"/>
    <w:rsid w:val="006A5F26"/>
    <w:rsid w:val="006A6395"/>
    <w:rsid w:val="006A6B53"/>
    <w:rsid w:val="006B0143"/>
    <w:rsid w:val="006B2340"/>
    <w:rsid w:val="006B31E8"/>
    <w:rsid w:val="006B33A9"/>
    <w:rsid w:val="006B3999"/>
    <w:rsid w:val="006B62A0"/>
    <w:rsid w:val="006B77F4"/>
    <w:rsid w:val="006C0B08"/>
    <w:rsid w:val="006C0E8A"/>
    <w:rsid w:val="006C2FD3"/>
    <w:rsid w:val="006C4BEA"/>
    <w:rsid w:val="006C612F"/>
    <w:rsid w:val="006C6211"/>
    <w:rsid w:val="006C672C"/>
    <w:rsid w:val="006D0659"/>
    <w:rsid w:val="006D0E2D"/>
    <w:rsid w:val="006D41AD"/>
    <w:rsid w:val="006D47D2"/>
    <w:rsid w:val="006D50C6"/>
    <w:rsid w:val="006D56A0"/>
    <w:rsid w:val="006D749B"/>
    <w:rsid w:val="006E0303"/>
    <w:rsid w:val="006E0D25"/>
    <w:rsid w:val="006E2604"/>
    <w:rsid w:val="006E2C24"/>
    <w:rsid w:val="006E41BE"/>
    <w:rsid w:val="006E490E"/>
    <w:rsid w:val="006E5607"/>
    <w:rsid w:val="006E66B9"/>
    <w:rsid w:val="006E6B27"/>
    <w:rsid w:val="006E711B"/>
    <w:rsid w:val="006F0514"/>
    <w:rsid w:val="006F126E"/>
    <w:rsid w:val="006F1DA4"/>
    <w:rsid w:val="006F2318"/>
    <w:rsid w:val="006F32B8"/>
    <w:rsid w:val="006F3C41"/>
    <w:rsid w:val="006F48AB"/>
    <w:rsid w:val="006F4EDC"/>
    <w:rsid w:val="006F5317"/>
    <w:rsid w:val="006F5664"/>
    <w:rsid w:val="006F5A43"/>
    <w:rsid w:val="006F5DB0"/>
    <w:rsid w:val="006F6551"/>
    <w:rsid w:val="00701F91"/>
    <w:rsid w:val="007020B5"/>
    <w:rsid w:val="00702D61"/>
    <w:rsid w:val="00703314"/>
    <w:rsid w:val="00704654"/>
    <w:rsid w:val="00704807"/>
    <w:rsid w:val="00705AA4"/>
    <w:rsid w:val="00706414"/>
    <w:rsid w:val="00706E62"/>
    <w:rsid w:val="00707369"/>
    <w:rsid w:val="00710091"/>
    <w:rsid w:val="00710833"/>
    <w:rsid w:val="00710D13"/>
    <w:rsid w:val="007112C1"/>
    <w:rsid w:val="00711358"/>
    <w:rsid w:val="00711F77"/>
    <w:rsid w:val="00713437"/>
    <w:rsid w:val="00713E66"/>
    <w:rsid w:val="00714B17"/>
    <w:rsid w:val="00714F10"/>
    <w:rsid w:val="00715620"/>
    <w:rsid w:val="00716ACA"/>
    <w:rsid w:val="00722A61"/>
    <w:rsid w:val="00723398"/>
    <w:rsid w:val="00724451"/>
    <w:rsid w:val="0072471C"/>
    <w:rsid w:val="007248EB"/>
    <w:rsid w:val="00726130"/>
    <w:rsid w:val="00727AF9"/>
    <w:rsid w:val="00727E0F"/>
    <w:rsid w:val="00727F60"/>
    <w:rsid w:val="00730223"/>
    <w:rsid w:val="0073246F"/>
    <w:rsid w:val="007355B4"/>
    <w:rsid w:val="00736BE6"/>
    <w:rsid w:val="007417A0"/>
    <w:rsid w:val="0074197B"/>
    <w:rsid w:val="007450AB"/>
    <w:rsid w:val="0074583F"/>
    <w:rsid w:val="007463D1"/>
    <w:rsid w:val="0075166E"/>
    <w:rsid w:val="00751B60"/>
    <w:rsid w:val="00752305"/>
    <w:rsid w:val="0075299E"/>
    <w:rsid w:val="007540C6"/>
    <w:rsid w:val="00754BD3"/>
    <w:rsid w:val="00755322"/>
    <w:rsid w:val="007558BE"/>
    <w:rsid w:val="007578B7"/>
    <w:rsid w:val="007578E0"/>
    <w:rsid w:val="007602F8"/>
    <w:rsid w:val="007614AC"/>
    <w:rsid w:val="00763144"/>
    <w:rsid w:val="00765F0B"/>
    <w:rsid w:val="007677C9"/>
    <w:rsid w:val="00767FFE"/>
    <w:rsid w:val="00770055"/>
    <w:rsid w:val="00772ED1"/>
    <w:rsid w:val="0077493E"/>
    <w:rsid w:val="00774BE8"/>
    <w:rsid w:val="00775B3C"/>
    <w:rsid w:val="00777726"/>
    <w:rsid w:val="00780452"/>
    <w:rsid w:val="00781EAB"/>
    <w:rsid w:val="00784758"/>
    <w:rsid w:val="00784F72"/>
    <w:rsid w:val="00785595"/>
    <w:rsid w:val="00785A0E"/>
    <w:rsid w:val="0078665D"/>
    <w:rsid w:val="007868A7"/>
    <w:rsid w:val="007874FB"/>
    <w:rsid w:val="00790118"/>
    <w:rsid w:val="00790F29"/>
    <w:rsid w:val="0079166F"/>
    <w:rsid w:val="00791BB1"/>
    <w:rsid w:val="007922A2"/>
    <w:rsid w:val="00792446"/>
    <w:rsid w:val="00792FEE"/>
    <w:rsid w:val="0079543F"/>
    <w:rsid w:val="00795AF5"/>
    <w:rsid w:val="00795FAF"/>
    <w:rsid w:val="00796E5F"/>
    <w:rsid w:val="007971C8"/>
    <w:rsid w:val="007973C9"/>
    <w:rsid w:val="007A2A51"/>
    <w:rsid w:val="007A3554"/>
    <w:rsid w:val="007A6CBF"/>
    <w:rsid w:val="007A7126"/>
    <w:rsid w:val="007A7A8F"/>
    <w:rsid w:val="007B0DD3"/>
    <w:rsid w:val="007B1107"/>
    <w:rsid w:val="007B142F"/>
    <w:rsid w:val="007B34CB"/>
    <w:rsid w:val="007B428A"/>
    <w:rsid w:val="007B460C"/>
    <w:rsid w:val="007B6FE6"/>
    <w:rsid w:val="007B7CEC"/>
    <w:rsid w:val="007C00E4"/>
    <w:rsid w:val="007C1092"/>
    <w:rsid w:val="007C28A0"/>
    <w:rsid w:val="007C2B3E"/>
    <w:rsid w:val="007C3824"/>
    <w:rsid w:val="007C4BAB"/>
    <w:rsid w:val="007C5E66"/>
    <w:rsid w:val="007C62DD"/>
    <w:rsid w:val="007C783D"/>
    <w:rsid w:val="007D09A8"/>
    <w:rsid w:val="007D0AA5"/>
    <w:rsid w:val="007D2662"/>
    <w:rsid w:val="007D2760"/>
    <w:rsid w:val="007D311B"/>
    <w:rsid w:val="007D3369"/>
    <w:rsid w:val="007D3AE8"/>
    <w:rsid w:val="007D3BC8"/>
    <w:rsid w:val="007D4F79"/>
    <w:rsid w:val="007D618A"/>
    <w:rsid w:val="007D7299"/>
    <w:rsid w:val="007E009F"/>
    <w:rsid w:val="007E1F81"/>
    <w:rsid w:val="007E4770"/>
    <w:rsid w:val="007E532D"/>
    <w:rsid w:val="007E6055"/>
    <w:rsid w:val="007F0EB8"/>
    <w:rsid w:val="007F1720"/>
    <w:rsid w:val="007F19B0"/>
    <w:rsid w:val="007F37D0"/>
    <w:rsid w:val="007F4059"/>
    <w:rsid w:val="007F5C58"/>
    <w:rsid w:val="007F6471"/>
    <w:rsid w:val="007F64AB"/>
    <w:rsid w:val="007F6B36"/>
    <w:rsid w:val="007F6BA7"/>
    <w:rsid w:val="007F7A61"/>
    <w:rsid w:val="007F7D27"/>
    <w:rsid w:val="00800689"/>
    <w:rsid w:val="00802FE5"/>
    <w:rsid w:val="00804934"/>
    <w:rsid w:val="00804ED9"/>
    <w:rsid w:val="00805052"/>
    <w:rsid w:val="00810D58"/>
    <w:rsid w:val="00813247"/>
    <w:rsid w:val="008138F1"/>
    <w:rsid w:val="00814864"/>
    <w:rsid w:val="00814E5E"/>
    <w:rsid w:val="008168BD"/>
    <w:rsid w:val="00821AEC"/>
    <w:rsid w:val="008223B2"/>
    <w:rsid w:val="00822EB9"/>
    <w:rsid w:val="008233B3"/>
    <w:rsid w:val="0082475E"/>
    <w:rsid w:val="00824DFB"/>
    <w:rsid w:val="00825F11"/>
    <w:rsid w:val="0082601F"/>
    <w:rsid w:val="00826B1B"/>
    <w:rsid w:val="00831CDE"/>
    <w:rsid w:val="00832C27"/>
    <w:rsid w:val="00833F53"/>
    <w:rsid w:val="00834330"/>
    <w:rsid w:val="0083518A"/>
    <w:rsid w:val="0083519F"/>
    <w:rsid w:val="00837691"/>
    <w:rsid w:val="00842D20"/>
    <w:rsid w:val="0084440D"/>
    <w:rsid w:val="008444BF"/>
    <w:rsid w:val="00844BCC"/>
    <w:rsid w:val="00844D63"/>
    <w:rsid w:val="00845D97"/>
    <w:rsid w:val="00846061"/>
    <w:rsid w:val="0084663C"/>
    <w:rsid w:val="00846681"/>
    <w:rsid w:val="00850B16"/>
    <w:rsid w:val="00851615"/>
    <w:rsid w:val="00852138"/>
    <w:rsid w:val="00852A3F"/>
    <w:rsid w:val="00853BF2"/>
    <w:rsid w:val="00854B97"/>
    <w:rsid w:val="00856972"/>
    <w:rsid w:val="00857D09"/>
    <w:rsid w:val="00861583"/>
    <w:rsid w:val="00861E9B"/>
    <w:rsid w:val="00862546"/>
    <w:rsid w:val="0086431F"/>
    <w:rsid w:val="008644A1"/>
    <w:rsid w:val="00866165"/>
    <w:rsid w:val="00866B64"/>
    <w:rsid w:val="00866F34"/>
    <w:rsid w:val="008671CE"/>
    <w:rsid w:val="00867CDF"/>
    <w:rsid w:val="008709F3"/>
    <w:rsid w:val="00870EB7"/>
    <w:rsid w:val="00871674"/>
    <w:rsid w:val="0087224D"/>
    <w:rsid w:val="008723EE"/>
    <w:rsid w:val="00872A72"/>
    <w:rsid w:val="00874CCE"/>
    <w:rsid w:val="00880658"/>
    <w:rsid w:val="00882960"/>
    <w:rsid w:val="00883554"/>
    <w:rsid w:val="008835FF"/>
    <w:rsid w:val="008851BA"/>
    <w:rsid w:val="00890117"/>
    <w:rsid w:val="00891352"/>
    <w:rsid w:val="00894CFF"/>
    <w:rsid w:val="008952F1"/>
    <w:rsid w:val="00895524"/>
    <w:rsid w:val="00896B58"/>
    <w:rsid w:val="00897A4B"/>
    <w:rsid w:val="008A2497"/>
    <w:rsid w:val="008A24B5"/>
    <w:rsid w:val="008A2D4C"/>
    <w:rsid w:val="008A43E9"/>
    <w:rsid w:val="008A54CF"/>
    <w:rsid w:val="008A7604"/>
    <w:rsid w:val="008B1384"/>
    <w:rsid w:val="008B2AB7"/>
    <w:rsid w:val="008B3F8A"/>
    <w:rsid w:val="008B4C05"/>
    <w:rsid w:val="008B54D2"/>
    <w:rsid w:val="008B5FE0"/>
    <w:rsid w:val="008B638C"/>
    <w:rsid w:val="008B7694"/>
    <w:rsid w:val="008B78DB"/>
    <w:rsid w:val="008C0362"/>
    <w:rsid w:val="008C03E8"/>
    <w:rsid w:val="008C0483"/>
    <w:rsid w:val="008C0B1B"/>
    <w:rsid w:val="008C11ED"/>
    <w:rsid w:val="008C12F8"/>
    <w:rsid w:val="008C15B6"/>
    <w:rsid w:val="008C2C70"/>
    <w:rsid w:val="008C35A6"/>
    <w:rsid w:val="008C3C83"/>
    <w:rsid w:val="008C408B"/>
    <w:rsid w:val="008C6531"/>
    <w:rsid w:val="008C6A3A"/>
    <w:rsid w:val="008C7684"/>
    <w:rsid w:val="008D091E"/>
    <w:rsid w:val="008D0D48"/>
    <w:rsid w:val="008D1CBA"/>
    <w:rsid w:val="008D4359"/>
    <w:rsid w:val="008D56AC"/>
    <w:rsid w:val="008D7519"/>
    <w:rsid w:val="008D7C17"/>
    <w:rsid w:val="008E0E90"/>
    <w:rsid w:val="008E15C9"/>
    <w:rsid w:val="008E2457"/>
    <w:rsid w:val="008E2529"/>
    <w:rsid w:val="008E2B04"/>
    <w:rsid w:val="008E2F38"/>
    <w:rsid w:val="008E3612"/>
    <w:rsid w:val="008E3822"/>
    <w:rsid w:val="008E3DAA"/>
    <w:rsid w:val="008E4E54"/>
    <w:rsid w:val="008E51F6"/>
    <w:rsid w:val="008E6AE2"/>
    <w:rsid w:val="008E7532"/>
    <w:rsid w:val="008E7901"/>
    <w:rsid w:val="008F1A1D"/>
    <w:rsid w:val="008F1F67"/>
    <w:rsid w:val="008F21C9"/>
    <w:rsid w:val="008F2775"/>
    <w:rsid w:val="008F323B"/>
    <w:rsid w:val="008F4C91"/>
    <w:rsid w:val="008F54D3"/>
    <w:rsid w:val="008F6138"/>
    <w:rsid w:val="008F72FF"/>
    <w:rsid w:val="008F7B7D"/>
    <w:rsid w:val="009005F8"/>
    <w:rsid w:val="00901034"/>
    <w:rsid w:val="00901BDF"/>
    <w:rsid w:val="009020DF"/>
    <w:rsid w:val="00903967"/>
    <w:rsid w:val="00904979"/>
    <w:rsid w:val="0090544E"/>
    <w:rsid w:val="0090599A"/>
    <w:rsid w:val="00906A08"/>
    <w:rsid w:val="00906D06"/>
    <w:rsid w:val="00910B17"/>
    <w:rsid w:val="00910F51"/>
    <w:rsid w:val="0091149C"/>
    <w:rsid w:val="00916579"/>
    <w:rsid w:val="0091796D"/>
    <w:rsid w:val="00920C1C"/>
    <w:rsid w:val="00922201"/>
    <w:rsid w:val="009239C5"/>
    <w:rsid w:val="00924827"/>
    <w:rsid w:val="00925D44"/>
    <w:rsid w:val="00925D86"/>
    <w:rsid w:val="00930093"/>
    <w:rsid w:val="009319FE"/>
    <w:rsid w:val="00931C87"/>
    <w:rsid w:val="00932D79"/>
    <w:rsid w:val="009331B2"/>
    <w:rsid w:val="009343CB"/>
    <w:rsid w:val="00935420"/>
    <w:rsid w:val="00935917"/>
    <w:rsid w:val="0093664A"/>
    <w:rsid w:val="0093682D"/>
    <w:rsid w:val="00936DF7"/>
    <w:rsid w:val="0093793B"/>
    <w:rsid w:val="00940A7A"/>
    <w:rsid w:val="00940DB1"/>
    <w:rsid w:val="009447E0"/>
    <w:rsid w:val="0094498B"/>
    <w:rsid w:val="00945DBA"/>
    <w:rsid w:val="00950592"/>
    <w:rsid w:val="009505E6"/>
    <w:rsid w:val="00950B5D"/>
    <w:rsid w:val="00950BDD"/>
    <w:rsid w:val="00951ABC"/>
    <w:rsid w:val="009527A4"/>
    <w:rsid w:val="00952929"/>
    <w:rsid w:val="00952D6C"/>
    <w:rsid w:val="00954835"/>
    <w:rsid w:val="009568BA"/>
    <w:rsid w:val="009600C7"/>
    <w:rsid w:val="00960E83"/>
    <w:rsid w:val="00961EB5"/>
    <w:rsid w:val="00961EFA"/>
    <w:rsid w:val="0096236C"/>
    <w:rsid w:val="00962CD3"/>
    <w:rsid w:val="009632B7"/>
    <w:rsid w:val="0096342B"/>
    <w:rsid w:val="009644A3"/>
    <w:rsid w:val="00964742"/>
    <w:rsid w:val="00965A2C"/>
    <w:rsid w:val="00966618"/>
    <w:rsid w:val="009667E0"/>
    <w:rsid w:val="009667E4"/>
    <w:rsid w:val="00966807"/>
    <w:rsid w:val="00970E19"/>
    <w:rsid w:val="009714F4"/>
    <w:rsid w:val="0097195C"/>
    <w:rsid w:val="009724C2"/>
    <w:rsid w:val="0097295B"/>
    <w:rsid w:val="00972C75"/>
    <w:rsid w:val="00973AFC"/>
    <w:rsid w:val="009743E8"/>
    <w:rsid w:val="009754ED"/>
    <w:rsid w:val="009760C6"/>
    <w:rsid w:val="009767D0"/>
    <w:rsid w:val="009826CD"/>
    <w:rsid w:val="00983094"/>
    <w:rsid w:val="0098359D"/>
    <w:rsid w:val="00984119"/>
    <w:rsid w:val="0098521E"/>
    <w:rsid w:val="00987A18"/>
    <w:rsid w:val="009907D6"/>
    <w:rsid w:val="00990BBF"/>
    <w:rsid w:val="009934E2"/>
    <w:rsid w:val="00993715"/>
    <w:rsid w:val="00995502"/>
    <w:rsid w:val="00995D3E"/>
    <w:rsid w:val="009963EF"/>
    <w:rsid w:val="00996553"/>
    <w:rsid w:val="0099684F"/>
    <w:rsid w:val="00996F18"/>
    <w:rsid w:val="009979F0"/>
    <w:rsid w:val="00997C0D"/>
    <w:rsid w:val="009A070A"/>
    <w:rsid w:val="009A109D"/>
    <w:rsid w:val="009A14D3"/>
    <w:rsid w:val="009A31E8"/>
    <w:rsid w:val="009A35A1"/>
    <w:rsid w:val="009A4826"/>
    <w:rsid w:val="009A4977"/>
    <w:rsid w:val="009A678A"/>
    <w:rsid w:val="009A6815"/>
    <w:rsid w:val="009B06D3"/>
    <w:rsid w:val="009B1EAD"/>
    <w:rsid w:val="009B336A"/>
    <w:rsid w:val="009B4533"/>
    <w:rsid w:val="009B4859"/>
    <w:rsid w:val="009B4AD3"/>
    <w:rsid w:val="009B63C2"/>
    <w:rsid w:val="009B6671"/>
    <w:rsid w:val="009C309C"/>
    <w:rsid w:val="009C3249"/>
    <w:rsid w:val="009C3CB0"/>
    <w:rsid w:val="009C48A7"/>
    <w:rsid w:val="009C5EC8"/>
    <w:rsid w:val="009C6A29"/>
    <w:rsid w:val="009C7B46"/>
    <w:rsid w:val="009C7E27"/>
    <w:rsid w:val="009D05CC"/>
    <w:rsid w:val="009D1A62"/>
    <w:rsid w:val="009D1D8D"/>
    <w:rsid w:val="009D2D4D"/>
    <w:rsid w:val="009D356E"/>
    <w:rsid w:val="009D56D9"/>
    <w:rsid w:val="009E0BAB"/>
    <w:rsid w:val="009E1D3D"/>
    <w:rsid w:val="009E30FD"/>
    <w:rsid w:val="009E39B6"/>
    <w:rsid w:val="009E4CA1"/>
    <w:rsid w:val="009E5A66"/>
    <w:rsid w:val="009E75F1"/>
    <w:rsid w:val="009E7655"/>
    <w:rsid w:val="009F06E2"/>
    <w:rsid w:val="009F1548"/>
    <w:rsid w:val="009F1DC6"/>
    <w:rsid w:val="009F27F1"/>
    <w:rsid w:val="009F44D9"/>
    <w:rsid w:val="009F5D07"/>
    <w:rsid w:val="009F6670"/>
    <w:rsid w:val="009F709C"/>
    <w:rsid w:val="009F74B6"/>
    <w:rsid w:val="00A02231"/>
    <w:rsid w:val="00A02C63"/>
    <w:rsid w:val="00A02E44"/>
    <w:rsid w:val="00A03F1C"/>
    <w:rsid w:val="00A03F1F"/>
    <w:rsid w:val="00A05CAC"/>
    <w:rsid w:val="00A05EC7"/>
    <w:rsid w:val="00A069A8"/>
    <w:rsid w:val="00A06DF3"/>
    <w:rsid w:val="00A137FC"/>
    <w:rsid w:val="00A144A1"/>
    <w:rsid w:val="00A16592"/>
    <w:rsid w:val="00A16D4B"/>
    <w:rsid w:val="00A1717C"/>
    <w:rsid w:val="00A2230E"/>
    <w:rsid w:val="00A22E73"/>
    <w:rsid w:val="00A23AF6"/>
    <w:rsid w:val="00A26844"/>
    <w:rsid w:val="00A269F9"/>
    <w:rsid w:val="00A27E4E"/>
    <w:rsid w:val="00A30993"/>
    <w:rsid w:val="00A30C03"/>
    <w:rsid w:val="00A32838"/>
    <w:rsid w:val="00A34186"/>
    <w:rsid w:val="00A37DB8"/>
    <w:rsid w:val="00A40F3C"/>
    <w:rsid w:val="00A413C1"/>
    <w:rsid w:val="00A41867"/>
    <w:rsid w:val="00A434AB"/>
    <w:rsid w:val="00A45D90"/>
    <w:rsid w:val="00A4622E"/>
    <w:rsid w:val="00A514E1"/>
    <w:rsid w:val="00A51672"/>
    <w:rsid w:val="00A528B4"/>
    <w:rsid w:val="00A53D3E"/>
    <w:rsid w:val="00A550F1"/>
    <w:rsid w:val="00A55D13"/>
    <w:rsid w:val="00A5771F"/>
    <w:rsid w:val="00A600CB"/>
    <w:rsid w:val="00A60227"/>
    <w:rsid w:val="00A604D0"/>
    <w:rsid w:val="00A60D5D"/>
    <w:rsid w:val="00A62301"/>
    <w:rsid w:val="00A6243E"/>
    <w:rsid w:val="00A62A1E"/>
    <w:rsid w:val="00A63F46"/>
    <w:rsid w:val="00A707D1"/>
    <w:rsid w:val="00A713C7"/>
    <w:rsid w:val="00A71A8B"/>
    <w:rsid w:val="00A732F3"/>
    <w:rsid w:val="00A7417C"/>
    <w:rsid w:val="00A74515"/>
    <w:rsid w:val="00A7637E"/>
    <w:rsid w:val="00A7711B"/>
    <w:rsid w:val="00A773FC"/>
    <w:rsid w:val="00A777B5"/>
    <w:rsid w:val="00A817B7"/>
    <w:rsid w:val="00A82991"/>
    <w:rsid w:val="00A82A6D"/>
    <w:rsid w:val="00A833F3"/>
    <w:rsid w:val="00A83E68"/>
    <w:rsid w:val="00A861BD"/>
    <w:rsid w:val="00A862D0"/>
    <w:rsid w:val="00A86A4F"/>
    <w:rsid w:val="00A86C89"/>
    <w:rsid w:val="00A91D61"/>
    <w:rsid w:val="00A91F63"/>
    <w:rsid w:val="00A9223F"/>
    <w:rsid w:val="00A9445F"/>
    <w:rsid w:val="00A9470C"/>
    <w:rsid w:val="00A95D2B"/>
    <w:rsid w:val="00A95F54"/>
    <w:rsid w:val="00A9667F"/>
    <w:rsid w:val="00A970D4"/>
    <w:rsid w:val="00AA0030"/>
    <w:rsid w:val="00AA0C80"/>
    <w:rsid w:val="00AA22F5"/>
    <w:rsid w:val="00AA2BFF"/>
    <w:rsid w:val="00AA2CD0"/>
    <w:rsid w:val="00AA57A8"/>
    <w:rsid w:val="00AA58EE"/>
    <w:rsid w:val="00AA6DA1"/>
    <w:rsid w:val="00AB065C"/>
    <w:rsid w:val="00AB0F74"/>
    <w:rsid w:val="00AB26AF"/>
    <w:rsid w:val="00AB2D3A"/>
    <w:rsid w:val="00AB4A59"/>
    <w:rsid w:val="00AB5BCC"/>
    <w:rsid w:val="00AB65ED"/>
    <w:rsid w:val="00AC0426"/>
    <w:rsid w:val="00AC1208"/>
    <w:rsid w:val="00AC16DE"/>
    <w:rsid w:val="00AC179F"/>
    <w:rsid w:val="00AC2D6E"/>
    <w:rsid w:val="00AC3467"/>
    <w:rsid w:val="00AC3EB5"/>
    <w:rsid w:val="00AC3F30"/>
    <w:rsid w:val="00AC42ED"/>
    <w:rsid w:val="00AC617D"/>
    <w:rsid w:val="00AC6397"/>
    <w:rsid w:val="00AC639D"/>
    <w:rsid w:val="00AC76B7"/>
    <w:rsid w:val="00AD038B"/>
    <w:rsid w:val="00AD242B"/>
    <w:rsid w:val="00AD3AD3"/>
    <w:rsid w:val="00AD4D1D"/>
    <w:rsid w:val="00AD4D7F"/>
    <w:rsid w:val="00AD54EB"/>
    <w:rsid w:val="00AD630B"/>
    <w:rsid w:val="00AD6344"/>
    <w:rsid w:val="00AD68F5"/>
    <w:rsid w:val="00AD7EB8"/>
    <w:rsid w:val="00AE1DBE"/>
    <w:rsid w:val="00AE1E70"/>
    <w:rsid w:val="00AE261F"/>
    <w:rsid w:val="00AE30FC"/>
    <w:rsid w:val="00AE4C59"/>
    <w:rsid w:val="00AE524C"/>
    <w:rsid w:val="00AE5CCA"/>
    <w:rsid w:val="00AE5F04"/>
    <w:rsid w:val="00AF183C"/>
    <w:rsid w:val="00AF19DC"/>
    <w:rsid w:val="00AF2556"/>
    <w:rsid w:val="00AF2721"/>
    <w:rsid w:val="00AF2A9A"/>
    <w:rsid w:val="00AF33FE"/>
    <w:rsid w:val="00AF6A4E"/>
    <w:rsid w:val="00AF71B6"/>
    <w:rsid w:val="00B00569"/>
    <w:rsid w:val="00B01019"/>
    <w:rsid w:val="00B01341"/>
    <w:rsid w:val="00B024EC"/>
    <w:rsid w:val="00B02BD6"/>
    <w:rsid w:val="00B03403"/>
    <w:rsid w:val="00B0484E"/>
    <w:rsid w:val="00B04D6B"/>
    <w:rsid w:val="00B055F0"/>
    <w:rsid w:val="00B057B8"/>
    <w:rsid w:val="00B05FE0"/>
    <w:rsid w:val="00B11AC6"/>
    <w:rsid w:val="00B120AD"/>
    <w:rsid w:val="00B133AE"/>
    <w:rsid w:val="00B14E73"/>
    <w:rsid w:val="00B16760"/>
    <w:rsid w:val="00B208AD"/>
    <w:rsid w:val="00B213DB"/>
    <w:rsid w:val="00B229D9"/>
    <w:rsid w:val="00B2776B"/>
    <w:rsid w:val="00B30BA2"/>
    <w:rsid w:val="00B30E48"/>
    <w:rsid w:val="00B31C6D"/>
    <w:rsid w:val="00B329B4"/>
    <w:rsid w:val="00B329DC"/>
    <w:rsid w:val="00B32BD2"/>
    <w:rsid w:val="00B3456A"/>
    <w:rsid w:val="00B34CF0"/>
    <w:rsid w:val="00B34FFE"/>
    <w:rsid w:val="00B368A4"/>
    <w:rsid w:val="00B4104C"/>
    <w:rsid w:val="00B415EE"/>
    <w:rsid w:val="00B43072"/>
    <w:rsid w:val="00B43938"/>
    <w:rsid w:val="00B47121"/>
    <w:rsid w:val="00B47DEE"/>
    <w:rsid w:val="00B50387"/>
    <w:rsid w:val="00B505DC"/>
    <w:rsid w:val="00B51BAC"/>
    <w:rsid w:val="00B53501"/>
    <w:rsid w:val="00B53F38"/>
    <w:rsid w:val="00B56A75"/>
    <w:rsid w:val="00B56A98"/>
    <w:rsid w:val="00B60146"/>
    <w:rsid w:val="00B60A61"/>
    <w:rsid w:val="00B60E2F"/>
    <w:rsid w:val="00B613D6"/>
    <w:rsid w:val="00B614BC"/>
    <w:rsid w:val="00B61884"/>
    <w:rsid w:val="00B61B22"/>
    <w:rsid w:val="00B61EC2"/>
    <w:rsid w:val="00B620BC"/>
    <w:rsid w:val="00B63361"/>
    <w:rsid w:val="00B63B7F"/>
    <w:rsid w:val="00B6476D"/>
    <w:rsid w:val="00B65BAF"/>
    <w:rsid w:val="00B71C7C"/>
    <w:rsid w:val="00B72E0F"/>
    <w:rsid w:val="00B746EA"/>
    <w:rsid w:val="00B75558"/>
    <w:rsid w:val="00B76B94"/>
    <w:rsid w:val="00B80054"/>
    <w:rsid w:val="00B80933"/>
    <w:rsid w:val="00B80A0E"/>
    <w:rsid w:val="00B822CB"/>
    <w:rsid w:val="00B82B7F"/>
    <w:rsid w:val="00B82BE2"/>
    <w:rsid w:val="00B83128"/>
    <w:rsid w:val="00B84A91"/>
    <w:rsid w:val="00B860B0"/>
    <w:rsid w:val="00B877E2"/>
    <w:rsid w:val="00B9444F"/>
    <w:rsid w:val="00B94DC2"/>
    <w:rsid w:val="00B95022"/>
    <w:rsid w:val="00B9540B"/>
    <w:rsid w:val="00B9602C"/>
    <w:rsid w:val="00B96312"/>
    <w:rsid w:val="00B96BFF"/>
    <w:rsid w:val="00B97425"/>
    <w:rsid w:val="00BA0C93"/>
    <w:rsid w:val="00BA1E08"/>
    <w:rsid w:val="00BA2FB9"/>
    <w:rsid w:val="00BA2FCB"/>
    <w:rsid w:val="00BA4274"/>
    <w:rsid w:val="00BA4C6D"/>
    <w:rsid w:val="00BA4FCA"/>
    <w:rsid w:val="00BA56C2"/>
    <w:rsid w:val="00BA5B18"/>
    <w:rsid w:val="00BA63E5"/>
    <w:rsid w:val="00BA653D"/>
    <w:rsid w:val="00BA66A7"/>
    <w:rsid w:val="00BA673B"/>
    <w:rsid w:val="00BA7876"/>
    <w:rsid w:val="00BA7EE8"/>
    <w:rsid w:val="00BB1420"/>
    <w:rsid w:val="00BB211E"/>
    <w:rsid w:val="00BB2A96"/>
    <w:rsid w:val="00BB2F87"/>
    <w:rsid w:val="00BB3423"/>
    <w:rsid w:val="00BB441D"/>
    <w:rsid w:val="00BB5575"/>
    <w:rsid w:val="00BB69FE"/>
    <w:rsid w:val="00BB73AD"/>
    <w:rsid w:val="00BC3343"/>
    <w:rsid w:val="00BC3437"/>
    <w:rsid w:val="00BC3AD4"/>
    <w:rsid w:val="00BC4E9A"/>
    <w:rsid w:val="00BC6518"/>
    <w:rsid w:val="00BC7280"/>
    <w:rsid w:val="00BD019B"/>
    <w:rsid w:val="00BD02B5"/>
    <w:rsid w:val="00BD1D42"/>
    <w:rsid w:val="00BD49B8"/>
    <w:rsid w:val="00BD67B5"/>
    <w:rsid w:val="00BD6BB5"/>
    <w:rsid w:val="00BD6F05"/>
    <w:rsid w:val="00BE10E2"/>
    <w:rsid w:val="00BE275E"/>
    <w:rsid w:val="00BE466C"/>
    <w:rsid w:val="00BE607F"/>
    <w:rsid w:val="00BE70BF"/>
    <w:rsid w:val="00BF1EB3"/>
    <w:rsid w:val="00BF5DE7"/>
    <w:rsid w:val="00BF6186"/>
    <w:rsid w:val="00BF7FA1"/>
    <w:rsid w:val="00C00BDF"/>
    <w:rsid w:val="00C02C52"/>
    <w:rsid w:val="00C03795"/>
    <w:rsid w:val="00C04E18"/>
    <w:rsid w:val="00C04EC0"/>
    <w:rsid w:val="00C04EF6"/>
    <w:rsid w:val="00C05BCE"/>
    <w:rsid w:val="00C12438"/>
    <w:rsid w:val="00C12F69"/>
    <w:rsid w:val="00C13718"/>
    <w:rsid w:val="00C13D17"/>
    <w:rsid w:val="00C14A83"/>
    <w:rsid w:val="00C1589B"/>
    <w:rsid w:val="00C1723E"/>
    <w:rsid w:val="00C1736B"/>
    <w:rsid w:val="00C2033A"/>
    <w:rsid w:val="00C203C7"/>
    <w:rsid w:val="00C20F88"/>
    <w:rsid w:val="00C23DA8"/>
    <w:rsid w:val="00C24E0D"/>
    <w:rsid w:val="00C25096"/>
    <w:rsid w:val="00C25B65"/>
    <w:rsid w:val="00C260C8"/>
    <w:rsid w:val="00C269A1"/>
    <w:rsid w:val="00C26AD9"/>
    <w:rsid w:val="00C31334"/>
    <w:rsid w:val="00C321C8"/>
    <w:rsid w:val="00C3224D"/>
    <w:rsid w:val="00C3314F"/>
    <w:rsid w:val="00C33BA8"/>
    <w:rsid w:val="00C33C86"/>
    <w:rsid w:val="00C36237"/>
    <w:rsid w:val="00C37E12"/>
    <w:rsid w:val="00C41B45"/>
    <w:rsid w:val="00C43714"/>
    <w:rsid w:val="00C5320D"/>
    <w:rsid w:val="00C54B63"/>
    <w:rsid w:val="00C5590D"/>
    <w:rsid w:val="00C55DB0"/>
    <w:rsid w:val="00C5620C"/>
    <w:rsid w:val="00C57B3B"/>
    <w:rsid w:val="00C60C6D"/>
    <w:rsid w:val="00C616A4"/>
    <w:rsid w:val="00C62B7C"/>
    <w:rsid w:val="00C6318A"/>
    <w:rsid w:val="00C64224"/>
    <w:rsid w:val="00C64B4A"/>
    <w:rsid w:val="00C655D2"/>
    <w:rsid w:val="00C66293"/>
    <w:rsid w:val="00C67588"/>
    <w:rsid w:val="00C71595"/>
    <w:rsid w:val="00C75558"/>
    <w:rsid w:val="00C75A8D"/>
    <w:rsid w:val="00C75F08"/>
    <w:rsid w:val="00C775B5"/>
    <w:rsid w:val="00C77F03"/>
    <w:rsid w:val="00C80215"/>
    <w:rsid w:val="00C80FA8"/>
    <w:rsid w:val="00C819AA"/>
    <w:rsid w:val="00C8306C"/>
    <w:rsid w:val="00C83C05"/>
    <w:rsid w:val="00C85103"/>
    <w:rsid w:val="00C86D56"/>
    <w:rsid w:val="00C900FC"/>
    <w:rsid w:val="00C901C1"/>
    <w:rsid w:val="00C91D93"/>
    <w:rsid w:val="00C9244E"/>
    <w:rsid w:val="00C93652"/>
    <w:rsid w:val="00C94855"/>
    <w:rsid w:val="00C94B73"/>
    <w:rsid w:val="00C94C46"/>
    <w:rsid w:val="00C94DAB"/>
    <w:rsid w:val="00C94FE5"/>
    <w:rsid w:val="00C95B25"/>
    <w:rsid w:val="00C962A5"/>
    <w:rsid w:val="00C9648F"/>
    <w:rsid w:val="00C9724E"/>
    <w:rsid w:val="00CA0FFE"/>
    <w:rsid w:val="00CA10BC"/>
    <w:rsid w:val="00CA364D"/>
    <w:rsid w:val="00CA48F5"/>
    <w:rsid w:val="00CA5138"/>
    <w:rsid w:val="00CA52BE"/>
    <w:rsid w:val="00CA715D"/>
    <w:rsid w:val="00CB07D4"/>
    <w:rsid w:val="00CB1A6D"/>
    <w:rsid w:val="00CB4D66"/>
    <w:rsid w:val="00CB57EA"/>
    <w:rsid w:val="00CB653F"/>
    <w:rsid w:val="00CB69C8"/>
    <w:rsid w:val="00CB7686"/>
    <w:rsid w:val="00CC0562"/>
    <w:rsid w:val="00CC102C"/>
    <w:rsid w:val="00CC149E"/>
    <w:rsid w:val="00CC26C8"/>
    <w:rsid w:val="00CC2CC3"/>
    <w:rsid w:val="00CC350A"/>
    <w:rsid w:val="00CC422A"/>
    <w:rsid w:val="00CC5FD4"/>
    <w:rsid w:val="00CC6648"/>
    <w:rsid w:val="00CC7EE6"/>
    <w:rsid w:val="00CD04A7"/>
    <w:rsid w:val="00CD099C"/>
    <w:rsid w:val="00CD0C35"/>
    <w:rsid w:val="00CD15C2"/>
    <w:rsid w:val="00CD1620"/>
    <w:rsid w:val="00CD2F36"/>
    <w:rsid w:val="00CD4EA1"/>
    <w:rsid w:val="00CD5C88"/>
    <w:rsid w:val="00CD604B"/>
    <w:rsid w:val="00CD6B1E"/>
    <w:rsid w:val="00CD6C9A"/>
    <w:rsid w:val="00CD6E8D"/>
    <w:rsid w:val="00CD78A5"/>
    <w:rsid w:val="00CE17DD"/>
    <w:rsid w:val="00CE1857"/>
    <w:rsid w:val="00CE23CD"/>
    <w:rsid w:val="00CE2A3E"/>
    <w:rsid w:val="00CE5C0B"/>
    <w:rsid w:val="00CE6850"/>
    <w:rsid w:val="00CE7E90"/>
    <w:rsid w:val="00CE7FF9"/>
    <w:rsid w:val="00CF055A"/>
    <w:rsid w:val="00CF1FC0"/>
    <w:rsid w:val="00CF2D65"/>
    <w:rsid w:val="00CF3291"/>
    <w:rsid w:val="00CF3919"/>
    <w:rsid w:val="00CF3998"/>
    <w:rsid w:val="00CF5619"/>
    <w:rsid w:val="00CF5B21"/>
    <w:rsid w:val="00CF6E22"/>
    <w:rsid w:val="00D00221"/>
    <w:rsid w:val="00D004F1"/>
    <w:rsid w:val="00D01EDD"/>
    <w:rsid w:val="00D01FC4"/>
    <w:rsid w:val="00D021E8"/>
    <w:rsid w:val="00D0281C"/>
    <w:rsid w:val="00D03A50"/>
    <w:rsid w:val="00D04201"/>
    <w:rsid w:val="00D04440"/>
    <w:rsid w:val="00D04BA9"/>
    <w:rsid w:val="00D07198"/>
    <w:rsid w:val="00D116F1"/>
    <w:rsid w:val="00D1246D"/>
    <w:rsid w:val="00D14052"/>
    <w:rsid w:val="00D14324"/>
    <w:rsid w:val="00D145AF"/>
    <w:rsid w:val="00D15329"/>
    <w:rsid w:val="00D1549D"/>
    <w:rsid w:val="00D15842"/>
    <w:rsid w:val="00D15D2D"/>
    <w:rsid w:val="00D1777A"/>
    <w:rsid w:val="00D20344"/>
    <w:rsid w:val="00D2049B"/>
    <w:rsid w:val="00D21138"/>
    <w:rsid w:val="00D248C8"/>
    <w:rsid w:val="00D2560F"/>
    <w:rsid w:val="00D26533"/>
    <w:rsid w:val="00D270C9"/>
    <w:rsid w:val="00D303A3"/>
    <w:rsid w:val="00D3047E"/>
    <w:rsid w:val="00D30B3E"/>
    <w:rsid w:val="00D3155C"/>
    <w:rsid w:val="00D315A2"/>
    <w:rsid w:val="00D31CE1"/>
    <w:rsid w:val="00D31EB3"/>
    <w:rsid w:val="00D34C6E"/>
    <w:rsid w:val="00D359C3"/>
    <w:rsid w:val="00D3700C"/>
    <w:rsid w:val="00D414BB"/>
    <w:rsid w:val="00D429EE"/>
    <w:rsid w:val="00D43255"/>
    <w:rsid w:val="00D4328C"/>
    <w:rsid w:val="00D43721"/>
    <w:rsid w:val="00D4459A"/>
    <w:rsid w:val="00D50F64"/>
    <w:rsid w:val="00D52A43"/>
    <w:rsid w:val="00D53CBC"/>
    <w:rsid w:val="00D5566E"/>
    <w:rsid w:val="00D56804"/>
    <w:rsid w:val="00D56E27"/>
    <w:rsid w:val="00D5775E"/>
    <w:rsid w:val="00D6095A"/>
    <w:rsid w:val="00D60E2F"/>
    <w:rsid w:val="00D63957"/>
    <w:rsid w:val="00D64227"/>
    <w:rsid w:val="00D65B7C"/>
    <w:rsid w:val="00D6608C"/>
    <w:rsid w:val="00D70726"/>
    <w:rsid w:val="00D713DA"/>
    <w:rsid w:val="00D7178E"/>
    <w:rsid w:val="00D7518E"/>
    <w:rsid w:val="00D7566D"/>
    <w:rsid w:val="00D75E32"/>
    <w:rsid w:val="00D760C8"/>
    <w:rsid w:val="00D77323"/>
    <w:rsid w:val="00D77801"/>
    <w:rsid w:val="00D80028"/>
    <w:rsid w:val="00D8423E"/>
    <w:rsid w:val="00D844E6"/>
    <w:rsid w:val="00D8506B"/>
    <w:rsid w:val="00D8634A"/>
    <w:rsid w:val="00D86962"/>
    <w:rsid w:val="00D8734D"/>
    <w:rsid w:val="00D87A8C"/>
    <w:rsid w:val="00D904DD"/>
    <w:rsid w:val="00D90BFB"/>
    <w:rsid w:val="00D91413"/>
    <w:rsid w:val="00D946A1"/>
    <w:rsid w:val="00D94DEB"/>
    <w:rsid w:val="00D9525C"/>
    <w:rsid w:val="00D96DA8"/>
    <w:rsid w:val="00DA03A4"/>
    <w:rsid w:val="00DA2D5A"/>
    <w:rsid w:val="00DA417D"/>
    <w:rsid w:val="00DA7577"/>
    <w:rsid w:val="00DA77A0"/>
    <w:rsid w:val="00DA7F62"/>
    <w:rsid w:val="00DB0275"/>
    <w:rsid w:val="00DB0314"/>
    <w:rsid w:val="00DB10DA"/>
    <w:rsid w:val="00DB3306"/>
    <w:rsid w:val="00DB79DF"/>
    <w:rsid w:val="00DC0708"/>
    <w:rsid w:val="00DC0BA5"/>
    <w:rsid w:val="00DC1BD8"/>
    <w:rsid w:val="00DC2007"/>
    <w:rsid w:val="00DC3EBC"/>
    <w:rsid w:val="00DC728E"/>
    <w:rsid w:val="00DD0699"/>
    <w:rsid w:val="00DD13C9"/>
    <w:rsid w:val="00DD1A73"/>
    <w:rsid w:val="00DD22DA"/>
    <w:rsid w:val="00DD2ECC"/>
    <w:rsid w:val="00DD372F"/>
    <w:rsid w:val="00DD44E9"/>
    <w:rsid w:val="00DD608D"/>
    <w:rsid w:val="00DD69BB"/>
    <w:rsid w:val="00DE13B0"/>
    <w:rsid w:val="00DE171E"/>
    <w:rsid w:val="00DE18DE"/>
    <w:rsid w:val="00DE29EE"/>
    <w:rsid w:val="00DE2F30"/>
    <w:rsid w:val="00DE3EED"/>
    <w:rsid w:val="00DE59E2"/>
    <w:rsid w:val="00DE7574"/>
    <w:rsid w:val="00DF0012"/>
    <w:rsid w:val="00DF19E2"/>
    <w:rsid w:val="00DF21E8"/>
    <w:rsid w:val="00DF4714"/>
    <w:rsid w:val="00DF49C8"/>
    <w:rsid w:val="00DF7001"/>
    <w:rsid w:val="00DF72A5"/>
    <w:rsid w:val="00DF79FF"/>
    <w:rsid w:val="00E02140"/>
    <w:rsid w:val="00E02DC0"/>
    <w:rsid w:val="00E0324E"/>
    <w:rsid w:val="00E037ED"/>
    <w:rsid w:val="00E0426F"/>
    <w:rsid w:val="00E04FFE"/>
    <w:rsid w:val="00E0638D"/>
    <w:rsid w:val="00E06F1C"/>
    <w:rsid w:val="00E07D1C"/>
    <w:rsid w:val="00E11528"/>
    <w:rsid w:val="00E13040"/>
    <w:rsid w:val="00E13388"/>
    <w:rsid w:val="00E13597"/>
    <w:rsid w:val="00E13A35"/>
    <w:rsid w:val="00E13B02"/>
    <w:rsid w:val="00E2109D"/>
    <w:rsid w:val="00E21791"/>
    <w:rsid w:val="00E22A51"/>
    <w:rsid w:val="00E22C55"/>
    <w:rsid w:val="00E22D27"/>
    <w:rsid w:val="00E26A20"/>
    <w:rsid w:val="00E276ED"/>
    <w:rsid w:val="00E302C9"/>
    <w:rsid w:val="00E32C5B"/>
    <w:rsid w:val="00E35029"/>
    <w:rsid w:val="00E40235"/>
    <w:rsid w:val="00E43EDC"/>
    <w:rsid w:val="00E43F7F"/>
    <w:rsid w:val="00E447CD"/>
    <w:rsid w:val="00E44B3A"/>
    <w:rsid w:val="00E453EE"/>
    <w:rsid w:val="00E45DE7"/>
    <w:rsid w:val="00E4690A"/>
    <w:rsid w:val="00E46A26"/>
    <w:rsid w:val="00E502D1"/>
    <w:rsid w:val="00E53F47"/>
    <w:rsid w:val="00E54226"/>
    <w:rsid w:val="00E5422C"/>
    <w:rsid w:val="00E542B0"/>
    <w:rsid w:val="00E54943"/>
    <w:rsid w:val="00E54FC2"/>
    <w:rsid w:val="00E5589E"/>
    <w:rsid w:val="00E5623D"/>
    <w:rsid w:val="00E56EE5"/>
    <w:rsid w:val="00E57C62"/>
    <w:rsid w:val="00E60A8D"/>
    <w:rsid w:val="00E60DBA"/>
    <w:rsid w:val="00E63592"/>
    <w:rsid w:val="00E650DB"/>
    <w:rsid w:val="00E6577D"/>
    <w:rsid w:val="00E67FB2"/>
    <w:rsid w:val="00E73247"/>
    <w:rsid w:val="00E757B2"/>
    <w:rsid w:val="00E76C10"/>
    <w:rsid w:val="00E77174"/>
    <w:rsid w:val="00E77A4F"/>
    <w:rsid w:val="00E77D91"/>
    <w:rsid w:val="00E80297"/>
    <w:rsid w:val="00E8139F"/>
    <w:rsid w:val="00E8180B"/>
    <w:rsid w:val="00E82677"/>
    <w:rsid w:val="00E83CC1"/>
    <w:rsid w:val="00E85176"/>
    <w:rsid w:val="00E851C5"/>
    <w:rsid w:val="00E85866"/>
    <w:rsid w:val="00E85BF5"/>
    <w:rsid w:val="00E86AF2"/>
    <w:rsid w:val="00E87F2F"/>
    <w:rsid w:val="00E91EE1"/>
    <w:rsid w:val="00E92976"/>
    <w:rsid w:val="00E9333F"/>
    <w:rsid w:val="00E934CD"/>
    <w:rsid w:val="00E959FF"/>
    <w:rsid w:val="00E95A93"/>
    <w:rsid w:val="00E967C6"/>
    <w:rsid w:val="00E973FE"/>
    <w:rsid w:val="00EA13A9"/>
    <w:rsid w:val="00EA2228"/>
    <w:rsid w:val="00EA2A7A"/>
    <w:rsid w:val="00EA33A9"/>
    <w:rsid w:val="00EA3498"/>
    <w:rsid w:val="00EA49FE"/>
    <w:rsid w:val="00EA60A4"/>
    <w:rsid w:val="00EA6B65"/>
    <w:rsid w:val="00EB0108"/>
    <w:rsid w:val="00EB17B2"/>
    <w:rsid w:val="00EB2E21"/>
    <w:rsid w:val="00EB3266"/>
    <w:rsid w:val="00EB62EB"/>
    <w:rsid w:val="00EC0D5D"/>
    <w:rsid w:val="00EC1AE8"/>
    <w:rsid w:val="00EC2A5E"/>
    <w:rsid w:val="00EC2EEE"/>
    <w:rsid w:val="00EC4085"/>
    <w:rsid w:val="00EC4620"/>
    <w:rsid w:val="00EC4C9F"/>
    <w:rsid w:val="00EC593A"/>
    <w:rsid w:val="00EC5ABF"/>
    <w:rsid w:val="00EC64D4"/>
    <w:rsid w:val="00EC74AC"/>
    <w:rsid w:val="00ED0DD5"/>
    <w:rsid w:val="00ED3A57"/>
    <w:rsid w:val="00ED6525"/>
    <w:rsid w:val="00ED7916"/>
    <w:rsid w:val="00EE12CC"/>
    <w:rsid w:val="00EE2D3E"/>
    <w:rsid w:val="00EE37A4"/>
    <w:rsid w:val="00EE4C91"/>
    <w:rsid w:val="00EE4E55"/>
    <w:rsid w:val="00EE52C6"/>
    <w:rsid w:val="00EE54AD"/>
    <w:rsid w:val="00EE558A"/>
    <w:rsid w:val="00EE55D0"/>
    <w:rsid w:val="00EE5A79"/>
    <w:rsid w:val="00EE6849"/>
    <w:rsid w:val="00EE7815"/>
    <w:rsid w:val="00EF0204"/>
    <w:rsid w:val="00EF0839"/>
    <w:rsid w:val="00EF0A1C"/>
    <w:rsid w:val="00EF0DD3"/>
    <w:rsid w:val="00EF20F7"/>
    <w:rsid w:val="00EF36CD"/>
    <w:rsid w:val="00EF36FC"/>
    <w:rsid w:val="00EF4D3A"/>
    <w:rsid w:val="00EF5803"/>
    <w:rsid w:val="00EF6499"/>
    <w:rsid w:val="00EF66F9"/>
    <w:rsid w:val="00F001C3"/>
    <w:rsid w:val="00F00339"/>
    <w:rsid w:val="00F00916"/>
    <w:rsid w:val="00F020FD"/>
    <w:rsid w:val="00F02BC1"/>
    <w:rsid w:val="00F04468"/>
    <w:rsid w:val="00F04D9C"/>
    <w:rsid w:val="00F051ED"/>
    <w:rsid w:val="00F051F9"/>
    <w:rsid w:val="00F07A48"/>
    <w:rsid w:val="00F07CD2"/>
    <w:rsid w:val="00F07E67"/>
    <w:rsid w:val="00F10229"/>
    <w:rsid w:val="00F1024E"/>
    <w:rsid w:val="00F11565"/>
    <w:rsid w:val="00F13144"/>
    <w:rsid w:val="00F14408"/>
    <w:rsid w:val="00F14D19"/>
    <w:rsid w:val="00F15114"/>
    <w:rsid w:val="00F20CF6"/>
    <w:rsid w:val="00F20EE1"/>
    <w:rsid w:val="00F212CC"/>
    <w:rsid w:val="00F21533"/>
    <w:rsid w:val="00F23644"/>
    <w:rsid w:val="00F239AA"/>
    <w:rsid w:val="00F2490F"/>
    <w:rsid w:val="00F24991"/>
    <w:rsid w:val="00F2528E"/>
    <w:rsid w:val="00F25D1F"/>
    <w:rsid w:val="00F26365"/>
    <w:rsid w:val="00F26457"/>
    <w:rsid w:val="00F278B8"/>
    <w:rsid w:val="00F34F16"/>
    <w:rsid w:val="00F35E9A"/>
    <w:rsid w:val="00F368C6"/>
    <w:rsid w:val="00F400A0"/>
    <w:rsid w:val="00F40516"/>
    <w:rsid w:val="00F418EA"/>
    <w:rsid w:val="00F42418"/>
    <w:rsid w:val="00F42A66"/>
    <w:rsid w:val="00F43BEE"/>
    <w:rsid w:val="00F43FA7"/>
    <w:rsid w:val="00F467A3"/>
    <w:rsid w:val="00F46A27"/>
    <w:rsid w:val="00F51940"/>
    <w:rsid w:val="00F520EC"/>
    <w:rsid w:val="00F523D2"/>
    <w:rsid w:val="00F52B2D"/>
    <w:rsid w:val="00F559E7"/>
    <w:rsid w:val="00F571F3"/>
    <w:rsid w:val="00F5735D"/>
    <w:rsid w:val="00F619BF"/>
    <w:rsid w:val="00F62A40"/>
    <w:rsid w:val="00F630AD"/>
    <w:rsid w:val="00F630B5"/>
    <w:rsid w:val="00F6326A"/>
    <w:rsid w:val="00F645C9"/>
    <w:rsid w:val="00F64D92"/>
    <w:rsid w:val="00F654A0"/>
    <w:rsid w:val="00F66C56"/>
    <w:rsid w:val="00F708B2"/>
    <w:rsid w:val="00F73BE8"/>
    <w:rsid w:val="00F75625"/>
    <w:rsid w:val="00F777EB"/>
    <w:rsid w:val="00F811D5"/>
    <w:rsid w:val="00F81C17"/>
    <w:rsid w:val="00F83122"/>
    <w:rsid w:val="00F8351D"/>
    <w:rsid w:val="00F83D90"/>
    <w:rsid w:val="00F84351"/>
    <w:rsid w:val="00F852DB"/>
    <w:rsid w:val="00F86ECE"/>
    <w:rsid w:val="00F86FAA"/>
    <w:rsid w:val="00F87A3E"/>
    <w:rsid w:val="00F87F3B"/>
    <w:rsid w:val="00F9127D"/>
    <w:rsid w:val="00F919C2"/>
    <w:rsid w:val="00F91BE6"/>
    <w:rsid w:val="00F92EE9"/>
    <w:rsid w:val="00F95D88"/>
    <w:rsid w:val="00F96536"/>
    <w:rsid w:val="00F96FE9"/>
    <w:rsid w:val="00F973A6"/>
    <w:rsid w:val="00FA0B46"/>
    <w:rsid w:val="00FA0E6D"/>
    <w:rsid w:val="00FA0FFB"/>
    <w:rsid w:val="00FA1DEB"/>
    <w:rsid w:val="00FA2ABA"/>
    <w:rsid w:val="00FA6094"/>
    <w:rsid w:val="00FB26AA"/>
    <w:rsid w:val="00FB3071"/>
    <w:rsid w:val="00FB3E27"/>
    <w:rsid w:val="00FB3F18"/>
    <w:rsid w:val="00FB7223"/>
    <w:rsid w:val="00FB7F64"/>
    <w:rsid w:val="00FC0237"/>
    <w:rsid w:val="00FC0629"/>
    <w:rsid w:val="00FC1FF6"/>
    <w:rsid w:val="00FC23CC"/>
    <w:rsid w:val="00FC33ED"/>
    <w:rsid w:val="00FC56D5"/>
    <w:rsid w:val="00FC6076"/>
    <w:rsid w:val="00FC65F4"/>
    <w:rsid w:val="00FC68FC"/>
    <w:rsid w:val="00FC6E8F"/>
    <w:rsid w:val="00FC71E7"/>
    <w:rsid w:val="00FC7F2C"/>
    <w:rsid w:val="00FD0157"/>
    <w:rsid w:val="00FD01DC"/>
    <w:rsid w:val="00FD07E5"/>
    <w:rsid w:val="00FD0C32"/>
    <w:rsid w:val="00FD0DAB"/>
    <w:rsid w:val="00FD1180"/>
    <w:rsid w:val="00FD185B"/>
    <w:rsid w:val="00FD2BE6"/>
    <w:rsid w:val="00FD3AE1"/>
    <w:rsid w:val="00FD466E"/>
    <w:rsid w:val="00FD48DE"/>
    <w:rsid w:val="00FD52CD"/>
    <w:rsid w:val="00FD5E35"/>
    <w:rsid w:val="00FD5FC6"/>
    <w:rsid w:val="00FD62DE"/>
    <w:rsid w:val="00FD6717"/>
    <w:rsid w:val="00FD680D"/>
    <w:rsid w:val="00FD6B65"/>
    <w:rsid w:val="00FD7CA0"/>
    <w:rsid w:val="00FE0C2C"/>
    <w:rsid w:val="00FE0C6E"/>
    <w:rsid w:val="00FE1200"/>
    <w:rsid w:val="00FE6443"/>
    <w:rsid w:val="00FE761E"/>
    <w:rsid w:val="00FE7E9C"/>
    <w:rsid w:val="00FF07EC"/>
    <w:rsid w:val="00FF18EF"/>
    <w:rsid w:val="00FF19AA"/>
    <w:rsid w:val="00FF30A1"/>
    <w:rsid w:val="00FF39B7"/>
    <w:rsid w:val="00FF3B38"/>
    <w:rsid w:val="00FF4AF1"/>
    <w:rsid w:val="00FF4CC8"/>
    <w:rsid w:val="00FF4D35"/>
    <w:rsid w:val="00FF5339"/>
    <w:rsid w:val="00FF53C9"/>
    <w:rsid w:val="00FF56FE"/>
    <w:rsid w:val="00FF61AB"/>
    <w:rsid w:val="00FF72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8FED5"/>
  <w15:docId w15:val="{D6D8D269-F0A8-4151-961D-C38D3A910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C3C67"/>
    <w:pPr>
      <w:spacing w:before="120" w:after="120" w:line="264" w:lineRule="auto"/>
      <w:jc w:val="both"/>
    </w:pPr>
    <w:rPr>
      <w:rFonts w:ascii="Arial Narrow" w:hAnsi="Arial Narrow"/>
      <w:color w:val="002060"/>
      <w:sz w:val="22"/>
      <w:szCs w:val="22"/>
      <w:lang w:eastAsia="en-US"/>
    </w:rPr>
  </w:style>
  <w:style w:type="paragraph" w:styleId="Nagwek1">
    <w:name w:val="heading 1"/>
    <w:basedOn w:val="Normalny"/>
    <w:next w:val="Normalny"/>
    <w:link w:val="Nagwek1Znak"/>
    <w:uiPriority w:val="9"/>
    <w:qFormat/>
    <w:rsid w:val="00A32838"/>
    <w:pPr>
      <w:keepNext/>
      <w:keepLines/>
      <w:spacing w:before="480" w:after="0"/>
      <w:outlineLvl w:val="0"/>
    </w:pPr>
    <w:rPr>
      <w:rFonts w:eastAsia="Times New Roman" w:cs="Times New Roman"/>
      <w:b/>
      <w:bCs/>
      <w:color w:val="365F91"/>
      <w:sz w:val="28"/>
      <w:szCs w:val="28"/>
    </w:rPr>
  </w:style>
  <w:style w:type="paragraph" w:styleId="Nagwek2">
    <w:name w:val="heading 2"/>
    <w:basedOn w:val="Normalny"/>
    <w:next w:val="Normalny"/>
    <w:link w:val="Nagwek2Znak"/>
    <w:uiPriority w:val="9"/>
    <w:unhideWhenUsed/>
    <w:qFormat/>
    <w:rsid w:val="00A32838"/>
    <w:pPr>
      <w:keepNext/>
      <w:keepLines/>
      <w:spacing w:before="200" w:after="100"/>
      <w:outlineLvl w:val="1"/>
    </w:pPr>
    <w:rPr>
      <w:rFonts w:eastAsia="Times New Roman" w:cs="Times New Roman"/>
      <w:b/>
      <w:bCs/>
      <w:color w:val="4F81BD"/>
      <w:szCs w:val="26"/>
    </w:rPr>
  </w:style>
  <w:style w:type="paragraph" w:styleId="Nagwek3">
    <w:name w:val="heading 3"/>
    <w:basedOn w:val="Normalny"/>
    <w:next w:val="Normalny"/>
    <w:link w:val="Nagwek3Znak"/>
    <w:uiPriority w:val="9"/>
    <w:unhideWhenUsed/>
    <w:qFormat/>
    <w:rsid w:val="003A0D8A"/>
    <w:pPr>
      <w:keepNext/>
      <w:keepLines/>
      <w:spacing w:before="200" w:after="0"/>
      <w:outlineLvl w:val="2"/>
    </w:pPr>
    <w:rPr>
      <w:rFonts w:ascii="Cambria" w:eastAsia="Times New Roman" w:hAnsi="Cambria" w:cs="Times New Roman"/>
      <w:b/>
      <w:bCs/>
      <w:color w:val="4F81BD"/>
    </w:rPr>
  </w:style>
  <w:style w:type="paragraph" w:styleId="Nagwek4">
    <w:name w:val="heading 4"/>
    <w:aliases w:val="Tytuł wykresu"/>
    <w:basedOn w:val="Normalny"/>
    <w:next w:val="Normalny"/>
    <w:link w:val="Nagwek4Znak"/>
    <w:uiPriority w:val="9"/>
    <w:unhideWhenUsed/>
    <w:qFormat/>
    <w:rsid w:val="003A5EA7"/>
    <w:pPr>
      <w:keepNext/>
      <w:keepLines/>
      <w:spacing w:after="0"/>
      <w:outlineLvl w:val="3"/>
    </w:pPr>
    <w:rPr>
      <w:rFonts w:eastAsiaTheme="majorEastAsia" w:cstheme="majorBidi"/>
      <w:b/>
      <w:iCs/>
      <w:sz w:val="21"/>
    </w:rPr>
  </w:style>
  <w:style w:type="paragraph" w:styleId="Nagwek9">
    <w:name w:val="heading 9"/>
    <w:basedOn w:val="Normalny"/>
    <w:next w:val="Normalny"/>
    <w:link w:val="Nagwek9Znak"/>
    <w:uiPriority w:val="9"/>
    <w:unhideWhenUsed/>
    <w:qFormat/>
    <w:rsid w:val="00EC5AB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A32838"/>
    <w:rPr>
      <w:rFonts w:ascii="Arial Narrow" w:eastAsia="Times New Roman" w:hAnsi="Arial Narrow" w:cs="Times New Roman"/>
      <w:b/>
      <w:bCs/>
      <w:color w:val="365F91"/>
      <w:sz w:val="28"/>
      <w:szCs w:val="28"/>
      <w:lang w:eastAsia="en-US"/>
    </w:rPr>
  </w:style>
  <w:style w:type="character" w:customStyle="1" w:styleId="Nagwek2Znak">
    <w:name w:val="Nagłówek 2 Znak"/>
    <w:link w:val="Nagwek2"/>
    <w:uiPriority w:val="9"/>
    <w:rsid w:val="00A32838"/>
    <w:rPr>
      <w:rFonts w:ascii="Arial Narrow" w:eastAsia="Times New Roman" w:hAnsi="Arial Narrow" w:cs="Times New Roman"/>
      <w:b/>
      <w:bCs/>
      <w:color w:val="4F81BD"/>
      <w:sz w:val="22"/>
      <w:szCs w:val="26"/>
      <w:lang w:eastAsia="en-US"/>
    </w:rPr>
  </w:style>
  <w:style w:type="character" w:customStyle="1" w:styleId="Nagwek3Znak">
    <w:name w:val="Nagłówek 3 Znak"/>
    <w:link w:val="Nagwek3"/>
    <w:uiPriority w:val="9"/>
    <w:rsid w:val="003A0D8A"/>
    <w:rPr>
      <w:rFonts w:ascii="Cambria" w:eastAsia="Times New Roman" w:hAnsi="Cambria" w:cs="Times New Roman"/>
      <w:b/>
      <w:bCs/>
      <w:color w:val="4F81BD"/>
    </w:rPr>
  </w:style>
  <w:style w:type="paragraph" w:styleId="Tekstprzypisudolnego">
    <w:name w:val="footnote text"/>
    <w:aliases w:val="Podrozdział,Przypis,Fußnote,Footnote,Podrozdzia3,-E Fuﬂnotentext,Fuﬂnotentext Ursprung,Fußnotentext Ursprung,-E Fußnotentext,Footnote text,Tekst przypisu Znak Znak Znak Znak,Tekst przypisu Znak Znak Znak Znak Znak,Pl,Znak,FOOTNOTE"/>
    <w:basedOn w:val="Normalny"/>
    <w:link w:val="TekstprzypisudolnegoZnak"/>
    <w:uiPriority w:val="99"/>
    <w:unhideWhenUsed/>
    <w:qFormat/>
    <w:rsid w:val="00FF5339"/>
    <w:pPr>
      <w:spacing w:after="0" w:line="240" w:lineRule="auto"/>
    </w:pPr>
    <w:rPr>
      <w:sz w:val="20"/>
      <w:szCs w:val="20"/>
    </w:rPr>
  </w:style>
  <w:style w:type="character" w:customStyle="1" w:styleId="TekstprzypisudolnegoZnak">
    <w:name w:val="Tekst przypisu dolnego Znak"/>
    <w:aliases w:val="Podrozdział Znak,Przypis Znak,Fußnote Znak,Footnote Znak,Podrozdzia3 Znak,-E Fuﬂnotentext Znak,Fuﬂnotentext Ursprung Znak,Fußnotentext Ursprung Znak,-E Fußnotentext Znak,Footnote text Znak,Pl Znak,Znak Znak,FOOTNOTE Znak"/>
    <w:link w:val="Tekstprzypisudolnego"/>
    <w:uiPriority w:val="99"/>
    <w:qFormat/>
    <w:rsid w:val="00FF533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link w:val="FootnotesymbolCarZchn"/>
    <w:unhideWhenUsed/>
    <w:qFormat/>
    <w:rsid w:val="00FF5339"/>
    <w:rPr>
      <w:vertAlign w:val="superscript"/>
    </w:rPr>
  </w:style>
  <w:style w:type="character" w:styleId="Hipercze">
    <w:name w:val="Hyperlink"/>
    <w:uiPriority w:val="99"/>
    <w:unhideWhenUsed/>
    <w:rsid w:val="00246A98"/>
    <w:rPr>
      <w:color w:val="0000FF"/>
      <w:u w:val="single"/>
    </w:rPr>
  </w:style>
  <w:style w:type="character" w:styleId="UyteHipercze">
    <w:name w:val="FollowedHyperlink"/>
    <w:uiPriority w:val="99"/>
    <w:unhideWhenUsed/>
    <w:rsid w:val="00246A98"/>
    <w:rPr>
      <w:color w:val="800080"/>
      <w:u w:val="single"/>
    </w:rPr>
  </w:style>
  <w:style w:type="table" w:styleId="Tabela-Siatka">
    <w:name w:val="Table Grid"/>
    <w:basedOn w:val="Standardowy"/>
    <w:uiPriority w:val="59"/>
    <w:rsid w:val="001A12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01BDF"/>
    <w:pPr>
      <w:spacing w:after="0" w:line="240" w:lineRule="auto"/>
    </w:pPr>
    <w:rPr>
      <w:rFonts w:ascii="Tahoma" w:hAnsi="Tahoma" w:cs="Tahoma"/>
      <w:sz w:val="16"/>
      <w:szCs w:val="16"/>
    </w:rPr>
  </w:style>
  <w:style w:type="character" w:customStyle="1" w:styleId="TekstdymkaZnak">
    <w:name w:val="Tekst dymka Znak"/>
    <w:link w:val="Tekstdymka"/>
    <w:uiPriority w:val="99"/>
    <w:rsid w:val="00901BDF"/>
    <w:rPr>
      <w:rFonts w:ascii="Tahoma" w:hAnsi="Tahoma" w:cs="Tahoma"/>
      <w:sz w:val="16"/>
      <w:szCs w:val="16"/>
    </w:rPr>
  </w:style>
  <w:style w:type="character" w:styleId="Pogrubienie">
    <w:name w:val="Strong"/>
    <w:uiPriority w:val="22"/>
    <w:qFormat/>
    <w:rsid w:val="00901BDF"/>
    <w:rPr>
      <w:b/>
      <w:bCs/>
    </w:rPr>
  </w:style>
  <w:style w:type="character" w:styleId="Odwoaniedokomentarza">
    <w:name w:val="annotation reference"/>
    <w:uiPriority w:val="99"/>
    <w:semiHidden/>
    <w:unhideWhenUsed/>
    <w:rsid w:val="005653EE"/>
    <w:rPr>
      <w:sz w:val="16"/>
      <w:szCs w:val="16"/>
    </w:rPr>
  </w:style>
  <w:style w:type="paragraph" w:styleId="Tekstkomentarza">
    <w:name w:val="annotation text"/>
    <w:basedOn w:val="Normalny"/>
    <w:link w:val="TekstkomentarzaZnak"/>
    <w:uiPriority w:val="99"/>
    <w:unhideWhenUsed/>
    <w:rsid w:val="005653EE"/>
    <w:pPr>
      <w:spacing w:line="240" w:lineRule="auto"/>
    </w:pPr>
    <w:rPr>
      <w:rFonts w:cs="Times New Roman"/>
      <w:sz w:val="20"/>
      <w:szCs w:val="20"/>
    </w:rPr>
  </w:style>
  <w:style w:type="character" w:customStyle="1" w:styleId="TekstkomentarzaZnak">
    <w:name w:val="Tekst komentarza Znak"/>
    <w:link w:val="Tekstkomentarza"/>
    <w:uiPriority w:val="99"/>
    <w:rsid w:val="005653EE"/>
    <w:rPr>
      <w:rFonts w:ascii="Calibri" w:eastAsia="Calibri" w:hAnsi="Calibri" w:cs="Times New Roman"/>
      <w:sz w:val="20"/>
      <w:szCs w:val="20"/>
    </w:rPr>
  </w:style>
  <w:style w:type="paragraph" w:styleId="Nagwek">
    <w:name w:val="header"/>
    <w:basedOn w:val="Normalny"/>
    <w:link w:val="NagwekZnak"/>
    <w:uiPriority w:val="99"/>
    <w:unhideWhenUsed/>
    <w:rsid w:val="0026599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5995"/>
  </w:style>
  <w:style w:type="paragraph" w:styleId="Stopka">
    <w:name w:val="footer"/>
    <w:basedOn w:val="Normalny"/>
    <w:link w:val="StopkaZnak"/>
    <w:uiPriority w:val="99"/>
    <w:unhideWhenUsed/>
    <w:rsid w:val="0026599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5995"/>
  </w:style>
  <w:style w:type="paragraph" w:styleId="Tematkomentarza">
    <w:name w:val="annotation subject"/>
    <w:basedOn w:val="Tekstkomentarza"/>
    <w:next w:val="Tekstkomentarza"/>
    <w:link w:val="TematkomentarzaZnak"/>
    <w:uiPriority w:val="99"/>
    <w:semiHidden/>
    <w:unhideWhenUsed/>
    <w:rsid w:val="009D1D8D"/>
    <w:rPr>
      <w:rFonts w:cs="Arial"/>
      <w:b/>
      <w:bCs/>
    </w:rPr>
  </w:style>
  <w:style w:type="character" w:customStyle="1" w:styleId="TematkomentarzaZnak">
    <w:name w:val="Temat komentarza Znak"/>
    <w:link w:val="Tematkomentarza"/>
    <w:uiPriority w:val="99"/>
    <w:rsid w:val="009D1D8D"/>
    <w:rPr>
      <w:rFonts w:ascii="Calibri" w:eastAsia="Calibri" w:hAnsi="Calibri" w:cs="Times New Roman"/>
      <w:b/>
      <w:bCs/>
      <w:sz w:val="20"/>
      <w:szCs w:val="20"/>
    </w:rPr>
  </w:style>
  <w:style w:type="paragraph" w:styleId="Akapitzlist">
    <w:name w:val="List Paragraph"/>
    <w:aliases w:val="Akapit z listą11,Numbered Para 1,No Spacing1,List Paragraph Char Char Char,Indicator Text,Listaszerű bekezdés1,List Paragraph à moi,Bullet 1,Akapit z list¹1,F5 List Paragraph,Recommendation,GSA List"/>
    <w:basedOn w:val="Normalny"/>
    <w:link w:val="AkapitzlistZnak"/>
    <w:uiPriority w:val="34"/>
    <w:qFormat/>
    <w:rsid w:val="001E487E"/>
    <w:pPr>
      <w:ind w:left="720"/>
      <w:contextualSpacing/>
    </w:pPr>
  </w:style>
  <w:style w:type="paragraph" w:styleId="Nagwekspisutreci">
    <w:name w:val="TOC Heading"/>
    <w:basedOn w:val="Nagwek1"/>
    <w:next w:val="Normalny"/>
    <w:uiPriority w:val="39"/>
    <w:semiHidden/>
    <w:unhideWhenUsed/>
    <w:qFormat/>
    <w:rsid w:val="001018C4"/>
    <w:pPr>
      <w:outlineLvl w:val="9"/>
    </w:pPr>
    <w:rPr>
      <w:lang w:eastAsia="pl-PL"/>
    </w:rPr>
  </w:style>
  <w:style w:type="paragraph" w:styleId="Spistreci1">
    <w:name w:val="toc 1"/>
    <w:basedOn w:val="Normalny"/>
    <w:next w:val="Normalny"/>
    <w:autoRedefine/>
    <w:uiPriority w:val="39"/>
    <w:unhideWhenUsed/>
    <w:qFormat/>
    <w:rsid w:val="00D43255"/>
    <w:pPr>
      <w:tabs>
        <w:tab w:val="left" w:pos="440"/>
        <w:tab w:val="right" w:leader="dot" w:pos="9062"/>
      </w:tabs>
      <w:spacing w:before="60" w:after="60" w:line="240" w:lineRule="auto"/>
      <w:jc w:val="center"/>
    </w:pPr>
    <w:rPr>
      <w:rFonts w:cs="Calibri"/>
      <w:b/>
      <w:bCs/>
      <w:caps/>
      <w:sz w:val="20"/>
      <w:szCs w:val="20"/>
    </w:rPr>
  </w:style>
  <w:style w:type="paragraph" w:styleId="Spistreci2">
    <w:name w:val="toc 2"/>
    <w:basedOn w:val="Normalny"/>
    <w:next w:val="Normalny"/>
    <w:autoRedefine/>
    <w:uiPriority w:val="39"/>
    <w:unhideWhenUsed/>
    <w:qFormat/>
    <w:rsid w:val="001018C4"/>
    <w:pPr>
      <w:spacing w:after="0"/>
      <w:ind w:left="220"/>
    </w:pPr>
    <w:rPr>
      <w:rFonts w:cs="Calibri"/>
      <w:smallCaps/>
      <w:sz w:val="20"/>
      <w:szCs w:val="20"/>
    </w:rPr>
  </w:style>
  <w:style w:type="paragraph" w:styleId="Spistreci3">
    <w:name w:val="toc 3"/>
    <w:basedOn w:val="Normalny"/>
    <w:next w:val="Normalny"/>
    <w:autoRedefine/>
    <w:uiPriority w:val="39"/>
    <w:unhideWhenUsed/>
    <w:qFormat/>
    <w:rsid w:val="001018C4"/>
    <w:pPr>
      <w:spacing w:after="0"/>
      <w:ind w:left="440"/>
    </w:pPr>
    <w:rPr>
      <w:rFonts w:cs="Calibri"/>
      <w:i/>
      <w:iCs/>
      <w:sz w:val="20"/>
      <w:szCs w:val="20"/>
    </w:rPr>
  </w:style>
  <w:style w:type="paragraph" w:styleId="Legenda">
    <w:name w:val="caption"/>
    <w:basedOn w:val="Normalny"/>
    <w:next w:val="Normalny"/>
    <w:uiPriority w:val="35"/>
    <w:unhideWhenUsed/>
    <w:qFormat/>
    <w:rsid w:val="000B3CE9"/>
    <w:pPr>
      <w:spacing w:line="240" w:lineRule="auto"/>
    </w:pPr>
    <w:rPr>
      <w:b/>
      <w:bCs/>
      <w:color w:val="4F81BD"/>
      <w:sz w:val="18"/>
      <w:szCs w:val="18"/>
    </w:rPr>
  </w:style>
  <w:style w:type="character" w:styleId="HTML-cytat">
    <w:name w:val="HTML Cite"/>
    <w:uiPriority w:val="99"/>
    <w:semiHidden/>
    <w:unhideWhenUsed/>
    <w:rsid w:val="000B3CE9"/>
    <w:rPr>
      <w:i/>
      <w:iCs/>
    </w:rPr>
  </w:style>
  <w:style w:type="paragraph" w:styleId="Tekstpodstawowy3">
    <w:name w:val="Body Text 3"/>
    <w:basedOn w:val="Normalny"/>
    <w:link w:val="Tekstpodstawowy3Znak"/>
    <w:rsid w:val="00F46A27"/>
    <w:pPr>
      <w:spacing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link w:val="Tekstpodstawowy3"/>
    <w:rsid w:val="00F46A27"/>
    <w:rPr>
      <w:rFonts w:ascii="Times New Roman" w:eastAsia="Times New Roman" w:hAnsi="Times New Roman" w:cs="Times New Roman"/>
      <w:sz w:val="16"/>
      <w:szCs w:val="16"/>
      <w:lang w:eastAsia="pl-PL"/>
    </w:rPr>
  </w:style>
  <w:style w:type="paragraph" w:styleId="Tekstpodstawowywcity2">
    <w:name w:val="Body Text Indent 2"/>
    <w:basedOn w:val="Normalny"/>
    <w:link w:val="Tekstpodstawowywcity2Znak"/>
    <w:rsid w:val="00F46A27"/>
    <w:pPr>
      <w:spacing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link w:val="Tekstpodstawowywcity2"/>
    <w:rsid w:val="00F46A27"/>
    <w:rPr>
      <w:rFonts w:ascii="Times New Roman" w:eastAsia="Times New Roman" w:hAnsi="Times New Roman" w:cs="Times New Roman"/>
      <w:sz w:val="24"/>
      <w:szCs w:val="24"/>
      <w:lang w:eastAsia="pl-PL"/>
    </w:rPr>
  </w:style>
  <w:style w:type="character" w:styleId="Wyrnienieintensywne">
    <w:name w:val="Intense Emphasis"/>
    <w:uiPriority w:val="21"/>
    <w:qFormat/>
    <w:rsid w:val="00B50387"/>
    <w:rPr>
      <w:b/>
      <w:bCs/>
      <w:i/>
      <w:iCs/>
      <w:color w:val="4F81BD"/>
    </w:rPr>
  </w:style>
  <w:style w:type="paragraph" w:styleId="Cytatintensywny">
    <w:name w:val="Intense Quote"/>
    <w:basedOn w:val="Normalny"/>
    <w:next w:val="Normalny"/>
    <w:link w:val="CytatintensywnyZnak"/>
    <w:uiPriority w:val="30"/>
    <w:qFormat/>
    <w:rsid w:val="00B50387"/>
    <w:pPr>
      <w:pBdr>
        <w:bottom w:val="single" w:sz="4" w:space="4" w:color="4F81BD"/>
      </w:pBdr>
      <w:spacing w:before="200" w:after="280"/>
      <w:ind w:left="936" w:right="936"/>
    </w:pPr>
    <w:rPr>
      <w:rFonts w:cs="Times New Roman"/>
      <w:b/>
      <w:bCs/>
      <w:i/>
      <w:iCs/>
      <w:color w:val="4F81BD"/>
    </w:rPr>
  </w:style>
  <w:style w:type="character" w:customStyle="1" w:styleId="CytatintensywnyZnak">
    <w:name w:val="Cytat intensywny Znak"/>
    <w:link w:val="Cytatintensywny"/>
    <w:uiPriority w:val="30"/>
    <w:rsid w:val="00B50387"/>
    <w:rPr>
      <w:rFonts w:ascii="Calibri" w:eastAsia="Calibri" w:hAnsi="Calibri" w:cs="Times New Roman"/>
      <w:b/>
      <w:bCs/>
      <w:i/>
      <w:iCs/>
      <w:color w:val="4F81BD"/>
    </w:rPr>
  </w:style>
  <w:style w:type="paragraph" w:customStyle="1" w:styleId="Mapatytul">
    <w:name w:val="@Mapa tytul"/>
    <w:basedOn w:val="Normalny"/>
    <w:next w:val="Normalny"/>
    <w:uiPriority w:val="99"/>
    <w:qFormat/>
    <w:rsid w:val="00B50387"/>
    <w:pPr>
      <w:keepNext/>
      <w:numPr>
        <w:numId w:val="2"/>
      </w:numPr>
      <w:spacing w:after="0" w:line="240" w:lineRule="auto"/>
    </w:pPr>
    <w:rPr>
      <w:rFonts w:ascii="Tahoma" w:eastAsia="Times New Roman" w:hAnsi="Tahoma" w:cs="Tahoma"/>
      <w:b/>
      <w:bCs/>
      <w:sz w:val="20"/>
      <w:szCs w:val="20"/>
      <w:lang w:eastAsia="pl-PL"/>
    </w:rPr>
  </w:style>
  <w:style w:type="paragraph" w:customStyle="1" w:styleId="mapa-tytul">
    <w:name w:val="@mapa-tytul"/>
    <w:basedOn w:val="Normalny"/>
    <w:uiPriority w:val="99"/>
    <w:rsid w:val="00BA7EE8"/>
    <w:pPr>
      <w:keepNext/>
      <w:tabs>
        <w:tab w:val="num" w:pos="1494"/>
      </w:tabs>
      <w:spacing w:beforeLines="60" w:before="144" w:afterLines="60" w:after="144" w:line="280" w:lineRule="atLeast"/>
      <w:ind w:left="1494" w:hanging="1134"/>
    </w:pPr>
    <w:rPr>
      <w:rFonts w:ascii="Tahoma" w:eastAsia="Times New Roman" w:hAnsi="Tahoma" w:cs="Tahoma"/>
      <w:b/>
      <w:bCs/>
      <w:sz w:val="18"/>
      <w:szCs w:val="18"/>
      <w:lang w:eastAsia="pl-PL"/>
    </w:rPr>
  </w:style>
  <w:style w:type="paragraph" w:styleId="NormalnyWeb">
    <w:name w:val="Normal (Web)"/>
    <w:basedOn w:val="Normalny"/>
    <w:uiPriority w:val="99"/>
    <w:unhideWhenUsed/>
    <w:rsid w:val="00E447C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efault">
    <w:name w:val="Default"/>
    <w:uiPriority w:val="99"/>
    <w:rsid w:val="00E447CD"/>
    <w:pPr>
      <w:autoSpaceDE w:val="0"/>
      <w:autoSpaceDN w:val="0"/>
      <w:adjustRightInd w:val="0"/>
    </w:pPr>
    <w:rPr>
      <w:rFonts w:ascii="Times New Roman" w:hAnsi="Times New Roman" w:cs="Times New Roman"/>
      <w:color w:val="000000"/>
      <w:sz w:val="24"/>
      <w:szCs w:val="24"/>
    </w:rPr>
  </w:style>
  <w:style w:type="character" w:customStyle="1" w:styleId="outputlabel10">
    <w:name w:val="outputlabel10"/>
    <w:rsid w:val="00E447CD"/>
  </w:style>
  <w:style w:type="paragraph" w:styleId="Tekstprzypisukocowego">
    <w:name w:val="endnote text"/>
    <w:basedOn w:val="Normalny"/>
    <w:link w:val="TekstprzypisukocowegoZnak"/>
    <w:uiPriority w:val="99"/>
    <w:unhideWhenUsed/>
    <w:rsid w:val="00673A50"/>
    <w:pPr>
      <w:spacing w:after="0" w:line="240" w:lineRule="auto"/>
    </w:pPr>
    <w:rPr>
      <w:sz w:val="20"/>
      <w:szCs w:val="20"/>
    </w:rPr>
  </w:style>
  <w:style w:type="character" w:customStyle="1" w:styleId="TekstprzypisukocowegoZnak">
    <w:name w:val="Tekst przypisu końcowego Znak"/>
    <w:link w:val="Tekstprzypisukocowego"/>
    <w:uiPriority w:val="99"/>
    <w:rsid w:val="00673A50"/>
    <w:rPr>
      <w:sz w:val="20"/>
      <w:szCs w:val="20"/>
    </w:rPr>
  </w:style>
  <w:style w:type="character" w:styleId="Odwoanieprzypisukocowego">
    <w:name w:val="endnote reference"/>
    <w:uiPriority w:val="99"/>
    <w:unhideWhenUsed/>
    <w:rsid w:val="00673A50"/>
    <w:rPr>
      <w:vertAlign w:val="superscript"/>
    </w:rPr>
  </w:style>
  <w:style w:type="paragraph" w:styleId="Spistreci4">
    <w:name w:val="toc 4"/>
    <w:basedOn w:val="Normalny"/>
    <w:next w:val="Normalny"/>
    <w:autoRedefine/>
    <w:uiPriority w:val="39"/>
    <w:unhideWhenUsed/>
    <w:rsid w:val="001C3D1C"/>
    <w:pPr>
      <w:spacing w:after="0"/>
      <w:ind w:left="660"/>
    </w:pPr>
    <w:rPr>
      <w:rFonts w:cs="Calibri"/>
      <w:sz w:val="18"/>
      <w:szCs w:val="18"/>
    </w:rPr>
  </w:style>
  <w:style w:type="paragraph" w:styleId="Spistreci5">
    <w:name w:val="toc 5"/>
    <w:basedOn w:val="Normalny"/>
    <w:next w:val="Normalny"/>
    <w:autoRedefine/>
    <w:uiPriority w:val="39"/>
    <w:unhideWhenUsed/>
    <w:rsid w:val="001C3D1C"/>
    <w:pPr>
      <w:spacing w:after="0"/>
      <w:ind w:left="880"/>
    </w:pPr>
    <w:rPr>
      <w:rFonts w:cs="Calibri"/>
      <w:sz w:val="18"/>
      <w:szCs w:val="18"/>
    </w:rPr>
  </w:style>
  <w:style w:type="paragraph" w:styleId="Spistreci6">
    <w:name w:val="toc 6"/>
    <w:basedOn w:val="Normalny"/>
    <w:next w:val="Normalny"/>
    <w:autoRedefine/>
    <w:uiPriority w:val="39"/>
    <w:unhideWhenUsed/>
    <w:rsid w:val="001C3D1C"/>
    <w:pPr>
      <w:spacing w:after="0"/>
      <w:ind w:left="1100"/>
    </w:pPr>
    <w:rPr>
      <w:rFonts w:cs="Calibri"/>
      <w:sz w:val="18"/>
      <w:szCs w:val="18"/>
    </w:rPr>
  </w:style>
  <w:style w:type="paragraph" w:styleId="Spistreci7">
    <w:name w:val="toc 7"/>
    <w:basedOn w:val="Normalny"/>
    <w:next w:val="Normalny"/>
    <w:autoRedefine/>
    <w:uiPriority w:val="39"/>
    <w:unhideWhenUsed/>
    <w:rsid w:val="001C3D1C"/>
    <w:pPr>
      <w:spacing w:after="0"/>
      <w:ind w:left="1320"/>
    </w:pPr>
    <w:rPr>
      <w:rFonts w:cs="Calibri"/>
      <w:sz w:val="18"/>
      <w:szCs w:val="18"/>
    </w:rPr>
  </w:style>
  <w:style w:type="paragraph" w:styleId="Spistreci8">
    <w:name w:val="toc 8"/>
    <w:basedOn w:val="Normalny"/>
    <w:next w:val="Normalny"/>
    <w:autoRedefine/>
    <w:uiPriority w:val="39"/>
    <w:unhideWhenUsed/>
    <w:rsid w:val="001C3D1C"/>
    <w:pPr>
      <w:spacing w:after="0"/>
      <w:ind w:left="1540"/>
    </w:pPr>
    <w:rPr>
      <w:rFonts w:cs="Calibri"/>
      <w:sz w:val="18"/>
      <w:szCs w:val="18"/>
    </w:rPr>
  </w:style>
  <w:style w:type="paragraph" w:styleId="Spistreci9">
    <w:name w:val="toc 9"/>
    <w:basedOn w:val="Normalny"/>
    <w:next w:val="Normalny"/>
    <w:autoRedefine/>
    <w:uiPriority w:val="39"/>
    <w:unhideWhenUsed/>
    <w:rsid w:val="001C3D1C"/>
    <w:pPr>
      <w:spacing w:after="0"/>
      <w:ind w:left="1760"/>
    </w:pPr>
    <w:rPr>
      <w:rFonts w:cs="Calibri"/>
      <w:sz w:val="18"/>
      <w:szCs w:val="18"/>
    </w:rPr>
  </w:style>
  <w:style w:type="paragraph" w:styleId="Poprawka">
    <w:name w:val="Revision"/>
    <w:hidden/>
    <w:uiPriority w:val="99"/>
    <w:semiHidden/>
    <w:rsid w:val="00462852"/>
    <w:rPr>
      <w:sz w:val="22"/>
      <w:szCs w:val="22"/>
      <w:lang w:eastAsia="en-US"/>
    </w:rPr>
  </w:style>
  <w:style w:type="character" w:customStyle="1" w:styleId="st">
    <w:name w:val="st"/>
    <w:basedOn w:val="Domylnaczcionkaakapitu"/>
    <w:rsid w:val="00D30B3E"/>
  </w:style>
  <w:style w:type="paragraph" w:styleId="Bezodstpw">
    <w:name w:val="No Spacing"/>
    <w:aliases w:val="Źródło"/>
    <w:next w:val="Normalny"/>
    <w:link w:val="BezodstpwZnak"/>
    <w:uiPriority w:val="1"/>
    <w:qFormat/>
    <w:rsid w:val="003A5EA7"/>
    <w:pPr>
      <w:spacing w:before="40" w:after="160"/>
      <w:contextualSpacing/>
      <w:jc w:val="both"/>
    </w:pPr>
    <w:rPr>
      <w:rFonts w:ascii="Arial Narrow" w:hAnsi="Arial Narrow"/>
      <w:i/>
      <w:color w:val="002060"/>
      <w:sz w:val="18"/>
      <w:szCs w:val="22"/>
      <w:lang w:eastAsia="en-US"/>
    </w:rPr>
  </w:style>
  <w:style w:type="character" w:customStyle="1" w:styleId="AkapitzlistZnak">
    <w:name w:val="Akapit z listą Znak"/>
    <w:aliases w:val="Akapit z listą11 Znak,Numbered Para 1 Znak,No Spacing1 Znak,List Paragraph Char Char Char Znak,Indicator Text Znak,Listaszerű bekezdés1 Znak,List Paragraph à moi Znak,Bullet 1 Znak,Akapit z list¹1 Znak,F5 List Paragraph Znak"/>
    <w:link w:val="Akapitzlist"/>
    <w:uiPriority w:val="34"/>
    <w:locked/>
    <w:rsid w:val="00C64B4A"/>
    <w:rPr>
      <w:rFonts w:ascii="Arial Narrow" w:hAnsi="Arial Narrow"/>
      <w:color w:val="002060"/>
      <w:sz w:val="22"/>
      <w:szCs w:val="22"/>
      <w:lang w:eastAsia="en-US"/>
    </w:rPr>
  </w:style>
  <w:style w:type="character" w:customStyle="1" w:styleId="Nagwek9Znak">
    <w:name w:val="Nagłówek 9 Znak"/>
    <w:basedOn w:val="Domylnaczcionkaakapitu"/>
    <w:link w:val="Nagwek9"/>
    <w:uiPriority w:val="9"/>
    <w:rsid w:val="00EC5ABF"/>
    <w:rPr>
      <w:rFonts w:asciiTheme="majorHAnsi" w:eastAsiaTheme="majorEastAsia" w:hAnsiTheme="majorHAnsi" w:cstheme="majorBidi"/>
      <w:i/>
      <w:iCs/>
      <w:color w:val="272727" w:themeColor="text1" w:themeTint="D8"/>
      <w:sz w:val="21"/>
      <w:szCs w:val="21"/>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ny"/>
    <w:link w:val="Odwoanieprzypisudolnego"/>
    <w:rsid w:val="00EC5ABF"/>
    <w:pPr>
      <w:spacing w:after="160" w:line="240" w:lineRule="exact"/>
    </w:pPr>
    <w:rPr>
      <w:rFonts w:ascii="Calibri" w:hAnsi="Calibri"/>
      <w:color w:val="auto"/>
      <w:sz w:val="20"/>
      <w:szCs w:val="20"/>
      <w:vertAlign w:val="superscript"/>
      <w:lang w:eastAsia="pl-PL"/>
    </w:rPr>
  </w:style>
  <w:style w:type="character" w:customStyle="1" w:styleId="Domylnaczcionkaakapitu1">
    <w:name w:val="Domyślna czcionka akapitu1"/>
    <w:rsid w:val="003C3957"/>
  </w:style>
  <w:style w:type="character" w:customStyle="1" w:styleId="FootnoteCharacters">
    <w:name w:val="Footnote Characters"/>
    <w:rsid w:val="003C3957"/>
    <w:rPr>
      <w:vertAlign w:val="superscript"/>
    </w:rPr>
  </w:style>
  <w:style w:type="character" w:customStyle="1" w:styleId="Pogrubienie1">
    <w:name w:val="Pogrubienie1"/>
    <w:rsid w:val="003C3957"/>
    <w:rPr>
      <w:b/>
      <w:bCs/>
    </w:rPr>
  </w:style>
  <w:style w:type="character" w:customStyle="1" w:styleId="Odwoaniedokomentarza1">
    <w:name w:val="Odwołanie do komentarza1"/>
    <w:rsid w:val="003C3957"/>
    <w:rPr>
      <w:sz w:val="16"/>
      <w:szCs w:val="16"/>
    </w:rPr>
  </w:style>
  <w:style w:type="character" w:customStyle="1" w:styleId="HTML-cytat1">
    <w:name w:val="HTML - cytat1"/>
    <w:rsid w:val="003C3957"/>
    <w:rPr>
      <w:i/>
      <w:iCs/>
    </w:rPr>
  </w:style>
  <w:style w:type="character" w:customStyle="1" w:styleId="Wyrnienieintensywne1">
    <w:name w:val="Wyróżnienie intensywne1"/>
    <w:rsid w:val="003C3957"/>
    <w:rPr>
      <w:b/>
      <w:bCs/>
      <w:i/>
      <w:iCs/>
      <w:color w:val="4F81BD"/>
    </w:rPr>
  </w:style>
  <w:style w:type="character" w:customStyle="1" w:styleId="EndnoteCharacters">
    <w:name w:val="Endnote Characters"/>
    <w:rsid w:val="003C3957"/>
    <w:rPr>
      <w:vertAlign w:val="superscript"/>
    </w:rPr>
  </w:style>
  <w:style w:type="character" w:customStyle="1" w:styleId="czeindeksu">
    <w:name w:val="Łącze indeksu"/>
    <w:rsid w:val="003C3957"/>
  </w:style>
  <w:style w:type="character" w:customStyle="1" w:styleId="Znakiprzypiswdolnych">
    <w:name w:val="Znaki przypisów dolnych"/>
    <w:rsid w:val="003C3957"/>
  </w:style>
  <w:style w:type="character" w:customStyle="1" w:styleId="Znakiprzypiswkocowych">
    <w:name w:val="Znaki przypisów końcowych"/>
    <w:rsid w:val="003C3957"/>
  </w:style>
  <w:style w:type="character" w:customStyle="1" w:styleId="ListLabel1">
    <w:name w:val="ListLabel 1"/>
    <w:rsid w:val="003C3957"/>
    <w:rPr>
      <w:rFonts w:cs="Times New Roman"/>
    </w:rPr>
  </w:style>
  <w:style w:type="character" w:customStyle="1" w:styleId="ListLabel2">
    <w:name w:val="ListLabel 2"/>
    <w:rsid w:val="003C3957"/>
    <w:rPr>
      <w:rFonts w:cs="Symbol"/>
    </w:rPr>
  </w:style>
  <w:style w:type="character" w:customStyle="1" w:styleId="ListLabel3">
    <w:name w:val="ListLabel 3"/>
    <w:rsid w:val="003C3957"/>
    <w:rPr>
      <w:rFonts w:cs="Times New Roman"/>
    </w:rPr>
  </w:style>
  <w:style w:type="character" w:customStyle="1" w:styleId="ListLabel4">
    <w:name w:val="ListLabel 4"/>
    <w:rsid w:val="003C3957"/>
    <w:rPr>
      <w:rFonts w:cs="Times New Roman"/>
    </w:rPr>
  </w:style>
  <w:style w:type="character" w:customStyle="1" w:styleId="ListLabel5">
    <w:name w:val="ListLabel 5"/>
    <w:rsid w:val="003C3957"/>
    <w:rPr>
      <w:rFonts w:cs="Times New Roman"/>
    </w:rPr>
  </w:style>
  <w:style w:type="character" w:customStyle="1" w:styleId="ListLabel6">
    <w:name w:val="ListLabel 6"/>
    <w:rsid w:val="003C3957"/>
    <w:rPr>
      <w:rFonts w:cs="Times New Roman"/>
    </w:rPr>
  </w:style>
  <w:style w:type="character" w:customStyle="1" w:styleId="ListLabel7">
    <w:name w:val="ListLabel 7"/>
    <w:rsid w:val="003C3957"/>
    <w:rPr>
      <w:rFonts w:cs="Times New Roman"/>
    </w:rPr>
  </w:style>
  <w:style w:type="character" w:customStyle="1" w:styleId="ListLabel8">
    <w:name w:val="ListLabel 8"/>
    <w:rsid w:val="003C3957"/>
    <w:rPr>
      <w:rFonts w:cs="Times New Roman"/>
    </w:rPr>
  </w:style>
  <w:style w:type="character" w:customStyle="1" w:styleId="ListLabel9">
    <w:name w:val="ListLabel 9"/>
    <w:rsid w:val="003C3957"/>
    <w:rPr>
      <w:rFonts w:cs="Times New Roman"/>
    </w:rPr>
  </w:style>
  <w:style w:type="character" w:customStyle="1" w:styleId="ListLabel10">
    <w:name w:val="ListLabel 10"/>
    <w:rsid w:val="003C3957"/>
    <w:rPr>
      <w:rFonts w:cs="Arial"/>
    </w:rPr>
  </w:style>
  <w:style w:type="character" w:customStyle="1" w:styleId="ListLabel11">
    <w:name w:val="ListLabel 11"/>
    <w:rsid w:val="003C3957"/>
    <w:rPr>
      <w:rFonts w:cs="Courier New"/>
    </w:rPr>
  </w:style>
  <w:style w:type="character" w:customStyle="1" w:styleId="ListLabel12">
    <w:name w:val="ListLabel 12"/>
    <w:rsid w:val="003C3957"/>
    <w:rPr>
      <w:rFonts w:cs="Wingdings"/>
    </w:rPr>
  </w:style>
  <w:style w:type="character" w:customStyle="1" w:styleId="ListLabel13">
    <w:name w:val="ListLabel 13"/>
    <w:rsid w:val="003C3957"/>
    <w:rPr>
      <w:rFonts w:cs="Symbol"/>
    </w:rPr>
  </w:style>
  <w:style w:type="character" w:customStyle="1" w:styleId="ListLabel14">
    <w:name w:val="ListLabel 14"/>
    <w:rsid w:val="003C3957"/>
    <w:rPr>
      <w:rFonts w:cs="Courier New"/>
    </w:rPr>
  </w:style>
  <w:style w:type="character" w:customStyle="1" w:styleId="ListLabel15">
    <w:name w:val="ListLabel 15"/>
    <w:rsid w:val="003C3957"/>
    <w:rPr>
      <w:rFonts w:cs="Wingdings"/>
    </w:rPr>
  </w:style>
  <w:style w:type="character" w:customStyle="1" w:styleId="ListLabel16">
    <w:name w:val="ListLabel 16"/>
    <w:rsid w:val="003C3957"/>
    <w:rPr>
      <w:rFonts w:cs="Symbol"/>
    </w:rPr>
  </w:style>
  <w:style w:type="character" w:customStyle="1" w:styleId="ListLabel17">
    <w:name w:val="ListLabel 17"/>
    <w:rsid w:val="003C3957"/>
    <w:rPr>
      <w:rFonts w:cs="Courier New"/>
    </w:rPr>
  </w:style>
  <w:style w:type="character" w:customStyle="1" w:styleId="ListLabel18">
    <w:name w:val="ListLabel 18"/>
    <w:rsid w:val="003C3957"/>
    <w:rPr>
      <w:rFonts w:cs="Wingdings"/>
    </w:rPr>
  </w:style>
  <w:style w:type="character" w:customStyle="1" w:styleId="ListLabel19">
    <w:name w:val="ListLabel 19"/>
    <w:rsid w:val="003C3957"/>
    <w:rPr>
      <w:rFonts w:cs="Symbol"/>
    </w:rPr>
  </w:style>
  <w:style w:type="character" w:customStyle="1" w:styleId="ListLabel20">
    <w:name w:val="ListLabel 20"/>
    <w:rsid w:val="003C3957"/>
    <w:rPr>
      <w:rFonts w:cs="Courier New"/>
    </w:rPr>
  </w:style>
  <w:style w:type="character" w:customStyle="1" w:styleId="ListLabel21">
    <w:name w:val="ListLabel 21"/>
    <w:rsid w:val="003C3957"/>
    <w:rPr>
      <w:rFonts w:cs="Wingdings"/>
    </w:rPr>
  </w:style>
  <w:style w:type="character" w:customStyle="1" w:styleId="ListLabel22">
    <w:name w:val="ListLabel 22"/>
    <w:rsid w:val="003C3957"/>
    <w:rPr>
      <w:rFonts w:cs="Symbol"/>
    </w:rPr>
  </w:style>
  <w:style w:type="character" w:customStyle="1" w:styleId="ListLabel23">
    <w:name w:val="ListLabel 23"/>
    <w:rsid w:val="003C3957"/>
    <w:rPr>
      <w:rFonts w:cs="Courier New"/>
    </w:rPr>
  </w:style>
  <w:style w:type="character" w:customStyle="1" w:styleId="ListLabel24">
    <w:name w:val="ListLabel 24"/>
    <w:rsid w:val="003C3957"/>
    <w:rPr>
      <w:rFonts w:cs="Wingdings"/>
    </w:rPr>
  </w:style>
  <w:style w:type="character" w:customStyle="1" w:styleId="ListLabel25">
    <w:name w:val="ListLabel 25"/>
    <w:rsid w:val="003C3957"/>
    <w:rPr>
      <w:rFonts w:cs="Symbol"/>
    </w:rPr>
  </w:style>
  <w:style w:type="character" w:customStyle="1" w:styleId="ListLabel26">
    <w:name w:val="ListLabel 26"/>
    <w:rsid w:val="003C3957"/>
    <w:rPr>
      <w:rFonts w:cs="Courier New"/>
    </w:rPr>
  </w:style>
  <w:style w:type="character" w:customStyle="1" w:styleId="ListLabel27">
    <w:name w:val="ListLabel 27"/>
    <w:rsid w:val="003C3957"/>
    <w:rPr>
      <w:rFonts w:cs="Wingdings"/>
    </w:rPr>
  </w:style>
  <w:style w:type="character" w:customStyle="1" w:styleId="ListLabel28">
    <w:name w:val="ListLabel 28"/>
    <w:rsid w:val="003C3957"/>
    <w:rPr>
      <w:rFonts w:cs="Symbol"/>
    </w:rPr>
  </w:style>
  <w:style w:type="character" w:customStyle="1" w:styleId="ListLabel29">
    <w:name w:val="ListLabel 29"/>
    <w:rsid w:val="003C3957"/>
    <w:rPr>
      <w:rFonts w:cs="Courier New"/>
    </w:rPr>
  </w:style>
  <w:style w:type="character" w:customStyle="1" w:styleId="ListLabel30">
    <w:name w:val="ListLabel 30"/>
    <w:rsid w:val="003C3957"/>
    <w:rPr>
      <w:rFonts w:cs="Wingdings"/>
    </w:rPr>
  </w:style>
  <w:style w:type="character" w:customStyle="1" w:styleId="ListLabel31">
    <w:name w:val="ListLabel 31"/>
    <w:rsid w:val="003C3957"/>
    <w:rPr>
      <w:rFonts w:cs="Symbol"/>
    </w:rPr>
  </w:style>
  <w:style w:type="character" w:customStyle="1" w:styleId="ListLabel32">
    <w:name w:val="ListLabel 32"/>
    <w:rsid w:val="003C3957"/>
    <w:rPr>
      <w:rFonts w:cs="Courier New"/>
    </w:rPr>
  </w:style>
  <w:style w:type="character" w:customStyle="1" w:styleId="ListLabel33">
    <w:name w:val="ListLabel 33"/>
    <w:rsid w:val="003C3957"/>
    <w:rPr>
      <w:rFonts w:cs="Wingdings"/>
    </w:rPr>
  </w:style>
  <w:style w:type="character" w:customStyle="1" w:styleId="ListLabel34">
    <w:name w:val="ListLabel 34"/>
    <w:rsid w:val="003C3957"/>
    <w:rPr>
      <w:rFonts w:cs="Symbol"/>
    </w:rPr>
  </w:style>
  <w:style w:type="character" w:customStyle="1" w:styleId="ListLabel35">
    <w:name w:val="ListLabel 35"/>
    <w:rsid w:val="003C3957"/>
    <w:rPr>
      <w:rFonts w:cs="Courier New"/>
    </w:rPr>
  </w:style>
  <w:style w:type="character" w:customStyle="1" w:styleId="ListLabel36">
    <w:name w:val="ListLabel 36"/>
    <w:rsid w:val="003C3957"/>
    <w:rPr>
      <w:rFonts w:cs="Wingdings"/>
    </w:rPr>
  </w:style>
  <w:style w:type="character" w:customStyle="1" w:styleId="ListLabel37">
    <w:name w:val="ListLabel 37"/>
    <w:rsid w:val="003C3957"/>
    <w:rPr>
      <w:rFonts w:cs="Symbol"/>
    </w:rPr>
  </w:style>
  <w:style w:type="character" w:customStyle="1" w:styleId="ListLabel38">
    <w:name w:val="ListLabel 38"/>
    <w:rsid w:val="003C3957"/>
    <w:rPr>
      <w:rFonts w:cs="Courier New"/>
    </w:rPr>
  </w:style>
  <w:style w:type="character" w:customStyle="1" w:styleId="ListLabel39">
    <w:name w:val="ListLabel 39"/>
    <w:rsid w:val="003C3957"/>
    <w:rPr>
      <w:rFonts w:cs="Wingdings"/>
    </w:rPr>
  </w:style>
  <w:style w:type="character" w:customStyle="1" w:styleId="ListLabel40">
    <w:name w:val="ListLabel 40"/>
    <w:rsid w:val="003C3957"/>
    <w:rPr>
      <w:rFonts w:cs="Symbol"/>
    </w:rPr>
  </w:style>
  <w:style w:type="character" w:customStyle="1" w:styleId="ListLabel41">
    <w:name w:val="ListLabel 41"/>
    <w:rsid w:val="003C3957"/>
    <w:rPr>
      <w:rFonts w:cs="Courier New"/>
    </w:rPr>
  </w:style>
  <w:style w:type="character" w:customStyle="1" w:styleId="ListLabel42">
    <w:name w:val="ListLabel 42"/>
    <w:rsid w:val="003C3957"/>
    <w:rPr>
      <w:rFonts w:cs="Wingdings"/>
    </w:rPr>
  </w:style>
  <w:style w:type="character" w:customStyle="1" w:styleId="ListLabel43">
    <w:name w:val="ListLabel 43"/>
    <w:rsid w:val="003C3957"/>
    <w:rPr>
      <w:rFonts w:cs="Symbol"/>
    </w:rPr>
  </w:style>
  <w:style w:type="character" w:customStyle="1" w:styleId="ListLabel44">
    <w:name w:val="ListLabel 44"/>
    <w:rsid w:val="003C3957"/>
    <w:rPr>
      <w:rFonts w:cs="Courier New"/>
    </w:rPr>
  </w:style>
  <w:style w:type="character" w:customStyle="1" w:styleId="ListLabel45">
    <w:name w:val="ListLabel 45"/>
    <w:rsid w:val="003C3957"/>
    <w:rPr>
      <w:rFonts w:cs="Wingdings"/>
    </w:rPr>
  </w:style>
  <w:style w:type="character" w:customStyle="1" w:styleId="ListLabel46">
    <w:name w:val="ListLabel 46"/>
    <w:rsid w:val="003C3957"/>
    <w:rPr>
      <w:rFonts w:cs="Symbol"/>
    </w:rPr>
  </w:style>
  <w:style w:type="character" w:customStyle="1" w:styleId="ListLabel47">
    <w:name w:val="ListLabel 47"/>
    <w:rsid w:val="003C3957"/>
    <w:rPr>
      <w:rFonts w:cs="Courier New"/>
    </w:rPr>
  </w:style>
  <w:style w:type="character" w:customStyle="1" w:styleId="ListLabel48">
    <w:name w:val="ListLabel 48"/>
    <w:rsid w:val="003C3957"/>
    <w:rPr>
      <w:rFonts w:cs="Wingdings"/>
    </w:rPr>
  </w:style>
  <w:style w:type="character" w:customStyle="1" w:styleId="ListLabel49">
    <w:name w:val="ListLabel 49"/>
    <w:rsid w:val="003C3957"/>
    <w:rPr>
      <w:rFonts w:cs="Symbol"/>
    </w:rPr>
  </w:style>
  <w:style w:type="character" w:customStyle="1" w:styleId="ListLabel50">
    <w:name w:val="ListLabel 50"/>
    <w:rsid w:val="003C3957"/>
    <w:rPr>
      <w:rFonts w:cs="Courier New"/>
    </w:rPr>
  </w:style>
  <w:style w:type="character" w:customStyle="1" w:styleId="ListLabel51">
    <w:name w:val="ListLabel 51"/>
    <w:rsid w:val="003C3957"/>
    <w:rPr>
      <w:rFonts w:cs="Wingdings"/>
    </w:rPr>
  </w:style>
  <w:style w:type="character" w:customStyle="1" w:styleId="ListLabel52">
    <w:name w:val="ListLabel 52"/>
    <w:rsid w:val="003C3957"/>
    <w:rPr>
      <w:rFonts w:cs="Symbol"/>
    </w:rPr>
  </w:style>
  <w:style w:type="character" w:customStyle="1" w:styleId="ListLabel53">
    <w:name w:val="ListLabel 53"/>
    <w:rsid w:val="003C3957"/>
    <w:rPr>
      <w:rFonts w:cs="Courier New"/>
    </w:rPr>
  </w:style>
  <w:style w:type="character" w:customStyle="1" w:styleId="ListLabel54">
    <w:name w:val="ListLabel 54"/>
    <w:rsid w:val="003C3957"/>
    <w:rPr>
      <w:rFonts w:cs="Wingdings"/>
    </w:rPr>
  </w:style>
  <w:style w:type="character" w:customStyle="1" w:styleId="ListLabel55">
    <w:name w:val="ListLabel 55"/>
    <w:rsid w:val="003C3957"/>
    <w:rPr>
      <w:rFonts w:cs="Symbol"/>
    </w:rPr>
  </w:style>
  <w:style w:type="character" w:customStyle="1" w:styleId="ListLabel56">
    <w:name w:val="ListLabel 56"/>
    <w:rsid w:val="003C3957"/>
    <w:rPr>
      <w:rFonts w:cs="Courier New"/>
    </w:rPr>
  </w:style>
  <w:style w:type="character" w:customStyle="1" w:styleId="ListLabel57">
    <w:name w:val="ListLabel 57"/>
    <w:rsid w:val="003C3957"/>
    <w:rPr>
      <w:rFonts w:cs="Wingdings"/>
    </w:rPr>
  </w:style>
  <w:style w:type="character" w:customStyle="1" w:styleId="ListLabel58">
    <w:name w:val="ListLabel 58"/>
    <w:rsid w:val="003C3957"/>
    <w:rPr>
      <w:rFonts w:cs="Symbol"/>
    </w:rPr>
  </w:style>
  <w:style w:type="character" w:customStyle="1" w:styleId="ListLabel59">
    <w:name w:val="ListLabel 59"/>
    <w:rsid w:val="003C3957"/>
    <w:rPr>
      <w:rFonts w:cs="Courier New"/>
    </w:rPr>
  </w:style>
  <w:style w:type="character" w:customStyle="1" w:styleId="ListLabel60">
    <w:name w:val="ListLabel 60"/>
    <w:rsid w:val="003C3957"/>
    <w:rPr>
      <w:rFonts w:cs="Wingdings"/>
    </w:rPr>
  </w:style>
  <w:style w:type="character" w:customStyle="1" w:styleId="ListLabel61">
    <w:name w:val="ListLabel 61"/>
    <w:rsid w:val="003C3957"/>
    <w:rPr>
      <w:rFonts w:cs="Symbol"/>
    </w:rPr>
  </w:style>
  <w:style w:type="character" w:customStyle="1" w:styleId="ListLabel62">
    <w:name w:val="ListLabel 62"/>
    <w:rsid w:val="003C3957"/>
    <w:rPr>
      <w:rFonts w:cs="Courier New"/>
    </w:rPr>
  </w:style>
  <w:style w:type="character" w:customStyle="1" w:styleId="ListLabel63">
    <w:name w:val="ListLabel 63"/>
    <w:rsid w:val="003C3957"/>
    <w:rPr>
      <w:rFonts w:cs="Wingdings"/>
    </w:rPr>
  </w:style>
  <w:style w:type="character" w:customStyle="1" w:styleId="ListLabel64">
    <w:name w:val="ListLabel 64"/>
    <w:rsid w:val="003C3957"/>
    <w:rPr>
      <w:rFonts w:cs="Symbol"/>
    </w:rPr>
  </w:style>
  <w:style w:type="character" w:customStyle="1" w:styleId="ListLabel65">
    <w:name w:val="ListLabel 65"/>
    <w:rsid w:val="003C3957"/>
    <w:rPr>
      <w:rFonts w:cs="Courier New"/>
    </w:rPr>
  </w:style>
  <w:style w:type="character" w:customStyle="1" w:styleId="ListLabel66">
    <w:name w:val="ListLabel 66"/>
    <w:rsid w:val="003C3957"/>
    <w:rPr>
      <w:rFonts w:cs="Wingdings"/>
    </w:rPr>
  </w:style>
  <w:style w:type="character" w:customStyle="1" w:styleId="ListLabel67">
    <w:name w:val="ListLabel 67"/>
    <w:rsid w:val="003C3957"/>
    <w:rPr>
      <w:rFonts w:cs="Symbol"/>
    </w:rPr>
  </w:style>
  <w:style w:type="character" w:customStyle="1" w:styleId="ListLabel68">
    <w:name w:val="ListLabel 68"/>
    <w:rsid w:val="003C3957"/>
    <w:rPr>
      <w:rFonts w:cs="Courier New"/>
    </w:rPr>
  </w:style>
  <w:style w:type="character" w:customStyle="1" w:styleId="ListLabel69">
    <w:name w:val="ListLabel 69"/>
    <w:rsid w:val="003C3957"/>
    <w:rPr>
      <w:rFonts w:cs="Wingdings"/>
    </w:rPr>
  </w:style>
  <w:style w:type="character" w:customStyle="1" w:styleId="ListLabel70">
    <w:name w:val="ListLabel 70"/>
    <w:rsid w:val="003C3957"/>
    <w:rPr>
      <w:rFonts w:cs="Symbol"/>
    </w:rPr>
  </w:style>
  <w:style w:type="character" w:customStyle="1" w:styleId="ListLabel71">
    <w:name w:val="ListLabel 71"/>
    <w:rsid w:val="003C3957"/>
    <w:rPr>
      <w:rFonts w:cs="Courier New"/>
    </w:rPr>
  </w:style>
  <w:style w:type="character" w:customStyle="1" w:styleId="ListLabel72">
    <w:name w:val="ListLabel 72"/>
    <w:rsid w:val="003C3957"/>
    <w:rPr>
      <w:rFonts w:cs="Wingdings"/>
    </w:rPr>
  </w:style>
  <w:style w:type="character" w:customStyle="1" w:styleId="ListLabel73">
    <w:name w:val="ListLabel 73"/>
    <w:rsid w:val="003C3957"/>
    <w:rPr>
      <w:rFonts w:cs="Symbol"/>
    </w:rPr>
  </w:style>
  <w:style w:type="character" w:customStyle="1" w:styleId="ListLabel74">
    <w:name w:val="ListLabel 74"/>
    <w:rsid w:val="003C3957"/>
    <w:rPr>
      <w:rFonts w:cs="Courier New"/>
    </w:rPr>
  </w:style>
  <w:style w:type="character" w:customStyle="1" w:styleId="ListLabel75">
    <w:name w:val="ListLabel 75"/>
    <w:rsid w:val="003C3957"/>
    <w:rPr>
      <w:rFonts w:cs="Wingdings"/>
    </w:rPr>
  </w:style>
  <w:style w:type="character" w:customStyle="1" w:styleId="ListLabel76">
    <w:name w:val="ListLabel 76"/>
    <w:rsid w:val="003C3957"/>
    <w:rPr>
      <w:rFonts w:cs="Symbol"/>
    </w:rPr>
  </w:style>
  <w:style w:type="character" w:customStyle="1" w:styleId="ListLabel77">
    <w:name w:val="ListLabel 77"/>
    <w:rsid w:val="003C3957"/>
    <w:rPr>
      <w:rFonts w:cs="Courier New"/>
    </w:rPr>
  </w:style>
  <w:style w:type="character" w:customStyle="1" w:styleId="ListLabel78">
    <w:name w:val="ListLabel 78"/>
    <w:rsid w:val="003C3957"/>
    <w:rPr>
      <w:rFonts w:cs="Wingdings"/>
    </w:rPr>
  </w:style>
  <w:style w:type="character" w:customStyle="1" w:styleId="ListLabel79">
    <w:name w:val="ListLabel 79"/>
    <w:rsid w:val="003C3957"/>
    <w:rPr>
      <w:rFonts w:cs="Symbol"/>
    </w:rPr>
  </w:style>
  <w:style w:type="character" w:customStyle="1" w:styleId="ListLabel80">
    <w:name w:val="ListLabel 80"/>
    <w:rsid w:val="003C3957"/>
    <w:rPr>
      <w:rFonts w:cs="Courier New"/>
    </w:rPr>
  </w:style>
  <w:style w:type="character" w:customStyle="1" w:styleId="ListLabel81">
    <w:name w:val="ListLabel 81"/>
    <w:rsid w:val="003C3957"/>
    <w:rPr>
      <w:rFonts w:cs="Wingdings"/>
    </w:rPr>
  </w:style>
  <w:style w:type="character" w:customStyle="1" w:styleId="ListLabel82">
    <w:name w:val="ListLabel 82"/>
    <w:rsid w:val="003C3957"/>
    <w:rPr>
      <w:rFonts w:cs="Symbol"/>
    </w:rPr>
  </w:style>
  <w:style w:type="character" w:customStyle="1" w:styleId="ListLabel83">
    <w:name w:val="ListLabel 83"/>
    <w:rsid w:val="003C3957"/>
    <w:rPr>
      <w:rFonts w:cs="Courier New"/>
    </w:rPr>
  </w:style>
  <w:style w:type="character" w:customStyle="1" w:styleId="ListLabel84">
    <w:name w:val="ListLabel 84"/>
    <w:rsid w:val="003C3957"/>
    <w:rPr>
      <w:rFonts w:cs="Wingdings"/>
    </w:rPr>
  </w:style>
  <w:style w:type="character" w:customStyle="1" w:styleId="ListLabel85">
    <w:name w:val="ListLabel 85"/>
    <w:rsid w:val="003C3957"/>
    <w:rPr>
      <w:rFonts w:cs="Symbol"/>
    </w:rPr>
  </w:style>
  <w:style w:type="character" w:customStyle="1" w:styleId="ListLabel86">
    <w:name w:val="ListLabel 86"/>
    <w:rsid w:val="003C3957"/>
    <w:rPr>
      <w:rFonts w:cs="Courier New"/>
    </w:rPr>
  </w:style>
  <w:style w:type="character" w:customStyle="1" w:styleId="ListLabel87">
    <w:name w:val="ListLabel 87"/>
    <w:rsid w:val="003C3957"/>
    <w:rPr>
      <w:rFonts w:cs="Wingdings"/>
    </w:rPr>
  </w:style>
  <w:style w:type="character" w:customStyle="1" w:styleId="ListLabel88">
    <w:name w:val="ListLabel 88"/>
    <w:rsid w:val="003C3957"/>
    <w:rPr>
      <w:rFonts w:cs="Symbol"/>
    </w:rPr>
  </w:style>
  <w:style w:type="character" w:customStyle="1" w:styleId="ListLabel89">
    <w:name w:val="ListLabel 89"/>
    <w:rsid w:val="003C3957"/>
    <w:rPr>
      <w:rFonts w:cs="Courier New"/>
    </w:rPr>
  </w:style>
  <w:style w:type="character" w:customStyle="1" w:styleId="ListLabel90">
    <w:name w:val="ListLabel 90"/>
    <w:rsid w:val="003C3957"/>
    <w:rPr>
      <w:rFonts w:cs="Wingdings"/>
    </w:rPr>
  </w:style>
  <w:style w:type="character" w:customStyle="1" w:styleId="ListLabel91">
    <w:name w:val="ListLabel 91"/>
    <w:rsid w:val="003C3957"/>
    <w:rPr>
      <w:rFonts w:cs="Symbol"/>
    </w:rPr>
  </w:style>
  <w:style w:type="character" w:customStyle="1" w:styleId="ListLabel92">
    <w:name w:val="ListLabel 92"/>
    <w:rsid w:val="003C3957"/>
    <w:rPr>
      <w:rFonts w:cs="Courier New"/>
    </w:rPr>
  </w:style>
  <w:style w:type="character" w:customStyle="1" w:styleId="ListLabel93">
    <w:name w:val="ListLabel 93"/>
    <w:rsid w:val="003C3957"/>
    <w:rPr>
      <w:rFonts w:cs="Wingdings"/>
    </w:rPr>
  </w:style>
  <w:style w:type="character" w:customStyle="1" w:styleId="ListLabel94">
    <w:name w:val="ListLabel 94"/>
    <w:rsid w:val="003C3957"/>
    <w:rPr>
      <w:rFonts w:cs="Symbol"/>
    </w:rPr>
  </w:style>
  <w:style w:type="character" w:customStyle="1" w:styleId="ListLabel95">
    <w:name w:val="ListLabel 95"/>
    <w:rsid w:val="003C3957"/>
    <w:rPr>
      <w:rFonts w:cs="Courier New"/>
    </w:rPr>
  </w:style>
  <w:style w:type="character" w:customStyle="1" w:styleId="ListLabel96">
    <w:name w:val="ListLabel 96"/>
    <w:rsid w:val="003C3957"/>
    <w:rPr>
      <w:rFonts w:cs="Wingdings"/>
    </w:rPr>
  </w:style>
  <w:style w:type="character" w:customStyle="1" w:styleId="ListLabel97">
    <w:name w:val="ListLabel 97"/>
    <w:rsid w:val="003C3957"/>
    <w:rPr>
      <w:rFonts w:cs="Symbol"/>
    </w:rPr>
  </w:style>
  <w:style w:type="character" w:customStyle="1" w:styleId="ListLabel98">
    <w:name w:val="ListLabel 98"/>
    <w:rsid w:val="003C3957"/>
    <w:rPr>
      <w:rFonts w:cs="Courier New"/>
    </w:rPr>
  </w:style>
  <w:style w:type="character" w:customStyle="1" w:styleId="ListLabel99">
    <w:name w:val="ListLabel 99"/>
    <w:rsid w:val="003C3957"/>
    <w:rPr>
      <w:rFonts w:cs="Wingdings"/>
    </w:rPr>
  </w:style>
  <w:style w:type="character" w:customStyle="1" w:styleId="ListLabel100">
    <w:name w:val="ListLabel 100"/>
    <w:rsid w:val="003C3957"/>
    <w:rPr>
      <w:rFonts w:cs="Symbol"/>
    </w:rPr>
  </w:style>
  <w:style w:type="character" w:customStyle="1" w:styleId="ListLabel101">
    <w:name w:val="ListLabel 101"/>
    <w:rsid w:val="003C3957"/>
    <w:rPr>
      <w:rFonts w:cs="Courier New"/>
    </w:rPr>
  </w:style>
  <w:style w:type="character" w:customStyle="1" w:styleId="ListLabel102">
    <w:name w:val="ListLabel 102"/>
    <w:rsid w:val="003C3957"/>
    <w:rPr>
      <w:rFonts w:cs="Wingdings"/>
    </w:rPr>
  </w:style>
  <w:style w:type="character" w:customStyle="1" w:styleId="ListLabel103">
    <w:name w:val="ListLabel 103"/>
    <w:rsid w:val="003C3957"/>
    <w:rPr>
      <w:rFonts w:cs="Symbol"/>
    </w:rPr>
  </w:style>
  <w:style w:type="character" w:customStyle="1" w:styleId="ListLabel104">
    <w:name w:val="ListLabel 104"/>
    <w:rsid w:val="003C3957"/>
    <w:rPr>
      <w:rFonts w:cs="Courier New"/>
    </w:rPr>
  </w:style>
  <w:style w:type="character" w:customStyle="1" w:styleId="ListLabel105">
    <w:name w:val="ListLabel 105"/>
    <w:rsid w:val="003C3957"/>
    <w:rPr>
      <w:rFonts w:cs="Wingdings"/>
    </w:rPr>
  </w:style>
  <w:style w:type="character" w:customStyle="1" w:styleId="ListLabel106">
    <w:name w:val="ListLabel 106"/>
    <w:rsid w:val="003C3957"/>
    <w:rPr>
      <w:rFonts w:cs="Symbol"/>
    </w:rPr>
  </w:style>
  <w:style w:type="character" w:customStyle="1" w:styleId="ListLabel107">
    <w:name w:val="ListLabel 107"/>
    <w:rsid w:val="003C3957"/>
    <w:rPr>
      <w:rFonts w:cs="Courier New"/>
    </w:rPr>
  </w:style>
  <w:style w:type="character" w:customStyle="1" w:styleId="ListLabel108">
    <w:name w:val="ListLabel 108"/>
    <w:rsid w:val="003C3957"/>
    <w:rPr>
      <w:rFonts w:cs="Wingdings"/>
    </w:rPr>
  </w:style>
  <w:style w:type="character" w:customStyle="1" w:styleId="ListLabel109">
    <w:name w:val="ListLabel 109"/>
    <w:rsid w:val="003C3957"/>
    <w:rPr>
      <w:rFonts w:cs="Noto Sans Symbols"/>
    </w:rPr>
  </w:style>
  <w:style w:type="character" w:customStyle="1" w:styleId="ListLabel110">
    <w:name w:val="ListLabel 110"/>
    <w:rsid w:val="003C3957"/>
    <w:rPr>
      <w:rFonts w:cs="Courier New"/>
    </w:rPr>
  </w:style>
  <w:style w:type="character" w:customStyle="1" w:styleId="ListLabel111">
    <w:name w:val="ListLabel 111"/>
    <w:rsid w:val="003C3957"/>
    <w:rPr>
      <w:rFonts w:cs="Noto Sans Symbols"/>
    </w:rPr>
  </w:style>
  <w:style w:type="character" w:customStyle="1" w:styleId="ListLabel112">
    <w:name w:val="ListLabel 112"/>
    <w:rsid w:val="003C3957"/>
    <w:rPr>
      <w:rFonts w:cs="Noto Sans Symbols"/>
    </w:rPr>
  </w:style>
  <w:style w:type="character" w:customStyle="1" w:styleId="ListLabel113">
    <w:name w:val="ListLabel 113"/>
    <w:rsid w:val="003C3957"/>
    <w:rPr>
      <w:rFonts w:cs="Courier New"/>
    </w:rPr>
  </w:style>
  <w:style w:type="character" w:customStyle="1" w:styleId="ListLabel114">
    <w:name w:val="ListLabel 114"/>
    <w:rsid w:val="003C3957"/>
    <w:rPr>
      <w:rFonts w:cs="Noto Sans Symbols"/>
    </w:rPr>
  </w:style>
  <w:style w:type="character" w:customStyle="1" w:styleId="ListLabel115">
    <w:name w:val="ListLabel 115"/>
    <w:rsid w:val="003C3957"/>
    <w:rPr>
      <w:rFonts w:cs="Noto Sans Symbols"/>
    </w:rPr>
  </w:style>
  <w:style w:type="character" w:customStyle="1" w:styleId="ListLabel116">
    <w:name w:val="ListLabel 116"/>
    <w:rsid w:val="003C3957"/>
    <w:rPr>
      <w:rFonts w:cs="Courier New"/>
    </w:rPr>
  </w:style>
  <w:style w:type="character" w:customStyle="1" w:styleId="ListLabel117">
    <w:name w:val="ListLabel 117"/>
    <w:rsid w:val="003C3957"/>
    <w:rPr>
      <w:rFonts w:cs="Noto Sans Symbols"/>
    </w:rPr>
  </w:style>
  <w:style w:type="character" w:customStyle="1" w:styleId="ListLabel118">
    <w:name w:val="ListLabel 118"/>
    <w:rsid w:val="003C3957"/>
    <w:rPr>
      <w:rFonts w:cs="Symbol"/>
    </w:rPr>
  </w:style>
  <w:style w:type="character" w:customStyle="1" w:styleId="ListLabel119">
    <w:name w:val="ListLabel 119"/>
    <w:rsid w:val="003C3957"/>
    <w:rPr>
      <w:rFonts w:cs="Courier New"/>
    </w:rPr>
  </w:style>
  <w:style w:type="character" w:customStyle="1" w:styleId="ListLabel120">
    <w:name w:val="ListLabel 120"/>
    <w:rsid w:val="003C3957"/>
    <w:rPr>
      <w:rFonts w:cs="Wingdings"/>
    </w:rPr>
  </w:style>
  <w:style w:type="character" w:customStyle="1" w:styleId="ListLabel121">
    <w:name w:val="ListLabel 121"/>
    <w:rsid w:val="003C3957"/>
    <w:rPr>
      <w:rFonts w:cs="Symbol"/>
    </w:rPr>
  </w:style>
  <w:style w:type="character" w:customStyle="1" w:styleId="ListLabel122">
    <w:name w:val="ListLabel 122"/>
    <w:rsid w:val="003C3957"/>
    <w:rPr>
      <w:rFonts w:cs="Courier New"/>
    </w:rPr>
  </w:style>
  <w:style w:type="character" w:customStyle="1" w:styleId="ListLabel123">
    <w:name w:val="ListLabel 123"/>
    <w:rsid w:val="003C3957"/>
    <w:rPr>
      <w:rFonts w:cs="Wingdings"/>
    </w:rPr>
  </w:style>
  <w:style w:type="character" w:customStyle="1" w:styleId="ListLabel124">
    <w:name w:val="ListLabel 124"/>
    <w:rsid w:val="003C3957"/>
    <w:rPr>
      <w:rFonts w:cs="Symbol"/>
    </w:rPr>
  </w:style>
  <w:style w:type="character" w:customStyle="1" w:styleId="ListLabel125">
    <w:name w:val="ListLabel 125"/>
    <w:rsid w:val="003C3957"/>
    <w:rPr>
      <w:rFonts w:cs="Courier New"/>
    </w:rPr>
  </w:style>
  <w:style w:type="character" w:customStyle="1" w:styleId="ListLabel126">
    <w:name w:val="ListLabel 126"/>
    <w:rsid w:val="003C3957"/>
    <w:rPr>
      <w:rFonts w:cs="Wingdings"/>
    </w:rPr>
  </w:style>
  <w:style w:type="paragraph" w:customStyle="1" w:styleId="Nagwek10">
    <w:name w:val="Nagłówek1"/>
    <w:basedOn w:val="Normalny"/>
    <w:next w:val="Tekstpodstawowy"/>
    <w:rsid w:val="003C3957"/>
    <w:pPr>
      <w:keepNext/>
      <w:suppressAutoHyphens/>
      <w:spacing w:before="240"/>
    </w:pPr>
    <w:rPr>
      <w:rFonts w:ascii="Liberation Sans" w:eastAsia="Microsoft YaHei" w:hAnsi="Liberation Sans"/>
      <w:sz w:val="28"/>
      <w:szCs w:val="28"/>
    </w:rPr>
  </w:style>
  <w:style w:type="paragraph" w:styleId="Tekstpodstawowy">
    <w:name w:val="Body Text"/>
    <w:basedOn w:val="Normalny"/>
    <w:link w:val="TekstpodstawowyZnak"/>
    <w:rsid w:val="003C3957"/>
    <w:pPr>
      <w:suppressAutoHyphens/>
      <w:spacing w:before="0" w:after="140" w:line="276" w:lineRule="auto"/>
    </w:pPr>
  </w:style>
  <w:style w:type="character" w:customStyle="1" w:styleId="TekstpodstawowyZnak">
    <w:name w:val="Tekst podstawowy Znak"/>
    <w:basedOn w:val="Domylnaczcionkaakapitu"/>
    <w:link w:val="Tekstpodstawowy"/>
    <w:rsid w:val="003C3957"/>
    <w:rPr>
      <w:rFonts w:ascii="Arial Narrow" w:hAnsi="Arial Narrow"/>
      <w:color w:val="002060"/>
      <w:sz w:val="22"/>
      <w:szCs w:val="22"/>
      <w:lang w:eastAsia="en-US"/>
    </w:rPr>
  </w:style>
  <w:style w:type="paragraph" w:styleId="Lista">
    <w:name w:val="List"/>
    <w:basedOn w:val="Tekstpodstawowy"/>
    <w:rsid w:val="003C3957"/>
  </w:style>
  <w:style w:type="paragraph" w:customStyle="1" w:styleId="Indeks">
    <w:name w:val="Indeks"/>
    <w:basedOn w:val="Normalny"/>
    <w:rsid w:val="003C3957"/>
    <w:pPr>
      <w:suppressLineNumbers/>
      <w:suppressAutoHyphens/>
    </w:pPr>
  </w:style>
  <w:style w:type="paragraph" w:customStyle="1" w:styleId="Tekstdymka1">
    <w:name w:val="Tekst dymka1"/>
    <w:basedOn w:val="Normalny"/>
    <w:rsid w:val="003C3957"/>
    <w:pPr>
      <w:suppressAutoHyphens/>
      <w:spacing w:after="0" w:line="240" w:lineRule="auto"/>
    </w:pPr>
    <w:rPr>
      <w:rFonts w:ascii="Tahoma" w:hAnsi="Tahoma" w:cs="Tahoma"/>
      <w:sz w:val="16"/>
      <w:szCs w:val="16"/>
    </w:rPr>
  </w:style>
  <w:style w:type="paragraph" w:customStyle="1" w:styleId="Tekstkomentarza1">
    <w:name w:val="Tekst komentarza1"/>
    <w:basedOn w:val="Normalny"/>
    <w:rsid w:val="003C3957"/>
    <w:pPr>
      <w:suppressAutoHyphens/>
      <w:spacing w:line="240" w:lineRule="auto"/>
    </w:pPr>
    <w:rPr>
      <w:rFonts w:cs="Times New Roman"/>
      <w:sz w:val="20"/>
      <w:szCs w:val="20"/>
    </w:rPr>
  </w:style>
  <w:style w:type="paragraph" w:customStyle="1" w:styleId="Gwkaistopka">
    <w:name w:val="Główka i stopka"/>
    <w:basedOn w:val="Normalny"/>
    <w:rsid w:val="003C3957"/>
    <w:pPr>
      <w:suppressAutoHyphens/>
    </w:pPr>
  </w:style>
  <w:style w:type="paragraph" w:customStyle="1" w:styleId="Tematkomentarza1">
    <w:name w:val="Temat komentarza1"/>
    <w:basedOn w:val="Tekstkomentarza1"/>
    <w:next w:val="Tekstkomentarza1"/>
    <w:rsid w:val="003C3957"/>
    <w:rPr>
      <w:rFonts w:cs="Arial"/>
      <w:b/>
      <w:bCs/>
    </w:rPr>
  </w:style>
  <w:style w:type="paragraph" w:customStyle="1" w:styleId="Akapitzlist1">
    <w:name w:val="Akapit z listą1"/>
    <w:basedOn w:val="Normalny"/>
    <w:rsid w:val="003C3957"/>
    <w:pPr>
      <w:suppressAutoHyphens/>
      <w:ind w:left="720"/>
      <w:contextualSpacing/>
    </w:pPr>
  </w:style>
  <w:style w:type="paragraph" w:customStyle="1" w:styleId="Nagwekspisutreci1">
    <w:name w:val="Nagłówek spisu treści1"/>
    <w:basedOn w:val="Nagwek1"/>
    <w:next w:val="Normalny"/>
    <w:rsid w:val="003C3957"/>
    <w:pPr>
      <w:suppressAutoHyphens/>
    </w:pPr>
    <w:rPr>
      <w:lang w:eastAsia="pl-PL"/>
    </w:rPr>
  </w:style>
  <w:style w:type="paragraph" w:customStyle="1" w:styleId="Legenda1">
    <w:name w:val="Legenda1"/>
    <w:basedOn w:val="Normalny"/>
    <w:next w:val="Normalny"/>
    <w:rsid w:val="003C3957"/>
    <w:pPr>
      <w:suppressAutoHyphens/>
      <w:spacing w:line="240" w:lineRule="auto"/>
    </w:pPr>
    <w:rPr>
      <w:b/>
      <w:bCs/>
      <w:color w:val="4F81BD"/>
      <w:sz w:val="18"/>
      <w:szCs w:val="18"/>
    </w:rPr>
  </w:style>
  <w:style w:type="paragraph" w:customStyle="1" w:styleId="Tekstpodstawowy31">
    <w:name w:val="Tekst podstawowy 31"/>
    <w:basedOn w:val="Normalny"/>
    <w:rsid w:val="003C3957"/>
    <w:pPr>
      <w:suppressAutoHyphens/>
      <w:spacing w:line="240" w:lineRule="auto"/>
    </w:pPr>
    <w:rPr>
      <w:rFonts w:ascii="Times New Roman" w:eastAsia="Times New Roman" w:hAnsi="Times New Roman" w:cs="Times New Roman"/>
      <w:sz w:val="16"/>
      <w:szCs w:val="16"/>
      <w:lang w:eastAsia="pl-PL"/>
    </w:rPr>
  </w:style>
  <w:style w:type="paragraph" w:customStyle="1" w:styleId="Tekstpodstawowywcity21">
    <w:name w:val="Tekst podstawowy wcięty 21"/>
    <w:basedOn w:val="Normalny"/>
    <w:rsid w:val="003C3957"/>
    <w:pPr>
      <w:suppressAutoHyphens/>
      <w:spacing w:line="480" w:lineRule="auto"/>
      <w:ind w:left="283"/>
    </w:pPr>
    <w:rPr>
      <w:rFonts w:ascii="Times New Roman" w:eastAsia="Times New Roman" w:hAnsi="Times New Roman" w:cs="Times New Roman"/>
      <w:sz w:val="24"/>
      <w:szCs w:val="24"/>
      <w:lang w:eastAsia="pl-PL"/>
    </w:rPr>
  </w:style>
  <w:style w:type="paragraph" w:customStyle="1" w:styleId="Cytatintensywny1">
    <w:name w:val="Cytat intensywny1"/>
    <w:basedOn w:val="Normalny"/>
    <w:next w:val="Normalny"/>
    <w:rsid w:val="003C3957"/>
    <w:pPr>
      <w:pBdr>
        <w:top w:val="none" w:sz="0" w:space="0" w:color="000000"/>
        <w:left w:val="none" w:sz="0" w:space="0" w:color="000000"/>
        <w:bottom w:val="single" w:sz="4" w:space="4" w:color="4F81BD"/>
        <w:right w:val="none" w:sz="0" w:space="0" w:color="000000"/>
      </w:pBdr>
      <w:suppressAutoHyphens/>
      <w:spacing w:before="200" w:after="280"/>
      <w:ind w:left="936" w:right="936"/>
    </w:pPr>
    <w:rPr>
      <w:rFonts w:cs="Times New Roman"/>
      <w:b/>
      <w:bCs/>
      <w:i/>
      <w:iCs/>
      <w:color w:val="4F81BD"/>
    </w:rPr>
  </w:style>
  <w:style w:type="paragraph" w:customStyle="1" w:styleId="NormalnyWeb1">
    <w:name w:val="Normalny (Web)1"/>
    <w:basedOn w:val="Normalny"/>
    <w:rsid w:val="003C3957"/>
    <w:pPr>
      <w:suppressAutoHyphens/>
      <w:spacing w:before="280" w:after="280" w:line="240" w:lineRule="auto"/>
    </w:pPr>
    <w:rPr>
      <w:rFonts w:ascii="Times New Roman" w:eastAsia="Times New Roman" w:hAnsi="Times New Roman" w:cs="Times New Roman"/>
      <w:sz w:val="24"/>
      <w:szCs w:val="24"/>
      <w:lang w:eastAsia="pl-PL"/>
    </w:rPr>
  </w:style>
  <w:style w:type="paragraph" w:customStyle="1" w:styleId="Poprawka1">
    <w:name w:val="Poprawka1"/>
    <w:rsid w:val="003C3957"/>
    <w:pPr>
      <w:suppressAutoHyphens/>
    </w:pPr>
    <w:rPr>
      <w:sz w:val="22"/>
      <w:szCs w:val="22"/>
      <w:lang w:eastAsia="en-US"/>
    </w:rPr>
  </w:style>
  <w:style w:type="paragraph" w:customStyle="1" w:styleId="Bezodstpw1">
    <w:name w:val="Bez odstępów1"/>
    <w:next w:val="Normalny"/>
    <w:rsid w:val="003C3957"/>
    <w:pPr>
      <w:suppressAutoHyphens/>
      <w:spacing w:before="40" w:after="160"/>
      <w:jc w:val="both"/>
    </w:pPr>
    <w:rPr>
      <w:rFonts w:ascii="Arial" w:hAnsi="Arial"/>
      <w:i/>
      <w:color w:val="002060"/>
      <w:sz w:val="18"/>
      <w:szCs w:val="22"/>
      <w:lang w:eastAsia="en-US"/>
    </w:rPr>
  </w:style>
  <w:style w:type="paragraph" w:customStyle="1" w:styleId="Zawartoramki">
    <w:name w:val="Zawartość ramki"/>
    <w:basedOn w:val="Normalny"/>
    <w:rsid w:val="003C3957"/>
    <w:pPr>
      <w:suppressAutoHyphens/>
    </w:pPr>
  </w:style>
  <w:style w:type="paragraph" w:customStyle="1" w:styleId="Zawartotabeli">
    <w:name w:val="Zawartość tabeli"/>
    <w:basedOn w:val="Normalny"/>
    <w:rsid w:val="003C3957"/>
    <w:pPr>
      <w:suppressLineNumbers/>
      <w:suppressAutoHyphens/>
    </w:pPr>
  </w:style>
  <w:style w:type="character" w:customStyle="1" w:styleId="TekstkomentarzaZnak1">
    <w:name w:val="Tekst komentarza Znak1"/>
    <w:uiPriority w:val="99"/>
    <w:semiHidden/>
    <w:rsid w:val="003C3957"/>
    <w:rPr>
      <w:rFonts w:ascii="Arial Narrow" w:eastAsia="Calibri" w:hAnsi="Arial Narrow" w:cs="Arial"/>
      <w:color w:val="002060"/>
      <w:lang w:eastAsia="en-US"/>
    </w:rPr>
  </w:style>
  <w:style w:type="character" w:customStyle="1" w:styleId="TematkomentarzaZnak1">
    <w:name w:val="Temat komentarza Znak1"/>
    <w:uiPriority w:val="99"/>
    <w:semiHidden/>
    <w:rsid w:val="003C3957"/>
    <w:rPr>
      <w:rFonts w:ascii="Arial Narrow" w:eastAsia="Calibri" w:hAnsi="Arial Narrow" w:cs="Arial"/>
      <w:b/>
      <w:bCs/>
      <w:color w:val="002060"/>
      <w:lang w:eastAsia="en-US"/>
    </w:rPr>
  </w:style>
  <w:style w:type="character" w:customStyle="1" w:styleId="Odwoaniedokomentarza2">
    <w:name w:val="Odwołanie do komentarza2"/>
    <w:rsid w:val="00B620BC"/>
    <w:rPr>
      <w:sz w:val="16"/>
      <w:szCs w:val="16"/>
    </w:rPr>
  </w:style>
  <w:style w:type="paragraph" w:customStyle="1" w:styleId="Legenda2">
    <w:name w:val="Legenda2"/>
    <w:basedOn w:val="Normalny"/>
    <w:next w:val="Normalny"/>
    <w:rsid w:val="00B620BC"/>
    <w:pPr>
      <w:suppressAutoHyphens/>
      <w:spacing w:line="240" w:lineRule="auto"/>
    </w:pPr>
    <w:rPr>
      <w:b/>
      <w:bCs/>
      <w:color w:val="4F81BD"/>
      <w:sz w:val="18"/>
      <w:szCs w:val="18"/>
    </w:rPr>
  </w:style>
  <w:style w:type="paragraph" w:customStyle="1" w:styleId="NormalnyWeb2">
    <w:name w:val="Normalny (Web)2"/>
    <w:basedOn w:val="Normalny"/>
    <w:rsid w:val="00B620BC"/>
    <w:pPr>
      <w:suppressAutoHyphens/>
      <w:spacing w:before="280" w:after="280" w:line="240" w:lineRule="auto"/>
    </w:pPr>
    <w:rPr>
      <w:rFonts w:ascii="Times New Roman" w:eastAsia="Times New Roman" w:hAnsi="Times New Roman" w:cs="Times New Roman"/>
      <w:sz w:val="24"/>
      <w:szCs w:val="24"/>
      <w:lang w:eastAsia="pl-PL"/>
    </w:rPr>
  </w:style>
  <w:style w:type="paragraph" w:customStyle="1" w:styleId="Bezodstpw2">
    <w:name w:val="Bez odstępów2"/>
    <w:next w:val="Normalny"/>
    <w:rsid w:val="00B620BC"/>
    <w:pPr>
      <w:suppressAutoHyphens/>
      <w:spacing w:before="40" w:after="160"/>
      <w:jc w:val="both"/>
    </w:pPr>
    <w:rPr>
      <w:rFonts w:ascii="Arial" w:hAnsi="Arial"/>
      <w:i/>
      <w:color w:val="002060"/>
      <w:sz w:val="18"/>
      <w:szCs w:val="22"/>
      <w:lang w:eastAsia="en-US"/>
    </w:rPr>
  </w:style>
  <w:style w:type="paragraph" w:customStyle="1" w:styleId="TekstprzypisudolnegoPodrozdziaPrzypisFunoteFootnotePodrozdzia3-EFunotentextFunotentextUrsprungFunotentextUrsprung-EFunotentextFootnotetextTekstprzypisuZnakZnakZnakZnakTekstprzypisuZnakZnakZnakZnakZnakPl">
    <w:name w:val="Tekst przypisu dolnego;Podrozdział;Przypis;Fußnote;Footnote;Podrozdzia3;-E Fuﬂnotentext;Fuﬂnotentext Ursprung;Fußnotentext Ursprung;-E Fußnotentext;Footnote text;Tekst przypisu Znak Znak Znak Znak;Tekst przypisu Znak Znak Znak Znak Znak;Pl"/>
    <w:basedOn w:val="Normalny"/>
    <w:link w:val="TekstprzypisudolnegoZnakPodrozdziaZnak1PrzypisZnak1FunoteZnak1FootnoteZnak1Podrozdzia3Znak1-EFunotentextZnak1FunotentextUrsprungZnak1FunotentextUrsprungZnak1-EFunotentextZnak1FootnotetextZnak1PlZnak"/>
    <w:rsid w:val="002C51A1"/>
    <w:pPr>
      <w:pBdr>
        <w:top w:val="none" w:sz="4" w:space="0" w:color="000000"/>
        <w:left w:val="none" w:sz="4" w:space="0" w:color="000000"/>
        <w:bottom w:val="none" w:sz="4" w:space="0" w:color="000000"/>
        <w:right w:val="none" w:sz="4" w:space="0" w:color="000000"/>
        <w:between w:val="none" w:sz="4" w:space="0" w:color="000000"/>
      </w:pBdr>
      <w:spacing w:before="0" w:after="0" w:line="240" w:lineRule="auto"/>
      <w:jc w:val="left"/>
    </w:pPr>
    <w:rPr>
      <w:rFonts w:ascii="Calibri" w:hAnsi="Calibri" w:cs="Times New Roman"/>
      <w:color w:val="auto"/>
      <w:sz w:val="20"/>
      <w:szCs w:val="20"/>
      <w:lang w:val="en-US" w:bidi="en-US"/>
    </w:rPr>
  </w:style>
  <w:style w:type="character" w:customStyle="1" w:styleId="TekstprzypisudolnegoZnakPodrozdziaZnak1PrzypisZnak1FunoteZnak1FootnoteZnak1Podrozdzia3Znak1-EFunotentextZnak1FunotentextUrsprungZnak1FunotentextUrsprungZnak1-EFunotentextZnak1FootnotetextZnak1PlZnak">
    <w:name w:val="Tekst przypisu dolnego Znak;Podrozdział Znak1;Przypis Znak1;Fußnote Znak1;Footnote Znak1;Podrozdzia3 Znak1;-E Fuﬂnotentext Znak1;Fuﬂnotentext Ursprung Znak1;Fußnotentext Ursprung Znak1;-E Fußnotentext Znak1;Footnote text Znak1;Pl Znak"/>
    <w:link w:val="TekstprzypisudolnegoPodrozdziaPrzypisFunoteFootnotePodrozdzia3-EFunotentextFunotentextUrsprungFunotentextUrsprung-EFunotentextFootnotetextTekstprzypisuZnakZnakZnakZnakTekstprzypisuZnakZnakZnakZnakZnakPl"/>
    <w:rsid w:val="002C51A1"/>
    <w:rPr>
      <w:rFonts w:cs="Times New Roman"/>
      <w:lang w:val="en-US" w:eastAsia="en-US" w:bidi="en-US"/>
    </w:rPr>
  </w:style>
  <w:style w:type="character" w:customStyle="1" w:styleId="Nierozpoznanawzmianka1">
    <w:name w:val="Nierozpoznana wzmianka1"/>
    <w:basedOn w:val="Domylnaczcionkaakapitu"/>
    <w:uiPriority w:val="99"/>
    <w:semiHidden/>
    <w:unhideWhenUsed/>
    <w:rsid w:val="00477C54"/>
    <w:rPr>
      <w:color w:val="605E5C"/>
      <w:shd w:val="clear" w:color="auto" w:fill="E1DFDD"/>
    </w:rPr>
  </w:style>
  <w:style w:type="character" w:customStyle="1" w:styleId="Nagwek4Znak">
    <w:name w:val="Nagłówek 4 Znak"/>
    <w:aliases w:val="Tytuł wykresu Znak"/>
    <w:basedOn w:val="Domylnaczcionkaakapitu"/>
    <w:link w:val="Nagwek4"/>
    <w:uiPriority w:val="9"/>
    <w:rsid w:val="003A5EA7"/>
    <w:rPr>
      <w:rFonts w:ascii="Arial Narrow" w:eastAsiaTheme="majorEastAsia" w:hAnsi="Arial Narrow" w:cstheme="majorBidi"/>
      <w:b/>
      <w:iCs/>
      <w:color w:val="002060"/>
      <w:sz w:val="21"/>
      <w:szCs w:val="22"/>
      <w:lang w:eastAsia="en-US"/>
    </w:rPr>
  </w:style>
  <w:style w:type="character" w:customStyle="1" w:styleId="BezodstpwZnak">
    <w:name w:val="Bez odstępów Znak"/>
    <w:aliases w:val="Źródło Znak"/>
    <w:basedOn w:val="Domylnaczcionkaakapitu"/>
    <w:link w:val="Bezodstpw"/>
    <w:uiPriority w:val="1"/>
    <w:rsid w:val="00A833F3"/>
    <w:rPr>
      <w:rFonts w:ascii="Arial Narrow" w:hAnsi="Arial Narrow"/>
      <w:i/>
      <w:color w:val="002060"/>
      <w:sz w:val="18"/>
      <w:szCs w:val="22"/>
      <w:lang w:eastAsia="en-US"/>
    </w:rPr>
  </w:style>
  <w:style w:type="character" w:customStyle="1" w:styleId="Nierozpoznanawzmianka12">
    <w:name w:val="Nierozpoznana wzmianka12"/>
    <w:basedOn w:val="Domylnaczcionkaakapitu"/>
    <w:uiPriority w:val="99"/>
    <w:semiHidden/>
    <w:unhideWhenUsed/>
    <w:rsid w:val="00410B38"/>
    <w:rPr>
      <w:color w:val="605E5C"/>
      <w:shd w:val="clear" w:color="auto" w:fill="E1DFDD"/>
    </w:rPr>
  </w:style>
  <w:style w:type="character" w:customStyle="1" w:styleId="Nierozpoznanawzmianka11">
    <w:name w:val="Nierozpoznana wzmianka11"/>
    <w:basedOn w:val="Domylnaczcionkaakapitu"/>
    <w:uiPriority w:val="99"/>
    <w:semiHidden/>
    <w:unhideWhenUsed/>
    <w:rsid w:val="007B7CEC"/>
    <w:rPr>
      <w:color w:val="605E5C"/>
      <w:shd w:val="clear" w:color="auto" w:fill="E1DFDD"/>
    </w:rPr>
  </w:style>
  <w:style w:type="character" w:customStyle="1" w:styleId="markedcontent">
    <w:name w:val="markedcontent"/>
    <w:basedOn w:val="Domylnaczcionkaakapitu"/>
    <w:rsid w:val="00F86F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45258">
      <w:bodyDiv w:val="1"/>
      <w:marLeft w:val="0"/>
      <w:marRight w:val="0"/>
      <w:marTop w:val="0"/>
      <w:marBottom w:val="0"/>
      <w:divBdr>
        <w:top w:val="none" w:sz="0" w:space="0" w:color="auto"/>
        <w:left w:val="none" w:sz="0" w:space="0" w:color="auto"/>
        <w:bottom w:val="none" w:sz="0" w:space="0" w:color="auto"/>
        <w:right w:val="none" w:sz="0" w:space="0" w:color="auto"/>
      </w:divBdr>
    </w:div>
    <w:div w:id="94519320">
      <w:bodyDiv w:val="1"/>
      <w:marLeft w:val="0"/>
      <w:marRight w:val="0"/>
      <w:marTop w:val="0"/>
      <w:marBottom w:val="0"/>
      <w:divBdr>
        <w:top w:val="none" w:sz="0" w:space="0" w:color="auto"/>
        <w:left w:val="none" w:sz="0" w:space="0" w:color="auto"/>
        <w:bottom w:val="none" w:sz="0" w:space="0" w:color="auto"/>
        <w:right w:val="none" w:sz="0" w:space="0" w:color="auto"/>
      </w:divBdr>
    </w:div>
    <w:div w:id="99877252">
      <w:bodyDiv w:val="1"/>
      <w:marLeft w:val="0"/>
      <w:marRight w:val="0"/>
      <w:marTop w:val="0"/>
      <w:marBottom w:val="0"/>
      <w:divBdr>
        <w:top w:val="none" w:sz="0" w:space="0" w:color="auto"/>
        <w:left w:val="none" w:sz="0" w:space="0" w:color="auto"/>
        <w:bottom w:val="none" w:sz="0" w:space="0" w:color="auto"/>
        <w:right w:val="none" w:sz="0" w:space="0" w:color="auto"/>
      </w:divBdr>
    </w:div>
    <w:div w:id="132991310">
      <w:bodyDiv w:val="1"/>
      <w:marLeft w:val="0"/>
      <w:marRight w:val="0"/>
      <w:marTop w:val="0"/>
      <w:marBottom w:val="0"/>
      <w:divBdr>
        <w:top w:val="none" w:sz="0" w:space="0" w:color="auto"/>
        <w:left w:val="none" w:sz="0" w:space="0" w:color="auto"/>
        <w:bottom w:val="none" w:sz="0" w:space="0" w:color="auto"/>
        <w:right w:val="none" w:sz="0" w:space="0" w:color="auto"/>
      </w:divBdr>
    </w:div>
    <w:div w:id="154415242">
      <w:bodyDiv w:val="1"/>
      <w:marLeft w:val="0"/>
      <w:marRight w:val="0"/>
      <w:marTop w:val="0"/>
      <w:marBottom w:val="0"/>
      <w:divBdr>
        <w:top w:val="none" w:sz="0" w:space="0" w:color="auto"/>
        <w:left w:val="none" w:sz="0" w:space="0" w:color="auto"/>
        <w:bottom w:val="none" w:sz="0" w:space="0" w:color="auto"/>
        <w:right w:val="none" w:sz="0" w:space="0" w:color="auto"/>
      </w:divBdr>
    </w:div>
    <w:div w:id="174154360">
      <w:bodyDiv w:val="1"/>
      <w:marLeft w:val="0"/>
      <w:marRight w:val="0"/>
      <w:marTop w:val="0"/>
      <w:marBottom w:val="0"/>
      <w:divBdr>
        <w:top w:val="none" w:sz="0" w:space="0" w:color="auto"/>
        <w:left w:val="none" w:sz="0" w:space="0" w:color="auto"/>
        <w:bottom w:val="none" w:sz="0" w:space="0" w:color="auto"/>
        <w:right w:val="none" w:sz="0" w:space="0" w:color="auto"/>
      </w:divBdr>
    </w:div>
    <w:div w:id="219560242">
      <w:bodyDiv w:val="1"/>
      <w:marLeft w:val="0"/>
      <w:marRight w:val="0"/>
      <w:marTop w:val="0"/>
      <w:marBottom w:val="0"/>
      <w:divBdr>
        <w:top w:val="none" w:sz="0" w:space="0" w:color="auto"/>
        <w:left w:val="none" w:sz="0" w:space="0" w:color="auto"/>
        <w:bottom w:val="none" w:sz="0" w:space="0" w:color="auto"/>
        <w:right w:val="none" w:sz="0" w:space="0" w:color="auto"/>
      </w:divBdr>
    </w:div>
    <w:div w:id="222369802">
      <w:bodyDiv w:val="1"/>
      <w:marLeft w:val="0"/>
      <w:marRight w:val="0"/>
      <w:marTop w:val="0"/>
      <w:marBottom w:val="0"/>
      <w:divBdr>
        <w:top w:val="none" w:sz="0" w:space="0" w:color="auto"/>
        <w:left w:val="none" w:sz="0" w:space="0" w:color="auto"/>
        <w:bottom w:val="none" w:sz="0" w:space="0" w:color="auto"/>
        <w:right w:val="none" w:sz="0" w:space="0" w:color="auto"/>
      </w:divBdr>
    </w:div>
    <w:div w:id="264853323">
      <w:bodyDiv w:val="1"/>
      <w:marLeft w:val="0"/>
      <w:marRight w:val="0"/>
      <w:marTop w:val="0"/>
      <w:marBottom w:val="0"/>
      <w:divBdr>
        <w:top w:val="none" w:sz="0" w:space="0" w:color="auto"/>
        <w:left w:val="none" w:sz="0" w:space="0" w:color="auto"/>
        <w:bottom w:val="none" w:sz="0" w:space="0" w:color="auto"/>
        <w:right w:val="none" w:sz="0" w:space="0" w:color="auto"/>
      </w:divBdr>
    </w:div>
    <w:div w:id="308949102">
      <w:bodyDiv w:val="1"/>
      <w:marLeft w:val="0"/>
      <w:marRight w:val="0"/>
      <w:marTop w:val="0"/>
      <w:marBottom w:val="0"/>
      <w:divBdr>
        <w:top w:val="none" w:sz="0" w:space="0" w:color="auto"/>
        <w:left w:val="none" w:sz="0" w:space="0" w:color="auto"/>
        <w:bottom w:val="none" w:sz="0" w:space="0" w:color="auto"/>
        <w:right w:val="none" w:sz="0" w:space="0" w:color="auto"/>
      </w:divBdr>
    </w:div>
    <w:div w:id="320306433">
      <w:bodyDiv w:val="1"/>
      <w:marLeft w:val="0"/>
      <w:marRight w:val="0"/>
      <w:marTop w:val="0"/>
      <w:marBottom w:val="0"/>
      <w:divBdr>
        <w:top w:val="none" w:sz="0" w:space="0" w:color="auto"/>
        <w:left w:val="none" w:sz="0" w:space="0" w:color="auto"/>
        <w:bottom w:val="none" w:sz="0" w:space="0" w:color="auto"/>
        <w:right w:val="none" w:sz="0" w:space="0" w:color="auto"/>
      </w:divBdr>
    </w:div>
    <w:div w:id="339813284">
      <w:bodyDiv w:val="1"/>
      <w:marLeft w:val="0"/>
      <w:marRight w:val="0"/>
      <w:marTop w:val="0"/>
      <w:marBottom w:val="0"/>
      <w:divBdr>
        <w:top w:val="none" w:sz="0" w:space="0" w:color="auto"/>
        <w:left w:val="none" w:sz="0" w:space="0" w:color="auto"/>
        <w:bottom w:val="none" w:sz="0" w:space="0" w:color="auto"/>
        <w:right w:val="none" w:sz="0" w:space="0" w:color="auto"/>
      </w:divBdr>
    </w:div>
    <w:div w:id="350571019">
      <w:bodyDiv w:val="1"/>
      <w:marLeft w:val="0"/>
      <w:marRight w:val="0"/>
      <w:marTop w:val="0"/>
      <w:marBottom w:val="0"/>
      <w:divBdr>
        <w:top w:val="none" w:sz="0" w:space="0" w:color="auto"/>
        <w:left w:val="none" w:sz="0" w:space="0" w:color="auto"/>
        <w:bottom w:val="none" w:sz="0" w:space="0" w:color="auto"/>
        <w:right w:val="none" w:sz="0" w:space="0" w:color="auto"/>
      </w:divBdr>
    </w:div>
    <w:div w:id="391655474">
      <w:bodyDiv w:val="1"/>
      <w:marLeft w:val="0"/>
      <w:marRight w:val="0"/>
      <w:marTop w:val="0"/>
      <w:marBottom w:val="0"/>
      <w:divBdr>
        <w:top w:val="none" w:sz="0" w:space="0" w:color="auto"/>
        <w:left w:val="none" w:sz="0" w:space="0" w:color="auto"/>
        <w:bottom w:val="none" w:sz="0" w:space="0" w:color="auto"/>
        <w:right w:val="none" w:sz="0" w:space="0" w:color="auto"/>
      </w:divBdr>
    </w:div>
    <w:div w:id="404256611">
      <w:bodyDiv w:val="1"/>
      <w:marLeft w:val="0"/>
      <w:marRight w:val="0"/>
      <w:marTop w:val="0"/>
      <w:marBottom w:val="0"/>
      <w:divBdr>
        <w:top w:val="none" w:sz="0" w:space="0" w:color="auto"/>
        <w:left w:val="none" w:sz="0" w:space="0" w:color="auto"/>
        <w:bottom w:val="none" w:sz="0" w:space="0" w:color="auto"/>
        <w:right w:val="none" w:sz="0" w:space="0" w:color="auto"/>
      </w:divBdr>
    </w:div>
    <w:div w:id="459805093">
      <w:bodyDiv w:val="1"/>
      <w:marLeft w:val="0"/>
      <w:marRight w:val="0"/>
      <w:marTop w:val="0"/>
      <w:marBottom w:val="0"/>
      <w:divBdr>
        <w:top w:val="none" w:sz="0" w:space="0" w:color="auto"/>
        <w:left w:val="none" w:sz="0" w:space="0" w:color="auto"/>
        <w:bottom w:val="none" w:sz="0" w:space="0" w:color="auto"/>
        <w:right w:val="none" w:sz="0" w:space="0" w:color="auto"/>
      </w:divBdr>
    </w:div>
    <w:div w:id="466750572">
      <w:bodyDiv w:val="1"/>
      <w:marLeft w:val="0"/>
      <w:marRight w:val="0"/>
      <w:marTop w:val="0"/>
      <w:marBottom w:val="0"/>
      <w:divBdr>
        <w:top w:val="none" w:sz="0" w:space="0" w:color="auto"/>
        <w:left w:val="none" w:sz="0" w:space="0" w:color="auto"/>
        <w:bottom w:val="none" w:sz="0" w:space="0" w:color="auto"/>
        <w:right w:val="none" w:sz="0" w:space="0" w:color="auto"/>
      </w:divBdr>
    </w:div>
    <w:div w:id="498615132">
      <w:bodyDiv w:val="1"/>
      <w:marLeft w:val="0"/>
      <w:marRight w:val="0"/>
      <w:marTop w:val="0"/>
      <w:marBottom w:val="0"/>
      <w:divBdr>
        <w:top w:val="none" w:sz="0" w:space="0" w:color="auto"/>
        <w:left w:val="none" w:sz="0" w:space="0" w:color="auto"/>
        <w:bottom w:val="none" w:sz="0" w:space="0" w:color="auto"/>
        <w:right w:val="none" w:sz="0" w:space="0" w:color="auto"/>
      </w:divBdr>
    </w:div>
    <w:div w:id="507907984">
      <w:bodyDiv w:val="1"/>
      <w:marLeft w:val="0"/>
      <w:marRight w:val="0"/>
      <w:marTop w:val="0"/>
      <w:marBottom w:val="0"/>
      <w:divBdr>
        <w:top w:val="none" w:sz="0" w:space="0" w:color="auto"/>
        <w:left w:val="none" w:sz="0" w:space="0" w:color="auto"/>
        <w:bottom w:val="none" w:sz="0" w:space="0" w:color="auto"/>
        <w:right w:val="none" w:sz="0" w:space="0" w:color="auto"/>
      </w:divBdr>
    </w:div>
    <w:div w:id="540441534">
      <w:bodyDiv w:val="1"/>
      <w:marLeft w:val="0"/>
      <w:marRight w:val="0"/>
      <w:marTop w:val="0"/>
      <w:marBottom w:val="0"/>
      <w:divBdr>
        <w:top w:val="none" w:sz="0" w:space="0" w:color="auto"/>
        <w:left w:val="none" w:sz="0" w:space="0" w:color="auto"/>
        <w:bottom w:val="none" w:sz="0" w:space="0" w:color="auto"/>
        <w:right w:val="none" w:sz="0" w:space="0" w:color="auto"/>
      </w:divBdr>
    </w:div>
    <w:div w:id="642581720">
      <w:bodyDiv w:val="1"/>
      <w:marLeft w:val="0"/>
      <w:marRight w:val="0"/>
      <w:marTop w:val="0"/>
      <w:marBottom w:val="0"/>
      <w:divBdr>
        <w:top w:val="none" w:sz="0" w:space="0" w:color="auto"/>
        <w:left w:val="none" w:sz="0" w:space="0" w:color="auto"/>
        <w:bottom w:val="none" w:sz="0" w:space="0" w:color="auto"/>
        <w:right w:val="none" w:sz="0" w:space="0" w:color="auto"/>
      </w:divBdr>
      <w:divsChild>
        <w:div w:id="1463769809">
          <w:marLeft w:val="0"/>
          <w:marRight w:val="0"/>
          <w:marTop w:val="0"/>
          <w:marBottom w:val="0"/>
          <w:divBdr>
            <w:top w:val="none" w:sz="0" w:space="0" w:color="auto"/>
            <w:left w:val="none" w:sz="0" w:space="0" w:color="auto"/>
            <w:bottom w:val="none" w:sz="0" w:space="0" w:color="auto"/>
            <w:right w:val="none" w:sz="0" w:space="0" w:color="auto"/>
          </w:divBdr>
        </w:div>
        <w:div w:id="1537812215">
          <w:marLeft w:val="0"/>
          <w:marRight w:val="0"/>
          <w:marTop w:val="0"/>
          <w:marBottom w:val="0"/>
          <w:divBdr>
            <w:top w:val="none" w:sz="0" w:space="0" w:color="auto"/>
            <w:left w:val="none" w:sz="0" w:space="0" w:color="auto"/>
            <w:bottom w:val="none" w:sz="0" w:space="0" w:color="auto"/>
            <w:right w:val="none" w:sz="0" w:space="0" w:color="auto"/>
          </w:divBdr>
        </w:div>
      </w:divsChild>
    </w:div>
    <w:div w:id="650066095">
      <w:bodyDiv w:val="1"/>
      <w:marLeft w:val="0"/>
      <w:marRight w:val="0"/>
      <w:marTop w:val="0"/>
      <w:marBottom w:val="0"/>
      <w:divBdr>
        <w:top w:val="none" w:sz="0" w:space="0" w:color="auto"/>
        <w:left w:val="none" w:sz="0" w:space="0" w:color="auto"/>
        <w:bottom w:val="none" w:sz="0" w:space="0" w:color="auto"/>
        <w:right w:val="none" w:sz="0" w:space="0" w:color="auto"/>
      </w:divBdr>
    </w:div>
    <w:div w:id="739329088">
      <w:bodyDiv w:val="1"/>
      <w:marLeft w:val="0"/>
      <w:marRight w:val="0"/>
      <w:marTop w:val="0"/>
      <w:marBottom w:val="0"/>
      <w:divBdr>
        <w:top w:val="none" w:sz="0" w:space="0" w:color="auto"/>
        <w:left w:val="none" w:sz="0" w:space="0" w:color="auto"/>
        <w:bottom w:val="none" w:sz="0" w:space="0" w:color="auto"/>
        <w:right w:val="none" w:sz="0" w:space="0" w:color="auto"/>
      </w:divBdr>
    </w:div>
    <w:div w:id="758598839">
      <w:bodyDiv w:val="1"/>
      <w:marLeft w:val="0"/>
      <w:marRight w:val="0"/>
      <w:marTop w:val="0"/>
      <w:marBottom w:val="0"/>
      <w:divBdr>
        <w:top w:val="none" w:sz="0" w:space="0" w:color="auto"/>
        <w:left w:val="none" w:sz="0" w:space="0" w:color="auto"/>
        <w:bottom w:val="none" w:sz="0" w:space="0" w:color="auto"/>
        <w:right w:val="none" w:sz="0" w:space="0" w:color="auto"/>
      </w:divBdr>
    </w:div>
    <w:div w:id="852303031">
      <w:bodyDiv w:val="1"/>
      <w:marLeft w:val="0"/>
      <w:marRight w:val="0"/>
      <w:marTop w:val="0"/>
      <w:marBottom w:val="0"/>
      <w:divBdr>
        <w:top w:val="none" w:sz="0" w:space="0" w:color="auto"/>
        <w:left w:val="none" w:sz="0" w:space="0" w:color="auto"/>
        <w:bottom w:val="none" w:sz="0" w:space="0" w:color="auto"/>
        <w:right w:val="none" w:sz="0" w:space="0" w:color="auto"/>
      </w:divBdr>
    </w:div>
    <w:div w:id="936866308">
      <w:bodyDiv w:val="1"/>
      <w:marLeft w:val="0"/>
      <w:marRight w:val="0"/>
      <w:marTop w:val="0"/>
      <w:marBottom w:val="0"/>
      <w:divBdr>
        <w:top w:val="none" w:sz="0" w:space="0" w:color="auto"/>
        <w:left w:val="none" w:sz="0" w:space="0" w:color="auto"/>
        <w:bottom w:val="none" w:sz="0" w:space="0" w:color="auto"/>
        <w:right w:val="none" w:sz="0" w:space="0" w:color="auto"/>
      </w:divBdr>
    </w:div>
    <w:div w:id="984967892">
      <w:bodyDiv w:val="1"/>
      <w:marLeft w:val="0"/>
      <w:marRight w:val="0"/>
      <w:marTop w:val="0"/>
      <w:marBottom w:val="0"/>
      <w:divBdr>
        <w:top w:val="none" w:sz="0" w:space="0" w:color="auto"/>
        <w:left w:val="none" w:sz="0" w:space="0" w:color="auto"/>
        <w:bottom w:val="none" w:sz="0" w:space="0" w:color="auto"/>
        <w:right w:val="none" w:sz="0" w:space="0" w:color="auto"/>
      </w:divBdr>
    </w:div>
    <w:div w:id="1020399734">
      <w:bodyDiv w:val="1"/>
      <w:marLeft w:val="0"/>
      <w:marRight w:val="0"/>
      <w:marTop w:val="0"/>
      <w:marBottom w:val="0"/>
      <w:divBdr>
        <w:top w:val="none" w:sz="0" w:space="0" w:color="auto"/>
        <w:left w:val="none" w:sz="0" w:space="0" w:color="auto"/>
        <w:bottom w:val="none" w:sz="0" w:space="0" w:color="auto"/>
        <w:right w:val="none" w:sz="0" w:space="0" w:color="auto"/>
      </w:divBdr>
    </w:div>
    <w:div w:id="1029835866">
      <w:bodyDiv w:val="1"/>
      <w:marLeft w:val="0"/>
      <w:marRight w:val="0"/>
      <w:marTop w:val="0"/>
      <w:marBottom w:val="0"/>
      <w:divBdr>
        <w:top w:val="none" w:sz="0" w:space="0" w:color="auto"/>
        <w:left w:val="none" w:sz="0" w:space="0" w:color="auto"/>
        <w:bottom w:val="none" w:sz="0" w:space="0" w:color="auto"/>
        <w:right w:val="none" w:sz="0" w:space="0" w:color="auto"/>
      </w:divBdr>
    </w:div>
    <w:div w:id="1038773288">
      <w:bodyDiv w:val="1"/>
      <w:marLeft w:val="0"/>
      <w:marRight w:val="0"/>
      <w:marTop w:val="0"/>
      <w:marBottom w:val="0"/>
      <w:divBdr>
        <w:top w:val="none" w:sz="0" w:space="0" w:color="auto"/>
        <w:left w:val="none" w:sz="0" w:space="0" w:color="auto"/>
        <w:bottom w:val="none" w:sz="0" w:space="0" w:color="auto"/>
        <w:right w:val="none" w:sz="0" w:space="0" w:color="auto"/>
      </w:divBdr>
    </w:div>
    <w:div w:id="1046760150">
      <w:bodyDiv w:val="1"/>
      <w:marLeft w:val="0"/>
      <w:marRight w:val="0"/>
      <w:marTop w:val="0"/>
      <w:marBottom w:val="0"/>
      <w:divBdr>
        <w:top w:val="none" w:sz="0" w:space="0" w:color="auto"/>
        <w:left w:val="none" w:sz="0" w:space="0" w:color="auto"/>
        <w:bottom w:val="none" w:sz="0" w:space="0" w:color="auto"/>
        <w:right w:val="none" w:sz="0" w:space="0" w:color="auto"/>
      </w:divBdr>
    </w:div>
    <w:div w:id="1163859087">
      <w:bodyDiv w:val="1"/>
      <w:marLeft w:val="0"/>
      <w:marRight w:val="0"/>
      <w:marTop w:val="0"/>
      <w:marBottom w:val="0"/>
      <w:divBdr>
        <w:top w:val="none" w:sz="0" w:space="0" w:color="auto"/>
        <w:left w:val="none" w:sz="0" w:space="0" w:color="auto"/>
        <w:bottom w:val="none" w:sz="0" w:space="0" w:color="auto"/>
        <w:right w:val="none" w:sz="0" w:space="0" w:color="auto"/>
      </w:divBdr>
    </w:div>
    <w:div w:id="1292517180">
      <w:bodyDiv w:val="1"/>
      <w:marLeft w:val="0"/>
      <w:marRight w:val="0"/>
      <w:marTop w:val="0"/>
      <w:marBottom w:val="0"/>
      <w:divBdr>
        <w:top w:val="none" w:sz="0" w:space="0" w:color="auto"/>
        <w:left w:val="none" w:sz="0" w:space="0" w:color="auto"/>
        <w:bottom w:val="none" w:sz="0" w:space="0" w:color="auto"/>
        <w:right w:val="none" w:sz="0" w:space="0" w:color="auto"/>
      </w:divBdr>
    </w:div>
    <w:div w:id="1376854487">
      <w:bodyDiv w:val="1"/>
      <w:marLeft w:val="0"/>
      <w:marRight w:val="0"/>
      <w:marTop w:val="0"/>
      <w:marBottom w:val="0"/>
      <w:divBdr>
        <w:top w:val="none" w:sz="0" w:space="0" w:color="auto"/>
        <w:left w:val="none" w:sz="0" w:space="0" w:color="auto"/>
        <w:bottom w:val="none" w:sz="0" w:space="0" w:color="auto"/>
        <w:right w:val="none" w:sz="0" w:space="0" w:color="auto"/>
      </w:divBdr>
    </w:div>
    <w:div w:id="1381514483">
      <w:bodyDiv w:val="1"/>
      <w:marLeft w:val="0"/>
      <w:marRight w:val="0"/>
      <w:marTop w:val="0"/>
      <w:marBottom w:val="0"/>
      <w:divBdr>
        <w:top w:val="none" w:sz="0" w:space="0" w:color="auto"/>
        <w:left w:val="none" w:sz="0" w:space="0" w:color="auto"/>
        <w:bottom w:val="none" w:sz="0" w:space="0" w:color="auto"/>
        <w:right w:val="none" w:sz="0" w:space="0" w:color="auto"/>
      </w:divBdr>
    </w:div>
    <w:div w:id="1439181649">
      <w:bodyDiv w:val="1"/>
      <w:marLeft w:val="0"/>
      <w:marRight w:val="0"/>
      <w:marTop w:val="0"/>
      <w:marBottom w:val="0"/>
      <w:divBdr>
        <w:top w:val="none" w:sz="0" w:space="0" w:color="auto"/>
        <w:left w:val="none" w:sz="0" w:space="0" w:color="auto"/>
        <w:bottom w:val="none" w:sz="0" w:space="0" w:color="auto"/>
        <w:right w:val="none" w:sz="0" w:space="0" w:color="auto"/>
      </w:divBdr>
    </w:div>
    <w:div w:id="1466460450">
      <w:bodyDiv w:val="1"/>
      <w:marLeft w:val="0"/>
      <w:marRight w:val="0"/>
      <w:marTop w:val="0"/>
      <w:marBottom w:val="0"/>
      <w:divBdr>
        <w:top w:val="none" w:sz="0" w:space="0" w:color="auto"/>
        <w:left w:val="none" w:sz="0" w:space="0" w:color="auto"/>
        <w:bottom w:val="none" w:sz="0" w:space="0" w:color="auto"/>
        <w:right w:val="none" w:sz="0" w:space="0" w:color="auto"/>
      </w:divBdr>
    </w:div>
    <w:div w:id="1547375957">
      <w:bodyDiv w:val="1"/>
      <w:marLeft w:val="0"/>
      <w:marRight w:val="0"/>
      <w:marTop w:val="0"/>
      <w:marBottom w:val="0"/>
      <w:divBdr>
        <w:top w:val="none" w:sz="0" w:space="0" w:color="auto"/>
        <w:left w:val="none" w:sz="0" w:space="0" w:color="auto"/>
        <w:bottom w:val="none" w:sz="0" w:space="0" w:color="auto"/>
        <w:right w:val="none" w:sz="0" w:space="0" w:color="auto"/>
      </w:divBdr>
    </w:div>
    <w:div w:id="1645811737">
      <w:bodyDiv w:val="1"/>
      <w:marLeft w:val="0"/>
      <w:marRight w:val="0"/>
      <w:marTop w:val="0"/>
      <w:marBottom w:val="0"/>
      <w:divBdr>
        <w:top w:val="none" w:sz="0" w:space="0" w:color="auto"/>
        <w:left w:val="none" w:sz="0" w:space="0" w:color="auto"/>
        <w:bottom w:val="none" w:sz="0" w:space="0" w:color="auto"/>
        <w:right w:val="none" w:sz="0" w:space="0" w:color="auto"/>
      </w:divBdr>
    </w:div>
    <w:div w:id="1660495090">
      <w:bodyDiv w:val="1"/>
      <w:marLeft w:val="0"/>
      <w:marRight w:val="0"/>
      <w:marTop w:val="0"/>
      <w:marBottom w:val="0"/>
      <w:divBdr>
        <w:top w:val="none" w:sz="0" w:space="0" w:color="auto"/>
        <w:left w:val="none" w:sz="0" w:space="0" w:color="auto"/>
        <w:bottom w:val="none" w:sz="0" w:space="0" w:color="auto"/>
        <w:right w:val="none" w:sz="0" w:space="0" w:color="auto"/>
      </w:divBdr>
      <w:divsChild>
        <w:div w:id="13771625">
          <w:marLeft w:val="0"/>
          <w:marRight w:val="0"/>
          <w:marTop w:val="0"/>
          <w:marBottom w:val="0"/>
          <w:divBdr>
            <w:top w:val="none" w:sz="0" w:space="0" w:color="auto"/>
            <w:left w:val="none" w:sz="0" w:space="0" w:color="auto"/>
            <w:bottom w:val="none" w:sz="0" w:space="0" w:color="auto"/>
            <w:right w:val="none" w:sz="0" w:space="0" w:color="auto"/>
          </w:divBdr>
        </w:div>
        <w:div w:id="31543252">
          <w:marLeft w:val="0"/>
          <w:marRight w:val="0"/>
          <w:marTop w:val="0"/>
          <w:marBottom w:val="0"/>
          <w:divBdr>
            <w:top w:val="none" w:sz="0" w:space="0" w:color="auto"/>
            <w:left w:val="none" w:sz="0" w:space="0" w:color="auto"/>
            <w:bottom w:val="none" w:sz="0" w:space="0" w:color="auto"/>
            <w:right w:val="none" w:sz="0" w:space="0" w:color="auto"/>
          </w:divBdr>
        </w:div>
        <w:div w:id="108593951">
          <w:marLeft w:val="0"/>
          <w:marRight w:val="0"/>
          <w:marTop w:val="0"/>
          <w:marBottom w:val="0"/>
          <w:divBdr>
            <w:top w:val="none" w:sz="0" w:space="0" w:color="auto"/>
            <w:left w:val="none" w:sz="0" w:space="0" w:color="auto"/>
            <w:bottom w:val="none" w:sz="0" w:space="0" w:color="auto"/>
            <w:right w:val="none" w:sz="0" w:space="0" w:color="auto"/>
          </w:divBdr>
        </w:div>
        <w:div w:id="221716953">
          <w:marLeft w:val="0"/>
          <w:marRight w:val="0"/>
          <w:marTop w:val="0"/>
          <w:marBottom w:val="0"/>
          <w:divBdr>
            <w:top w:val="none" w:sz="0" w:space="0" w:color="auto"/>
            <w:left w:val="none" w:sz="0" w:space="0" w:color="auto"/>
            <w:bottom w:val="none" w:sz="0" w:space="0" w:color="auto"/>
            <w:right w:val="none" w:sz="0" w:space="0" w:color="auto"/>
          </w:divBdr>
        </w:div>
        <w:div w:id="264851935">
          <w:marLeft w:val="0"/>
          <w:marRight w:val="0"/>
          <w:marTop w:val="0"/>
          <w:marBottom w:val="0"/>
          <w:divBdr>
            <w:top w:val="none" w:sz="0" w:space="0" w:color="auto"/>
            <w:left w:val="none" w:sz="0" w:space="0" w:color="auto"/>
            <w:bottom w:val="none" w:sz="0" w:space="0" w:color="auto"/>
            <w:right w:val="none" w:sz="0" w:space="0" w:color="auto"/>
          </w:divBdr>
        </w:div>
        <w:div w:id="311061806">
          <w:marLeft w:val="0"/>
          <w:marRight w:val="0"/>
          <w:marTop w:val="0"/>
          <w:marBottom w:val="0"/>
          <w:divBdr>
            <w:top w:val="none" w:sz="0" w:space="0" w:color="auto"/>
            <w:left w:val="none" w:sz="0" w:space="0" w:color="auto"/>
            <w:bottom w:val="none" w:sz="0" w:space="0" w:color="auto"/>
            <w:right w:val="none" w:sz="0" w:space="0" w:color="auto"/>
          </w:divBdr>
        </w:div>
        <w:div w:id="379943770">
          <w:marLeft w:val="0"/>
          <w:marRight w:val="0"/>
          <w:marTop w:val="0"/>
          <w:marBottom w:val="0"/>
          <w:divBdr>
            <w:top w:val="none" w:sz="0" w:space="0" w:color="auto"/>
            <w:left w:val="none" w:sz="0" w:space="0" w:color="auto"/>
            <w:bottom w:val="none" w:sz="0" w:space="0" w:color="auto"/>
            <w:right w:val="none" w:sz="0" w:space="0" w:color="auto"/>
          </w:divBdr>
        </w:div>
        <w:div w:id="460268401">
          <w:marLeft w:val="0"/>
          <w:marRight w:val="0"/>
          <w:marTop w:val="0"/>
          <w:marBottom w:val="0"/>
          <w:divBdr>
            <w:top w:val="none" w:sz="0" w:space="0" w:color="auto"/>
            <w:left w:val="none" w:sz="0" w:space="0" w:color="auto"/>
            <w:bottom w:val="none" w:sz="0" w:space="0" w:color="auto"/>
            <w:right w:val="none" w:sz="0" w:space="0" w:color="auto"/>
          </w:divBdr>
        </w:div>
        <w:div w:id="485823738">
          <w:marLeft w:val="0"/>
          <w:marRight w:val="0"/>
          <w:marTop w:val="0"/>
          <w:marBottom w:val="0"/>
          <w:divBdr>
            <w:top w:val="none" w:sz="0" w:space="0" w:color="auto"/>
            <w:left w:val="none" w:sz="0" w:space="0" w:color="auto"/>
            <w:bottom w:val="none" w:sz="0" w:space="0" w:color="auto"/>
            <w:right w:val="none" w:sz="0" w:space="0" w:color="auto"/>
          </w:divBdr>
        </w:div>
        <w:div w:id="634722814">
          <w:marLeft w:val="0"/>
          <w:marRight w:val="0"/>
          <w:marTop w:val="0"/>
          <w:marBottom w:val="0"/>
          <w:divBdr>
            <w:top w:val="none" w:sz="0" w:space="0" w:color="auto"/>
            <w:left w:val="none" w:sz="0" w:space="0" w:color="auto"/>
            <w:bottom w:val="none" w:sz="0" w:space="0" w:color="auto"/>
            <w:right w:val="none" w:sz="0" w:space="0" w:color="auto"/>
          </w:divBdr>
        </w:div>
        <w:div w:id="678778108">
          <w:marLeft w:val="0"/>
          <w:marRight w:val="0"/>
          <w:marTop w:val="0"/>
          <w:marBottom w:val="0"/>
          <w:divBdr>
            <w:top w:val="none" w:sz="0" w:space="0" w:color="auto"/>
            <w:left w:val="none" w:sz="0" w:space="0" w:color="auto"/>
            <w:bottom w:val="none" w:sz="0" w:space="0" w:color="auto"/>
            <w:right w:val="none" w:sz="0" w:space="0" w:color="auto"/>
          </w:divBdr>
        </w:div>
        <w:div w:id="697393133">
          <w:marLeft w:val="0"/>
          <w:marRight w:val="0"/>
          <w:marTop w:val="0"/>
          <w:marBottom w:val="0"/>
          <w:divBdr>
            <w:top w:val="none" w:sz="0" w:space="0" w:color="auto"/>
            <w:left w:val="none" w:sz="0" w:space="0" w:color="auto"/>
            <w:bottom w:val="none" w:sz="0" w:space="0" w:color="auto"/>
            <w:right w:val="none" w:sz="0" w:space="0" w:color="auto"/>
          </w:divBdr>
        </w:div>
        <w:div w:id="863665244">
          <w:marLeft w:val="0"/>
          <w:marRight w:val="0"/>
          <w:marTop w:val="0"/>
          <w:marBottom w:val="0"/>
          <w:divBdr>
            <w:top w:val="none" w:sz="0" w:space="0" w:color="auto"/>
            <w:left w:val="none" w:sz="0" w:space="0" w:color="auto"/>
            <w:bottom w:val="none" w:sz="0" w:space="0" w:color="auto"/>
            <w:right w:val="none" w:sz="0" w:space="0" w:color="auto"/>
          </w:divBdr>
        </w:div>
        <w:div w:id="891580949">
          <w:marLeft w:val="0"/>
          <w:marRight w:val="0"/>
          <w:marTop w:val="0"/>
          <w:marBottom w:val="0"/>
          <w:divBdr>
            <w:top w:val="none" w:sz="0" w:space="0" w:color="auto"/>
            <w:left w:val="none" w:sz="0" w:space="0" w:color="auto"/>
            <w:bottom w:val="none" w:sz="0" w:space="0" w:color="auto"/>
            <w:right w:val="none" w:sz="0" w:space="0" w:color="auto"/>
          </w:divBdr>
        </w:div>
        <w:div w:id="912667516">
          <w:marLeft w:val="0"/>
          <w:marRight w:val="0"/>
          <w:marTop w:val="0"/>
          <w:marBottom w:val="0"/>
          <w:divBdr>
            <w:top w:val="none" w:sz="0" w:space="0" w:color="auto"/>
            <w:left w:val="none" w:sz="0" w:space="0" w:color="auto"/>
            <w:bottom w:val="none" w:sz="0" w:space="0" w:color="auto"/>
            <w:right w:val="none" w:sz="0" w:space="0" w:color="auto"/>
          </w:divBdr>
        </w:div>
        <w:div w:id="941455196">
          <w:marLeft w:val="0"/>
          <w:marRight w:val="0"/>
          <w:marTop w:val="0"/>
          <w:marBottom w:val="0"/>
          <w:divBdr>
            <w:top w:val="none" w:sz="0" w:space="0" w:color="auto"/>
            <w:left w:val="none" w:sz="0" w:space="0" w:color="auto"/>
            <w:bottom w:val="none" w:sz="0" w:space="0" w:color="auto"/>
            <w:right w:val="none" w:sz="0" w:space="0" w:color="auto"/>
          </w:divBdr>
        </w:div>
        <w:div w:id="966467669">
          <w:marLeft w:val="0"/>
          <w:marRight w:val="0"/>
          <w:marTop w:val="0"/>
          <w:marBottom w:val="0"/>
          <w:divBdr>
            <w:top w:val="none" w:sz="0" w:space="0" w:color="auto"/>
            <w:left w:val="none" w:sz="0" w:space="0" w:color="auto"/>
            <w:bottom w:val="none" w:sz="0" w:space="0" w:color="auto"/>
            <w:right w:val="none" w:sz="0" w:space="0" w:color="auto"/>
          </w:divBdr>
        </w:div>
        <w:div w:id="967855101">
          <w:marLeft w:val="0"/>
          <w:marRight w:val="0"/>
          <w:marTop w:val="0"/>
          <w:marBottom w:val="0"/>
          <w:divBdr>
            <w:top w:val="none" w:sz="0" w:space="0" w:color="auto"/>
            <w:left w:val="none" w:sz="0" w:space="0" w:color="auto"/>
            <w:bottom w:val="none" w:sz="0" w:space="0" w:color="auto"/>
            <w:right w:val="none" w:sz="0" w:space="0" w:color="auto"/>
          </w:divBdr>
        </w:div>
        <w:div w:id="986543969">
          <w:marLeft w:val="0"/>
          <w:marRight w:val="0"/>
          <w:marTop w:val="0"/>
          <w:marBottom w:val="0"/>
          <w:divBdr>
            <w:top w:val="none" w:sz="0" w:space="0" w:color="auto"/>
            <w:left w:val="none" w:sz="0" w:space="0" w:color="auto"/>
            <w:bottom w:val="none" w:sz="0" w:space="0" w:color="auto"/>
            <w:right w:val="none" w:sz="0" w:space="0" w:color="auto"/>
          </w:divBdr>
        </w:div>
        <w:div w:id="1092702720">
          <w:marLeft w:val="0"/>
          <w:marRight w:val="0"/>
          <w:marTop w:val="0"/>
          <w:marBottom w:val="0"/>
          <w:divBdr>
            <w:top w:val="none" w:sz="0" w:space="0" w:color="auto"/>
            <w:left w:val="none" w:sz="0" w:space="0" w:color="auto"/>
            <w:bottom w:val="none" w:sz="0" w:space="0" w:color="auto"/>
            <w:right w:val="none" w:sz="0" w:space="0" w:color="auto"/>
          </w:divBdr>
        </w:div>
        <w:div w:id="1099257592">
          <w:marLeft w:val="0"/>
          <w:marRight w:val="0"/>
          <w:marTop w:val="0"/>
          <w:marBottom w:val="0"/>
          <w:divBdr>
            <w:top w:val="none" w:sz="0" w:space="0" w:color="auto"/>
            <w:left w:val="none" w:sz="0" w:space="0" w:color="auto"/>
            <w:bottom w:val="none" w:sz="0" w:space="0" w:color="auto"/>
            <w:right w:val="none" w:sz="0" w:space="0" w:color="auto"/>
          </w:divBdr>
        </w:div>
        <w:div w:id="1177185367">
          <w:marLeft w:val="0"/>
          <w:marRight w:val="0"/>
          <w:marTop w:val="0"/>
          <w:marBottom w:val="0"/>
          <w:divBdr>
            <w:top w:val="none" w:sz="0" w:space="0" w:color="auto"/>
            <w:left w:val="none" w:sz="0" w:space="0" w:color="auto"/>
            <w:bottom w:val="none" w:sz="0" w:space="0" w:color="auto"/>
            <w:right w:val="none" w:sz="0" w:space="0" w:color="auto"/>
          </w:divBdr>
        </w:div>
        <w:div w:id="1197350194">
          <w:marLeft w:val="0"/>
          <w:marRight w:val="0"/>
          <w:marTop w:val="0"/>
          <w:marBottom w:val="0"/>
          <w:divBdr>
            <w:top w:val="none" w:sz="0" w:space="0" w:color="auto"/>
            <w:left w:val="none" w:sz="0" w:space="0" w:color="auto"/>
            <w:bottom w:val="none" w:sz="0" w:space="0" w:color="auto"/>
            <w:right w:val="none" w:sz="0" w:space="0" w:color="auto"/>
          </w:divBdr>
        </w:div>
        <w:div w:id="1197932687">
          <w:marLeft w:val="0"/>
          <w:marRight w:val="0"/>
          <w:marTop w:val="0"/>
          <w:marBottom w:val="0"/>
          <w:divBdr>
            <w:top w:val="none" w:sz="0" w:space="0" w:color="auto"/>
            <w:left w:val="none" w:sz="0" w:space="0" w:color="auto"/>
            <w:bottom w:val="none" w:sz="0" w:space="0" w:color="auto"/>
            <w:right w:val="none" w:sz="0" w:space="0" w:color="auto"/>
          </w:divBdr>
        </w:div>
        <w:div w:id="1303077357">
          <w:marLeft w:val="0"/>
          <w:marRight w:val="0"/>
          <w:marTop w:val="0"/>
          <w:marBottom w:val="0"/>
          <w:divBdr>
            <w:top w:val="none" w:sz="0" w:space="0" w:color="auto"/>
            <w:left w:val="none" w:sz="0" w:space="0" w:color="auto"/>
            <w:bottom w:val="none" w:sz="0" w:space="0" w:color="auto"/>
            <w:right w:val="none" w:sz="0" w:space="0" w:color="auto"/>
          </w:divBdr>
        </w:div>
        <w:div w:id="1342900383">
          <w:marLeft w:val="0"/>
          <w:marRight w:val="0"/>
          <w:marTop w:val="0"/>
          <w:marBottom w:val="0"/>
          <w:divBdr>
            <w:top w:val="none" w:sz="0" w:space="0" w:color="auto"/>
            <w:left w:val="none" w:sz="0" w:space="0" w:color="auto"/>
            <w:bottom w:val="none" w:sz="0" w:space="0" w:color="auto"/>
            <w:right w:val="none" w:sz="0" w:space="0" w:color="auto"/>
          </w:divBdr>
        </w:div>
        <w:div w:id="1360856880">
          <w:marLeft w:val="0"/>
          <w:marRight w:val="0"/>
          <w:marTop w:val="0"/>
          <w:marBottom w:val="0"/>
          <w:divBdr>
            <w:top w:val="none" w:sz="0" w:space="0" w:color="auto"/>
            <w:left w:val="none" w:sz="0" w:space="0" w:color="auto"/>
            <w:bottom w:val="none" w:sz="0" w:space="0" w:color="auto"/>
            <w:right w:val="none" w:sz="0" w:space="0" w:color="auto"/>
          </w:divBdr>
        </w:div>
        <w:div w:id="1431776739">
          <w:marLeft w:val="0"/>
          <w:marRight w:val="0"/>
          <w:marTop w:val="0"/>
          <w:marBottom w:val="0"/>
          <w:divBdr>
            <w:top w:val="none" w:sz="0" w:space="0" w:color="auto"/>
            <w:left w:val="none" w:sz="0" w:space="0" w:color="auto"/>
            <w:bottom w:val="none" w:sz="0" w:space="0" w:color="auto"/>
            <w:right w:val="none" w:sz="0" w:space="0" w:color="auto"/>
          </w:divBdr>
        </w:div>
        <w:div w:id="1604458897">
          <w:marLeft w:val="0"/>
          <w:marRight w:val="0"/>
          <w:marTop w:val="0"/>
          <w:marBottom w:val="0"/>
          <w:divBdr>
            <w:top w:val="none" w:sz="0" w:space="0" w:color="auto"/>
            <w:left w:val="none" w:sz="0" w:space="0" w:color="auto"/>
            <w:bottom w:val="none" w:sz="0" w:space="0" w:color="auto"/>
            <w:right w:val="none" w:sz="0" w:space="0" w:color="auto"/>
          </w:divBdr>
        </w:div>
        <w:div w:id="1649361000">
          <w:marLeft w:val="0"/>
          <w:marRight w:val="0"/>
          <w:marTop w:val="0"/>
          <w:marBottom w:val="0"/>
          <w:divBdr>
            <w:top w:val="none" w:sz="0" w:space="0" w:color="auto"/>
            <w:left w:val="none" w:sz="0" w:space="0" w:color="auto"/>
            <w:bottom w:val="none" w:sz="0" w:space="0" w:color="auto"/>
            <w:right w:val="none" w:sz="0" w:space="0" w:color="auto"/>
          </w:divBdr>
        </w:div>
        <w:div w:id="1728451467">
          <w:marLeft w:val="0"/>
          <w:marRight w:val="0"/>
          <w:marTop w:val="0"/>
          <w:marBottom w:val="0"/>
          <w:divBdr>
            <w:top w:val="none" w:sz="0" w:space="0" w:color="auto"/>
            <w:left w:val="none" w:sz="0" w:space="0" w:color="auto"/>
            <w:bottom w:val="none" w:sz="0" w:space="0" w:color="auto"/>
            <w:right w:val="none" w:sz="0" w:space="0" w:color="auto"/>
          </w:divBdr>
        </w:div>
        <w:div w:id="1786266350">
          <w:marLeft w:val="0"/>
          <w:marRight w:val="0"/>
          <w:marTop w:val="0"/>
          <w:marBottom w:val="0"/>
          <w:divBdr>
            <w:top w:val="none" w:sz="0" w:space="0" w:color="auto"/>
            <w:left w:val="none" w:sz="0" w:space="0" w:color="auto"/>
            <w:bottom w:val="none" w:sz="0" w:space="0" w:color="auto"/>
            <w:right w:val="none" w:sz="0" w:space="0" w:color="auto"/>
          </w:divBdr>
        </w:div>
        <w:div w:id="1813864497">
          <w:marLeft w:val="0"/>
          <w:marRight w:val="0"/>
          <w:marTop w:val="0"/>
          <w:marBottom w:val="0"/>
          <w:divBdr>
            <w:top w:val="none" w:sz="0" w:space="0" w:color="auto"/>
            <w:left w:val="none" w:sz="0" w:space="0" w:color="auto"/>
            <w:bottom w:val="none" w:sz="0" w:space="0" w:color="auto"/>
            <w:right w:val="none" w:sz="0" w:space="0" w:color="auto"/>
          </w:divBdr>
        </w:div>
        <w:div w:id="1845974209">
          <w:marLeft w:val="0"/>
          <w:marRight w:val="0"/>
          <w:marTop w:val="0"/>
          <w:marBottom w:val="0"/>
          <w:divBdr>
            <w:top w:val="none" w:sz="0" w:space="0" w:color="auto"/>
            <w:left w:val="none" w:sz="0" w:space="0" w:color="auto"/>
            <w:bottom w:val="none" w:sz="0" w:space="0" w:color="auto"/>
            <w:right w:val="none" w:sz="0" w:space="0" w:color="auto"/>
          </w:divBdr>
        </w:div>
        <w:div w:id="1903246400">
          <w:marLeft w:val="0"/>
          <w:marRight w:val="0"/>
          <w:marTop w:val="0"/>
          <w:marBottom w:val="0"/>
          <w:divBdr>
            <w:top w:val="none" w:sz="0" w:space="0" w:color="auto"/>
            <w:left w:val="none" w:sz="0" w:space="0" w:color="auto"/>
            <w:bottom w:val="none" w:sz="0" w:space="0" w:color="auto"/>
            <w:right w:val="none" w:sz="0" w:space="0" w:color="auto"/>
          </w:divBdr>
        </w:div>
        <w:div w:id="1925527920">
          <w:marLeft w:val="0"/>
          <w:marRight w:val="0"/>
          <w:marTop w:val="0"/>
          <w:marBottom w:val="0"/>
          <w:divBdr>
            <w:top w:val="none" w:sz="0" w:space="0" w:color="auto"/>
            <w:left w:val="none" w:sz="0" w:space="0" w:color="auto"/>
            <w:bottom w:val="none" w:sz="0" w:space="0" w:color="auto"/>
            <w:right w:val="none" w:sz="0" w:space="0" w:color="auto"/>
          </w:divBdr>
        </w:div>
        <w:div w:id="1931700516">
          <w:marLeft w:val="0"/>
          <w:marRight w:val="0"/>
          <w:marTop w:val="0"/>
          <w:marBottom w:val="0"/>
          <w:divBdr>
            <w:top w:val="none" w:sz="0" w:space="0" w:color="auto"/>
            <w:left w:val="none" w:sz="0" w:space="0" w:color="auto"/>
            <w:bottom w:val="none" w:sz="0" w:space="0" w:color="auto"/>
            <w:right w:val="none" w:sz="0" w:space="0" w:color="auto"/>
          </w:divBdr>
        </w:div>
        <w:div w:id="1975713946">
          <w:marLeft w:val="0"/>
          <w:marRight w:val="0"/>
          <w:marTop w:val="0"/>
          <w:marBottom w:val="0"/>
          <w:divBdr>
            <w:top w:val="none" w:sz="0" w:space="0" w:color="auto"/>
            <w:left w:val="none" w:sz="0" w:space="0" w:color="auto"/>
            <w:bottom w:val="none" w:sz="0" w:space="0" w:color="auto"/>
            <w:right w:val="none" w:sz="0" w:space="0" w:color="auto"/>
          </w:divBdr>
        </w:div>
        <w:div w:id="1986543769">
          <w:marLeft w:val="0"/>
          <w:marRight w:val="0"/>
          <w:marTop w:val="0"/>
          <w:marBottom w:val="0"/>
          <w:divBdr>
            <w:top w:val="none" w:sz="0" w:space="0" w:color="auto"/>
            <w:left w:val="none" w:sz="0" w:space="0" w:color="auto"/>
            <w:bottom w:val="none" w:sz="0" w:space="0" w:color="auto"/>
            <w:right w:val="none" w:sz="0" w:space="0" w:color="auto"/>
          </w:divBdr>
        </w:div>
        <w:div w:id="2012946328">
          <w:marLeft w:val="0"/>
          <w:marRight w:val="0"/>
          <w:marTop w:val="0"/>
          <w:marBottom w:val="0"/>
          <w:divBdr>
            <w:top w:val="none" w:sz="0" w:space="0" w:color="auto"/>
            <w:left w:val="none" w:sz="0" w:space="0" w:color="auto"/>
            <w:bottom w:val="none" w:sz="0" w:space="0" w:color="auto"/>
            <w:right w:val="none" w:sz="0" w:space="0" w:color="auto"/>
          </w:divBdr>
        </w:div>
        <w:div w:id="2093164616">
          <w:marLeft w:val="0"/>
          <w:marRight w:val="0"/>
          <w:marTop w:val="0"/>
          <w:marBottom w:val="0"/>
          <w:divBdr>
            <w:top w:val="none" w:sz="0" w:space="0" w:color="auto"/>
            <w:left w:val="none" w:sz="0" w:space="0" w:color="auto"/>
            <w:bottom w:val="none" w:sz="0" w:space="0" w:color="auto"/>
            <w:right w:val="none" w:sz="0" w:space="0" w:color="auto"/>
          </w:divBdr>
        </w:div>
      </w:divsChild>
    </w:div>
    <w:div w:id="1793403158">
      <w:bodyDiv w:val="1"/>
      <w:marLeft w:val="0"/>
      <w:marRight w:val="0"/>
      <w:marTop w:val="0"/>
      <w:marBottom w:val="0"/>
      <w:divBdr>
        <w:top w:val="none" w:sz="0" w:space="0" w:color="auto"/>
        <w:left w:val="none" w:sz="0" w:space="0" w:color="auto"/>
        <w:bottom w:val="none" w:sz="0" w:space="0" w:color="auto"/>
        <w:right w:val="none" w:sz="0" w:space="0" w:color="auto"/>
      </w:divBdr>
      <w:divsChild>
        <w:div w:id="156505967">
          <w:marLeft w:val="0"/>
          <w:marRight w:val="0"/>
          <w:marTop w:val="0"/>
          <w:marBottom w:val="0"/>
          <w:divBdr>
            <w:top w:val="none" w:sz="0" w:space="0" w:color="auto"/>
            <w:left w:val="none" w:sz="0" w:space="0" w:color="auto"/>
            <w:bottom w:val="none" w:sz="0" w:space="0" w:color="auto"/>
            <w:right w:val="none" w:sz="0" w:space="0" w:color="auto"/>
          </w:divBdr>
        </w:div>
        <w:div w:id="223223724">
          <w:marLeft w:val="0"/>
          <w:marRight w:val="0"/>
          <w:marTop w:val="0"/>
          <w:marBottom w:val="0"/>
          <w:divBdr>
            <w:top w:val="none" w:sz="0" w:space="0" w:color="auto"/>
            <w:left w:val="none" w:sz="0" w:space="0" w:color="auto"/>
            <w:bottom w:val="none" w:sz="0" w:space="0" w:color="auto"/>
            <w:right w:val="none" w:sz="0" w:space="0" w:color="auto"/>
          </w:divBdr>
        </w:div>
        <w:div w:id="355615292">
          <w:marLeft w:val="0"/>
          <w:marRight w:val="0"/>
          <w:marTop w:val="0"/>
          <w:marBottom w:val="0"/>
          <w:divBdr>
            <w:top w:val="none" w:sz="0" w:space="0" w:color="auto"/>
            <w:left w:val="none" w:sz="0" w:space="0" w:color="auto"/>
            <w:bottom w:val="none" w:sz="0" w:space="0" w:color="auto"/>
            <w:right w:val="none" w:sz="0" w:space="0" w:color="auto"/>
          </w:divBdr>
        </w:div>
        <w:div w:id="607933609">
          <w:marLeft w:val="0"/>
          <w:marRight w:val="0"/>
          <w:marTop w:val="0"/>
          <w:marBottom w:val="0"/>
          <w:divBdr>
            <w:top w:val="none" w:sz="0" w:space="0" w:color="auto"/>
            <w:left w:val="none" w:sz="0" w:space="0" w:color="auto"/>
            <w:bottom w:val="none" w:sz="0" w:space="0" w:color="auto"/>
            <w:right w:val="none" w:sz="0" w:space="0" w:color="auto"/>
          </w:divBdr>
        </w:div>
        <w:div w:id="642661295">
          <w:marLeft w:val="0"/>
          <w:marRight w:val="0"/>
          <w:marTop w:val="0"/>
          <w:marBottom w:val="0"/>
          <w:divBdr>
            <w:top w:val="none" w:sz="0" w:space="0" w:color="auto"/>
            <w:left w:val="none" w:sz="0" w:space="0" w:color="auto"/>
            <w:bottom w:val="none" w:sz="0" w:space="0" w:color="auto"/>
            <w:right w:val="none" w:sz="0" w:space="0" w:color="auto"/>
          </w:divBdr>
        </w:div>
        <w:div w:id="659887369">
          <w:marLeft w:val="0"/>
          <w:marRight w:val="0"/>
          <w:marTop w:val="0"/>
          <w:marBottom w:val="0"/>
          <w:divBdr>
            <w:top w:val="none" w:sz="0" w:space="0" w:color="auto"/>
            <w:left w:val="none" w:sz="0" w:space="0" w:color="auto"/>
            <w:bottom w:val="none" w:sz="0" w:space="0" w:color="auto"/>
            <w:right w:val="none" w:sz="0" w:space="0" w:color="auto"/>
          </w:divBdr>
        </w:div>
        <w:div w:id="681131962">
          <w:marLeft w:val="0"/>
          <w:marRight w:val="0"/>
          <w:marTop w:val="0"/>
          <w:marBottom w:val="0"/>
          <w:divBdr>
            <w:top w:val="none" w:sz="0" w:space="0" w:color="auto"/>
            <w:left w:val="none" w:sz="0" w:space="0" w:color="auto"/>
            <w:bottom w:val="none" w:sz="0" w:space="0" w:color="auto"/>
            <w:right w:val="none" w:sz="0" w:space="0" w:color="auto"/>
          </w:divBdr>
        </w:div>
        <w:div w:id="738984118">
          <w:marLeft w:val="0"/>
          <w:marRight w:val="0"/>
          <w:marTop w:val="0"/>
          <w:marBottom w:val="0"/>
          <w:divBdr>
            <w:top w:val="none" w:sz="0" w:space="0" w:color="auto"/>
            <w:left w:val="none" w:sz="0" w:space="0" w:color="auto"/>
            <w:bottom w:val="none" w:sz="0" w:space="0" w:color="auto"/>
            <w:right w:val="none" w:sz="0" w:space="0" w:color="auto"/>
          </w:divBdr>
        </w:div>
        <w:div w:id="900991539">
          <w:marLeft w:val="0"/>
          <w:marRight w:val="0"/>
          <w:marTop w:val="0"/>
          <w:marBottom w:val="0"/>
          <w:divBdr>
            <w:top w:val="none" w:sz="0" w:space="0" w:color="auto"/>
            <w:left w:val="none" w:sz="0" w:space="0" w:color="auto"/>
            <w:bottom w:val="none" w:sz="0" w:space="0" w:color="auto"/>
            <w:right w:val="none" w:sz="0" w:space="0" w:color="auto"/>
          </w:divBdr>
        </w:div>
        <w:div w:id="1042293037">
          <w:marLeft w:val="0"/>
          <w:marRight w:val="0"/>
          <w:marTop w:val="0"/>
          <w:marBottom w:val="0"/>
          <w:divBdr>
            <w:top w:val="none" w:sz="0" w:space="0" w:color="auto"/>
            <w:left w:val="none" w:sz="0" w:space="0" w:color="auto"/>
            <w:bottom w:val="none" w:sz="0" w:space="0" w:color="auto"/>
            <w:right w:val="none" w:sz="0" w:space="0" w:color="auto"/>
          </w:divBdr>
        </w:div>
        <w:div w:id="1043601128">
          <w:marLeft w:val="0"/>
          <w:marRight w:val="0"/>
          <w:marTop w:val="0"/>
          <w:marBottom w:val="0"/>
          <w:divBdr>
            <w:top w:val="none" w:sz="0" w:space="0" w:color="auto"/>
            <w:left w:val="none" w:sz="0" w:space="0" w:color="auto"/>
            <w:bottom w:val="none" w:sz="0" w:space="0" w:color="auto"/>
            <w:right w:val="none" w:sz="0" w:space="0" w:color="auto"/>
          </w:divBdr>
        </w:div>
        <w:div w:id="1113593982">
          <w:marLeft w:val="0"/>
          <w:marRight w:val="0"/>
          <w:marTop w:val="0"/>
          <w:marBottom w:val="0"/>
          <w:divBdr>
            <w:top w:val="none" w:sz="0" w:space="0" w:color="auto"/>
            <w:left w:val="none" w:sz="0" w:space="0" w:color="auto"/>
            <w:bottom w:val="none" w:sz="0" w:space="0" w:color="auto"/>
            <w:right w:val="none" w:sz="0" w:space="0" w:color="auto"/>
          </w:divBdr>
        </w:div>
        <w:div w:id="1350837096">
          <w:marLeft w:val="0"/>
          <w:marRight w:val="0"/>
          <w:marTop w:val="0"/>
          <w:marBottom w:val="0"/>
          <w:divBdr>
            <w:top w:val="none" w:sz="0" w:space="0" w:color="auto"/>
            <w:left w:val="none" w:sz="0" w:space="0" w:color="auto"/>
            <w:bottom w:val="none" w:sz="0" w:space="0" w:color="auto"/>
            <w:right w:val="none" w:sz="0" w:space="0" w:color="auto"/>
          </w:divBdr>
        </w:div>
        <w:div w:id="1446075456">
          <w:marLeft w:val="0"/>
          <w:marRight w:val="0"/>
          <w:marTop w:val="0"/>
          <w:marBottom w:val="0"/>
          <w:divBdr>
            <w:top w:val="none" w:sz="0" w:space="0" w:color="auto"/>
            <w:left w:val="none" w:sz="0" w:space="0" w:color="auto"/>
            <w:bottom w:val="none" w:sz="0" w:space="0" w:color="auto"/>
            <w:right w:val="none" w:sz="0" w:space="0" w:color="auto"/>
          </w:divBdr>
        </w:div>
        <w:div w:id="1592398932">
          <w:marLeft w:val="0"/>
          <w:marRight w:val="0"/>
          <w:marTop w:val="0"/>
          <w:marBottom w:val="0"/>
          <w:divBdr>
            <w:top w:val="none" w:sz="0" w:space="0" w:color="auto"/>
            <w:left w:val="none" w:sz="0" w:space="0" w:color="auto"/>
            <w:bottom w:val="none" w:sz="0" w:space="0" w:color="auto"/>
            <w:right w:val="none" w:sz="0" w:space="0" w:color="auto"/>
          </w:divBdr>
        </w:div>
        <w:div w:id="1827935683">
          <w:marLeft w:val="0"/>
          <w:marRight w:val="0"/>
          <w:marTop w:val="0"/>
          <w:marBottom w:val="0"/>
          <w:divBdr>
            <w:top w:val="none" w:sz="0" w:space="0" w:color="auto"/>
            <w:left w:val="none" w:sz="0" w:space="0" w:color="auto"/>
            <w:bottom w:val="none" w:sz="0" w:space="0" w:color="auto"/>
            <w:right w:val="none" w:sz="0" w:space="0" w:color="auto"/>
          </w:divBdr>
        </w:div>
        <w:div w:id="1832871326">
          <w:marLeft w:val="0"/>
          <w:marRight w:val="0"/>
          <w:marTop w:val="0"/>
          <w:marBottom w:val="0"/>
          <w:divBdr>
            <w:top w:val="none" w:sz="0" w:space="0" w:color="auto"/>
            <w:left w:val="none" w:sz="0" w:space="0" w:color="auto"/>
            <w:bottom w:val="none" w:sz="0" w:space="0" w:color="auto"/>
            <w:right w:val="none" w:sz="0" w:space="0" w:color="auto"/>
          </w:divBdr>
        </w:div>
        <w:div w:id="1865947450">
          <w:marLeft w:val="0"/>
          <w:marRight w:val="0"/>
          <w:marTop w:val="0"/>
          <w:marBottom w:val="0"/>
          <w:divBdr>
            <w:top w:val="none" w:sz="0" w:space="0" w:color="auto"/>
            <w:left w:val="none" w:sz="0" w:space="0" w:color="auto"/>
            <w:bottom w:val="none" w:sz="0" w:space="0" w:color="auto"/>
            <w:right w:val="none" w:sz="0" w:space="0" w:color="auto"/>
          </w:divBdr>
        </w:div>
        <w:div w:id="1877232555">
          <w:marLeft w:val="0"/>
          <w:marRight w:val="0"/>
          <w:marTop w:val="0"/>
          <w:marBottom w:val="0"/>
          <w:divBdr>
            <w:top w:val="none" w:sz="0" w:space="0" w:color="auto"/>
            <w:left w:val="none" w:sz="0" w:space="0" w:color="auto"/>
            <w:bottom w:val="none" w:sz="0" w:space="0" w:color="auto"/>
            <w:right w:val="none" w:sz="0" w:space="0" w:color="auto"/>
          </w:divBdr>
        </w:div>
        <w:div w:id="1947619290">
          <w:marLeft w:val="0"/>
          <w:marRight w:val="0"/>
          <w:marTop w:val="0"/>
          <w:marBottom w:val="0"/>
          <w:divBdr>
            <w:top w:val="none" w:sz="0" w:space="0" w:color="auto"/>
            <w:left w:val="none" w:sz="0" w:space="0" w:color="auto"/>
            <w:bottom w:val="none" w:sz="0" w:space="0" w:color="auto"/>
            <w:right w:val="none" w:sz="0" w:space="0" w:color="auto"/>
          </w:divBdr>
        </w:div>
        <w:div w:id="1995254038">
          <w:marLeft w:val="0"/>
          <w:marRight w:val="0"/>
          <w:marTop w:val="0"/>
          <w:marBottom w:val="0"/>
          <w:divBdr>
            <w:top w:val="none" w:sz="0" w:space="0" w:color="auto"/>
            <w:left w:val="none" w:sz="0" w:space="0" w:color="auto"/>
            <w:bottom w:val="none" w:sz="0" w:space="0" w:color="auto"/>
            <w:right w:val="none" w:sz="0" w:space="0" w:color="auto"/>
          </w:divBdr>
        </w:div>
        <w:div w:id="2022851525">
          <w:marLeft w:val="0"/>
          <w:marRight w:val="0"/>
          <w:marTop w:val="0"/>
          <w:marBottom w:val="0"/>
          <w:divBdr>
            <w:top w:val="none" w:sz="0" w:space="0" w:color="auto"/>
            <w:left w:val="none" w:sz="0" w:space="0" w:color="auto"/>
            <w:bottom w:val="none" w:sz="0" w:space="0" w:color="auto"/>
            <w:right w:val="none" w:sz="0" w:space="0" w:color="auto"/>
          </w:divBdr>
        </w:div>
        <w:div w:id="2053378913">
          <w:marLeft w:val="0"/>
          <w:marRight w:val="0"/>
          <w:marTop w:val="0"/>
          <w:marBottom w:val="0"/>
          <w:divBdr>
            <w:top w:val="none" w:sz="0" w:space="0" w:color="auto"/>
            <w:left w:val="none" w:sz="0" w:space="0" w:color="auto"/>
            <w:bottom w:val="none" w:sz="0" w:space="0" w:color="auto"/>
            <w:right w:val="none" w:sz="0" w:space="0" w:color="auto"/>
          </w:divBdr>
        </w:div>
        <w:div w:id="2110077909">
          <w:marLeft w:val="0"/>
          <w:marRight w:val="0"/>
          <w:marTop w:val="0"/>
          <w:marBottom w:val="0"/>
          <w:divBdr>
            <w:top w:val="none" w:sz="0" w:space="0" w:color="auto"/>
            <w:left w:val="none" w:sz="0" w:space="0" w:color="auto"/>
            <w:bottom w:val="none" w:sz="0" w:space="0" w:color="auto"/>
            <w:right w:val="none" w:sz="0" w:space="0" w:color="auto"/>
          </w:divBdr>
        </w:div>
      </w:divsChild>
    </w:div>
    <w:div w:id="1807433213">
      <w:bodyDiv w:val="1"/>
      <w:marLeft w:val="0"/>
      <w:marRight w:val="0"/>
      <w:marTop w:val="0"/>
      <w:marBottom w:val="0"/>
      <w:divBdr>
        <w:top w:val="none" w:sz="0" w:space="0" w:color="auto"/>
        <w:left w:val="none" w:sz="0" w:space="0" w:color="auto"/>
        <w:bottom w:val="none" w:sz="0" w:space="0" w:color="auto"/>
        <w:right w:val="none" w:sz="0" w:space="0" w:color="auto"/>
      </w:divBdr>
      <w:divsChild>
        <w:div w:id="204299393">
          <w:marLeft w:val="0"/>
          <w:marRight w:val="0"/>
          <w:marTop w:val="0"/>
          <w:marBottom w:val="0"/>
          <w:divBdr>
            <w:top w:val="none" w:sz="0" w:space="0" w:color="auto"/>
            <w:left w:val="none" w:sz="0" w:space="0" w:color="auto"/>
            <w:bottom w:val="none" w:sz="0" w:space="0" w:color="auto"/>
            <w:right w:val="none" w:sz="0" w:space="0" w:color="auto"/>
          </w:divBdr>
        </w:div>
        <w:div w:id="471796073">
          <w:marLeft w:val="0"/>
          <w:marRight w:val="0"/>
          <w:marTop w:val="0"/>
          <w:marBottom w:val="0"/>
          <w:divBdr>
            <w:top w:val="none" w:sz="0" w:space="0" w:color="auto"/>
            <w:left w:val="none" w:sz="0" w:space="0" w:color="auto"/>
            <w:bottom w:val="none" w:sz="0" w:space="0" w:color="auto"/>
            <w:right w:val="none" w:sz="0" w:space="0" w:color="auto"/>
          </w:divBdr>
        </w:div>
        <w:div w:id="1189755524">
          <w:marLeft w:val="0"/>
          <w:marRight w:val="0"/>
          <w:marTop w:val="0"/>
          <w:marBottom w:val="0"/>
          <w:divBdr>
            <w:top w:val="none" w:sz="0" w:space="0" w:color="auto"/>
            <w:left w:val="none" w:sz="0" w:space="0" w:color="auto"/>
            <w:bottom w:val="none" w:sz="0" w:space="0" w:color="auto"/>
            <w:right w:val="none" w:sz="0" w:space="0" w:color="auto"/>
          </w:divBdr>
        </w:div>
        <w:div w:id="1484274897">
          <w:marLeft w:val="0"/>
          <w:marRight w:val="0"/>
          <w:marTop w:val="0"/>
          <w:marBottom w:val="0"/>
          <w:divBdr>
            <w:top w:val="none" w:sz="0" w:space="0" w:color="auto"/>
            <w:left w:val="none" w:sz="0" w:space="0" w:color="auto"/>
            <w:bottom w:val="none" w:sz="0" w:space="0" w:color="auto"/>
            <w:right w:val="none" w:sz="0" w:space="0" w:color="auto"/>
          </w:divBdr>
        </w:div>
        <w:div w:id="1939023789">
          <w:marLeft w:val="0"/>
          <w:marRight w:val="0"/>
          <w:marTop w:val="0"/>
          <w:marBottom w:val="0"/>
          <w:divBdr>
            <w:top w:val="none" w:sz="0" w:space="0" w:color="auto"/>
            <w:left w:val="none" w:sz="0" w:space="0" w:color="auto"/>
            <w:bottom w:val="none" w:sz="0" w:space="0" w:color="auto"/>
            <w:right w:val="none" w:sz="0" w:space="0" w:color="auto"/>
          </w:divBdr>
        </w:div>
        <w:div w:id="1995984257">
          <w:marLeft w:val="0"/>
          <w:marRight w:val="0"/>
          <w:marTop w:val="0"/>
          <w:marBottom w:val="0"/>
          <w:divBdr>
            <w:top w:val="none" w:sz="0" w:space="0" w:color="auto"/>
            <w:left w:val="none" w:sz="0" w:space="0" w:color="auto"/>
            <w:bottom w:val="none" w:sz="0" w:space="0" w:color="auto"/>
            <w:right w:val="none" w:sz="0" w:space="0" w:color="auto"/>
          </w:divBdr>
        </w:div>
        <w:div w:id="2102099900">
          <w:marLeft w:val="0"/>
          <w:marRight w:val="0"/>
          <w:marTop w:val="0"/>
          <w:marBottom w:val="0"/>
          <w:divBdr>
            <w:top w:val="none" w:sz="0" w:space="0" w:color="auto"/>
            <w:left w:val="none" w:sz="0" w:space="0" w:color="auto"/>
            <w:bottom w:val="none" w:sz="0" w:space="0" w:color="auto"/>
            <w:right w:val="none" w:sz="0" w:space="0" w:color="auto"/>
          </w:divBdr>
        </w:div>
      </w:divsChild>
    </w:div>
    <w:div w:id="1809014269">
      <w:bodyDiv w:val="1"/>
      <w:marLeft w:val="0"/>
      <w:marRight w:val="0"/>
      <w:marTop w:val="0"/>
      <w:marBottom w:val="0"/>
      <w:divBdr>
        <w:top w:val="none" w:sz="0" w:space="0" w:color="auto"/>
        <w:left w:val="none" w:sz="0" w:space="0" w:color="auto"/>
        <w:bottom w:val="none" w:sz="0" w:space="0" w:color="auto"/>
        <w:right w:val="none" w:sz="0" w:space="0" w:color="auto"/>
      </w:divBdr>
    </w:div>
    <w:div w:id="1910849456">
      <w:bodyDiv w:val="1"/>
      <w:marLeft w:val="0"/>
      <w:marRight w:val="0"/>
      <w:marTop w:val="0"/>
      <w:marBottom w:val="0"/>
      <w:divBdr>
        <w:top w:val="none" w:sz="0" w:space="0" w:color="auto"/>
        <w:left w:val="none" w:sz="0" w:space="0" w:color="auto"/>
        <w:bottom w:val="none" w:sz="0" w:space="0" w:color="auto"/>
        <w:right w:val="none" w:sz="0" w:space="0" w:color="auto"/>
      </w:divBdr>
    </w:div>
    <w:div w:id="1988047419">
      <w:bodyDiv w:val="1"/>
      <w:marLeft w:val="0"/>
      <w:marRight w:val="0"/>
      <w:marTop w:val="0"/>
      <w:marBottom w:val="0"/>
      <w:divBdr>
        <w:top w:val="none" w:sz="0" w:space="0" w:color="auto"/>
        <w:left w:val="none" w:sz="0" w:space="0" w:color="auto"/>
        <w:bottom w:val="none" w:sz="0" w:space="0" w:color="auto"/>
        <w:right w:val="none" w:sz="0" w:space="0" w:color="auto"/>
      </w:divBdr>
    </w:div>
    <w:div w:id="2094205652">
      <w:bodyDiv w:val="1"/>
      <w:marLeft w:val="0"/>
      <w:marRight w:val="0"/>
      <w:marTop w:val="0"/>
      <w:marBottom w:val="0"/>
      <w:divBdr>
        <w:top w:val="none" w:sz="0" w:space="0" w:color="auto"/>
        <w:left w:val="none" w:sz="0" w:space="0" w:color="auto"/>
        <w:bottom w:val="none" w:sz="0" w:space="0" w:color="auto"/>
        <w:right w:val="none" w:sz="0" w:space="0" w:color="auto"/>
      </w:divBdr>
    </w:div>
    <w:div w:id="211933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30.xml"/><Relationship Id="rId21" Type="http://schemas.openxmlformats.org/officeDocument/2006/relationships/image" Target="media/image5.png"/><Relationship Id="rId42" Type="http://schemas.openxmlformats.org/officeDocument/2006/relationships/chart" Target="charts/chart9.xml"/><Relationship Id="rId63" Type="http://schemas.openxmlformats.org/officeDocument/2006/relationships/oleObject" Target="embeddings/oleObject3.bin"/><Relationship Id="rId84" Type="http://schemas.openxmlformats.org/officeDocument/2006/relationships/oleObject" Target="embeddings/oleObject7.bin"/><Relationship Id="rId138" Type="http://schemas.openxmlformats.org/officeDocument/2006/relationships/hyperlink" Target="https://www.globalinnovationindex.org/" TargetMode="External"/><Relationship Id="rId159" Type="http://schemas.openxmlformats.org/officeDocument/2006/relationships/chart" Target="charts/chart37.xml"/><Relationship Id="rId170" Type="http://schemas.openxmlformats.org/officeDocument/2006/relationships/header" Target="header3.xml"/><Relationship Id="rId107" Type="http://schemas.openxmlformats.org/officeDocument/2006/relationships/image" Target="media/image61.png"/><Relationship Id="rId11" Type="http://schemas.openxmlformats.org/officeDocument/2006/relationships/footnotes" Target="footnotes.xml"/><Relationship Id="rId32" Type="http://schemas.openxmlformats.org/officeDocument/2006/relationships/image" Target="media/image16.png"/><Relationship Id="rId53" Type="http://schemas.openxmlformats.org/officeDocument/2006/relationships/chart" Target="charts/chart15.xml"/><Relationship Id="rId74" Type="http://schemas.openxmlformats.org/officeDocument/2006/relationships/package" Target="embeddings/Microsoft_Excel_Worksheet5.xlsx"/><Relationship Id="rId128" Type="http://schemas.openxmlformats.org/officeDocument/2006/relationships/diagramQuickStyle" Target="diagrams/quickStyle1.xml"/><Relationship Id="rId149" Type="http://schemas.openxmlformats.org/officeDocument/2006/relationships/hyperlink" Target="https://www.siemens.pl/pool/files/2019_05_smart-industry-polska-2019_raport.pdf" TargetMode="External"/><Relationship Id="rId5" Type="http://schemas.openxmlformats.org/officeDocument/2006/relationships/customXml" Target="../customXml/item5.xml"/><Relationship Id="rId95" Type="http://schemas.openxmlformats.org/officeDocument/2006/relationships/image" Target="media/image49.emf"/><Relationship Id="rId160" Type="http://schemas.openxmlformats.org/officeDocument/2006/relationships/chart" Target="charts/chart38.xml"/><Relationship Id="rId22" Type="http://schemas.openxmlformats.org/officeDocument/2006/relationships/image" Target="media/image6.png"/><Relationship Id="rId43" Type="http://schemas.openxmlformats.org/officeDocument/2006/relationships/image" Target="media/image22.png"/><Relationship Id="rId64" Type="http://schemas.openxmlformats.org/officeDocument/2006/relationships/chart" Target="charts/chart18.xml"/><Relationship Id="rId118" Type="http://schemas.openxmlformats.org/officeDocument/2006/relationships/image" Target="media/image68.png"/><Relationship Id="rId139" Type="http://schemas.openxmlformats.org/officeDocument/2006/relationships/hyperlink" Target="https://stat.gov.pl/cps/rde/xbcr/gus/NTS_nauka_i_technika_2010.zip" TargetMode="External"/><Relationship Id="rId85" Type="http://schemas.openxmlformats.org/officeDocument/2006/relationships/image" Target="media/image39.png"/><Relationship Id="rId150" Type="http://schemas.openxmlformats.org/officeDocument/2006/relationships/hyperlink" Target="https://www.timeshighereducation.com/world-university-rankings/2019/world-ranking" TargetMode="External"/><Relationship Id="rId171" Type="http://schemas.openxmlformats.org/officeDocument/2006/relationships/footer" Target="footer3.xml"/><Relationship Id="rId12" Type="http://schemas.openxmlformats.org/officeDocument/2006/relationships/endnotes" Target="endnotes.xml"/><Relationship Id="rId33" Type="http://schemas.openxmlformats.org/officeDocument/2006/relationships/image" Target="media/image17.emf"/><Relationship Id="rId108" Type="http://schemas.openxmlformats.org/officeDocument/2006/relationships/image" Target="media/image62.emf"/><Relationship Id="rId129" Type="http://schemas.openxmlformats.org/officeDocument/2006/relationships/diagramColors" Target="diagrams/colors1.xml"/><Relationship Id="rId54" Type="http://schemas.openxmlformats.org/officeDocument/2006/relationships/image" Target="media/image27.png"/><Relationship Id="rId75" Type="http://schemas.openxmlformats.org/officeDocument/2006/relationships/chart" Target="charts/chart26.xml"/><Relationship Id="rId96" Type="http://schemas.openxmlformats.org/officeDocument/2006/relationships/image" Target="media/image50.png"/><Relationship Id="rId140" Type="http://schemas.openxmlformats.org/officeDocument/2006/relationships/hyperlink" Target="https://stat.gov.pl/obszary-tematyczne/nauka-i-technika-spoleczenstwo-informacyjne/nauka-i-technika/dzialalnosc-innowacyjna-przedsiebiorstw-w-latach-2014-2016,2,15.html" TargetMode="External"/><Relationship Id="rId161" Type="http://schemas.openxmlformats.org/officeDocument/2006/relationships/image" Target="media/image78.jpeg"/><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image" Target="media/image7.png"/><Relationship Id="rId28" Type="http://schemas.openxmlformats.org/officeDocument/2006/relationships/image" Target="media/image12.png"/><Relationship Id="rId49" Type="http://schemas.openxmlformats.org/officeDocument/2006/relationships/image" Target="media/image26.png"/><Relationship Id="rId114" Type="http://schemas.openxmlformats.org/officeDocument/2006/relationships/image" Target="media/image65.png"/><Relationship Id="rId119" Type="http://schemas.openxmlformats.org/officeDocument/2006/relationships/image" Target="media/image69.jpeg"/><Relationship Id="rId44" Type="http://schemas.openxmlformats.org/officeDocument/2006/relationships/image" Target="media/image23.emf"/><Relationship Id="rId60" Type="http://schemas.openxmlformats.org/officeDocument/2006/relationships/chart" Target="charts/chart16.xml"/><Relationship Id="rId65" Type="http://schemas.openxmlformats.org/officeDocument/2006/relationships/chart" Target="charts/chart19.xml"/><Relationship Id="rId81" Type="http://schemas.openxmlformats.org/officeDocument/2006/relationships/image" Target="media/image37.png"/><Relationship Id="rId86" Type="http://schemas.openxmlformats.org/officeDocument/2006/relationships/image" Target="media/image40.emf"/><Relationship Id="rId130" Type="http://schemas.microsoft.com/office/2007/relationships/diagramDrawing" Target="diagrams/drawing1.xml"/><Relationship Id="rId135" Type="http://schemas.openxmlformats.org/officeDocument/2006/relationships/hyperlink" Target="http://www.eib.org/about/economic-research/surveys-data/investment-survey.htm" TargetMode="External"/><Relationship Id="rId151" Type="http://schemas.openxmlformats.org/officeDocument/2006/relationships/image" Target="media/image76.png"/><Relationship Id="rId156" Type="http://schemas.openxmlformats.org/officeDocument/2006/relationships/chart" Target="charts/chart34.xml"/><Relationship Id="rId172" Type="http://schemas.openxmlformats.org/officeDocument/2006/relationships/fontTable" Target="fontTable.xml"/><Relationship Id="rId13" Type="http://schemas.openxmlformats.org/officeDocument/2006/relationships/chart" Target="charts/chart1.xml"/><Relationship Id="rId18" Type="http://schemas.openxmlformats.org/officeDocument/2006/relationships/chart" Target="charts/chart4.xml"/><Relationship Id="rId39" Type="http://schemas.openxmlformats.org/officeDocument/2006/relationships/chart" Target="charts/chart6.xml"/><Relationship Id="rId109" Type="http://schemas.openxmlformats.org/officeDocument/2006/relationships/chart" Target="charts/chart27.xml"/><Relationship Id="rId34" Type="http://schemas.openxmlformats.org/officeDocument/2006/relationships/image" Target="media/image18.emf"/><Relationship Id="rId50" Type="http://schemas.openxmlformats.org/officeDocument/2006/relationships/chart" Target="charts/chart12.xml"/><Relationship Id="rId55" Type="http://schemas.openxmlformats.org/officeDocument/2006/relationships/image" Target="media/image28.png"/><Relationship Id="rId76" Type="http://schemas.openxmlformats.org/officeDocument/2006/relationships/hyperlink" Target="http://www.sooipp.org.pl/" TargetMode="External"/><Relationship Id="rId97" Type="http://schemas.openxmlformats.org/officeDocument/2006/relationships/image" Target="media/image51.png"/><Relationship Id="rId104" Type="http://schemas.openxmlformats.org/officeDocument/2006/relationships/image" Target="media/image58.png"/><Relationship Id="rId120" Type="http://schemas.openxmlformats.org/officeDocument/2006/relationships/image" Target="media/image70.jpeg"/><Relationship Id="rId125" Type="http://schemas.openxmlformats.org/officeDocument/2006/relationships/image" Target="media/image75.png"/><Relationship Id="rId141" Type="http://schemas.openxmlformats.org/officeDocument/2006/relationships/hyperlink" Target="https://stat.gov.pl/obszary-tematyczne/nauka-i-technika-spoleczenstwo-informacyjne/nauka-i-technika/nauka-i-technika-w-2017-roku,1,14.html" TargetMode="External"/><Relationship Id="rId146" Type="http://schemas.openxmlformats.org/officeDocument/2006/relationships/hyperlink" Target="http://www.oecd.org/economy/poland-economic-snapshot/" TargetMode="External"/><Relationship Id="rId167" Type="http://schemas.openxmlformats.org/officeDocument/2006/relationships/header" Target="header2.xml"/><Relationship Id="rId7" Type="http://schemas.openxmlformats.org/officeDocument/2006/relationships/numbering" Target="numbering.xml"/><Relationship Id="rId71" Type="http://schemas.openxmlformats.org/officeDocument/2006/relationships/image" Target="media/image33.png"/><Relationship Id="rId92" Type="http://schemas.openxmlformats.org/officeDocument/2006/relationships/image" Target="media/image46.emf"/><Relationship Id="rId162" Type="http://schemas.openxmlformats.org/officeDocument/2006/relationships/chart" Target="charts/chart39.xml"/><Relationship Id="rId2" Type="http://schemas.openxmlformats.org/officeDocument/2006/relationships/customXml" Target="../customXml/item2.xml"/><Relationship Id="rId29" Type="http://schemas.openxmlformats.org/officeDocument/2006/relationships/image" Target="media/image13.png"/><Relationship Id="rId24" Type="http://schemas.openxmlformats.org/officeDocument/2006/relationships/image" Target="media/image8.png"/><Relationship Id="rId40" Type="http://schemas.openxmlformats.org/officeDocument/2006/relationships/chart" Target="charts/chart7.xml"/><Relationship Id="rId45" Type="http://schemas.openxmlformats.org/officeDocument/2006/relationships/chart" Target="charts/chart10.xml"/><Relationship Id="rId66" Type="http://schemas.openxmlformats.org/officeDocument/2006/relationships/chart" Target="charts/chart20.xml"/><Relationship Id="rId87" Type="http://schemas.openxmlformats.org/officeDocument/2006/relationships/image" Target="media/image41.emf"/><Relationship Id="rId110" Type="http://schemas.openxmlformats.org/officeDocument/2006/relationships/chart" Target="charts/chart28.xml"/><Relationship Id="rId115" Type="http://schemas.openxmlformats.org/officeDocument/2006/relationships/image" Target="media/image66.jpeg"/><Relationship Id="rId131" Type="http://schemas.openxmlformats.org/officeDocument/2006/relationships/hyperlink" Target="http://www.oecd.org/sti/inno/oslomanualguidelinesforcollectingandinterpretinginnovationdata3rdedition.htm" TargetMode="External"/><Relationship Id="rId136" Type="http://schemas.openxmlformats.org/officeDocument/2006/relationships/hyperlink" Target="https://eur-lex.europa.eu/legal-content/EN/TXT/?uri=COM:2018:120:FIN" TargetMode="External"/><Relationship Id="rId157" Type="http://schemas.openxmlformats.org/officeDocument/2006/relationships/chart" Target="charts/chart35.xml"/><Relationship Id="rId61" Type="http://schemas.openxmlformats.org/officeDocument/2006/relationships/chart" Target="charts/chart17.xml"/><Relationship Id="rId82" Type="http://schemas.openxmlformats.org/officeDocument/2006/relationships/oleObject" Target="embeddings/oleObject6.bin"/><Relationship Id="rId152" Type="http://schemas.openxmlformats.org/officeDocument/2006/relationships/image" Target="media/image77.png"/><Relationship Id="rId173" Type="http://schemas.openxmlformats.org/officeDocument/2006/relationships/glossaryDocument" Target="glossary/document.xml"/><Relationship Id="rId19" Type="http://schemas.openxmlformats.org/officeDocument/2006/relationships/image" Target="media/image3.png"/><Relationship Id="rId14" Type="http://schemas.openxmlformats.org/officeDocument/2006/relationships/chart" Target="charts/chart2.xml"/><Relationship Id="rId30" Type="http://schemas.openxmlformats.org/officeDocument/2006/relationships/image" Target="media/image14.png"/><Relationship Id="rId35" Type="http://schemas.openxmlformats.org/officeDocument/2006/relationships/image" Target="media/image19.png"/><Relationship Id="rId56" Type="http://schemas.openxmlformats.org/officeDocument/2006/relationships/image" Target="media/image29.png"/><Relationship Id="rId77" Type="http://schemas.openxmlformats.org/officeDocument/2006/relationships/image" Target="media/image35.png"/><Relationship Id="rId100" Type="http://schemas.openxmlformats.org/officeDocument/2006/relationships/image" Target="media/image54.png"/><Relationship Id="rId105" Type="http://schemas.openxmlformats.org/officeDocument/2006/relationships/image" Target="media/image59.png"/><Relationship Id="rId126" Type="http://schemas.openxmlformats.org/officeDocument/2006/relationships/diagramData" Target="diagrams/data1.xml"/><Relationship Id="rId147" Type="http://schemas.openxmlformats.org/officeDocument/2006/relationships/hyperlink" Target="http://www.oecd.org/sti/msti.htm" TargetMode="External"/><Relationship Id="rId168" Type="http://schemas.openxmlformats.org/officeDocument/2006/relationships/footer" Target="footer1.xml"/><Relationship Id="rId8" Type="http://schemas.openxmlformats.org/officeDocument/2006/relationships/styles" Target="styles.xml"/><Relationship Id="rId51" Type="http://schemas.openxmlformats.org/officeDocument/2006/relationships/chart" Target="charts/chart13.xml"/><Relationship Id="rId72" Type="http://schemas.openxmlformats.org/officeDocument/2006/relationships/chart" Target="charts/chart25.xml"/><Relationship Id="rId93" Type="http://schemas.openxmlformats.org/officeDocument/2006/relationships/image" Target="media/image47.png"/><Relationship Id="rId98" Type="http://schemas.openxmlformats.org/officeDocument/2006/relationships/image" Target="media/image52.png"/><Relationship Id="rId121" Type="http://schemas.openxmlformats.org/officeDocument/2006/relationships/image" Target="media/image71.png"/><Relationship Id="rId142" Type="http://schemas.openxmlformats.org/officeDocument/2006/relationships/hyperlink" Target="https://www.ingwb.com/media/2088633/3d-printing-report-031017.pdf" TargetMode="External"/><Relationship Id="rId163" Type="http://schemas.openxmlformats.org/officeDocument/2006/relationships/image" Target="media/image79.jpeg"/><Relationship Id="rId3" Type="http://schemas.openxmlformats.org/officeDocument/2006/relationships/customXml" Target="../customXml/item3.xml"/><Relationship Id="rId25" Type="http://schemas.openxmlformats.org/officeDocument/2006/relationships/image" Target="media/image9.png"/><Relationship Id="rId46" Type="http://schemas.openxmlformats.org/officeDocument/2006/relationships/image" Target="media/image24.png"/><Relationship Id="rId67" Type="http://schemas.openxmlformats.org/officeDocument/2006/relationships/chart" Target="charts/chart21.xml"/><Relationship Id="rId116" Type="http://schemas.openxmlformats.org/officeDocument/2006/relationships/image" Target="media/image67.png"/><Relationship Id="rId137" Type="http://schemas.openxmlformats.org/officeDocument/2006/relationships/hyperlink" Target="http://www.eib.org/about/economic-research/surveys-data/investment-survey.htm" TargetMode="External"/><Relationship Id="rId158" Type="http://schemas.openxmlformats.org/officeDocument/2006/relationships/chart" Target="charts/chart36.xml"/><Relationship Id="rId20" Type="http://schemas.openxmlformats.org/officeDocument/2006/relationships/image" Target="media/image4.png"/><Relationship Id="rId41" Type="http://schemas.openxmlformats.org/officeDocument/2006/relationships/chart" Target="charts/chart8.xml"/><Relationship Id="rId62" Type="http://schemas.openxmlformats.org/officeDocument/2006/relationships/image" Target="media/image32.png"/><Relationship Id="rId83" Type="http://schemas.openxmlformats.org/officeDocument/2006/relationships/image" Target="media/image38.png"/><Relationship Id="rId88" Type="http://schemas.openxmlformats.org/officeDocument/2006/relationships/image" Target="media/image42.png"/><Relationship Id="rId111" Type="http://schemas.openxmlformats.org/officeDocument/2006/relationships/image" Target="media/image63.jpeg"/><Relationship Id="rId132" Type="http://schemas.openxmlformats.org/officeDocument/2006/relationships/hyperlink" Target="https://www.epo.org/about-us/annual-reports-statistics/statistics.html" TargetMode="External"/><Relationship Id="rId153" Type="http://schemas.openxmlformats.org/officeDocument/2006/relationships/chart" Target="charts/chart31.xml"/><Relationship Id="rId174" Type="http://schemas.openxmlformats.org/officeDocument/2006/relationships/theme" Target="theme/theme1.xml"/><Relationship Id="rId15" Type="http://schemas.openxmlformats.org/officeDocument/2006/relationships/image" Target="media/image1.png"/><Relationship Id="rId36" Type="http://schemas.openxmlformats.org/officeDocument/2006/relationships/image" Target="media/image20.png"/><Relationship Id="rId57" Type="http://schemas.openxmlformats.org/officeDocument/2006/relationships/image" Target="media/image30.png"/><Relationship Id="rId106" Type="http://schemas.openxmlformats.org/officeDocument/2006/relationships/image" Target="media/image60.png"/><Relationship Id="rId127" Type="http://schemas.openxmlformats.org/officeDocument/2006/relationships/diagramLayout" Target="diagrams/layout1.xml"/><Relationship Id="rId10" Type="http://schemas.openxmlformats.org/officeDocument/2006/relationships/webSettings" Target="webSettings.xml"/><Relationship Id="rId31" Type="http://schemas.openxmlformats.org/officeDocument/2006/relationships/image" Target="media/image15.png"/><Relationship Id="rId52" Type="http://schemas.openxmlformats.org/officeDocument/2006/relationships/chart" Target="charts/chart14.xml"/><Relationship Id="rId73" Type="http://schemas.openxmlformats.org/officeDocument/2006/relationships/image" Target="media/image34.emf"/><Relationship Id="rId78" Type="http://schemas.openxmlformats.org/officeDocument/2006/relationships/oleObject" Target="embeddings/oleObject4.bin"/><Relationship Id="rId94" Type="http://schemas.openxmlformats.org/officeDocument/2006/relationships/image" Target="media/image48.png"/><Relationship Id="rId99" Type="http://schemas.openxmlformats.org/officeDocument/2006/relationships/image" Target="media/image53.emf"/><Relationship Id="rId101" Type="http://schemas.openxmlformats.org/officeDocument/2006/relationships/image" Target="media/image55.png"/><Relationship Id="rId122" Type="http://schemas.openxmlformats.org/officeDocument/2006/relationships/image" Target="media/image72.png"/><Relationship Id="rId143" Type="http://schemas.openxmlformats.org/officeDocument/2006/relationships/hyperlink" Target="https://mc.bip.gov.pl/rok-2017/analiza-diagnostyczna-intesywnosc-wykorzystania-danych-w-gospodarce-a-jej-rozwoj.html" TargetMode="External"/><Relationship Id="rId148" Type="http://schemas.openxmlformats.org/officeDocument/2006/relationships/hyperlink" Target="https://publikacje.siemens-info.com/webreader/00175-001613-raport-smart-industry-polska-2018/index.html" TargetMode="External"/><Relationship Id="rId164" Type="http://schemas.openxmlformats.org/officeDocument/2006/relationships/chart" Target="charts/chart40.xml"/><Relationship Id="rId16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26" Type="http://schemas.openxmlformats.org/officeDocument/2006/relationships/image" Target="media/image10.png"/><Relationship Id="rId47" Type="http://schemas.openxmlformats.org/officeDocument/2006/relationships/chart" Target="charts/chart11.xml"/><Relationship Id="rId68" Type="http://schemas.openxmlformats.org/officeDocument/2006/relationships/chart" Target="charts/chart22.xml"/><Relationship Id="rId89" Type="http://schemas.openxmlformats.org/officeDocument/2006/relationships/image" Target="media/image43.png"/><Relationship Id="rId112" Type="http://schemas.openxmlformats.org/officeDocument/2006/relationships/image" Target="media/image64.png"/><Relationship Id="rId133" Type="http://schemas.openxmlformats.org/officeDocument/2006/relationships/hyperlink" Target="http://ec.europa.eu/growth/industry/innovation/facts-figures/scoreboards_en" TargetMode="External"/><Relationship Id="rId154" Type="http://schemas.openxmlformats.org/officeDocument/2006/relationships/chart" Target="charts/chart32.xml"/><Relationship Id="rId16" Type="http://schemas.openxmlformats.org/officeDocument/2006/relationships/image" Target="media/image2.png"/><Relationship Id="rId37" Type="http://schemas.openxmlformats.org/officeDocument/2006/relationships/image" Target="media/image21.png"/><Relationship Id="rId58" Type="http://schemas.openxmlformats.org/officeDocument/2006/relationships/image" Target="media/image31.emf"/><Relationship Id="rId79" Type="http://schemas.openxmlformats.org/officeDocument/2006/relationships/image" Target="media/image36.png"/><Relationship Id="rId102" Type="http://schemas.openxmlformats.org/officeDocument/2006/relationships/image" Target="media/image56.png"/><Relationship Id="rId123" Type="http://schemas.openxmlformats.org/officeDocument/2006/relationships/image" Target="media/image73.jpeg"/><Relationship Id="rId144" Type="http://schemas.openxmlformats.org/officeDocument/2006/relationships/hyperlink" Target="https://www.palgrave.com/br/book/9780230343436" TargetMode="External"/><Relationship Id="rId90" Type="http://schemas.openxmlformats.org/officeDocument/2006/relationships/image" Target="media/image44.png"/><Relationship Id="rId165" Type="http://schemas.openxmlformats.org/officeDocument/2006/relationships/chart" Target="charts/chart41.xml"/><Relationship Id="rId27" Type="http://schemas.openxmlformats.org/officeDocument/2006/relationships/image" Target="media/image11.png"/><Relationship Id="rId48" Type="http://schemas.openxmlformats.org/officeDocument/2006/relationships/image" Target="media/image25.png"/><Relationship Id="rId69" Type="http://schemas.openxmlformats.org/officeDocument/2006/relationships/chart" Target="charts/chart23.xml"/><Relationship Id="rId113" Type="http://schemas.openxmlformats.org/officeDocument/2006/relationships/chart" Target="charts/chart29.xml"/><Relationship Id="rId134" Type="http://schemas.openxmlformats.org/officeDocument/2006/relationships/hyperlink" Target="http://ec.europa.eu/growth/industry/innovation/facts-figures/regional_en" TargetMode="External"/><Relationship Id="rId80" Type="http://schemas.openxmlformats.org/officeDocument/2006/relationships/oleObject" Target="embeddings/oleObject5.bin"/><Relationship Id="rId155" Type="http://schemas.openxmlformats.org/officeDocument/2006/relationships/chart" Target="charts/chart33.xml"/><Relationship Id="rId17" Type="http://schemas.openxmlformats.org/officeDocument/2006/relationships/chart" Target="charts/chart3.xml"/><Relationship Id="rId38" Type="http://schemas.openxmlformats.org/officeDocument/2006/relationships/chart" Target="charts/chart5.xml"/><Relationship Id="rId59" Type="http://schemas.openxmlformats.org/officeDocument/2006/relationships/package" Target="embeddings/Microsoft_Excel_Worksheet3.xlsx"/><Relationship Id="rId103" Type="http://schemas.openxmlformats.org/officeDocument/2006/relationships/image" Target="media/image57.png"/><Relationship Id="rId124" Type="http://schemas.openxmlformats.org/officeDocument/2006/relationships/image" Target="media/image74.png"/><Relationship Id="rId70" Type="http://schemas.openxmlformats.org/officeDocument/2006/relationships/chart" Target="charts/chart24.xml"/><Relationship Id="rId91" Type="http://schemas.openxmlformats.org/officeDocument/2006/relationships/image" Target="media/image45.emf"/><Relationship Id="rId145" Type="http://schemas.openxmlformats.org/officeDocument/2006/relationships/hyperlink" Target="http://www.oecd.org/sti/ind/amne.htm" TargetMode="External"/><Relationship Id="rId166"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10.200.100.55\DAG\DAG_Wspolne\ProjektyMi&#281;dzywydzia&#322;owe\DIAGNOZA%20do%20STRATEGII%20PRODUKTYWNO&#346;CI\jk_aktualizacja_201906\OECD%20-%20Productivity.xlsx"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11.xml.rels><?xml version="1.0" encoding="UTF-8" standalone="yes"?>
<Relationships xmlns="http://schemas.openxmlformats.org/package/2006/relationships"><Relationship Id="rId1" Type="http://schemas.openxmlformats.org/officeDocument/2006/relationships/oleObject" Target="file:///C:\Users\Micha&#322;\Downloads\RACH_3510_XTAB_2021030909572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m.jedrejek\Desktop\Strategia%20Produktywno&#347;ci\Wykresy\Nowe\nrg_ind_eff.xls" TargetMode="External"/></Relationships>
</file>

<file path=word/charts/_rels/chart13.xml.rels><?xml version="1.0" encoding="UTF-8" standalone="yes"?>
<Relationships xmlns="http://schemas.openxmlformats.org/package/2006/relationships"><Relationship Id="rId2" Type="http://schemas.openxmlformats.org/officeDocument/2006/relationships/oleObject" Target="file:///C:\Users\e.szulczynska\Documents\Strategie\Strategia%20Produktywno&#347;ci\Diagnoza%202021\Wykresy%20do%20diagnozy%20SP%20ESz.xlsx" TargetMode="External"/><Relationship Id="rId1" Type="http://schemas.openxmlformats.org/officeDocument/2006/relationships/themeOverride" Target="../theme/themeOverride7.xml"/></Relationships>
</file>

<file path=word/charts/_rels/chart14.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15.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8.xml"/></Relationships>
</file>

<file path=word/charts/_rels/chart16.xml.rels><?xml version="1.0" encoding="UTF-8" standalone="yes"?>
<Relationships xmlns="http://schemas.openxmlformats.org/package/2006/relationships"><Relationship Id="rId2" Type="http://schemas.openxmlformats.org/officeDocument/2006/relationships/oleObject" Target="file:///\\Tango\DKS\3przez5\INDYWIDUALNE\WAS\DIN%20Strategia%20Produktywno&#347;ci\DIAGNOZA\tt%20-%20zaufanie.xlsx" TargetMode="External"/><Relationship Id="rId1" Type="http://schemas.openxmlformats.org/officeDocument/2006/relationships/themeOverride" Target="../theme/themeOverride9.xml"/></Relationships>
</file>

<file path=word/charts/_rels/chart17.xml.rels><?xml version="1.0" encoding="UTF-8" standalone="yes"?>
<Relationships xmlns="http://schemas.openxmlformats.org/package/2006/relationships"><Relationship Id="rId1" Type="http://schemas.openxmlformats.org/officeDocument/2006/relationships/oleObject" Target="file:///C:\Users\Michal_Drobniak\AppData\Local\Temp\Strateg%20tablica.xls"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Michal_Drobniak\AppData\Local\Temp\notesAF3A78\~2215062.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Michal_Drobniak\AppData\Local\Temp\notesAF3A78\~221506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j.kaminski\_Diagnoza_SP_2019\gdp_inc_prod.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Michal_Drobniak\AppData\Local\Temp\notesAF3A78\~2215062.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Michal_Drobniak\AppData\Local\Temp\notesAF3A78\Wykresy%20Michal%20(Naprawione).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Michal_Drobniak\AppData\Local\Temp\notesAF3A78\Wykresy%20Michal%20(Naprawione).xlsx" TargetMode="Externa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10.xml"/></Relationships>
</file>

<file path=word/charts/_rels/chart24.xml.rels><?xml version="1.0" encoding="UTF-8" standalone="yes"?>
<Relationships xmlns="http://schemas.openxmlformats.org/package/2006/relationships"><Relationship Id="rId1" Type="http://schemas.openxmlformats.org/officeDocument/2006/relationships/oleObject" Target="file:///C:\Users\m.ciesielski\Desktop\SP2030%20luty%20'22\Uwagi%20SKRM\excel%20do%20wykres&#243;w%20w%20diagnozie.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Michal_Drobniak\AppData\Local\Temp\notesAF3A78\Wykresy%20Michal%20(Naprawione).xlsx" TargetMode="External"/></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11.xml"/></Relationships>
</file>

<file path=word/charts/_rels/chart27.xml.rels><?xml version="1.0" encoding="UTF-8" standalone="yes"?>
<Relationships xmlns="http://schemas.openxmlformats.org/package/2006/relationships"><Relationship Id="rId1" Type="http://schemas.openxmlformats.org/officeDocument/2006/relationships/oleObject" Target="file:///C:\Users\m.ciesielski\Desktop\SP2030%20luty%20'22\Uwagi%20SKRM\excel%20do%20wykres&#243;w%20w%20diagnozie.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m.ciesielski\Desktop\SP2030%20luty%20'22\Uwagi%20SKRM\excel%20do%20wykres&#243;w%20w%20diagnozie.xlsx" TargetMode="External"/></Relationships>
</file>

<file path=word/charts/_rels/chart29.xml.rels><?xml version="1.0" encoding="UTF-8" standalone="yes"?>
<Relationships xmlns="http://schemas.openxmlformats.org/package/2006/relationships"><Relationship Id="rId2" Type="http://schemas.openxmlformats.org/officeDocument/2006/relationships/oleObject" Target="file:///C:\Users\Konstancja\Downloads\zasi_g%20innowacji.xls" TargetMode="External"/><Relationship Id="rId1" Type="http://schemas.openxmlformats.org/officeDocument/2006/relationships/themeOverride" Target="../theme/themeOverride1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sgh\Desktop\Raport%20inputy\Zakrzewska\INtensywnosc%20vc%20pkb%20per%20capita.xlsx" TargetMode="External"/><Relationship Id="rId1" Type="http://schemas.openxmlformats.org/officeDocument/2006/relationships/themeOverride" Target="../theme/themeOverride1.xml"/></Relationships>
</file>

<file path=word/charts/_rels/chart30.xml.rels><?xml version="1.0" encoding="UTF-8" standalone="yes"?>
<Relationships xmlns="http://schemas.openxmlformats.org/package/2006/relationships"><Relationship Id="rId1" Type="http://schemas.openxmlformats.org/officeDocument/2006/relationships/oleObject" Target="file:///C:\Users\m.ciesielski\Desktop\SP2030%20luty%20'22\Uwagi%20SKRM\excel%20do%20wykres&#243;w%20w%20diagnozie.xlsx" TargetMode="External"/></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37.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3.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39.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Jakub_Kaminski\Desktop\Maddison%20Database%202018.xlsx" TargetMode="External"/><Relationship Id="rId1" Type="http://schemas.openxmlformats.org/officeDocument/2006/relationships/themeOverride" Target="../theme/themeOverride2.xml"/></Relationships>
</file>

<file path=word/charts/_rels/chart40.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4.xml"/></Relationships>
</file>

<file path=word/charts/_rels/chart41.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5.xml.rels><?xml version="1.0" encoding="UTF-8" standalone="yes"?>
<Relationships xmlns="http://schemas.openxmlformats.org/package/2006/relationships"><Relationship Id="rId2" Type="http://schemas.openxmlformats.org/officeDocument/2006/relationships/oleObject" Target="file:///C:\Users\Jakub_Kaminski\Desktop\Zeszyt1.xlsx" TargetMode="External"/><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Jakub_Kaminski\Desktop\Zeszyt1.xlsx" TargetMode="External"/><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Jakub_Kaminski\Desktop\Zeszyt1.xlsx" TargetMode="External"/><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Pt>
            <c:idx val="22"/>
            <c:invertIfNegative val="0"/>
            <c:bubble3D val="0"/>
            <c:spPr>
              <a:solidFill>
                <a:schemeClr val="accent2"/>
              </a:solidFill>
            </c:spPr>
            <c:extLst>
              <c:ext xmlns:c16="http://schemas.microsoft.com/office/drawing/2014/chart" uri="{C3380CC4-5D6E-409C-BE32-E72D297353CC}">
                <c16:uniqueId val="{00000001-6705-4B53-9C52-F10B503BF487}"/>
              </c:ext>
            </c:extLst>
          </c:dPt>
          <c:cat>
            <c:strRef>
              <c:f>'[OECD - Productivity.xlsx]2019'!$A$5:$A$34</c:f>
              <c:strCache>
                <c:ptCount val="30"/>
                <c:pt idx="0">
                  <c:v>Irlandia</c:v>
                </c:pt>
                <c:pt idx="1">
                  <c:v>Norwegia</c:v>
                </c:pt>
                <c:pt idx="2">
                  <c:v>Luksemburg</c:v>
                </c:pt>
                <c:pt idx="3">
                  <c:v>Dania</c:v>
                </c:pt>
                <c:pt idx="4">
                  <c:v>Belgia</c:v>
                </c:pt>
                <c:pt idx="5">
                  <c:v>Holandia</c:v>
                </c:pt>
                <c:pt idx="6">
                  <c:v>Szwecja</c:v>
                </c:pt>
                <c:pt idx="7">
                  <c:v>Francja</c:v>
                </c:pt>
                <c:pt idx="8">
                  <c:v>Szwajcaria</c:v>
                </c:pt>
                <c:pt idx="9">
                  <c:v>Niemcy</c:v>
                </c:pt>
                <c:pt idx="10">
                  <c:v>Austria</c:v>
                </c:pt>
                <c:pt idx="11">
                  <c:v>Islandia</c:v>
                </c:pt>
                <c:pt idx="12">
                  <c:v>Finlandia</c:v>
                </c:pt>
                <c:pt idx="13">
                  <c:v>UK</c:v>
                </c:pt>
                <c:pt idx="14">
                  <c:v>Kanada</c:v>
                </c:pt>
                <c:pt idx="15">
                  <c:v>Włochy</c:v>
                </c:pt>
                <c:pt idx="16">
                  <c:v>Hiszpania</c:v>
                </c:pt>
                <c:pt idx="17">
                  <c:v>Japonia</c:v>
                </c:pt>
                <c:pt idx="18">
                  <c:v>Słowacja</c:v>
                </c:pt>
                <c:pt idx="19">
                  <c:v>Słowenia</c:v>
                </c:pt>
                <c:pt idx="20">
                  <c:v>Litwa</c:v>
                </c:pt>
                <c:pt idx="21">
                  <c:v>Nowa Zelandia</c:v>
                </c:pt>
                <c:pt idx="22">
                  <c:v>Polska</c:v>
                </c:pt>
                <c:pt idx="23">
                  <c:v>Czechy</c:v>
                </c:pt>
                <c:pt idx="24">
                  <c:v>Portugalia</c:v>
                </c:pt>
                <c:pt idx="25">
                  <c:v>Estonia</c:v>
                </c:pt>
                <c:pt idx="26">
                  <c:v>Węgry</c:v>
                </c:pt>
                <c:pt idx="27">
                  <c:v>Grecja</c:v>
                </c:pt>
                <c:pt idx="28">
                  <c:v>Łotwa</c:v>
                </c:pt>
                <c:pt idx="29">
                  <c:v>Chile</c:v>
                </c:pt>
              </c:strCache>
            </c:strRef>
          </c:cat>
          <c:val>
            <c:numRef>
              <c:f>'[OECD - Productivity.xlsx]2019'!$B$5:$B$34</c:f>
              <c:numCache>
                <c:formatCode>#,##0.0_ ;\-#,##0.0\ </c:formatCode>
                <c:ptCount val="30"/>
                <c:pt idx="0">
                  <c:v>86.176703000000003</c:v>
                </c:pt>
                <c:pt idx="1">
                  <c:v>80.547978999999998</c:v>
                </c:pt>
                <c:pt idx="2">
                  <c:v>78.638366000000005</c:v>
                </c:pt>
                <c:pt idx="3">
                  <c:v>65.307754000000003</c:v>
                </c:pt>
                <c:pt idx="4">
                  <c:v>64.744489000000002</c:v>
                </c:pt>
                <c:pt idx="5">
                  <c:v>62.511516999999998</c:v>
                </c:pt>
                <c:pt idx="6">
                  <c:v>61.877194000000003</c:v>
                </c:pt>
                <c:pt idx="7">
                  <c:v>61.457343000000002</c:v>
                </c:pt>
                <c:pt idx="8">
                  <c:v>60.507373999999999</c:v>
                </c:pt>
                <c:pt idx="9">
                  <c:v>60.476936000000002</c:v>
                </c:pt>
                <c:pt idx="10">
                  <c:v>58.750073999999998</c:v>
                </c:pt>
                <c:pt idx="11">
                  <c:v>56.913696999999999</c:v>
                </c:pt>
                <c:pt idx="12">
                  <c:v>55.308042999999998</c:v>
                </c:pt>
                <c:pt idx="13">
                  <c:v>52.784052000000003</c:v>
                </c:pt>
                <c:pt idx="14">
                  <c:v>49.510933000000001</c:v>
                </c:pt>
                <c:pt idx="15">
                  <c:v>47.857075999999999</c:v>
                </c:pt>
                <c:pt idx="16">
                  <c:v>47.447921999999998</c:v>
                </c:pt>
                <c:pt idx="17">
                  <c:v>42.050317</c:v>
                </c:pt>
                <c:pt idx="18">
                  <c:v>41.208694000000001</c:v>
                </c:pt>
                <c:pt idx="19">
                  <c:v>40.155006999999998</c:v>
                </c:pt>
                <c:pt idx="20">
                  <c:v>37.365698000000002</c:v>
                </c:pt>
                <c:pt idx="21">
                  <c:v>37.265363000000001</c:v>
                </c:pt>
                <c:pt idx="22">
                  <c:v>35.990257999999997</c:v>
                </c:pt>
                <c:pt idx="23">
                  <c:v>35.600419000000002</c:v>
                </c:pt>
                <c:pt idx="24">
                  <c:v>34.944420999999998</c:v>
                </c:pt>
                <c:pt idx="25">
                  <c:v>34.217613</c:v>
                </c:pt>
                <c:pt idx="26">
                  <c:v>33.382930000000002</c:v>
                </c:pt>
                <c:pt idx="27">
                  <c:v>32.041625000000003</c:v>
                </c:pt>
                <c:pt idx="28">
                  <c:v>32.035384999999998</c:v>
                </c:pt>
                <c:pt idx="29">
                  <c:v>24.674892</c:v>
                </c:pt>
              </c:numCache>
            </c:numRef>
          </c:val>
          <c:extLst>
            <c:ext xmlns:c16="http://schemas.microsoft.com/office/drawing/2014/chart" uri="{C3380CC4-5D6E-409C-BE32-E72D297353CC}">
              <c16:uniqueId val="{00000002-6705-4B53-9C52-F10B503BF487}"/>
            </c:ext>
          </c:extLst>
        </c:ser>
        <c:dLbls>
          <c:showLegendKey val="0"/>
          <c:showVal val="0"/>
          <c:showCatName val="0"/>
          <c:showSerName val="0"/>
          <c:showPercent val="0"/>
          <c:showBubbleSize val="0"/>
        </c:dLbls>
        <c:gapWidth val="150"/>
        <c:axId val="259888256"/>
        <c:axId val="259889792"/>
      </c:barChart>
      <c:catAx>
        <c:axId val="259888256"/>
        <c:scaling>
          <c:orientation val="minMax"/>
        </c:scaling>
        <c:delete val="0"/>
        <c:axPos val="b"/>
        <c:numFmt formatCode="General" sourceLinked="0"/>
        <c:majorTickMark val="out"/>
        <c:minorTickMark val="none"/>
        <c:tickLblPos val="nextTo"/>
        <c:txPr>
          <a:bodyPr rot="-5400000" vert="horz"/>
          <a:lstStyle/>
          <a:p>
            <a:pPr>
              <a:defRPr sz="900"/>
            </a:pPr>
            <a:endParaRPr lang="pl-PL"/>
          </a:p>
        </c:txPr>
        <c:crossAx val="259889792"/>
        <c:crosses val="autoZero"/>
        <c:auto val="1"/>
        <c:lblAlgn val="ctr"/>
        <c:lblOffset val="100"/>
        <c:noMultiLvlLbl val="0"/>
      </c:catAx>
      <c:valAx>
        <c:axId val="259889792"/>
        <c:scaling>
          <c:orientation val="minMax"/>
        </c:scaling>
        <c:delete val="0"/>
        <c:axPos val="l"/>
        <c:majorGridlines>
          <c:spPr>
            <a:ln>
              <a:solidFill>
                <a:schemeClr val="bg1">
                  <a:lumMod val="75000"/>
                  <a:alpha val="52000"/>
                </a:schemeClr>
              </a:solidFill>
            </a:ln>
          </c:spPr>
        </c:majorGridlines>
        <c:numFmt formatCode="#,##0_ ;\-#,##0\ " sourceLinked="0"/>
        <c:majorTickMark val="out"/>
        <c:minorTickMark val="none"/>
        <c:tickLblPos val="nextTo"/>
        <c:crossAx val="259888256"/>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pie3DChart>
        <c:varyColors val="1"/>
        <c:ser>
          <c:idx val="0"/>
          <c:order val="0"/>
          <c:explosion val="25"/>
          <c:cat>
            <c:strRef>
              <c:f>Arkusz2!$C$3:$F$3</c:f>
              <c:strCache>
                <c:ptCount val="4"/>
                <c:pt idx="0">
                  <c:v>Składowanie 
43%</c:v>
                </c:pt>
                <c:pt idx="1">
                  <c:v>Recykling 
25%</c:v>
                </c:pt>
                <c:pt idx="2">
                  <c:v>Przekształcenia termiczne 
23%</c:v>
                </c:pt>
                <c:pt idx="3">
                  <c:v>Kompostowanie lub fermentacja 
9%</c:v>
                </c:pt>
              </c:strCache>
            </c:strRef>
          </c:cat>
          <c:val>
            <c:numRef>
              <c:f>Arkusz2!$C$4:$F$4</c:f>
              <c:numCache>
                <c:formatCode>General</c:formatCode>
                <c:ptCount val="4"/>
                <c:pt idx="0">
                  <c:v>5487</c:v>
                </c:pt>
                <c:pt idx="1">
                  <c:v>3192</c:v>
                </c:pt>
                <c:pt idx="2">
                  <c:v>2920</c:v>
                </c:pt>
                <c:pt idx="3">
                  <c:v>1153</c:v>
                </c:pt>
              </c:numCache>
            </c:numRef>
          </c:val>
          <c:extLst>
            <c:ext xmlns:c16="http://schemas.microsoft.com/office/drawing/2014/chart" uri="{C3380CC4-5D6E-409C-BE32-E72D297353CC}">
              <c16:uniqueId val="{00000000-B5DE-40B5-B592-97A2501E4AE2}"/>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lineChart>
        <c:grouping val="standard"/>
        <c:varyColors val="0"/>
        <c:ser>
          <c:idx val="0"/>
          <c:order val="0"/>
          <c:tx>
            <c:v>Roczne zużycie energii elektrycznej w GWh</c:v>
          </c:tx>
          <c:spPr>
            <a:ln w="28575" cap="rnd">
              <a:solidFill>
                <a:schemeClr val="accent1"/>
              </a:solidFill>
              <a:round/>
            </a:ln>
            <a:effectLst/>
          </c:spPr>
          <c:marker>
            <c:symbol val="none"/>
          </c:marker>
          <c:cat>
            <c:numRef>
              <c:f>TABLICA!$I$27:$I$35</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TABLICA!$J$27:$J$35</c:f>
              <c:numCache>
                <c:formatCode>General</c:formatCode>
                <c:ptCount val="9"/>
                <c:pt idx="0">
                  <c:v>41452</c:v>
                </c:pt>
                <c:pt idx="1">
                  <c:v>44132</c:v>
                </c:pt>
                <c:pt idx="2">
                  <c:v>44714</c:v>
                </c:pt>
                <c:pt idx="3">
                  <c:v>47290</c:v>
                </c:pt>
                <c:pt idx="4">
                  <c:v>47585</c:v>
                </c:pt>
                <c:pt idx="5">
                  <c:v>49482</c:v>
                </c:pt>
                <c:pt idx="6">
                  <c:v>51210</c:v>
                </c:pt>
                <c:pt idx="7">
                  <c:v>54543</c:v>
                </c:pt>
                <c:pt idx="8">
                  <c:v>56424</c:v>
                </c:pt>
              </c:numCache>
            </c:numRef>
          </c:val>
          <c:smooth val="0"/>
          <c:extLst>
            <c:ext xmlns:c16="http://schemas.microsoft.com/office/drawing/2014/chart" uri="{C3380CC4-5D6E-409C-BE32-E72D297353CC}">
              <c16:uniqueId val="{00000000-4E50-4737-B609-88D9D1B5A364}"/>
            </c:ext>
          </c:extLst>
        </c:ser>
        <c:dLbls>
          <c:showLegendKey val="0"/>
          <c:showVal val="0"/>
          <c:showCatName val="0"/>
          <c:showSerName val="0"/>
          <c:showPercent val="0"/>
          <c:showBubbleSize val="0"/>
        </c:dLbls>
        <c:smooth val="0"/>
        <c:axId val="268022144"/>
        <c:axId val="268023680"/>
      </c:lineChart>
      <c:catAx>
        <c:axId val="268022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8023680"/>
        <c:crosses val="autoZero"/>
        <c:auto val="1"/>
        <c:lblAlgn val="ctr"/>
        <c:lblOffset val="100"/>
        <c:noMultiLvlLbl val="0"/>
      </c:catAx>
      <c:valAx>
        <c:axId val="268023680"/>
        <c:scaling>
          <c:orientation val="minMax"/>
          <c:min val="35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8022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5"/>
            <c:invertIfNegative val="0"/>
            <c:bubble3D val="0"/>
            <c:spPr>
              <a:solidFill>
                <a:schemeClr val="accent2"/>
              </a:solidFill>
            </c:spPr>
            <c:extLst>
              <c:ext xmlns:c16="http://schemas.microsoft.com/office/drawing/2014/chart" uri="{C3380CC4-5D6E-409C-BE32-E72D297353CC}">
                <c16:uniqueId val="{00000001-EA38-4B88-8B8A-96614A68CC03}"/>
              </c:ext>
            </c:extLst>
          </c:dPt>
          <c:cat>
            <c:strRef>
              <c:f>Data!$A$12:$A$39</c:f>
              <c:strCache>
                <c:ptCount val="28"/>
                <c:pt idx="0">
                  <c:v>Niemcy</c:v>
                </c:pt>
                <c:pt idx="1">
                  <c:v>Francja</c:v>
                </c:pt>
                <c:pt idx="2">
                  <c:v>Wielka Brytania</c:v>
                </c:pt>
                <c:pt idx="3">
                  <c:v>Włochy</c:v>
                </c:pt>
                <c:pt idx="4">
                  <c:v>Hiszpania</c:v>
                </c:pt>
                <c:pt idx="5">
                  <c:v>Polska</c:v>
                </c:pt>
                <c:pt idx="6">
                  <c:v>Holandia</c:v>
                </c:pt>
                <c:pt idx="7">
                  <c:v>Belgia</c:v>
                </c:pt>
                <c:pt idx="8">
                  <c:v>Szwecja</c:v>
                </c:pt>
                <c:pt idx="9">
                  <c:v>Czechy</c:v>
                </c:pt>
                <c:pt idx="10">
                  <c:v>Austia</c:v>
                </c:pt>
                <c:pt idx="11">
                  <c:v>Rumunia</c:v>
                </c:pt>
                <c:pt idx="12">
                  <c:v>Finlandia</c:v>
                </c:pt>
                <c:pt idx="13">
                  <c:v>Węgry</c:v>
                </c:pt>
                <c:pt idx="14">
                  <c:v>Grecja</c:v>
                </c:pt>
                <c:pt idx="15">
                  <c:v>Portugalia</c:v>
                </c:pt>
                <c:pt idx="16">
                  <c:v>Bułgaria</c:v>
                </c:pt>
                <c:pt idx="17">
                  <c:v>Dania</c:v>
                </c:pt>
                <c:pt idx="18">
                  <c:v>Słowacja</c:v>
                </c:pt>
                <c:pt idx="19">
                  <c:v>Iralndia</c:v>
                </c:pt>
                <c:pt idx="20">
                  <c:v>Chorwacja</c:v>
                </c:pt>
                <c:pt idx="21">
                  <c:v>Słowenia</c:v>
                </c:pt>
                <c:pt idx="22">
                  <c:v>Litwa</c:v>
                </c:pt>
                <c:pt idx="23">
                  <c:v>Estonia</c:v>
                </c:pt>
                <c:pt idx="24">
                  <c:v>Łotwa</c:v>
                </c:pt>
                <c:pt idx="25">
                  <c:v>Luksemburg</c:v>
                </c:pt>
                <c:pt idx="26">
                  <c:v>Cypr</c:v>
                </c:pt>
                <c:pt idx="27">
                  <c:v>Malta</c:v>
                </c:pt>
              </c:strCache>
            </c:strRef>
          </c:cat>
          <c:val>
            <c:numRef>
              <c:f>Data!$B$12:$B$39</c:f>
              <c:numCache>
                <c:formatCode>#,##0.00</c:formatCode>
                <c:ptCount val="28"/>
                <c:pt idx="0">
                  <c:v>298.31</c:v>
                </c:pt>
                <c:pt idx="1">
                  <c:v>239.52</c:v>
                </c:pt>
                <c:pt idx="2">
                  <c:v>176.82</c:v>
                </c:pt>
                <c:pt idx="3">
                  <c:v>148.94999999999999</c:v>
                </c:pt>
                <c:pt idx="4">
                  <c:v>125.63</c:v>
                </c:pt>
                <c:pt idx="5">
                  <c:v>99.11</c:v>
                </c:pt>
                <c:pt idx="6">
                  <c:v>64.540000000000006</c:v>
                </c:pt>
                <c:pt idx="7">
                  <c:v>49.12</c:v>
                </c:pt>
                <c:pt idx="8">
                  <c:v>46.48</c:v>
                </c:pt>
                <c:pt idx="9">
                  <c:v>40.36</c:v>
                </c:pt>
                <c:pt idx="10">
                  <c:v>32.549999999999997</c:v>
                </c:pt>
                <c:pt idx="11">
                  <c:v>32.369999999999997</c:v>
                </c:pt>
                <c:pt idx="12">
                  <c:v>31.93</c:v>
                </c:pt>
                <c:pt idx="13">
                  <c:v>24.48</c:v>
                </c:pt>
                <c:pt idx="14">
                  <c:v>23.12</c:v>
                </c:pt>
                <c:pt idx="15">
                  <c:v>22.79</c:v>
                </c:pt>
                <c:pt idx="16">
                  <c:v>18.329999999999998</c:v>
                </c:pt>
                <c:pt idx="17">
                  <c:v>17.739999999999998</c:v>
                </c:pt>
                <c:pt idx="18">
                  <c:v>16.149999999999999</c:v>
                </c:pt>
                <c:pt idx="19">
                  <c:v>14.41</c:v>
                </c:pt>
                <c:pt idx="20">
                  <c:v>8.33</c:v>
                </c:pt>
                <c:pt idx="21">
                  <c:v>6.64</c:v>
                </c:pt>
                <c:pt idx="22">
                  <c:v>6.16</c:v>
                </c:pt>
                <c:pt idx="23">
                  <c:v>5.64</c:v>
                </c:pt>
                <c:pt idx="24">
                  <c:v>4.47</c:v>
                </c:pt>
                <c:pt idx="25">
                  <c:v>4.3</c:v>
                </c:pt>
                <c:pt idx="26">
                  <c:v>2.52</c:v>
                </c:pt>
                <c:pt idx="27">
                  <c:v>0.81</c:v>
                </c:pt>
              </c:numCache>
            </c:numRef>
          </c:val>
          <c:extLst>
            <c:ext xmlns:c16="http://schemas.microsoft.com/office/drawing/2014/chart" uri="{C3380CC4-5D6E-409C-BE32-E72D297353CC}">
              <c16:uniqueId val="{00000002-EA38-4B88-8B8A-96614A68CC03}"/>
            </c:ext>
          </c:extLst>
        </c:ser>
        <c:dLbls>
          <c:showLegendKey val="0"/>
          <c:showVal val="0"/>
          <c:showCatName val="0"/>
          <c:showSerName val="0"/>
          <c:showPercent val="0"/>
          <c:showBubbleSize val="0"/>
        </c:dLbls>
        <c:gapWidth val="150"/>
        <c:axId val="267783552"/>
        <c:axId val="267789440"/>
      </c:barChart>
      <c:catAx>
        <c:axId val="267783552"/>
        <c:scaling>
          <c:orientation val="minMax"/>
        </c:scaling>
        <c:delete val="0"/>
        <c:axPos val="b"/>
        <c:numFmt formatCode="General" sourceLinked="0"/>
        <c:majorTickMark val="out"/>
        <c:minorTickMark val="none"/>
        <c:tickLblPos val="nextTo"/>
        <c:crossAx val="267789440"/>
        <c:crosses val="autoZero"/>
        <c:auto val="1"/>
        <c:lblAlgn val="ctr"/>
        <c:lblOffset val="100"/>
        <c:noMultiLvlLbl val="0"/>
      </c:catAx>
      <c:valAx>
        <c:axId val="267789440"/>
        <c:scaling>
          <c:orientation val="minMax"/>
        </c:scaling>
        <c:delete val="0"/>
        <c:axPos val="l"/>
        <c:majorGridlines/>
        <c:numFmt formatCode="#,##0.00" sourceLinked="1"/>
        <c:majorTickMark val="out"/>
        <c:minorTickMark val="none"/>
        <c:tickLblPos val="nextTo"/>
        <c:crossAx val="267783552"/>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2.4052916416115455E-2"/>
          <c:y val="6.9444444444444448E-2"/>
          <c:w val="0.95429945880938061"/>
          <c:h val="0.83309419655876349"/>
        </c:manualLayout>
      </c:layout>
      <c:lineChart>
        <c:grouping val="standard"/>
        <c:varyColors val="0"/>
        <c:ser>
          <c:idx val="0"/>
          <c:order val="0"/>
          <c:marker>
            <c:symbol val="square"/>
            <c:size val="5"/>
          </c:marker>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'Udział energii odnawialnej'!$B$3:$B$14</c:f>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numCache>
            </c:numRef>
          </c:cat>
          <c:val>
            <c:numRef>
              <c:f>'Udział energii odnawialnej'!$C$3:$C$14</c:f>
              <c:numCache>
                <c:formatCode>0.00</c:formatCode>
                <c:ptCount val="12"/>
                <c:pt idx="0" formatCode="General">
                  <c:v>7.71</c:v>
                </c:pt>
                <c:pt idx="1">
                  <c:v>8.6999999999999993</c:v>
                </c:pt>
                <c:pt idx="2">
                  <c:v>9.3000000000000007</c:v>
                </c:pt>
                <c:pt idx="3" formatCode="General">
                  <c:v>10.35</c:v>
                </c:pt>
                <c:pt idx="4" formatCode="General">
                  <c:v>10.97</c:v>
                </c:pt>
                <c:pt idx="5" formatCode="General">
                  <c:v>11.46</c:v>
                </c:pt>
                <c:pt idx="6" formatCode="General">
                  <c:v>11.61</c:v>
                </c:pt>
                <c:pt idx="7" formatCode="General">
                  <c:v>11.89</c:v>
                </c:pt>
                <c:pt idx="8">
                  <c:v>11.4</c:v>
                </c:pt>
                <c:pt idx="9" formatCode="General">
                  <c:v>11.12</c:v>
                </c:pt>
                <c:pt idx="10" formatCode="General">
                  <c:v>11.48</c:v>
                </c:pt>
                <c:pt idx="11" formatCode="General">
                  <c:v>12.16</c:v>
                </c:pt>
              </c:numCache>
            </c:numRef>
          </c:val>
          <c:smooth val="0"/>
          <c:extLst>
            <c:ext xmlns:c16="http://schemas.microsoft.com/office/drawing/2014/chart" uri="{C3380CC4-5D6E-409C-BE32-E72D297353CC}">
              <c16:uniqueId val="{00000000-C40E-48A2-B06C-FDB0942A35C9}"/>
            </c:ext>
          </c:extLst>
        </c:ser>
        <c:dLbls>
          <c:showLegendKey val="0"/>
          <c:showVal val="0"/>
          <c:showCatName val="0"/>
          <c:showSerName val="0"/>
          <c:showPercent val="0"/>
          <c:showBubbleSize val="0"/>
        </c:dLbls>
        <c:marker val="1"/>
        <c:smooth val="0"/>
        <c:axId val="267830016"/>
        <c:axId val="267831552"/>
      </c:lineChart>
      <c:catAx>
        <c:axId val="267830016"/>
        <c:scaling>
          <c:orientation val="minMax"/>
        </c:scaling>
        <c:delete val="0"/>
        <c:axPos val="b"/>
        <c:majorGridlines/>
        <c:numFmt formatCode="General" sourceLinked="1"/>
        <c:majorTickMark val="out"/>
        <c:minorTickMark val="none"/>
        <c:tickLblPos val="low"/>
        <c:crossAx val="267831552"/>
        <c:crosses val="autoZero"/>
        <c:auto val="1"/>
        <c:lblAlgn val="ctr"/>
        <c:lblOffset val="10"/>
        <c:noMultiLvlLbl val="0"/>
      </c:catAx>
      <c:valAx>
        <c:axId val="267831552"/>
        <c:scaling>
          <c:orientation val="minMax"/>
        </c:scaling>
        <c:delete val="1"/>
        <c:axPos val="l"/>
        <c:numFmt formatCode="General" sourceLinked="1"/>
        <c:majorTickMark val="out"/>
        <c:minorTickMark val="none"/>
        <c:tickLblPos val="nextTo"/>
        <c:crossAx val="267830016"/>
        <c:crossesAt val="12"/>
        <c:crossBetween val="between"/>
      </c:valAx>
    </c:plotArea>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20976818615977"/>
          <c:y val="9.5309379609584896E-2"/>
          <c:w val="0.85707118300069751"/>
          <c:h val="0.64350657732557359"/>
        </c:manualLayout>
      </c:layout>
      <c:lineChart>
        <c:grouping val="standard"/>
        <c:varyColors val="0"/>
        <c:ser>
          <c:idx val="0"/>
          <c:order val="0"/>
          <c:tx>
            <c:strRef>
              <c:f>'[sdg_13_20_20190718_111121.xlsx]Sheet 1'!$A$9</c:f>
              <c:strCache>
                <c:ptCount val="1"/>
                <c:pt idx="0">
                  <c:v>UE28</c:v>
                </c:pt>
              </c:strCache>
            </c:strRef>
          </c:tx>
          <c:marker>
            <c:symbol val="none"/>
          </c:marker>
          <c:cat>
            <c:strRef>
              <c:f>'[sdg_13_20_20190718_111121.xlsx]Sheet 1'!$B$8:$I$8</c:f>
              <c:strCache>
                <c:ptCount val="8"/>
                <c:pt idx="0">
                  <c:v>2010</c:v>
                </c:pt>
                <c:pt idx="1">
                  <c:v>2011</c:v>
                </c:pt>
                <c:pt idx="2">
                  <c:v>2012</c:v>
                </c:pt>
                <c:pt idx="3">
                  <c:v>2013</c:v>
                </c:pt>
                <c:pt idx="4">
                  <c:v>2014</c:v>
                </c:pt>
                <c:pt idx="5">
                  <c:v>2015</c:v>
                </c:pt>
                <c:pt idx="6">
                  <c:v>2016</c:v>
                </c:pt>
                <c:pt idx="7">
                  <c:v>2017</c:v>
                </c:pt>
              </c:strCache>
            </c:strRef>
          </c:cat>
          <c:val>
            <c:numRef>
              <c:f>'[sdg_13_20_20190718_111121.xlsx]Sheet 1'!$B$9:$I$9</c:f>
              <c:numCache>
                <c:formatCode>0.0</c:formatCode>
                <c:ptCount val="8"/>
                <c:pt idx="0">
                  <c:v>92.5</c:v>
                </c:pt>
                <c:pt idx="1">
                  <c:v>92.1</c:v>
                </c:pt>
                <c:pt idx="2">
                  <c:v>91.8</c:v>
                </c:pt>
                <c:pt idx="3">
                  <c:v>90.5</c:v>
                </c:pt>
                <c:pt idx="4">
                  <c:v>89.1</c:v>
                </c:pt>
                <c:pt idx="5">
                  <c:v>88.7</c:v>
                </c:pt>
                <c:pt idx="6">
                  <c:v>87.6</c:v>
                </c:pt>
                <c:pt idx="7">
                  <c:v>86.6</c:v>
                </c:pt>
              </c:numCache>
            </c:numRef>
          </c:val>
          <c:smooth val="0"/>
          <c:extLst>
            <c:ext xmlns:c16="http://schemas.microsoft.com/office/drawing/2014/chart" uri="{C3380CC4-5D6E-409C-BE32-E72D297353CC}">
              <c16:uniqueId val="{00000000-E046-4716-B05A-E8F98CE60D5C}"/>
            </c:ext>
          </c:extLst>
        </c:ser>
        <c:ser>
          <c:idx val="1"/>
          <c:order val="1"/>
          <c:tx>
            <c:strRef>
              <c:f>'[sdg_13_20_20190718_111121.xlsx]Sheet 1'!$A$10</c:f>
              <c:strCache>
                <c:ptCount val="1"/>
                <c:pt idx="0">
                  <c:v>Czechy</c:v>
                </c:pt>
              </c:strCache>
            </c:strRef>
          </c:tx>
          <c:marker>
            <c:symbol val="none"/>
          </c:marker>
          <c:cat>
            <c:strRef>
              <c:f>'[sdg_13_20_20190718_111121.xlsx]Sheet 1'!$B$8:$I$8</c:f>
              <c:strCache>
                <c:ptCount val="8"/>
                <c:pt idx="0">
                  <c:v>2010</c:v>
                </c:pt>
                <c:pt idx="1">
                  <c:v>2011</c:v>
                </c:pt>
                <c:pt idx="2">
                  <c:v>2012</c:v>
                </c:pt>
                <c:pt idx="3">
                  <c:v>2013</c:v>
                </c:pt>
                <c:pt idx="4">
                  <c:v>2014</c:v>
                </c:pt>
                <c:pt idx="5">
                  <c:v>2015</c:v>
                </c:pt>
                <c:pt idx="6">
                  <c:v>2016</c:v>
                </c:pt>
                <c:pt idx="7">
                  <c:v>2017</c:v>
                </c:pt>
              </c:strCache>
            </c:strRef>
          </c:cat>
          <c:val>
            <c:numRef>
              <c:f>'[sdg_13_20_20190718_111121.xlsx]Sheet 1'!$B$10:$I$10</c:f>
              <c:numCache>
                <c:formatCode>0.0</c:formatCode>
                <c:ptCount val="8"/>
                <c:pt idx="0">
                  <c:v>83.3</c:v>
                </c:pt>
                <c:pt idx="1">
                  <c:v>84.9</c:v>
                </c:pt>
                <c:pt idx="2">
                  <c:v>82.4</c:v>
                </c:pt>
                <c:pt idx="3">
                  <c:v>77.8</c:v>
                </c:pt>
                <c:pt idx="4">
                  <c:v>78.2</c:v>
                </c:pt>
                <c:pt idx="5">
                  <c:v>78.8</c:v>
                </c:pt>
                <c:pt idx="6">
                  <c:v>80.7</c:v>
                </c:pt>
                <c:pt idx="7">
                  <c:v>77</c:v>
                </c:pt>
              </c:numCache>
            </c:numRef>
          </c:val>
          <c:smooth val="0"/>
          <c:extLst>
            <c:ext xmlns:c16="http://schemas.microsoft.com/office/drawing/2014/chart" uri="{C3380CC4-5D6E-409C-BE32-E72D297353CC}">
              <c16:uniqueId val="{00000001-E046-4716-B05A-E8F98CE60D5C}"/>
            </c:ext>
          </c:extLst>
        </c:ser>
        <c:ser>
          <c:idx val="2"/>
          <c:order val="2"/>
          <c:tx>
            <c:strRef>
              <c:f>'[sdg_13_20_20190718_111121.xlsx]Sheet 1'!$A$11</c:f>
              <c:strCache>
                <c:ptCount val="1"/>
                <c:pt idx="0">
                  <c:v>Niemcy</c:v>
                </c:pt>
              </c:strCache>
            </c:strRef>
          </c:tx>
          <c:marker>
            <c:symbol val="none"/>
          </c:marker>
          <c:cat>
            <c:strRef>
              <c:f>'[sdg_13_20_20190718_111121.xlsx]Sheet 1'!$B$8:$I$8</c:f>
              <c:strCache>
                <c:ptCount val="8"/>
                <c:pt idx="0">
                  <c:v>2010</c:v>
                </c:pt>
                <c:pt idx="1">
                  <c:v>2011</c:v>
                </c:pt>
                <c:pt idx="2">
                  <c:v>2012</c:v>
                </c:pt>
                <c:pt idx="3">
                  <c:v>2013</c:v>
                </c:pt>
                <c:pt idx="4">
                  <c:v>2014</c:v>
                </c:pt>
                <c:pt idx="5">
                  <c:v>2015</c:v>
                </c:pt>
                <c:pt idx="6">
                  <c:v>2016</c:v>
                </c:pt>
                <c:pt idx="7">
                  <c:v>2017</c:v>
                </c:pt>
              </c:strCache>
            </c:strRef>
          </c:cat>
          <c:val>
            <c:numRef>
              <c:f>'[sdg_13_20_20190718_111121.xlsx]Sheet 1'!$B$11:$I$11</c:f>
              <c:numCache>
                <c:formatCode>0.0</c:formatCode>
                <c:ptCount val="8"/>
                <c:pt idx="0">
                  <c:v>94.2</c:v>
                </c:pt>
                <c:pt idx="1">
                  <c:v>96.4</c:v>
                </c:pt>
                <c:pt idx="2">
                  <c:v>96.6</c:v>
                </c:pt>
                <c:pt idx="3">
                  <c:v>96.6</c:v>
                </c:pt>
                <c:pt idx="4">
                  <c:v>95.3</c:v>
                </c:pt>
                <c:pt idx="5">
                  <c:v>95.4</c:v>
                </c:pt>
                <c:pt idx="6">
                  <c:v>95</c:v>
                </c:pt>
                <c:pt idx="7">
                  <c:v>93.5</c:v>
                </c:pt>
              </c:numCache>
            </c:numRef>
          </c:val>
          <c:smooth val="0"/>
          <c:extLst>
            <c:ext xmlns:c16="http://schemas.microsoft.com/office/drawing/2014/chart" uri="{C3380CC4-5D6E-409C-BE32-E72D297353CC}">
              <c16:uniqueId val="{00000002-E046-4716-B05A-E8F98CE60D5C}"/>
            </c:ext>
          </c:extLst>
        </c:ser>
        <c:ser>
          <c:idx val="3"/>
          <c:order val="3"/>
          <c:tx>
            <c:strRef>
              <c:f>'[sdg_13_20_20190718_111121.xlsx]Sheet 1'!$A$12</c:f>
              <c:strCache>
                <c:ptCount val="1"/>
                <c:pt idx="0">
                  <c:v>Polska</c:v>
                </c:pt>
              </c:strCache>
            </c:strRef>
          </c:tx>
          <c:marker>
            <c:symbol val="none"/>
          </c:marker>
          <c:cat>
            <c:strRef>
              <c:f>'[sdg_13_20_20190718_111121.xlsx]Sheet 1'!$B$8:$I$8</c:f>
              <c:strCache>
                <c:ptCount val="8"/>
                <c:pt idx="0">
                  <c:v>2010</c:v>
                </c:pt>
                <c:pt idx="1">
                  <c:v>2011</c:v>
                </c:pt>
                <c:pt idx="2">
                  <c:v>2012</c:v>
                </c:pt>
                <c:pt idx="3">
                  <c:v>2013</c:v>
                </c:pt>
                <c:pt idx="4">
                  <c:v>2014</c:v>
                </c:pt>
                <c:pt idx="5">
                  <c:v>2015</c:v>
                </c:pt>
                <c:pt idx="6">
                  <c:v>2016</c:v>
                </c:pt>
                <c:pt idx="7">
                  <c:v>2017</c:v>
                </c:pt>
              </c:strCache>
            </c:strRef>
          </c:cat>
          <c:val>
            <c:numRef>
              <c:f>'[sdg_13_20_20190718_111121.xlsx]Sheet 1'!$B$12:$I$12</c:f>
              <c:numCache>
                <c:formatCode>0.0</c:formatCode>
                <c:ptCount val="8"/>
                <c:pt idx="0">
                  <c:v>93</c:v>
                </c:pt>
                <c:pt idx="1">
                  <c:v>92</c:v>
                </c:pt>
                <c:pt idx="2">
                  <c:v>93.7</c:v>
                </c:pt>
                <c:pt idx="3">
                  <c:v>92.2</c:v>
                </c:pt>
                <c:pt idx="4">
                  <c:v>91.9</c:v>
                </c:pt>
                <c:pt idx="5">
                  <c:v>92.1</c:v>
                </c:pt>
                <c:pt idx="6">
                  <c:v>90.7</c:v>
                </c:pt>
                <c:pt idx="7">
                  <c:v>90.2</c:v>
                </c:pt>
              </c:numCache>
            </c:numRef>
          </c:val>
          <c:smooth val="0"/>
          <c:extLst>
            <c:ext xmlns:c16="http://schemas.microsoft.com/office/drawing/2014/chart" uri="{C3380CC4-5D6E-409C-BE32-E72D297353CC}">
              <c16:uniqueId val="{00000003-E046-4716-B05A-E8F98CE60D5C}"/>
            </c:ext>
          </c:extLst>
        </c:ser>
        <c:ser>
          <c:idx val="4"/>
          <c:order val="4"/>
          <c:tx>
            <c:strRef>
              <c:f>'[sdg_13_20_20190718_111121.xlsx]Sheet 1'!$A$13</c:f>
              <c:strCache>
                <c:ptCount val="1"/>
                <c:pt idx="0">
                  <c:v>Słowacja</c:v>
                </c:pt>
              </c:strCache>
            </c:strRef>
          </c:tx>
          <c:marker>
            <c:symbol val="none"/>
          </c:marker>
          <c:cat>
            <c:strRef>
              <c:f>'[sdg_13_20_20190718_111121.xlsx]Sheet 1'!$B$8:$I$8</c:f>
              <c:strCache>
                <c:ptCount val="8"/>
                <c:pt idx="0">
                  <c:v>2010</c:v>
                </c:pt>
                <c:pt idx="1">
                  <c:v>2011</c:v>
                </c:pt>
                <c:pt idx="2">
                  <c:v>2012</c:v>
                </c:pt>
                <c:pt idx="3">
                  <c:v>2013</c:v>
                </c:pt>
                <c:pt idx="4">
                  <c:v>2014</c:v>
                </c:pt>
                <c:pt idx="5">
                  <c:v>2015</c:v>
                </c:pt>
                <c:pt idx="6">
                  <c:v>2016</c:v>
                </c:pt>
                <c:pt idx="7">
                  <c:v>2017</c:v>
                </c:pt>
              </c:strCache>
            </c:strRef>
          </c:cat>
          <c:val>
            <c:numRef>
              <c:f>'[sdg_13_20_20190718_111121.xlsx]Sheet 1'!$B$13:$I$13</c:f>
              <c:numCache>
                <c:formatCode>0.0</c:formatCode>
                <c:ptCount val="8"/>
                <c:pt idx="0">
                  <c:v>90.4</c:v>
                </c:pt>
                <c:pt idx="1">
                  <c:v>91.8</c:v>
                </c:pt>
                <c:pt idx="2">
                  <c:v>88</c:v>
                </c:pt>
                <c:pt idx="3">
                  <c:v>86.6</c:v>
                </c:pt>
                <c:pt idx="4">
                  <c:v>84.6</c:v>
                </c:pt>
                <c:pt idx="5">
                  <c:v>84.5</c:v>
                </c:pt>
                <c:pt idx="6">
                  <c:v>84.8</c:v>
                </c:pt>
                <c:pt idx="7">
                  <c:v>83</c:v>
                </c:pt>
              </c:numCache>
            </c:numRef>
          </c:val>
          <c:smooth val="0"/>
          <c:extLst>
            <c:ext xmlns:c16="http://schemas.microsoft.com/office/drawing/2014/chart" uri="{C3380CC4-5D6E-409C-BE32-E72D297353CC}">
              <c16:uniqueId val="{00000004-E046-4716-B05A-E8F98CE60D5C}"/>
            </c:ext>
          </c:extLst>
        </c:ser>
        <c:dLbls>
          <c:showLegendKey val="0"/>
          <c:showVal val="0"/>
          <c:showCatName val="0"/>
          <c:showSerName val="0"/>
          <c:showPercent val="0"/>
          <c:showBubbleSize val="0"/>
        </c:dLbls>
        <c:smooth val="0"/>
        <c:axId val="267852416"/>
        <c:axId val="267862400"/>
      </c:lineChart>
      <c:catAx>
        <c:axId val="267852416"/>
        <c:scaling>
          <c:orientation val="minMax"/>
        </c:scaling>
        <c:delete val="0"/>
        <c:axPos val="b"/>
        <c:numFmt formatCode="General" sourceLinked="0"/>
        <c:majorTickMark val="out"/>
        <c:minorTickMark val="none"/>
        <c:tickLblPos val="nextTo"/>
        <c:crossAx val="267862400"/>
        <c:crosses val="autoZero"/>
        <c:auto val="1"/>
        <c:lblAlgn val="ctr"/>
        <c:lblOffset val="100"/>
        <c:noMultiLvlLbl val="0"/>
      </c:catAx>
      <c:valAx>
        <c:axId val="267862400"/>
        <c:scaling>
          <c:orientation val="minMax"/>
          <c:min val="70"/>
        </c:scaling>
        <c:delete val="0"/>
        <c:axPos val="l"/>
        <c:majorGridlines/>
        <c:numFmt formatCode="0.0" sourceLinked="1"/>
        <c:majorTickMark val="out"/>
        <c:minorTickMark val="none"/>
        <c:tickLblPos val="nextTo"/>
        <c:crossAx val="267852416"/>
        <c:crosses val="autoZero"/>
        <c:crossBetween val="between"/>
      </c:valAx>
      <c:spPr>
        <a:ln>
          <a:noFill/>
        </a:ln>
      </c:spPr>
    </c:plotArea>
    <c:legend>
      <c:legendPos val="b"/>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'[t2020_rt200_20190718_113721.xlsx]Sheet 1'!$A$9</c:f>
              <c:strCache>
                <c:ptCount val="1"/>
                <c:pt idx="0">
                  <c:v>Czechy</c:v>
                </c:pt>
              </c:strCache>
            </c:strRef>
          </c:tx>
          <c:marker>
            <c:symbol val="square"/>
            <c:size val="5"/>
          </c:marker>
          <c:cat>
            <c:strRef>
              <c:f>'[t2020_rt200_20190718_113721.xlsx]Sheet 1'!$B$8:$J$8</c:f>
              <c:strCache>
                <c:ptCount val="9"/>
                <c:pt idx="0">
                  <c:v>2010</c:v>
                </c:pt>
                <c:pt idx="1">
                  <c:v>2011</c:v>
                </c:pt>
                <c:pt idx="2">
                  <c:v>2012</c:v>
                </c:pt>
                <c:pt idx="3">
                  <c:v>2013</c:v>
                </c:pt>
                <c:pt idx="4">
                  <c:v>2014</c:v>
                </c:pt>
                <c:pt idx="5">
                  <c:v>2015</c:v>
                </c:pt>
                <c:pt idx="6">
                  <c:v>2016</c:v>
                </c:pt>
                <c:pt idx="7">
                  <c:v>2017</c:v>
                </c:pt>
                <c:pt idx="8">
                  <c:v>2018</c:v>
                </c:pt>
              </c:strCache>
            </c:strRef>
          </c:cat>
          <c:val>
            <c:numRef>
              <c:f>'[t2020_rt200_20190718_113721.xlsx]Sheet 1'!$B$9:$J$9</c:f>
              <c:numCache>
                <c:formatCode>#,##0</c:formatCode>
                <c:ptCount val="9"/>
                <c:pt idx="0">
                  <c:v>74</c:v>
                </c:pt>
                <c:pt idx="1">
                  <c:v>84</c:v>
                </c:pt>
                <c:pt idx="2">
                  <c:v>81</c:v>
                </c:pt>
                <c:pt idx="3">
                  <c:v>66</c:v>
                </c:pt>
                <c:pt idx="4">
                  <c:v>84</c:v>
                </c:pt>
                <c:pt idx="5">
                  <c:v>87</c:v>
                </c:pt>
                <c:pt idx="6">
                  <c:v>80</c:v>
                </c:pt>
                <c:pt idx="7">
                  <c:v>82</c:v>
                </c:pt>
                <c:pt idx="8">
                  <c:v>100</c:v>
                </c:pt>
              </c:numCache>
            </c:numRef>
          </c:val>
          <c:smooth val="0"/>
          <c:extLst>
            <c:ext xmlns:c16="http://schemas.microsoft.com/office/drawing/2014/chart" uri="{C3380CC4-5D6E-409C-BE32-E72D297353CC}">
              <c16:uniqueId val="{00000000-E6C5-4F6B-B88E-52D0C88748BA}"/>
            </c:ext>
          </c:extLst>
        </c:ser>
        <c:ser>
          <c:idx val="1"/>
          <c:order val="1"/>
          <c:tx>
            <c:strRef>
              <c:f>'[t2020_rt200_20190718_113721.xlsx]Sheet 1'!$A$10</c:f>
              <c:strCache>
                <c:ptCount val="1"/>
                <c:pt idx="0">
                  <c:v>Niemcy</c:v>
                </c:pt>
              </c:strCache>
            </c:strRef>
          </c:tx>
          <c:marker>
            <c:symbol val="square"/>
            <c:size val="5"/>
          </c:marker>
          <c:cat>
            <c:strRef>
              <c:f>'[t2020_rt200_20190718_113721.xlsx]Sheet 1'!$B$8:$J$8</c:f>
              <c:strCache>
                <c:ptCount val="9"/>
                <c:pt idx="0">
                  <c:v>2010</c:v>
                </c:pt>
                <c:pt idx="1">
                  <c:v>2011</c:v>
                </c:pt>
                <c:pt idx="2">
                  <c:v>2012</c:v>
                </c:pt>
                <c:pt idx="3">
                  <c:v>2013</c:v>
                </c:pt>
                <c:pt idx="4">
                  <c:v>2014</c:v>
                </c:pt>
                <c:pt idx="5">
                  <c:v>2015</c:v>
                </c:pt>
                <c:pt idx="6">
                  <c:v>2016</c:v>
                </c:pt>
                <c:pt idx="7">
                  <c:v>2017</c:v>
                </c:pt>
                <c:pt idx="8">
                  <c:v>2018</c:v>
                </c:pt>
              </c:strCache>
            </c:strRef>
          </c:cat>
          <c:val>
            <c:numRef>
              <c:f>'[t2020_rt200_20190718_113721.xlsx]Sheet 1'!$B$10:$J$10</c:f>
              <c:numCache>
                <c:formatCode>#,##0</c:formatCode>
                <c:ptCount val="9"/>
                <c:pt idx="0">
                  <c:v>134</c:v>
                </c:pt>
                <c:pt idx="1">
                  <c:v>126</c:v>
                </c:pt>
                <c:pt idx="2">
                  <c:v>127</c:v>
                </c:pt>
                <c:pt idx="3">
                  <c:v>138</c:v>
                </c:pt>
                <c:pt idx="4">
                  <c:v>135</c:v>
                </c:pt>
                <c:pt idx="5">
                  <c:v>132</c:v>
                </c:pt>
                <c:pt idx="6">
                  <c:v>135</c:v>
                </c:pt>
                <c:pt idx="7">
                  <c:v>139</c:v>
                </c:pt>
                <c:pt idx="8">
                  <c:v>137</c:v>
                </c:pt>
              </c:numCache>
            </c:numRef>
          </c:val>
          <c:smooth val="0"/>
          <c:extLst>
            <c:ext xmlns:c16="http://schemas.microsoft.com/office/drawing/2014/chart" uri="{C3380CC4-5D6E-409C-BE32-E72D297353CC}">
              <c16:uniqueId val="{00000001-E6C5-4F6B-B88E-52D0C88748BA}"/>
            </c:ext>
          </c:extLst>
        </c:ser>
        <c:ser>
          <c:idx val="2"/>
          <c:order val="2"/>
          <c:tx>
            <c:strRef>
              <c:f>'[t2020_rt200_20190718_113721.xlsx]Sheet 1'!$A$11</c:f>
              <c:strCache>
                <c:ptCount val="1"/>
                <c:pt idx="0">
                  <c:v>Węgry</c:v>
                </c:pt>
              </c:strCache>
            </c:strRef>
          </c:tx>
          <c:marker>
            <c:symbol val="square"/>
            <c:size val="5"/>
          </c:marker>
          <c:cat>
            <c:strRef>
              <c:f>'[t2020_rt200_20190718_113721.xlsx]Sheet 1'!$B$8:$J$8</c:f>
              <c:strCache>
                <c:ptCount val="9"/>
                <c:pt idx="0">
                  <c:v>2010</c:v>
                </c:pt>
                <c:pt idx="1">
                  <c:v>2011</c:v>
                </c:pt>
                <c:pt idx="2">
                  <c:v>2012</c:v>
                </c:pt>
                <c:pt idx="3">
                  <c:v>2013</c:v>
                </c:pt>
                <c:pt idx="4">
                  <c:v>2014</c:v>
                </c:pt>
                <c:pt idx="5">
                  <c:v>2015</c:v>
                </c:pt>
                <c:pt idx="6">
                  <c:v>2016</c:v>
                </c:pt>
                <c:pt idx="7">
                  <c:v>2017</c:v>
                </c:pt>
                <c:pt idx="8">
                  <c:v>2018</c:v>
                </c:pt>
              </c:strCache>
            </c:strRef>
          </c:cat>
          <c:val>
            <c:numRef>
              <c:f>'[t2020_rt200_20190718_113721.xlsx]Sheet 1'!$B$11:$J$11</c:f>
              <c:numCache>
                <c:formatCode>#,##0</c:formatCode>
                <c:ptCount val="9"/>
                <c:pt idx="0">
                  <c:v>69</c:v>
                </c:pt>
                <c:pt idx="1">
                  <c:v>76</c:v>
                </c:pt>
                <c:pt idx="2">
                  <c:v>70</c:v>
                </c:pt>
                <c:pt idx="3">
                  <c:v>58</c:v>
                </c:pt>
                <c:pt idx="4">
                  <c:v>74</c:v>
                </c:pt>
                <c:pt idx="5">
                  <c:v>73</c:v>
                </c:pt>
                <c:pt idx="6">
                  <c:v>61</c:v>
                </c:pt>
                <c:pt idx="7">
                  <c:v>63</c:v>
                </c:pt>
                <c:pt idx="8">
                  <c:v>73</c:v>
                </c:pt>
              </c:numCache>
            </c:numRef>
          </c:val>
          <c:smooth val="0"/>
          <c:extLst>
            <c:ext xmlns:c16="http://schemas.microsoft.com/office/drawing/2014/chart" uri="{C3380CC4-5D6E-409C-BE32-E72D297353CC}">
              <c16:uniqueId val="{00000002-E6C5-4F6B-B88E-52D0C88748BA}"/>
            </c:ext>
          </c:extLst>
        </c:ser>
        <c:ser>
          <c:idx val="3"/>
          <c:order val="3"/>
          <c:tx>
            <c:strRef>
              <c:f>'[t2020_rt200_20190718_113721.xlsx]Sheet 1'!$A$12</c:f>
              <c:strCache>
                <c:ptCount val="1"/>
                <c:pt idx="0">
                  <c:v>Polska</c:v>
                </c:pt>
              </c:strCache>
            </c:strRef>
          </c:tx>
          <c:marker>
            <c:symbol val="square"/>
            <c:size val="5"/>
          </c:marker>
          <c:cat>
            <c:strRef>
              <c:f>'[t2020_rt200_20190718_113721.xlsx]Sheet 1'!$B$8:$J$8</c:f>
              <c:strCache>
                <c:ptCount val="9"/>
                <c:pt idx="0">
                  <c:v>2010</c:v>
                </c:pt>
                <c:pt idx="1">
                  <c:v>2011</c:v>
                </c:pt>
                <c:pt idx="2">
                  <c:v>2012</c:v>
                </c:pt>
                <c:pt idx="3">
                  <c:v>2013</c:v>
                </c:pt>
                <c:pt idx="4">
                  <c:v>2014</c:v>
                </c:pt>
                <c:pt idx="5">
                  <c:v>2015</c:v>
                </c:pt>
                <c:pt idx="6">
                  <c:v>2016</c:v>
                </c:pt>
                <c:pt idx="7">
                  <c:v>2017</c:v>
                </c:pt>
                <c:pt idx="8">
                  <c:v>2018</c:v>
                </c:pt>
              </c:strCache>
            </c:strRef>
          </c:cat>
          <c:val>
            <c:numRef>
              <c:f>'[t2020_rt200_20190718_113721.xlsx]Sheet 1'!$B$12:$J$12</c:f>
              <c:numCache>
                <c:formatCode>#,##0</c:formatCode>
                <c:ptCount val="9"/>
                <c:pt idx="0">
                  <c:v>40</c:v>
                </c:pt>
                <c:pt idx="1">
                  <c:v>38</c:v>
                </c:pt>
                <c:pt idx="2">
                  <c:v>41</c:v>
                </c:pt>
                <c:pt idx="3">
                  <c:v>30</c:v>
                </c:pt>
                <c:pt idx="4">
                  <c:v>53</c:v>
                </c:pt>
                <c:pt idx="5">
                  <c:v>44</c:v>
                </c:pt>
                <c:pt idx="6">
                  <c:v>56</c:v>
                </c:pt>
                <c:pt idx="7">
                  <c:v>59</c:v>
                </c:pt>
                <c:pt idx="8">
                  <c:v>59</c:v>
                </c:pt>
              </c:numCache>
            </c:numRef>
          </c:val>
          <c:smooth val="0"/>
          <c:extLst>
            <c:ext xmlns:c16="http://schemas.microsoft.com/office/drawing/2014/chart" uri="{C3380CC4-5D6E-409C-BE32-E72D297353CC}">
              <c16:uniqueId val="{00000003-E6C5-4F6B-B88E-52D0C88748BA}"/>
            </c:ext>
          </c:extLst>
        </c:ser>
        <c:dLbls>
          <c:showLegendKey val="0"/>
          <c:showVal val="0"/>
          <c:showCatName val="0"/>
          <c:showSerName val="0"/>
          <c:showPercent val="0"/>
          <c:showBubbleSize val="0"/>
        </c:dLbls>
        <c:marker val="1"/>
        <c:smooth val="0"/>
        <c:axId val="267902976"/>
        <c:axId val="267904512"/>
      </c:lineChart>
      <c:catAx>
        <c:axId val="267902976"/>
        <c:scaling>
          <c:orientation val="minMax"/>
        </c:scaling>
        <c:delete val="0"/>
        <c:axPos val="b"/>
        <c:numFmt formatCode="General" sourceLinked="0"/>
        <c:majorTickMark val="out"/>
        <c:minorTickMark val="none"/>
        <c:tickLblPos val="nextTo"/>
        <c:crossAx val="267904512"/>
        <c:crosses val="autoZero"/>
        <c:auto val="1"/>
        <c:lblAlgn val="ctr"/>
        <c:lblOffset val="100"/>
        <c:noMultiLvlLbl val="0"/>
      </c:catAx>
      <c:valAx>
        <c:axId val="267904512"/>
        <c:scaling>
          <c:orientation val="minMax"/>
        </c:scaling>
        <c:delete val="0"/>
        <c:axPos val="l"/>
        <c:majorGridlines/>
        <c:numFmt formatCode="#,##0" sourceLinked="1"/>
        <c:majorTickMark val="out"/>
        <c:minorTickMark val="none"/>
        <c:tickLblPos val="nextTo"/>
        <c:crossAx val="267902976"/>
        <c:crosses val="autoZero"/>
        <c:crossBetween val="between"/>
      </c:valAx>
    </c:plotArea>
    <c:legend>
      <c:legendPos val="b"/>
      <c:overlay val="0"/>
    </c:legend>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Arkusz1!$B$3</c:f>
              <c:strCache>
                <c:ptCount val="1"/>
                <c:pt idx="0">
                  <c:v>tak, duże</c:v>
                </c:pt>
              </c:strCache>
            </c:strRef>
          </c:tx>
          <c:invertIfNegative val="0"/>
          <c:cat>
            <c:multiLvlStrRef>
              <c:f>Arkusz1!$C$1:$J$2</c:f>
              <c:multiLvlStrCache>
                <c:ptCount val="8"/>
                <c:lvl>
                  <c:pt idx="0">
                    <c:v>OGÓŁ</c:v>
                  </c:pt>
                  <c:pt idx="1">
                    <c:v>Kobiety</c:v>
                  </c:pt>
                  <c:pt idx="2">
                    <c:v>Mężczyźni</c:v>
                  </c:pt>
                  <c:pt idx="3">
                    <c:v>PRZEDSIĘBIORCY</c:v>
                  </c:pt>
                  <c:pt idx="4">
                    <c:v>OGÓŁ</c:v>
                  </c:pt>
                  <c:pt idx="5">
                    <c:v>Kobiety</c:v>
                  </c:pt>
                  <c:pt idx="6">
                    <c:v>Mężczyźni</c:v>
                  </c:pt>
                  <c:pt idx="7">
                    <c:v>PRZEDSIĘBIORCY</c:v>
                  </c:pt>
                </c:lvl>
                <c:lvl>
                  <c:pt idx="0">
                    <c:v>banki komercyjne</c:v>
                  </c:pt>
                  <c:pt idx="4">
                    <c:v>giełda</c:v>
                  </c:pt>
                </c:lvl>
              </c:multiLvlStrCache>
            </c:multiLvlStrRef>
          </c:cat>
          <c:val>
            <c:numRef>
              <c:f>Arkusz1!$C$3:$J$3</c:f>
              <c:numCache>
                <c:formatCode>General</c:formatCode>
                <c:ptCount val="8"/>
                <c:pt idx="0">
                  <c:v>5.0999999999999996</c:v>
                </c:pt>
                <c:pt idx="1">
                  <c:v>4.9000000000000004</c:v>
                </c:pt>
                <c:pt idx="2">
                  <c:v>5.4</c:v>
                </c:pt>
                <c:pt idx="3">
                  <c:v>9.1</c:v>
                </c:pt>
                <c:pt idx="4">
                  <c:v>1</c:v>
                </c:pt>
                <c:pt idx="5">
                  <c:v>0.6</c:v>
                </c:pt>
                <c:pt idx="6">
                  <c:v>1.6</c:v>
                </c:pt>
                <c:pt idx="7">
                  <c:v>2.9</c:v>
                </c:pt>
              </c:numCache>
            </c:numRef>
          </c:val>
          <c:extLst>
            <c:ext xmlns:c16="http://schemas.microsoft.com/office/drawing/2014/chart" uri="{C3380CC4-5D6E-409C-BE32-E72D297353CC}">
              <c16:uniqueId val="{00000000-81D1-4650-A233-CCD3168DD944}"/>
            </c:ext>
          </c:extLst>
        </c:ser>
        <c:ser>
          <c:idx val="1"/>
          <c:order val="1"/>
          <c:tx>
            <c:strRef>
              <c:f>Arkusz1!$B$4</c:f>
              <c:strCache>
                <c:ptCount val="1"/>
                <c:pt idx="0">
                  <c:v>tak, umiarkowane</c:v>
                </c:pt>
              </c:strCache>
            </c:strRef>
          </c:tx>
          <c:invertIfNegative val="0"/>
          <c:cat>
            <c:multiLvlStrRef>
              <c:f>Arkusz1!$C$1:$J$2</c:f>
              <c:multiLvlStrCache>
                <c:ptCount val="8"/>
                <c:lvl>
                  <c:pt idx="0">
                    <c:v>OGÓŁ</c:v>
                  </c:pt>
                  <c:pt idx="1">
                    <c:v>Kobiety</c:v>
                  </c:pt>
                  <c:pt idx="2">
                    <c:v>Mężczyźni</c:v>
                  </c:pt>
                  <c:pt idx="3">
                    <c:v>PRZEDSIĘBIORCY</c:v>
                  </c:pt>
                  <c:pt idx="4">
                    <c:v>OGÓŁ</c:v>
                  </c:pt>
                  <c:pt idx="5">
                    <c:v>Kobiety</c:v>
                  </c:pt>
                  <c:pt idx="6">
                    <c:v>Mężczyźni</c:v>
                  </c:pt>
                  <c:pt idx="7">
                    <c:v>PRZEDSIĘBIORCY</c:v>
                  </c:pt>
                </c:lvl>
                <c:lvl>
                  <c:pt idx="0">
                    <c:v>banki komercyjne</c:v>
                  </c:pt>
                  <c:pt idx="4">
                    <c:v>giełda</c:v>
                  </c:pt>
                </c:lvl>
              </c:multiLvlStrCache>
            </c:multiLvlStrRef>
          </c:cat>
          <c:val>
            <c:numRef>
              <c:f>Arkusz1!$C$4:$J$4</c:f>
              <c:numCache>
                <c:formatCode>General</c:formatCode>
                <c:ptCount val="8"/>
                <c:pt idx="0">
                  <c:v>38.9</c:v>
                </c:pt>
                <c:pt idx="1">
                  <c:v>37.4</c:v>
                </c:pt>
                <c:pt idx="2">
                  <c:v>40.700000000000003</c:v>
                </c:pt>
                <c:pt idx="3">
                  <c:v>50.6</c:v>
                </c:pt>
                <c:pt idx="4">
                  <c:v>15</c:v>
                </c:pt>
                <c:pt idx="5">
                  <c:v>12.4</c:v>
                </c:pt>
                <c:pt idx="6">
                  <c:v>18</c:v>
                </c:pt>
                <c:pt idx="7">
                  <c:v>20.3</c:v>
                </c:pt>
              </c:numCache>
            </c:numRef>
          </c:val>
          <c:extLst>
            <c:ext xmlns:c16="http://schemas.microsoft.com/office/drawing/2014/chart" uri="{C3380CC4-5D6E-409C-BE32-E72D297353CC}">
              <c16:uniqueId val="{00000001-81D1-4650-A233-CCD3168DD944}"/>
            </c:ext>
          </c:extLst>
        </c:ser>
        <c:ser>
          <c:idx val="2"/>
          <c:order val="2"/>
          <c:tx>
            <c:strRef>
              <c:f>Arkusz1!$B$5</c:f>
              <c:strCache>
                <c:ptCount val="1"/>
                <c:pt idx="0">
                  <c:v>nie</c:v>
                </c:pt>
              </c:strCache>
            </c:strRef>
          </c:tx>
          <c:invertIfNegative val="0"/>
          <c:cat>
            <c:multiLvlStrRef>
              <c:f>Arkusz1!$C$1:$J$2</c:f>
              <c:multiLvlStrCache>
                <c:ptCount val="8"/>
                <c:lvl>
                  <c:pt idx="0">
                    <c:v>OGÓŁ</c:v>
                  </c:pt>
                  <c:pt idx="1">
                    <c:v>Kobiety</c:v>
                  </c:pt>
                  <c:pt idx="2">
                    <c:v>Mężczyźni</c:v>
                  </c:pt>
                  <c:pt idx="3">
                    <c:v>PRZEDSIĘBIORCY</c:v>
                  </c:pt>
                  <c:pt idx="4">
                    <c:v>OGÓŁ</c:v>
                  </c:pt>
                  <c:pt idx="5">
                    <c:v>Kobiety</c:v>
                  </c:pt>
                  <c:pt idx="6">
                    <c:v>Mężczyźni</c:v>
                  </c:pt>
                  <c:pt idx="7">
                    <c:v>PRZEDSIĘBIORCY</c:v>
                  </c:pt>
                </c:lvl>
                <c:lvl>
                  <c:pt idx="0">
                    <c:v>banki komercyjne</c:v>
                  </c:pt>
                  <c:pt idx="4">
                    <c:v>giełda</c:v>
                  </c:pt>
                </c:lvl>
              </c:multiLvlStrCache>
            </c:multiLvlStrRef>
          </c:cat>
          <c:val>
            <c:numRef>
              <c:f>Arkusz1!$C$5:$J$5</c:f>
              <c:numCache>
                <c:formatCode>General</c:formatCode>
                <c:ptCount val="8"/>
                <c:pt idx="0">
                  <c:v>25.6</c:v>
                </c:pt>
                <c:pt idx="1">
                  <c:v>24.2</c:v>
                </c:pt>
                <c:pt idx="2">
                  <c:v>27.1</c:v>
                </c:pt>
                <c:pt idx="3">
                  <c:v>23.8</c:v>
                </c:pt>
                <c:pt idx="4">
                  <c:v>28.2</c:v>
                </c:pt>
                <c:pt idx="5">
                  <c:v>25.9</c:v>
                </c:pt>
                <c:pt idx="6">
                  <c:v>30.9</c:v>
                </c:pt>
                <c:pt idx="7">
                  <c:v>35.299999999999997</c:v>
                </c:pt>
              </c:numCache>
            </c:numRef>
          </c:val>
          <c:extLst>
            <c:ext xmlns:c16="http://schemas.microsoft.com/office/drawing/2014/chart" uri="{C3380CC4-5D6E-409C-BE32-E72D297353CC}">
              <c16:uniqueId val="{00000002-81D1-4650-A233-CCD3168DD944}"/>
            </c:ext>
          </c:extLst>
        </c:ser>
        <c:ser>
          <c:idx val="3"/>
          <c:order val="3"/>
          <c:tx>
            <c:strRef>
              <c:f>Arkusz1!$B$6</c:f>
              <c:strCache>
                <c:ptCount val="1"/>
                <c:pt idx="0">
                  <c:v>nie mam zdania</c:v>
                </c:pt>
              </c:strCache>
            </c:strRef>
          </c:tx>
          <c:invertIfNegative val="0"/>
          <c:cat>
            <c:multiLvlStrRef>
              <c:f>Arkusz1!$C$1:$J$2</c:f>
              <c:multiLvlStrCache>
                <c:ptCount val="8"/>
                <c:lvl>
                  <c:pt idx="0">
                    <c:v>OGÓŁ</c:v>
                  </c:pt>
                  <c:pt idx="1">
                    <c:v>Kobiety</c:v>
                  </c:pt>
                  <c:pt idx="2">
                    <c:v>Mężczyźni</c:v>
                  </c:pt>
                  <c:pt idx="3">
                    <c:v>PRZEDSIĘBIORCY</c:v>
                  </c:pt>
                  <c:pt idx="4">
                    <c:v>OGÓŁ</c:v>
                  </c:pt>
                  <c:pt idx="5">
                    <c:v>Kobiety</c:v>
                  </c:pt>
                  <c:pt idx="6">
                    <c:v>Mężczyźni</c:v>
                  </c:pt>
                  <c:pt idx="7">
                    <c:v>PRZEDSIĘBIORCY</c:v>
                  </c:pt>
                </c:lvl>
                <c:lvl>
                  <c:pt idx="0">
                    <c:v>banki komercyjne</c:v>
                  </c:pt>
                  <c:pt idx="4">
                    <c:v>giełda</c:v>
                  </c:pt>
                </c:lvl>
              </c:multiLvlStrCache>
            </c:multiLvlStrRef>
          </c:cat>
          <c:val>
            <c:numRef>
              <c:f>Arkusz1!$C$6:$J$6</c:f>
              <c:numCache>
                <c:formatCode>General</c:formatCode>
                <c:ptCount val="8"/>
                <c:pt idx="0">
                  <c:v>30.4</c:v>
                </c:pt>
                <c:pt idx="1">
                  <c:v>33.5</c:v>
                </c:pt>
                <c:pt idx="2">
                  <c:v>26.8</c:v>
                </c:pt>
                <c:pt idx="3">
                  <c:v>16.5</c:v>
                </c:pt>
                <c:pt idx="4">
                  <c:v>55.8</c:v>
                </c:pt>
                <c:pt idx="5">
                  <c:v>61.1</c:v>
                </c:pt>
                <c:pt idx="6">
                  <c:v>49.5</c:v>
                </c:pt>
                <c:pt idx="7">
                  <c:v>41.5</c:v>
                </c:pt>
              </c:numCache>
            </c:numRef>
          </c:val>
          <c:extLst>
            <c:ext xmlns:c16="http://schemas.microsoft.com/office/drawing/2014/chart" uri="{C3380CC4-5D6E-409C-BE32-E72D297353CC}">
              <c16:uniqueId val="{00000003-81D1-4650-A233-CCD3168DD944}"/>
            </c:ext>
          </c:extLst>
        </c:ser>
        <c:dLbls>
          <c:showLegendKey val="0"/>
          <c:showVal val="0"/>
          <c:showCatName val="0"/>
          <c:showSerName val="0"/>
          <c:showPercent val="0"/>
          <c:showBubbleSize val="0"/>
        </c:dLbls>
        <c:gapWidth val="150"/>
        <c:axId val="268141696"/>
        <c:axId val="268143232"/>
      </c:barChart>
      <c:catAx>
        <c:axId val="268141696"/>
        <c:scaling>
          <c:orientation val="minMax"/>
        </c:scaling>
        <c:delete val="0"/>
        <c:axPos val="b"/>
        <c:numFmt formatCode="General" sourceLinked="0"/>
        <c:majorTickMark val="out"/>
        <c:minorTickMark val="none"/>
        <c:tickLblPos val="nextTo"/>
        <c:crossAx val="268143232"/>
        <c:crosses val="autoZero"/>
        <c:auto val="1"/>
        <c:lblAlgn val="ctr"/>
        <c:lblOffset val="100"/>
        <c:noMultiLvlLbl val="0"/>
      </c:catAx>
      <c:valAx>
        <c:axId val="268143232"/>
        <c:scaling>
          <c:orientation val="minMax"/>
        </c:scaling>
        <c:delete val="0"/>
        <c:axPos val="l"/>
        <c:majorGridlines/>
        <c:numFmt formatCode="General" sourceLinked="1"/>
        <c:majorTickMark val="out"/>
        <c:minorTickMark val="none"/>
        <c:tickLblPos val="nextTo"/>
        <c:crossAx val="268141696"/>
        <c:crosses val="autoZero"/>
        <c:crossBetween val="between"/>
      </c:valAx>
    </c:plotArea>
    <c:legend>
      <c:legendPos val="t"/>
      <c:overlay val="1"/>
    </c:legend>
    <c:plotVisOnly val="1"/>
    <c:dispBlanksAs val="gap"/>
    <c:showDLblsOverMax val="0"/>
  </c:chart>
  <c:spPr>
    <a:ln>
      <a:noFill/>
    </a:ln>
  </c:sp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988407699037624E-2"/>
          <c:y val="5.1400554097404488E-2"/>
          <c:w val="0.86617672790901135"/>
          <c:h val="0.8326195683872849"/>
        </c:manualLayout>
      </c:layout>
      <c:lineChart>
        <c:grouping val="stacked"/>
        <c:varyColors val="0"/>
        <c:ser>
          <c:idx val="0"/>
          <c:order val="0"/>
          <c:tx>
            <c:strRef>
              <c:f>'Strateg tablica'!$A$3</c:f>
              <c:strCache>
                <c:ptCount val="1"/>
                <c:pt idx="0">
                  <c:v>Udział przedsiębiorstw [%]</c:v>
                </c:pt>
              </c:strCache>
            </c:strRef>
          </c:tx>
          <c:marker>
            <c:symbol val="square"/>
            <c:size val="5"/>
          </c:marker>
          <c:dLbls>
            <c:dLbl>
              <c:idx val="0"/>
              <c:layout>
                <c:manualLayout>
                  <c:x val="-1.6666666666666666E-2"/>
                  <c:y val="4.6296296296296384E-2"/>
                </c:manualLayout>
              </c:layout>
              <c:tx>
                <c:rich>
                  <a:bodyPr/>
                  <a:lstStyle/>
                  <a:p>
                    <a:fld id="{0AE934DB-A7B0-430D-919D-F074D3A951F8}" type="VALUE">
                      <a:rPr lang="en-US"/>
                      <a:pPr/>
                      <a:t>[WARTOŚĆ]</a:t>
                    </a:fld>
                    <a:r>
                      <a:rPr lang="en-US"/>
                      <a:t>,0</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BDC6-4405-B3E2-0E3D35077C2D}"/>
                </c:ext>
              </c:extLst>
            </c:dLbl>
            <c:dLbl>
              <c:idx val="1"/>
              <c:layout>
                <c:manualLayout>
                  <c:x val="-2.7777777777777804E-2"/>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762-41FA-9E61-6293382D451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'Strateg tablica'!$B$2:$I$2</c:f>
              <c:numCache>
                <c:formatCode>General</c:formatCode>
                <c:ptCount val="8"/>
                <c:pt idx="0">
                  <c:v>2010</c:v>
                </c:pt>
                <c:pt idx="1">
                  <c:v>2011</c:v>
                </c:pt>
                <c:pt idx="2">
                  <c:v>2012</c:v>
                </c:pt>
                <c:pt idx="3">
                  <c:v>2013</c:v>
                </c:pt>
                <c:pt idx="4">
                  <c:v>2014</c:v>
                </c:pt>
                <c:pt idx="5">
                  <c:v>2015</c:v>
                </c:pt>
                <c:pt idx="6">
                  <c:v>2016</c:v>
                </c:pt>
                <c:pt idx="7">
                  <c:v>2017</c:v>
                </c:pt>
              </c:numCache>
            </c:numRef>
          </c:cat>
          <c:val>
            <c:numRef>
              <c:f>'Strateg tablica'!$B$3:$I$3</c:f>
              <c:numCache>
                <c:formatCode>General</c:formatCode>
                <c:ptCount val="8"/>
                <c:pt idx="0">
                  <c:v>4</c:v>
                </c:pt>
                <c:pt idx="1">
                  <c:v>7.4</c:v>
                </c:pt>
                <c:pt idx="2">
                  <c:v>7.2</c:v>
                </c:pt>
                <c:pt idx="3">
                  <c:v>5.3</c:v>
                </c:pt>
                <c:pt idx="4">
                  <c:v>6.6</c:v>
                </c:pt>
                <c:pt idx="5">
                  <c:v>8.1999999999999993</c:v>
                </c:pt>
                <c:pt idx="6">
                  <c:v>10.1</c:v>
                </c:pt>
                <c:pt idx="7">
                  <c:v>8.6999999999999993</c:v>
                </c:pt>
              </c:numCache>
            </c:numRef>
          </c:val>
          <c:smooth val="0"/>
          <c:extLst>
            <c:ext xmlns:c16="http://schemas.microsoft.com/office/drawing/2014/chart" uri="{C3380CC4-5D6E-409C-BE32-E72D297353CC}">
              <c16:uniqueId val="{00000000-2D6B-46EA-8656-1938CE4892AC}"/>
            </c:ext>
          </c:extLst>
        </c:ser>
        <c:dLbls>
          <c:showLegendKey val="0"/>
          <c:showVal val="0"/>
          <c:showCatName val="0"/>
          <c:showSerName val="0"/>
          <c:showPercent val="0"/>
          <c:showBubbleSize val="0"/>
        </c:dLbls>
        <c:marker val="1"/>
        <c:smooth val="0"/>
        <c:axId val="268042624"/>
        <c:axId val="268044160"/>
      </c:lineChart>
      <c:catAx>
        <c:axId val="268042624"/>
        <c:scaling>
          <c:orientation val="minMax"/>
        </c:scaling>
        <c:delete val="0"/>
        <c:axPos val="b"/>
        <c:numFmt formatCode="General" sourceLinked="1"/>
        <c:majorTickMark val="out"/>
        <c:minorTickMark val="none"/>
        <c:tickLblPos val="nextTo"/>
        <c:crossAx val="268044160"/>
        <c:crosses val="autoZero"/>
        <c:auto val="1"/>
        <c:lblAlgn val="ctr"/>
        <c:lblOffset val="100"/>
        <c:noMultiLvlLbl val="0"/>
      </c:catAx>
      <c:valAx>
        <c:axId val="268044160"/>
        <c:scaling>
          <c:orientation val="minMax"/>
        </c:scaling>
        <c:delete val="0"/>
        <c:axPos val="l"/>
        <c:majorGridlines/>
        <c:numFmt formatCode="General" sourceLinked="1"/>
        <c:majorTickMark val="out"/>
        <c:minorTickMark val="none"/>
        <c:tickLblPos val="nextTo"/>
        <c:crossAx val="268042624"/>
        <c:crosses val="autoZero"/>
        <c:crossBetween val="between"/>
      </c:valAx>
    </c:plotArea>
    <c:legend>
      <c:legendPos val="r"/>
      <c:layout>
        <c:manualLayout>
          <c:xMode val="edge"/>
          <c:yMode val="edge"/>
          <c:x val="0.17705402449693791"/>
          <c:y val="0.61298410615339749"/>
          <c:w val="0.33961264216972881"/>
          <c:h val="0.13965660542432196"/>
        </c:manualLayout>
      </c:layout>
      <c:overlay val="0"/>
    </c:legend>
    <c:plotVisOnly val="1"/>
    <c:dispBlanksAs val="zero"/>
    <c:showDLblsOverMax val="0"/>
  </c:chart>
  <c:spPr>
    <a:noFill/>
    <a:ln>
      <a:noFill/>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288993131177751E-2"/>
          <c:y val="1.9761590543589252E-2"/>
          <c:w val="0.88028704087705179"/>
          <c:h val="0.7040240386888974"/>
        </c:manualLayout>
      </c:layout>
      <c:lineChart>
        <c:grouping val="standard"/>
        <c:varyColors val="0"/>
        <c:ser>
          <c:idx val="0"/>
          <c:order val="0"/>
          <c:tx>
            <c:strRef>
              <c:f>'Wykres 25 | A'!$A$2:$B$2</c:f>
              <c:strCache>
                <c:ptCount val="1"/>
                <c:pt idx="0">
                  <c:v>1 Wskaźnik bieżącej oceny sytuacji ekonomicznej </c:v>
                </c:pt>
              </c:strCache>
            </c:strRef>
          </c:tx>
          <c:cat>
            <c:strRef>
              <c:f>'Wykres 25 | A'!$C$1:$BH$1</c:f>
              <c:strCache>
                <c:ptCount val="58"/>
                <c:pt idx="0">
                  <c:v>2005</c:v>
                </c:pt>
                <c:pt idx="1">
                  <c:v>II-05</c:v>
                </c:pt>
                <c:pt idx="2">
                  <c:v>III-05</c:v>
                </c:pt>
                <c:pt idx="3">
                  <c:v>IV-05</c:v>
                </c:pt>
                <c:pt idx="4">
                  <c:v>2006</c:v>
                </c:pt>
                <c:pt idx="5">
                  <c:v>II-06</c:v>
                </c:pt>
                <c:pt idx="6">
                  <c:v>III-06</c:v>
                </c:pt>
                <c:pt idx="7">
                  <c:v>IV-06</c:v>
                </c:pt>
                <c:pt idx="8">
                  <c:v>2007</c:v>
                </c:pt>
                <c:pt idx="9">
                  <c:v>II-07</c:v>
                </c:pt>
                <c:pt idx="10">
                  <c:v>III-07</c:v>
                </c:pt>
                <c:pt idx="11">
                  <c:v>IV-07</c:v>
                </c:pt>
                <c:pt idx="12">
                  <c:v>2008</c:v>
                </c:pt>
                <c:pt idx="13">
                  <c:v>II-08</c:v>
                </c:pt>
                <c:pt idx="14">
                  <c:v>III-08</c:v>
                </c:pt>
                <c:pt idx="15">
                  <c:v>IV-08</c:v>
                </c:pt>
                <c:pt idx="16">
                  <c:v>2009</c:v>
                </c:pt>
                <c:pt idx="17">
                  <c:v>II-09</c:v>
                </c:pt>
                <c:pt idx="18">
                  <c:v>III-09</c:v>
                </c:pt>
                <c:pt idx="19">
                  <c:v>IV-09</c:v>
                </c:pt>
                <c:pt idx="20">
                  <c:v>2010</c:v>
                </c:pt>
                <c:pt idx="21">
                  <c:v>II-10</c:v>
                </c:pt>
                <c:pt idx="22">
                  <c:v>III-10</c:v>
                </c:pt>
                <c:pt idx="23">
                  <c:v>IV-10</c:v>
                </c:pt>
                <c:pt idx="24">
                  <c:v>2011</c:v>
                </c:pt>
                <c:pt idx="25">
                  <c:v>II-11</c:v>
                </c:pt>
                <c:pt idx="26">
                  <c:v>III-11</c:v>
                </c:pt>
                <c:pt idx="27">
                  <c:v>IV-11</c:v>
                </c:pt>
                <c:pt idx="28">
                  <c:v>2012</c:v>
                </c:pt>
                <c:pt idx="29">
                  <c:v>II-12</c:v>
                </c:pt>
                <c:pt idx="30">
                  <c:v>III-12</c:v>
                </c:pt>
                <c:pt idx="31">
                  <c:v>IV-12</c:v>
                </c:pt>
                <c:pt idx="32">
                  <c:v>2013</c:v>
                </c:pt>
                <c:pt idx="33">
                  <c:v>II-13</c:v>
                </c:pt>
                <c:pt idx="34">
                  <c:v>III-13</c:v>
                </c:pt>
                <c:pt idx="35">
                  <c:v>IV-13</c:v>
                </c:pt>
                <c:pt idx="36">
                  <c:v>2014</c:v>
                </c:pt>
                <c:pt idx="37">
                  <c:v>II-14</c:v>
                </c:pt>
                <c:pt idx="38">
                  <c:v>III-14</c:v>
                </c:pt>
                <c:pt idx="39">
                  <c:v>IV-14</c:v>
                </c:pt>
                <c:pt idx="40">
                  <c:v>2015</c:v>
                </c:pt>
                <c:pt idx="41">
                  <c:v>II-15</c:v>
                </c:pt>
                <c:pt idx="42">
                  <c:v>III-15</c:v>
                </c:pt>
                <c:pt idx="43">
                  <c:v>IV-15</c:v>
                </c:pt>
                <c:pt idx="44">
                  <c:v>2016</c:v>
                </c:pt>
                <c:pt idx="45">
                  <c:v>II-16</c:v>
                </c:pt>
                <c:pt idx="46">
                  <c:v>III-16</c:v>
                </c:pt>
                <c:pt idx="47">
                  <c:v>IV-16</c:v>
                </c:pt>
                <c:pt idx="48">
                  <c:v>2017</c:v>
                </c:pt>
                <c:pt idx="49">
                  <c:v>II-17</c:v>
                </c:pt>
                <c:pt idx="50">
                  <c:v>III-17</c:v>
                </c:pt>
                <c:pt idx="51">
                  <c:v>IV-17</c:v>
                </c:pt>
                <c:pt idx="52">
                  <c:v>2018</c:v>
                </c:pt>
                <c:pt idx="53">
                  <c:v>II-17</c:v>
                </c:pt>
                <c:pt idx="54">
                  <c:v>III-18</c:v>
                </c:pt>
                <c:pt idx="55">
                  <c:v>IV-18</c:v>
                </c:pt>
                <c:pt idx="56">
                  <c:v>I-19</c:v>
                </c:pt>
                <c:pt idx="57">
                  <c:v>II-19</c:v>
                </c:pt>
              </c:strCache>
            </c:strRef>
          </c:cat>
          <c:val>
            <c:numRef>
              <c:f>'Wykres 25 | A'!$C$2:$BH$2</c:f>
            </c:numRef>
          </c:val>
          <c:smooth val="0"/>
          <c:extLst>
            <c:ext xmlns:c16="http://schemas.microsoft.com/office/drawing/2014/chart" uri="{C3380CC4-5D6E-409C-BE32-E72D297353CC}">
              <c16:uniqueId val="{00000000-708E-4359-B4E3-4D090CDF188A}"/>
            </c:ext>
          </c:extLst>
        </c:ser>
        <c:ser>
          <c:idx val="1"/>
          <c:order val="1"/>
          <c:tx>
            <c:strRef>
              <c:f>'Wykres 25 | A'!$A$3:$B$3</c:f>
              <c:strCache>
                <c:ptCount val="1"/>
                <c:pt idx="0">
                  <c:v>2 Wskaźnik prognoz sytuacji ekonomicznej przedsiębiorstw </c:v>
                </c:pt>
              </c:strCache>
            </c:strRef>
          </c:tx>
          <c:cat>
            <c:strRef>
              <c:f>'Wykres 25 | A'!$C$1:$BH$1</c:f>
              <c:strCache>
                <c:ptCount val="58"/>
                <c:pt idx="0">
                  <c:v>2005</c:v>
                </c:pt>
                <c:pt idx="1">
                  <c:v>II-05</c:v>
                </c:pt>
                <c:pt idx="2">
                  <c:v>III-05</c:v>
                </c:pt>
                <c:pt idx="3">
                  <c:v>IV-05</c:v>
                </c:pt>
                <c:pt idx="4">
                  <c:v>2006</c:v>
                </c:pt>
                <c:pt idx="5">
                  <c:v>II-06</c:v>
                </c:pt>
                <c:pt idx="6">
                  <c:v>III-06</c:v>
                </c:pt>
                <c:pt idx="7">
                  <c:v>IV-06</c:v>
                </c:pt>
                <c:pt idx="8">
                  <c:v>2007</c:v>
                </c:pt>
                <c:pt idx="9">
                  <c:v>II-07</c:v>
                </c:pt>
                <c:pt idx="10">
                  <c:v>III-07</c:v>
                </c:pt>
                <c:pt idx="11">
                  <c:v>IV-07</c:v>
                </c:pt>
                <c:pt idx="12">
                  <c:v>2008</c:v>
                </c:pt>
                <c:pt idx="13">
                  <c:v>II-08</c:v>
                </c:pt>
                <c:pt idx="14">
                  <c:v>III-08</c:v>
                </c:pt>
                <c:pt idx="15">
                  <c:v>IV-08</c:v>
                </c:pt>
                <c:pt idx="16">
                  <c:v>2009</c:v>
                </c:pt>
                <c:pt idx="17">
                  <c:v>II-09</c:v>
                </c:pt>
                <c:pt idx="18">
                  <c:v>III-09</c:v>
                </c:pt>
                <c:pt idx="19">
                  <c:v>IV-09</c:v>
                </c:pt>
                <c:pt idx="20">
                  <c:v>2010</c:v>
                </c:pt>
                <c:pt idx="21">
                  <c:v>II-10</c:v>
                </c:pt>
                <c:pt idx="22">
                  <c:v>III-10</c:v>
                </c:pt>
                <c:pt idx="23">
                  <c:v>IV-10</c:v>
                </c:pt>
                <c:pt idx="24">
                  <c:v>2011</c:v>
                </c:pt>
                <c:pt idx="25">
                  <c:v>II-11</c:v>
                </c:pt>
                <c:pt idx="26">
                  <c:v>III-11</c:v>
                </c:pt>
                <c:pt idx="27">
                  <c:v>IV-11</c:v>
                </c:pt>
                <c:pt idx="28">
                  <c:v>2012</c:v>
                </c:pt>
                <c:pt idx="29">
                  <c:v>II-12</c:v>
                </c:pt>
                <c:pt idx="30">
                  <c:v>III-12</c:v>
                </c:pt>
                <c:pt idx="31">
                  <c:v>IV-12</c:v>
                </c:pt>
                <c:pt idx="32">
                  <c:v>2013</c:v>
                </c:pt>
                <c:pt idx="33">
                  <c:v>II-13</c:v>
                </c:pt>
                <c:pt idx="34">
                  <c:v>III-13</c:v>
                </c:pt>
                <c:pt idx="35">
                  <c:v>IV-13</c:v>
                </c:pt>
                <c:pt idx="36">
                  <c:v>2014</c:v>
                </c:pt>
                <c:pt idx="37">
                  <c:v>II-14</c:v>
                </c:pt>
                <c:pt idx="38">
                  <c:v>III-14</c:v>
                </c:pt>
                <c:pt idx="39">
                  <c:v>IV-14</c:v>
                </c:pt>
                <c:pt idx="40">
                  <c:v>2015</c:v>
                </c:pt>
                <c:pt idx="41">
                  <c:v>II-15</c:v>
                </c:pt>
                <c:pt idx="42">
                  <c:v>III-15</c:v>
                </c:pt>
                <c:pt idx="43">
                  <c:v>IV-15</c:v>
                </c:pt>
                <c:pt idx="44">
                  <c:v>2016</c:v>
                </c:pt>
                <c:pt idx="45">
                  <c:v>II-16</c:v>
                </c:pt>
                <c:pt idx="46">
                  <c:v>III-16</c:v>
                </c:pt>
                <c:pt idx="47">
                  <c:v>IV-16</c:v>
                </c:pt>
                <c:pt idx="48">
                  <c:v>2017</c:v>
                </c:pt>
                <c:pt idx="49">
                  <c:v>II-17</c:v>
                </c:pt>
                <c:pt idx="50">
                  <c:v>III-17</c:v>
                </c:pt>
                <c:pt idx="51">
                  <c:v>IV-17</c:v>
                </c:pt>
                <c:pt idx="52">
                  <c:v>2018</c:v>
                </c:pt>
                <c:pt idx="53">
                  <c:v>II-17</c:v>
                </c:pt>
                <c:pt idx="54">
                  <c:v>III-18</c:v>
                </c:pt>
                <c:pt idx="55">
                  <c:v>IV-18</c:v>
                </c:pt>
                <c:pt idx="56">
                  <c:v>I-19</c:v>
                </c:pt>
                <c:pt idx="57">
                  <c:v>II-19</c:v>
                </c:pt>
              </c:strCache>
            </c:strRef>
          </c:cat>
          <c:val>
            <c:numRef>
              <c:f>'Wykres 25 | A'!$C$3:$BH$3</c:f>
            </c:numRef>
          </c:val>
          <c:smooth val="0"/>
          <c:extLst>
            <c:ext xmlns:c16="http://schemas.microsoft.com/office/drawing/2014/chart" uri="{C3380CC4-5D6E-409C-BE32-E72D297353CC}">
              <c16:uniqueId val="{00000001-708E-4359-B4E3-4D090CDF188A}"/>
            </c:ext>
          </c:extLst>
        </c:ser>
        <c:ser>
          <c:idx val="2"/>
          <c:order val="2"/>
          <c:tx>
            <c:strRef>
              <c:f>'Wykres 25 | A'!$A$4:$B$4</c:f>
              <c:strCache>
                <c:ptCount val="1"/>
                <c:pt idx="0">
                  <c:v>3 Wskaźnik rocznych prognoz sytuacji ekonomicznej</c:v>
                </c:pt>
              </c:strCache>
            </c:strRef>
          </c:tx>
          <c:cat>
            <c:strRef>
              <c:f>'Wykres 25 | A'!$C$1:$BH$1</c:f>
              <c:strCache>
                <c:ptCount val="58"/>
                <c:pt idx="0">
                  <c:v>2005</c:v>
                </c:pt>
                <c:pt idx="1">
                  <c:v>II-05</c:v>
                </c:pt>
                <c:pt idx="2">
                  <c:v>III-05</c:v>
                </c:pt>
                <c:pt idx="3">
                  <c:v>IV-05</c:v>
                </c:pt>
                <c:pt idx="4">
                  <c:v>2006</c:v>
                </c:pt>
                <c:pt idx="5">
                  <c:v>II-06</c:v>
                </c:pt>
                <c:pt idx="6">
                  <c:v>III-06</c:v>
                </c:pt>
                <c:pt idx="7">
                  <c:v>IV-06</c:v>
                </c:pt>
                <c:pt idx="8">
                  <c:v>2007</c:v>
                </c:pt>
                <c:pt idx="9">
                  <c:v>II-07</c:v>
                </c:pt>
                <c:pt idx="10">
                  <c:v>III-07</c:v>
                </c:pt>
                <c:pt idx="11">
                  <c:v>IV-07</c:v>
                </c:pt>
                <c:pt idx="12">
                  <c:v>2008</c:v>
                </c:pt>
                <c:pt idx="13">
                  <c:v>II-08</c:v>
                </c:pt>
                <c:pt idx="14">
                  <c:v>III-08</c:v>
                </c:pt>
                <c:pt idx="15">
                  <c:v>IV-08</c:v>
                </c:pt>
                <c:pt idx="16">
                  <c:v>2009</c:v>
                </c:pt>
                <c:pt idx="17">
                  <c:v>II-09</c:v>
                </c:pt>
                <c:pt idx="18">
                  <c:v>III-09</c:v>
                </c:pt>
                <c:pt idx="19">
                  <c:v>IV-09</c:v>
                </c:pt>
                <c:pt idx="20">
                  <c:v>2010</c:v>
                </c:pt>
                <c:pt idx="21">
                  <c:v>II-10</c:v>
                </c:pt>
                <c:pt idx="22">
                  <c:v>III-10</c:v>
                </c:pt>
                <c:pt idx="23">
                  <c:v>IV-10</c:v>
                </c:pt>
                <c:pt idx="24">
                  <c:v>2011</c:v>
                </c:pt>
                <c:pt idx="25">
                  <c:v>II-11</c:v>
                </c:pt>
                <c:pt idx="26">
                  <c:v>III-11</c:v>
                </c:pt>
                <c:pt idx="27">
                  <c:v>IV-11</c:v>
                </c:pt>
                <c:pt idx="28">
                  <c:v>2012</c:v>
                </c:pt>
                <c:pt idx="29">
                  <c:v>II-12</c:v>
                </c:pt>
                <c:pt idx="30">
                  <c:v>III-12</c:v>
                </c:pt>
                <c:pt idx="31">
                  <c:v>IV-12</c:v>
                </c:pt>
                <c:pt idx="32">
                  <c:v>2013</c:v>
                </c:pt>
                <c:pt idx="33">
                  <c:v>II-13</c:v>
                </c:pt>
                <c:pt idx="34">
                  <c:v>III-13</c:v>
                </c:pt>
                <c:pt idx="35">
                  <c:v>IV-13</c:v>
                </c:pt>
                <c:pt idx="36">
                  <c:v>2014</c:v>
                </c:pt>
                <c:pt idx="37">
                  <c:v>II-14</c:v>
                </c:pt>
                <c:pt idx="38">
                  <c:v>III-14</c:v>
                </c:pt>
                <c:pt idx="39">
                  <c:v>IV-14</c:v>
                </c:pt>
                <c:pt idx="40">
                  <c:v>2015</c:v>
                </c:pt>
                <c:pt idx="41">
                  <c:v>II-15</c:v>
                </c:pt>
                <c:pt idx="42">
                  <c:v>III-15</c:v>
                </c:pt>
                <c:pt idx="43">
                  <c:v>IV-15</c:v>
                </c:pt>
                <c:pt idx="44">
                  <c:v>2016</c:v>
                </c:pt>
                <c:pt idx="45">
                  <c:v>II-16</c:v>
                </c:pt>
                <c:pt idx="46">
                  <c:v>III-16</c:v>
                </c:pt>
                <c:pt idx="47">
                  <c:v>IV-16</c:v>
                </c:pt>
                <c:pt idx="48">
                  <c:v>2017</c:v>
                </c:pt>
                <c:pt idx="49">
                  <c:v>II-17</c:v>
                </c:pt>
                <c:pt idx="50">
                  <c:v>III-17</c:v>
                </c:pt>
                <c:pt idx="51">
                  <c:v>IV-17</c:v>
                </c:pt>
                <c:pt idx="52">
                  <c:v>2018</c:v>
                </c:pt>
                <c:pt idx="53">
                  <c:v>II-17</c:v>
                </c:pt>
                <c:pt idx="54">
                  <c:v>III-18</c:v>
                </c:pt>
                <c:pt idx="55">
                  <c:v>IV-18</c:v>
                </c:pt>
                <c:pt idx="56">
                  <c:v>I-19</c:v>
                </c:pt>
                <c:pt idx="57">
                  <c:v>II-19</c:v>
                </c:pt>
              </c:strCache>
            </c:strRef>
          </c:cat>
          <c:val>
            <c:numRef>
              <c:f>'Wykres 25 | A'!$C$4:$BH$4</c:f>
            </c:numRef>
          </c:val>
          <c:smooth val="0"/>
          <c:extLst>
            <c:ext xmlns:c16="http://schemas.microsoft.com/office/drawing/2014/chart" uri="{C3380CC4-5D6E-409C-BE32-E72D297353CC}">
              <c16:uniqueId val="{00000002-708E-4359-B4E3-4D090CDF188A}"/>
            </c:ext>
          </c:extLst>
        </c:ser>
        <c:ser>
          <c:idx val="3"/>
          <c:order val="3"/>
          <c:tx>
            <c:strRef>
              <c:f>'Wykres 25 | A'!$A$5:$B$5</c:f>
              <c:strCache>
                <c:ptCount val="1"/>
                <c:pt idx="0">
                  <c:v>4 Wskaźnik prognoz popytu</c:v>
                </c:pt>
              </c:strCache>
            </c:strRef>
          </c:tx>
          <c:cat>
            <c:strRef>
              <c:f>'Wykres 25 | A'!$C$1:$BH$1</c:f>
              <c:strCache>
                <c:ptCount val="58"/>
                <c:pt idx="0">
                  <c:v>2005</c:v>
                </c:pt>
                <c:pt idx="1">
                  <c:v>II-05</c:v>
                </c:pt>
                <c:pt idx="2">
                  <c:v>III-05</c:v>
                </c:pt>
                <c:pt idx="3">
                  <c:v>IV-05</c:v>
                </c:pt>
                <c:pt idx="4">
                  <c:v>2006</c:v>
                </c:pt>
                <c:pt idx="5">
                  <c:v>II-06</c:v>
                </c:pt>
                <c:pt idx="6">
                  <c:v>III-06</c:v>
                </c:pt>
                <c:pt idx="7">
                  <c:v>IV-06</c:v>
                </c:pt>
                <c:pt idx="8">
                  <c:v>2007</c:v>
                </c:pt>
                <c:pt idx="9">
                  <c:v>II-07</c:v>
                </c:pt>
                <c:pt idx="10">
                  <c:v>III-07</c:v>
                </c:pt>
                <c:pt idx="11">
                  <c:v>IV-07</c:v>
                </c:pt>
                <c:pt idx="12">
                  <c:v>2008</c:v>
                </c:pt>
                <c:pt idx="13">
                  <c:v>II-08</c:v>
                </c:pt>
                <c:pt idx="14">
                  <c:v>III-08</c:v>
                </c:pt>
                <c:pt idx="15">
                  <c:v>IV-08</c:v>
                </c:pt>
                <c:pt idx="16">
                  <c:v>2009</c:v>
                </c:pt>
                <c:pt idx="17">
                  <c:v>II-09</c:v>
                </c:pt>
                <c:pt idx="18">
                  <c:v>III-09</c:v>
                </c:pt>
                <c:pt idx="19">
                  <c:v>IV-09</c:v>
                </c:pt>
                <c:pt idx="20">
                  <c:v>2010</c:v>
                </c:pt>
                <c:pt idx="21">
                  <c:v>II-10</c:v>
                </c:pt>
                <c:pt idx="22">
                  <c:v>III-10</c:v>
                </c:pt>
                <c:pt idx="23">
                  <c:v>IV-10</c:v>
                </c:pt>
                <c:pt idx="24">
                  <c:v>2011</c:v>
                </c:pt>
                <c:pt idx="25">
                  <c:v>II-11</c:v>
                </c:pt>
                <c:pt idx="26">
                  <c:v>III-11</c:v>
                </c:pt>
                <c:pt idx="27">
                  <c:v>IV-11</c:v>
                </c:pt>
                <c:pt idx="28">
                  <c:v>2012</c:v>
                </c:pt>
                <c:pt idx="29">
                  <c:v>II-12</c:v>
                </c:pt>
                <c:pt idx="30">
                  <c:v>III-12</c:v>
                </c:pt>
                <c:pt idx="31">
                  <c:v>IV-12</c:v>
                </c:pt>
                <c:pt idx="32">
                  <c:v>2013</c:v>
                </c:pt>
                <c:pt idx="33">
                  <c:v>II-13</c:v>
                </c:pt>
                <c:pt idx="34">
                  <c:v>III-13</c:v>
                </c:pt>
                <c:pt idx="35">
                  <c:v>IV-13</c:v>
                </c:pt>
                <c:pt idx="36">
                  <c:v>2014</c:v>
                </c:pt>
                <c:pt idx="37">
                  <c:v>II-14</c:v>
                </c:pt>
                <c:pt idx="38">
                  <c:v>III-14</c:v>
                </c:pt>
                <c:pt idx="39">
                  <c:v>IV-14</c:v>
                </c:pt>
                <c:pt idx="40">
                  <c:v>2015</c:v>
                </c:pt>
                <c:pt idx="41">
                  <c:v>II-15</c:v>
                </c:pt>
                <c:pt idx="42">
                  <c:v>III-15</c:v>
                </c:pt>
                <c:pt idx="43">
                  <c:v>IV-15</c:v>
                </c:pt>
                <c:pt idx="44">
                  <c:v>2016</c:v>
                </c:pt>
                <c:pt idx="45">
                  <c:v>II-16</c:v>
                </c:pt>
                <c:pt idx="46">
                  <c:v>III-16</c:v>
                </c:pt>
                <c:pt idx="47">
                  <c:v>IV-16</c:v>
                </c:pt>
                <c:pt idx="48">
                  <c:v>2017</c:v>
                </c:pt>
                <c:pt idx="49">
                  <c:v>II-17</c:v>
                </c:pt>
                <c:pt idx="50">
                  <c:v>III-17</c:v>
                </c:pt>
                <c:pt idx="51">
                  <c:v>IV-17</c:v>
                </c:pt>
                <c:pt idx="52">
                  <c:v>2018</c:v>
                </c:pt>
                <c:pt idx="53">
                  <c:v>II-17</c:v>
                </c:pt>
                <c:pt idx="54">
                  <c:v>III-18</c:v>
                </c:pt>
                <c:pt idx="55">
                  <c:v>IV-18</c:v>
                </c:pt>
                <c:pt idx="56">
                  <c:v>I-19</c:v>
                </c:pt>
                <c:pt idx="57">
                  <c:v>II-19</c:v>
                </c:pt>
              </c:strCache>
            </c:strRef>
          </c:cat>
          <c:val>
            <c:numRef>
              <c:f>'Wykres 25 | A'!$C$5:$BH$5</c:f>
            </c:numRef>
          </c:val>
          <c:smooth val="0"/>
          <c:extLst>
            <c:ext xmlns:c16="http://schemas.microsoft.com/office/drawing/2014/chart" uri="{C3380CC4-5D6E-409C-BE32-E72D297353CC}">
              <c16:uniqueId val="{00000003-708E-4359-B4E3-4D090CDF188A}"/>
            </c:ext>
          </c:extLst>
        </c:ser>
        <c:ser>
          <c:idx val="4"/>
          <c:order val="4"/>
          <c:tx>
            <c:strRef>
              <c:f>'Wykres 25 | A'!$A$6:$B$6</c:f>
              <c:strCache>
                <c:ptCount val="1"/>
                <c:pt idx="0">
                  <c:v>5 Wskaźnik nowych zamówień</c:v>
                </c:pt>
              </c:strCache>
            </c:strRef>
          </c:tx>
          <c:cat>
            <c:strRef>
              <c:f>'Wykres 25 | A'!$C$1:$BH$1</c:f>
              <c:strCache>
                <c:ptCount val="58"/>
                <c:pt idx="0">
                  <c:v>2005</c:v>
                </c:pt>
                <c:pt idx="1">
                  <c:v>II-05</c:v>
                </c:pt>
                <c:pt idx="2">
                  <c:v>III-05</c:v>
                </c:pt>
                <c:pt idx="3">
                  <c:v>IV-05</c:v>
                </c:pt>
                <c:pt idx="4">
                  <c:v>2006</c:v>
                </c:pt>
                <c:pt idx="5">
                  <c:v>II-06</c:v>
                </c:pt>
                <c:pt idx="6">
                  <c:v>III-06</c:v>
                </c:pt>
                <c:pt idx="7">
                  <c:v>IV-06</c:v>
                </c:pt>
                <c:pt idx="8">
                  <c:v>2007</c:v>
                </c:pt>
                <c:pt idx="9">
                  <c:v>II-07</c:v>
                </c:pt>
                <c:pt idx="10">
                  <c:v>III-07</c:v>
                </c:pt>
                <c:pt idx="11">
                  <c:v>IV-07</c:v>
                </c:pt>
                <c:pt idx="12">
                  <c:v>2008</c:v>
                </c:pt>
                <c:pt idx="13">
                  <c:v>II-08</c:v>
                </c:pt>
                <c:pt idx="14">
                  <c:v>III-08</c:v>
                </c:pt>
                <c:pt idx="15">
                  <c:v>IV-08</c:v>
                </c:pt>
                <c:pt idx="16">
                  <c:v>2009</c:v>
                </c:pt>
                <c:pt idx="17">
                  <c:v>II-09</c:v>
                </c:pt>
                <c:pt idx="18">
                  <c:v>III-09</c:v>
                </c:pt>
                <c:pt idx="19">
                  <c:v>IV-09</c:v>
                </c:pt>
                <c:pt idx="20">
                  <c:v>2010</c:v>
                </c:pt>
                <c:pt idx="21">
                  <c:v>II-10</c:v>
                </c:pt>
                <c:pt idx="22">
                  <c:v>III-10</c:v>
                </c:pt>
                <c:pt idx="23">
                  <c:v>IV-10</c:v>
                </c:pt>
                <c:pt idx="24">
                  <c:v>2011</c:v>
                </c:pt>
                <c:pt idx="25">
                  <c:v>II-11</c:v>
                </c:pt>
                <c:pt idx="26">
                  <c:v>III-11</c:v>
                </c:pt>
                <c:pt idx="27">
                  <c:v>IV-11</c:v>
                </c:pt>
                <c:pt idx="28">
                  <c:v>2012</c:v>
                </c:pt>
                <c:pt idx="29">
                  <c:v>II-12</c:v>
                </c:pt>
                <c:pt idx="30">
                  <c:v>III-12</c:v>
                </c:pt>
                <c:pt idx="31">
                  <c:v>IV-12</c:v>
                </c:pt>
                <c:pt idx="32">
                  <c:v>2013</c:v>
                </c:pt>
                <c:pt idx="33">
                  <c:v>II-13</c:v>
                </c:pt>
                <c:pt idx="34">
                  <c:v>III-13</c:v>
                </c:pt>
                <c:pt idx="35">
                  <c:v>IV-13</c:v>
                </c:pt>
                <c:pt idx="36">
                  <c:v>2014</c:v>
                </c:pt>
                <c:pt idx="37">
                  <c:v>II-14</c:v>
                </c:pt>
                <c:pt idx="38">
                  <c:v>III-14</c:v>
                </c:pt>
                <c:pt idx="39">
                  <c:v>IV-14</c:v>
                </c:pt>
                <c:pt idx="40">
                  <c:v>2015</c:v>
                </c:pt>
                <c:pt idx="41">
                  <c:v>II-15</c:v>
                </c:pt>
                <c:pt idx="42">
                  <c:v>III-15</c:v>
                </c:pt>
                <c:pt idx="43">
                  <c:v>IV-15</c:v>
                </c:pt>
                <c:pt idx="44">
                  <c:v>2016</c:v>
                </c:pt>
                <c:pt idx="45">
                  <c:v>II-16</c:v>
                </c:pt>
                <c:pt idx="46">
                  <c:v>III-16</c:v>
                </c:pt>
                <c:pt idx="47">
                  <c:v>IV-16</c:v>
                </c:pt>
                <c:pt idx="48">
                  <c:v>2017</c:v>
                </c:pt>
                <c:pt idx="49">
                  <c:v>II-17</c:v>
                </c:pt>
                <c:pt idx="50">
                  <c:v>III-17</c:v>
                </c:pt>
                <c:pt idx="51">
                  <c:v>IV-17</c:v>
                </c:pt>
                <c:pt idx="52">
                  <c:v>2018</c:v>
                </c:pt>
                <c:pt idx="53">
                  <c:v>II-17</c:v>
                </c:pt>
                <c:pt idx="54">
                  <c:v>III-18</c:v>
                </c:pt>
                <c:pt idx="55">
                  <c:v>IV-18</c:v>
                </c:pt>
                <c:pt idx="56">
                  <c:v>I-19</c:v>
                </c:pt>
                <c:pt idx="57">
                  <c:v>II-19</c:v>
                </c:pt>
              </c:strCache>
            </c:strRef>
          </c:cat>
          <c:val>
            <c:numRef>
              <c:f>'Wykres 25 | A'!$C$6:$BH$6</c:f>
            </c:numRef>
          </c:val>
          <c:smooth val="0"/>
          <c:extLst>
            <c:ext xmlns:c16="http://schemas.microsoft.com/office/drawing/2014/chart" uri="{C3380CC4-5D6E-409C-BE32-E72D297353CC}">
              <c16:uniqueId val="{00000004-708E-4359-B4E3-4D090CDF188A}"/>
            </c:ext>
          </c:extLst>
        </c:ser>
        <c:ser>
          <c:idx val="5"/>
          <c:order val="5"/>
          <c:tx>
            <c:strRef>
              <c:f>'Wykres 25 | A'!$A$7:$B$7</c:f>
              <c:strCache>
                <c:ptCount val="1"/>
                <c:pt idx="0">
                  <c:v>6 Wskaźnik prognoz produkcji</c:v>
                </c:pt>
              </c:strCache>
            </c:strRef>
          </c:tx>
          <c:cat>
            <c:strRef>
              <c:f>'Wykres 25 | A'!$C$1:$BH$1</c:f>
              <c:strCache>
                <c:ptCount val="58"/>
                <c:pt idx="0">
                  <c:v>2005</c:v>
                </c:pt>
                <c:pt idx="1">
                  <c:v>II-05</c:v>
                </c:pt>
                <c:pt idx="2">
                  <c:v>III-05</c:v>
                </c:pt>
                <c:pt idx="3">
                  <c:v>IV-05</c:v>
                </c:pt>
                <c:pt idx="4">
                  <c:v>2006</c:v>
                </c:pt>
                <c:pt idx="5">
                  <c:v>II-06</c:v>
                </c:pt>
                <c:pt idx="6">
                  <c:v>III-06</c:v>
                </c:pt>
                <c:pt idx="7">
                  <c:v>IV-06</c:v>
                </c:pt>
                <c:pt idx="8">
                  <c:v>2007</c:v>
                </c:pt>
                <c:pt idx="9">
                  <c:v>II-07</c:v>
                </c:pt>
                <c:pt idx="10">
                  <c:v>III-07</c:v>
                </c:pt>
                <c:pt idx="11">
                  <c:v>IV-07</c:v>
                </c:pt>
                <c:pt idx="12">
                  <c:v>2008</c:v>
                </c:pt>
                <c:pt idx="13">
                  <c:v>II-08</c:v>
                </c:pt>
                <c:pt idx="14">
                  <c:v>III-08</c:v>
                </c:pt>
                <c:pt idx="15">
                  <c:v>IV-08</c:v>
                </c:pt>
                <c:pt idx="16">
                  <c:v>2009</c:v>
                </c:pt>
                <c:pt idx="17">
                  <c:v>II-09</c:v>
                </c:pt>
                <c:pt idx="18">
                  <c:v>III-09</c:v>
                </c:pt>
                <c:pt idx="19">
                  <c:v>IV-09</c:v>
                </c:pt>
                <c:pt idx="20">
                  <c:v>2010</c:v>
                </c:pt>
                <c:pt idx="21">
                  <c:v>II-10</c:v>
                </c:pt>
                <c:pt idx="22">
                  <c:v>III-10</c:v>
                </c:pt>
                <c:pt idx="23">
                  <c:v>IV-10</c:v>
                </c:pt>
                <c:pt idx="24">
                  <c:v>2011</c:v>
                </c:pt>
                <c:pt idx="25">
                  <c:v>II-11</c:v>
                </c:pt>
                <c:pt idx="26">
                  <c:v>III-11</c:v>
                </c:pt>
                <c:pt idx="27">
                  <c:v>IV-11</c:v>
                </c:pt>
                <c:pt idx="28">
                  <c:v>2012</c:v>
                </c:pt>
                <c:pt idx="29">
                  <c:v>II-12</c:v>
                </c:pt>
                <c:pt idx="30">
                  <c:v>III-12</c:v>
                </c:pt>
                <c:pt idx="31">
                  <c:v>IV-12</c:v>
                </c:pt>
                <c:pt idx="32">
                  <c:v>2013</c:v>
                </c:pt>
                <c:pt idx="33">
                  <c:v>II-13</c:v>
                </c:pt>
                <c:pt idx="34">
                  <c:v>III-13</c:v>
                </c:pt>
                <c:pt idx="35">
                  <c:v>IV-13</c:v>
                </c:pt>
                <c:pt idx="36">
                  <c:v>2014</c:v>
                </c:pt>
                <c:pt idx="37">
                  <c:v>II-14</c:v>
                </c:pt>
                <c:pt idx="38">
                  <c:v>III-14</c:v>
                </c:pt>
                <c:pt idx="39">
                  <c:v>IV-14</c:v>
                </c:pt>
                <c:pt idx="40">
                  <c:v>2015</c:v>
                </c:pt>
                <c:pt idx="41">
                  <c:v>II-15</c:v>
                </c:pt>
                <c:pt idx="42">
                  <c:v>III-15</c:v>
                </c:pt>
                <c:pt idx="43">
                  <c:v>IV-15</c:v>
                </c:pt>
                <c:pt idx="44">
                  <c:v>2016</c:v>
                </c:pt>
                <c:pt idx="45">
                  <c:v>II-16</c:v>
                </c:pt>
                <c:pt idx="46">
                  <c:v>III-16</c:v>
                </c:pt>
                <c:pt idx="47">
                  <c:v>IV-16</c:v>
                </c:pt>
                <c:pt idx="48">
                  <c:v>2017</c:v>
                </c:pt>
                <c:pt idx="49">
                  <c:v>II-17</c:v>
                </c:pt>
                <c:pt idx="50">
                  <c:v>III-17</c:v>
                </c:pt>
                <c:pt idx="51">
                  <c:v>IV-17</c:v>
                </c:pt>
                <c:pt idx="52">
                  <c:v>2018</c:v>
                </c:pt>
                <c:pt idx="53">
                  <c:v>II-17</c:v>
                </c:pt>
                <c:pt idx="54">
                  <c:v>III-18</c:v>
                </c:pt>
                <c:pt idx="55">
                  <c:v>IV-18</c:v>
                </c:pt>
                <c:pt idx="56">
                  <c:v>I-19</c:v>
                </c:pt>
                <c:pt idx="57">
                  <c:v>II-19</c:v>
                </c:pt>
              </c:strCache>
            </c:strRef>
          </c:cat>
          <c:val>
            <c:numRef>
              <c:f>'Wykres 25 | A'!$C$7:$BH$7</c:f>
            </c:numRef>
          </c:val>
          <c:smooth val="0"/>
          <c:extLst>
            <c:ext xmlns:c16="http://schemas.microsoft.com/office/drawing/2014/chart" uri="{C3380CC4-5D6E-409C-BE32-E72D297353CC}">
              <c16:uniqueId val="{00000005-708E-4359-B4E3-4D090CDF188A}"/>
            </c:ext>
          </c:extLst>
        </c:ser>
        <c:ser>
          <c:idx val="6"/>
          <c:order val="6"/>
          <c:tx>
            <c:strRef>
              <c:f>'Wykres 25 | A'!$A$8:$B$8</c:f>
              <c:strCache>
                <c:ptCount val="1"/>
                <c:pt idx="0">
                  <c:v>7 Wskaźnik umów eksportowych</c:v>
                </c:pt>
              </c:strCache>
            </c:strRef>
          </c:tx>
          <c:cat>
            <c:strRef>
              <c:f>'Wykres 25 | A'!$C$1:$BH$1</c:f>
              <c:strCache>
                <c:ptCount val="58"/>
                <c:pt idx="0">
                  <c:v>2005</c:v>
                </c:pt>
                <c:pt idx="1">
                  <c:v>II-05</c:v>
                </c:pt>
                <c:pt idx="2">
                  <c:v>III-05</c:v>
                </c:pt>
                <c:pt idx="3">
                  <c:v>IV-05</c:v>
                </c:pt>
                <c:pt idx="4">
                  <c:v>2006</c:v>
                </c:pt>
                <c:pt idx="5">
                  <c:v>II-06</c:v>
                </c:pt>
                <c:pt idx="6">
                  <c:v>III-06</c:v>
                </c:pt>
                <c:pt idx="7">
                  <c:v>IV-06</c:v>
                </c:pt>
                <c:pt idx="8">
                  <c:v>2007</c:v>
                </c:pt>
                <c:pt idx="9">
                  <c:v>II-07</c:v>
                </c:pt>
                <c:pt idx="10">
                  <c:v>III-07</c:v>
                </c:pt>
                <c:pt idx="11">
                  <c:v>IV-07</c:v>
                </c:pt>
                <c:pt idx="12">
                  <c:v>2008</c:v>
                </c:pt>
                <c:pt idx="13">
                  <c:v>II-08</c:v>
                </c:pt>
                <c:pt idx="14">
                  <c:v>III-08</c:v>
                </c:pt>
                <c:pt idx="15">
                  <c:v>IV-08</c:v>
                </c:pt>
                <c:pt idx="16">
                  <c:v>2009</c:v>
                </c:pt>
                <c:pt idx="17">
                  <c:v>II-09</c:v>
                </c:pt>
                <c:pt idx="18">
                  <c:v>III-09</c:v>
                </c:pt>
                <c:pt idx="19">
                  <c:v>IV-09</c:v>
                </c:pt>
                <c:pt idx="20">
                  <c:v>2010</c:v>
                </c:pt>
                <c:pt idx="21">
                  <c:v>II-10</c:v>
                </c:pt>
                <c:pt idx="22">
                  <c:v>III-10</c:v>
                </c:pt>
                <c:pt idx="23">
                  <c:v>IV-10</c:v>
                </c:pt>
                <c:pt idx="24">
                  <c:v>2011</c:v>
                </c:pt>
                <c:pt idx="25">
                  <c:v>II-11</c:v>
                </c:pt>
                <c:pt idx="26">
                  <c:v>III-11</c:v>
                </c:pt>
                <c:pt idx="27">
                  <c:v>IV-11</c:v>
                </c:pt>
                <c:pt idx="28">
                  <c:v>2012</c:v>
                </c:pt>
                <c:pt idx="29">
                  <c:v>II-12</c:v>
                </c:pt>
                <c:pt idx="30">
                  <c:v>III-12</c:v>
                </c:pt>
                <c:pt idx="31">
                  <c:v>IV-12</c:v>
                </c:pt>
                <c:pt idx="32">
                  <c:v>2013</c:v>
                </c:pt>
                <c:pt idx="33">
                  <c:v>II-13</c:v>
                </c:pt>
                <c:pt idx="34">
                  <c:v>III-13</c:v>
                </c:pt>
                <c:pt idx="35">
                  <c:v>IV-13</c:v>
                </c:pt>
                <c:pt idx="36">
                  <c:v>2014</c:v>
                </c:pt>
                <c:pt idx="37">
                  <c:v>II-14</c:v>
                </c:pt>
                <c:pt idx="38">
                  <c:v>III-14</c:v>
                </c:pt>
                <c:pt idx="39">
                  <c:v>IV-14</c:v>
                </c:pt>
                <c:pt idx="40">
                  <c:v>2015</c:v>
                </c:pt>
                <c:pt idx="41">
                  <c:v>II-15</c:v>
                </c:pt>
                <c:pt idx="42">
                  <c:v>III-15</c:v>
                </c:pt>
                <c:pt idx="43">
                  <c:v>IV-15</c:v>
                </c:pt>
                <c:pt idx="44">
                  <c:v>2016</c:v>
                </c:pt>
                <c:pt idx="45">
                  <c:v>II-16</c:v>
                </c:pt>
                <c:pt idx="46">
                  <c:v>III-16</c:v>
                </c:pt>
                <c:pt idx="47">
                  <c:v>IV-16</c:v>
                </c:pt>
                <c:pt idx="48">
                  <c:v>2017</c:v>
                </c:pt>
                <c:pt idx="49">
                  <c:v>II-17</c:v>
                </c:pt>
                <c:pt idx="50">
                  <c:v>III-17</c:v>
                </c:pt>
                <c:pt idx="51">
                  <c:v>IV-17</c:v>
                </c:pt>
                <c:pt idx="52">
                  <c:v>2018</c:v>
                </c:pt>
                <c:pt idx="53">
                  <c:v>II-17</c:v>
                </c:pt>
                <c:pt idx="54">
                  <c:v>III-18</c:v>
                </c:pt>
                <c:pt idx="55">
                  <c:v>IV-18</c:v>
                </c:pt>
                <c:pt idx="56">
                  <c:v>I-19</c:v>
                </c:pt>
                <c:pt idx="57">
                  <c:v>II-19</c:v>
                </c:pt>
              </c:strCache>
            </c:strRef>
          </c:cat>
          <c:val>
            <c:numRef>
              <c:f>'Wykres 25 | A'!$C$8:$BH$8</c:f>
            </c:numRef>
          </c:val>
          <c:smooth val="0"/>
          <c:extLst>
            <c:ext xmlns:c16="http://schemas.microsoft.com/office/drawing/2014/chart" uri="{C3380CC4-5D6E-409C-BE32-E72D297353CC}">
              <c16:uniqueId val="{00000006-708E-4359-B4E3-4D090CDF188A}"/>
            </c:ext>
          </c:extLst>
        </c:ser>
        <c:ser>
          <c:idx val="7"/>
          <c:order val="7"/>
          <c:tx>
            <c:strRef>
              <c:f>'Wykres 25 | A'!$A$9:$B$9</c:f>
              <c:strCache>
                <c:ptCount val="1"/>
                <c:pt idx="0">
                  <c:v>8 Wskaźnik prognoz eksportu</c:v>
                </c:pt>
              </c:strCache>
            </c:strRef>
          </c:tx>
          <c:cat>
            <c:strRef>
              <c:f>'Wykres 25 | A'!$C$1:$BH$1</c:f>
              <c:strCache>
                <c:ptCount val="58"/>
                <c:pt idx="0">
                  <c:v>2005</c:v>
                </c:pt>
                <c:pt idx="1">
                  <c:v>II-05</c:v>
                </c:pt>
                <c:pt idx="2">
                  <c:v>III-05</c:v>
                </c:pt>
                <c:pt idx="3">
                  <c:v>IV-05</c:v>
                </c:pt>
                <c:pt idx="4">
                  <c:v>2006</c:v>
                </c:pt>
                <c:pt idx="5">
                  <c:v>II-06</c:v>
                </c:pt>
                <c:pt idx="6">
                  <c:v>III-06</c:v>
                </c:pt>
                <c:pt idx="7">
                  <c:v>IV-06</c:v>
                </c:pt>
                <c:pt idx="8">
                  <c:v>2007</c:v>
                </c:pt>
                <c:pt idx="9">
                  <c:v>II-07</c:v>
                </c:pt>
                <c:pt idx="10">
                  <c:v>III-07</c:v>
                </c:pt>
                <c:pt idx="11">
                  <c:v>IV-07</c:v>
                </c:pt>
                <c:pt idx="12">
                  <c:v>2008</c:v>
                </c:pt>
                <c:pt idx="13">
                  <c:v>II-08</c:v>
                </c:pt>
                <c:pt idx="14">
                  <c:v>III-08</c:v>
                </c:pt>
                <c:pt idx="15">
                  <c:v>IV-08</c:v>
                </c:pt>
                <c:pt idx="16">
                  <c:v>2009</c:v>
                </c:pt>
                <c:pt idx="17">
                  <c:v>II-09</c:v>
                </c:pt>
                <c:pt idx="18">
                  <c:v>III-09</c:v>
                </c:pt>
                <c:pt idx="19">
                  <c:v>IV-09</c:v>
                </c:pt>
                <c:pt idx="20">
                  <c:v>2010</c:v>
                </c:pt>
                <c:pt idx="21">
                  <c:v>II-10</c:v>
                </c:pt>
                <c:pt idx="22">
                  <c:v>III-10</c:v>
                </c:pt>
                <c:pt idx="23">
                  <c:v>IV-10</c:v>
                </c:pt>
                <c:pt idx="24">
                  <c:v>2011</c:v>
                </c:pt>
                <c:pt idx="25">
                  <c:v>II-11</c:v>
                </c:pt>
                <c:pt idx="26">
                  <c:v>III-11</c:v>
                </c:pt>
                <c:pt idx="27">
                  <c:v>IV-11</c:v>
                </c:pt>
                <c:pt idx="28">
                  <c:v>2012</c:v>
                </c:pt>
                <c:pt idx="29">
                  <c:v>II-12</c:v>
                </c:pt>
                <c:pt idx="30">
                  <c:v>III-12</c:v>
                </c:pt>
                <c:pt idx="31">
                  <c:v>IV-12</c:v>
                </c:pt>
                <c:pt idx="32">
                  <c:v>2013</c:v>
                </c:pt>
                <c:pt idx="33">
                  <c:v>II-13</c:v>
                </c:pt>
                <c:pt idx="34">
                  <c:v>III-13</c:v>
                </c:pt>
                <c:pt idx="35">
                  <c:v>IV-13</c:v>
                </c:pt>
                <c:pt idx="36">
                  <c:v>2014</c:v>
                </c:pt>
                <c:pt idx="37">
                  <c:v>II-14</c:v>
                </c:pt>
                <c:pt idx="38">
                  <c:v>III-14</c:v>
                </c:pt>
                <c:pt idx="39">
                  <c:v>IV-14</c:v>
                </c:pt>
                <c:pt idx="40">
                  <c:v>2015</c:v>
                </c:pt>
                <c:pt idx="41">
                  <c:v>II-15</c:v>
                </c:pt>
                <c:pt idx="42">
                  <c:v>III-15</c:v>
                </c:pt>
                <c:pt idx="43">
                  <c:v>IV-15</c:v>
                </c:pt>
                <c:pt idx="44">
                  <c:v>2016</c:v>
                </c:pt>
                <c:pt idx="45">
                  <c:v>II-16</c:v>
                </c:pt>
                <c:pt idx="46">
                  <c:v>III-16</c:v>
                </c:pt>
                <c:pt idx="47">
                  <c:v>IV-16</c:v>
                </c:pt>
                <c:pt idx="48">
                  <c:v>2017</c:v>
                </c:pt>
                <c:pt idx="49">
                  <c:v>II-17</c:v>
                </c:pt>
                <c:pt idx="50">
                  <c:v>III-17</c:v>
                </c:pt>
                <c:pt idx="51">
                  <c:v>IV-17</c:v>
                </c:pt>
                <c:pt idx="52">
                  <c:v>2018</c:v>
                </c:pt>
                <c:pt idx="53">
                  <c:v>II-17</c:v>
                </c:pt>
                <c:pt idx="54">
                  <c:v>III-18</c:v>
                </c:pt>
                <c:pt idx="55">
                  <c:v>IV-18</c:v>
                </c:pt>
                <c:pt idx="56">
                  <c:v>I-19</c:v>
                </c:pt>
                <c:pt idx="57">
                  <c:v>II-19</c:v>
                </c:pt>
              </c:strCache>
            </c:strRef>
          </c:cat>
          <c:val>
            <c:numRef>
              <c:f>'Wykres 25 | A'!$C$9:$BH$9</c:f>
            </c:numRef>
          </c:val>
          <c:smooth val="0"/>
          <c:extLst>
            <c:ext xmlns:c16="http://schemas.microsoft.com/office/drawing/2014/chart" uri="{C3380CC4-5D6E-409C-BE32-E72D297353CC}">
              <c16:uniqueId val="{00000007-708E-4359-B4E3-4D090CDF188A}"/>
            </c:ext>
          </c:extLst>
        </c:ser>
        <c:ser>
          <c:idx val="8"/>
          <c:order val="8"/>
          <c:tx>
            <c:strRef>
              <c:f>'Wykres 25 | A'!$A$10:$B$10</c:f>
              <c:strCache>
                <c:ptCount val="1"/>
                <c:pt idx="0">
                  <c:v>9 Wskaźnik prognoz zatrudnienia</c:v>
                </c:pt>
              </c:strCache>
            </c:strRef>
          </c:tx>
          <c:cat>
            <c:strRef>
              <c:f>'Wykres 25 | A'!$C$1:$BH$1</c:f>
              <c:strCache>
                <c:ptCount val="58"/>
                <c:pt idx="0">
                  <c:v>2005</c:v>
                </c:pt>
                <c:pt idx="1">
                  <c:v>II-05</c:v>
                </c:pt>
                <c:pt idx="2">
                  <c:v>III-05</c:v>
                </c:pt>
                <c:pt idx="3">
                  <c:v>IV-05</c:v>
                </c:pt>
                <c:pt idx="4">
                  <c:v>2006</c:v>
                </c:pt>
                <c:pt idx="5">
                  <c:v>II-06</c:v>
                </c:pt>
                <c:pt idx="6">
                  <c:v>III-06</c:v>
                </c:pt>
                <c:pt idx="7">
                  <c:v>IV-06</c:v>
                </c:pt>
                <c:pt idx="8">
                  <c:v>2007</c:v>
                </c:pt>
                <c:pt idx="9">
                  <c:v>II-07</c:v>
                </c:pt>
                <c:pt idx="10">
                  <c:v>III-07</c:v>
                </c:pt>
                <c:pt idx="11">
                  <c:v>IV-07</c:v>
                </c:pt>
                <c:pt idx="12">
                  <c:v>2008</c:v>
                </c:pt>
                <c:pt idx="13">
                  <c:v>II-08</c:v>
                </c:pt>
                <c:pt idx="14">
                  <c:v>III-08</c:v>
                </c:pt>
                <c:pt idx="15">
                  <c:v>IV-08</c:v>
                </c:pt>
                <c:pt idx="16">
                  <c:v>2009</c:v>
                </c:pt>
                <c:pt idx="17">
                  <c:v>II-09</c:v>
                </c:pt>
                <c:pt idx="18">
                  <c:v>III-09</c:v>
                </c:pt>
                <c:pt idx="19">
                  <c:v>IV-09</c:v>
                </c:pt>
                <c:pt idx="20">
                  <c:v>2010</c:v>
                </c:pt>
                <c:pt idx="21">
                  <c:v>II-10</c:v>
                </c:pt>
                <c:pt idx="22">
                  <c:v>III-10</c:v>
                </c:pt>
                <c:pt idx="23">
                  <c:v>IV-10</c:v>
                </c:pt>
                <c:pt idx="24">
                  <c:v>2011</c:v>
                </c:pt>
                <c:pt idx="25">
                  <c:v>II-11</c:v>
                </c:pt>
                <c:pt idx="26">
                  <c:v>III-11</c:v>
                </c:pt>
                <c:pt idx="27">
                  <c:v>IV-11</c:v>
                </c:pt>
                <c:pt idx="28">
                  <c:v>2012</c:v>
                </c:pt>
                <c:pt idx="29">
                  <c:v>II-12</c:v>
                </c:pt>
                <c:pt idx="30">
                  <c:v>III-12</c:v>
                </c:pt>
                <c:pt idx="31">
                  <c:v>IV-12</c:v>
                </c:pt>
                <c:pt idx="32">
                  <c:v>2013</c:v>
                </c:pt>
                <c:pt idx="33">
                  <c:v>II-13</c:v>
                </c:pt>
                <c:pt idx="34">
                  <c:v>III-13</c:v>
                </c:pt>
                <c:pt idx="35">
                  <c:v>IV-13</c:v>
                </c:pt>
                <c:pt idx="36">
                  <c:v>2014</c:v>
                </c:pt>
                <c:pt idx="37">
                  <c:v>II-14</c:v>
                </c:pt>
                <c:pt idx="38">
                  <c:v>III-14</c:v>
                </c:pt>
                <c:pt idx="39">
                  <c:v>IV-14</c:v>
                </c:pt>
                <c:pt idx="40">
                  <c:v>2015</c:v>
                </c:pt>
                <c:pt idx="41">
                  <c:v>II-15</c:v>
                </c:pt>
                <c:pt idx="42">
                  <c:v>III-15</c:v>
                </c:pt>
                <c:pt idx="43">
                  <c:v>IV-15</c:v>
                </c:pt>
                <c:pt idx="44">
                  <c:v>2016</c:v>
                </c:pt>
                <c:pt idx="45">
                  <c:v>II-16</c:v>
                </c:pt>
                <c:pt idx="46">
                  <c:v>III-16</c:v>
                </c:pt>
                <c:pt idx="47">
                  <c:v>IV-16</c:v>
                </c:pt>
                <c:pt idx="48">
                  <c:v>2017</c:v>
                </c:pt>
                <c:pt idx="49">
                  <c:v>II-17</c:v>
                </c:pt>
                <c:pt idx="50">
                  <c:v>III-17</c:v>
                </c:pt>
                <c:pt idx="51">
                  <c:v>IV-17</c:v>
                </c:pt>
                <c:pt idx="52">
                  <c:v>2018</c:v>
                </c:pt>
                <c:pt idx="53">
                  <c:v>II-17</c:v>
                </c:pt>
                <c:pt idx="54">
                  <c:v>III-18</c:v>
                </c:pt>
                <c:pt idx="55">
                  <c:v>IV-18</c:v>
                </c:pt>
                <c:pt idx="56">
                  <c:v>I-19</c:v>
                </c:pt>
                <c:pt idx="57">
                  <c:v>II-19</c:v>
                </c:pt>
              </c:strCache>
            </c:strRef>
          </c:cat>
          <c:val>
            <c:numRef>
              <c:f>'Wykres 25 | A'!$C$10:$BH$10</c:f>
            </c:numRef>
          </c:val>
          <c:smooth val="0"/>
          <c:extLst>
            <c:ext xmlns:c16="http://schemas.microsoft.com/office/drawing/2014/chart" uri="{C3380CC4-5D6E-409C-BE32-E72D297353CC}">
              <c16:uniqueId val="{00000008-708E-4359-B4E3-4D090CDF188A}"/>
            </c:ext>
          </c:extLst>
        </c:ser>
        <c:ser>
          <c:idx val="9"/>
          <c:order val="9"/>
          <c:tx>
            <c:strRef>
              <c:f>'Wykres 25 | A'!$A$11:$B$11</c:f>
              <c:strCache>
                <c:ptCount val="1"/>
                <c:pt idx="0">
                  <c:v>10 Udział przedsiębiorstw prognozujących wzrost płac</c:v>
                </c:pt>
              </c:strCache>
            </c:strRef>
          </c:tx>
          <c:cat>
            <c:strRef>
              <c:f>'Wykres 25 | A'!$C$1:$BH$1</c:f>
              <c:strCache>
                <c:ptCount val="58"/>
                <c:pt idx="0">
                  <c:v>2005</c:v>
                </c:pt>
                <c:pt idx="1">
                  <c:v>II-05</c:v>
                </c:pt>
                <c:pt idx="2">
                  <c:v>III-05</c:v>
                </c:pt>
                <c:pt idx="3">
                  <c:v>IV-05</c:v>
                </c:pt>
                <c:pt idx="4">
                  <c:v>2006</c:v>
                </c:pt>
                <c:pt idx="5">
                  <c:v>II-06</c:v>
                </c:pt>
                <c:pt idx="6">
                  <c:v>III-06</c:v>
                </c:pt>
                <c:pt idx="7">
                  <c:v>IV-06</c:v>
                </c:pt>
                <c:pt idx="8">
                  <c:v>2007</c:v>
                </c:pt>
                <c:pt idx="9">
                  <c:v>II-07</c:v>
                </c:pt>
                <c:pt idx="10">
                  <c:v>III-07</c:v>
                </c:pt>
                <c:pt idx="11">
                  <c:v>IV-07</c:v>
                </c:pt>
                <c:pt idx="12">
                  <c:v>2008</c:v>
                </c:pt>
                <c:pt idx="13">
                  <c:v>II-08</c:v>
                </c:pt>
                <c:pt idx="14">
                  <c:v>III-08</c:v>
                </c:pt>
                <c:pt idx="15">
                  <c:v>IV-08</c:v>
                </c:pt>
                <c:pt idx="16">
                  <c:v>2009</c:v>
                </c:pt>
                <c:pt idx="17">
                  <c:v>II-09</c:v>
                </c:pt>
                <c:pt idx="18">
                  <c:v>III-09</c:v>
                </c:pt>
                <c:pt idx="19">
                  <c:v>IV-09</c:v>
                </c:pt>
                <c:pt idx="20">
                  <c:v>2010</c:v>
                </c:pt>
                <c:pt idx="21">
                  <c:v>II-10</c:v>
                </c:pt>
                <c:pt idx="22">
                  <c:v>III-10</c:v>
                </c:pt>
                <c:pt idx="23">
                  <c:v>IV-10</c:v>
                </c:pt>
                <c:pt idx="24">
                  <c:v>2011</c:v>
                </c:pt>
                <c:pt idx="25">
                  <c:v>II-11</c:v>
                </c:pt>
                <c:pt idx="26">
                  <c:v>III-11</c:v>
                </c:pt>
                <c:pt idx="27">
                  <c:v>IV-11</c:v>
                </c:pt>
                <c:pt idx="28">
                  <c:v>2012</c:v>
                </c:pt>
                <c:pt idx="29">
                  <c:v>II-12</c:v>
                </c:pt>
                <c:pt idx="30">
                  <c:v>III-12</c:v>
                </c:pt>
                <c:pt idx="31">
                  <c:v>IV-12</c:v>
                </c:pt>
                <c:pt idx="32">
                  <c:v>2013</c:v>
                </c:pt>
                <c:pt idx="33">
                  <c:v>II-13</c:v>
                </c:pt>
                <c:pt idx="34">
                  <c:v>III-13</c:v>
                </c:pt>
                <c:pt idx="35">
                  <c:v>IV-13</c:v>
                </c:pt>
                <c:pt idx="36">
                  <c:v>2014</c:v>
                </c:pt>
                <c:pt idx="37">
                  <c:v>II-14</c:v>
                </c:pt>
                <c:pt idx="38">
                  <c:v>III-14</c:v>
                </c:pt>
                <c:pt idx="39">
                  <c:v>IV-14</c:v>
                </c:pt>
                <c:pt idx="40">
                  <c:v>2015</c:v>
                </c:pt>
                <c:pt idx="41">
                  <c:v>II-15</c:v>
                </c:pt>
                <c:pt idx="42">
                  <c:v>III-15</c:v>
                </c:pt>
                <c:pt idx="43">
                  <c:v>IV-15</c:v>
                </c:pt>
                <c:pt idx="44">
                  <c:v>2016</c:v>
                </c:pt>
                <c:pt idx="45">
                  <c:v>II-16</c:v>
                </c:pt>
                <c:pt idx="46">
                  <c:v>III-16</c:v>
                </c:pt>
                <c:pt idx="47">
                  <c:v>IV-16</c:v>
                </c:pt>
                <c:pt idx="48">
                  <c:v>2017</c:v>
                </c:pt>
                <c:pt idx="49">
                  <c:v>II-17</c:v>
                </c:pt>
                <c:pt idx="50">
                  <c:v>III-17</c:v>
                </c:pt>
                <c:pt idx="51">
                  <c:v>IV-17</c:v>
                </c:pt>
                <c:pt idx="52">
                  <c:v>2018</c:v>
                </c:pt>
                <c:pt idx="53">
                  <c:v>II-17</c:v>
                </c:pt>
                <c:pt idx="54">
                  <c:v>III-18</c:v>
                </c:pt>
                <c:pt idx="55">
                  <c:v>IV-18</c:v>
                </c:pt>
                <c:pt idx="56">
                  <c:v>I-19</c:v>
                </c:pt>
                <c:pt idx="57">
                  <c:v>II-19</c:v>
                </c:pt>
              </c:strCache>
            </c:strRef>
          </c:cat>
          <c:val>
            <c:numRef>
              <c:f>'Wykres 25 | A'!$C$11:$BH$11</c:f>
            </c:numRef>
          </c:val>
          <c:smooth val="0"/>
          <c:extLst>
            <c:ext xmlns:c16="http://schemas.microsoft.com/office/drawing/2014/chart" uri="{C3380CC4-5D6E-409C-BE32-E72D297353CC}">
              <c16:uniqueId val="{00000009-708E-4359-B4E3-4D090CDF188A}"/>
            </c:ext>
          </c:extLst>
        </c:ser>
        <c:ser>
          <c:idx val="10"/>
          <c:order val="10"/>
          <c:tx>
            <c:strRef>
              <c:f>'Wykres 25 | A'!$A$12:$B$12</c:f>
              <c:strCache>
                <c:ptCount val="1"/>
                <c:pt idx="0">
                  <c:v>11 Wskaźnik nowych inwestycji </c:v>
                </c:pt>
              </c:strCache>
            </c:strRef>
          </c:tx>
          <c:cat>
            <c:strRef>
              <c:f>'Wykres 25 | A'!$C$1:$BH$1</c:f>
              <c:strCache>
                <c:ptCount val="58"/>
                <c:pt idx="0">
                  <c:v>2005</c:v>
                </c:pt>
                <c:pt idx="1">
                  <c:v>II-05</c:v>
                </c:pt>
                <c:pt idx="2">
                  <c:v>III-05</c:v>
                </c:pt>
                <c:pt idx="3">
                  <c:v>IV-05</c:v>
                </c:pt>
                <c:pt idx="4">
                  <c:v>2006</c:v>
                </c:pt>
                <c:pt idx="5">
                  <c:v>II-06</c:v>
                </c:pt>
                <c:pt idx="6">
                  <c:v>III-06</c:v>
                </c:pt>
                <c:pt idx="7">
                  <c:v>IV-06</c:v>
                </c:pt>
                <c:pt idx="8">
                  <c:v>2007</c:v>
                </c:pt>
                <c:pt idx="9">
                  <c:v>II-07</c:v>
                </c:pt>
                <c:pt idx="10">
                  <c:v>III-07</c:v>
                </c:pt>
                <c:pt idx="11">
                  <c:v>IV-07</c:v>
                </c:pt>
                <c:pt idx="12">
                  <c:v>2008</c:v>
                </c:pt>
                <c:pt idx="13">
                  <c:v>II-08</c:v>
                </c:pt>
                <c:pt idx="14">
                  <c:v>III-08</c:v>
                </c:pt>
                <c:pt idx="15">
                  <c:v>IV-08</c:v>
                </c:pt>
                <c:pt idx="16">
                  <c:v>2009</c:v>
                </c:pt>
                <c:pt idx="17">
                  <c:v>II-09</c:v>
                </c:pt>
                <c:pt idx="18">
                  <c:v>III-09</c:v>
                </c:pt>
                <c:pt idx="19">
                  <c:v>IV-09</c:v>
                </c:pt>
                <c:pt idx="20">
                  <c:v>2010</c:v>
                </c:pt>
                <c:pt idx="21">
                  <c:v>II-10</c:v>
                </c:pt>
                <c:pt idx="22">
                  <c:v>III-10</c:v>
                </c:pt>
                <c:pt idx="23">
                  <c:v>IV-10</c:v>
                </c:pt>
                <c:pt idx="24">
                  <c:v>2011</c:v>
                </c:pt>
                <c:pt idx="25">
                  <c:v>II-11</c:v>
                </c:pt>
                <c:pt idx="26">
                  <c:v>III-11</c:v>
                </c:pt>
                <c:pt idx="27">
                  <c:v>IV-11</c:v>
                </c:pt>
                <c:pt idx="28">
                  <c:v>2012</c:v>
                </c:pt>
                <c:pt idx="29">
                  <c:v>II-12</c:v>
                </c:pt>
                <c:pt idx="30">
                  <c:v>III-12</c:v>
                </c:pt>
                <c:pt idx="31">
                  <c:v>IV-12</c:v>
                </c:pt>
                <c:pt idx="32">
                  <c:v>2013</c:v>
                </c:pt>
                <c:pt idx="33">
                  <c:v>II-13</c:v>
                </c:pt>
                <c:pt idx="34">
                  <c:v>III-13</c:v>
                </c:pt>
                <c:pt idx="35">
                  <c:v>IV-13</c:v>
                </c:pt>
                <c:pt idx="36">
                  <c:v>2014</c:v>
                </c:pt>
                <c:pt idx="37">
                  <c:v>II-14</c:v>
                </c:pt>
                <c:pt idx="38">
                  <c:v>III-14</c:v>
                </c:pt>
                <c:pt idx="39">
                  <c:v>IV-14</c:v>
                </c:pt>
                <c:pt idx="40">
                  <c:v>2015</c:v>
                </c:pt>
                <c:pt idx="41">
                  <c:v>II-15</c:v>
                </c:pt>
                <c:pt idx="42">
                  <c:v>III-15</c:v>
                </c:pt>
                <c:pt idx="43">
                  <c:v>IV-15</c:v>
                </c:pt>
                <c:pt idx="44">
                  <c:v>2016</c:v>
                </c:pt>
                <c:pt idx="45">
                  <c:v>II-16</c:v>
                </c:pt>
                <c:pt idx="46">
                  <c:v>III-16</c:v>
                </c:pt>
                <c:pt idx="47">
                  <c:v>IV-16</c:v>
                </c:pt>
                <c:pt idx="48">
                  <c:v>2017</c:v>
                </c:pt>
                <c:pt idx="49">
                  <c:v>II-17</c:v>
                </c:pt>
                <c:pt idx="50">
                  <c:v>III-17</c:v>
                </c:pt>
                <c:pt idx="51">
                  <c:v>IV-17</c:v>
                </c:pt>
                <c:pt idx="52">
                  <c:v>2018</c:v>
                </c:pt>
                <c:pt idx="53">
                  <c:v>II-17</c:v>
                </c:pt>
                <c:pt idx="54">
                  <c:v>III-18</c:v>
                </c:pt>
                <c:pt idx="55">
                  <c:v>IV-18</c:v>
                </c:pt>
                <c:pt idx="56">
                  <c:v>I-19</c:v>
                </c:pt>
                <c:pt idx="57">
                  <c:v>II-19</c:v>
                </c:pt>
              </c:strCache>
            </c:strRef>
          </c:cat>
          <c:val>
            <c:numRef>
              <c:f>'Wykres 25 | A'!$C$12:$BH$12</c:f>
            </c:numRef>
          </c:val>
          <c:smooth val="0"/>
          <c:extLst>
            <c:ext xmlns:c16="http://schemas.microsoft.com/office/drawing/2014/chart" uri="{C3380CC4-5D6E-409C-BE32-E72D297353CC}">
              <c16:uniqueId val="{0000000A-708E-4359-B4E3-4D090CDF188A}"/>
            </c:ext>
          </c:extLst>
        </c:ser>
        <c:ser>
          <c:idx val="11"/>
          <c:order val="11"/>
          <c:tx>
            <c:strRef>
              <c:f>'Wykres 25 | A'!$A$13:$B$13</c:f>
              <c:strCache>
                <c:ptCount val="1"/>
                <c:pt idx="0">
                  <c:v>12 Wskaźnik kontynuacji inwestycji</c:v>
                </c:pt>
              </c:strCache>
            </c:strRef>
          </c:tx>
          <c:cat>
            <c:strRef>
              <c:f>'Wykres 25 | A'!$C$1:$BH$1</c:f>
              <c:strCache>
                <c:ptCount val="58"/>
                <c:pt idx="0">
                  <c:v>2005</c:v>
                </c:pt>
                <c:pt idx="1">
                  <c:v>II-05</c:v>
                </c:pt>
                <c:pt idx="2">
                  <c:v>III-05</c:v>
                </c:pt>
                <c:pt idx="3">
                  <c:v>IV-05</c:v>
                </c:pt>
                <c:pt idx="4">
                  <c:v>2006</c:v>
                </c:pt>
                <c:pt idx="5">
                  <c:v>II-06</c:v>
                </c:pt>
                <c:pt idx="6">
                  <c:v>III-06</c:v>
                </c:pt>
                <c:pt idx="7">
                  <c:v>IV-06</c:v>
                </c:pt>
                <c:pt idx="8">
                  <c:v>2007</c:v>
                </c:pt>
                <c:pt idx="9">
                  <c:v>II-07</c:v>
                </c:pt>
                <c:pt idx="10">
                  <c:v>III-07</c:v>
                </c:pt>
                <c:pt idx="11">
                  <c:v>IV-07</c:v>
                </c:pt>
                <c:pt idx="12">
                  <c:v>2008</c:v>
                </c:pt>
                <c:pt idx="13">
                  <c:v>II-08</c:v>
                </c:pt>
                <c:pt idx="14">
                  <c:v>III-08</c:v>
                </c:pt>
                <c:pt idx="15">
                  <c:v>IV-08</c:v>
                </c:pt>
                <c:pt idx="16">
                  <c:v>2009</c:v>
                </c:pt>
                <c:pt idx="17">
                  <c:v>II-09</c:v>
                </c:pt>
                <c:pt idx="18">
                  <c:v>III-09</c:v>
                </c:pt>
                <c:pt idx="19">
                  <c:v>IV-09</c:v>
                </c:pt>
                <c:pt idx="20">
                  <c:v>2010</c:v>
                </c:pt>
                <c:pt idx="21">
                  <c:v>II-10</c:v>
                </c:pt>
                <c:pt idx="22">
                  <c:v>III-10</c:v>
                </c:pt>
                <c:pt idx="23">
                  <c:v>IV-10</c:v>
                </c:pt>
                <c:pt idx="24">
                  <c:v>2011</c:v>
                </c:pt>
                <c:pt idx="25">
                  <c:v>II-11</c:v>
                </c:pt>
                <c:pt idx="26">
                  <c:v>III-11</c:v>
                </c:pt>
                <c:pt idx="27">
                  <c:v>IV-11</c:v>
                </c:pt>
                <c:pt idx="28">
                  <c:v>2012</c:v>
                </c:pt>
                <c:pt idx="29">
                  <c:v>II-12</c:v>
                </c:pt>
                <c:pt idx="30">
                  <c:v>III-12</c:v>
                </c:pt>
                <c:pt idx="31">
                  <c:v>IV-12</c:v>
                </c:pt>
                <c:pt idx="32">
                  <c:v>2013</c:v>
                </c:pt>
                <c:pt idx="33">
                  <c:v>II-13</c:v>
                </c:pt>
                <c:pt idx="34">
                  <c:v>III-13</c:v>
                </c:pt>
                <c:pt idx="35">
                  <c:v>IV-13</c:v>
                </c:pt>
                <c:pt idx="36">
                  <c:v>2014</c:v>
                </c:pt>
                <c:pt idx="37">
                  <c:v>II-14</c:v>
                </c:pt>
                <c:pt idx="38">
                  <c:v>III-14</c:v>
                </c:pt>
                <c:pt idx="39">
                  <c:v>IV-14</c:v>
                </c:pt>
                <c:pt idx="40">
                  <c:v>2015</c:v>
                </c:pt>
                <c:pt idx="41">
                  <c:v>II-15</c:v>
                </c:pt>
                <c:pt idx="42">
                  <c:v>III-15</c:v>
                </c:pt>
                <c:pt idx="43">
                  <c:v>IV-15</c:v>
                </c:pt>
                <c:pt idx="44">
                  <c:v>2016</c:v>
                </c:pt>
                <c:pt idx="45">
                  <c:v>II-16</c:v>
                </c:pt>
                <c:pt idx="46">
                  <c:v>III-16</c:v>
                </c:pt>
                <c:pt idx="47">
                  <c:v>IV-16</c:v>
                </c:pt>
                <c:pt idx="48">
                  <c:v>2017</c:v>
                </c:pt>
                <c:pt idx="49">
                  <c:v>II-17</c:v>
                </c:pt>
                <c:pt idx="50">
                  <c:v>III-17</c:v>
                </c:pt>
                <c:pt idx="51">
                  <c:v>IV-17</c:v>
                </c:pt>
                <c:pt idx="52">
                  <c:v>2018</c:v>
                </c:pt>
                <c:pt idx="53">
                  <c:v>II-17</c:v>
                </c:pt>
                <c:pt idx="54">
                  <c:v>III-18</c:v>
                </c:pt>
                <c:pt idx="55">
                  <c:v>IV-18</c:v>
                </c:pt>
                <c:pt idx="56">
                  <c:v>I-19</c:v>
                </c:pt>
                <c:pt idx="57">
                  <c:v>II-19</c:v>
                </c:pt>
              </c:strCache>
            </c:strRef>
          </c:cat>
          <c:val>
            <c:numRef>
              <c:f>'Wykres 25 | A'!$C$13:$BH$13</c:f>
            </c:numRef>
          </c:val>
          <c:smooth val="0"/>
          <c:extLst>
            <c:ext xmlns:c16="http://schemas.microsoft.com/office/drawing/2014/chart" uri="{C3380CC4-5D6E-409C-BE32-E72D297353CC}">
              <c16:uniqueId val="{0000000B-708E-4359-B4E3-4D090CDF188A}"/>
            </c:ext>
          </c:extLst>
        </c:ser>
        <c:ser>
          <c:idx val="12"/>
          <c:order val="12"/>
          <c:tx>
            <c:strRef>
              <c:f>'Wykres 25 | A'!$A$14:$B$14</c:f>
              <c:strCache>
                <c:ptCount val="1"/>
                <c:pt idx="0">
                  <c:v>13 Średni poziom wykorzystania mocy produkcyjnych</c:v>
                </c:pt>
              </c:strCache>
            </c:strRef>
          </c:tx>
          <c:cat>
            <c:strRef>
              <c:f>'Wykres 25 | A'!$C$1:$BH$1</c:f>
              <c:strCache>
                <c:ptCount val="58"/>
                <c:pt idx="0">
                  <c:v>2005</c:v>
                </c:pt>
                <c:pt idx="1">
                  <c:v>II-05</c:v>
                </c:pt>
                <c:pt idx="2">
                  <c:v>III-05</c:v>
                </c:pt>
                <c:pt idx="3">
                  <c:v>IV-05</c:v>
                </c:pt>
                <c:pt idx="4">
                  <c:v>2006</c:v>
                </c:pt>
                <c:pt idx="5">
                  <c:v>II-06</c:v>
                </c:pt>
                <c:pt idx="6">
                  <c:v>III-06</c:v>
                </c:pt>
                <c:pt idx="7">
                  <c:v>IV-06</c:v>
                </c:pt>
                <c:pt idx="8">
                  <c:v>2007</c:v>
                </c:pt>
                <c:pt idx="9">
                  <c:v>II-07</c:v>
                </c:pt>
                <c:pt idx="10">
                  <c:v>III-07</c:v>
                </c:pt>
                <c:pt idx="11">
                  <c:v>IV-07</c:v>
                </c:pt>
                <c:pt idx="12">
                  <c:v>2008</c:v>
                </c:pt>
                <c:pt idx="13">
                  <c:v>II-08</c:v>
                </c:pt>
                <c:pt idx="14">
                  <c:v>III-08</c:v>
                </c:pt>
                <c:pt idx="15">
                  <c:v>IV-08</c:v>
                </c:pt>
                <c:pt idx="16">
                  <c:v>2009</c:v>
                </c:pt>
                <c:pt idx="17">
                  <c:v>II-09</c:v>
                </c:pt>
                <c:pt idx="18">
                  <c:v>III-09</c:v>
                </c:pt>
                <c:pt idx="19">
                  <c:v>IV-09</c:v>
                </c:pt>
                <c:pt idx="20">
                  <c:v>2010</c:v>
                </c:pt>
                <c:pt idx="21">
                  <c:v>II-10</c:v>
                </c:pt>
                <c:pt idx="22">
                  <c:v>III-10</c:v>
                </c:pt>
                <c:pt idx="23">
                  <c:v>IV-10</c:v>
                </c:pt>
                <c:pt idx="24">
                  <c:v>2011</c:v>
                </c:pt>
                <c:pt idx="25">
                  <c:v>II-11</c:v>
                </c:pt>
                <c:pt idx="26">
                  <c:v>III-11</c:v>
                </c:pt>
                <c:pt idx="27">
                  <c:v>IV-11</c:v>
                </c:pt>
                <c:pt idx="28">
                  <c:v>2012</c:v>
                </c:pt>
                <c:pt idx="29">
                  <c:v>II-12</c:v>
                </c:pt>
                <c:pt idx="30">
                  <c:v>III-12</c:v>
                </c:pt>
                <c:pt idx="31">
                  <c:v>IV-12</c:v>
                </c:pt>
                <c:pt idx="32">
                  <c:v>2013</c:v>
                </c:pt>
                <c:pt idx="33">
                  <c:v>II-13</c:v>
                </c:pt>
                <c:pt idx="34">
                  <c:v>III-13</c:v>
                </c:pt>
                <c:pt idx="35">
                  <c:v>IV-13</c:v>
                </c:pt>
                <c:pt idx="36">
                  <c:v>2014</c:v>
                </c:pt>
                <c:pt idx="37">
                  <c:v>II-14</c:v>
                </c:pt>
                <c:pt idx="38">
                  <c:v>III-14</c:v>
                </c:pt>
                <c:pt idx="39">
                  <c:v>IV-14</c:v>
                </c:pt>
                <c:pt idx="40">
                  <c:v>2015</c:v>
                </c:pt>
                <c:pt idx="41">
                  <c:v>II-15</c:v>
                </c:pt>
                <c:pt idx="42">
                  <c:v>III-15</c:v>
                </c:pt>
                <c:pt idx="43">
                  <c:v>IV-15</c:v>
                </c:pt>
                <c:pt idx="44">
                  <c:v>2016</c:v>
                </c:pt>
                <c:pt idx="45">
                  <c:v>II-16</c:v>
                </c:pt>
                <c:pt idx="46">
                  <c:v>III-16</c:v>
                </c:pt>
                <c:pt idx="47">
                  <c:v>IV-16</c:v>
                </c:pt>
                <c:pt idx="48">
                  <c:v>2017</c:v>
                </c:pt>
                <c:pt idx="49">
                  <c:v>II-17</c:v>
                </c:pt>
                <c:pt idx="50">
                  <c:v>III-17</c:v>
                </c:pt>
                <c:pt idx="51">
                  <c:v>IV-17</c:v>
                </c:pt>
                <c:pt idx="52">
                  <c:v>2018</c:v>
                </c:pt>
                <c:pt idx="53">
                  <c:v>II-17</c:v>
                </c:pt>
                <c:pt idx="54">
                  <c:v>III-18</c:v>
                </c:pt>
                <c:pt idx="55">
                  <c:v>IV-18</c:v>
                </c:pt>
                <c:pt idx="56">
                  <c:v>I-19</c:v>
                </c:pt>
                <c:pt idx="57">
                  <c:v>II-19</c:v>
                </c:pt>
              </c:strCache>
            </c:strRef>
          </c:cat>
          <c:val>
            <c:numRef>
              <c:f>'Wykres 25 | A'!$C$14:$BH$14</c:f>
            </c:numRef>
          </c:val>
          <c:smooth val="0"/>
          <c:extLst>
            <c:ext xmlns:c16="http://schemas.microsoft.com/office/drawing/2014/chart" uri="{C3380CC4-5D6E-409C-BE32-E72D297353CC}">
              <c16:uniqueId val="{0000000C-708E-4359-B4E3-4D090CDF188A}"/>
            </c:ext>
          </c:extLst>
        </c:ser>
        <c:ser>
          <c:idx val="13"/>
          <c:order val="13"/>
          <c:tx>
            <c:strRef>
              <c:f>'Wykres 25 | A'!$A$15:$B$15</c:f>
              <c:strCache>
                <c:ptCount val="1"/>
                <c:pt idx="0">
                  <c:v>14 Wskaźnik prognoz zadłużenia z tytułu kredytu bankowego**</c:v>
                </c:pt>
              </c:strCache>
            </c:strRef>
          </c:tx>
          <c:cat>
            <c:strRef>
              <c:f>'Wykres 25 | A'!$C$1:$BH$1</c:f>
              <c:strCache>
                <c:ptCount val="58"/>
                <c:pt idx="0">
                  <c:v>2005</c:v>
                </c:pt>
                <c:pt idx="1">
                  <c:v>II-05</c:v>
                </c:pt>
                <c:pt idx="2">
                  <c:v>III-05</c:v>
                </c:pt>
                <c:pt idx="3">
                  <c:v>IV-05</c:v>
                </c:pt>
                <c:pt idx="4">
                  <c:v>2006</c:v>
                </c:pt>
                <c:pt idx="5">
                  <c:v>II-06</c:v>
                </c:pt>
                <c:pt idx="6">
                  <c:v>III-06</c:v>
                </c:pt>
                <c:pt idx="7">
                  <c:v>IV-06</c:v>
                </c:pt>
                <c:pt idx="8">
                  <c:v>2007</c:v>
                </c:pt>
                <c:pt idx="9">
                  <c:v>II-07</c:v>
                </c:pt>
                <c:pt idx="10">
                  <c:v>III-07</c:v>
                </c:pt>
                <c:pt idx="11">
                  <c:v>IV-07</c:v>
                </c:pt>
                <c:pt idx="12">
                  <c:v>2008</c:v>
                </c:pt>
                <c:pt idx="13">
                  <c:v>II-08</c:v>
                </c:pt>
                <c:pt idx="14">
                  <c:v>III-08</c:v>
                </c:pt>
                <c:pt idx="15">
                  <c:v>IV-08</c:v>
                </c:pt>
                <c:pt idx="16">
                  <c:v>2009</c:v>
                </c:pt>
                <c:pt idx="17">
                  <c:v>II-09</c:v>
                </c:pt>
                <c:pt idx="18">
                  <c:v>III-09</c:v>
                </c:pt>
                <c:pt idx="19">
                  <c:v>IV-09</c:v>
                </c:pt>
                <c:pt idx="20">
                  <c:v>2010</c:v>
                </c:pt>
                <c:pt idx="21">
                  <c:v>II-10</c:v>
                </c:pt>
                <c:pt idx="22">
                  <c:v>III-10</c:v>
                </c:pt>
                <c:pt idx="23">
                  <c:v>IV-10</c:v>
                </c:pt>
                <c:pt idx="24">
                  <c:v>2011</c:v>
                </c:pt>
                <c:pt idx="25">
                  <c:v>II-11</c:v>
                </c:pt>
                <c:pt idx="26">
                  <c:v>III-11</c:v>
                </c:pt>
                <c:pt idx="27">
                  <c:v>IV-11</c:v>
                </c:pt>
                <c:pt idx="28">
                  <c:v>2012</c:v>
                </c:pt>
                <c:pt idx="29">
                  <c:v>II-12</c:v>
                </c:pt>
                <c:pt idx="30">
                  <c:v>III-12</c:v>
                </c:pt>
                <c:pt idx="31">
                  <c:v>IV-12</c:v>
                </c:pt>
                <c:pt idx="32">
                  <c:v>2013</c:v>
                </c:pt>
                <c:pt idx="33">
                  <c:v>II-13</c:v>
                </c:pt>
                <c:pt idx="34">
                  <c:v>III-13</c:v>
                </c:pt>
                <c:pt idx="35">
                  <c:v>IV-13</c:v>
                </c:pt>
                <c:pt idx="36">
                  <c:v>2014</c:v>
                </c:pt>
                <c:pt idx="37">
                  <c:v>II-14</c:v>
                </c:pt>
                <c:pt idx="38">
                  <c:v>III-14</c:v>
                </c:pt>
                <c:pt idx="39">
                  <c:v>IV-14</c:v>
                </c:pt>
                <c:pt idx="40">
                  <c:v>2015</c:v>
                </c:pt>
                <c:pt idx="41">
                  <c:v>II-15</c:v>
                </c:pt>
                <c:pt idx="42">
                  <c:v>III-15</c:v>
                </c:pt>
                <c:pt idx="43">
                  <c:v>IV-15</c:v>
                </c:pt>
                <c:pt idx="44">
                  <c:v>2016</c:v>
                </c:pt>
                <c:pt idx="45">
                  <c:v>II-16</c:v>
                </c:pt>
                <c:pt idx="46">
                  <c:v>III-16</c:v>
                </c:pt>
                <c:pt idx="47">
                  <c:v>IV-16</c:v>
                </c:pt>
                <c:pt idx="48">
                  <c:v>2017</c:v>
                </c:pt>
                <c:pt idx="49">
                  <c:v>II-17</c:v>
                </c:pt>
                <c:pt idx="50">
                  <c:v>III-17</c:v>
                </c:pt>
                <c:pt idx="51">
                  <c:v>IV-17</c:v>
                </c:pt>
                <c:pt idx="52">
                  <c:v>2018</c:v>
                </c:pt>
                <c:pt idx="53">
                  <c:v>II-17</c:v>
                </c:pt>
                <c:pt idx="54">
                  <c:v>III-18</c:v>
                </c:pt>
                <c:pt idx="55">
                  <c:v>IV-18</c:v>
                </c:pt>
                <c:pt idx="56">
                  <c:v>I-19</c:v>
                </c:pt>
                <c:pt idx="57">
                  <c:v>II-19</c:v>
                </c:pt>
              </c:strCache>
            </c:strRef>
          </c:cat>
          <c:val>
            <c:numRef>
              <c:f>'Wykres 25 | A'!$C$15:$BH$15</c:f>
            </c:numRef>
          </c:val>
          <c:smooth val="0"/>
          <c:extLst>
            <c:ext xmlns:c16="http://schemas.microsoft.com/office/drawing/2014/chart" uri="{C3380CC4-5D6E-409C-BE32-E72D297353CC}">
              <c16:uniqueId val="{0000000D-708E-4359-B4E3-4D090CDF188A}"/>
            </c:ext>
          </c:extLst>
        </c:ser>
        <c:ser>
          <c:idx val="15"/>
          <c:order val="15"/>
          <c:tx>
            <c:strRef>
              <c:f>'Wykres 25 | A'!$B$17</c:f>
              <c:strCache>
                <c:ptCount val="1"/>
                <c:pt idx="0">
                  <c:v>Udział zaakceptowanych wniosków kredytowych (lewa oś, %)</c:v>
                </c:pt>
              </c:strCache>
            </c:strRef>
          </c:tx>
          <c:spPr>
            <a:ln w="50800">
              <a:solidFill>
                <a:srgbClr val="00B0F0"/>
              </a:solidFill>
            </a:ln>
          </c:spPr>
          <c:marker>
            <c:symbol val="none"/>
          </c:marker>
          <c:cat>
            <c:strRef>
              <c:f>'Wykres 25 | A'!$C$1:$BH$1</c:f>
              <c:strCache>
                <c:ptCount val="58"/>
                <c:pt idx="0">
                  <c:v>2005</c:v>
                </c:pt>
                <c:pt idx="1">
                  <c:v>II-05</c:v>
                </c:pt>
                <c:pt idx="2">
                  <c:v>III-05</c:v>
                </c:pt>
                <c:pt idx="3">
                  <c:v>IV-05</c:v>
                </c:pt>
                <c:pt idx="4">
                  <c:v>2006</c:v>
                </c:pt>
                <c:pt idx="5">
                  <c:v>II-06</c:v>
                </c:pt>
                <c:pt idx="6">
                  <c:v>III-06</c:v>
                </c:pt>
                <c:pt idx="7">
                  <c:v>IV-06</c:v>
                </c:pt>
                <c:pt idx="8">
                  <c:v>2007</c:v>
                </c:pt>
                <c:pt idx="9">
                  <c:v>II-07</c:v>
                </c:pt>
                <c:pt idx="10">
                  <c:v>III-07</c:v>
                </c:pt>
                <c:pt idx="11">
                  <c:v>IV-07</c:v>
                </c:pt>
                <c:pt idx="12">
                  <c:v>2008</c:v>
                </c:pt>
                <c:pt idx="13">
                  <c:v>II-08</c:v>
                </c:pt>
                <c:pt idx="14">
                  <c:v>III-08</c:v>
                </c:pt>
                <c:pt idx="15">
                  <c:v>IV-08</c:v>
                </c:pt>
                <c:pt idx="16">
                  <c:v>2009</c:v>
                </c:pt>
                <c:pt idx="17">
                  <c:v>II-09</c:v>
                </c:pt>
                <c:pt idx="18">
                  <c:v>III-09</c:v>
                </c:pt>
                <c:pt idx="19">
                  <c:v>IV-09</c:v>
                </c:pt>
                <c:pt idx="20">
                  <c:v>2010</c:v>
                </c:pt>
                <c:pt idx="21">
                  <c:v>II-10</c:v>
                </c:pt>
                <c:pt idx="22">
                  <c:v>III-10</c:v>
                </c:pt>
                <c:pt idx="23">
                  <c:v>IV-10</c:v>
                </c:pt>
                <c:pt idx="24">
                  <c:v>2011</c:v>
                </c:pt>
                <c:pt idx="25">
                  <c:v>II-11</c:v>
                </c:pt>
                <c:pt idx="26">
                  <c:v>III-11</c:v>
                </c:pt>
                <c:pt idx="27">
                  <c:v>IV-11</c:v>
                </c:pt>
                <c:pt idx="28">
                  <c:v>2012</c:v>
                </c:pt>
                <c:pt idx="29">
                  <c:v>II-12</c:v>
                </c:pt>
                <c:pt idx="30">
                  <c:v>III-12</c:v>
                </c:pt>
                <c:pt idx="31">
                  <c:v>IV-12</c:v>
                </c:pt>
                <c:pt idx="32">
                  <c:v>2013</c:v>
                </c:pt>
                <c:pt idx="33">
                  <c:v>II-13</c:v>
                </c:pt>
                <c:pt idx="34">
                  <c:v>III-13</c:v>
                </c:pt>
                <c:pt idx="35">
                  <c:v>IV-13</c:v>
                </c:pt>
                <c:pt idx="36">
                  <c:v>2014</c:v>
                </c:pt>
                <c:pt idx="37">
                  <c:v>II-14</c:v>
                </c:pt>
                <c:pt idx="38">
                  <c:v>III-14</c:v>
                </c:pt>
                <c:pt idx="39">
                  <c:v>IV-14</c:v>
                </c:pt>
                <c:pt idx="40">
                  <c:v>2015</c:v>
                </c:pt>
                <c:pt idx="41">
                  <c:v>II-15</c:v>
                </c:pt>
                <c:pt idx="42">
                  <c:v>III-15</c:v>
                </c:pt>
                <c:pt idx="43">
                  <c:v>IV-15</c:v>
                </c:pt>
                <c:pt idx="44">
                  <c:v>2016</c:v>
                </c:pt>
                <c:pt idx="45">
                  <c:v>II-16</c:v>
                </c:pt>
                <c:pt idx="46">
                  <c:v>III-16</c:v>
                </c:pt>
                <c:pt idx="47">
                  <c:v>IV-16</c:v>
                </c:pt>
                <c:pt idx="48">
                  <c:v>2017</c:v>
                </c:pt>
                <c:pt idx="49">
                  <c:v>II-17</c:v>
                </c:pt>
                <c:pt idx="50">
                  <c:v>III-17</c:v>
                </c:pt>
                <c:pt idx="51">
                  <c:v>IV-17</c:v>
                </c:pt>
                <c:pt idx="52">
                  <c:v>2018</c:v>
                </c:pt>
                <c:pt idx="53">
                  <c:v>II-17</c:v>
                </c:pt>
                <c:pt idx="54">
                  <c:v>III-18</c:v>
                </c:pt>
                <c:pt idx="55">
                  <c:v>IV-18</c:v>
                </c:pt>
                <c:pt idx="56">
                  <c:v>I-19</c:v>
                </c:pt>
                <c:pt idx="57">
                  <c:v>II-19</c:v>
                </c:pt>
              </c:strCache>
            </c:strRef>
          </c:cat>
          <c:val>
            <c:numRef>
              <c:f>'Wykres 25 | A'!$C$17:$BH$17</c:f>
              <c:numCache>
                <c:formatCode>0.0</c:formatCode>
                <c:ptCount val="58"/>
                <c:pt idx="0">
                  <c:v>83.419689119170982</c:v>
                </c:pt>
                <c:pt idx="1">
                  <c:v>79.565217391304344</c:v>
                </c:pt>
                <c:pt idx="2">
                  <c:v>82.775119617224874</c:v>
                </c:pt>
                <c:pt idx="3">
                  <c:v>88.888888888888886</c:v>
                </c:pt>
                <c:pt idx="4">
                  <c:v>88.177339901477836</c:v>
                </c:pt>
                <c:pt idx="5">
                  <c:v>86.71875</c:v>
                </c:pt>
                <c:pt idx="6">
                  <c:v>89.767441860465112</c:v>
                </c:pt>
                <c:pt idx="7">
                  <c:v>87.747035573122531</c:v>
                </c:pt>
                <c:pt idx="8">
                  <c:v>87.5</c:v>
                </c:pt>
                <c:pt idx="9">
                  <c:v>86.919831223628691</c:v>
                </c:pt>
                <c:pt idx="10">
                  <c:v>88.63636363636364</c:v>
                </c:pt>
                <c:pt idx="11">
                  <c:v>86.909090909090907</c:v>
                </c:pt>
                <c:pt idx="12">
                  <c:v>86.54708520179372</c:v>
                </c:pt>
                <c:pt idx="13">
                  <c:v>89.732142857142861</c:v>
                </c:pt>
                <c:pt idx="14">
                  <c:v>85.840707964601776</c:v>
                </c:pt>
                <c:pt idx="15">
                  <c:v>81.415929203539818</c:v>
                </c:pt>
                <c:pt idx="16">
                  <c:v>66.666666666666671</c:v>
                </c:pt>
                <c:pt idx="17">
                  <c:v>70.689655172413794</c:v>
                </c:pt>
                <c:pt idx="18">
                  <c:v>70.901639344262293</c:v>
                </c:pt>
                <c:pt idx="19">
                  <c:v>80.751173708920192</c:v>
                </c:pt>
                <c:pt idx="20">
                  <c:v>76.328502415458942</c:v>
                </c:pt>
                <c:pt idx="21">
                  <c:v>79.324894514767934</c:v>
                </c:pt>
                <c:pt idx="22">
                  <c:v>84.232365145228215</c:v>
                </c:pt>
                <c:pt idx="23">
                  <c:v>83.333333333333329</c:v>
                </c:pt>
                <c:pt idx="24">
                  <c:v>83.5</c:v>
                </c:pt>
                <c:pt idx="25">
                  <c:v>81.3</c:v>
                </c:pt>
                <c:pt idx="26">
                  <c:v>88.6</c:v>
                </c:pt>
                <c:pt idx="27">
                  <c:v>89.9</c:v>
                </c:pt>
                <c:pt idx="28">
                  <c:v>86.6</c:v>
                </c:pt>
                <c:pt idx="29">
                  <c:v>83.8</c:v>
                </c:pt>
                <c:pt idx="30">
                  <c:v>81.599999999999994</c:v>
                </c:pt>
                <c:pt idx="31">
                  <c:v>83.6</c:v>
                </c:pt>
                <c:pt idx="32">
                  <c:v>81.900000000000006</c:v>
                </c:pt>
                <c:pt idx="33">
                  <c:v>83.9</c:v>
                </c:pt>
                <c:pt idx="34">
                  <c:v>84.9</c:v>
                </c:pt>
                <c:pt idx="35">
                  <c:v>89.1</c:v>
                </c:pt>
                <c:pt idx="36">
                  <c:v>91.7</c:v>
                </c:pt>
                <c:pt idx="37">
                  <c:v>91.04</c:v>
                </c:pt>
                <c:pt idx="38">
                  <c:v>87</c:v>
                </c:pt>
                <c:pt idx="39">
                  <c:v>89.1</c:v>
                </c:pt>
                <c:pt idx="40">
                  <c:v>87.5</c:v>
                </c:pt>
                <c:pt idx="41">
                  <c:v>87.4</c:v>
                </c:pt>
                <c:pt idx="42">
                  <c:v>87.22</c:v>
                </c:pt>
                <c:pt idx="43">
                  <c:v>87.2</c:v>
                </c:pt>
                <c:pt idx="44">
                  <c:v>84.79</c:v>
                </c:pt>
                <c:pt idx="45">
                  <c:v>87.8</c:v>
                </c:pt>
                <c:pt idx="46">
                  <c:v>87.73</c:v>
                </c:pt>
                <c:pt idx="47" formatCode="General">
                  <c:v>88.3</c:v>
                </c:pt>
                <c:pt idx="48">
                  <c:v>89.7</c:v>
                </c:pt>
                <c:pt idx="49" formatCode="General">
                  <c:v>90.6</c:v>
                </c:pt>
                <c:pt idx="50" formatCode="General">
                  <c:v>86.2</c:v>
                </c:pt>
                <c:pt idx="51">
                  <c:v>81.36</c:v>
                </c:pt>
                <c:pt idx="52" formatCode="General">
                  <c:v>81</c:v>
                </c:pt>
                <c:pt idx="53" formatCode="General">
                  <c:v>84.3</c:v>
                </c:pt>
                <c:pt idx="54" formatCode="General">
                  <c:v>83.6</c:v>
                </c:pt>
                <c:pt idx="55" formatCode="General">
                  <c:v>82.9</c:v>
                </c:pt>
                <c:pt idx="56" formatCode="General">
                  <c:v>82</c:v>
                </c:pt>
                <c:pt idx="57" formatCode="General">
                  <c:v>82</c:v>
                </c:pt>
              </c:numCache>
            </c:numRef>
          </c:val>
          <c:smooth val="0"/>
          <c:extLst>
            <c:ext xmlns:c16="http://schemas.microsoft.com/office/drawing/2014/chart" uri="{C3380CC4-5D6E-409C-BE32-E72D297353CC}">
              <c16:uniqueId val="{0000000E-708E-4359-B4E3-4D090CDF188A}"/>
            </c:ext>
          </c:extLst>
        </c:ser>
        <c:dLbls>
          <c:showLegendKey val="0"/>
          <c:showVal val="0"/>
          <c:showCatName val="0"/>
          <c:showSerName val="0"/>
          <c:showPercent val="0"/>
          <c:showBubbleSize val="0"/>
        </c:dLbls>
        <c:marker val="1"/>
        <c:smooth val="0"/>
        <c:axId val="268223616"/>
        <c:axId val="268225152"/>
      </c:lineChart>
      <c:lineChart>
        <c:grouping val="standard"/>
        <c:varyColors val="0"/>
        <c:ser>
          <c:idx val="14"/>
          <c:order val="14"/>
          <c:tx>
            <c:strRef>
              <c:f>'Wykres 25 | A'!$B$16</c:f>
              <c:strCache>
                <c:ptCount val="1"/>
                <c:pt idx="0">
                  <c:v>Odsetek przedsiębiorstw ubiegających się o kredyt (prawa oś)</c:v>
                </c:pt>
              </c:strCache>
            </c:strRef>
          </c:tx>
          <c:spPr>
            <a:ln w="50800">
              <a:solidFill>
                <a:srgbClr val="C00000"/>
              </a:solidFill>
            </a:ln>
          </c:spPr>
          <c:marker>
            <c:symbol val="none"/>
          </c:marker>
          <c:cat>
            <c:strRef>
              <c:f>'Wykres 25 | A'!$C$1:$BH$1</c:f>
              <c:strCache>
                <c:ptCount val="58"/>
                <c:pt idx="0">
                  <c:v>2005</c:v>
                </c:pt>
                <c:pt idx="1">
                  <c:v>II-05</c:v>
                </c:pt>
                <c:pt idx="2">
                  <c:v>III-05</c:v>
                </c:pt>
                <c:pt idx="3">
                  <c:v>IV-05</c:v>
                </c:pt>
                <c:pt idx="4">
                  <c:v>2006</c:v>
                </c:pt>
                <c:pt idx="5">
                  <c:v>II-06</c:v>
                </c:pt>
                <c:pt idx="6">
                  <c:v>III-06</c:v>
                </c:pt>
                <c:pt idx="7">
                  <c:v>IV-06</c:v>
                </c:pt>
                <c:pt idx="8">
                  <c:v>2007</c:v>
                </c:pt>
                <c:pt idx="9">
                  <c:v>II-07</c:v>
                </c:pt>
                <c:pt idx="10">
                  <c:v>III-07</c:v>
                </c:pt>
                <c:pt idx="11">
                  <c:v>IV-07</c:v>
                </c:pt>
                <c:pt idx="12">
                  <c:v>2008</c:v>
                </c:pt>
                <c:pt idx="13">
                  <c:v>II-08</c:v>
                </c:pt>
                <c:pt idx="14">
                  <c:v>III-08</c:v>
                </c:pt>
                <c:pt idx="15">
                  <c:v>IV-08</c:v>
                </c:pt>
                <c:pt idx="16">
                  <c:v>2009</c:v>
                </c:pt>
                <c:pt idx="17">
                  <c:v>II-09</c:v>
                </c:pt>
                <c:pt idx="18">
                  <c:v>III-09</c:v>
                </c:pt>
                <c:pt idx="19">
                  <c:v>IV-09</c:v>
                </c:pt>
                <c:pt idx="20">
                  <c:v>2010</c:v>
                </c:pt>
                <c:pt idx="21">
                  <c:v>II-10</c:v>
                </c:pt>
                <c:pt idx="22">
                  <c:v>III-10</c:v>
                </c:pt>
                <c:pt idx="23">
                  <c:v>IV-10</c:v>
                </c:pt>
                <c:pt idx="24">
                  <c:v>2011</c:v>
                </c:pt>
                <c:pt idx="25">
                  <c:v>II-11</c:v>
                </c:pt>
                <c:pt idx="26">
                  <c:v>III-11</c:v>
                </c:pt>
                <c:pt idx="27">
                  <c:v>IV-11</c:v>
                </c:pt>
                <c:pt idx="28">
                  <c:v>2012</c:v>
                </c:pt>
                <c:pt idx="29">
                  <c:v>II-12</c:v>
                </c:pt>
                <c:pt idx="30">
                  <c:v>III-12</c:v>
                </c:pt>
                <c:pt idx="31">
                  <c:v>IV-12</c:v>
                </c:pt>
                <c:pt idx="32">
                  <c:v>2013</c:v>
                </c:pt>
                <c:pt idx="33">
                  <c:v>II-13</c:v>
                </c:pt>
                <c:pt idx="34">
                  <c:v>III-13</c:v>
                </c:pt>
                <c:pt idx="35">
                  <c:v>IV-13</c:v>
                </c:pt>
                <c:pt idx="36">
                  <c:v>2014</c:v>
                </c:pt>
                <c:pt idx="37">
                  <c:v>II-14</c:v>
                </c:pt>
                <c:pt idx="38">
                  <c:v>III-14</c:v>
                </c:pt>
                <c:pt idx="39">
                  <c:v>IV-14</c:v>
                </c:pt>
                <c:pt idx="40">
                  <c:v>2015</c:v>
                </c:pt>
                <c:pt idx="41">
                  <c:v>II-15</c:v>
                </c:pt>
                <c:pt idx="42">
                  <c:v>III-15</c:v>
                </c:pt>
                <c:pt idx="43">
                  <c:v>IV-15</c:v>
                </c:pt>
                <c:pt idx="44">
                  <c:v>2016</c:v>
                </c:pt>
                <c:pt idx="45">
                  <c:v>II-16</c:v>
                </c:pt>
                <c:pt idx="46">
                  <c:v>III-16</c:v>
                </c:pt>
                <c:pt idx="47">
                  <c:v>IV-16</c:v>
                </c:pt>
                <c:pt idx="48">
                  <c:v>2017</c:v>
                </c:pt>
                <c:pt idx="49">
                  <c:v>II-17</c:v>
                </c:pt>
                <c:pt idx="50">
                  <c:v>III-17</c:v>
                </c:pt>
                <c:pt idx="51">
                  <c:v>IV-17</c:v>
                </c:pt>
                <c:pt idx="52">
                  <c:v>2018</c:v>
                </c:pt>
                <c:pt idx="53">
                  <c:v>II-17</c:v>
                </c:pt>
                <c:pt idx="54">
                  <c:v>III-18</c:v>
                </c:pt>
                <c:pt idx="55">
                  <c:v>IV-18</c:v>
                </c:pt>
                <c:pt idx="56">
                  <c:v>I-19</c:v>
                </c:pt>
                <c:pt idx="57">
                  <c:v>II-19</c:v>
                </c:pt>
              </c:strCache>
            </c:strRef>
          </c:cat>
          <c:val>
            <c:numRef>
              <c:f>'Wykres 25 | A'!$C$16:$BH$16</c:f>
              <c:numCache>
                <c:formatCode>0.0</c:formatCode>
                <c:ptCount val="58"/>
                <c:pt idx="0">
                  <c:v>29.242424242424242</c:v>
                </c:pt>
                <c:pt idx="1">
                  <c:v>33.189033189033189</c:v>
                </c:pt>
                <c:pt idx="2">
                  <c:v>28.907330567081605</c:v>
                </c:pt>
                <c:pt idx="3">
                  <c:v>31.03448275862069</c:v>
                </c:pt>
                <c:pt idx="4">
                  <c:v>25.092707045735477</c:v>
                </c:pt>
                <c:pt idx="5">
                  <c:v>31.18148599269184</c:v>
                </c:pt>
                <c:pt idx="6">
                  <c:v>27.958387516254877</c:v>
                </c:pt>
                <c:pt idx="7">
                  <c:v>31.350681536555143</c:v>
                </c:pt>
                <c:pt idx="8">
                  <c:v>26.168224299065422</c:v>
                </c:pt>
                <c:pt idx="9">
                  <c:v>30.268199233716476</c:v>
                </c:pt>
                <c:pt idx="10">
                  <c:v>30.555555555555557</c:v>
                </c:pt>
                <c:pt idx="11">
                  <c:v>32.429245283018865</c:v>
                </c:pt>
                <c:pt idx="12">
                  <c:v>25.084364454443193</c:v>
                </c:pt>
                <c:pt idx="13">
                  <c:v>28.282828282828284</c:v>
                </c:pt>
                <c:pt idx="14">
                  <c:v>25.45045045045045</c:v>
                </c:pt>
                <c:pt idx="15">
                  <c:v>27.427184466019419</c:v>
                </c:pt>
                <c:pt idx="16">
                  <c:v>21.867881548974943</c:v>
                </c:pt>
                <c:pt idx="17">
                  <c:v>28.361858190709047</c:v>
                </c:pt>
                <c:pt idx="18">
                  <c:v>27.415730337078653</c:v>
                </c:pt>
                <c:pt idx="19">
                  <c:v>25.088339222614842</c:v>
                </c:pt>
                <c:pt idx="20">
                  <c:v>20.195121951219512</c:v>
                </c:pt>
                <c:pt idx="21">
                  <c:v>23.891129032258064</c:v>
                </c:pt>
                <c:pt idx="22">
                  <c:v>24.221105527638191</c:v>
                </c:pt>
                <c:pt idx="23">
                  <c:v>23.214285714285715</c:v>
                </c:pt>
                <c:pt idx="24">
                  <c:v>19.8</c:v>
                </c:pt>
                <c:pt idx="25">
                  <c:v>23</c:v>
                </c:pt>
                <c:pt idx="26">
                  <c:v>22.4</c:v>
                </c:pt>
                <c:pt idx="27">
                  <c:v>21.9</c:v>
                </c:pt>
                <c:pt idx="28">
                  <c:v>18.399999999999999</c:v>
                </c:pt>
                <c:pt idx="29">
                  <c:v>22.3</c:v>
                </c:pt>
                <c:pt idx="30">
                  <c:v>20.399999999999999</c:v>
                </c:pt>
                <c:pt idx="31">
                  <c:v>21.6</c:v>
                </c:pt>
                <c:pt idx="32">
                  <c:v>16.7</c:v>
                </c:pt>
                <c:pt idx="33">
                  <c:v>20.8</c:v>
                </c:pt>
                <c:pt idx="34">
                  <c:v>19.3</c:v>
                </c:pt>
                <c:pt idx="35">
                  <c:v>20.2</c:v>
                </c:pt>
                <c:pt idx="36">
                  <c:v>18.7</c:v>
                </c:pt>
                <c:pt idx="37">
                  <c:v>20.079999999999998</c:v>
                </c:pt>
                <c:pt idx="38">
                  <c:v>18.600000000000001</c:v>
                </c:pt>
                <c:pt idx="39">
                  <c:v>20.5</c:v>
                </c:pt>
                <c:pt idx="40">
                  <c:v>17</c:v>
                </c:pt>
                <c:pt idx="41">
                  <c:v>19.399999999999999</c:v>
                </c:pt>
                <c:pt idx="42">
                  <c:v>18.619</c:v>
                </c:pt>
                <c:pt idx="43">
                  <c:v>19.2</c:v>
                </c:pt>
                <c:pt idx="44">
                  <c:v>14.05</c:v>
                </c:pt>
                <c:pt idx="45">
                  <c:v>17.3</c:v>
                </c:pt>
                <c:pt idx="46">
                  <c:v>16.03</c:v>
                </c:pt>
                <c:pt idx="47">
                  <c:v>18</c:v>
                </c:pt>
                <c:pt idx="48">
                  <c:v>14.4</c:v>
                </c:pt>
                <c:pt idx="49">
                  <c:v>16.3</c:v>
                </c:pt>
                <c:pt idx="50">
                  <c:v>15.85</c:v>
                </c:pt>
                <c:pt idx="51">
                  <c:v>19.47</c:v>
                </c:pt>
                <c:pt idx="52">
                  <c:v>14.9</c:v>
                </c:pt>
                <c:pt idx="53">
                  <c:v>17</c:v>
                </c:pt>
                <c:pt idx="54">
                  <c:v>16.5</c:v>
                </c:pt>
                <c:pt idx="55">
                  <c:v>18.3</c:v>
                </c:pt>
                <c:pt idx="56">
                  <c:v>15</c:v>
                </c:pt>
                <c:pt idx="57">
                  <c:v>17</c:v>
                </c:pt>
              </c:numCache>
            </c:numRef>
          </c:val>
          <c:smooth val="0"/>
          <c:extLst>
            <c:ext xmlns:c16="http://schemas.microsoft.com/office/drawing/2014/chart" uri="{C3380CC4-5D6E-409C-BE32-E72D297353CC}">
              <c16:uniqueId val="{0000000F-708E-4359-B4E3-4D090CDF188A}"/>
            </c:ext>
          </c:extLst>
        </c:ser>
        <c:dLbls>
          <c:showLegendKey val="0"/>
          <c:showVal val="0"/>
          <c:showCatName val="0"/>
          <c:showSerName val="0"/>
          <c:showPercent val="0"/>
          <c:showBubbleSize val="0"/>
        </c:dLbls>
        <c:marker val="1"/>
        <c:smooth val="0"/>
        <c:axId val="268236672"/>
        <c:axId val="268235136"/>
      </c:lineChart>
      <c:catAx>
        <c:axId val="268223616"/>
        <c:scaling>
          <c:orientation val="minMax"/>
        </c:scaling>
        <c:delete val="0"/>
        <c:axPos val="b"/>
        <c:numFmt formatCode="General" sourceLinked="0"/>
        <c:majorTickMark val="out"/>
        <c:minorTickMark val="none"/>
        <c:tickLblPos val="nextTo"/>
        <c:crossAx val="268225152"/>
        <c:crosses val="autoZero"/>
        <c:auto val="1"/>
        <c:lblAlgn val="ctr"/>
        <c:lblOffset val="100"/>
        <c:noMultiLvlLbl val="0"/>
      </c:catAx>
      <c:valAx>
        <c:axId val="268225152"/>
        <c:scaling>
          <c:orientation val="minMax"/>
        </c:scaling>
        <c:delete val="0"/>
        <c:axPos val="l"/>
        <c:majorGridlines/>
        <c:numFmt formatCode="0" sourceLinked="0"/>
        <c:majorTickMark val="out"/>
        <c:minorTickMark val="none"/>
        <c:tickLblPos val="nextTo"/>
        <c:crossAx val="268223616"/>
        <c:crosses val="autoZero"/>
        <c:crossBetween val="between"/>
      </c:valAx>
      <c:valAx>
        <c:axId val="268235136"/>
        <c:scaling>
          <c:orientation val="minMax"/>
        </c:scaling>
        <c:delete val="0"/>
        <c:axPos val="r"/>
        <c:numFmt formatCode="0" sourceLinked="0"/>
        <c:majorTickMark val="out"/>
        <c:minorTickMark val="none"/>
        <c:tickLblPos val="nextTo"/>
        <c:crossAx val="268236672"/>
        <c:crosses val="max"/>
        <c:crossBetween val="between"/>
      </c:valAx>
      <c:catAx>
        <c:axId val="268236672"/>
        <c:scaling>
          <c:orientation val="minMax"/>
        </c:scaling>
        <c:delete val="1"/>
        <c:axPos val="b"/>
        <c:numFmt formatCode="General" sourceLinked="1"/>
        <c:majorTickMark val="out"/>
        <c:minorTickMark val="none"/>
        <c:tickLblPos val="nextTo"/>
        <c:crossAx val="268235136"/>
        <c:crosses val="autoZero"/>
        <c:auto val="1"/>
        <c:lblAlgn val="ctr"/>
        <c:lblOffset val="100"/>
        <c:noMultiLvlLbl val="0"/>
      </c:catAx>
    </c:plotArea>
    <c:legend>
      <c:legendPos val="b"/>
      <c:layout>
        <c:manualLayout>
          <c:xMode val="edge"/>
          <c:yMode val="edge"/>
          <c:x val="4.6124141397218966E-2"/>
          <c:y val="0.83588719014172719"/>
          <c:w val="0.91245015915563743"/>
          <c:h val="0.13553303024973398"/>
        </c:manualLayout>
      </c:layout>
      <c:overlay val="0"/>
      <c:txPr>
        <a:bodyPr/>
        <a:lstStyle/>
        <a:p>
          <a:pPr>
            <a:defRPr sz="1200"/>
          </a:pPr>
          <a:endParaRPr lang="pl-PL"/>
        </a:p>
      </c:txPr>
    </c:legend>
    <c:plotVisOnly val="1"/>
    <c:dispBlanksAs val="gap"/>
    <c:showDLblsOverMax val="0"/>
  </c:chart>
  <c:spPr>
    <a:noFill/>
    <a:ln>
      <a:noFill/>
    </a:ln>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0795473583210214E-2"/>
          <c:y val="4.6551460589135042E-2"/>
          <c:w val="0.82960338978978021"/>
          <c:h val="0.66428237889833819"/>
        </c:manualLayout>
      </c:layout>
      <c:lineChart>
        <c:grouping val="standard"/>
        <c:varyColors val="0"/>
        <c:ser>
          <c:idx val="0"/>
          <c:order val="0"/>
          <c:tx>
            <c:strRef>
              <c:f>'Wykres 25 | B'!$B$2</c:f>
              <c:strCache>
                <c:ptCount val="1"/>
                <c:pt idx="0">
                  <c:v>Wskaźnik bieżącej oceny sytuacji ekonomicznej </c:v>
                </c:pt>
              </c:strCache>
            </c:strRef>
          </c:tx>
          <c:cat>
            <c:strRef>
              <c:f>'Wykres 25 | B'!$C$1:$BY$1</c:f>
              <c:strCache>
                <c:ptCount val="75"/>
                <c:pt idx="0">
                  <c:v>2001</c:v>
                </c:pt>
                <c:pt idx="1">
                  <c:v>II-01</c:v>
                </c:pt>
                <c:pt idx="2">
                  <c:v>III-01</c:v>
                </c:pt>
                <c:pt idx="3">
                  <c:v>IV-01</c:v>
                </c:pt>
                <c:pt idx="4">
                  <c:v>2002</c:v>
                </c:pt>
                <c:pt idx="5">
                  <c:v>II-02</c:v>
                </c:pt>
                <c:pt idx="6">
                  <c:v>III-02</c:v>
                </c:pt>
                <c:pt idx="7">
                  <c:v>IV-02</c:v>
                </c:pt>
                <c:pt idx="8">
                  <c:v>2003</c:v>
                </c:pt>
                <c:pt idx="9">
                  <c:v>II-03</c:v>
                </c:pt>
                <c:pt idx="10">
                  <c:v>III-03</c:v>
                </c:pt>
                <c:pt idx="11">
                  <c:v>IV-03</c:v>
                </c:pt>
                <c:pt idx="12">
                  <c:v>2004</c:v>
                </c:pt>
                <c:pt idx="13">
                  <c:v>II-04</c:v>
                </c:pt>
                <c:pt idx="14">
                  <c:v>III-04</c:v>
                </c:pt>
                <c:pt idx="15">
                  <c:v>IV-04</c:v>
                </c:pt>
                <c:pt idx="16">
                  <c:v>2005</c:v>
                </c:pt>
                <c:pt idx="17">
                  <c:v>II-05</c:v>
                </c:pt>
                <c:pt idx="18">
                  <c:v>III-05</c:v>
                </c:pt>
                <c:pt idx="19">
                  <c:v>IV-05</c:v>
                </c:pt>
                <c:pt idx="20">
                  <c:v>2006</c:v>
                </c:pt>
                <c:pt idx="21">
                  <c:v>II-06</c:v>
                </c:pt>
                <c:pt idx="22">
                  <c:v>III-06</c:v>
                </c:pt>
                <c:pt idx="23">
                  <c:v>IV-06</c:v>
                </c:pt>
                <c:pt idx="24">
                  <c:v>2007</c:v>
                </c:pt>
                <c:pt idx="25">
                  <c:v>II-07</c:v>
                </c:pt>
                <c:pt idx="26">
                  <c:v>III-07</c:v>
                </c:pt>
                <c:pt idx="27">
                  <c:v>IV-07</c:v>
                </c:pt>
                <c:pt idx="28">
                  <c:v>2008</c:v>
                </c:pt>
                <c:pt idx="29">
                  <c:v>II-08</c:v>
                </c:pt>
                <c:pt idx="30">
                  <c:v>III-08</c:v>
                </c:pt>
                <c:pt idx="31">
                  <c:v>IV-08</c:v>
                </c:pt>
                <c:pt idx="32">
                  <c:v>2009</c:v>
                </c:pt>
                <c:pt idx="33">
                  <c:v>II-09</c:v>
                </c:pt>
                <c:pt idx="34">
                  <c:v>III-09</c:v>
                </c:pt>
                <c:pt idx="35">
                  <c:v>IV-09</c:v>
                </c:pt>
                <c:pt idx="36">
                  <c:v>2010</c:v>
                </c:pt>
                <c:pt idx="37">
                  <c:v>II-10</c:v>
                </c:pt>
                <c:pt idx="38">
                  <c:v>III-10</c:v>
                </c:pt>
                <c:pt idx="39">
                  <c:v>IV-10</c:v>
                </c:pt>
                <c:pt idx="40">
                  <c:v>2011</c:v>
                </c:pt>
                <c:pt idx="41">
                  <c:v>II-11</c:v>
                </c:pt>
                <c:pt idx="42">
                  <c:v>III-11</c:v>
                </c:pt>
                <c:pt idx="43">
                  <c:v>IV-11</c:v>
                </c:pt>
                <c:pt idx="44">
                  <c:v>2012</c:v>
                </c:pt>
                <c:pt idx="45">
                  <c:v>II-12</c:v>
                </c:pt>
                <c:pt idx="46">
                  <c:v>III-12</c:v>
                </c:pt>
                <c:pt idx="47">
                  <c:v>IV-12</c:v>
                </c:pt>
                <c:pt idx="48">
                  <c:v>2013</c:v>
                </c:pt>
                <c:pt idx="49">
                  <c:v>II-13</c:v>
                </c:pt>
                <c:pt idx="50">
                  <c:v>III-13</c:v>
                </c:pt>
                <c:pt idx="51">
                  <c:v>IV-13</c:v>
                </c:pt>
                <c:pt idx="52">
                  <c:v>2014</c:v>
                </c:pt>
                <c:pt idx="53">
                  <c:v>II-14</c:v>
                </c:pt>
                <c:pt idx="54">
                  <c:v>III-14</c:v>
                </c:pt>
                <c:pt idx="55">
                  <c:v>IV-14</c:v>
                </c:pt>
                <c:pt idx="56">
                  <c:v>2015</c:v>
                </c:pt>
                <c:pt idx="57">
                  <c:v>II-15</c:v>
                </c:pt>
                <c:pt idx="58">
                  <c:v>III-15</c:v>
                </c:pt>
                <c:pt idx="59">
                  <c:v>IV-15</c:v>
                </c:pt>
                <c:pt idx="60">
                  <c:v>2016</c:v>
                </c:pt>
                <c:pt idx="61">
                  <c:v>II-16</c:v>
                </c:pt>
                <c:pt idx="62">
                  <c:v>III-16</c:v>
                </c:pt>
                <c:pt idx="63">
                  <c:v>IV-16</c:v>
                </c:pt>
                <c:pt idx="64">
                  <c:v>2017</c:v>
                </c:pt>
                <c:pt idx="65">
                  <c:v>II-17</c:v>
                </c:pt>
                <c:pt idx="66">
                  <c:v>III-17</c:v>
                </c:pt>
                <c:pt idx="67">
                  <c:v>IV-17</c:v>
                </c:pt>
                <c:pt idx="68">
                  <c:v>2018</c:v>
                </c:pt>
                <c:pt idx="69">
                  <c:v>II-17</c:v>
                </c:pt>
                <c:pt idx="70">
                  <c:v>III-18</c:v>
                </c:pt>
                <c:pt idx="71">
                  <c:v>IV-18</c:v>
                </c:pt>
                <c:pt idx="72">
                  <c:v>I-19</c:v>
                </c:pt>
                <c:pt idx="73">
                  <c:v>II-19</c:v>
                </c:pt>
                <c:pt idx="74">
                  <c:v>III-19</c:v>
                </c:pt>
              </c:strCache>
            </c:strRef>
          </c:cat>
          <c:val>
            <c:numRef>
              <c:f>'Wykres 25 | B'!$C$2:$BY$2</c:f>
            </c:numRef>
          </c:val>
          <c:smooth val="0"/>
          <c:extLst>
            <c:ext xmlns:c16="http://schemas.microsoft.com/office/drawing/2014/chart" uri="{C3380CC4-5D6E-409C-BE32-E72D297353CC}">
              <c16:uniqueId val="{00000000-9D4B-49B7-88B4-460392E7045B}"/>
            </c:ext>
          </c:extLst>
        </c:ser>
        <c:ser>
          <c:idx val="1"/>
          <c:order val="1"/>
          <c:tx>
            <c:strRef>
              <c:f>'Wykres 25 | B'!$B$3</c:f>
              <c:strCache>
                <c:ptCount val="1"/>
                <c:pt idx="0">
                  <c:v>Wskaźnik prognoz sytuacji ekonomicznej przedsiębiorstw </c:v>
                </c:pt>
              </c:strCache>
            </c:strRef>
          </c:tx>
          <c:cat>
            <c:strRef>
              <c:f>'Wykres 25 | B'!$C$1:$BY$1</c:f>
              <c:strCache>
                <c:ptCount val="75"/>
                <c:pt idx="0">
                  <c:v>2001</c:v>
                </c:pt>
                <c:pt idx="1">
                  <c:v>II-01</c:v>
                </c:pt>
                <c:pt idx="2">
                  <c:v>III-01</c:v>
                </c:pt>
                <c:pt idx="3">
                  <c:v>IV-01</c:v>
                </c:pt>
                <c:pt idx="4">
                  <c:v>2002</c:v>
                </c:pt>
                <c:pt idx="5">
                  <c:v>II-02</c:v>
                </c:pt>
                <c:pt idx="6">
                  <c:v>III-02</c:v>
                </c:pt>
                <c:pt idx="7">
                  <c:v>IV-02</c:v>
                </c:pt>
                <c:pt idx="8">
                  <c:v>2003</c:v>
                </c:pt>
                <c:pt idx="9">
                  <c:v>II-03</c:v>
                </c:pt>
                <c:pt idx="10">
                  <c:v>III-03</c:v>
                </c:pt>
                <c:pt idx="11">
                  <c:v>IV-03</c:v>
                </c:pt>
                <c:pt idx="12">
                  <c:v>2004</c:v>
                </c:pt>
                <c:pt idx="13">
                  <c:v>II-04</c:v>
                </c:pt>
                <c:pt idx="14">
                  <c:v>III-04</c:v>
                </c:pt>
                <c:pt idx="15">
                  <c:v>IV-04</c:v>
                </c:pt>
                <c:pt idx="16">
                  <c:v>2005</c:v>
                </c:pt>
                <c:pt idx="17">
                  <c:v>II-05</c:v>
                </c:pt>
                <c:pt idx="18">
                  <c:v>III-05</c:v>
                </c:pt>
                <c:pt idx="19">
                  <c:v>IV-05</c:v>
                </c:pt>
                <c:pt idx="20">
                  <c:v>2006</c:v>
                </c:pt>
                <c:pt idx="21">
                  <c:v>II-06</c:v>
                </c:pt>
                <c:pt idx="22">
                  <c:v>III-06</c:v>
                </c:pt>
                <c:pt idx="23">
                  <c:v>IV-06</c:v>
                </c:pt>
                <c:pt idx="24">
                  <c:v>2007</c:v>
                </c:pt>
                <c:pt idx="25">
                  <c:v>II-07</c:v>
                </c:pt>
                <c:pt idx="26">
                  <c:v>III-07</c:v>
                </c:pt>
                <c:pt idx="27">
                  <c:v>IV-07</c:v>
                </c:pt>
                <c:pt idx="28">
                  <c:v>2008</c:v>
                </c:pt>
                <c:pt idx="29">
                  <c:v>II-08</c:v>
                </c:pt>
                <c:pt idx="30">
                  <c:v>III-08</c:v>
                </c:pt>
                <c:pt idx="31">
                  <c:v>IV-08</c:v>
                </c:pt>
                <c:pt idx="32">
                  <c:v>2009</c:v>
                </c:pt>
                <c:pt idx="33">
                  <c:v>II-09</c:v>
                </c:pt>
                <c:pt idx="34">
                  <c:v>III-09</c:v>
                </c:pt>
                <c:pt idx="35">
                  <c:v>IV-09</c:v>
                </c:pt>
                <c:pt idx="36">
                  <c:v>2010</c:v>
                </c:pt>
                <c:pt idx="37">
                  <c:v>II-10</c:v>
                </c:pt>
                <c:pt idx="38">
                  <c:v>III-10</c:v>
                </c:pt>
                <c:pt idx="39">
                  <c:v>IV-10</c:v>
                </c:pt>
                <c:pt idx="40">
                  <c:v>2011</c:v>
                </c:pt>
                <c:pt idx="41">
                  <c:v>II-11</c:v>
                </c:pt>
                <c:pt idx="42">
                  <c:v>III-11</c:v>
                </c:pt>
                <c:pt idx="43">
                  <c:v>IV-11</c:v>
                </c:pt>
                <c:pt idx="44">
                  <c:v>2012</c:v>
                </c:pt>
                <c:pt idx="45">
                  <c:v>II-12</c:v>
                </c:pt>
                <c:pt idx="46">
                  <c:v>III-12</c:v>
                </c:pt>
                <c:pt idx="47">
                  <c:v>IV-12</c:v>
                </c:pt>
                <c:pt idx="48">
                  <c:v>2013</c:v>
                </c:pt>
                <c:pt idx="49">
                  <c:v>II-13</c:v>
                </c:pt>
                <c:pt idx="50">
                  <c:v>III-13</c:v>
                </c:pt>
                <c:pt idx="51">
                  <c:v>IV-13</c:v>
                </c:pt>
                <c:pt idx="52">
                  <c:v>2014</c:v>
                </c:pt>
                <c:pt idx="53">
                  <c:v>II-14</c:v>
                </c:pt>
                <c:pt idx="54">
                  <c:v>III-14</c:v>
                </c:pt>
                <c:pt idx="55">
                  <c:v>IV-14</c:v>
                </c:pt>
                <c:pt idx="56">
                  <c:v>2015</c:v>
                </c:pt>
                <c:pt idx="57">
                  <c:v>II-15</c:v>
                </c:pt>
                <c:pt idx="58">
                  <c:v>III-15</c:v>
                </c:pt>
                <c:pt idx="59">
                  <c:v>IV-15</c:v>
                </c:pt>
                <c:pt idx="60">
                  <c:v>2016</c:v>
                </c:pt>
                <c:pt idx="61">
                  <c:v>II-16</c:v>
                </c:pt>
                <c:pt idx="62">
                  <c:v>III-16</c:v>
                </c:pt>
                <c:pt idx="63">
                  <c:v>IV-16</c:v>
                </c:pt>
                <c:pt idx="64">
                  <c:v>2017</c:v>
                </c:pt>
                <c:pt idx="65">
                  <c:v>II-17</c:v>
                </c:pt>
                <c:pt idx="66">
                  <c:v>III-17</c:v>
                </c:pt>
                <c:pt idx="67">
                  <c:v>IV-17</c:v>
                </c:pt>
                <c:pt idx="68">
                  <c:v>2018</c:v>
                </c:pt>
                <c:pt idx="69">
                  <c:v>II-17</c:v>
                </c:pt>
                <c:pt idx="70">
                  <c:v>III-18</c:v>
                </c:pt>
                <c:pt idx="71">
                  <c:v>IV-18</c:v>
                </c:pt>
                <c:pt idx="72">
                  <c:v>I-19</c:v>
                </c:pt>
                <c:pt idx="73">
                  <c:v>II-19</c:v>
                </c:pt>
                <c:pt idx="74">
                  <c:v>III-19</c:v>
                </c:pt>
              </c:strCache>
            </c:strRef>
          </c:cat>
          <c:val>
            <c:numRef>
              <c:f>'Wykres 25 | B'!$C$3:$BY$3</c:f>
            </c:numRef>
          </c:val>
          <c:smooth val="0"/>
          <c:extLst>
            <c:ext xmlns:c16="http://schemas.microsoft.com/office/drawing/2014/chart" uri="{C3380CC4-5D6E-409C-BE32-E72D297353CC}">
              <c16:uniqueId val="{00000001-9D4B-49B7-88B4-460392E7045B}"/>
            </c:ext>
          </c:extLst>
        </c:ser>
        <c:ser>
          <c:idx val="2"/>
          <c:order val="2"/>
          <c:tx>
            <c:strRef>
              <c:f>'Wykres 25 | B'!$B$4</c:f>
              <c:strCache>
                <c:ptCount val="1"/>
                <c:pt idx="0">
                  <c:v>Wskaźnik rocznych prognoz sytuacji ekonomicznej</c:v>
                </c:pt>
              </c:strCache>
            </c:strRef>
          </c:tx>
          <c:cat>
            <c:strRef>
              <c:f>'Wykres 25 | B'!$C$1:$BY$1</c:f>
              <c:strCache>
                <c:ptCount val="75"/>
                <c:pt idx="0">
                  <c:v>2001</c:v>
                </c:pt>
                <c:pt idx="1">
                  <c:v>II-01</c:v>
                </c:pt>
                <c:pt idx="2">
                  <c:v>III-01</c:v>
                </c:pt>
                <c:pt idx="3">
                  <c:v>IV-01</c:v>
                </c:pt>
                <c:pt idx="4">
                  <c:v>2002</c:v>
                </c:pt>
                <c:pt idx="5">
                  <c:v>II-02</c:v>
                </c:pt>
                <c:pt idx="6">
                  <c:v>III-02</c:v>
                </c:pt>
                <c:pt idx="7">
                  <c:v>IV-02</c:v>
                </c:pt>
                <c:pt idx="8">
                  <c:v>2003</c:v>
                </c:pt>
                <c:pt idx="9">
                  <c:v>II-03</c:v>
                </c:pt>
                <c:pt idx="10">
                  <c:v>III-03</c:v>
                </c:pt>
                <c:pt idx="11">
                  <c:v>IV-03</c:v>
                </c:pt>
                <c:pt idx="12">
                  <c:v>2004</c:v>
                </c:pt>
                <c:pt idx="13">
                  <c:v>II-04</c:v>
                </c:pt>
                <c:pt idx="14">
                  <c:v>III-04</c:v>
                </c:pt>
                <c:pt idx="15">
                  <c:v>IV-04</c:v>
                </c:pt>
                <c:pt idx="16">
                  <c:v>2005</c:v>
                </c:pt>
                <c:pt idx="17">
                  <c:v>II-05</c:v>
                </c:pt>
                <c:pt idx="18">
                  <c:v>III-05</c:v>
                </c:pt>
                <c:pt idx="19">
                  <c:v>IV-05</c:v>
                </c:pt>
                <c:pt idx="20">
                  <c:v>2006</c:v>
                </c:pt>
                <c:pt idx="21">
                  <c:v>II-06</c:v>
                </c:pt>
                <c:pt idx="22">
                  <c:v>III-06</c:v>
                </c:pt>
                <c:pt idx="23">
                  <c:v>IV-06</c:v>
                </c:pt>
                <c:pt idx="24">
                  <c:v>2007</c:v>
                </c:pt>
                <c:pt idx="25">
                  <c:v>II-07</c:v>
                </c:pt>
                <c:pt idx="26">
                  <c:v>III-07</c:v>
                </c:pt>
                <c:pt idx="27">
                  <c:v>IV-07</c:v>
                </c:pt>
                <c:pt idx="28">
                  <c:v>2008</c:v>
                </c:pt>
                <c:pt idx="29">
                  <c:v>II-08</c:v>
                </c:pt>
                <c:pt idx="30">
                  <c:v>III-08</c:v>
                </c:pt>
                <c:pt idx="31">
                  <c:v>IV-08</c:v>
                </c:pt>
                <c:pt idx="32">
                  <c:v>2009</c:v>
                </c:pt>
                <c:pt idx="33">
                  <c:v>II-09</c:v>
                </c:pt>
                <c:pt idx="34">
                  <c:v>III-09</c:v>
                </c:pt>
                <c:pt idx="35">
                  <c:v>IV-09</c:v>
                </c:pt>
                <c:pt idx="36">
                  <c:v>2010</c:v>
                </c:pt>
                <c:pt idx="37">
                  <c:v>II-10</c:v>
                </c:pt>
                <c:pt idx="38">
                  <c:v>III-10</c:v>
                </c:pt>
                <c:pt idx="39">
                  <c:v>IV-10</c:v>
                </c:pt>
                <c:pt idx="40">
                  <c:v>2011</c:v>
                </c:pt>
                <c:pt idx="41">
                  <c:v>II-11</c:v>
                </c:pt>
                <c:pt idx="42">
                  <c:v>III-11</c:v>
                </c:pt>
                <c:pt idx="43">
                  <c:v>IV-11</c:v>
                </c:pt>
                <c:pt idx="44">
                  <c:v>2012</c:v>
                </c:pt>
                <c:pt idx="45">
                  <c:v>II-12</c:v>
                </c:pt>
                <c:pt idx="46">
                  <c:v>III-12</c:v>
                </c:pt>
                <c:pt idx="47">
                  <c:v>IV-12</c:v>
                </c:pt>
                <c:pt idx="48">
                  <c:v>2013</c:v>
                </c:pt>
                <c:pt idx="49">
                  <c:v>II-13</c:v>
                </c:pt>
                <c:pt idx="50">
                  <c:v>III-13</c:v>
                </c:pt>
                <c:pt idx="51">
                  <c:v>IV-13</c:v>
                </c:pt>
                <c:pt idx="52">
                  <c:v>2014</c:v>
                </c:pt>
                <c:pt idx="53">
                  <c:v>II-14</c:v>
                </c:pt>
                <c:pt idx="54">
                  <c:v>III-14</c:v>
                </c:pt>
                <c:pt idx="55">
                  <c:v>IV-14</c:v>
                </c:pt>
                <c:pt idx="56">
                  <c:v>2015</c:v>
                </c:pt>
                <c:pt idx="57">
                  <c:v>II-15</c:v>
                </c:pt>
                <c:pt idx="58">
                  <c:v>III-15</c:v>
                </c:pt>
                <c:pt idx="59">
                  <c:v>IV-15</c:v>
                </c:pt>
                <c:pt idx="60">
                  <c:v>2016</c:v>
                </c:pt>
                <c:pt idx="61">
                  <c:v>II-16</c:v>
                </c:pt>
                <c:pt idx="62">
                  <c:v>III-16</c:v>
                </c:pt>
                <c:pt idx="63">
                  <c:v>IV-16</c:v>
                </c:pt>
                <c:pt idx="64">
                  <c:v>2017</c:v>
                </c:pt>
                <c:pt idx="65">
                  <c:v>II-17</c:v>
                </c:pt>
                <c:pt idx="66">
                  <c:v>III-17</c:v>
                </c:pt>
                <c:pt idx="67">
                  <c:v>IV-17</c:v>
                </c:pt>
                <c:pt idx="68">
                  <c:v>2018</c:v>
                </c:pt>
                <c:pt idx="69">
                  <c:v>II-17</c:v>
                </c:pt>
                <c:pt idx="70">
                  <c:v>III-18</c:v>
                </c:pt>
                <c:pt idx="71">
                  <c:v>IV-18</c:v>
                </c:pt>
                <c:pt idx="72">
                  <c:v>I-19</c:v>
                </c:pt>
                <c:pt idx="73">
                  <c:v>II-19</c:v>
                </c:pt>
                <c:pt idx="74">
                  <c:v>III-19</c:v>
                </c:pt>
              </c:strCache>
            </c:strRef>
          </c:cat>
          <c:val>
            <c:numRef>
              <c:f>'Wykres 25 | B'!$C$4:$BY$4</c:f>
            </c:numRef>
          </c:val>
          <c:smooth val="0"/>
          <c:extLst>
            <c:ext xmlns:c16="http://schemas.microsoft.com/office/drawing/2014/chart" uri="{C3380CC4-5D6E-409C-BE32-E72D297353CC}">
              <c16:uniqueId val="{00000002-9D4B-49B7-88B4-460392E7045B}"/>
            </c:ext>
          </c:extLst>
        </c:ser>
        <c:ser>
          <c:idx val="3"/>
          <c:order val="3"/>
          <c:tx>
            <c:strRef>
              <c:f>'Wykres 25 | B'!$B$5</c:f>
              <c:strCache>
                <c:ptCount val="1"/>
                <c:pt idx="0">
                  <c:v>Wskaźnik prognoz popytu</c:v>
                </c:pt>
              </c:strCache>
            </c:strRef>
          </c:tx>
          <c:cat>
            <c:strRef>
              <c:f>'Wykres 25 | B'!$C$1:$BY$1</c:f>
              <c:strCache>
                <c:ptCount val="75"/>
                <c:pt idx="0">
                  <c:v>2001</c:v>
                </c:pt>
                <c:pt idx="1">
                  <c:v>II-01</c:v>
                </c:pt>
                <c:pt idx="2">
                  <c:v>III-01</c:v>
                </c:pt>
                <c:pt idx="3">
                  <c:v>IV-01</c:v>
                </c:pt>
                <c:pt idx="4">
                  <c:v>2002</c:v>
                </c:pt>
                <c:pt idx="5">
                  <c:v>II-02</c:v>
                </c:pt>
                <c:pt idx="6">
                  <c:v>III-02</c:v>
                </c:pt>
                <c:pt idx="7">
                  <c:v>IV-02</c:v>
                </c:pt>
                <c:pt idx="8">
                  <c:v>2003</c:v>
                </c:pt>
                <c:pt idx="9">
                  <c:v>II-03</c:v>
                </c:pt>
                <c:pt idx="10">
                  <c:v>III-03</c:v>
                </c:pt>
                <c:pt idx="11">
                  <c:v>IV-03</c:v>
                </c:pt>
                <c:pt idx="12">
                  <c:v>2004</c:v>
                </c:pt>
                <c:pt idx="13">
                  <c:v>II-04</c:v>
                </c:pt>
                <c:pt idx="14">
                  <c:v>III-04</c:v>
                </c:pt>
                <c:pt idx="15">
                  <c:v>IV-04</c:v>
                </c:pt>
                <c:pt idx="16">
                  <c:v>2005</c:v>
                </c:pt>
                <c:pt idx="17">
                  <c:v>II-05</c:v>
                </c:pt>
                <c:pt idx="18">
                  <c:v>III-05</c:v>
                </c:pt>
                <c:pt idx="19">
                  <c:v>IV-05</c:v>
                </c:pt>
                <c:pt idx="20">
                  <c:v>2006</c:v>
                </c:pt>
                <c:pt idx="21">
                  <c:v>II-06</c:v>
                </c:pt>
                <c:pt idx="22">
                  <c:v>III-06</c:v>
                </c:pt>
                <c:pt idx="23">
                  <c:v>IV-06</c:v>
                </c:pt>
                <c:pt idx="24">
                  <c:v>2007</c:v>
                </c:pt>
                <c:pt idx="25">
                  <c:v>II-07</c:v>
                </c:pt>
                <c:pt idx="26">
                  <c:v>III-07</c:v>
                </c:pt>
                <c:pt idx="27">
                  <c:v>IV-07</c:v>
                </c:pt>
                <c:pt idx="28">
                  <c:v>2008</c:v>
                </c:pt>
                <c:pt idx="29">
                  <c:v>II-08</c:v>
                </c:pt>
                <c:pt idx="30">
                  <c:v>III-08</c:v>
                </c:pt>
                <c:pt idx="31">
                  <c:v>IV-08</c:v>
                </c:pt>
                <c:pt idx="32">
                  <c:v>2009</c:v>
                </c:pt>
                <c:pt idx="33">
                  <c:v>II-09</c:v>
                </c:pt>
                <c:pt idx="34">
                  <c:v>III-09</c:v>
                </c:pt>
                <c:pt idx="35">
                  <c:v>IV-09</c:v>
                </c:pt>
                <c:pt idx="36">
                  <c:v>2010</c:v>
                </c:pt>
                <c:pt idx="37">
                  <c:v>II-10</c:v>
                </c:pt>
                <c:pt idx="38">
                  <c:v>III-10</c:v>
                </c:pt>
                <c:pt idx="39">
                  <c:v>IV-10</c:v>
                </c:pt>
                <c:pt idx="40">
                  <c:v>2011</c:v>
                </c:pt>
                <c:pt idx="41">
                  <c:v>II-11</c:v>
                </c:pt>
                <c:pt idx="42">
                  <c:v>III-11</c:v>
                </c:pt>
                <c:pt idx="43">
                  <c:v>IV-11</c:v>
                </c:pt>
                <c:pt idx="44">
                  <c:v>2012</c:v>
                </c:pt>
                <c:pt idx="45">
                  <c:v>II-12</c:v>
                </c:pt>
                <c:pt idx="46">
                  <c:v>III-12</c:v>
                </c:pt>
                <c:pt idx="47">
                  <c:v>IV-12</c:v>
                </c:pt>
                <c:pt idx="48">
                  <c:v>2013</c:v>
                </c:pt>
                <c:pt idx="49">
                  <c:v>II-13</c:v>
                </c:pt>
                <c:pt idx="50">
                  <c:v>III-13</c:v>
                </c:pt>
                <c:pt idx="51">
                  <c:v>IV-13</c:v>
                </c:pt>
                <c:pt idx="52">
                  <c:v>2014</c:v>
                </c:pt>
                <c:pt idx="53">
                  <c:v>II-14</c:v>
                </c:pt>
                <c:pt idx="54">
                  <c:v>III-14</c:v>
                </c:pt>
                <c:pt idx="55">
                  <c:v>IV-14</c:v>
                </c:pt>
                <c:pt idx="56">
                  <c:v>2015</c:v>
                </c:pt>
                <c:pt idx="57">
                  <c:v>II-15</c:v>
                </c:pt>
                <c:pt idx="58">
                  <c:v>III-15</c:v>
                </c:pt>
                <c:pt idx="59">
                  <c:v>IV-15</c:v>
                </c:pt>
                <c:pt idx="60">
                  <c:v>2016</c:v>
                </c:pt>
                <c:pt idx="61">
                  <c:v>II-16</c:v>
                </c:pt>
                <c:pt idx="62">
                  <c:v>III-16</c:v>
                </c:pt>
                <c:pt idx="63">
                  <c:v>IV-16</c:v>
                </c:pt>
                <c:pt idx="64">
                  <c:v>2017</c:v>
                </c:pt>
                <c:pt idx="65">
                  <c:v>II-17</c:v>
                </c:pt>
                <c:pt idx="66">
                  <c:v>III-17</c:v>
                </c:pt>
                <c:pt idx="67">
                  <c:v>IV-17</c:v>
                </c:pt>
                <c:pt idx="68">
                  <c:v>2018</c:v>
                </c:pt>
                <c:pt idx="69">
                  <c:v>II-17</c:v>
                </c:pt>
                <c:pt idx="70">
                  <c:v>III-18</c:v>
                </c:pt>
                <c:pt idx="71">
                  <c:v>IV-18</c:v>
                </c:pt>
                <c:pt idx="72">
                  <c:v>I-19</c:v>
                </c:pt>
                <c:pt idx="73">
                  <c:v>II-19</c:v>
                </c:pt>
                <c:pt idx="74">
                  <c:v>III-19</c:v>
                </c:pt>
              </c:strCache>
            </c:strRef>
          </c:cat>
          <c:val>
            <c:numRef>
              <c:f>'Wykres 25 | B'!$C$5:$BY$5</c:f>
            </c:numRef>
          </c:val>
          <c:smooth val="0"/>
          <c:extLst>
            <c:ext xmlns:c16="http://schemas.microsoft.com/office/drawing/2014/chart" uri="{C3380CC4-5D6E-409C-BE32-E72D297353CC}">
              <c16:uniqueId val="{00000003-9D4B-49B7-88B4-460392E7045B}"/>
            </c:ext>
          </c:extLst>
        </c:ser>
        <c:ser>
          <c:idx val="4"/>
          <c:order val="4"/>
          <c:tx>
            <c:strRef>
              <c:f>'Wykres 25 | B'!$B$6</c:f>
              <c:strCache>
                <c:ptCount val="1"/>
                <c:pt idx="0">
                  <c:v>Wskaźnik nowych zamówień</c:v>
                </c:pt>
              </c:strCache>
            </c:strRef>
          </c:tx>
          <c:cat>
            <c:strRef>
              <c:f>'Wykres 25 | B'!$C$1:$BY$1</c:f>
              <c:strCache>
                <c:ptCount val="75"/>
                <c:pt idx="0">
                  <c:v>2001</c:v>
                </c:pt>
                <c:pt idx="1">
                  <c:v>II-01</c:v>
                </c:pt>
                <c:pt idx="2">
                  <c:v>III-01</c:v>
                </c:pt>
                <c:pt idx="3">
                  <c:v>IV-01</c:v>
                </c:pt>
                <c:pt idx="4">
                  <c:v>2002</c:v>
                </c:pt>
                <c:pt idx="5">
                  <c:v>II-02</c:v>
                </c:pt>
                <c:pt idx="6">
                  <c:v>III-02</c:v>
                </c:pt>
                <c:pt idx="7">
                  <c:v>IV-02</c:v>
                </c:pt>
                <c:pt idx="8">
                  <c:v>2003</c:v>
                </c:pt>
                <c:pt idx="9">
                  <c:v>II-03</c:v>
                </c:pt>
                <c:pt idx="10">
                  <c:v>III-03</c:v>
                </c:pt>
                <c:pt idx="11">
                  <c:v>IV-03</c:v>
                </c:pt>
                <c:pt idx="12">
                  <c:v>2004</c:v>
                </c:pt>
                <c:pt idx="13">
                  <c:v>II-04</c:v>
                </c:pt>
                <c:pt idx="14">
                  <c:v>III-04</c:v>
                </c:pt>
                <c:pt idx="15">
                  <c:v>IV-04</c:v>
                </c:pt>
                <c:pt idx="16">
                  <c:v>2005</c:v>
                </c:pt>
                <c:pt idx="17">
                  <c:v>II-05</c:v>
                </c:pt>
                <c:pt idx="18">
                  <c:v>III-05</c:v>
                </c:pt>
                <c:pt idx="19">
                  <c:v>IV-05</c:v>
                </c:pt>
                <c:pt idx="20">
                  <c:v>2006</c:v>
                </c:pt>
                <c:pt idx="21">
                  <c:v>II-06</c:v>
                </c:pt>
                <c:pt idx="22">
                  <c:v>III-06</c:v>
                </c:pt>
                <c:pt idx="23">
                  <c:v>IV-06</c:v>
                </c:pt>
                <c:pt idx="24">
                  <c:v>2007</c:v>
                </c:pt>
                <c:pt idx="25">
                  <c:v>II-07</c:v>
                </c:pt>
                <c:pt idx="26">
                  <c:v>III-07</c:v>
                </c:pt>
                <c:pt idx="27">
                  <c:v>IV-07</c:v>
                </c:pt>
                <c:pt idx="28">
                  <c:v>2008</c:v>
                </c:pt>
                <c:pt idx="29">
                  <c:v>II-08</c:v>
                </c:pt>
                <c:pt idx="30">
                  <c:v>III-08</c:v>
                </c:pt>
                <c:pt idx="31">
                  <c:v>IV-08</c:v>
                </c:pt>
                <c:pt idx="32">
                  <c:v>2009</c:v>
                </c:pt>
                <c:pt idx="33">
                  <c:v>II-09</c:v>
                </c:pt>
                <c:pt idx="34">
                  <c:v>III-09</c:v>
                </c:pt>
                <c:pt idx="35">
                  <c:v>IV-09</c:v>
                </c:pt>
                <c:pt idx="36">
                  <c:v>2010</c:v>
                </c:pt>
                <c:pt idx="37">
                  <c:v>II-10</c:v>
                </c:pt>
                <c:pt idx="38">
                  <c:v>III-10</c:v>
                </c:pt>
                <c:pt idx="39">
                  <c:v>IV-10</c:v>
                </c:pt>
                <c:pt idx="40">
                  <c:v>2011</c:v>
                </c:pt>
                <c:pt idx="41">
                  <c:v>II-11</c:v>
                </c:pt>
                <c:pt idx="42">
                  <c:v>III-11</c:v>
                </c:pt>
                <c:pt idx="43">
                  <c:v>IV-11</c:v>
                </c:pt>
                <c:pt idx="44">
                  <c:v>2012</c:v>
                </c:pt>
                <c:pt idx="45">
                  <c:v>II-12</c:v>
                </c:pt>
                <c:pt idx="46">
                  <c:v>III-12</c:v>
                </c:pt>
                <c:pt idx="47">
                  <c:v>IV-12</c:v>
                </c:pt>
                <c:pt idx="48">
                  <c:v>2013</c:v>
                </c:pt>
                <c:pt idx="49">
                  <c:v>II-13</c:v>
                </c:pt>
                <c:pt idx="50">
                  <c:v>III-13</c:v>
                </c:pt>
                <c:pt idx="51">
                  <c:v>IV-13</c:v>
                </c:pt>
                <c:pt idx="52">
                  <c:v>2014</c:v>
                </c:pt>
                <c:pt idx="53">
                  <c:v>II-14</c:v>
                </c:pt>
                <c:pt idx="54">
                  <c:v>III-14</c:v>
                </c:pt>
                <c:pt idx="55">
                  <c:v>IV-14</c:v>
                </c:pt>
                <c:pt idx="56">
                  <c:v>2015</c:v>
                </c:pt>
                <c:pt idx="57">
                  <c:v>II-15</c:v>
                </c:pt>
                <c:pt idx="58">
                  <c:v>III-15</c:v>
                </c:pt>
                <c:pt idx="59">
                  <c:v>IV-15</c:v>
                </c:pt>
                <c:pt idx="60">
                  <c:v>2016</c:v>
                </c:pt>
                <c:pt idx="61">
                  <c:v>II-16</c:v>
                </c:pt>
                <c:pt idx="62">
                  <c:v>III-16</c:v>
                </c:pt>
                <c:pt idx="63">
                  <c:v>IV-16</c:v>
                </c:pt>
                <c:pt idx="64">
                  <c:v>2017</c:v>
                </c:pt>
                <c:pt idx="65">
                  <c:v>II-17</c:v>
                </c:pt>
                <c:pt idx="66">
                  <c:v>III-17</c:v>
                </c:pt>
                <c:pt idx="67">
                  <c:v>IV-17</c:v>
                </c:pt>
                <c:pt idx="68">
                  <c:v>2018</c:v>
                </c:pt>
                <c:pt idx="69">
                  <c:v>II-17</c:v>
                </c:pt>
                <c:pt idx="70">
                  <c:v>III-18</c:v>
                </c:pt>
                <c:pt idx="71">
                  <c:v>IV-18</c:v>
                </c:pt>
                <c:pt idx="72">
                  <c:v>I-19</c:v>
                </c:pt>
                <c:pt idx="73">
                  <c:v>II-19</c:v>
                </c:pt>
                <c:pt idx="74">
                  <c:v>III-19</c:v>
                </c:pt>
              </c:strCache>
            </c:strRef>
          </c:cat>
          <c:val>
            <c:numRef>
              <c:f>'Wykres 25 | B'!$C$6:$BY$6</c:f>
            </c:numRef>
          </c:val>
          <c:smooth val="0"/>
          <c:extLst>
            <c:ext xmlns:c16="http://schemas.microsoft.com/office/drawing/2014/chart" uri="{C3380CC4-5D6E-409C-BE32-E72D297353CC}">
              <c16:uniqueId val="{00000004-9D4B-49B7-88B4-460392E7045B}"/>
            </c:ext>
          </c:extLst>
        </c:ser>
        <c:ser>
          <c:idx val="5"/>
          <c:order val="5"/>
          <c:tx>
            <c:strRef>
              <c:f>'Wykres 25 | B'!$B$7</c:f>
              <c:strCache>
                <c:ptCount val="1"/>
                <c:pt idx="0">
                  <c:v>Wskaźnik prognoz produkcji</c:v>
                </c:pt>
              </c:strCache>
            </c:strRef>
          </c:tx>
          <c:cat>
            <c:strRef>
              <c:f>'Wykres 25 | B'!$C$1:$BY$1</c:f>
              <c:strCache>
                <c:ptCount val="75"/>
                <c:pt idx="0">
                  <c:v>2001</c:v>
                </c:pt>
                <c:pt idx="1">
                  <c:v>II-01</c:v>
                </c:pt>
                <c:pt idx="2">
                  <c:v>III-01</c:v>
                </c:pt>
                <c:pt idx="3">
                  <c:v>IV-01</c:v>
                </c:pt>
                <c:pt idx="4">
                  <c:v>2002</c:v>
                </c:pt>
                <c:pt idx="5">
                  <c:v>II-02</c:v>
                </c:pt>
                <c:pt idx="6">
                  <c:v>III-02</c:v>
                </c:pt>
                <c:pt idx="7">
                  <c:v>IV-02</c:v>
                </c:pt>
                <c:pt idx="8">
                  <c:v>2003</c:v>
                </c:pt>
                <c:pt idx="9">
                  <c:v>II-03</c:v>
                </c:pt>
                <c:pt idx="10">
                  <c:v>III-03</c:v>
                </c:pt>
                <c:pt idx="11">
                  <c:v>IV-03</c:v>
                </c:pt>
                <c:pt idx="12">
                  <c:v>2004</c:v>
                </c:pt>
                <c:pt idx="13">
                  <c:v>II-04</c:v>
                </c:pt>
                <c:pt idx="14">
                  <c:v>III-04</c:v>
                </c:pt>
                <c:pt idx="15">
                  <c:v>IV-04</c:v>
                </c:pt>
                <c:pt idx="16">
                  <c:v>2005</c:v>
                </c:pt>
                <c:pt idx="17">
                  <c:v>II-05</c:v>
                </c:pt>
                <c:pt idx="18">
                  <c:v>III-05</c:v>
                </c:pt>
                <c:pt idx="19">
                  <c:v>IV-05</c:v>
                </c:pt>
                <c:pt idx="20">
                  <c:v>2006</c:v>
                </c:pt>
                <c:pt idx="21">
                  <c:v>II-06</c:v>
                </c:pt>
                <c:pt idx="22">
                  <c:v>III-06</c:v>
                </c:pt>
                <c:pt idx="23">
                  <c:v>IV-06</c:v>
                </c:pt>
                <c:pt idx="24">
                  <c:v>2007</c:v>
                </c:pt>
                <c:pt idx="25">
                  <c:v>II-07</c:v>
                </c:pt>
                <c:pt idx="26">
                  <c:v>III-07</c:v>
                </c:pt>
                <c:pt idx="27">
                  <c:v>IV-07</c:v>
                </c:pt>
                <c:pt idx="28">
                  <c:v>2008</c:v>
                </c:pt>
                <c:pt idx="29">
                  <c:v>II-08</c:v>
                </c:pt>
                <c:pt idx="30">
                  <c:v>III-08</c:v>
                </c:pt>
                <c:pt idx="31">
                  <c:v>IV-08</c:v>
                </c:pt>
                <c:pt idx="32">
                  <c:v>2009</c:v>
                </c:pt>
                <c:pt idx="33">
                  <c:v>II-09</c:v>
                </c:pt>
                <c:pt idx="34">
                  <c:v>III-09</c:v>
                </c:pt>
                <c:pt idx="35">
                  <c:v>IV-09</c:v>
                </c:pt>
                <c:pt idx="36">
                  <c:v>2010</c:v>
                </c:pt>
                <c:pt idx="37">
                  <c:v>II-10</c:v>
                </c:pt>
                <c:pt idx="38">
                  <c:v>III-10</c:v>
                </c:pt>
                <c:pt idx="39">
                  <c:v>IV-10</c:v>
                </c:pt>
                <c:pt idx="40">
                  <c:v>2011</c:v>
                </c:pt>
                <c:pt idx="41">
                  <c:v>II-11</c:v>
                </c:pt>
                <c:pt idx="42">
                  <c:v>III-11</c:v>
                </c:pt>
                <c:pt idx="43">
                  <c:v>IV-11</c:v>
                </c:pt>
                <c:pt idx="44">
                  <c:v>2012</c:v>
                </c:pt>
                <c:pt idx="45">
                  <c:v>II-12</c:v>
                </c:pt>
                <c:pt idx="46">
                  <c:v>III-12</c:v>
                </c:pt>
                <c:pt idx="47">
                  <c:v>IV-12</c:v>
                </c:pt>
                <c:pt idx="48">
                  <c:v>2013</c:v>
                </c:pt>
                <c:pt idx="49">
                  <c:v>II-13</c:v>
                </c:pt>
                <c:pt idx="50">
                  <c:v>III-13</c:v>
                </c:pt>
                <c:pt idx="51">
                  <c:v>IV-13</c:v>
                </c:pt>
                <c:pt idx="52">
                  <c:v>2014</c:v>
                </c:pt>
                <c:pt idx="53">
                  <c:v>II-14</c:v>
                </c:pt>
                <c:pt idx="54">
                  <c:v>III-14</c:v>
                </c:pt>
                <c:pt idx="55">
                  <c:v>IV-14</c:v>
                </c:pt>
                <c:pt idx="56">
                  <c:v>2015</c:v>
                </c:pt>
                <c:pt idx="57">
                  <c:v>II-15</c:v>
                </c:pt>
                <c:pt idx="58">
                  <c:v>III-15</c:v>
                </c:pt>
                <c:pt idx="59">
                  <c:v>IV-15</c:v>
                </c:pt>
                <c:pt idx="60">
                  <c:v>2016</c:v>
                </c:pt>
                <c:pt idx="61">
                  <c:v>II-16</c:v>
                </c:pt>
                <c:pt idx="62">
                  <c:v>III-16</c:v>
                </c:pt>
                <c:pt idx="63">
                  <c:v>IV-16</c:v>
                </c:pt>
                <c:pt idx="64">
                  <c:v>2017</c:v>
                </c:pt>
                <c:pt idx="65">
                  <c:v>II-17</c:v>
                </c:pt>
                <c:pt idx="66">
                  <c:v>III-17</c:v>
                </c:pt>
                <c:pt idx="67">
                  <c:v>IV-17</c:v>
                </c:pt>
                <c:pt idx="68">
                  <c:v>2018</c:v>
                </c:pt>
                <c:pt idx="69">
                  <c:v>II-17</c:v>
                </c:pt>
                <c:pt idx="70">
                  <c:v>III-18</c:v>
                </c:pt>
                <c:pt idx="71">
                  <c:v>IV-18</c:v>
                </c:pt>
                <c:pt idx="72">
                  <c:v>I-19</c:v>
                </c:pt>
                <c:pt idx="73">
                  <c:v>II-19</c:v>
                </c:pt>
                <c:pt idx="74">
                  <c:v>III-19</c:v>
                </c:pt>
              </c:strCache>
            </c:strRef>
          </c:cat>
          <c:val>
            <c:numRef>
              <c:f>'Wykres 25 | B'!$C$7:$BY$7</c:f>
            </c:numRef>
          </c:val>
          <c:smooth val="0"/>
          <c:extLst>
            <c:ext xmlns:c16="http://schemas.microsoft.com/office/drawing/2014/chart" uri="{C3380CC4-5D6E-409C-BE32-E72D297353CC}">
              <c16:uniqueId val="{00000005-9D4B-49B7-88B4-460392E7045B}"/>
            </c:ext>
          </c:extLst>
        </c:ser>
        <c:ser>
          <c:idx val="6"/>
          <c:order val="6"/>
          <c:tx>
            <c:strRef>
              <c:f>'Wykres 25 | B'!$B$8</c:f>
              <c:strCache>
                <c:ptCount val="1"/>
                <c:pt idx="0">
                  <c:v>Wskaźnik umów eksportowych</c:v>
                </c:pt>
              </c:strCache>
            </c:strRef>
          </c:tx>
          <c:cat>
            <c:strRef>
              <c:f>'Wykres 25 | B'!$C$1:$BY$1</c:f>
              <c:strCache>
                <c:ptCount val="75"/>
                <c:pt idx="0">
                  <c:v>2001</c:v>
                </c:pt>
                <c:pt idx="1">
                  <c:v>II-01</c:v>
                </c:pt>
                <c:pt idx="2">
                  <c:v>III-01</c:v>
                </c:pt>
                <c:pt idx="3">
                  <c:v>IV-01</c:v>
                </c:pt>
                <c:pt idx="4">
                  <c:v>2002</c:v>
                </c:pt>
                <c:pt idx="5">
                  <c:v>II-02</c:v>
                </c:pt>
                <c:pt idx="6">
                  <c:v>III-02</c:v>
                </c:pt>
                <c:pt idx="7">
                  <c:v>IV-02</c:v>
                </c:pt>
                <c:pt idx="8">
                  <c:v>2003</c:v>
                </c:pt>
                <c:pt idx="9">
                  <c:v>II-03</c:v>
                </c:pt>
                <c:pt idx="10">
                  <c:v>III-03</c:v>
                </c:pt>
                <c:pt idx="11">
                  <c:v>IV-03</c:v>
                </c:pt>
                <c:pt idx="12">
                  <c:v>2004</c:v>
                </c:pt>
                <c:pt idx="13">
                  <c:v>II-04</c:v>
                </c:pt>
                <c:pt idx="14">
                  <c:v>III-04</c:v>
                </c:pt>
                <c:pt idx="15">
                  <c:v>IV-04</c:v>
                </c:pt>
                <c:pt idx="16">
                  <c:v>2005</c:v>
                </c:pt>
                <c:pt idx="17">
                  <c:v>II-05</c:v>
                </c:pt>
                <c:pt idx="18">
                  <c:v>III-05</c:v>
                </c:pt>
                <c:pt idx="19">
                  <c:v>IV-05</c:v>
                </c:pt>
                <c:pt idx="20">
                  <c:v>2006</c:v>
                </c:pt>
                <c:pt idx="21">
                  <c:v>II-06</c:v>
                </c:pt>
                <c:pt idx="22">
                  <c:v>III-06</c:v>
                </c:pt>
                <c:pt idx="23">
                  <c:v>IV-06</c:v>
                </c:pt>
                <c:pt idx="24">
                  <c:v>2007</c:v>
                </c:pt>
                <c:pt idx="25">
                  <c:v>II-07</c:v>
                </c:pt>
                <c:pt idx="26">
                  <c:v>III-07</c:v>
                </c:pt>
                <c:pt idx="27">
                  <c:v>IV-07</c:v>
                </c:pt>
                <c:pt idx="28">
                  <c:v>2008</c:v>
                </c:pt>
                <c:pt idx="29">
                  <c:v>II-08</c:v>
                </c:pt>
                <c:pt idx="30">
                  <c:v>III-08</c:v>
                </c:pt>
                <c:pt idx="31">
                  <c:v>IV-08</c:v>
                </c:pt>
                <c:pt idx="32">
                  <c:v>2009</c:v>
                </c:pt>
                <c:pt idx="33">
                  <c:v>II-09</c:v>
                </c:pt>
                <c:pt idx="34">
                  <c:v>III-09</c:v>
                </c:pt>
                <c:pt idx="35">
                  <c:v>IV-09</c:v>
                </c:pt>
                <c:pt idx="36">
                  <c:v>2010</c:v>
                </c:pt>
                <c:pt idx="37">
                  <c:v>II-10</c:v>
                </c:pt>
                <c:pt idx="38">
                  <c:v>III-10</c:v>
                </c:pt>
                <c:pt idx="39">
                  <c:v>IV-10</c:v>
                </c:pt>
                <c:pt idx="40">
                  <c:v>2011</c:v>
                </c:pt>
                <c:pt idx="41">
                  <c:v>II-11</c:v>
                </c:pt>
                <c:pt idx="42">
                  <c:v>III-11</c:v>
                </c:pt>
                <c:pt idx="43">
                  <c:v>IV-11</c:v>
                </c:pt>
                <c:pt idx="44">
                  <c:v>2012</c:v>
                </c:pt>
                <c:pt idx="45">
                  <c:v>II-12</c:v>
                </c:pt>
                <c:pt idx="46">
                  <c:v>III-12</c:v>
                </c:pt>
                <c:pt idx="47">
                  <c:v>IV-12</c:v>
                </c:pt>
                <c:pt idx="48">
                  <c:v>2013</c:v>
                </c:pt>
                <c:pt idx="49">
                  <c:v>II-13</c:v>
                </c:pt>
                <c:pt idx="50">
                  <c:v>III-13</c:v>
                </c:pt>
                <c:pt idx="51">
                  <c:v>IV-13</c:v>
                </c:pt>
                <c:pt idx="52">
                  <c:v>2014</c:v>
                </c:pt>
                <c:pt idx="53">
                  <c:v>II-14</c:v>
                </c:pt>
                <c:pt idx="54">
                  <c:v>III-14</c:v>
                </c:pt>
                <c:pt idx="55">
                  <c:v>IV-14</c:v>
                </c:pt>
                <c:pt idx="56">
                  <c:v>2015</c:v>
                </c:pt>
                <c:pt idx="57">
                  <c:v>II-15</c:v>
                </c:pt>
                <c:pt idx="58">
                  <c:v>III-15</c:v>
                </c:pt>
                <c:pt idx="59">
                  <c:v>IV-15</c:v>
                </c:pt>
                <c:pt idx="60">
                  <c:v>2016</c:v>
                </c:pt>
                <c:pt idx="61">
                  <c:v>II-16</c:v>
                </c:pt>
                <c:pt idx="62">
                  <c:v>III-16</c:v>
                </c:pt>
                <c:pt idx="63">
                  <c:v>IV-16</c:v>
                </c:pt>
                <c:pt idx="64">
                  <c:v>2017</c:v>
                </c:pt>
                <c:pt idx="65">
                  <c:v>II-17</c:v>
                </c:pt>
                <c:pt idx="66">
                  <c:v>III-17</c:v>
                </c:pt>
                <c:pt idx="67">
                  <c:v>IV-17</c:v>
                </c:pt>
                <c:pt idx="68">
                  <c:v>2018</c:v>
                </c:pt>
                <c:pt idx="69">
                  <c:v>II-17</c:v>
                </c:pt>
                <c:pt idx="70">
                  <c:v>III-18</c:v>
                </c:pt>
                <c:pt idx="71">
                  <c:v>IV-18</c:v>
                </c:pt>
                <c:pt idx="72">
                  <c:v>I-19</c:v>
                </c:pt>
                <c:pt idx="73">
                  <c:v>II-19</c:v>
                </c:pt>
                <c:pt idx="74">
                  <c:v>III-19</c:v>
                </c:pt>
              </c:strCache>
            </c:strRef>
          </c:cat>
          <c:val>
            <c:numRef>
              <c:f>'Wykres 25 | B'!$C$8:$BY$8</c:f>
            </c:numRef>
          </c:val>
          <c:smooth val="0"/>
          <c:extLst>
            <c:ext xmlns:c16="http://schemas.microsoft.com/office/drawing/2014/chart" uri="{C3380CC4-5D6E-409C-BE32-E72D297353CC}">
              <c16:uniqueId val="{00000006-9D4B-49B7-88B4-460392E7045B}"/>
            </c:ext>
          </c:extLst>
        </c:ser>
        <c:ser>
          <c:idx val="7"/>
          <c:order val="7"/>
          <c:tx>
            <c:strRef>
              <c:f>'Wykres 25 | B'!$B$9</c:f>
              <c:strCache>
                <c:ptCount val="1"/>
                <c:pt idx="0">
                  <c:v>Wskaźnik prognoz eksportu</c:v>
                </c:pt>
              </c:strCache>
            </c:strRef>
          </c:tx>
          <c:cat>
            <c:strRef>
              <c:f>'Wykres 25 | B'!$C$1:$BY$1</c:f>
              <c:strCache>
                <c:ptCount val="75"/>
                <c:pt idx="0">
                  <c:v>2001</c:v>
                </c:pt>
                <c:pt idx="1">
                  <c:v>II-01</c:v>
                </c:pt>
                <c:pt idx="2">
                  <c:v>III-01</c:v>
                </c:pt>
                <c:pt idx="3">
                  <c:v>IV-01</c:v>
                </c:pt>
                <c:pt idx="4">
                  <c:v>2002</c:v>
                </c:pt>
                <c:pt idx="5">
                  <c:v>II-02</c:v>
                </c:pt>
                <c:pt idx="6">
                  <c:v>III-02</c:v>
                </c:pt>
                <c:pt idx="7">
                  <c:v>IV-02</c:v>
                </c:pt>
                <c:pt idx="8">
                  <c:v>2003</c:v>
                </c:pt>
                <c:pt idx="9">
                  <c:v>II-03</c:v>
                </c:pt>
                <c:pt idx="10">
                  <c:v>III-03</c:v>
                </c:pt>
                <c:pt idx="11">
                  <c:v>IV-03</c:v>
                </c:pt>
                <c:pt idx="12">
                  <c:v>2004</c:v>
                </c:pt>
                <c:pt idx="13">
                  <c:v>II-04</c:v>
                </c:pt>
                <c:pt idx="14">
                  <c:v>III-04</c:v>
                </c:pt>
                <c:pt idx="15">
                  <c:v>IV-04</c:v>
                </c:pt>
                <c:pt idx="16">
                  <c:v>2005</c:v>
                </c:pt>
                <c:pt idx="17">
                  <c:v>II-05</c:v>
                </c:pt>
                <c:pt idx="18">
                  <c:v>III-05</c:v>
                </c:pt>
                <c:pt idx="19">
                  <c:v>IV-05</c:v>
                </c:pt>
                <c:pt idx="20">
                  <c:v>2006</c:v>
                </c:pt>
                <c:pt idx="21">
                  <c:v>II-06</c:v>
                </c:pt>
                <c:pt idx="22">
                  <c:v>III-06</c:v>
                </c:pt>
                <c:pt idx="23">
                  <c:v>IV-06</c:v>
                </c:pt>
                <c:pt idx="24">
                  <c:v>2007</c:v>
                </c:pt>
                <c:pt idx="25">
                  <c:v>II-07</c:v>
                </c:pt>
                <c:pt idx="26">
                  <c:v>III-07</c:v>
                </c:pt>
                <c:pt idx="27">
                  <c:v>IV-07</c:v>
                </c:pt>
                <c:pt idx="28">
                  <c:v>2008</c:v>
                </c:pt>
                <c:pt idx="29">
                  <c:v>II-08</c:v>
                </c:pt>
                <c:pt idx="30">
                  <c:v>III-08</c:v>
                </c:pt>
                <c:pt idx="31">
                  <c:v>IV-08</c:v>
                </c:pt>
                <c:pt idx="32">
                  <c:v>2009</c:v>
                </c:pt>
                <c:pt idx="33">
                  <c:v>II-09</c:v>
                </c:pt>
                <c:pt idx="34">
                  <c:v>III-09</c:v>
                </c:pt>
                <c:pt idx="35">
                  <c:v>IV-09</c:v>
                </c:pt>
                <c:pt idx="36">
                  <c:v>2010</c:v>
                </c:pt>
                <c:pt idx="37">
                  <c:v>II-10</c:v>
                </c:pt>
                <c:pt idx="38">
                  <c:v>III-10</c:v>
                </c:pt>
                <c:pt idx="39">
                  <c:v>IV-10</c:v>
                </c:pt>
                <c:pt idx="40">
                  <c:v>2011</c:v>
                </c:pt>
                <c:pt idx="41">
                  <c:v>II-11</c:v>
                </c:pt>
                <c:pt idx="42">
                  <c:v>III-11</c:v>
                </c:pt>
                <c:pt idx="43">
                  <c:v>IV-11</c:v>
                </c:pt>
                <c:pt idx="44">
                  <c:v>2012</c:v>
                </c:pt>
                <c:pt idx="45">
                  <c:v>II-12</c:v>
                </c:pt>
                <c:pt idx="46">
                  <c:v>III-12</c:v>
                </c:pt>
                <c:pt idx="47">
                  <c:v>IV-12</c:v>
                </c:pt>
                <c:pt idx="48">
                  <c:v>2013</c:v>
                </c:pt>
                <c:pt idx="49">
                  <c:v>II-13</c:v>
                </c:pt>
                <c:pt idx="50">
                  <c:v>III-13</c:v>
                </c:pt>
                <c:pt idx="51">
                  <c:v>IV-13</c:v>
                </c:pt>
                <c:pt idx="52">
                  <c:v>2014</c:v>
                </c:pt>
                <c:pt idx="53">
                  <c:v>II-14</c:v>
                </c:pt>
                <c:pt idx="54">
                  <c:v>III-14</c:v>
                </c:pt>
                <c:pt idx="55">
                  <c:v>IV-14</c:v>
                </c:pt>
                <c:pt idx="56">
                  <c:v>2015</c:v>
                </c:pt>
                <c:pt idx="57">
                  <c:v>II-15</c:v>
                </c:pt>
                <c:pt idx="58">
                  <c:v>III-15</c:v>
                </c:pt>
                <c:pt idx="59">
                  <c:v>IV-15</c:v>
                </c:pt>
                <c:pt idx="60">
                  <c:v>2016</c:v>
                </c:pt>
                <c:pt idx="61">
                  <c:v>II-16</c:v>
                </c:pt>
                <c:pt idx="62">
                  <c:v>III-16</c:v>
                </c:pt>
                <c:pt idx="63">
                  <c:v>IV-16</c:v>
                </c:pt>
                <c:pt idx="64">
                  <c:v>2017</c:v>
                </c:pt>
                <c:pt idx="65">
                  <c:v>II-17</c:v>
                </c:pt>
                <c:pt idx="66">
                  <c:v>III-17</c:v>
                </c:pt>
                <c:pt idx="67">
                  <c:v>IV-17</c:v>
                </c:pt>
                <c:pt idx="68">
                  <c:v>2018</c:v>
                </c:pt>
                <c:pt idx="69">
                  <c:v>II-17</c:v>
                </c:pt>
                <c:pt idx="70">
                  <c:v>III-18</c:v>
                </c:pt>
                <c:pt idx="71">
                  <c:v>IV-18</c:v>
                </c:pt>
                <c:pt idx="72">
                  <c:v>I-19</c:v>
                </c:pt>
                <c:pt idx="73">
                  <c:v>II-19</c:v>
                </c:pt>
                <c:pt idx="74">
                  <c:v>III-19</c:v>
                </c:pt>
              </c:strCache>
            </c:strRef>
          </c:cat>
          <c:val>
            <c:numRef>
              <c:f>'Wykres 25 | B'!$C$9:$BY$9</c:f>
            </c:numRef>
          </c:val>
          <c:smooth val="0"/>
          <c:extLst>
            <c:ext xmlns:c16="http://schemas.microsoft.com/office/drawing/2014/chart" uri="{C3380CC4-5D6E-409C-BE32-E72D297353CC}">
              <c16:uniqueId val="{00000007-9D4B-49B7-88B4-460392E7045B}"/>
            </c:ext>
          </c:extLst>
        </c:ser>
        <c:ser>
          <c:idx val="8"/>
          <c:order val="8"/>
          <c:tx>
            <c:strRef>
              <c:f>'Wykres 25 | B'!$B$10</c:f>
              <c:strCache>
                <c:ptCount val="1"/>
                <c:pt idx="0">
                  <c:v>Wskaźnik prognoz zatrudnienia</c:v>
                </c:pt>
              </c:strCache>
            </c:strRef>
          </c:tx>
          <c:cat>
            <c:strRef>
              <c:f>'Wykres 25 | B'!$C$1:$BY$1</c:f>
              <c:strCache>
                <c:ptCount val="75"/>
                <c:pt idx="0">
                  <c:v>2001</c:v>
                </c:pt>
                <c:pt idx="1">
                  <c:v>II-01</c:v>
                </c:pt>
                <c:pt idx="2">
                  <c:v>III-01</c:v>
                </c:pt>
                <c:pt idx="3">
                  <c:v>IV-01</c:v>
                </c:pt>
                <c:pt idx="4">
                  <c:v>2002</c:v>
                </c:pt>
                <c:pt idx="5">
                  <c:v>II-02</c:v>
                </c:pt>
                <c:pt idx="6">
                  <c:v>III-02</c:v>
                </c:pt>
                <c:pt idx="7">
                  <c:v>IV-02</c:v>
                </c:pt>
                <c:pt idx="8">
                  <c:v>2003</c:v>
                </c:pt>
                <c:pt idx="9">
                  <c:v>II-03</c:v>
                </c:pt>
                <c:pt idx="10">
                  <c:v>III-03</c:v>
                </c:pt>
                <c:pt idx="11">
                  <c:v>IV-03</c:v>
                </c:pt>
                <c:pt idx="12">
                  <c:v>2004</c:v>
                </c:pt>
                <c:pt idx="13">
                  <c:v>II-04</c:v>
                </c:pt>
                <c:pt idx="14">
                  <c:v>III-04</c:v>
                </c:pt>
                <c:pt idx="15">
                  <c:v>IV-04</c:v>
                </c:pt>
                <c:pt idx="16">
                  <c:v>2005</c:v>
                </c:pt>
                <c:pt idx="17">
                  <c:v>II-05</c:v>
                </c:pt>
                <c:pt idx="18">
                  <c:v>III-05</c:v>
                </c:pt>
                <c:pt idx="19">
                  <c:v>IV-05</c:v>
                </c:pt>
                <c:pt idx="20">
                  <c:v>2006</c:v>
                </c:pt>
                <c:pt idx="21">
                  <c:v>II-06</c:v>
                </c:pt>
                <c:pt idx="22">
                  <c:v>III-06</c:v>
                </c:pt>
                <c:pt idx="23">
                  <c:v>IV-06</c:v>
                </c:pt>
                <c:pt idx="24">
                  <c:v>2007</c:v>
                </c:pt>
                <c:pt idx="25">
                  <c:v>II-07</c:v>
                </c:pt>
                <c:pt idx="26">
                  <c:v>III-07</c:v>
                </c:pt>
                <c:pt idx="27">
                  <c:v>IV-07</c:v>
                </c:pt>
                <c:pt idx="28">
                  <c:v>2008</c:v>
                </c:pt>
                <c:pt idx="29">
                  <c:v>II-08</c:v>
                </c:pt>
                <c:pt idx="30">
                  <c:v>III-08</c:v>
                </c:pt>
                <c:pt idx="31">
                  <c:v>IV-08</c:v>
                </c:pt>
                <c:pt idx="32">
                  <c:v>2009</c:v>
                </c:pt>
                <c:pt idx="33">
                  <c:v>II-09</c:v>
                </c:pt>
                <c:pt idx="34">
                  <c:v>III-09</c:v>
                </c:pt>
                <c:pt idx="35">
                  <c:v>IV-09</c:v>
                </c:pt>
                <c:pt idx="36">
                  <c:v>2010</c:v>
                </c:pt>
                <c:pt idx="37">
                  <c:v>II-10</c:v>
                </c:pt>
                <c:pt idx="38">
                  <c:v>III-10</c:v>
                </c:pt>
                <c:pt idx="39">
                  <c:v>IV-10</c:v>
                </c:pt>
                <c:pt idx="40">
                  <c:v>2011</c:v>
                </c:pt>
                <c:pt idx="41">
                  <c:v>II-11</c:v>
                </c:pt>
                <c:pt idx="42">
                  <c:v>III-11</c:v>
                </c:pt>
                <c:pt idx="43">
                  <c:v>IV-11</c:v>
                </c:pt>
                <c:pt idx="44">
                  <c:v>2012</c:v>
                </c:pt>
                <c:pt idx="45">
                  <c:v>II-12</c:v>
                </c:pt>
                <c:pt idx="46">
                  <c:v>III-12</c:v>
                </c:pt>
                <c:pt idx="47">
                  <c:v>IV-12</c:v>
                </c:pt>
                <c:pt idx="48">
                  <c:v>2013</c:v>
                </c:pt>
                <c:pt idx="49">
                  <c:v>II-13</c:v>
                </c:pt>
                <c:pt idx="50">
                  <c:v>III-13</c:v>
                </c:pt>
                <c:pt idx="51">
                  <c:v>IV-13</c:v>
                </c:pt>
                <c:pt idx="52">
                  <c:v>2014</c:v>
                </c:pt>
                <c:pt idx="53">
                  <c:v>II-14</c:v>
                </c:pt>
                <c:pt idx="54">
                  <c:v>III-14</c:v>
                </c:pt>
                <c:pt idx="55">
                  <c:v>IV-14</c:v>
                </c:pt>
                <c:pt idx="56">
                  <c:v>2015</c:v>
                </c:pt>
                <c:pt idx="57">
                  <c:v>II-15</c:v>
                </c:pt>
                <c:pt idx="58">
                  <c:v>III-15</c:v>
                </c:pt>
                <c:pt idx="59">
                  <c:v>IV-15</c:v>
                </c:pt>
                <c:pt idx="60">
                  <c:v>2016</c:v>
                </c:pt>
                <c:pt idx="61">
                  <c:v>II-16</c:v>
                </c:pt>
                <c:pt idx="62">
                  <c:v>III-16</c:v>
                </c:pt>
                <c:pt idx="63">
                  <c:v>IV-16</c:v>
                </c:pt>
                <c:pt idx="64">
                  <c:v>2017</c:v>
                </c:pt>
                <c:pt idx="65">
                  <c:v>II-17</c:v>
                </c:pt>
                <c:pt idx="66">
                  <c:v>III-17</c:v>
                </c:pt>
                <c:pt idx="67">
                  <c:v>IV-17</c:v>
                </c:pt>
                <c:pt idx="68">
                  <c:v>2018</c:v>
                </c:pt>
                <c:pt idx="69">
                  <c:v>II-17</c:v>
                </c:pt>
                <c:pt idx="70">
                  <c:v>III-18</c:v>
                </c:pt>
                <c:pt idx="71">
                  <c:v>IV-18</c:v>
                </c:pt>
                <c:pt idx="72">
                  <c:v>I-19</c:v>
                </c:pt>
                <c:pt idx="73">
                  <c:v>II-19</c:v>
                </c:pt>
                <c:pt idx="74">
                  <c:v>III-19</c:v>
                </c:pt>
              </c:strCache>
            </c:strRef>
          </c:cat>
          <c:val>
            <c:numRef>
              <c:f>'Wykres 25 | B'!$C$10:$BY$10</c:f>
            </c:numRef>
          </c:val>
          <c:smooth val="0"/>
          <c:extLst>
            <c:ext xmlns:c16="http://schemas.microsoft.com/office/drawing/2014/chart" uri="{C3380CC4-5D6E-409C-BE32-E72D297353CC}">
              <c16:uniqueId val="{00000008-9D4B-49B7-88B4-460392E7045B}"/>
            </c:ext>
          </c:extLst>
        </c:ser>
        <c:ser>
          <c:idx val="9"/>
          <c:order val="9"/>
          <c:tx>
            <c:strRef>
              <c:f>'Wykres 25 | B'!$B$11</c:f>
              <c:strCache>
                <c:ptCount val="1"/>
                <c:pt idx="0">
                  <c:v>Udział przedsiębiorstw prognozujących wzrost płac</c:v>
                </c:pt>
              </c:strCache>
            </c:strRef>
          </c:tx>
          <c:cat>
            <c:strRef>
              <c:f>'Wykres 25 | B'!$C$1:$BY$1</c:f>
              <c:strCache>
                <c:ptCount val="75"/>
                <c:pt idx="0">
                  <c:v>2001</c:v>
                </c:pt>
                <c:pt idx="1">
                  <c:v>II-01</c:v>
                </c:pt>
                <c:pt idx="2">
                  <c:v>III-01</c:v>
                </c:pt>
                <c:pt idx="3">
                  <c:v>IV-01</c:v>
                </c:pt>
                <c:pt idx="4">
                  <c:v>2002</c:v>
                </c:pt>
                <c:pt idx="5">
                  <c:v>II-02</c:v>
                </c:pt>
                <c:pt idx="6">
                  <c:v>III-02</c:v>
                </c:pt>
                <c:pt idx="7">
                  <c:v>IV-02</c:v>
                </c:pt>
                <c:pt idx="8">
                  <c:v>2003</c:v>
                </c:pt>
                <c:pt idx="9">
                  <c:v>II-03</c:v>
                </c:pt>
                <c:pt idx="10">
                  <c:v>III-03</c:v>
                </c:pt>
                <c:pt idx="11">
                  <c:v>IV-03</c:v>
                </c:pt>
                <c:pt idx="12">
                  <c:v>2004</c:v>
                </c:pt>
                <c:pt idx="13">
                  <c:v>II-04</c:v>
                </c:pt>
                <c:pt idx="14">
                  <c:v>III-04</c:v>
                </c:pt>
                <c:pt idx="15">
                  <c:v>IV-04</c:v>
                </c:pt>
                <c:pt idx="16">
                  <c:v>2005</c:v>
                </c:pt>
                <c:pt idx="17">
                  <c:v>II-05</c:v>
                </c:pt>
                <c:pt idx="18">
                  <c:v>III-05</c:v>
                </c:pt>
                <c:pt idx="19">
                  <c:v>IV-05</c:v>
                </c:pt>
                <c:pt idx="20">
                  <c:v>2006</c:v>
                </c:pt>
                <c:pt idx="21">
                  <c:v>II-06</c:v>
                </c:pt>
                <c:pt idx="22">
                  <c:v>III-06</c:v>
                </c:pt>
                <c:pt idx="23">
                  <c:v>IV-06</c:v>
                </c:pt>
                <c:pt idx="24">
                  <c:v>2007</c:v>
                </c:pt>
                <c:pt idx="25">
                  <c:v>II-07</c:v>
                </c:pt>
                <c:pt idx="26">
                  <c:v>III-07</c:v>
                </c:pt>
                <c:pt idx="27">
                  <c:v>IV-07</c:v>
                </c:pt>
                <c:pt idx="28">
                  <c:v>2008</c:v>
                </c:pt>
                <c:pt idx="29">
                  <c:v>II-08</c:v>
                </c:pt>
                <c:pt idx="30">
                  <c:v>III-08</c:v>
                </c:pt>
                <c:pt idx="31">
                  <c:v>IV-08</c:v>
                </c:pt>
                <c:pt idx="32">
                  <c:v>2009</c:v>
                </c:pt>
                <c:pt idx="33">
                  <c:v>II-09</c:v>
                </c:pt>
                <c:pt idx="34">
                  <c:v>III-09</c:v>
                </c:pt>
                <c:pt idx="35">
                  <c:v>IV-09</c:v>
                </c:pt>
                <c:pt idx="36">
                  <c:v>2010</c:v>
                </c:pt>
                <c:pt idx="37">
                  <c:v>II-10</c:v>
                </c:pt>
                <c:pt idx="38">
                  <c:v>III-10</c:v>
                </c:pt>
                <c:pt idx="39">
                  <c:v>IV-10</c:v>
                </c:pt>
                <c:pt idx="40">
                  <c:v>2011</c:v>
                </c:pt>
                <c:pt idx="41">
                  <c:v>II-11</c:v>
                </c:pt>
                <c:pt idx="42">
                  <c:v>III-11</c:v>
                </c:pt>
                <c:pt idx="43">
                  <c:v>IV-11</c:v>
                </c:pt>
                <c:pt idx="44">
                  <c:v>2012</c:v>
                </c:pt>
                <c:pt idx="45">
                  <c:v>II-12</c:v>
                </c:pt>
                <c:pt idx="46">
                  <c:v>III-12</c:v>
                </c:pt>
                <c:pt idx="47">
                  <c:v>IV-12</c:v>
                </c:pt>
                <c:pt idx="48">
                  <c:v>2013</c:v>
                </c:pt>
                <c:pt idx="49">
                  <c:v>II-13</c:v>
                </c:pt>
                <c:pt idx="50">
                  <c:v>III-13</c:v>
                </c:pt>
                <c:pt idx="51">
                  <c:v>IV-13</c:v>
                </c:pt>
                <c:pt idx="52">
                  <c:v>2014</c:v>
                </c:pt>
                <c:pt idx="53">
                  <c:v>II-14</c:v>
                </c:pt>
                <c:pt idx="54">
                  <c:v>III-14</c:v>
                </c:pt>
                <c:pt idx="55">
                  <c:v>IV-14</c:v>
                </c:pt>
                <c:pt idx="56">
                  <c:v>2015</c:v>
                </c:pt>
                <c:pt idx="57">
                  <c:v>II-15</c:v>
                </c:pt>
                <c:pt idx="58">
                  <c:v>III-15</c:v>
                </c:pt>
                <c:pt idx="59">
                  <c:v>IV-15</c:v>
                </c:pt>
                <c:pt idx="60">
                  <c:v>2016</c:v>
                </c:pt>
                <c:pt idx="61">
                  <c:v>II-16</c:v>
                </c:pt>
                <c:pt idx="62">
                  <c:v>III-16</c:v>
                </c:pt>
                <c:pt idx="63">
                  <c:v>IV-16</c:v>
                </c:pt>
                <c:pt idx="64">
                  <c:v>2017</c:v>
                </c:pt>
                <c:pt idx="65">
                  <c:v>II-17</c:v>
                </c:pt>
                <c:pt idx="66">
                  <c:v>III-17</c:v>
                </c:pt>
                <c:pt idx="67">
                  <c:v>IV-17</c:v>
                </c:pt>
                <c:pt idx="68">
                  <c:v>2018</c:v>
                </c:pt>
                <c:pt idx="69">
                  <c:v>II-17</c:v>
                </c:pt>
                <c:pt idx="70">
                  <c:v>III-18</c:v>
                </c:pt>
                <c:pt idx="71">
                  <c:v>IV-18</c:v>
                </c:pt>
                <c:pt idx="72">
                  <c:v>I-19</c:v>
                </c:pt>
                <c:pt idx="73">
                  <c:v>II-19</c:v>
                </c:pt>
                <c:pt idx="74">
                  <c:v>III-19</c:v>
                </c:pt>
              </c:strCache>
            </c:strRef>
          </c:cat>
          <c:val>
            <c:numRef>
              <c:f>'Wykres 25 | B'!$C$11:$BY$11</c:f>
            </c:numRef>
          </c:val>
          <c:smooth val="0"/>
          <c:extLst>
            <c:ext xmlns:c16="http://schemas.microsoft.com/office/drawing/2014/chart" uri="{C3380CC4-5D6E-409C-BE32-E72D297353CC}">
              <c16:uniqueId val="{00000009-9D4B-49B7-88B4-460392E7045B}"/>
            </c:ext>
          </c:extLst>
        </c:ser>
        <c:ser>
          <c:idx val="11"/>
          <c:order val="11"/>
          <c:tx>
            <c:strRef>
              <c:f>'Wykres 25 | B'!$B$13</c:f>
              <c:strCache>
                <c:ptCount val="1"/>
                <c:pt idx="0">
                  <c:v>Wskaźnik kontynuacji inwestycji (lewa oś)</c:v>
                </c:pt>
              </c:strCache>
            </c:strRef>
          </c:tx>
          <c:spPr>
            <a:ln>
              <a:solidFill>
                <a:srgbClr val="C00000"/>
              </a:solidFill>
            </a:ln>
          </c:spPr>
          <c:marker>
            <c:symbol val="none"/>
          </c:marker>
          <c:cat>
            <c:strRef>
              <c:f>'Wykres 25 | B'!$C$1:$BY$1</c:f>
              <c:strCache>
                <c:ptCount val="75"/>
                <c:pt idx="0">
                  <c:v>2001</c:v>
                </c:pt>
                <c:pt idx="1">
                  <c:v>II-01</c:v>
                </c:pt>
                <c:pt idx="2">
                  <c:v>III-01</c:v>
                </c:pt>
                <c:pt idx="3">
                  <c:v>IV-01</c:v>
                </c:pt>
                <c:pt idx="4">
                  <c:v>2002</c:v>
                </c:pt>
                <c:pt idx="5">
                  <c:v>II-02</c:v>
                </c:pt>
                <c:pt idx="6">
                  <c:v>III-02</c:v>
                </c:pt>
                <c:pt idx="7">
                  <c:v>IV-02</c:v>
                </c:pt>
                <c:pt idx="8">
                  <c:v>2003</c:v>
                </c:pt>
                <c:pt idx="9">
                  <c:v>II-03</c:v>
                </c:pt>
                <c:pt idx="10">
                  <c:v>III-03</c:v>
                </c:pt>
                <c:pt idx="11">
                  <c:v>IV-03</c:v>
                </c:pt>
                <c:pt idx="12">
                  <c:v>2004</c:v>
                </c:pt>
                <c:pt idx="13">
                  <c:v>II-04</c:v>
                </c:pt>
                <c:pt idx="14">
                  <c:v>III-04</c:v>
                </c:pt>
                <c:pt idx="15">
                  <c:v>IV-04</c:v>
                </c:pt>
                <c:pt idx="16">
                  <c:v>2005</c:v>
                </c:pt>
                <c:pt idx="17">
                  <c:v>II-05</c:v>
                </c:pt>
                <c:pt idx="18">
                  <c:v>III-05</c:v>
                </c:pt>
                <c:pt idx="19">
                  <c:v>IV-05</c:v>
                </c:pt>
                <c:pt idx="20">
                  <c:v>2006</c:v>
                </c:pt>
                <c:pt idx="21">
                  <c:v>II-06</c:v>
                </c:pt>
                <c:pt idx="22">
                  <c:v>III-06</c:v>
                </c:pt>
                <c:pt idx="23">
                  <c:v>IV-06</c:v>
                </c:pt>
                <c:pt idx="24">
                  <c:v>2007</c:v>
                </c:pt>
                <c:pt idx="25">
                  <c:v>II-07</c:v>
                </c:pt>
                <c:pt idx="26">
                  <c:v>III-07</c:v>
                </c:pt>
                <c:pt idx="27">
                  <c:v>IV-07</c:v>
                </c:pt>
                <c:pt idx="28">
                  <c:v>2008</c:v>
                </c:pt>
                <c:pt idx="29">
                  <c:v>II-08</c:v>
                </c:pt>
                <c:pt idx="30">
                  <c:v>III-08</c:v>
                </c:pt>
                <c:pt idx="31">
                  <c:v>IV-08</c:v>
                </c:pt>
                <c:pt idx="32">
                  <c:v>2009</c:v>
                </c:pt>
                <c:pt idx="33">
                  <c:v>II-09</c:v>
                </c:pt>
                <c:pt idx="34">
                  <c:v>III-09</c:v>
                </c:pt>
                <c:pt idx="35">
                  <c:v>IV-09</c:v>
                </c:pt>
                <c:pt idx="36">
                  <c:v>2010</c:v>
                </c:pt>
                <c:pt idx="37">
                  <c:v>II-10</c:v>
                </c:pt>
                <c:pt idx="38">
                  <c:v>III-10</c:v>
                </c:pt>
                <c:pt idx="39">
                  <c:v>IV-10</c:v>
                </c:pt>
                <c:pt idx="40">
                  <c:v>2011</c:v>
                </c:pt>
                <c:pt idx="41">
                  <c:v>II-11</c:v>
                </c:pt>
                <c:pt idx="42">
                  <c:v>III-11</c:v>
                </c:pt>
                <c:pt idx="43">
                  <c:v>IV-11</c:v>
                </c:pt>
                <c:pt idx="44">
                  <c:v>2012</c:v>
                </c:pt>
                <c:pt idx="45">
                  <c:v>II-12</c:v>
                </c:pt>
                <c:pt idx="46">
                  <c:v>III-12</c:v>
                </c:pt>
                <c:pt idx="47">
                  <c:v>IV-12</c:v>
                </c:pt>
                <c:pt idx="48">
                  <c:v>2013</c:v>
                </c:pt>
                <c:pt idx="49">
                  <c:v>II-13</c:v>
                </c:pt>
                <c:pt idx="50">
                  <c:v>III-13</c:v>
                </c:pt>
                <c:pt idx="51">
                  <c:v>IV-13</c:v>
                </c:pt>
                <c:pt idx="52">
                  <c:v>2014</c:v>
                </c:pt>
                <c:pt idx="53">
                  <c:v>II-14</c:v>
                </c:pt>
                <c:pt idx="54">
                  <c:v>III-14</c:v>
                </c:pt>
                <c:pt idx="55">
                  <c:v>IV-14</c:v>
                </c:pt>
                <c:pt idx="56">
                  <c:v>2015</c:v>
                </c:pt>
                <c:pt idx="57">
                  <c:v>II-15</c:v>
                </c:pt>
                <c:pt idx="58">
                  <c:v>III-15</c:v>
                </c:pt>
                <c:pt idx="59">
                  <c:v>IV-15</c:v>
                </c:pt>
                <c:pt idx="60">
                  <c:v>2016</c:v>
                </c:pt>
                <c:pt idx="61">
                  <c:v>II-16</c:v>
                </c:pt>
                <c:pt idx="62">
                  <c:v>III-16</c:v>
                </c:pt>
                <c:pt idx="63">
                  <c:v>IV-16</c:v>
                </c:pt>
                <c:pt idx="64">
                  <c:v>2017</c:v>
                </c:pt>
                <c:pt idx="65">
                  <c:v>II-17</c:v>
                </c:pt>
                <c:pt idx="66">
                  <c:v>III-17</c:v>
                </c:pt>
                <c:pt idx="67">
                  <c:v>IV-17</c:v>
                </c:pt>
                <c:pt idx="68">
                  <c:v>2018</c:v>
                </c:pt>
                <c:pt idx="69">
                  <c:v>II-17</c:v>
                </c:pt>
                <c:pt idx="70">
                  <c:v>III-18</c:v>
                </c:pt>
                <c:pt idx="71">
                  <c:v>IV-18</c:v>
                </c:pt>
                <c:pt idx="72">
                  <c:v>I-19</c:v>
                </c:pt>
                <c:pt idx="73">
                  <c:v>II-19</c:v>
                </c:pt>
                <c:pt idx="74">
                  <c:v>III-19</c:v>
                </c:pt>
              </c:strCache>
            </c:strRef>
          </c:cat>
          <c:val>
            <c:numRef>
              <c:f>'Wykres 25 | B'!$C$13:$BY$13</c:f>
              <c:numCache>
                <c:formatCode>0.0</c:formatCode>
                <c:ptCount val="75"/>
                <c:pt idx="0">
                  <c:v>90.184725668596641</c:v>
                </c:pt>
                <c:pt idx="1">
                  <c:v>90.99903806513673</c:v>
                </c:pt>
                <c:pt idx="2">
                  <c:v>88.396176314391923</c:v>
                </c:pt>
                <c:pt idx="3">
                  <c:v>86.055950137701117</c:v>
                </c:pt>
                <c:pt idx="4">
                  <c:v>85.772181212910695</c:v>
                </c:pt>
                <c:pt idx="5">
                  <c:v>86.558073654390938</c:v>
                </c:pt>
                <c:pt idx="6">
                  <c:v>88.762785484096966</c:v>
                </c:pt>
                <c:pt idx="7">
                  <c:v>90.807143846047353</c:v>
                </c:pt>
                <c:pt idx="8">
                  <c:v>88.684890520875825</c:v>
                </c:pt>
                <c:pt idx="9">
                  <c:v>91.349823321554766</c:v>
                </c:pt>
                <c:pt idx="10">
                  <c:v>96.411159263271941</c:v>
                </c:pt>
                <c:pt idx="11">
                  <c:v>94.503668835663859</c:v>
                </c:pt>
                <c:pt idx="12">
                  <c:v>94.980853391684903</c:v>
                </c:pt>
                <c:pt idx="13">
                  <c:v>96.381230116648993</c:v>
                </c:pt>
                <c:pt idx="14">
                  <c:v>97.244456108122293</c:v>
                </c:pt>
                <c:pt idx="15">
                  <c:v>95.75060073352725</c:v>
                </c:pt>
                <c:pt idx="16">
                  <c:v>96.8</c:v>
                </c:pt>
                <c:pt idx="17">
                  <c:v>97.293526785714292</c:v>
                </c:pt>
                <c:pt idx="18">
                  <c:v>97.022532188841197</c:v>
                </c:pt>
                <c:pt idx="19">
                  <c:v>96.598829105101757</c:v>
                </c:pt>
                <c:pt idx="20">
                  <c:v>98.651874736694282</c:v>
                </c:pt>
                <c:pt idx="21">
                  <c:v>98.429464906184847</c:v>
                </c:pt>
                <c:pt idx="22">
                  <c:v>98.382247673586249</c:v>
                </c:pt>
                <c:pt idx="23">
                  <c:v>98.321443558539656</c:v>
                </c:pt>
                <c:pt idx="24">
                  <c:v>98.560022811519815</c:v>
                </c:pt>
                <c:pt idx="25">
                  <c:v>97.626071077398507</c:v>
                </c:pt>
                <c:pt idx="26">
                  <c:v>97.884382158738717</c:v>
                </c:pt>
                <c:pt idx="27">
                  <c:v>97.98364354201918</c:v>
                </c:pt>
                <c:pt idx="28">
                  <c:v>98.04205946337926</c:v>
                </c:pt>
                <c:pt idx="29">
                  <c:v>99.174612210046959</c:v>
                </c:pt>
                <c:pt idx="30">
                  <c:v>98.798433913865267</c:v>
                </c:pt>
                <c:pt idx="31">
                  <c:v>97.158207267071958</c:v>
                </c:pt>
                <c:pt idx="32">
                  <c:v>90.868728725765877</c:v>
                </c:pt>
                <c:pt idx="33">
                  <c:v>85.575079872204469</c:v>
                </c:pt>
                <c:pt idx="34">
                  <c:v>90.268767377201115</c:v>
                </c:pt>
                <c:pt idx="35">
                  <c:v>92.974683544303801</c:v>
                </c:pt>
                <c:pt idx="36">
                  <c:v>96.892834495878247</c:v>
                </c:pt>
                <c:pt idx="37">
                  <c:v>97.176241480038954</c:v>
                </c:pt>
                <c:pt idx="38">
                  <c:v>97.115384615384613</c:v>
                </c:pt>
                <c:pt idx="39">
                  <c:v>97.7</c:v>
                </c:pt>
                <c:pt idx="40">
                  <c:v>97.7</c:v>
                </c:pt>
                <c:pt idx="41">
                  <c:v>97.293233082706763</c:v>
                </c:pt>
                <c:pt idx="42">
                  <c:v>97.4</c:v>
                </c:pt>
                <c:pt idx="43">
                  <c:v>97</c:v>
                </c:pt>
                <c:pt idx="44">
                  <c:v>96.075778078484433</c:v>
                </c:pt>
                <c:pt idx="45">
                  <c:v>97.2</c:v>
                </c:pt>
                <c:pt idx="46">
                  <c:v>96.5</c:v>
                </c:pt>
                <c:pt idx="47">
                  <c:v>95.6</c:v>
                </c:pt>
                <c:pt idx="48">
                  <c:v>94.4</c:v>
                </c:pt>
                <c:pt idx="49">
                  <c:v>96.2</c:v>
                </c:pt>
                <c:pt idx="50">
                  <c:v>96.219035202086047</c:v>
                </c:pt>
                <c:pt idx="51">
                  <c:v>96.645962732919259</c:v>
                </c:pt>
                <c:pt idx="52">
                  <c:v>96.599496221662477</c:v>
                </c:pt>
                <c:pt idx="53">
                  <c:v>96.875</c:v>
                </c:pt>
                <c:pt idx="54">
                  <c:v>96.6</c:v>
                </c:pt>
                <c:pt idx="55">
                  <c:v>97.264770240700216</c:v>
                </c:pt>
                <c:pt idx="56">
                  <c:v>97.387669801462906</c:v>
                </c:pt>
                <c:pt idx="57">
                  <c:v>97.5</c:v>
                </c:pt>
                <c:pt idx="58">
                  <c:v>97.859327217125383</c:v>
                </c:pt>
                <c:pt idx="59">
                  <c:v>97.729422894985774</c:v>
                </c:pt>
                <c:pt idx="60">
                  <c:v>95.762711864406796</c:v>
                </c:pt>
                <c:pt idx="61">
                  <c:v>97.1</c:v>
                </c:pt>
                <c:pt idx="62">
                  <c:v>97.690941385435181</c:v>
                </c:pt>
                <c:pt idx="63">
                  <c:v>96.078431372549034</c:v>
                </c:pt>
                <c:pt idx="64">
                  <c:v>95.41353383458646</c:v>
                </c:pt>
                <c:pt idx="65">
                  <c:v>97.023809523809518</c:v>
                </c:pt>
                <c:pt idx="66">
                  <c:v>97.891777933942365</c:v>
                </c:pt>
                <c:pt idx="67">
                  <c:v>96.526386105544432</c:v>
                </c:pt>
                <c:pt idx="68">
                  <c:v>96.742470805162867</c:v>
                </c:pt>
                <c:pt idx="69">
                  <c:v>98.059964726631392</c:v>
                </c:pt>
                <c:pt idx="70">
                  <c:v>98.352344740177443</c:v>
                </c:pt>
                <c:pt idx="71">
                  <c:v>96.980461811722918</c:v>
                </c:pt>
                <c:pt idx="72">
                  <c:v>97.1</c:v>
                </c:pt>
                <c:pt idx="73">
                  <c:v>97</c:v>
                </c:pt>
                <c:pt idx="74">
                  <c:v>97.567389875082171</c:v>
                </c:pt>
              </c:numCache>
            </c:numRef>
          </c:val>
          <c:smooth val="0"/>
          <c:extLst>
            <c:ext xmlns:c16="http://schemas.microsoft.com/office/drawing/2014/chart" uri="{C3380CC4-5D6E-409C-BE32-E72D297353CC}">
              <c16:uniqueId val="{0000000A-9D4B-49B7-88B4-460392E7045B}"/>
            </c:ext>
          </c:extLst>
        </c:ser>
        <c:dLbls>
          <c:showLegendKey val="0"/>
          <c:showVal val="0"/>
          <c:showCatName val="0"/>
          <c:showSerName val="0"/>
          <c:showPercent val="0"/>
          <c:showBubbleSize val="0"/>
        </c:dLbls>
        <c:marker val="1"/>
        <c:smooth val="0"/>
        <c:axId val="267481472"/>
        <c:axId val="267483008"/>
      </c:lineChart>
      <c:lineChart>
        <c:grouping val="standard"/>
        <c:varyColors val="0"/>
        <c:ser>
          <c:idx val="10"/>
          <c:order val="10"/>
          <c:tx>
            <c:strRef>
              <c:f>'Wykres 25 | B'!$B$12</c:f>
              <c:strCache>
                <c:ptCount val="1"/>
                <c:pt idx="0">
                  <c:v>Wskaźnik nowych inwestycji (prawa oś)</c:v>
                </c:pt>
              </c:strCache>
            </c:strRef>
          </c:tx>
          <c:spPr>
            <a:ln>
              <a:solidFill>
                <a:srgbClr val="00B0F0"/>
              </a:solidFill>
            </a:ln>
          </c:spPr>
          <c:marker>
            <c:symbol val="none"/>
          </c:marker>
          <c:cat>
            <c:strRef>
              <c:f>'Wykres 25 | B'!$C$1:$BY$1</c:f>
              <c:strCache>
                <c:ptCount val="75"/>
                <c:pt idx="0">
                  <c:v>2001</c:v>
                </c:pt>
                <c:pt idx="1">
                  <c:v>II-01</c:v>
                </c:pt>
                <c:pt idx="2">
                  <c:v>III-01</c:v>
                </c:pt>
                <c:pt idx="3">
                  <c:v>IV-01</c:v>
                </c:pt>
                <c:pt idx="4">
                  <c:v>2002</c:v>
                </c:pt>
                <c:pt idx="5">
                  <c:v>II-02</c:v>
                </c:pt>
                <c:pt idx="6">
                  <c:v>III-02</c:v>
                </c:pt>
                <c:pt idx="7">
                  <c:v>IV-02</c:v>
                </c:pt>
                <c:pt idx="8">
                  <c:v>2003</c:v>
                </c:pt>
                <c:pt idx="9">
                  <c:v>II-03</c:v>
                </c:pt>
                <c:pt idx="10">
                  <c:v>III-03</c:v>
                </c:pt>
                <c:pt idx="11">
                  <c:v>IV-03</c:v>
                </c:pt>
                <c:pt idx="12">
                  <c:v>2004</c:v>
                </c:pt>
                <c:pt idx="13">
                  <c:v>II-04</c:v>
                </c:pt>
                <c:pt idx="14">
                  <c:v>III-04</c:v>
                </c:pt>
                <c:pt idx="15">
                  <c:v>IV-04</c:v>
                </c:pt>
                <c:pt idx="16">
                  <c:v>2005</c:v>
                </c:pt>
                <c:pt idx="17">
                  <c:v>II-05</c:v>
                </c:pt>
                <c:pt idx="18">
                  <c:v>III-05</c:v>
                </c:pt>
                <c:pt idx="19">
                  <c:v>IV-05</c:v>
                </c:pt>
                <c:pt idx="20">
                  <c:v>2006</c:v>
                </c:pt>
                <c:pt idx="21">
                  <c:v>II-06</c:v>
                </c:pt>
                <c:pt idx="22">
                  <c:v>III-06</c:v>
                </c:pt>
                <c:pt idx="23">
                  <c:v>IV-06</c:v>
                </c:pt>
                <c:pt idx="24">
                  <c:v>2007</c:v>
                </c:pt>
                <c:pt idx="25">
                  <c:v>II-07</c:v>
                </c:pt>
                <c:pt idx="26">
                  <c:v>III-07</c:v>
                </c:pt>
                <c:pt idx="27">
                  <c:v>IV-07</c:v>
                </c:pt>
                <c:pt idx="28">
                  <c:v>2008</c:v>
                </c:pt>
                <c:pt idx="29">
                  <c:v>II-08</c:v>
                </c:pt>
                <c:pt idx="30">
                  <c:v>III-08</c:v>
                </c:pt>
                <c:pt idx="31">
                  <c:v>IV-08</c:v>
                </c:pt>
                <c:pt idx="32">
                  <c:v>2009</c:v>
                </c:pt>
                <c:pt idx="33">
                  <c:v>II-09</c:v>
                </c:pt>
                <c:pt idx="34">
                  <c:v>III-09</c:v>
                </c:pt>
                <c:pt idx="35">
                  <c:v>IV-09</c:v>
                </c:pt>
                <c:pt idx="36">
                  <c:v>2010</c:v>
                </c:pt>
                <c:pt idx="37">
                  <c:v>II-10</c:v>
                </c:pt>
                <c:pt idx="38">
                  <c:v>III-10</c:v>
                </c:pt>
                <c:pt idx="39">
                  <c:v>IV-10</c:v>
                </c:pt>
                <c:pt idx="40">
                  <c:v>2011</c:v>
                </c:pt>
                <c:pt idx="41">
                  <c:v>II-11</c:v>
                </c:pt>
                <c:pt idx="42">
                  <c:v>III-11</c:v>
                </c:pt>
                <c:pt idx="43">
                  <c:v>IV-11</c:v>
                </c:pt>
                <c:pt idx="44">
                  <c:v>2012</c:v>
                </c:pt>
                <c:pt idx="45">
                  <c:v>II-12</c:v>
                </c:pt>
                <c:pt idx="46">
                  <c:v>III-12</c:v>
                </c:pt>
                <c:pt idx="47">
                  <c:v>IV-12</c:v>
                </c:pt>
                <c:pt idx="48">
                  <c:v>2013</c:v>
                </c:pt>
                <c:pt idx="49">
                  <c:v>II-13</c:v>
                </c:pt>
                <c:pt idx="50">
                  <c:v>III-13</c:v>
                </c:pt>
                <c:pt idx="51">
                  <c:v>IV-13</c:v>
                </c:pt>
                <c:pt idx="52">
                  <c:v>2014</c:v>
                </c:pt>
                <c:pt idx="53">
                  <c:v>II-14</c:v>
                </c:pt>
                <c:pt idx="54">
                  <c:v>III-14</c:v>
                </c:pt>
                <c:pt idx="55">
                  <c:v>IV-14</c:v>
                </c:pt>
                <c:pt idx="56">
                  <c:v>2015</c:v>
                </c:pt>
                <c:pt idx="57">
                  <c:v>II-15</c:v>
                </c:pt>
                <c:pt idx="58">
                  <c:v>III-15</c:v>
                </c:pt>
                <c:pt idx="59">
                  <c:v>IV-15</c:v>
                </c:pt>
                <c:pt idx="60">
                  <c:v>2016</c:v>
                </c:pt>
                <c:pt idx="61">
                  <c:v>II-16</c:v>
                </c:pt>
                <c:pt idx="62">
                  <c:v>III-16</c:v>
                </c:pt>
                <c:pt idx="63">
                  <c:v>IV-16</c:v>
                </c:pt>
                <c:pt idx="64">
                  <c:v>2017</c:v>
                </c:pt>
                <c:pt idx="65">
                  <c:v>II-17</c:v>
                </c:pt>
                <c:pt idx="66">
                  <c:v>III-17</c:v>
                </c:pt>
                <c:pt idx="67">
                  <c:v>IV-17</c:v>
                </c:pt>
                <c:pt idx="68">
                  <c:v>2018</c:v>
                </c:pt>
                <c:pt idx="69">
                  <c:v>II-17</c:v>
                </c:pt>
                <c:pt idx="70">
                  <c:v>III-18</c:v>
                </c:pt>
                <c:pt idx="71">
                  <c:v>IV-18</c:v>
                </c:pt>
                <c:pt idx="72">
                  <c:v>I-19</c:v>
                </c:pt>
                <c:pt idx="73">
                  <c:v>II-19</c:v>
                </c:pt>
                <c:pt idx="74">
                  <c:v>III-19</c:v>
                </c:pt>
              </c:strCache>
            </c:strRef>
          </c:cat>
          <c:val>
            <c:numRef>
              <c:f>'Wykres 25 | B'!$C$12:$BY$12</c:f>
              <c:numCache>
                <c:formatCode>0.0</c:formatCode>
                <c:ptCount val="75"/>
                <c:pt idx="0">
                  <c:v>21.75</c:v>
                </c:pt>
                <c:pt idx="1">
                  <c:v>27.59</c:v>
                </c:pt>
                <c:pt idx="2">
                  <c:v>21.64</c:v>
                </c:pt>
                <c:pt idx="3">
                  <c:v>17.97</c:v>
                </c:pt>
                <c:pt idx="4">
                  <c:v>17.850000000000001</c:v>
                </c:pt>
                <c:pt idx="5">
                  <c:v>20.85</c:v>
                </c:pt>
                <c:pt idx="6">
                  <c:v>19.829999999999998</c:v>
                </c:pt>
                <c:pt idx="7">
                  <c:v>21.86</c:v>
                </c:pt>
                <c:pt idx="8">
                  <c:v>23.71</c:v>
                </c:pt>
                <c:pt idx="9">
                  <c:v>27.68</c:v>
                </c:pt>
                <c:pt idx="10">
                  <c:v>26.28</c:v>
                </c:pt>
                <c:pt idx="11">
                  <c:v>25.2</c:v>
                </c:pt>
                <c:pt idx="12">
                  <c:v>27.04</c:v>
                </c:pt>
                <c:pt idx="13">
                  <c:v>33.54</c:v>
                </c:pt>
                <c:pt idx="14">
                  <c:v>31.63</c:v>
                </c:pt>
                <c:pt idx="15">
                  <c:v>25.75</c:v>
                </c:pt>
                <c:pt idx="16">
                  <c:v>35.6</c:v>
                </c:pt>
                <c:pt idx="17">
                  <c:v>36.86</c:v>
                </c:pt>
                <c:pt idx="18">
                  <c:v>34.31</c:v>
                </c:pt>
                <c:pt idx="19">
                  <c:v>25.1</c:v>
                </c:pt>
                <c:pt idx="20">
                  <c:v>32.72</c:v>
                </c:pt>
                <c:pt idx="21">
                  <c:v>34.15</c:v>
                </c:pt>
                <c:pt idx="22">
                  <c:v>31.59</c:v>
                </c:pt>
                <c:pt idx="23">
                  <c:v>26.52</c:v>
                </c:pt>
                <c:pt idx="24">
                  <c:v>38.5</c:v>
                </c:pt>
                <c:pt idx="25">
                  <c:v>38.53</c:v>
                </c:pt>
                <c:pt idx="26">
                  <c:v>37.74</c:v>
                </c:pt>
                <c:pt idx="27">
                  <c:v>27.47</c:v>
                </c:pt>
                <c:pt idx="28">
                  <c:v>46.15</c:v>
                </c:pt>
                <c:pt idx="29">
                  <c:v>35.03</c:v>
                </c:pt>
                <c:pt idx="30">
                  <c:v>32.4</c:v>
                </c:pt>
                <c:pt idx="31">
                  <c:v>21.48</c:v>
                </c:pt>
                <c:pt idx="32">
                  <c:v>22.07</c:v>
                </c:pt>
                <c:pt idx="33">
                  <c:v>17.690000000000001</c:v>
                </c:pt>
                <c:pt idx="34">
                  <c:v>17.899999999999999</c:v>
                </c:pt>
                <c:pt idx="35">
                  <c:v>16.760000000000002</c:v>
                </c:pt>
                <c:pt idx="36">
                  <c:v>22.8</c:v>
                </c:pt>
                <c:pt idx="37">
                  <c:v>22.23</c:v>
                </c:pt>
                <c:pt idx="38">
                  <c:v>21.319796954314722</c:v>
                </c:pt>
                <c:pt idx="39">
                  <c:v>18.95</c:v>
                </c:pt>
                <c:pt idx="40">
                  <c:v>25.9</c:v>
                </c:pt>
                <c:pt idx="41">
                  <c:v>23.835616438356166</c:v>
                </c:pt>
                <c:pt idx="42">
                  <c:v>21.1</c:v>
                </c:pt>
                <c:pt idx="43">
                  <c:v>18.5</c:v>
                </c:pt>
                <c:pt idx="44">
                  <c:v>23.102040816326532</c:v>
                </c:pt>
                <c:pt idx="45">
                  <c:v>25.3</c:v>
                </c:pt>
                <c:pt idx="46">
                  <c:v>20.100000000000001</c:v>
                </c:pt>
                <c:pt idx="47">
                  <c:v>17.100000000000001</c:v>
                </c:pt>
                <c:pt idx="48">
                  <c:v>22.6</c:v>
                </c:pt>
                <c:pt idx="49">
                  <c:v>23.1</c:v>
                </c:pt>
                <c:pt idx="50">
                  <c:v>18.848580441640379</c:v>
                </c:pt>
                <c:pt idx="51">
                  <c:v>17.414860681114554</c:v>
                </c:pt>
                <c:pt idx="52">
                  <c:v>24.072672218016656</c:v>
                </c:pt>
                <c:pt idx="53">
                  <c:v>25</c:v>
                </c:pt>
                <c:pt idx="54">
                  <c:v>23</c:v>
                </c:pt>
                <c:pt idx="55">
                  <c:v>18.577348066298345</c:v>
                </c:pt>
                <c:pt idx="56">
                  <c:v>25.265957446808514</c:v>
                </c:pt>
                <c:pt idx="57">
                  <c:v>25.8</c:v>
                </c:pt>
                <c:pt idx="58">
                  <c:v>24.823151125401935</c:v>
                </c:pt>
                <c:pt idx="59">
                  <c:v>19.784817692767483</c:v>
                </c:pt>
                <c:pt idx="60">
                  <c:v>22.560275545350169</c:v>
                </c:pt>
                <c:pt idx="61">
                  <c:v>24.4</c:v>
                </c:pt>
                <c:pt idx="62">
                  <c:v>22.629310344827594</c:v>
                </c:pt>
                <c:pt idx="63">
                  <c:v>19.598236158745713</c:v>
                </c:pt>
                <c:pt idx="64">
                  <c:v>23.030303030303031</c:v>
                </c:pt>
                <c:pt idx="65">
                  <c:v>24.094424094424095</c:v>
                </c:pt>
                <c:pt idx="66">
                  <c:v>23.066898349261511</c:v>
                </c:pt>
                <c:pt idx="67">
                  <c:v>19.747557003257331</c:v>
                </c:pt>
                <c:pt idx="68">
                  <c:v>23.594180102241445</c:v>
                </c:pt>
                <c:pt idx="69">
                  <c:v>25.6</c:v>
                </c:pt>
                <c:pt idx="70">
                  <c:v>23.132530120481928</c:v>
                </c:pt>
                <c:pt idx="71">
                  <c:v>18.587360594795538</c:v>
                </c:pt>
                <c:pt idx="72">
                  <c:v>24.9</c:v>
                </c:pt>
                <c:pt idx="73">
                  <c:v>23.8</c:v>
                </c:pt>
                <c:pt idx="74">
                  <c:v>21.373157486423583</c:v>
                </c:pt>
              </c:numCache>
            </c:numRef>
          </c:val>
          <c:smooth val="0"/>
          <c:extLst>
            <c:ext xmlns:c16="http://schemas.microsoft.com/office/drawing/2014/chart" uri="{C3380CC4-5D6E-409C-BE32-E72D297353CC}">
              <c16:uniqueId val="{0000000B-9D4B-49B7-88B4-460392E7045B}"/>
            </c:ext>
          </c:extLst>
        </c:ser>
        <c:dLbls>
          <c:showLegendKey val="0"/>
          <c:showVal val="0"/>
          <c:showCatName val="0"/>
          <c:showSerName val="0"/>
          <c:showPercent val="0"/>
          <c:showBubbleSize val="0"/>
        </c:dLbls>
        <c:marker val="1"/>
        <c:smooth val="0"/>
        <c:axId val="267494528"/>
        <c:axId val="267484544"/>
      </c:lineChart>
      <c:catAx>
        <c:axId val="267481472"/>
        <c:scaling>
          <c:orientation val="minMax"/>
        </c:scaling>
        <c:delete val="0"/>
        <c:axPos val="b"/>
        <c:numFmt formatCode="General" sourceLinked="0"/>
        <c:majorTickMark val="out"/>
        <c:minorTickMark val="none"/>
        <c:tickLblPos val="nextTo"/>
        <c:crossAx val="267483008"/>
        <c:crosses val="autoZero"/>
        <c:auto val="1"/>
        <c:lblAlgn val="ctr"/>
        <c:lblOffset val="100"/>
        <c:noMultiLvlLbl val="0"/>
      </c:catAx>
      <c:valAx>
        <c:axId val="267483008"/>
        <c:scaling>
          <c:orientation val="minMax"/>
        </c:scaling>
        <c:delete val="0"/>
        <c:axPos val="l"/>
        <c:majorGridlines/>
        <c:numFmt formatCode="0" sourceLinked="0"/>
        <c:majorTickMark val="out"/>
        <c:minorTickMark val="none"/>
        <c:tickLblPos val="nextTo"/>
        <c:crossAx val="267481472"/>
        <c:crosses val="autoZero"/>
        <c:crossBetween val="between"/>
      </c:valAx>
      <c:valAx>
        <c:axId val="267484544"/>
        <c:scaling>
          <c:orientation val="minMax"/>
        </c:scaling>
        <c:delete val="0"/>
        <c:axPos val="r"/>
        <c:numFmt formatCode="0" sourceLinked="0"/>
        <c:majorTickMark val="out"/>
        <c:minorTickMark val="none"/>
        <c:tickLblPos val="nextTo"/>
        <c:crossAx val="267494528"/>
        <c:crosses val="max"/>
        <c:crossBetween val="between"/>
      </c:valAx>
      <c:catAx>
        <c:axId val="267494528"/>
        <c:scaling>
          <c:orientation val="minMax"/>
        </c:scaling>
        <c:delete val="1"/>
        <c:axPos val="b"/>
        <c:numFmt formatCode="General" sourceLinked="1"/>
        <c:majorTickMark val="out"/>
        <c:minorTickMark val="none"/>
        <c:tickLblPos val="nextTo"/>
        <c:crossAx val="267484544"/>
        <c:crosses val="autoZero"/>
        <c:auto val="1"/>
        <c:lblAlgn val="ctr"/>
        <c:lblOffset val="100"/>
        <c:noMultiLvlLbl val="0"/>
      </c:catAx>
    </c:plotArea>
    <c:legend>
      <c:legendPos val="r"/>
      <c:layout>
        <c:manualLayout>
          <c:xMode val="edge"/>
          <c:yMode val="edge"/>
          <c:x val="8.8782239666062718E-2"/>
          <c:y val="0.80690421017610015"/>
          <c:w val="0.82831310182464069"/>
          <c:h val="0.19117419100041966"/>
        </c:manualLayout>
      </c:layout>
      <c:overlay val="0"/>
    </c:legend>
    <c:plotVisOnly val="1"/>
    <c:dispBlanksAs val="gap"/>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289614425811832E-2"/>
          <c:y val="3.8905002505336253E-2"/>
          <c:w val="0.85839225117780793"/>
          <c:h val="0.83558675637315605"/>
        </c:manualLayout>
      </c:layout>
      <c:lineChart>
        <c:grouping val="standard"/>
        <c:varyColors val="0"/>
        <c:ser>
          <c:idx val="0"/>
          <c:order val="0"/>
          <c:tx>
            <c:strRef>
              <c:f>Sheet1!$B$1</c:f>
              <c:strCache>
                <c:ptCount val="1"/>
                <c:pt idx="0">
                  <c:v>PKB per capita</c:v>
                </c:pt>
              </c:strCache>
            </c:strRef>
          </c:tx>
          <c:marker>
            <c:symbol val="none"/>
          </c:marker>
          <c:cat>
            <c:strRef>
              <c:f>Sheet1!$A$2:$A$13</c:f>
              <c:strCach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strCache>
            </c:strRef>
          </c:cat>
          <c:val>
            <c:numRef>
              <c:f>Sheet1!$B$2:$B$13</c:f>
              <c:numCache>
                <c:formatCode>General</c:formatCode>
                <c:ptCount val="12"/>
                <c:pt idx="0">
                  <c:v>7</c:v>
                </c:pt>
                <c:pt idx="1">
                  <c:v>4.2</c:v>
                </c:pt>
                <c:pt idx="2">
                  <c:v>2.8</c:v>
                </c:pt>
                <c:pt idx="3">
                  <c:v>3.6</c:v>
                </c:pt>
                <c:pt idx="4">
                  <c:v>5</c:v>
                </c:pt>
                <c:pt idx="5">
                  <c:v>1.6</c:v>
                </c:pt>
                <c:pt idx="6">
                  <c:v>1.4</c:v>
                </c:pt>
                <c:pt idx="7">
                  <c:v>3.3</c:v>
                </c:pt>
                <c:pt idx="8">
                  <c:v>3.8</c:v>
                </c:pt>
                <c:pt idx="9">
                  <c:v>3.1</c:v>
                </c:pt>
                <c:pt idx="10">
                  <c:v>4.8</c:v>
                </c:pt>
                <c:pt idx="11">
                  <c:v>5.0999999999999996</c:v>
                </c:pt>
              </c:numCache>
            </c:numRef>
          </c:val>
          <c:smooth val="0"/>
          <c:extLst>
            <c:ext xmlns:c16="http://schemas.microsoft.com/office/drawing/2014/chart" uri="{C3380CC4-5D6E-409C-BE32-E72D297353CC}">
              <c16:uniqueId val="{00000000-4C7C-4198-8FDD-AB0DE1140026}"/>
            </c:ext>
          </c:extLst>
        </c:ser>
        <c:ser>
          <c:idx val="1"/>
          <c:order val="1"/>
          <c:tx>
            <c:strRef>
              <c:f>Sheet1!$C$1</c:f>
              <c:strCache>
                <c:ptCount val="1"/>
                <c:pt idx="0">
                  <c:v>dochód rozporządzalny per capita wg PPS</c:v>
                </c:pt>
              </c:strCache>
            </c:strRef>
          </c:tx>
          <c:spPr>
            <a:ln>
              <a:solidFill>
                <a:srgbClr val="7030A0"/>
              </a:solidFill>
            </a:ln>
          </c:spPr>
          <c:marker>
            <c:symbol val="none"/>
          </c:marker>
          <c:cat>
            <c:strRef>
              <c:f>Sheet1!$A$2:$A$13</c:f>
              <c:strCach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strCache>
            </c:strRef>
          </c:cat>
          <c:val>
            <c:numRef>
              <c:f>Sheet1!$C$2:$C$13</c:f>
              <c:numCache>
                <c:formatCode>General</c:formatCode>
                <c:ptCount val="12"/>
                <c:pt idx="0">
                  <c:v>11.138014527845041</c:v>
                </c:pt>
                <c:pt idx="1">
                  <c:v>4.2246850430993632</c:v>
                </c:pt>
                <c:pt idx="2">
                  <c:v>3.053712623829874</c:v>
                </c:pt>
                <c:pt idx="3">
                  <c:v>9.4100008819119942</c:v>
                </c:pt>
                <c:pt idx="4">
                  <c:v>4.6348541028534473</c:v>
                </c:pt>
                <c:pt idx="5">
                  <c:v>5.9702642323395727</c:v>
                </c:pt>
                <c:pt idx="6">
                  <c:v>1.0177377144518831</c:v>
                </c:pt>
                <c:pt idx="7">
                  <c:v>3.0080598733448478</c:v>
                </c:pt>
                <c:pt idx="8">
                  <c:v>5.7286572586279227</c:v>
                </c:pt>
                <c:pt idx="9">
                  <c:v>1.387604070305271</c:v>
                </c:pt>
                <c:pt idx="10">
                  <c:v>2.2158498435870699</c:v>
                </c:pt>
              </c:numCache>
            </c:numRef>
          </c:val>
          <c:smooth val="0"/>
          <c:extLst>
            <c:ext xmlns:c16="http://schemas.microsoft.com/office/drawing/2014/chart" uri="{C3380CC4-5D6E-409C-BE32-E72D297353CC}">
              <c16:uniqueId val="{00000001-4C7C-4198-8FDD-AB0DE1140026}"/>
            </c:ext>
          </c:extLst>
        </c:ser>
        <c:ser>
          <c:idx val="2"/>
          <c:order val="2"/>
          <c:tx>
            <c:strRef>
              <c:f>Sheet1!$D$1</c:f>
              <c:strCache>
                <c:ptCount val="1"/>
                <c:pt idx="0">
                  <c:v>wydajność pracy </c:v>
                </c:pt>
              </c:strCache>
            </c:strRef>
          </c:tx>
          <c:marker>
            <c:symbol val="none"/>
          </c:marker>
          <c:cat>
            <c:strRef>
              <c:f>Sheet1!$A$2:$A$13</c:f>
              <c:strCach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strCache>
            </c:strRef>
          </c:cat>
          <c:val>
            <c:numRef>
              <c:f>Sheet1!$D$2:$D$13</c:f>
              <c:numCache>
                <c:formatCode>General</c:formatCode>
                <c:ptCount val="12"/>
                <c:pt idx="0">
                  <c:v>2.4</c:v>
                </c:pt>
                <c:pt idx="1">
                  <c:v>0.4</c:v>
                </c:pt>
                <c:pt idx="2">
                  <c:v>2.4</c:v>
                </c:pt>
                <c:pt idx="3">
                  <c:v>6.4</c:v>
                </c:pt>
                <c:pt idx="4">
                  <c:v>4.4000000000000004</c:v>
                </c:pt>
                <c:pt idx="5">
                  <c:v>1.5</c:v>
                </c:pt>
                <c:pt idx="6">
                  <c:v>1.5</c:v>
                </c:pt>
                <c:pt idx="7">
                  <c:v>1.6</c:v>
                </c:pt>
                <c:pt idx="8">
                  <c:v>2.2999999999999998</c:v>
                </c:pt>
                <c:pt idx="9">
                  <c:v>2.2000000000000002</c:v>
                </c:pt>
                <c:pt idx="10">
                  <c:v>3.4</c:v>
                </c:pt>
                <c:pt idx="11">
                  <c:v>4.8</c:v>
                </c:pt>
              </c:numCache>
            </c:numRef>
          </c:val>
          <c:smooth val="0"/>
          <c:extLst>
            <c:ext xmlns:c16="http://schemas.microsoft.com/office/drawing/2014/chart" uri="{C3380CC4-5D6E-409C-BE32-E72D297353CC}">
              <c16:uniqueId val="{00000002-4C7C-4198-8FDD-AB0DE1140026}"/>
            </c:ext>
          </c:extLst>
        </c:ser>
        <c:dLbls>
          <c:showLegendKey val="0"/>
          <c:showVal val="0"/>
          <c:showCatName val="0"/>
          <c:showSerName val="0"/>
          <c:showPercent val="0"/>
          <c:showBubbleSize val="0"/>
        </c:dLbls>
        <c:smooth val="0"/>
        <c:axId val="259911680"/>
        <c:axId val="259913216"/>
      </c:lineChart>
      <c:catAx>
        <c:axId val="259911680"/>
        <c:scaling>
          <c:orientation val="minMax"/>
        </c:scaling>
        <c:delete val="0"/>
        <c:axPos val="b"/>
        <c:numFmt formatCode="General" sourceLinked="0"/>
        <c:majorTickMark val="out"/>
        <c:minorTickMark val="none"/>
        <c:tickLblPos val="nextTo"/>
        <c:txPr>
          <a:bodyPr rot="2700000"/>
          <a:lstStyle/>
          <a:p>
            <a:pPr>
              <a:defRPr/>
            </a:pPr>
            <a:endParaRPr lang="pl-PL"/>
          </a:p>
        </c:txPr>
        <c:crossAx val="259913216"/>
        <c:crosses val="autoZero"/>
        <c:auto val="1"/>
        <c:lblAlgn val="ctr"/>
        <c:lblOffset val="100"/>
        <c:noMultiLvlLbl val="0"/>
      </c:catAx>
      <c:valAx>
        <c:axId val="259913216"/>
        <c:scaling>
          <c:orientation val="minMax"/>
        </c:scaling>
        <c:delete val="0"/>
        <c:axPos val="l"/>
        <c:majorGridlines>
          <c:spPr>
            <a:ln>
              <a:solidFill>
                <a:schemeClr val="bg1">
                  <a:lumMod val="75000"/>
                  <a:alpha val="32000"/>
                </a:schemeClr>
              </a:solidFill>
            </a:ln>
            <a:effectLst>
              <a:glow>
                <a:schemeClr val="accent1"/>
              </a:glow>
            </a:effectLst>
          </c:spPr>
        </c:majorGridlines>
        <c:numFmt formatCode="General" sourceLinked="1"/>
        <c:majorTickMark val="out"/>
        <c:minorTickMark val="none"/>
        <c:tickLblPos val="nextTo"/>
        <c:crossAx val="259911680"/>
        <c:crosses val="autoZero"/>
        <c:crossBetween val="midCat"/>
      </c:valAx>
    </c:plotArea>
    <c:legend>
      <c:legendPos val="r"/>
      <c:layout>
        <c:manualLayout>
          <c:xMode val="edge"/>
          <c:yMode val="edge"/>
          <c:x val="0.44502088272755197"/>
          <c:y val="5.7604247372707945E-2"/>
          <c:w val="0.52617797252330911"/>
          <c:h val="0.27857187004037232"/>
        </c:manualLayout>
      </c:layout>
      <c:overlay val="0"/>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'Wykres 25 | C'!$B$2</c:f>
              <c:strCache>
                <c:ptCount val="1"/>
                <c:pt idx="0">
                  <c:v>Wskaźnik bieżącej oceny sytuacji ekonomicznej </c:v>
                </c:pt>
              </c:strCache>
            </c:strRef>
          </c:tx>
          <c:invertIfNegative val="0"/>
          <c:cat>
            <c:strRef>
              <c:f>'Wykres 25 | C'!$C$1:$BX$1</c:f>
              <c:strCache>
                <c:ptCount val="74"/>
                <c:pt idx="0">
                  <c:v>2001</c:v>
                </c:pt>
                <c:pt idx="1">
                  <c:v>II-01</c:v>
                </c:pt>
                <c:pt idx="2">
                  <c:v>III-01</c:v>
                </c:pt>
                <c:pt idx="3">
                  <c:v>IV-01</c:v>
                </c:pt>
                <c:pt idx="4">
                  <c:v>2002</c:v>
                </c:pt>
                <c:pt idx="5">
                  <c:v>II-02</c:v>
                </c:pt>
                <c:pt idx="6">
                  <c:v>III-02</c:v>
                </c:pt>
                <c:pt idx="7">
                  <c:v>IV-02</c:v>
                </c:pt>
                <c:pt idx="8">
                  <c:v>2003</c:v>
                </c:pt>
                <c:pt idx="9">
                  <c:v>II-03</c:v>
                </c:pt>
                <c:pt idx="10">
                  <c:v>III-03</c:v>
                </c:pt>
                <c:pt idx="11">
                  <c:v>IV-03</c:v>
                </c:pt>
                <c:pt idx="12">
                  <c:v>2004</c:v>
                </c:pt>
                <c:pt idx="13">
                  <c:v>II-04</c:v>
                </c:pt>
                <c:pt idx="14">
                  <c:v>III-04</c:v>
                </c:pt>
                <c:pt idx="15">
                  <c:v>IV-04</c:v>
                </c:pt>
                <c:pt idx="16">
                  <c:v>2005</c:v>
                </c:pt>
                <c:pt idx="17">
                  <c:v>II-05</c:v>
                </c:pt>
                <c:pt idx="18">
                  <c:v>III-05</c:v>
                </c:pt>
                <c:pt idx="19">
                  <c:v>IV-05</c:v>
                </c:pt>
                <c:pt idx="20">
                  <c:v>2006</c:v>
                </c:pt>
                <c:pt idx="21">
                  <c:v>II-06</c:v>
                </c:pt>
                <c:pt idx="22">
                  <c:v>III-06</c:v>
                </c:pt>
                <c:pt idx="23">
                  <c:v>IV-06</c:v>
                </c:pt>
                <c:pt idx="24">
                  <c:v>2007</c:v>
                </c:pt>
                <c:pt idx="25">
                  <c:v>II-07</c:v>
                </c:pt>
                <c:pt idx="26">
                  <c:v>III-07</c:v>
                </c:pt>
                <c:pt idx="27">
                  <c:v>IV-07</c:v>
                </c:pt>
                <c:pt idx="28">
                  <c:v>2008</c:v>
                </c:pt>
                <c:pt idx="29">
                  <c:v>II-08</c:v>
                </c:pt>
                <c:pt idx="30">
                  <c:v>III-08</c:v>
                </c:pt>
                <c:pt idx="31">
                  <c:v>IV-08</c:v>
                </c:pt>
                <c:pt idx="32">
                  <c:v>2009</c:v>
                </c:pt>
                <c:pt idx="33">
                  <c:v>II-09</c:v>
                </c:pt>
                <c:pt idx="34">
                  <c:v>III-09</c:v>
                </c:pt>
                <c:pt idx="35">
                  <c:v>IV-09</c:v>
                </c:pt>
                <c:pt idx="36">
                  <c:v>2010</c:v>
                </c:pt>
                <c:pt idx="37">
                  <c:v>II-10</c:v>
                </c:pt>
                <c:pt idx="38">
                  <c:v>III-10</c:v>
                </c:pt>
                <c:pt idx="39">
                  <c:v>IV-10</c:v>
                </c:pt>
                <c:pt idx="40">
                  <c:v>2011</c:v>
                </c:pt>
                <c:pt idx="41">
                  <c:v>II-11</c:v>
                </c:pt>
                <c:pt idx="42">
                  <c:v>III-11</c:v>
                </c:pt>
                <c:pt idx="43">
                  <c:v>IV-11</c:v>
                </c:pt>
                <c:pt idx="44">
                  <c:v>2012</c:v>
                </c:pt>
                <c:pt idx="45">
                  <c:v>II-12</c:v>
                </c:pt>
                <c:pt idx="46">
                  <c:v>III-12</c:v>
                </c:pt>
                <c:pt idx="47">
                  <c:v>IV-12</c:v>
                </c:pt>
                <c:pt idx="48">
                  <c:v>2013</c:v>
                </c:pt>
                <c:pt idx="49">
                  <c:v>II-13</c:v>
                </c:pt>
                <c:pt idx="50">
                  <c:v>III-13</c:v>
                </c:pt>
                <c:pt idx="51">
                  <c:v>IV-13</c:v>
                </c:pt>
                <c:pt idx="52">
                  <c:v>2014</c:v>
                </c:pt>
                <c:pt idx="53">
                  <c:v>II-14</c:v>
                </c:pt>
                <c:pt idx="54">
                  <c:v>III-14</c:v>
                </c:pt>
                <c:pt idx="55">
                  <c:v>IV-14</c:v>
                </c:pt>
                <c:pt idx="56">
                  <c:v>2015</c:v>
                </c:pt>
                <c:pt idx="57">
                  <c:v>II-15</c:v>
                </c:pt>
                <c:pt idx="58">
                  <c:v>III-15</c:v>
                </c:pt>
                <c:pt idx="59">
                  <c:v>IV-15</c:v>
                </c:pt>
                <c:pt idx="60">
                  <c:v>2016</c:v>
                </c:pt>
                <c:pt idx="61">
                  <c:v>II-16</c:v>
                </c:pt>
                <c:pt idx="62">
                  <c:v>III-16</c:v>
                </c:pt>
                <c:pt idx="63">
                  <c:v>IV-16</c:v>
                </c:pt>
                <c:pt idx="64">
                  <c:v>2017</c:v>
                </c:pt>
                <c:pt idx="65">
                  <c:v>II-17</c:v>
                </c:pt>
                <c:pt idx="66">
                  <c:v>III-17</c:v>
                </c:pt>
                <c:pt idx="67">
                  <c:v>IV-17</c:v>
                </c:pt>
                <c:pt idx="68">
                  <c:v>2018</c:v>
                </c:pt>
                <c:pt idx="69">
                  <c:v>II-17</c:v>
                </c:pt>
                <c:pt idx="70">
                  <c:v>III-18</c:v>
                </c:pt>
                <c:pt idx="71">
                  <c:v>IV-18</c:v>
                </c:pt>
                <c:pt idx="72">
                  <c:v>I-19</c:v>
                </c:pt>
                <c:pt idx="73">
                  <c:v>II-19</c:v>
                </c:pt>
              </c:strCache>
            </c:strRef>
          </c:cat>
          <c:val>
            <c:numRef>
              <c:f>'Wykres 25 | C'!$C$2:$BX$2</c:f>
            </c:numRef>
          </c:val>
          <c:extLst>
            <c:ext xmlns:c16="http://schemas.microsoft.com/office/drawing/2014/chart" uri="{C3380CC4-5D6E-409C-BE32-E72D297353CC}">
              <c16:uniqueId val="{00000000-0967-4218-995A-534E71B21E68}"/>
            </c:ext>
          </c:extLst>
        </c:ser>
        <c:ser>
          <c:idx val="1"/>
          <c:order val="1"/>
          <c:tx>
            <c:strRef>
              <c:f>'Wykres 25 | C'!$B$3</c:f>
              <c:strCache>
                <c:ptCount val="1"/>
                <c:pt idx="0">
                  <c:v>Wskaźnik prognoz sytuacji ekonomicznej przedsiębiorstw </c:v>
                </c:pt>
              </c:strCache>
            </c:strRef>
          </c:tx>
          <c:invertIfNegative val="0"/>
          <c:cat>
            <c:strRef>
              <c:f>'Wykres 25 | C'!$C$1:$BX$1</c:f>
              <c:strCache>
                <c:ptCount val="74"/>
                <c:pt idx="0">
                  <c:v>2001</c:v>
                </c:pt>
                <c:pt idx="1">
                  <c:v>II-01</c:v>
                </c:pt>
                <c:pt idx="2">
                  <c:v>III-01</c:v>
                </c:pt>
                <c:pt idx="3">
                  <c:v>IV-01</c:v>
                </c:pt>
                <c:pt idx="4">
                  <c:v>2002</c:v>
                </c:pt>
                <c:pt idx="5">
                  <c:v>II-02</c:v>
                </c:pt>
                <c:pt idx="6">
                  <c:v>III-02</c:v>
                </c:pt>
                <c:pt idx="7">
                  <c:v>IV-02</c:v>
                </c:pt>
                <c:pt idx="8">
                  <c:v>2003</c:v>
                </c:pt>
                <c:pt idx="9">
                  <c:v>II-03</c:v>
                </c:pt>
                <c:pt idx="10">
                  <c:v>III-03</c:v>
                </c:pt>
                <c:pt idx="11">
                  <c:v>IV-03</c:v>
                </c:pt>
                <c:pt idx="12">
                  <c:v>2004</c:v>
                </c:pt>
                <c:pt idx="13">
                  <c:v>II-04</c:v>
                </c:pt>
                <c:pt idx="14">
                  <c:v>III-04</c:v>
                </c:pt>
                <c:pt idx="15">
                  <c:v>IV-04</c:v>
                </c:pt>
                <c:pt idx="16">
                  <c:v>2005</c:v>
                </c:pt>
                <c:pt idx="17">
                  <c:v>II-05</c:v>
                </c:pt>
                <c:pt idx="18">
                  <c:v>III-05</c:v>
                </c:pt>
                <c:pt idx="19">
                  <c:v>IV-05</c:v>
                </c:pt>
                <c:pt idx="20">
                  <c:v>2006</c:v>
                </c:pt>
                <c:pt idx="21">
                  <c:v>II-06</c:v>
                </c:pt>
                <c:pt idx="22">
                  <c:v>III-06</c:v>
                </c:pt>
                <c:pt idx="23">
                  <c:v>IV-06</c:v>
                </c:pt>
                <c:pt idx="24">
                  <c:v>2007</c:v>
                </c:pt>
                <c:pt idx="25">
                  <c:v>II-07</c:v>
                </c:pt>
                <c:pt idx="26">
                  <c:v>III-07</c:v>
                </c:pt>
                <c:pt idx="27">
                  <c:v>IV-07</c:v>
                </c:pt>
                <c:pt idx="28">
                  <c:v>2008</c:v>
                </c:pt>
                <c:pt idx="29">
                  <c:v>II-08</c:v>
                </c:pt>
                <c:pt idx="30">
                  <c:v>III-08</c:v>
                </c:pt>
                <c:pt idx="31">
                  <c:v>IV-08</c:v>
                </c:pt>
                <c:pt idx="32">
                  <c:v>2009</c:v>
                </c:pt>
                <c:pt idx="33">
                  <c:v>II-09</c:v>
                </c:pt>
                <c:pt idx="34">
                  <c:v>III-09</c:v>
                </c:pt>
                <c:pt idx="35">
                  <c:v>IV-09</c:v>
                </c:pt>
                <c:pt idx="36">
                  <c:v>2010</c:v>
                </c:pt>
                <c:pt idx="37">
                  <c:v>II-10</c:v>
                </c:pt>
                <c:pt idx="38">
                  <c:v>III-10</c:v>
                </c:pt>
                <c:pt idx="39">
                  <c:v>IV-10</c:v>
                </c:pt>
                <c:pt idx="40">
                  <c:v>2011</c:v>
                </c:pt>
                <c:pt idx="41">
                  <c:v>II-11</c:v>
                </c:pt>
                <c:pt idx="42">
                  <c:v>III-11</c:v>
                </c:pt>
                <c:pt idx="43">
                  <c:v>IV-11</c:v>
                </c:pt>
                <c:pt idx="44">
                  <c:v>2012</c:v>
                </c:pt>
                <c:pt idx="45">
                  <c:v>II-12</c:v>
                </c:pt>
                <c:pt idx="46">
                  <c:v>III-12</c:v>
                </c:pt>
                <c:pt idx="47">
                  <c:v>IV-12</c:v>
                </c:pt>
                <c:pt idx="48">
                  <c:v>2013</c:v>
                </c:pt>
                <c:pt idx="49">
                  <c:v>II-13</c:v>
                </c:pt>
                <c:pt idx="50">
                  <c:v>III-13</c:v>
                </c:pt>
                <c:pt idx="51">
                  <c:v>IV-13</c:v>
                </c:pt>
                <c:pt idx="52">
                  <c:v>2014</c:v>
                </c:pt>
                <c:pt idx="53">
                  <c:v>II-14</c:v>
                </c:pt>
                <c:pt idx="54">
                  <c:v>III-14</c:v>
                </c:pt>
                <c:pt idx="55">
                  <c:v>IV-14</c:v>
                </c:pt>
                <c:pt idx="56">
                  <c:v>2015</c:v>
                </c:pt>
                <c:pt idx="57">
                  <c:v>II-15</c:v>
                </c:pt>
                <c:pt idx="58">
                  <c:v>III-15</c:v>
                </c:pt>
                <c:pt idx="59">
                  <c:v>IV-15</c:v>
                </c:pt>
                <c:pt idx="60">
                  <c:v>2016</c:v>
                </c:pt>
                <c:pt idx="61">
                  <c:v>II-16</c:v>
                </c:pt>
                <c:pt idx="62">
                  <c:v>III-16</c:v>
                </c:pt>
                <c:pt idx="63">
                  <c:v>IV-16</c:v>
                </c:pt>
                <c:pt idx="64">
                  <c:v>2017</c:v>
                </c:pt>
                <c:pt idx="65">
                  <c:v>II-17</c:v>
                </c:pt>
                <c:pt idx="66">
                  <c:v>III-17</c:v>
                </c:pt>
                <c:pt idx="67">
                  <c:v>IV-17</c:v>
                </c:pt>
                <c:pt idx="68">
                  <c:v>2018</c:v>
                </c:pt>
                <c:pt idx="69">
                  <c:v>II-17</c:v>
                </c:pt>
                <c:pt idx="70">
                  <c:v>III-18</c:v>
                </c:pt>
                <c:pt idx="71">
                  <c:v>IV-18</c:v>
                </c:pt>
                <c:pt idx="72">
                  <c:v>I-19</c:v>
                </c:pt>
                <c:pt idx="73">
                  <c:v>II-19</c:v>
                </c:pt>
              </c:strCache>
            </c:strRef>
          </c:cat>
          <c:val>
            <c:numRef>
              <c:f>'Wykres 25 | C'!$C$3:$BX$3</c:f>
            </c:numRef>
          </c:val>
          <c:extLst>
            <c:ext xmlns:c16="http://schemas.microsoft.com/office/drawing/2014/chart" uri="{C3380CC4-5D6E-409C-BE32-E72D297353CC}">
              <c16:uniqueId val="{00000001-0967-4218-995A-534E71B21E68}"/>
            </c:ext>
          </c:extLst>
        </c:ser>
        <c:ser>
          <c:idx val="2"/>
          <c:order val="2"/>
          <c:tx>
            <c:strRef>
              <c:f>'Wykres 25 | C'!$B$4</c:f>
              <c:strCache>
                <c:ptCount val="1"/>
                <c:pt idx="0">
                  <c:v>Wskaźnik rocznych prognoz sytuacji ekonomicznej</c:v>
                </c:pt>
              </c:strCache>
            </c:strRef>
          </c:tx>
          <c:invertIfNegative val="0"/>
          <c:cat>
            <c:strRef>
              <c:f>'Wykres 25 | C'!$C$1:$BX$1</c:f>
              <c:strCache>
                <c:ptCount val="74"/>
                <c:pt idx="0">
                  <c:v>2001</c:v>
                </c:pt>
                <c:pt idx="1">
                  <c:v>II-01</c:v>
                </c:pt>
                <c:pt idx="2">
                  <c:v>III-01</c:v>
                </c:pt>
                <c:pt idx="3">
                  <c:v>IV-01</c:v>
                </c:pt>
                <c:pt idx="4">
                  <c:v>2002</c:v>
                </c:pt>
                <c:pt idx="5">
                  <c:v>II-02</c:v>
                </c:pt>
                <c:pt idx="6">
                  <c:v>III-02</c:v>
                </c:pt>
                <c:pt idx="7">
                  <c:v>IV-02</c:v>
                </c:pt>
                <c:pt idx="8">
                  <c:v>2003</c:v>
                </c:pt>
                <c:pt idx="9">
                  <c:v>II-03</c:v>
                </c:pt>
                <c:pt idx="10">
                  <c:v>III-03</c:v>
                </c:pt>
                <c:pt idx="11">
                  <c:v>IV-03</c:v>
                </c:pt>
                <c:pt idx="12">
                  <c:v>2004</c:v>
                </c:pt>
                <c:pt idx="13">
                  <c:v>II-04</c:v>
                </c:pt>
                <c:pt idx="14">
                  <c:v>III-04</c:v>
                </c:pt>
                <c:pt idx="15">
                  <c:v>IV-04</c:v>
                </c:pt>
                <c:pt idx="16">
                  <c:v>2005</c:v>
                </c:pt>
                <c:pt idx="17">
                  <c:v>II-05</c:v>
                </c:pt>
                <c:pt idx="18">
                  <c:v>III-05</c:v>
                </c:pt>
                <c:pt idx="19">
                  <c:v>IV-05</c:v>
                </c:pt>
                <c:pt idx="20">
                  <c:v>2006</c:v>
                </c:pt>
                <c:pt idx="21">
                  <c:v>II-06</c:v>
                </c:pt>
                <c:pt idx="22">
                  <c:v>III-06</c:v>
                </c:pt>
                <c:pt idx="23">
                  <c:v>IV-06</c:v>
                </c:pt>
                <c:pt idx="24">
                  <c:v>2007</c:v>
                </c:pt>
                <c:pt idx="25">
                  <c:v>II-07</c:v>
                </c:pt>
                <c:pt idx="26">
                  <c:v>III-07</c:v>
                </c:pt>
                <c:pt idx="27">
                  <c:v>IV-07</c:v>
                </c:pt>
                <c:pt idx="28">
                  <c:v>2008</c:v>
                </c:pt>
                <c:pt idx="29">
                  <c:v>II-08</c:v>
                </c:pt>
                <c:pt idx="30">
                  <c:v>III-08</c:v>
                </c:pt>
                <c:pt idx="31">
                  <c:v>IV-08</c:v>
                </c:pt>
                <c:pt idx="32">
                  <c:v>2009</c:v>
                </c:pt>
                <c:pt idx="33">
                  <c:v>II-09</c:v>
                </c:pt>
                <c:pt idx="34">
                  <c:v>III-09</c:v>
                </c:pt>
                <c:pt idx="35">
                  <c:v>IV-09</c:v>
                </c:pt>
                <c:pt idx="36">
                  <c:v>2010</c:v>
                </c:pt>
                <c:pt idx="37">
                  <c:v>II-10</c:v>
                </c:pt>
                <c:pt idx="38">
                  <c:v>III-10</c:v>
                </c:pt>
                <c:pt idx="39">
                  <c:v>IV-10</c:v>
                </c:pt>
                <c:pt idx="40">
                  <c:v>2011</c:v>
                </c:pt>
                <c:pt idx="41">
                  <c:v>II-11</c:v>
                </c:pt>
                <c:pt idx="42">
                  <c:v>III-11</c:v>
                </c:pt>
                <c:pt idx="43">
                  <c:v>IV-11</c:v>
                </c:pt>
                <c:pt idx="44">
                  <c:v>2012</c:v>
                </c:pt>
                <c:pt idx="45">
                  <c:v>II-12</c:v>
                </c:pt>
                <c:pt idx="46">
                  <c:v>III-12</c:v>
                </c:pt>
                <c:pt idx="47">
                  <c:v>IV-12</c:v>
                </c:pt>
                <c:pt idx="48">
                  <c:v>2013</c:v>
                </c:pt>
                <c:pt idx="49">
                  <c:v>II-13</c:v>
                </c:pt>
                <c:pt idx="50">
                  <c:v>III-13</c:v>
                </c:pt>
                <c:pt idx="51">
                  <c:v>IV-13</c:v>
                </c:pt>
                <c:pt idx="52">
                  <c:v>2014</c:v>
                </c:pt>
                <c:pt idx="53">
                  <c:v>II-14</c:v>
                </c:pt>
                <c:pt idx="54">
                  <c:v>III-14</c:v>
                </c:pt>
                <c:pt idx="55">
                  <c:v>IV-14</c:v>
                </c:pt>
                <c:pt idx="56">
                  <c:v>2015</c:v>
                </c:pt>
                <c:pt idx="57">
                  <c:v>II-15</c:v>
                </c:pt>
                <c:pt idx="58">
                  <c:v>III-15</c:v>
                </c:pt>
                <c:pt idx="59">
                  <c:v>IV-15</c:v>
                </c:pt>
                <c:pt idx="60">
                  <c:v>2016</c:v>
                </c:pt>
                <c:pt idx="61">
                  <c:v>II-16</c:v>
                </c:pt>
                <c:pt idx="62">
                  <c:v>III-16</c:v>
                </c:pt>
                <c:pt idx="63">
                  <c:v>IV-16</c:v>
                </c:pt>
                <c:pt idx="64">
                  <c:v>2017</c:v>
                </c:pt>
                <c:pt idx="65">
                  <c:v>II-17</c:v>
                </c:pt>
                <c:pt idx="66">
                  <c:v>III-17</c:v>
                </c:pt>
                <c:pt idx="67">
                  <c:v>IV-17</c:v>
                </c:pt>
                <c:pt idx="68">
                  <c:v>2018</c:v>
                </c:pt>
                <c:pt idx="69">
                  <c:v>II-17</c:v>
                </c:pt>
                <c:pt idx="70">
                  <c:v>III-18</c:v>
                </c:pt>
                <c:pt idx="71">
                  <c:v>IV-18</c:v>
                </c:pt>
                <c:pt idx="72">
                  <c:v>I-19</c:v>
                </c:pt>
                <c:pt idx="73">
                  <c:v>II-19</c:v>
                </c:pt>
              </c:strCache>
            </c:strRef>
          </c:cat>
          <c:val>
            <c:numRef>
              <c:f>'Wykres 25 | C'!$C$4:$BX$4</c:f>
            </c:numRef>
          </c:val>
          <c:extLst>
            <c:ext xmlns:c16="http://schemas.microsoft.com/office/drawing/2014/chart" uri="{C3380CC4-5D6E-409C-BE32-E72D297353CC}">
              <c16:uniqueId val="{00000002-0967-4218-995A-534E71B21E68}"/>
            </c:ext>
          </c:extLst>
        </c:ser>
        <c:ser>
          <c:idx val="3"/>
          <c:order val="3"/>
          <c:tx>
            <c:strRef>
              <c:f>'Wykres 25 | C'!$B$5</c:f>
              <c:strCache>
                <c:ptCount val="1"/>
                <c:pt idx="0">
                  <c:v>Wskaźnik prognoz popytu</c:v>
                </c:pt>
              </c:strCache>
            </c:strRef>
          </c:tx>
          <c:invertIfNegative val="0"/>
          <c:cat>
            <c:strRef>
              <c:f>'Wykres 25 | C'!$C$1:$BX$1</c:f>
              <c:strCache>
                <c:ptCount val="74"/>
                <c:pt idx="0">
                  <c:v>2001</c:v>
                </c:pt>
                <c:pt idx="1">
                  <c:v>II-01</c:v>
                </c:pt>
                <c:pt idx="2">
                  <c:v>III-01</c:v>
                </c:pt>
                <c:pt idx="3">
                  <c:v>IV-01</c:v>
                </c:pt>
                <c:pt idx="4">
                  <c:v>2002</c:v>
                </c:pt>
                <c:pt idx="5">
                  <c:v>II-02</c:v>
                </c:pt>
                <c:pt idx="6">
                  <c:v>III-02</c:v>
                </c:pt>
                <c:pt idx="7">
                  <c:v>IV-02</c:v>
                </c:pt>
                <c:pt idx="8">
                  <c:v>2003</c:v>
                </c:pt>
                <c:pt idx="9">
                  <c:v>II-03</c:v>
                </c:pt>
                <c:pt idx="10">
                  <c:v>III-03</c:v>
                </c:pt>
                <c:pt idx="11">
                  <c:v>IV-03</c:v>
                </c:pt>
                <c:pt idx="12">
                  <c:v>2004</c:v>
                </c:pt>
                <c:pt idx="13">
                  <c:v>II-04</c:v>
                </c:pt>
                <c:pt idx="14">
                  <c:v>III-04</c:v>
                </c:pt>
                <c:pt idx="15">
                  <c:v>IV-04</c:v>
                </c:pt>
                <c:pt idx="16">
                  <c:v>2005</c:v>
                </c:pt>
                <c:pt idx="17">
                  <c:v>II-05</c:v>
                </c:pt>
                <c:pt idx="18">
                  <c:v>III-05</c:v>
                </c:pt>
                <c:pt idx="19">
                  <c:v>IV-05</c:v>
                </c:pt>
                <c:pt idx="20">
                  <c:v>2006</c:v>
                </c:pt>
                <c:pt idx="21">
                  <c:v>II-06</c:v>
                </c:pt>
                <c:pt idx="22">
                  <c:v>III-06</c:v>
                </c:pt>
                <c:pt idx="23">
                  <c:v>IV-06</c:v>
                </c:pt>
                <c:pt idx="24">
                  <c:v>2007</c:v>
                </c:pt>
                <c:pt idx="25">
                  <c:v>II-07</c:v>
                </c:pt>
                <c:pt idx="26">
                  <c:v>III-07</c:v>
                </c:pt>
                <c:pt idx="27">
                  <c:v>IV-07</c:v>
                </c:pt>
                <c:pt idx="28">
                  <c:v>2008</c:v>
                </c:pt>
                <c:pt idx="29">
                  <c:v>II-08</c:v>
                </c:pt>
                <c:pt idx="30">
                  <c:v>III-08</c:v>
                </c:pt>
                <c:pt idx="31">
                  <c:v>IV-08</c:v>
                </c:pt>
                <c:pt idx="32">
                  <c:v>2009</c:v>
                </c:pt>
                <c:pt idx="33">
                  <c:v>II-09</c:v>
                </c:pt>
                <c:pt idx="34">
                  <c:v>III-09</c:v>
                </c:pt>
                <c:pt idx="35">
                  <c:v>IV-09</c:v>
                </c:pt>
                <c:pt idx="36">
                  <c:v>2010</c:v>
                </c:pt>
                <c:pt idx="37">
                  <c:v>II-10</c:v>
                </c:pt>
                <c:pt idx="38">
                  <c:v>III-10</c:v>
                </c:pt>
                <c:pt idx="39">
                  <c:v>IV-10</c:v>
                </c:pt>
                <c:pt idx="40">
                  <c:v>2011</c:v>
                </c:pt>
                <c:pt idx="41">
                  <c:v>II-11</c:v>
                </c:pt>
                <c:pt idx="42">
                  <c:v>III-11</c:v>
                </c:pt>
                <c:pt idx="43">
                  <c:v>IV-11</c:v>
                </c:pt>
                <c:pt idx="44">
                  <c:v>2012</c:v>
                </c:pt>
                <c:pt idx="45">
                  <c:v>II-12</c:v>
                </c:pt>
                <c:pt idx="46">
                  <c:v>III-12</c:v>
                </c:pt>
                <c:pt idx="47">
                  <c:v>IV-12</c:v>
                </c:pt>
                <c:pt idx="48">
                  <c:v>2013</c:v>
                </c:pt>
                <c:pt idx="49">
                  <c:v>II-13</c:v>
                </c:pt>
                <c:pt idx="50">
                  <c:v>III-13</c:v>
                </c:pt>
                <c:pt idx="51">
                  <c:v>IV-13</c:v>
                </c:pt>
                <c:pt idx="52">
                  <c:v>2014</c:v>
                </c:pt>
                <c:pt idx="53">
                  <c:v>II-14</c:v>
                </c:pt>
                <c:pt idx="54">
                  <c:v>III-14</c:v>
                </c:pt>
                <c:pt idx="55">
                  <c:v>IV-14</c:v>
                </c:pt>
                <c:pt idx="56">
                  <c:v>2015</c:v>
                </c:pt>
                <c:pt idx="57">
                  <c:v>II-15</c:v>
                </c:pt>
                <c:pt idx="58">
                  <c:v>III-15</c:v>
                </c:pt>
                <c:pt idx="59">
                  <c:v>IV-15</c:v>
                </c:pt>
                <c:pt idx="60">
                  <c:v>2016</c:v>
                </c:pt>
                <c:pt idx="61">
                  <c:v>II-16</c:v>
                </c:pt>
                <c:pt idx="62">
                  <c:v>III-16</c:v>
                </c:pt>
                <c:pt idx="63">
                  <c:v>IV-16</c:v>
                </c:pt>
                <c:pt idx="64">
                  <c:v>2017</c:v>
                </c:pt>
                <c:pt idx="65">
                  <c:v>II-17</c:v>
                </c:pt>
                <c:pt idx="66">
                  <c:v>III-17</c:v>
                </c:pt>
                <c:pt idx="67">
                  <c:v>IV-17</c:v>
                </c:pt>
                <c:pt idx="68">
                  <c:v>2018</c:v>
                </c:pt>
                <c:pt idx="69">
                  <c:v>II-17</c:v>
                </c:pt>
                <c:pt idx="70">
                  <c:v>III-18</c:v>
                </c:pt>
                <c:pt idx="71">
                  <c:v>IV-18</c:v>
                </c:pt>
                <c:pt idx="72">
                  <c:v>I-19</c:v>
                </c:pt>
                <c:pt idx="73">
                  <c:v>II-19</c:v>
                </c:pt>
              </c:strCache>
            </c:strRef>
          </c:cat>
          <c:val>
            <c:numRef>
              <c:f>'Wykres 25 | C'!$C$5:$BX$5</c:f>
            </c:numRef>
          </c:val>
          <c:extLst>
            <c:ext xmlns:c16="http://schemas.microsoft.com/office/drawing/2014/chart" uri="{C3380CC4-5D6E-409C-BE32-E72D297353CC}">
              <c16:uniqueId val="{00000003-0967-4218-995A-534E71B21E68}"/>
            </c:ext>
          </c:extLst>
        </c:ser>
        <c:ser>
          <c:idx val="4"/>
          <c:order val="4"/>
          <c:tx>
            <c:strRef>
              <c:f>'Wykres 25 | C'!$B$6</c:f>
              <c:strCache>
                <c:ptCount val="1"/>
                <c:pt idx="0">
                  <c:v>Wskaźnik nowych zamówień</c:v>
                </c:pt>
              </c:strCache>
            </c:strRef>
          </c:tx>
          <c:invertIfNegative val="0"/>
          <c:cat>
            <c:strRef>
              <c:f>'Wykres 25 | C'!$C$1:$BX$1</c:f>
              <c:strCache>
                <c:ptCount val="74"/>
                <c:pt idx="0">
                  <c:v>2001</c:v>
                </c:pt>
                <c:pt idx="1">
                  <c:v>II-01</c:v>
                </c:pt>
                <c:pt idx="2">
                  <c:v>III-01</c:v>
                </c:pt>
                <c:pt idx="3">
                  <c:v>IV-01</c:v>
                </c:pt>
                <c:pt idx="4">
                  <c:v>2002</c:v>
                </c:pt>
                <c:pt idx="5">
                  <c:v>II-02</c:v>
                </c:pt>
                <c:pt idx="6">
                  <c:v>III-02</c:v>
                </c:pt>
                <c:pt idx="7">
                  <c:v>IV-02</c:v>
                </c:pt>
                <c:pt idx="8">
                  <c:v>2003</c:v>
                </c:pt>
                <c:pt idx="9">
                  <c:v>II-03</c:v>
                </c:pt>
                <c:pt idx="10">
                  <c:v>III-03</c:v>
                </c:pt>
                <c:pt idx="11">
                  <c:v>IV-03</c:v>
                </c:pt>
                <c:pt idx="12">
                  <c:v>2004</c:v>
                </c:pt>
                <c:pt idx="13">
                  <c:v>II-04</c:v>
                </c:pt>
                <c:pt idx="14">
                  <c:v>III-04</c:v>
                </c:pt>
                <c:pt idx="15">
                  <c:v>IV-04</c:v>
                </c:pt>
                <c:pt idx="16">
                  <c:v>2005</c:v>
                </c:pt>
                <c:pt idx="17">
                  <c:v>II-05</c:v>
                </c:pt>
                <c:pt idx="18">
                  <c:v>III-05</c:v>
                </c:pt>
                <c:pt idx="19">
                  <c:v>IV-05</c:v>
                </c:pt>
                <c:pt idx="20">
                  <c:v>2006</c:v>
                </c:pt>
                <c:pt idx="21">
                  <c:v>II-06</c:v>
                </c:pt>
                <c:pt idx="22">
                  <c:v>III-06</c:v>
                </c:pt>
                <c:pt idx="23">
                  <c:v>IV-06</c:v>
                </c:pt>
                <c:pt idx="24">
                  <c:v>2007</c:v>
                </c:pt>
                <c:pt idx="25">
                  <c:v>II-07</c:v>
                </c:pt>
                <c:pt idx="26">
                  <c:v>III-07</c:v>
                </c:pt>
                <c:pt idx="27">
                  <c:v>IV-07</c:v>
                </c:pt>
                <c:pt idx="28">
                  <c:v>2008</c:v>
                </c:pt>
                <c:pt idx="29">
                  <c:v>II-08</c:v>
                </c:pt>
                <c:pt idx="30">
                  <c:v>III-08</c:v>
                </c:pt>
                <c:pt idx="31">
                  <c:v>IV-08</c:v>
                </c:pt>
                <c:pt idx="32">
                  <c:v>2009</c:v>
                </c:pt>
                <c:pt idx="33">
                  <c:v>II-09</c:v>
                </c:pt>
                <c:pt idx="34">
                  <c:v>III-09</c:v>
                </c:pt>
                <c:pt idx="35">
                  <c:v>IV-09</c:v>
                </c:pt>
                <c:pt idx="36">
                  <c:v>2010</c:v>
                </c:pt>
                <c:pt idx="37">
                  <c:v>II-10</c:v>
                </c:pt>
                <c:pt idx="38">
                  <c:v>III-10</c:v>
                </c:pt>
                <c:pt idx="39">
                  <c:v>IV-10</c:v>
                </c:pt>
                <c:pt idx="40">
                  <c:v>2011</c:v>
                </c:pt>
                <c:pt idx="41">
                  <c:v>II-11</c:v>
                </c:pt>
                <c:pt idx="42">
                  <c:v>III-11</c:v>
                </c:pt>
                <c:pt idx="43">
                  <c:v>IV-11</c:v>
                </c:pt>
                <c:pt idx="44">
                  <c:v>2012</c:v>
                </c:pt>
                <c:pt idx="45">
                  <c:v>II-12</c:v>
                </c:pt>
                <c:pt idx="46">
                  <c:v>III-12</c:v>
                </c:pt>
                <c:pt idx="47">
                  <c:v>IV-12</c:v>
                </c:pt>
                <c:pt idx="48">
                  <c:v>2013</c:v>
                </c:pt>
                <c:pt idx="49">
                  <c:v>II-13</c:v>
                </c:pt>
                <c:pt idx="50">
                  <c:v>III-13</c:v>
                </c:pt>
                <c:pt idx="51">
                  <c:v>IV-13</c:v>
                </c:pt>
                <c:pt idx="52">
                  <c:v>2014</c:v>
                </c:pt>
                <c:pt idx="53">
                  <c:v>II-14</c:v>
                </c:pt>
                <c:pt idx="54">
                  <c:v>III-14</c:v>
                </c:pt>
                <c:pt idx="55">
                  <c:v>IV-14</c:v>
                </c:pt>
                <c:pt idx="56">
                  <c:v>2015</c:v>
                </c:pt>
                <c:pt idx="57">
                  <c:v>II-15</c:v>
                </c:pt>
                <c:pt idx="58">
                  <c:v>III-15</c:v>
                </c:pt>
                <c:pt idx="59">
                  <c:v>IV-15</c:v>
                </c:pt>
                <c:pt idx="60">
                  <c:v>2016</c:v>
                </c:pt>
                <c:pt idx="61">
                  <c:v>II-16</c:v>
                </c:pt>
                <c:pt idx="62">
                  <c:v>III-16</c:v>
                </c:pt>
                <c:pt idx="63">
                  <c:v>IV-16</c:v>
                </c:pt>
                <c:pt idx="64">
                  <c:v>2017</c:v>
                </c:pt>
                <c:pt idx="65">
                  <c:v>II-17</c:v>
                </c:pt>
                <c:pt idx="66">
                  <c:v>III-17</c:v>
                </c:pt>
                <c:pt idx="67">
                  <c:v>IV-17</c:v>
                </c:pt>
                <c:pt idx="68">
                  <c:v>2018</c:v>
                </c:pt>
                <c:pt idx="69">
                  <c:v>II-17</c:v>
                </c:pt>
                <c:pt idx="70">
                  <c:v>III-18</c:v>
                </c:pt>
                <c:pt idx="71">
                  <c:v>IV-18</c:v>
                </c:pt>
                <c:pt idx="72">
                  <c:v>I-19</c:v>
                </c:pt>
                <c:pt idx="73">
                  <c:v>II-19</c:v>
                </c:pt>
              </c:strCache>
            </c:strRef>
          </c:cat>
          <c:val>
            <c:numRef>
              <c:f>'Wykres 25 | C'!$C$6:$BX$6</c:f>
            </c:numRef>
          </c:val>
          <c:extLst>
            <c:ext xmlns:c16="http://schemas.microsoft.com/office/drawing/2014/chart" uri="{C3380CC4-5D6E-409C-BE32-E72D297353CC}">
              <c16:uniqueId val="{00000004-0967-4218-995A-534E71B21E68}"/>
            </c:ext>
          </c:extLst>
        </c:ser>
        <c:ser>
          <c:idx val="5"/>
          <c:order val="5"/>
          <c:tx>
            <c:strRef>
              <c:f>'Wykres 25 | C'!$B$7</c:f>
              <c:strCache>
                <c:ptCount val="1"/>
                <c:pt idx="0">
                  <c:v>Wskaźnik prognoz produkcji</c:v>
                </c:pt>
              </c:strCache>
            </c:strRef>
          </c:tx>
          <c:invertIfNegative val="0"/>
          <c:cat>
            <c:strRef>
              <c:f>'Wykres 25 | C'!$C$1:$BX$1</c:f>
              <c:strCache>
                <c:ptCount val="74"/>
                <c:pt idx="0">
                  <c:v>2001</c:v>
                </c:pt>
                <c:pt idx="1">
                  <c:v>II-01</c:v>
                </c:pt>
                <c:pt idx="2">
                  <c:v>III-01</c:v>
                </c:pt>
                <c:pt idx="3">
                  <c:v>IV-01</c:v>
                </c:pt>
                <c:pt idx="4">
                  <c:v>2002</c:v>
                </c:pt>
                <c:pt idx="5">
                  <c:v>II-02</c:v>
                </c:pt>
                <c:pt idx="6">
                  <c:v>III-02</c:v>
                </c:pt>
                <c:pt idx="7">
                  <c:v>IV-02</c:v>
                </c:pt>
                <c:pt idx="8">
                  <c:v>2003</c:v>
                </c:pt>
                <c:pt idx="9">
                  <c:v>II-03</c:v>
                </c:pt>
                <c:pt idx="10">
                  <c:v>III-03</c:v>
                </c:pt>
                <c:pt idx="11">
                  <c:v>IV-03</c:v>
                </c:pt>
                <c:pt idx="12">
                  <c:v>2004</c:v>
                </c:pt>
                <c:pt idx="13">
                  <c:v>II-04</c:v>
                </c:pt>
                <c:pt idx="14">
                  <c:v>III-04</c:v>
                </c:pt>
                <c:pt idx="15">
                  <c:v>IV-04</c:v>
                </c:pt>
                <c:pt idx="16">
                  <c:v>2005</c:v>
                </c:pt>
                <c:pt idx="17">
                  <c:v>II-05</c:v>
                </c:pt>
                <c:pt idx="18">
                  <c:v>III-05</c:v>
                </c:pt>
                <c:pt idx="19">
                  <c:v>IV-05</c:v>
                </c:pt>
                <c:pt idx="20">
                  <c:v>2006</c:v>
                </c:pt>
                <c:pt idx="21">
                  <c:v>II-06</c:v>
                </c:pt>
                <c:pt idx="22">
                  <c:v>III-06</c:v>
                </c:pt>
                <c:pt idx="23">
                  <c:v>IV-06</c:v>
                </c:pt>
                <c:pt idx="24">
                  <c:v>2007</c:v>
                </c:pt>
                <c:pt idx="25">
                  <c:v>II-07</c:v>
                </c:pt>
                <c:pt idx="26">
                  <c:v>III-07</c:v>
                </c:pt>
                <c:pt idx="27">
                  <c:v>IV-07</c:v>
                </c:pt>
                <c:pt idx="28">
                  <c:v>2008</c:v>
                </c:pt>
                <c:pt idx="29">
                  <c:v>II-08</c:v>
                </c:pt>
                <c:pt idx="30">
                  <c:v>III-08</c:v>
                </c:pt>
                <c:pt idx="31">
                  <c:v>IV-08</c:v>
                </c:pt>
                <c:pt idx="32">
                  <c:v>2009</c:v>
                </c:pt>
                <c:pt idx="33">
                  <c:v>II-09</c:v>
                </c:pt>
                <c:pt idx="34">
                  <c:v>III-09</c:v>
                </c:pt>
                <c:pt idx="35">
                  <c:v>IV-09</c:v>
                </c:pt>
                <c:pt idx="36">
                  <c:v>2010</c:v>
                </c:pt>
                <c:pt idx="37">
                  <c:v>II-10</c:v>
                </c:pt>
                <c:pt idx="38">
                  <c:v>III-10</c:v>
                </c:pt>
                <c:pt idx="39">
                  <c:v>IV-10</c:v>
                </c:pt>
                <c:pt idx="40">
                  <c:v>2011</c:v>
                </c:pt>
                <c:pt idx="41">
                  <c:v>II-11</c:v>
                </c:pt>
                <c:pt idx="42">
                  <c:v>III-11</c:v>
                </c:pt>
                <c:pt idx="43">
                  <c:v>IV-11</c:v>
                </c:pt>
                <c:pt idx="44">
                  <c:v>2012</c:v>
                </c:pt>
                <c:pt idx="45">
                  <c:v>II-12</c:v>
                </c:pt>
                <c:pt idx="46">
                  <c:v>III-12</c:v>
                </c:pt>
                <c:pt idx="47">
                  <c:v>IV-12</c:v>
                </c:pt>
                <c:pt idx="48">
                  <c:v>2013</c:v>
                </c:pt>
                <c:pt idx="49">
                  <c:v>II-13</c:v>
                </c:pt>
                <c:pt idx="50">
                  <c:v>III-13</c:v>
                </c:pt>
                <c:pt idx="51">
                  <c:v>IV-13</c:v>
                </c:pt>
                <c:pt idx="52">
                  <c:v>2014</c:v>
                </c:pt>
                <c:pt idx="53">
                  <c:v>II-14</c:v>
                </c:pt>
                <c:pt idx="54">
                  <c:v>III-14</c:v>
                </c:pt>
                <c:pt idx="55">
                  <c:v>IV-14</c:v>
                </c:pt>
                <c:pt idx="56">
                  <c:v>2015</c:v>
                </c:pt>
                <c:pt idx="57">
                  <c:v>II-15</c:v>
                </c:pt>
                <c:pt idx="58">
                  <c:v>III-15</c:v>
                </c:pt>
                <c:pt idx="59">
                  <c:v>IV-15</c:v>
                </c:pt>
                <c:pt idx="60">
                  <c:v>2016</c:v>
                </c:pt>
                <c:pt idx="61">
                  <c:v>II-16</c:v>
                </c:pt>
                <c:pt idx="62">
                  <c:v>III-16</c:v>
                </c:pt>
                <c:pt idx="63">
                  <c:v>IV-16</c:v>
                </c:pt>
                <c:pt idx="64">
                  <c:v>2017</c:v>
                </c:pt>
                <c:pt idx="65">
                  <c:v>II-17</c:v>
                </c:pt>
                <c:pt idx="66">
                  <c:v>III-17</c:v>
                </c:pt>
                <c:pt idx="67">
                  <c:v>IV-17</c:v>
                </c:pt>
                <c:pt idx="68">
                  <c:v>2018</c:v>
                </c:pt>
                <c:pt idx="69">
                  <c:v>II-17</c:v>
                </c:pt>
                <c:pt idx="70">
                  <c:v>III-18</c:v>
                </c:pt>
                <c:pt idx="71">
                  <c:v>IV-18</c:v>
                </c:pt>
                <c:pt idx="72">
                  <c:v>I-19</c:v>
                </c:pt>
                <c:pt idx="73">
                  <c:v>II-19</c:v>
                </c:pt>
              </c:strCache>
            </c:strRef>
          </c:cat>
          <c:val>
            <c:numRef>
              <c:f>'Wykres 25 | C'!$C$7:$BX$7</c:f>
            </c:numRef>
          </c:val>
          <c:extLst>
            <c:ext xmlns:c16="http://schemas.microsoft.com/office/drawing/2014/chart" uri="{C3380CC4-5D6E-409C-BE32-E72D297353CC}">
              <c16:uniqueId val="{00000005-0967-4218-995A-534E71B21E68}"/>
            </c:ext>
          </c:extLst>
        </c:ser>
        <c:ser>
          <c:idx val="6"/>
          <c:order val="6"/>
          <c:tx>
            <c:strRef>
              <c:f>'Wykres 25 | C'!$B$8</c:f>
              <c:strCache>
                <c:ptCount val="1"/>
                <c:pt idx="0">
                  <c:v>Wskaźnik umów eksportowych</c:v>
                </c:pt>
              </c:strCache>
            </c:strRef>
          </c:tx>
          <c:invertIfNegative val="0"/>
          <c:cat>
            <c:strRef>
              <c:f>'Wykres 25 | C'!$C$1:$BX$1</c:f>
              <c:strCache>
                <c:ptCount val="74"/>
                <c:pt idx="0">
                  <c:v>2001</c:v>
                </c:pt>
                <c:pt idx="1">
                  <c:v>II-01</c:v>
                </c:pt>
                <c:pt idx="2">
                  <c:v>III-01</c:v>
                </c:pt>
                <c:pt idx="3">
                  <c:v>IV-01</c:v>
                </c:pt>
                <c:pt idx="4">
                  <c:v>2002</c:v>
                </c:pt>
                <c:pt idx="5">
                  <c:v>II-02</c:v>
                </c:pt>
                <c:pt idx="6">
                  <c:v>III-02</c:v>
                </c:pt>
                <c:pt idx="7">
                  <c:v>IV-02</c:v>
                </c:pt>
                <c:pt idx="8">
                  <c:v>2003</c:v>
                </c:pt>
                <c:pt idx="9">
                  <c:v>II-03</c:v>
                </c:pt>
                <c:pt idx="10">
                  <c:v>III-03</c:v>
                </c:pt>
                <c:pt idx="11">
                  <c:v>IV-03</c:v>
                </c:pt>
                <c:pt idx="12">
                  <c:v>2004</c:v>
                </c:pt>
                <c:pt idx="13">
                  <c:v>II-04</c:v>
                </c:pt>
                <c:pt idx="14">
                  <c:v>III-04</c:v>
                </c:pt>
                <c:pt idx="15">
                  <c:v>IV-04</c:v>
                </c:pt>
                <c:pt idx="16">
                  <c:v>2005</c:v>
                </c:pt>
                <c:pt idx="17">
                  <c:v>II-05</c:v>
                </c:pt>
                <c:pt idx="18">
                  <c:v>III-05</c:v>
                </c:pt>
                <c:pt idx="19">
                  <c:v>IV-05</c:v>
                </c:pt>
                <c:pt idx="20">
                  <c:v>2006</c:v>
                </c:pt>
                <c:pt idx="21">
                  <c:v>II-06</c:v>
                </c:pt>
                <c:pt idx="22">
                  <c:v>III-06</c:v>
                </c:pt>
                <c:pt idx="23">
                  <c:v>IV-06</c:v>
                </c:pt>
                <c:pt idx="24">
                  <c:v>2007</c:v>
                </c:pt>
                <c:pt idx="25">
                  <c:v>II-07</c:v>
                </c:pt>
                <c:pt idx="26">
                  <c:v>III-07</c:v>
                </c:pt>
                <c:pt idx="27">
                  <c:v>IV-07</c:v>
                </c:pt>
                <c:pt idx="28">
                  <c:v>2008</c:v>
                </c:pt>
                <c:pt idx="29">
                  <c:v>II-08</c:v>
                </c:pt>
                <c:pt idx="30">
                  <c:v>III-08</c:v>
                </c:pt>
                <c:pt idx="31">
                  <c:v>IV-08</c:v>
                </c:pt>
                <c:pt idx="32">
                  <c:v>2009</c:v>
                </c:pt>
                <c:pt idx="33">
                  <c:v>II-09</c:v>
                </c:pt>
                <c:pt idx="34">
                  <c:v>III-09</c:v>
                </c:pt>
                <c:pt idx="35">
                  <c:v>IV-09</c:v>
                </c:pt>
                <c:pt idx="36">
                  <c:v>2010</c:v>
                </c:pt>
                <c:pt idx="37">
                  <c:v>II-10</c:v>
                </c:pt>
                <c:pt idx="38">
                  <c:v>III-10</c:v>
                </c:pt>
                <c:pt idx="39">
                  <c:v>IV-10</c:v>
                </c:pt>
                <c:pt idx="40">
                  <c:v>2011</c:v>
                </c:pt>
                <c:pt idx="41">
                  <c:v>II-11</c:v>
                </c:pt>
                <c:pt idx="42">
                  <c:v>III-11</c:v>
                </c:pt>
                <c:pt idx="43">
                  <c:v>IV-11</c:v>
                </c:pt>
                <c:pt idx="44">
                  <c:v>2012</c:v>
                </c:pt>
                <c:pt idx="45">
                  <c:v>II-12</c:v>
                </c:pt>
                <c:pt idx="46">
                  <c:v>III-12</c:v>
                </c:pt>
                <c:pt idx="47">
                  <c:v>IV-12</c:v>
                </c:pt>
                <c:pt idx="48">
                  <c:v>2013</c:v>
                </c:pt>
                <c:pt idx="49">
                  <c:v>II-13</c:v>
                </c:pt>
                <c:pt idx="50">
                  <c:v>III-13</c:v>
                </c:pt>
                <c:pt idx="51">
                  <c:v>IV-13</c:v>
                </c:pt>
                <c:pt idx="52">
                  <c:v>2014</c:v>
                </c:pt>
                <c:pt idx="53">
                  <c:v>II-14</c:v>
                </c:pt>
                <c:pt idx="54">
                  <c:v>III-14</c:v>
                </c:pt>
                <c:pt idx="55">
                  <c:v>IV-14</c:v>
                </c:pt>
                <c:pt idx="56">
                  <c:v>2015</c:v>
                </c:pt>
                <c:pt idx="57">
                  <c:v>II-15</c:v>
                </c:pt>
                <c:pt idx="58">
                  <c:v>III-15</c:v>
                </c:pt>
                <c:pt idx="59">
                  <c:v>IV-15</c:v>
                </c:pt>
                <c:pt idx="60">
                  <c:v>2016</c:v>
                </c:pt>
                <c:pt idx="61">
                  <c:v>II-16</c:v>
                </c:pt>
                <c:pt idx="62">
                  <c:v>III-16</c:v>
                </c:pt>
                <c:pt idx="63">
                  <c:v>IV-16</c:v>
                </c:pt>
                <c:pt idx="64">
                  <c:v>2017</c:v>
                </c:pt>
                <c:pt idx="65">
                  <c:v>II-17</c:v>
                </c:pt>
                <c:pt idx="66">
                  <c:v>III-17</c:v>
                </c:pt>
                <c:pt idx="67">
                  <c:v>IV-17</c:v>
                </c:pt>
                <c:pt idx="68">
                  <c:v>2018</c:v>
                </c:pt>
                <c:pt idx="69">
                  <c:v>II-17</c:v>
                </c:pt>
                <c:pt idx="70">
                  <c:v>III-18</c:v>
                </c:pt>
                <c:pt idx="71">
                  <c:v>IV-18</c:v>
                </c:pt>
                <c:pt idx="72">
                  <c:v>I-19</c:v>
                </c:pt>
                <c:pt idx="73">
                  <c:v>II-19</c:v>
                </c:pt>
              </c:strCache>
            </c:strRef>
          </c:cat>
          <c:val>
            <c:numRef>
              <c:f>'Wykres 25 | C'!$C$8:$BX$8</c:f>
            </c:numRef>
          </c:val>
          <c:extLst>
            <c:ext xmlns:c16="http://schemas.microsoft.com/office/drawing/2014/chart" uri="{C3380CC4-5D6E-409C-BE32-E72D297353CC}">
              <c16:uniqueId val="{00000006-0967-4218-995A-534E71B21E68}"/>
            </c:ext>
          </c:extLst>
        </c:ser>
        <c:ser>
          <c:idx val="7"/>
          <c:order val="7"/>
          <c:tx>
            <c:strRef>
              <c:f>'Wykres 25 | C'!$B$9</c:f>
              <c:strCache>
                <c:ptCount val="1"/>
                <c:pt idx="0">
                  <c:v>Wskaźnik prognoz eksportu</c:v>
                </c:pt>
              </c:strCache>
            </c:strRef>
          </c:tx>
          <c:invertIfNegative val="0"/>
          <c:cat>
            <c:strRef>
              <c:f>'Wykres 25 | C'!$C$1:$BX$1</c:f>
              <c:strCache>
                <c:ptCount val="74"/>
                <c:pt idx="0">
                  <c:v>2001</c:v>
                </c:pt>
                <c:pt idx="1">
                  <c:v>II-01</c:v>
                </c:pt>
                <c:pt idx="2">
                  <c:v>III-01</c:v>
                </c:pt>
                <c:pt idx="3">
                  <c:v>IV-01</c:v>
                </c:pt>
                <c:pt idx="4">
                  <c:v>2002</c:v>
                </c:pt>
                <c:pt idx="5">
                  <c:v>II-02</c:v>
                </c:pt>
                <c:pt idx="6">
                  <c:v>III-02</c:v>
                </c:pt>
                <c:pt idx="7">
                  <c:v>IV-02</c:v>
                </c:pt>
                <c:pt idx="8">
                  <c:v>2003</c:v>
                </c:pt>
                <c:pt idx="9">
                  <c:v>II-03</c:v>
                </c:pt>
                <c:pt idx="10">
                  <c:v>III-03</c:v>
                </c:pt>
                <c:pt idx="11">
                  <c:v>IV-03</c:v>
                </c:pt>
                <c:pt idx="12">
                  <c:v>2004</c:v>
                </c:pt>
                <c:pt idx="13">
                  <c:v>II-04</c:v>
                </c:pt>
                <c:pt idx="14">
                  <c:v>III-04</c:v>
                </c:pt>
                <c:pt idx="15">
                  <c:v>IV-04</c:v>
                </c:pt>
                <c:pt idx="16">
                  <c:v>2005</c:v>
                </c:pt>
                <c:pt idx="17">
                  <c:v>II-05</c:v>
                </c:pt>
                <c:pt idx="18">
                  <c:v>III-05</c:v>
                </c:pt>
                <c:pt idx="19">
                  <c:v>IV-05</c:v>
                </c:pt>
                <c:pt idx="20">
                  <c:v>2006</c:v>
                </c:pt>
                <c:pt idx="21">
                  <c:v>II-06</c:v>
                </c:pt>
                <c:pt idx="22">
                  <c:v>III-06</c:v>
                </c:pt>
                <c:pt idx="23">
                  <c:v>IV-06</c:v>
                </c:pt>
                <c:pt idx="24">
                  <c:v>2007</c:v>
                </c:pt>
                <c:pt idx="25">
                  <c:v>II-07</c:v>
                </c:pt>
                <c:pt idx="26">
                  <c:v>III-07</c:v>
                </c:pt>
                <c:pt idx="27">
                  <c:v>IV-07</c:v>
                </c:pt>
                <c:pt idx="28">
                  <c:v>2008</c:v>
                </c:pt>
                <c:pt idx="29">
                  <c:v>II-08</c:v>
                </c:pt>
                <c:pt idx="30">
                  <c:v>III-08</c:v>
                </c:pt>
                <c:pt idx="31">
                  <c:v>IV-08</c:v>
                </c:pt>
                <c:pt idx="32">
                  <c:v>2009</c:v>
                </c:pt>
                <c:pt idx="33">
                  <c:v>II-09</c:v>
                </c:pt>
                <c:pt idx="34">
                  <c:v>III-09</c:v>
                </c:pt>
                <c:pt idx="35">
                  <c:v>IV-09</c:v>
                </c:pt>
                <c:pt idx="36">
                  <c:v>2010</c:v>
                </c:pt>
                <c:pt idx="37">
                  <c:v>II-10</c:v>
                </c:pt>
                <c:pt idx="38">
                  <c:v>III-10</c:v>
                </c:pt>
                <c:pt idx="39">
                  <c:v>IV-10</c:v>
                </c:pt>
                <c:pt idx="40">
                  <c:v>2011</c:v>
                </c:pt>
                <c:pt idx="41">
                  <c:v>II-11</c:v>
                </c:pt>
                <c:pt idx="42">
                  <c:v>III-11</c:v>
                </c:pt>
                <c:pt idx="43">
                  <c:v>IV-11</c:v>
                </c:pt>
                <c:pt idx="44">
                  <c:v>2012</c:v>
                </c:pt>
                <c:pt idx="45">
                  <c:v>II-12</c:v>
                </c:pt>
                <c:pt idx="46">
                  <c:v>III-12</c:v>
                </c:pt>
                <c:pt idx="47">
                  <c:v>IV-12</c:v>
                </c:pt>
                <c:pt idx="48">
                  <c:v>2013</c:v>
                </c:pt>
                <c:pt idx="49">
                  <c:v>II-13</c:v>
                </c:pt>
                <c:pt idx="50">
                  <c:v>III-13</c:v>
                </c:pt>
                <c:pt idx="51">
                  <c:v>IV-13</c:v>
                </c:pt>
                <c:pt idx="52">
                  <c:v>2014</c:v>
                </c:pt>
                <c:pt idx="53">
                  <c:v>II-14</c:v>
                </c:pt>
                <c:pt idx="54">
                  <c:v>III-14</c:v>
                </c:pt>
                <c:pt idx="55">
                  <c:v>IV-14</c:v>
                </c:pt>
                <c:pt idx="56">
                  <c:v>2015</c:v>
                </c:pt>
                <c:pt idx="57">
                  <c:v>II-15</c:v>
                </c:pt>
                <c:pt idx="58">
                  <c:v>III-15</c:v>
                </c:pt>
                <c:pt idx="59">
                  <c:v>IV-15</c:v>
                </c:pt>
                <c:pt idx="60">
                  <c:v>2016</c:v>
                </c:pt>
                <c:pt idx="61">
                  <c:v>II-16</c:v>
                </c:pt>
                <c:pt idx="62">
                  <c:v>III-16</c:v>
                </c:pt>
                <c:pt idx="63">
                  <c:v>IV-16</c:v>
                </c:pt>
                <c:pt idx="64">
                  <c:v>2017</c:v>
                </c:pt>
                <c:pt idx="65">
                  <c:v>II-17</c:v>
                </c:pt>
                <c:pt idx="66">
                  <c:v>III-17</c:v>
                </c:pt>
                <c:pt idx="67">
                  <c:v>IV-17</c:v>
                </c:pt>
                <c:pt idx="68">
                  <c:v>2018</c:v>
                </c:pt>
                <c:pt idx="69">
                  <c:v>II-17</c:v>
                </c:pt>
                <c:pt idx="70">
                  <c:v>III-18</c:v>
                </c:pt>
                <c:pt idx="71">
                  <c:v>IV-18</c:v>
                </c:pt>
                <c:pt idx="72">
                  <c:v>I-19</c:v>
                </c:pt>
                <c:pt idx="73">
                  <c:v>II-19</c:v>
                </c:pt>
              </c:strCache>
            </c:strRef>
          </c:cat>
          <c:val>
            <c:numRef>
              <c:f>'Wykres 25 | C'!$C$9:$BX$9</c:f>
            </c:numRef>
          </c:val>
          <c:extLst>
            <c:ext xmlns:c16="http://schemas.microsoft.com/office/drawing/2014/chart" uri="{C3380CC4-5D6E-409C-BE32-E72D297353CC}">
              <c16:uniqueId val="{00000007-0967-4218-995A-534E71B21E68}"/>
            </c:ext>
          </c:extLst>
        </c:ser>
        <c:ser>
          <c:idx val="8"/>
          <c:order val="8"/>
          <c:tx>
            <c:strRef>
              <c:f>'Wykres 25 | C'!$B$10</c:f>
              <c:strCache>
                <c:ptCount val="1"/>
                <c:pt idx="0">
                  <c:v>Wskaźnik prognoz zatrudnienia</c:v>
                </c:pt>
              </c:strCache>
            </c:strRef>
          </c:tx>
          <c:invertIfNegative val="0"/>
          <c:cat>
            <c:strRef>
              <c:f>'Wykres 25 | C'!$C$1:$BX$1</c:f>
              <c:strCache>
                <c:ptCount val="74"/>
                <c:pt idx="0">
                  <c:v>2001</c:v>
                </c:pt>
                <c:pt idx="1">
                  <c:v>II-01</c:v>
                </c:pt>
                <c:pt idx="2">
                  <c:v>III-01</c:v>
                </c:pt>
                <c:pt idx="3">
                  <c:v>IV-01</c:v>
                </c:pt>
                <c:pt idx="4">
                  <c:v>2002</c:v>
                </c:pt>
                <c:pt idx="5">
                  <c:v>II-02</c:v>
                </c:pt>
                <c:pt idx="6">
                  <c:v>III-02</c:v>
                </c:pt>
                <c:pt idx="7">
                  <c:v>IV-02</c:v>
                </c:pt>
                <c:pt idx="8">
                  <c:v>2003</c:v>
                </c:pt>
                <c:pt idx="9">
                  <c:v>II-03</c:v>
                </c:pt>
                <c:pt idx="10">
                  <c:v>III-03</c:v>
                </c:pt>
                <c:pt idx="11">
                  <c:v>IV-03</c:v>
                </c:pt>
                <c:pt idx="12">
                  <c:v>2004</c:v>
                </c:pt>
                <c:pt idx="13">
                  <c:v>II-04</c:v>
                </c:pt>
                <c:pt idx="14">
                  <c:v>III-04</c:v>
                </c:pt>
                <c:pt idx="15">
                  <c:v>IV-04</c:v>
                </c:pt>
                <c:pt idx="16">
                  <c:v>2005</c:v>
                </c:pt>
                <c:pt idx="17">
                  <c:v>II-05</c:v>
                </c:pt>
                <c:pt idx="18">
                  <c:v>III-05</c:v>
                </c:pt>
                <c:pt idx="19">
                  <c:v>IV-05</c:v>
                </c:pt>
                <c:pt idx="20">
                  <c:v>2006</c:v>
                </c:pt>
                <c:pt idx="21">
                  <c:v>II-06</c:v>
                </c:pt>
                <c:pt idx="22">
                  <c:v>III-06</c:v>
                </c:pt>
                <c:pt idx="23">
                  <c:v>IV-06</c:v>
                </c:pt>
                <c:pt idx="24">
                  <c:v>2007</c:v>
                </c:pt>
                <c:pt idx="25">
                  <c:v>II-07</c:v>
                </c:pt>
                <c:pt idx="26">
                  <c:v>III-07</c:v>
                </c:pt>
                <c:pt idx="27">
                  <c:v>IV-07</c:v>
                </c:pt>
                <c:pt idx="28">
                  <c:v>2008</c:v>
                </c:pt>
                <c:pt idx="29">
                  <c:v>II-08</c:v>
                </c:pt>
                <c:pt idx="30">
                  <c:v>III-08</c:v>
                </c:pt>
                <c:pt idx="31">
                  <c:v>IV-08</c:v>
                </c:pt>
                <c:pt idx="32">
                  <c:v>2009</c:v>
                </c:pt>
                <c:pt idx="33">
                  <c:v>II-09</c:v>
                </c:pt>
                <c:pt idx="34">
                  <c:v>III-09</c:v>
                </c:pt>
                <c:pt idx="35">
                  <c:v>IV-09</c:v>
                </c:pt>
                <c:pt idx="36">
                  <c:v>2010</c:v>
                </c:pt>
                <c:pt idx="37">
                  <c:v>II-10</c:v>
                </c:pt>
                <c:pt idx="38">
                  <c:v>III-10</c:v>
                </c:pt>
                <c:pt idx="39">
                  <c:v>IV-10</c:v>
                </c:pt>
                <c:pt idx="40">
                  <c:v>2011</c:v>
                </c:pt>
                <c:pt idx="41">
                  <c:v>II-11</c:v>
                </c:pt>
                <c:pt idx="42">
                  <c:v>III-11</c:v>
                </c:pt>
                <c:pt idx="43">
                  <c:v>IV-11</c:v>
                </c:pt>
                <c:pt idx="44">
                  <c:v>2012</c:v>
                </c:pt>
                <c:pt idx="45">
                  <c:v>II-12</c:v>
                </c:pt>
                <c:pt idx="46">
                  <c:v>III-12</c:v>
                </c:pt>
                <c:pt idx="47">
                  <c:v>IV-12</c:v>
                </c:pt>
                <c:pt idx="48">
                  <c:v>2013</c:v>
                </c:pt>
                <c:pt idx="49">
                  <c:v>II-13</c:v>
                </c:pt>
                <c:pt idx="50">
                  <c:v>III-13</c:v>
                </c:pt>
                <c:pt idx="51">
                  <c:v>IV-13</c:v>
                </c:pt>
                <c:pt idx="52">
                  <c:v>2014</c:v>
                </c:pt>
                <c:pt idx="53">
                  <c:v>II-14</c:v>
                </c:pt>
                <c:pt idx="54">
                  <c:v>III-14</c:v>
                </c:pt>
                <c:pt idx="55">
                  <c:v>IV-14</c:v>
                </c:pt>
                <c:pt idx="56">
                  <c:v>2015</c:v>
                </c:pt>
                <c:pt idx="57">
                  <c:v>II-15</c:v>
                </c:pt>
                <c:pt idx="58">
                  <c:v>III-15</c:v>
                </c:pt>
                <c:pt idx="59">
                  <c:v>IV-15</c:v>
                </c:pt>
                <c:pt idx="60">
                  <c:v>2016</c:v>
                </c:pt>
                <c:pt idx="61">
                  <c:v>II-16</c:v>
                </c:pt>
                <c:pt idx="62">
                  <c:v>III-16</c:v>
                </c:pt>
                <c:pt idx="63">
                  <c:v>IV-16</c:v>
                </c:pt>
                <c:pt idx="64">
                  <c:v>2017</c:v>
                </c:pt>
                <c:pt idx="65">
                  <c:v>II-17</c:v>
                </c:pt>
                <c:pt idx="66">
                  <c:v>III-17</c:v>
                </c:pt>
                <c:pt idx="67">
                  <c:v>IV-17</c:v>
                </c:pt>
                <c:pt idx="68">
                  <c:v>2018</c:v>
                </c:pt>
                <c:pt idx="69">
                  <c:v>II-17</c:v>
                </c:pt>
                <c:pt idx="70">
                  <c:v>III-18</c:v>
                </c:pt>
                <c:pt idx="71">
                  <c:v>IV-18</c:v>
                </c:pt>
                <c:pt idx="72">
                  <c:v>I-19</c:v>
                </c:pt>
                <c:pt idx="73">
                  <c:v>II-19</c:v>
                </c:pt>
              </c:strCache>
            </c:strRef>
          </c:cat>
          <c:val>
            <c:numRef>
              <c:f>'Wykres 25 | C'!$C$10:$BX$10</c:f>
            </c:numRef>
          </c:val>
          <c:extLst>
            <c:ext xmlns:c16="http://schemas.microsoft.com/office/drawing/2014/chart" uri="{C3380CC4-5D6E-409C-BE32-E72D297353CC}">
              <c16:uniqueId val="{00000008-0967-4218-995A-534E71B21E68}"/>
            </c:ext>
          </c:extLst>
        </c:ser>
        <c:ser>
          <c:idx val="9"/>
          <c:order val="9"/>
          <c:tx>
            <c:strRef>
              <c:f>'Wykres 25 | C'!$B$11</c:f>
              <c:strCache>
                <c:ptCount val="1"/>
                <c:pt idx="0">
                  <c:v>Udział przedsiębiorstw prognozujących wzrost płac</c:v>
                </c:pt>
              </c:strCache>
            </c:strRef>
          </c:tx>
          <c:invertIfNegative val="0"/>
          <c:cat>
            <c:strRef>
              <c:f>'Wykres 25 | C'!$C$1:$BX$1</c:f>
              <c:strCache>
                <c:ptCount val="74"/>
                <c:pt idx="0">
                  <c:v>2001</c:v>
                </c:pt>
                <c:pt idx="1">
                  <c:v>II-01</c:v>
                </c:pt>
                <c:pt idx="2">
                  <c:v>III-01</c:v>
                </c:pt>
                <c:pt idx="3">
                  <c:v>IV-01</c:v>
                </c:pt>
                <c:pt idx="4">
                  <c:v>2002</c:v>
                </c:pt>
                <c:pt idx="5">
                  <c:v>II-02</c:v>
                </c:pt>
                <c:pt idx="6">
                  <c:v>III-02</c:v>
                </c:pt>
                <c:pt idx="7">
                  <c:v>IV-02</c:v>
                </c:pt>
                <c:pt idx="8">
                  <c:v>2003</c:v>
                </c:pt>
                <c:pt idx="9">
                  <c:v>II-03</c:v>
                </c:pt>
                <c:pt idx="10">
                  <c:v>III-03</c:v>
                </c:pt>
                <c:pt idx="11">
                  <c:v>IV-03</c:v>
                </c:pt>
                <c:pt idx="12">
                  <c:v>2004</c:v>
                </c:pt>
                <c:pt idx="13">
                  <c:v>II-04</c:v>
                </c:pt>
                <c:pt idx="14">
                  <c:v>III-04</c:v>
                </c:pt>
                <c:pt idx="15">
                  <c:v>IV-04</c:v>
                </c:pt>
                <c:pt idx="16">
                  <c:v>2005</c:v>
                </c:pt>
                <c:pt idx="17">
                  <c:v>II-05</c:v>
                </c:pt>
                <c:pt idx="18">
                  <c:v>III-05</c:v>
                </c:pt>
                <c:pt idx="19">
                  <c:v>IV-05</c:v>
                </c:pt>
                <c:pt idx="20">
                  <c:v>2006</c:v>
                </c:pt>
                <c:pt idx="21">
                  <c:v>II-06</c:v>
                </c:pt>
                <c:pt idx="22">
                  <c:v>III-06</c:v>
                </c:pt>
                <c:pt idx="23">
                  <c:v>IV-06</c:v>
                </c:pt>
                <c:pt idx="24">
                  <c:v>2007</c:v>
                </c:pt>
                <c:pt idx="25">
                  <c:v>II-07</c:v>
                </c:pt>
                <c:pt idx="26">
                  <c:v>III-07</c:v>
                </c:pt>
                <c:pt idx="27">
                  <c:v>IV-07</c:v>
                </c:pt>
                <c:pt idx="28">
                  <c:v>2008</c:v>
                </c:pt>
                <c:pt idx="29">
                  <c:v>II-08</c:v>
                </c:pt>
                <c:pt idx="30">
                  <c:v>III-08</c:v>
                </c:pt>
                <c:pt idx="31">
                  <c:v>IV-08</c:v>
                </c:pt>
                <c:pt idx="32">
                  <c:v>2009</c:v>
                </c:pt>
                <c:pt idx="33">
                  <c:v>II-09</c:v>
                </c:pt>
                <c:pt idx="34">
                  <c:v>III-09</c:v>
                </c:pt>
                <c:pt idx="35">
                  <c:v>IV-09</c:v>
                </c:pt>
                <c:pt idx="36">
                  <c:v>2010</c:v>
                </c:pt>
                <c:pt idx="37">
                  <c:v>II-10</c:v>
                </c:pt>
                <c:pt idx="38">
                  <c:v>III-10</c:v>
                </c:pt>
                <c:pt idx="39">
                  <c:v>IV-10</c:v>
                </c:pt>
                <c:pt idx="40">
                  <c:v>2011</c:v>
                </c:pt>
                <c:pt idx="41">
                  <c:v>II-11</c:v>
                </c:pt>
                <c:pt idx="42">
                  <c:v>III-11</c:v>
                </c:pt>
                <c:pt idx="43">
                  <c:v>IV-11</c:v>
                </c:pt>
                <c:pt idx="44">
                  <c:v>2012</c:v>
                </c:pt>
                <c:pt idx="45">
                  <c:v>II-12</c:v>
                </c:pt>
                <c:pt idx="46">
                  <c:v>III-12</c:v>
                </c:pt>
                <c:pt idx="47">
                  <c:v>IV-12</c:v>
                </c:pt>
                <c:pt idx="48">
                  <c:v>2013</c:v>
                </c:pt>
                <c:pt idx="49">
                  <c:v>II-13</c:v>
                </c:pt>
                <c:pt idx="50">
                  <c:v>III-13</c:v>
                </c:pt>
                <c:pt idx="51">
                  <c:v>IV-13</c:v>
                </c:pt>
                <c:pt idx="52">
                  <c:v>2014</c:v>
                </c:pt>
                <c:pt idx="53">
                  <c:v>II-14</c:v>
                </c:pt>
                <c:pt idx="54">
                  <c:v>III-14</c:v>
                </c:pt>
                <c:pt idx="55">
                  <c:v>IV-14</c:v>
                </c:pt>
                <c:pt idx="56">
                  <c:v>2015</c:v>
                </c:pt>
                <c:pt idx="57">
                  <c:v>II-15</c:v>
                </c:pt>
                <c:pt idx="58">
                  <c:v>III-15</c:v>
                </c:pt>
                <c:pt idx="59">
                  <c:v>IV-15</c:v>
                </c:pt>
                <c:pt idx="60">
                  <c:v>2016</c:v>
                </c:pt>
                <c:pt idx="61">
                  <c:v>II-16</c:v>
                </c:pt>
                <c:pt idx="62">
                  <c:v>III-16</c:v>
                </c:pt>
                <c:pt idx="63">
                  <c:v>IV-16</c:v>
                </c:pt>
                <c:pt idx="64">
                  <c:v>2017</c:v>
                </c:pt>
                <c:pt idx="65">
                  <c:v>II-17</c:v>
                </c:pt>
                <c:pt idx="66">
                  <c:v>III-17</c:v>
                </c:pt>
                <c:pt idx="67">
                  <c:v>IV-17</c:v>
                </c:pt>
                <c:pt idx="68">
                  <c:v>2018</c:v>
                </c:pt>
                <c:pt idx="69">
                  <c:v>II-17</c:v>
                </c:pt>
                <c:pt idx="70">
                  <c:v>III-18</c:v>
                </c:pt>
                <c:pt idx="71">
                  <c:v>IV-18</c:v>
                </c:pt>
                <c:pt idx="72">
                  <c:v>I-19</c:v>
                </c:pt>
                <c:pt idx="73">
                  <c:v>II-19</c:v>
                </c:pt>
              </c:strCache>
            </c:strRef>
          </c:cat>
          <c:val>
            <c:numRef>
              <c:f>'Wykres 25 | C'!$C$11:$BX$11</c:f>
            </c:numRef>
          </c:val>
          <c:extLst>
            <c:ext xmlns:c16="http://schemas.microsoft.com/office/drawing/2014/chart" uri="{C3380CC4-5D6E-409C-BE32-E72D297353CC}">
              <c16:uniqueId val="{00000009-0967-4218-995A-534E71B21E68}"/>
            </c:ext>
          </c:extLst>
        </c:ser>
        <c:ser>
          <c:idx val="10"/>
          <c:order val="10"/>
          <c:tx>
            <c:strRef>
              <c:f>'Wykres 25 | C'!$B$12</c:f>
              <c:strCache>
                <c:ptCount val="1"/>
                <c:pt idx="0">
                  <c:v>Wskaźnik nowych inwestycji </c:v>
                </c:pt>
              </c:strCache>
            </c:strRef>
          </c:tx>
          <c:invertIfNegative val="0"/>
          <c:cat>
            <c:strRef>
              <c:f>'Wykres 25 | C'!$C$1:$BX$1</c:f>
              <c:strCache>
                <c:ptCount val="74"/>
                <c:pt idx="0">
                  <c:v>2001</c:v>
                </c:pt>
                <c:pt idx="1">
                  <c:v>II-01</c:v>
                </c:pt>
                <c:pt idx="2">
                  <c:v>III-01</c:v>
                </c:pt>
                <c:pt idx="3">
                  <c:v>IV-01</c:v>
                </c:pt>
                <c:pt idx="4">
                  <c:v>2002</c:v>
                </c:pt>
                <c:pt idx="5">
                  <c:v>II-02</c:v>
                </c:pt>
                <c:pt idx="6">
                  <c:v>III-02</c:v>
                </c:pt>
                <c:pt idx="7">
                  <c:v>IV-02</c:v>
                </c:pt>
                <c:pt idx="8">
                  <c:v>2003</c:v>
                </c:pt>
                <c:pt idx="9">
                  <c:v>II-03</c:v>
                </c:pt>
                <c:pt idx="10">
                  <c:v>III-03</c:v>
                </c:pt>
                <c:pt idx="11">
                  <c:v>IV-03</c:v>
                </c:pt>
                <c:pt idx="12">
                  <c:v>2004</c:v>
                </c:pt>
                <c:pt idx="13">
                  <c:v>II-04</c:v>
                </c:pt>
                <c:pt idx="14">
                  <c:v>III-04</c:v>
                </c:pt>
                <c:pt idx="15">
                  <c:v>IV-04</c:v>
                </c:pt>
                <c:pt idx="16">
                  <c:v>2005</c:v>
                </c:pt>
                <c:pt idx="17">
                  <c:v>II-05</c:v>
                </c:pt>
                <c:pt idx="18">
                  <c:v>III-05</c:v>
                </c:pt>
                <c:pt idx="19">
                  <c:v>IV-05</c:v>
                </c:pt>
                <c:pt idx="20">
                  <c:v>2006</c:v>
                </c:pt>
                <c:pt idx="21">
                  <c:v>II-06</c:v>
                </c:pt>
                <c:pt idx="22">
                  <c:v>III-06</c:v>
                </c:pt>
                <c:pt idx="23">
                  <c:v>IV-06</c:v>
                </c:pt>
                <c:pt idx="24">
                  <c:v>2007</c:v>
                </c:pt>
                <c:pt idx="25">
                  <c:v>II-07</c:v>
                </c:pt>
                <c:pt idx="26">
                  <c:v>III-07</c:v>
                </c:pt>
                <c:pt idx="27">
                  <c:v>IV-07</c:v>
                </c:pt>
                <c:pt idx="28">
                  <c:v>2008</c:v>
                </c:pt>
                <c:pt idx="29">
                  <c:v>II-08</c:v>
                </c:pt>
                <c:pt idx="30">
                  <c:v>III-08</c:v>
                </c:pt>
                <c:pt idx="31">
                  <c:v>IV-08</c:v>
                </c:pt>
                <c:pt idx="32">
                  <c:v>2009</c:v>
                </c:pt>
                <c:pt idx="33">
                  <c:v>II-09</c:v>
                </c:pt>
                <c:pt idx="34">
                  <c:v>III-09</c:v>
                </c:pt>
                <c:pt idx="35">
                  <c:v>IV-09</c:v>
                </c:pt>
                <c:pt idx="36">
                  <c:v>2010</c:v>
                </c:pt>
                <c:pt idx="37">
                  <c:v>II-10</c:v>
                </c:pt>
                <c:pt idx="38">
                  <c:v>III-10</c:v>
                </c:pt>
                <c:pt idx="39">
                  <c:v>IV-10</c:v>
                </c:pt>
                <c:pt idx="40">
                  <c:v>2011</c:v>
                </c:pt>
                <c:pt idx="41">
                  <c:v>II-11</c:v>
                </c:pt>
                <c:pt idx="42">
                  <c:v>III-11</c:v>
                </c:pt>
                <c:pt idx="43">
                  <c:v>IV-11</c:v>
                </c:pt>
                <c:pt idx="44">
                  <c:v>2012</c:v>
                </c:pt>
                <c:pt idx="45">
                  <c:v>II-12</c:v>
                </c:pt>
                <c:pt idx="46">
                  <c:v>III-12</c:v>
                </c:pt>
                <c:pt idx="47">
                  <c:v>IV-12</c:v>
                </c:pt>
                <c:pt idx="48">
                  <c:v>2013</c:v>
                </c:pt>
                <c:pt idx="49">
                  <c:v>II-13</c:v>
                </c:pt>
                <c:pt idx="50">
                  <c:v>III-13</c:v>
                </c:pt>
                <c:pt idx="51">
                  <c:v>IV-13</c:v>
                </c:pt>
                <c:pt idx="52">
                  <c:v>2014</c:v>
                </c:pt>
                <c:pt idx="53">
                  <c:v>II-14</c:v>
                </c:pt>
                <c:pt idx="54">
                  <c:v>III-14</c:v>
                </c:pt>
                <c:pt idx="55">
                  <c:v>IV-14</c:v>
                </c:pt>
                <c:pt idx="56">
                  <c:v>2015</c:v>
                </c:pt>
                <c:pt idx="57">
                  <c:v>II-15</c:v>
                </c:pt>
                <c:pt idx="58">
                  <c:v>III-15</c:v>
                </c:pt>
                <c:pt idx="59">
                  <c:v>IV-15</c:v>
                </c:pt>
                <c:pt idx="60">
                  <c:v>2016</c:v>
                </c:pt>
                <c:pt idx="61">
                  <c:v>II-16</c:v>
                </c:pt>
                <c:pt idx="62">
                  <c:v>III-16</c:v>
                </c:pt>
                <c:pt idx="63">
                  <c:v>IV-16</c:v>
                </c:pt>
                <c:pt idx="64">
                  <c:v>2017</c:v>
                </c:pt>
                <c:pt idx="65">
                  <c:v>II-17</c:v>
                </c:pt>
                <c:pt idx="66">
                  <c:v>III-17</c:v>
                </c:pt>
                <c:pt idx="67">
                  <c:v>IV-17</c:v>
                </c:pt>
                <c:pt idx="68">
                  <c:v>2018</c:v>
                </c:pt>
                <c:pt idx="69">
                  <c:v>II-17</c:v>
                </c:pt>
                <c:pt idx="70">
                  <c:v>III-18</c:v>
                </c:pt>
                <c:pt idx="71">
                  <c:v>IV-18</c:v>
                </c:pt>
                <c:pt idx="72">
                  <c:v>I-19</c:v>
                </c:pt>
                <c:pt idx="73">
                  <c:v>II-19</c:v>
                </c:pt>
              </c:strCache>
            </c:strRef>
          </c:cat>
          <c:val>
            <c:numRef>
              <c:f>'Wykres 25 | C'!$C$12:$BX$12</c:f>
            </c:numRef>
          </c:val>
          <c:extLst>
            <c:ext xmlns:c16="http://schemas.microsoft.com/office/drawing/2014/chart" uri="{C3380CC4-5D6E-409C-BE32-E72D297353CC}">
              <c16:uniqueId val="{0000000A-0967-4218-995A-534E71B21E68}"/>
            </c:ext>
          </c:extLst>
        </c:ser>
        <c:ser>
          <c:idx val="11"/>
          <c:order val="11"/>
          <c:tx>
            <c:strRef>
              <c:f>'Wykres 25 | C'!$B$13</c:f>
              <c:strCache>
                <c:ptCount val="1"/>
                <c:pt idx="0">
                  <c:v>Wskaźnik kontynuacji inwestycji</c:v>
                </c:pt>
              </c:strCache>
            </c:strRef>
          </c:tx>
          <c:invertIfNegative val="0"/>
          <c:cat>
            <c:strRef>
              <c:f>'Wykres 25 | C'!$C$1:$BX$1</c:f>
              <c:strCache>
                <c:ptCount val="74"/>
                <c:pt idx="0">
                  <c:v>2001</c:v>
                </c:pt>
                <c:pt idx="1">
                  <c:v>II-01</c:v>
                </c:pt>
                <c:pt idx="2">
                  <c:v>III-01</c:v>
                </c:pt>
                <c:pt idx="3">
                  <c:v>IV-01</c:v>
                </c:pt>
                <c:pt idx="4">
                  <c:v>2002</c:v>
                </c:pt>
                <c:pt idx="5">
                  <c:v>II-02</c:v>
                </c:pt>
                <c:pt idx="6">
                  <c:v>III-02</c:v>
                </c:pt>
                <c:pt idx="7">
                  <c:v>IV-02</c:v>
                </c:pt>
                <c:pt idx="8">
                  <c:v>2003</c:v>
                </c:pt>
                <c:pt idx="9">
                  <c:v>II-03</c:v>
                </c:pt>
                <c:pt idx="10">
                  <c:v>III-03</c:v>
                </c:pt>
                <c:pt idx="11">
                  <c:v>IV-03</c:v>
                </c:pt>
                <c:pt idx="12">
                  <c:v>2004</c:v>
                </c:pt>
                <c:pt idx="13">
                  <c:v>II-04</c:v>
                </c:pt>
                <c:pt idx="14">
                  <c:v>III-04</c:v>
                </c:pt>
                <c:pt idx="15">
                  <c:v>IV-04</c:v>
                </c:pt>
                <c:pt idx="16">
                  <c:v>2005</c:v>
                </c:pt>
                <c:pt idx="17">
                  <c:v>II-05</c:v>
                </c:pt>
                <c:pt idx="18">
                  <c:v>III-05</c:v>
                </c:pt>
                <c:pt idx="19">
                  <c:v>IV-05</c:v>
                </c:pt>
                <c:pt idx="20">
                  <c:v>2006</c:v>
                </c:pt>
                <c:pt idx="21">
                  <c:v>II-06</c:v>
                </c:pt>
                <c:pt idx="22">
                  <c:v>III-06</c:v>
                </c:pt>
                <c:pt idx="23">
                  <c:v>IV-06</c:v>
                </c:pt>
                <c:pt idx="24">
                  <c:v>2007</c:v>
                </c:pt>
                <c:pt idx="25">
                  <c:v>II-07</c:v>
                </c:pt>
                <c:pt idx="26">
                  <c:v>III-07</c:v>
                </c:pt>
                <c:pt idx="27">
                  <c:v>IV-07</c:v>
                </c:pt>
                <c:pt idx="28">
                  <c:v>2008</c:v>
                </c:pt>
                <c:pt idx="29">
                  <c:v>II-08</c:v>
                </c:pt>
                <c:pt idx="30">
                  <c:v>III-08</c:v>
                </c:pt>
                <c:pt idx="31">
                  <c:v>IV-08</c:v>
                </c:pt>
                <c:pt idx="32">
                  <c:v>2009</c:v>
                </c:pt>
                <c:pt idx="33">
                  <c:v>II-09</c:v>
                </c:pt>
                <c:pt idx="34">
                  <c:v>III-09</c:v>
                </c:pt>
                <c:pt idx="35">
                  <c:v>IV-09</c:v>
                </c:pt>
                <c:pt idx="36">
                  <c:v>2010</c:v>
                </c:pt>
                <c:pt idx="37">
                  <c:v>II-10</c:v>
                </c:pt>
                <c:pt idx="38">
                  <c:v>III-10</c:v>
                </c:pt>
                <c:pt idx="39">
                  <c:v>IV-10</c:v>
                </c:pt>
                <c:pt idx="40">
                  <c:v>2011</c:v>
                </c:pt>
                <c:pt idx="41">
                  <c:v>II-11</c:v>
                </c:pt>
                <c:pt idx="42">
                  <c:v>III-11</c:v>
                </c:pt>
                <c:pt idx="43">
                  <c:v>IV-11</c:v>
                </c:pt>
                <c:pt idx="44">
                  <c:v>2012</c:v>
                </c:pt>
                <c:pt idx="45">
                  <c:v>II-12</c:v>
                </c:pt>
                <c:pt idx="46">
                  <c:v>III-12</c:v>
                </c:pt>
                <c:pt idx="47">
                  <c:v>IV-12</c:v>
                </c:pt>
                <c:pt idx="48">
                  <c:v>2013</c:v>
                </c:pt>
                <c:pt idx="49">
                  <c:v>II-13</c:v>
                </c:pt>
                <c:pt idx="50">
                  <c:v>III-13</c:v>
                </c:pt>
                <c:pt idx="51">
                  <c:v>IV-13</c:v>
                </c:pt>
                <c:pt idx="52">
                  <c:v>2014</c:v>
                </c:pt>
                <c:pt idx="53">
                  <c:v>II-14</c:v>
                </c:pt>
                <c:pt idx="54">
                  <c:v>III-14</c:v>
                </c:pt>
                <c:pt idx="55">
                  <c:v>IV-14</c:v>
                </c:pt>
                <c:pt idx="56">
                  <c:v>2015</c:v>
                </c:pt>
                <c:pt idx="57">
                  <c:v>II-15</c:v>
                </c:pt>
                <c:pt idx="58">
                  <c:v>III-15</c:v>
                </c:pt>
                <c:pt idx="59">
                  <c:v>IV-15</c:v>
                </c:pt>
                <c:pt idx="60">
                  <c:v>2016</c:v>
                </c:pt>
                <c:pt idx="61">
                  <c:v>II-16</c:v>
                </c:pt>
                <c:pt idx="62">
                  <c:v>III-16</c:v>
                </c:pt>
                <c:pt idx="63">
                  <c:v>IV-16</c:v>
                </c:pt>
                <c:pt idx="64">
                  <c:v>2017</c:v>
                </c:pt>
                <c:pt idx="65">
                  <c:v>II-17</c:v>
                </c:pt>
                <c:pt idx="66">
                  <c:v>III-17</c:v>
                </c:pt>
                <c:pt idx="67">
                  <c:v>IV-17</c:v>
                </c:pt>
                <c:pt idx="68">
                  <c:v>2018</c:v>
                </c:pt>
                <c:pt idx="69">
                  <c:v>II-17</c:v>
                </c:pt>
                <c:pt idx="70">
                  <c:v>III-18</c:v>
                </c:pt>
                <c:pt idx="71">
                  <c:v>IV-18</c:v>
                </c:pt>
                <c:pt idx="72">
                  <c:v>I-19</c:v>
                </c:pt>
                <c:pt idx="73">
                  <c:v>II-19</c:v>
                </c:pt>
              </c:strCache>
            </c:strRef>
          </c:cat>
          <c:val>
            <c:numRef>
              <c:f>'Wykres 25 | C'!$C$13:$BX$13</c:f>
            </c:numRef>
          </c:val>
          <c:extLst>
            <c:ext xmlns:c16="http://schemas.microsoft.com/office/drawing/2014/chart" uri="{C3380CC4-5D6E-409C-BE32-E72D297353CC}">
              <c16:uniqueId val="{0000000B-0967-4218-995A-534E71B21E68}"/>
            </c:ext>
          </c:extLst>
        </c:ser>
        <c:ser>
          <c:idx val="12"/>
          <c:order val="12"/>
          <c:tx>
            <c:strRef>
              <c:f>'Wykres 25 | C'!$B$14</c:f>
              <c:strCache>
                <c:ptCount val="1"/>
                <c:pt idx="0">
                  <c:v>Średni poziom wykorzystania mocy produkcyjnych</c:v>
                </c:pt>
              </c:strCache>
            </c:strRef>
          </c:tx>
          <c:spPr>
            <a:ln>
              <a:solidFill>
                <a:srgbClr val="00B0F0"/>
              </a:solidFill>
            </a:ln>
          </c:spPr>
          <c:invertIfNegative val="0"/>
          <c:cat>
            <c:strRef>
              <c:f>'Wykres 25 | C'!$C$1:$BX$1</c:f>
              <c:strCache>
                <c:ptCount val="74"/>
                <c:pt idx="0">
                  <c:v>2001</c:v>
                </c:pt>
                <c:pt idx="1">
                  <c:v>II-01</c:v>
                </c:pt>
                <c:pt idx="2">
                  <c:v>III-01</c:v>
                </c:pt>
                <c:pt idx="3">
                  <c:v>IV-01</c:v>
                </c:pt>
                <c:pt idx="4">
                  <c:v>2002</c:v>
                </c:pt>
                <c:pt idx="5">
                  <c:v>II-02</c:v>
                </c:pt>
                <c:pt idx="6">
                  <c:v>III-02</c:v>
                </c:pt>
                <c:pt idx="7">
                  <c:v>IV-02</c:v>
                </c:pt>
                <c:pt idx="8">
                  <c:v>2003</c:v>
                </c:pt>
                <c:pt idx="9">
                  <c:v>II-03</c:v>
                </c:pt>
                <c:pt idx="10">
                  <c:v>III-03</c:v>
                </c:pt>
                <c:pt idx="11">
                  <c:v>IV-03</c:v>
                </c:pt>
                <c:pt idx="12">
                  <c:v>2004</c:v>
                </c:pt>
                <c:pt idx="13">
                  <c:v>II-04</c:v>
                </c:pt>
                <c:pt idx="14">
                  <c:v>III-04</c:v>
                </c:pt>
                <c:pt idx="15">
                  <c:v>IV-04</c:v>
                </c:pt>
                <c:pt idx="16">
                  <c:v>2005</c:v>
                </c:pt>
                <c:pt idx="17">
                  <c:v>II-05</c:v>
                </c:pt>
                <c:pt idx="18">
                  <c:v>III-05</c:v>
                </c:pt>
                <c:pt idx="19">
                  <c:v>IV-05</c:v>
                </c:pt>
                <c:pt idx="20">
                  <c:v>2006</c:v>
                </c:pt>
                <c:pt idx="21">
                  <c:v>II-06</c:v>
                </c:pt>
                <c:pt idx="22">
                  <c:v>III-06</c:v>
                </c:pt>
                <c:pt idx="23">
                  <c:v>IV-06</c:v>
                </c:pt>
                <c:pt idx="24">
                  <c:v>2007</c:v>
                </c:pt>
                <c:pt idx="25">
                  <c:v>II-07</c:v>
                </c:pt>
                <c:pt idx="26">
                  <c:v>III-07</c:v>
                </c:pt>
                <c:pt idx="27">
                  <c:v>IV-07</c:v>
                </c:pt>
                <c:pt idx="28">
                  <c:v>2008</c:v>
                </c:pt>
                <c:pt idx="29">
                  <c:v>II-08</c:v>
                </c:pt>
                <c:pt idx="30">
                  <c:v>III-08</c:v>
                </c:pt>
                <c:pt idx="31">
                  <c:v>IV-08</c:v>
                </c:pt>
                <c:pt idx="32">
                  <c:v>2009</c:v>
                </c:pt>
                <c:pt idx="33">
                  <c:v>II-09</c:v>
                </c:pt>
                <c:pt idx="34">
                  <c:v>III-09</c:v>
                </c:pt>
                <c:pt idx="35">
                  <c:v>IV-09</c:v>
                </c:pt>
                <c:pt idx="36">
                  <c:v>2010</c:v>
                </c:pt>
                <c:pt idx="37">
                  <c:v>II-10</c:v>
                </c:pt>
                <c:pt idx="38">
                  <c:v>III-10</c:v>
                </c:pt>
                <c:pt idx="39">
                  <c:v>IV-10</c:v>
                </c:pt>
                <c:pt idx="40">
                  <c:v>2011</c:v>
                </c:pt>
                <c:pt idx="41">
                  <c:v>II-11</c:v>
                </c:pt>
                <c:pt idx="42">
                  <c:v>III-11</c:v>
                </c:pt>
                <c:pt idx="43">
                  <c:v>IV-11</c:v>
                </c:pt>
                <c:pt idx="44">
                  <c:v>2012</c:v>
                </c:pt>
                <c:pt idx="45">
                  <c:v>II-12</c:v>
                </c:pt>
                <c:pt idx="46">
                  <c:v>III-12</c:v>
                </c:pt>
                <c:pt idx="47">
                  <c:v>IV-12</c:v>
                </c:pt>
                <c:pt idx="48">
                  <c:v>2013</c:v>
                </c:pt>
                <c:pt idx="49">
                  <c:v>II-13</c:v>
                </c:pt>
                <c:pt idx="50">
                  <c:v>III-13</c:v>
                </c:pt>
                <c:pt idx="51">
                  <c:v>IV-13</c:v>
                </c:pt>
                <c:pt idx="52">
                  <c:v>2014</c:v>
                </c:pt>
                <c:pt idx="53">
                  <c:v>II-14</c:v>
                </c:pt>
                <c:pt idx="54">
                  <c:v>III-14</c:v>
                </c:pt>
                <c:pt idx="55">
                  <c:v>IV-14</c:v>
                </c:pt>
                <c:pt idx="56">
                  <c:v>2015</c:v>
                </c:pt>
                <c:pt idx="57">
                  <c:v>II-15</c:v>
                </c:pt>
                <c:pt idx="58">
                  <c:v>III-15</c:v>
                </c:pt>
                <c:pt idx="59">
                  <c:v>IV-15</c:v>
                </c:pt>
                <c:pt idx="60">
                  <c:v>2016</c:v>
                </c:pt>
                <c:pt idx="61">
                  <c:v>II-16</c:v>
                </c:pt>
                <c:pt idx="62">
                  <c:v>III-16</c:v>
                </c:pt>
                <c:pt idx="63">
                  <c:v>IV-16</c:v>
                </c:pt>
                <c:pt idx="64">
                  <c:v>2017</c:v>
                </c:pt>
                <c:pt idx="65">
                  <c:v>II-17</c:v>
                </c:pt>
                <c:pt idx="66">
                  <c:v>III-17</c:v>
                </c:pt>
                <c:pt idx="67">
                  <c:v>IV-17</c:v>
                </c:pt>
                <c:pt idx="68">
                  <c:v>2018</c:v>
                </c:pt>
                <c:pt idx="69">
                  <c:v>II-17</c:v>
                </c:pt>
                <c:pt idx="70">
                  <c:v>III-18</c:v>
                </c:pt>
                <c:pt idx="71">
                  <c:v>IV-18</c:v>
                </c:pt>
                <c:pt idx="72">
                  <c:v>I-19</c:v>
                </c:pt>
                <c:pt idx="73">
                  <c:v>II-19</c:v>
                </c:pt>
              </c:strCache>
            </c:strRef>
          </c:cat>
          <c:val>
            <c:numRef>
              <c:f>'Wykres 25 | C'!$C$14:$BX$14</c:f>
              <c:numCache>
                <c:formatCode>0.0</c:formatCode>
                <c:ptCount val="74"/>
                <c:pt idx="0">
                  <c:v>75.099999999999994</c:v>
                </c:pt>
                <c:pt idx="1">
                  <c:v>74.7</c:v>
                </c:pt>
                <c:pt idx="2">
                  <c:v>76.099999999999994</c:v>
                </c:pt>
                <c:pt idx="3">
                  <c:v>75.5</c:v>
                </c:pt>
                <c:pt idx="4">
                  <c:v>73.2</c:v>
                </c:pt>
                <c:pt idx="5">
                  <c:v>74.8</c:v>
                </c:pt>
                <c:pt idx="6">
                  <c:v>76.099999999999994</c:v>
                </c:pt>
                <c:pt idx="7">
                  <c:v>77.5</c:v>
                </c:pt>
                <c:pt idx="8">
                  <c:v>75.599999999999994</c:v>
                </c:pt>
                <c:pt idx="9">
                  <c:v>77.599999999999994</c:v>
                </c:pt>
                <c:pt idx="10">
                  <c:v>78.44</c:v>
                </c:pt>
                <c:pt idx="11">
                  <c:v>79.330034965034969</c:v>
                </c:pt>
                <c:pt idx="12">
                  <c:v>78.405437392795903</c:v>
                </c:pt>
                <c:pt idx="13">
                  <c:v>80.805351170568571</c:v>
                </c:pt>
                <c:pt idx="14">
                  <c:v>81.328812709030089</c:v>
                </c:pt>
                <c:pt idx="15">
                  <c:v>81.15933786078098</c:v>
                </c:pt>
                <c:pt idx="16">
                  <c:v>79.265046583850932</c:v>
                </c:pt>
                <c:pt idx="17">
                  <c:v>79.71657935285053</c:v>
                </c:pt>
                <c:pt idx="18">
                  <c:v>80.82276011560694</c:v>
                </c:pt>
                <c:pt idx="19">
                  <c:v>81.308958333333322</c:v>
                </c:pt>
                <c:pt idx="20">
                  <c:v>80.293613989637308</c:v>
                </c:pt>
                <c:pt idx="21">
                  <c:v>81.486936936936928</c:v>
                </c:pt>
                <c:pt idx="22">
                  <c:v>82.618483146067405</c:v>
                </c:pt>
                <c:pt idx="23">
                  <c:v>83.495087956698242</c:v>
                </c:pt>
                <c:pt idx="24">
                  <c:v>82.505669975186109</c:v>
                </c:pt>
                <c:pt idx="25">
                  <c:v>84.105722070844678</c:v>
                </c:pt>
                <c:pt idx="26">
                  <c:v>84.490747549019616</c:v>
                </c:pt>
                <c:pt idx="27">
                  <c:v>84.804938271604939</c:v>
                </c:pt>
                <c:pt idx="28">
                  <c:v>82.687934386391248</c:v>
                </c:pt>
                <c:pt idx="29">
                  <c:v>82.973818424566076</c:v>
                </c:pt>
                <c:pt idx="30">
                  <c:v>82.480633373934211</c:v>
                </c:pt>
                <c:pt idx="31">
                  <c:v>80.691396574440049</c:v>
                </c:pt>
                <c:pt idx="32">
                  <c:v>75.180400500625765</c:v>
                </c:pt>
                <c:pt idx="33">
                  <c:v>75.40994550408719</c:v>
                </c:pt>
                <c:pt idx="34">
                  <c:v>77.134650000000008</c:v>
                </c:pt>
                <c:pt idx="35">
                  <c:v>78.153441981747065</c:v>
                </c:pt>
                <c:pt idx="36">
                  <c:v>76.187733333333341</c:v>
                </c:pt>
                <c:pt idx="37">
                  <c:v>78.700790378006872</c:v>
                </c:pt>
                <c:pt idx="38">
                  <c:v>80.340601415094341</c:v>
                </c:pt>
                <c:pt idx="39">
                  <c:v>80.678442714126788</c:v>
                </c:pt>
                <c:pt idx="40">
                  <c:v>78.546245954692566</c:v>
                </c:pt>
                <c:pt idx="41">
                  <c:v>80.589236868186333</c:v>
                </c:pt>
                <c:pt idx="42">
                  <c:v>81.589549808429112</c:v>
                </c:pt>
                <c:pt idx="43">
                  <c:v>81.407535545023705</c:v>
                </c:pt>
                <c:pt idx="44">
                  <c:v>79.458044843049322</c:v>
                </c:pt>
                <c:pt idx="45">
                  <c:v>79.547131857555343</c:v>
                </c:pt>
                <c:pt idx="46">
                  <c:v>80.693026315789467</c:v>
                </c:pt>
                <c:pt idx="47">
                  <c:v>79.330089525514765</c:v>
                </c:pt>
                <c:pt idx="48">
                  <c:v>78.13830088495574</c:v>
                </c:pt>
                <c:pt idx="49">
                  <c:v>79.5870829616414</c:v>
                </c:pt>
                <c:pt idx="50">
                  <c:v>81.027549611734258</c:v>
                </c:pt>
                <c:pt idx="51">
                  <c:v>81.059702886247877</c:v>
                </c:pt>
                <c:pt idx="52">
                  <c:v>80.044016736401673</c:v>
                </c:pt>
                <c:pt idx="53">
                  <c:v>81.33996598639456</c:v>
                </c:pt>
                <c:pt idx="54">
                  <c:v>81.698261550509017</c:v>
                </c:pt>
                <c:pt idx="55">
                  <c:v>82.028120300751894</c:v>
                </c:pt>
                <c:pt idx="56">
                  <c:v>79.95806201550387</c:v>
                </c:pt>
                <c:pt idx="57">
                  <c:v>80.978105828220862</c:v>
                </c:pt>
                <c:pt idx="58">
                  <c:v>82.248440899202322</c:v>
                </c:pt>
                <c:pt idx="59">
                  <c:v>81.407755406413116</c:v>
                </c:pt>
                <c:pt idx="60">
                  <c:v>80.323220226214232</c:v>
                </c:pt>
                <c:pt idx="61">
                  <c:v>81.469891378139863</c:v>
                </c:pt>
                <c:pt idx="62">
                  <c:v>82.055442815249265</c:v>
                </c:pt>
                <c:pt idx="63">
                  <c:v>81.532377249860261</c:v>
                </c:pt>
                <c:pt idx="64">
                  <c:v>81.333352007932561</c:v>
                </c:pt>
                <c:pt idx="65">
                  <c:v>82.944477694235502</c:v>
                </c:pt>
                <c:pt idx="66">
                  <c:v>83.751515151515136</c:v>
                </c:pt>
                <c:pt idx="67">
                  <c:v>83.710996409335721</c:v>
                </c:pt>
                <c:pt idx="68">
                  <c:v>83.445045248868766</c:v>
                </c:pt>
                <c:pt idx="69">
                  <c:v>84.064366890380313</c:v>
                </c:pt>
                <c:pt idx="70">
                  <c:v>84.938417329796621</c:v>
                </c:pt>
                <c:pt idx="71">
                  <c:v>84.636180058897779</c:v>
                </c:pt>
                <c:pt idx="72">
                  <c:v>84.00380593893766</c:v>
                </c:pt>
                <c:pt idx="73">
                  <c:v>84.593582887700535</c:v>
                </c:pt>
              </c:numCache>
            </c:numRef>
          </c:val>
          <c:extLst>
            <c:ext xmlns:c16="http://schemas.microsoft.com/office/drawing/2014/chart" uri="{C3380CC4-5D6E-409C-BE32-E72D297353CC}">
              <c16:uniqueId val="{0000000C-0967-4218-995A-534E71B21E68}"/>
            </c:ext>
          </c:extLst>
        </c:ser>
        <c:dLbls>
          <c:showLegendKey val="0"/>
          <c:showVal val="0"/>
          <c:showCatName val="0"/>
          <c:showSerName val="0"/>
          <c:showPercent val="0"/>
          <c:showBubbleSize val="0"/>
        </c:dLbls>
        <c:gapWidth val="150"/>
        <c:axId val="268410240"/>
        <c:axId val="268416128"/>
      </c:barChart>
      <c:catAx>
        <c:axId val="268410240"/>
        <c:scaling>
          <c:orientation val="minMax"/>
        </c:scaling>
        <c:delete val="0"/>
        <c:axPos val="b"/>
        <c:numFmt formatCode="General" sourceLinked="0"/>
        <c:majorTickMark val="out"/>
        <c:minorTickMark val="none"/>
        <c:tickLblPos val="nextTo"/>
        <c:crossAx val="268416128"/>
        <c:crosses val="autoZero"/>
        <c:auto val="1"/>
        <c:lblAlgn val="ctr"/>
        <c:lblOffset val="100"/>
        <c:noMultiLvlLbl val="0"/>
      </c:catAx>
      <c:valAx>
        <c:axId val="268416128"/>
        <c:scaling>
          <c:orientation val="minMax"/>
        </c:scaling>
        <c:delete val="0"/>
        <c:axPos val="l"/>
        <c:majorGridlines/>
        <c:numFmt formatCode="0" sourceLinked="0"/>
        <c:majorTickMark val="out"/>
        <c:minorTickMark val="none"/>
        <c:tickLblPos val="nextTo"/>
        <c:crossAx val="268410240"/>
        <c:crosses val="autoZero"/>
        <c:crossBetween val="between"/>
      </c:valAx>
    </c:plotArea>
    <c:plotVisOnly val="1"/>
    <c:dispBlanksAs val="gap"/>
    <c:showDLblsOverMax val="0"/>
  </c:chart>
  <c:spPr>
    <a:noFill/>
    <a:ln>
      <a:noFill/>
    </a:ln>
  </c:sp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819374300690979E-2"/>
          <c:y val="3.3191389192942809E-2"/>
          <c:w val="0.87987703327717648"/>
          <c:h val="0.64899636729314791"/>
        </c:manualLayout>
      </c:layout>
      <c:barChart>
        <c:barDir val="col"/>
        <c:grouping val="stacked"/>
        <c:varyColors val="0"/>
        <c:ser>
          <c:idx val="0"/>
          <c:order val="0"/>
          <c:tx>
            <c:strRef>
              <c:f>'Wykres 26 | A'!$B$2</c:f>
              <c:strCache>
                <c:ptCount val="1"/>
                <c:pt idx="0">
                  <c:v>Złotowe</c:v>
                </c:pt>
              </c:strCache>
            </c:strRef>
          </c:tx>
          <c:invertIfNegative val="0"/>
          <c:cat>
            <c:numRef>
              <c:f>'Wykres 26 | A'!$A$3:$A$127</c:f>
              <c:numCache>
                <c:formatCode>[$-415]mmm\ yy;@</c:formatCode>
                <c:ptCount val="125"/>
                <c:pt idx="0">
                  <c:v>39844</c:v>
                </c:pt>
                <c:pt idx="1">
                  <c:v>39872</c:v>
                </c:pt>
                <c:pt idx="2">
                  <c:v>39903</c:v>
                </c:pt>
                <c:pt idx="3">
                  <c:v>39933</c:v>
                </c:pt>
                <c:pt idx="4">
                  <c:v>39964</c:v>
                </c:pt>
                <c:pt idx="5">
                  <c:v>39994</c:v>
                </c:pt>
                <c:pt idx="6">
                  <c:v>40025</c:v>
                </c:pt>
                <c:pt idx="7">
                  <c:v>40056</c:v>
                </c:pt>
                <c:pt idx="8">
                  <c:v>40086</c:v>
                </c:pt>
                <c:pt idx="9">
                  <c:v>40117</c:v>
                </c:pt>
                <c:pt idx="10">
                  <c:v>40147</c:v>
                </c:pt>
                <c:pt idx="11">
                  <c:v>40178</c:v>
                </c:pt>
                <c:pt idx="12">
                  <c:v>40209</c:v>
                </c:pt>
                <c:pt idx="13">
                  <c:v>40237</c:v>
                </c:pt>
                <c:pt idx="14">
                  <c:v>40268</c:v>
                </c:pt>
                <c:pt idx="15">
                  <c:v>40298</c:v>
                </c:pt>
                <c:pt idx="16">
                  <c:v>40329</c:v>
                </c:pt>
                <c:pt idx="17">
                  <c:v>40359</c:v>
                </c:pt>
                <c:pt idx="18">
                  <c:v>40390</c:v>
                </c:pt>
                <c:pt idx="19">
                  <c:v>40421</c:v>
                </c:pt>
                <c:pt idx="20">
                  <c:v>40451</c:v>
                </c:pt>
                <c:pt idx="21">
                  <c:v>40482</c:v>
                </c:pt>
                <c:pt idx="22">
                  <c:v>40512</c:v>
                </c:pt>
                <c:pt idx="23">
                  <c:v>40543</c:v>
                </c:pt>
                <c:pt idx="24">
                  <c:v>40574</c:v>
                </c:pt>
                <c:pt idx="25">
                  <c:v>40602</c:v>
                </c:pt>
                <c:pt idx="26">
                  <c:v>40633</c:v>
                </c:pt>
                <c:pt idx="27">
                  <c:v>40663</c:v>
                </c:pt>
                <c:pt idx="28">
                  <c:v>40694</c:v>
                </c:pt>
                <c:pt idx="29">
                  <c:v>40724</c:v>
                </c:pt>
                <c:pt idx="30">
                  <c:v>40755</c:v>
                </c:pt>
                <c:pt idx="31">
                  <c:v>40786</c:v>
                </c:pt>
                <c:pt idx="32">
                  <c:v>40816</c:v>
                </c:pt>
                <c:pt idx="33">
                  <c:v>40847</c:v>
                </c:pt>
                <c:pt idx="34">
                  <c:v>40877</c:v>
                </c:pt>
                <c:pt idx="35">
                  <c:v>40908</c:v>
                </c:pt>
                <c:pt idx="36">
                  <c:v>40939</c:v>
                </c:pt>
                <c:pt idx="37">
                  <c:v>40968</c:v>
                </c:pt>
                <c:pt idx="38">
                  <c:v>40999</c:v>
                </c:pt>
                <c:pt idx="39">
                  <c:v>41029</c:v>
                </c:pt>
                <c:pt idx="40">
                  <c:v>41060</c:v>
                </c:pt>
                <c:pt idx="41">
                  <c:v>41090</c:v>
                </c:pt>
                <c:pt idx="42">
                  <c:v>41121</c:v>
                </c:pt>
                <c:pt idx="43">
                  <c:v>41152</c:v>
                </c:pt>
                <c:pt idx="44">
                  <c:v>41182</c:v>
                </c:pt>
                <c:pt idx="45">
                  <c:v>41213</c:v>
                </c:pt>
                <c:pt idx="46">
                  <c:v>41243</c:v>
                </c:pt>
                <c:pt idx="47">
                  <c:v>41274</c:v>
                </c:pt>
                <c:pt idx="48">
                  <c:v>41305</c:v>
                </c:pt>
                <c:pt idx="49">
                  <c:v>41333</c:v>
                </c:pt>
                <c:pt idx="50">
                  <c:v>41364</c:v>
                </c:pt>
                <c:pt idx="51">
                  <c:v>41394</c:v>
                </c:pt>
                <c:pt idx="52">
                  <c:v>41425</c:v>
                </c:pt>
                <c:pt idx="53">
                  <c:v>41455</c:v>
                </c:pt>
                <c:pt idx="54">
                  <c:v>41486</c:v>
                </c:pt>
                <c:pt idx="55">
                  <c:v>41517</c:v>
                </c:pt>
                <c:pt idx="56">
                  <c:v>41547</c:v>
                </c:pt>
                <c:pt idx="57">
                  <c:v>41578</c:v>
                </c:pt>
                <c:pt idx="58">
                  <c:v>41608</c:v>
                </c:pt>
                <c:pt idx="59">
                  <c:v>41639</c:v>
                </c:pt>
                <c:pt idx="60">
                  <c:v>41670</c:v>
                </c:pt>
                <c:pt idx="61">
                  <c:v>41698</c:v>
                </c:pt>
                <c:pt idx="62">
                  <c:v>41729</c:v>
                </c:pt>
                <c:pt idx="63">
                  <c:v>41759</c:v>
                </c:pt>
                <c:pt idx="64">
                  <c:v>41790</c:v>
                </c:pt>
                <c:pt idx="65">
                  <c:v>41820</c:v>
                </c:pt>
                <c:pt idx="66">
                  <c:v>41851</c:v>
                </c:pt>
                <c:pt idx="67">
                  <c:v>41882</c:v>
                </c:pt>
                <c:pt idx="68">
                  <c:v>41912</c:v>
                </c:pt>
                <c:pt idx="69">
                  <c:v>41943</c:v>
                </c:pt>
                <c:pt idx="70">
                  <c:v>41973</c:v>
                </c:pt>
                <c:pt idx="71">
                  <c:v>42004</c:v>
                </c:pt>
                <c:pt idx="72">
                  <c:v>42035</c:v>
                </c:pt>
                <c:pt idx="73">
                  <c:v>42063</c:v>
                </c:pt>
                <c:pt idx="74">
                  <c:v>42094</c:v>
                </c:pt>
                <c:pt idx="75">
                  <c:v>42124</c:v>
                </c:pt>
                <c:pt idx="76">
                  <c:v>42155</c:v>
                </c:pt>
                <c:pt idx="77">
                  <c:v>42185</c:v>
                </c:pt>
                <c:pt idx="78">
                  <c:v>42216</c:v>
                </c:pt>
                <c:pt idx="79">
                  <c:v>42247</c:v>
                </c:pt>
                <c:pt idx="80">
                  <c:v>42277</c:v>
                </c:pt>
                <c:pt idx="81">
                  <c:v>42308</c:v>
                </c:pt>
                <c:pt idx="82">
                  <c:v>42338</c:v>
                </c:pt>
                <c:pt idx="83">
                  <c:v>42369</c:v>
                </c:pt>
                <c:pt idx="84">
                  <c:v>42400</c:v>
                </c:pt>
                <c:pt idx="85">
                  <c:v>42429</c:v>
                </c:pt>
                <c:pt idx="86">
                  <c:v>42460</c:v>
                </c:pt>
                <c:pt idx="87">
                  <c:v>42490</c:v>
                </c:pt>
                <c:pt idx="88">
                  <c:v>42521</c:v>
                </c:pt>
                <c:pt idx="89">
                  <c:v>42551</c:v>
                </c:pt>
                <c:pt idx="90">
                  <c:v>42582</c:v>
                </c:pt>
                <c:pt idx="91">
                  <c:v>42613</c:v>
                </c:pt>
                <c:pt idx="92">
                  <c:v>42643</c:v>
                </c:pt>
                <c:pt idx="93">
                  <c:v>42674</c:v>
                </c:pt>
                <c:pt idx="94">
                  <c:v>42704</c:v>
                </c:pt>
                <c:pt idx="95">
                  <c:v>42735</c:v>
                </c:pt>
                <c:pt idx="96">
                  <c:v>42766</c:v>
                </c:pt>
                <c:pt idx="97">
                  <c:v>42794</c:v>
                </c:pt>
                <c:pt idx="98">
                  <c:v>42825</c:v>
                </c:pt>
                <c:pt idx="99">
                  <c:v>42855</c:v>
                </c:pt>
                <c:pt idx="100">
                  <c:v>42886</c:v>
                </c:pt>
                <c:pt idx="101">
                  <c:v>42916</c:v>
                </c:pt>
                <c:pt idx="102">
                  <c:v>42947</c:v>
                </c:pt>
                <c:pt idx="103">
                  <c:v>42978</c:v>
                </c:pt>
                <c:pt idx="104">
                  <c:v>43008</c:v>
                </c:pt>
                <c:pt idx="105">
                  <c:v>43039</c:v>
                </c:pt>
                <c:pt idx="106">
                  <c:v>43069</c:v>
                </c:pt>
                <c:pt idx="107">
                  <c:v>43100</c:v>
                </c:pt>
                <c:pt idx="108">
                  <c:v>43131</c:v>
                </c:pt>
                <c:pt idx="109">
                  <c:v>43159</c:v>
                </c:pt>
                <c:pt idx="110">
                  <c:v>43190</c:v>
                </c:pt>
                <c:pt idx="111">
                  <c:v>43220</c:v>
                </c:pt>
                <c:pt idx="112">
                  <c:v>43251</c:v>
                </c:pt>
                <c:pt idx="113">
                  <c:v>43281</c:v>
                </c:pt>
                <c:pt idx="114">
                  <c:v>43312</c:v>
                </c:pt>
                <c:pt idx="115">
                  <c:v>43343</c:v>
                </c:pt>
                <c:pt idx="116">
                  <c:v>43373</c:v>
                </c:pt>
                <c:pt idx="117">
                  <c:v>43404</c:v>
                </c:pt>
                <c:pt idx="118">
                  <c:v>43434</c:v>
                </c:pt>
                <c:pt idx="119">
                  <c:v>43465</c:v>
                </c:pt>
                <c:pt idx="120">
                  <c:v>43496</c:v>
                </c:pt>
                <c:pt idx="121">
                  <c:v>43524</c:v>
                </c:pt>
                <c:pt idx="122">
                  <c:v>43555</c:v>
                </c:pt>
                <c:pt idx="123">
                  <c:v>43585</c:v>
                </c:pt>
                <c:pt idx="124">
                  <c:v>43616</c:v>
                </c:pt>
              </c:numCache>
            </c:numRef>
          </c:cat>
          <c:val>
            <c:numRef>
              <c:f>'Wykres 26 | A'!$B$3:$B$127</c:f>
              <c:numCache>
                <c:formatCode>#,##0.0</c:formatCode>
                <c:ptCount val="125"/>
                <c:pt idx="0">
                  <c:v>163681.08199999999</c:v>
                </c:pt>
                <c:pt idx="1">
                  <c:v>164634.74299999999</c:v>
                </c:pt>
                <c:pt idx="2">
                  <c:v>164848.06099999999</c:v>
                </c:pt>
                <c:pt idx="3">
                  <c:v>164127.32</c:v>
                </c:pt>
                <c:pt idx="4">
                  <c:v>163248.40100000001</c:v>
                </c:pt>
                <c:pt idx="5">
                  <c:v>162729.69399999999</c:v>
                </c:pt>
                <c:pt idx="6">
                  <c:v>162145.22</c:v>
                </c:pt>
                <c:pt idx="7">
                  <c:v>161528.14600000001</c:v>
                </c:pt>
                <c:pt idx="8">
                  <c:v>161532.864</c:v>
                </c:pt>
                <c:pt idx="9">
                  <c:v>161055.76699999999</c:v>
                </c:pt>
                <c:pt idx="10">
                  <c:v>160905.84700000001</c:v>
                </c:pt>
                <c:pt idx="11">
                  <c:v>155549.59599999999</c:v>
                </c:pt>
                <c:pt idx="12">
                  <c:v>156848.70199999999</c:v>
                </c:pt>
                <c:pt idx="13">
                  <c:v>157529.73499999999</c:v>
                </c:pt>
                <c:pt idx="14">
                  <c:v>155568.58199999999</c:v>
                </c:pt>
                <c:pt idx="15">
                  <c:v>154185.63</c:v>
                </c:pt>
                <c:pt idx="16">
                  <c:v>155284.05799999999</c:v>
                </c:pt>
                <c:pt idx="17">
                  <c:v>155411.95300000001</c:v>
                </c:pt>
                <c:pt idx="18">
                  <c:v>155542.136</c:v>
                </c:pt>
                <c:pt idx="19">
                  <c:v>155977.87299999999</c:v>
                </c:pt>
                <c:pt idx="20">
                  <c:v>157110.522</c:v>
                </c:pt>
                <c:pt idx="21">
                  <c:v>158081.88699999999</c:v>
                </c:pt>
                <c:pt idx="22">
                  <c:v>157152.11199999999</c:v>
                </c:pt>
                <c:pt idx="23">
                  <c:v>154312.43400000001</c:v>
                </c:pt>
                <c:pt idx="24">
                  <c:v>156698.13399999999</c:v>
                </c:pt>
                <c:pt idx="25">
                  <c:v>158401.04199999999</c:v>
                </c:pt>
                <c:pt idx="26">
                  <c:v>160034.709</c:v>
                </c:pt>
                <c:pt idx="27">
                  <c:v>163267.90900000001</c:v>
                </c:pt>
                <c:pt idx="28">
                  <c:v>164576.45800000001</c:v>
                </c:pt>
                <c:pt idx="29">
                  <c:v>168086.20300000001</c:v>
                </c:pt>
                <c:pt idx="30">
                  <c:v>170182.43799999999</c:v>
                </c:pt>
                <c:pt idx="31">
                  <c:v>169737.16</c:v>
                </c:pt>
                <c:pt idx="32">
                  <c:v>170615.052</c:v>
                </c:pt>
                <c:pt idx="33">
                  <c:v>172403.511</c:v>
                </c:pt>
                <c:pt idx="34">
                  <c:v>177222.26300000001</c:v>
                </c:pt>
                <c:pt idx="35">
                  <c:v>175785.522</c:v>
                </c:pt>
                <c:pt idx="36">
                  <c:v>179359.046</c:v>
                </c:pt>
                <c:pt idx="37">
                  <c:v>181088.59899999999</c:v>
                </c:pt>
                <c:pt idx="38">
                  <c:v>183408.90900000001</c:v>
                </c:pt>
                <c:pt idx="39">
                  <c:v>183876.17</c:v>
                </c:pt>
                <c:pt idx="40">
                  <c:v>184676.36300000001</c:v>
                </c:pt>
                <c:pt idx="41">
                  <c:v>186050.43799999999</c:v>
                </c:pt>
                <c:pt idx="42">
                  <c:v>188886.09299999999</c:v>
                </c:pt>
                <c:pt idx="43">
                  <c:v>189673.00099999999</c:v>
                </c:pt>
                <c:pt idx="44">
                  <c:v>191336.174</c:v>
                </c:pt>
                <c:pt idx="45">
                  <c:v>189720.872</c:v>
                </c:pt>
                <c:pt idx="46">
                  <c:v>190564.37299999999</c:v>
                </c:pt>
                <c:pt idx="47">
                  <c:v>186651.492</c:v>
                </c:pt>
                <c:pt idx="48">
                  <c:v>186054.72200000001</c:v>
                </c:pt>
                <c:pt idx="49">
                  <c:v>186283.08100000001</c:v>
                </c:pt>
                <c:pt idx="50">
                  <c:v>186679.35</c:v>
                </c:pt>
                <c:pt idx="51">
                  <c:v>186942.16200000001</c:v>
                </c:pt>
                <c:pt idx="52">
                  <c:v>185758.098</c:v>
                </c:pt>
                <c:pt idx="53">
                  <c:v>187621.70499999999</c:v>
                </c:pt>
                <c:pt idx="54">
                  <c:v>186935.59400000001</c:v>
                </c:pt>
                <c:pt idx="55">
                  <c:v>187958.86199999999</c:v>
                </c:pt>
                <c:pt idx="56">
                  <c:v>188687.37899999999</c:v>
                </c:pt>
                <c:pt idx="57">
                  <c:v>187410.894</c:v>
                </c:pt>
                <c:pt idx="58">
                  <c:v>188070.81599999999</c:v>
                </c:pt>
                <c:pt idx="59">
                  <c:v>184286.70600000001</c:v>
                </c:pt>
                <c:pt idx="60">
                  <c:v>185623.973</c:v>
                </c:pt>
                <c:pt idx="61">
                  <c:v>187626.64300000001</c:v>
                </c:pt>
                <c:pt idx="62">
                  <c:v>189038.679</c:v>
                </c:pt>
                <c:pt idx="63">
                  <c:v>190038.617</c:v>
                </c:pt>
                <c:pt idx="64">
                  <c:v>193235.00200000001</c:v>
                </c:pt>
                <c:pt idx="65">
                  <c:v>194353.85800000001</c:v>
                </c:pt>
                <c:pt idx="66">
                  <c:v>192549.26800000001</c:v>
                </c:pt>
                <c:pt idx="67">
                  <c:v>192221.50599999999</c:v>
                </c:pt>
                <c:pt idx="68">
                  <c:v>193200.99400000001</c:v>
                </c:pt>
                <c:pt idx="69">
                  <c:v>191876.35699999999</c:v>
                </c:pt>
                <c:pt idx="70">
                  <c:v>194190.527</c:v>
                </c:pt>
                <c:pt idx="71">
                  <c:v>188838.48800000001</c:v>
                </c:pt>
                <c:pt idx="72">
                  <c:v>191293.095</c:v>
                </c:pt>
                <c:pt idx="73">
                  <c:v>193594.372</c:v>
                </c:pt>
                <c:pt idx="74">
                  <c:v>197580.05100000001</c:v>
                </c:pt>
                <c:pt idx="75">
                  <c:v>197787.27900000001</c:v>
                </c:pt>
                <c:pt idx="76">
                  <c:v>198245.72500000001</c:v>
                </c:pt>
                <c:pt idx="77">
                  <c:v>200468.829</c:v>
                </c:pt>
                <c:pt idx="78">
                  <c:v>200985.27499999999</c:v>
                </c:pt>
                <c:pt idx="79">
                  <c:v>204583.29500000001</c:v>
                </c:pt>
                <c:pt idx="80">
                  <c:v>206325.16899999999</c:v>
                </c:pt>
                <c:pt idx="81">
                  <c:v>206040.81200000001</c:v>
                </c:pt>
                <c:pt idx="82">
                  <c:v>207421.69500000001</c:v>
                </c:pt>
                <c:pt idx="83">
                  <c:v>202895.573</c:v>
                </c:pt>
                <c:pt idx="84">
                  <c:v>207910.58600000001</c:v>
                </c:pt>
                <c:pt idx="85">
                  <c:v>207533.74900000001</c:v>
                </c:pt>
                <c:pt idx="86">
                  <c:v>207874.13500000001</c:v>
                </c:pt>
                <c:pt idx="87">
                  <c:v>209714.86499999999</c:v>
                </c:pt>
                <c:pt idx="88">
                  <c:v>209298.19099999999</c:v>
                </c:pt>
                <c:pt idx="89">
                  <c:v>209418.516</c:v>
                </c:pt>
                <c:pt idx="90">
                  <c:v>210834.44500000001</c:v>
                </c:pt>
                <c:pt idx="91">
                  <c:v>212572.65400000001</c:v>
                </c:pt>
                <c:pt idx="92">
                  <c:v>217172.652</c:v>
                </c:pt>
                <c:pt idx="93">
                  <c:v>217013.524</c:v>
                </c:pt>
                <c:pt idx="94">
                  <c:v>216053.087</c:v>
                </c:pt>
                <c:pt idx="95">
                  <c:v>212279.622</c:v>
                </c:pt>
                <c:pt idx="96">
                  <c:v>216404.95199999999</c:v>
                </c:pt>
                <c:pt idx="97">
                  <c:v>218570.57500000001</c:v>
                </c:pt>
                <c:pt idx="98">
                  <c:v>222123.41200000001</c:v>
                </c:pt>
                <c:pt idx="99">
                  <c:v>227120.16</c:v>
                </c:pt>
                <c:pt idx="100">
                  <c:v>228163.429</c:v>
                </c:pt>
                <c:pt idx="101">
                  <c:v>230025.22399999999</c:v>
                </c:pt>
                <c:pt idx="102">
                  <c:v>230549.48699999999</c:v>
                </c:pt>
                <c:pt idx="103">
                  <c:v>233526.23300000001</c:v>
                </c:pt>
                <c:pt idx="104">
                  <c:v>234308.87400000001</c:v>
                </c:pt>
                <c:pt idx="105">
                  <c:v>235869.93400000001</c:v>
                </c:pt>
                <c:pt idx="106">
                  <c:v>237613.59099999999</c:v>
                </c:pt>
                <c:pt idx="107">
                  <c:v>235886.12</c:v>
                </c:pt>
                <c:pt idx="108">
                  <c:v>239891.39300000001</c:v>
                </c:pt>
                <c:pt idx="109">
                  <c:v>240798.79500000001</c:v>
                </c:pt>
                <c:pt idx="110">
                  <c:v>240621.73800000001</c:v>
                </c:pt>
                <c:pt idx="111">
                  <c:v>241508.035</c:v>
                </c:pt>
                <c:pt idx="112">
                  <c:v>242391.86799999999</c:v>
                </c:pt>
                <c:pt idx="113">
                  <c:v>241887.74600000001</c:v>
                </c:pt>
                <c:pt idx="114">
                  <c:v>244387.46100000001</c:v>
                </c:pt>
                <c:pt idx="115">
                  <c:v>246000.81299999999</c:v>
                </c:pt>
                <c:pt idx="116">
                  <c:v>248891.70499999999</c:v>
                </c:pt>
                <c:pt idx="117">
                  <c:v>247672.17499999999</c:v>
                </c:pt>
                <c:pt idx="118">
                  <c:v>248044.52299999999</c:v>
                </c:pt>
                <c:pt idx="119">
                  <c:v>245610.47200000001</c:v>
                </c:pt>
                <c:pt idx="120">
                  <c:v>248366.74900000001</c:v>
                </c:pt>
                <c:pt idx="121">
                  <c:v>249036.19500000001</c:v>
                </c:pt>
                <c:pt idx="122">
                  <c:v>251098.05</c:v>
                </c:pt>
                <c:pt idx="123">
                  <c:v>250379.54199999999</c:v>
                </c:pt>
                <c:pt idx="124">
                  <c:v>248791.516</c:v>
                </c:pt>
              </c:numCache>
            </c:numRef>
          </c:val>
          <c:extLst>
            <c:ext xmlns:c16="http://schemas.microsoft.com/office/drawing/2014/chart" uri="{C3380CC4-5D6E-409C-BE32-E72D297353CC}">
              <c16:uniqueId val="{00000000-6237-4814-BE64-9FB2F0079CDD}"/>
            </c:ext>
          </c:extLst>
        </c:ser>
        <c:ser>
          <c:idx val="1"/>
          <c:order val="1"/>
          <c:tx>
            <c:strRef>
              <c:f>'Wykres 26 | A'!$C$2</c:f>
              <c:strCache>
                <c:ptCount val="1"/>
                <c:pt idx="0">
                  <c:v>Walutowe</c:v>
                </c:pt>
              </c:strCache>
            </c:strRef>
          </c:tx>
          <c:invertIfNegative val="0"/>
          <c:cat>
            <c:numRef>
              <c:f>'Wykres 26 | A'!$A$3:$A$127</c:f>
              <c:numCache>
                <c:formatCode>[$-415]mmm\ yy;@</c:formatCode>
                <c:ptCount val="125"/>
                <c:pt idx="0">
                  <c:v>39844</c:v>
                </c:pt>
                <c:pt idx="1">
                  <c:v>39872</c:v>
                </c:pt>
                <c:pt idx="2">
                  <c:v>39903</c:v>
                </c:pt>
                <c:pt idx="3">
                  <c:v>39933</c:v>
                </c:pt>
                <c:pt idx="4">
                  <c:v>39964</c:v>
                </c:pt>
                <c:pt idx="5">
                  <c:v>39994</c:v>
                </c:pt>
                <c:pt idx="6">
                  <c:v>40025</c:v>
                </c:pt>
                <c:pt idx="7">
                  <c:v>40056</c:v>
                </c:pt>
                <c:pt idx="8">
                  <c:v>40086</c:v>
                </c:pt>
                <c:pt idx="9">
                  <c:v>40117</c:v>
                </c:pt>
                <c:pt idx="10">
                  <c:v>40147</c:v>
                </c:pt>
                <c:pt idx="11">
                  <c:v>40178</c:v>
                </c:pt>
                <c:pt idx="12">
                  <c:v>40209</c:v>
                </c:pt>
                <c:pt idx="13">
                  <c:v>40237</c:v>
                </c:pt>
                <c:pt idx="14">
                  <c:v>40268</c:v>
                </c:pt>
                <c:pt idx="15">
                  <c:v>40298</c:v>
                </c:pt>
                <c:pt idx="16">
                  <c:v>40329</c:v>
                </c:pt>
                <c:pt idx="17">
                  <c:v>40359</c:v>
                </c:pt>
                <c:pt idx="18">
                  <c:v>40390</c:v>
                </c:pt>
                <c:pt idx="19">
                  <c:v>40421</c:v>
                </c:pt>
                <c:pt idx="20">
                  <c:v>40451</c:v>
                </c:pt>
                <c:pt idx="21">
                  <c:v>40482</c:v>
                </c:pt>
                <c:pt idx="22">
                  <c:v>40512</c:v>
                </c:pt>
                <c:pt idx="23">
                  <c:v>40543</c:v>
                </c:pt>
                <c:pt idx="24">
                  <c:v>40574</c:v>
                </c:pt>
                <c:pt idx="25">
                  <c:v>40602</c:v>
                </c:pt>
                <c:pt idx="26">
                  <c:v>40633</c:v>
                </c:pt>
                <c:pt idx="27">
                  <c:v>40663</c:v>
                </c:pt>
                <c:pt idx="28">
                  <c:v>40694</c:v>
                </c:pt>
                <c:pt idx="29">
                  <c:v>40724</c:v>
                </c:pt>
                <c:pt idx="30">
                  <c:v>40755</c:v>
                </c:pt>
                <c:pt idx="31">
                  <c:v>40786</c:v>
                </c:pt>
                <c:pt idx="32">
                  <c:v>40816</c:v>
                </c:pt>
                <c:pt idx="33">
                  <c:v>40847</c:v>
                </c:pt>
                <c:pt idx="34">
                  <c:v>40877</c:v>
                </c:pt>
                <c:pt idx="35">
                  <c:v>40908</c:v>
                </c:pt>
                <c:pt idx="36">
                  <c:v>40939</c:v>
                </c:pt>
                <c:pt idx="37">
                  <c:v>40968</c:v>
                </c:pt>
                <c:pt idx="38">
                  <c:v>40999</c:v>
                </c:pt>
                <c:pt idx="39">
                  <c:v>41029</c:v>
                </c:pt>
                <c:pt idx="40">
                  <c:v>41060</c:v>
                </c:pt>
                <c:pt idx="41">
                  <c:v>41090</c:v>
                </c:pt>
                <c:pt idx="42">
                  <c:v>41121</c:v>
                </c:pt>
                <c:pt idx="43">
                  <c:v>41152</c:v>
                </c:pt>
                <c:pt idx="44">
                  <c:v>41182</c:v>
                </c:pt>
                <c:pt idx="45">
                  <c:v>41213</c:v>
                </c:pt>
                <c:pt idx="46">
                  <c:v>41243</c:v>
                </c:pt>
                <c:pt idx="47">
                  <c:v>41274</c:v>
                </c:pt>
                <c:pt idx="48">
                  <c:v>41305</c:v>
                </c:pt>
                <c:pt idx="49">
                  <c:v>41333</c:v>
                </c:pt>
                <c:pt idx="50">
                  <c:v>41364</c:v>
                </c:pt>
                <c:pt idx="51">
                  <c:v>41394</c:v>
                </c:pt>
                <c:pt idx="52">
                  <c:v>41425</c:v>
                </c:pt>
                <c:pt idx="53">
                  <c:v>41455</c:v>
                </c:pt>
                <c:pt idx="54">
                  <c:v>41486</c:v>
                </c:pt>
                <c:pt idx="55">
                  <c:v>41517</c:v>
                </c:pt>
                <c:pt idx="56">
                  <c:v>41547</c:v>
                </c:pt>
                <c:pt idx="57">
                  <c:v>41578</c:v>
                </c:pt>
                <c:pt idx="58">
                  <c:v>41608</c:v>
                </c:pt>
                <c:pt idx="59">
                  <c:v>41639</c:v>
                </c:pt>
                <c:pt idx="60">
                  <c:v>41670</c:v>
                </c:pt>
                <c:pt idx="61">
                  <c:v>41698</c:v>
                </c:pt>
                <c:pt idx="62">
                  <c:v>41729</c:v>
                </c:pt>
                <c:pt idx="63">
                  <c:v>41759</c:v>
                </c:pt>
                <c:pt idx="64">
                  <c:v>41790</c:v>
                </c:pt>
                <c:pt idx="65">
                  <c:v>41820</c:v>
                </c:pt>
                <c:pt idx="66">
                  <c:v>41851</c:v>
                </c:pt>
                <c:pt idx="67">
                  <c:v>41882</c:v>
                </c:pt>
                <c:pt idx="68">
                  <c:v>41912</c:v>
                </c:pt>
                <c:pt idx="69">
                  <c:v>41943</c:v>
                </c:pt>
                <c:pt idx="70">
                  <c:v>41973</c:v>
                </c:pt>
                <c:pt idx="71">
                  <c:v>42004</c:v>
                </c:pt>
                <c:pt idx="72">
                  <c:v>42035</c:v>
                </c:pt>
                <c:pt idx="73">
                  <c:v>42063</c:v>
                </c:pt>
                <c:pt idx="74">
                  <c:v>42094</c:v>
                </c:pt>
                <c:pt idx="75">
                  <c:v>42124</c:v>
                </c:pt>
                <c:pt idx="76">
                  <c:v>42155</c:v>
                </c:pt>
                <c:pt idx="77">
                  <c:v>42185</c:v>
                </c:pt>
                <c:pt idx="78">
                  <c:v>42216</c:v>
                </c:pt>
                <c:pt idx="79">
                  <c:v>42247</c:v>
                </c:pt>
                <c:pt idx="80">
                  <c:v>42277</c:v>
                </c:pt>
                <c:pt idx="81">
                  <c:v>42308</c:v>
                </c:pt>
                <c:pt idx="82">
                  <c:v>42338</c:v>
                </c:pt>
                <c:pt idx="83">
                  <c:v>42369</c:v>
                </c:pt>
                <c:pt idx="84">
                  <c:v>42400</c:v>
                </c:pt>
                <c:pt idx="85">
                  <c:v>42429</c:v>
                </c:pt>
                <c:pt idx="86">
                  <c:v>42460</c:v>
                </c:pt>
                <c:pt idx="87">
                  <c:v>42490</c:v>
                </c:pt>
                <c:pt idx="88">
                  <c:v>42521</c:v>
                </c:pt>
                <c:pt idx="89">
                  <c:v>42551</c:v>
                </c:pt>
                <c:pt idx="90">
                  <c:v>42582</c:v>
                </c:pt>
                <c:pt idx="91">
                  <c:v>42613</c:v>
                </c:pt>
                <c:pt idx="92">
                  <c:v>42643</c:v>
                </c:pt>
                <c:pt idx="93">
                  <c:v>42674</c:v>
                </c:pt>
                <c:pt idx="94">
                  <c:v>42704</c:v>
                </c:pt>
                <c:pt idx="95">
                  <c:v>42735</c:v>
                </c:pt>
                <c:pt idx="96">
                  <c:v>42766</c:v>
                </c:pt>
                <c:pt idx="97">
                  <c:v>42794</c:v>
                </c:pt>
                <c:pt idx="98">
                  <c:v>42825</c:v>
                </c:pt>
                <c:pt idx="99">
                  <c:v>42855</c:v>
                </c:pt>
                <c:pt idx="100">
                  <c:v>42886</c:v>
                </c:pt>
                <c:pt idx="101">
                  <c:v>42916</c:v>
                </c:pt>
                <c:pt idx="102">
                  <c:v>42947</c:v>
                </c:pt>
                <c:pt idx="103">
                  <c:v>42978</c:v>
                </c:pt>
                <c:pt idx="104">
                  <c:v>43008</c:v>
                </c:pt>
                <c:pt idx="105">
                  <c:v>43039</c:v>
                </c:pt>
                <c:pt idx="106">
                  <c:v>43069</c:v>
                </c:pt>
                <c:pt idx="107">
                  <c:v>43100</c:v>
                </c:pt>
                <c:pt idx="108">
                  <c:v>43131</c:v>
                </c:pt>
                <c:pt idx="109">
                  <c:v>43159</c:v>
                </c:pt>
                <c:pt idx="110">
                  <c:v>43190</c:v>
                </c:pt>
                <c:pt idx="111">
                  <c:v>43220</c:v>
                </c:pt>
                <c:pt idx="112">
                  <c:v>43251</c:v>
                </c:pt>
                <c:pt idx="113">
                  <c:v>43281</c:v>
                </c:pt>
                <c:pt idx="114">
                  <c:v>43312</c:v>
                </c:pt>
                <c:pt idx="115">
                  <c:v>43343</c:v>
                </c:pt>
                <c:pt idx="116">
                  <c:v>43373</c:v>
                </c:pt>
                <c:pt idx="117">
                  <c:v>43404</c:v>
                </c:pt>
                <c:pt idx="118">
                  <c:v>43434</c:v>
                </c:pt>
                <c:pt idx="119">
                  <c:v>43465</c:v>
                </c:pt>
                <c:pt idx="120">
                  <c:v>43496</c:v>
                </c:pt>
                <c:pt idx="121">
                  <c:v>43524</c:v>
                </c:pt>
                <c:pt idx="122">
                  <c:v>43555</c:v>
                </c:pt>
                <c:pt idx="123">
                  <c:v>43585</c:v>
                </c:pt>
                <c:pt idx="124">
                  <c:v>43616</c:v>
                </c:pt>
              </c:numCache>
            </c:numRef>
          </c:cat>
          <c:val>
            <c:numRef>
              <c:f>'Wykres 26 | A'!$C$3:$C$127</c:f>
              <c:numCache>
                <c:formatCode>#,##0.0</c:formatCode>
                <c:ptCount val="125"/>
                <c:pt idx="0">
                  <c:v>57778.067999999999</c:v>
                </c:pt>
                <c:pt idx="1">
                  <c:v>60586.345000000001</c:v>
                </c:pt>
                <c:pt idx="2">
                  <c:v>60882.205000000002</c:v>
                </c:pt>
                <c:pt idx="3">
                  <c:v>56762.652000000002</c:v>
                </c:pt>
                <c:pt idx="4">
                  <c:v>57097.470999999998</c:v>
                </c:pt>
                <c:pt idx="5">
                  <c:v>56086.726999999999</c:v>
                </c:pt>
                <c:pt idx="6">
                  <c:v>52293.618000000002</c:v>
                </c:pt>
                <c:pt idx="7">
                  <c:v>51461.235999999997</c:v>
                </c:pt>
                <c:pt idx="8">
                  <c:v>53244.792999999998</c:v>
                </c:pt>
                <c:pt idx="9">
                  <c:v>53313.832999999999</c:v>
                </c:pt>
                <c:pt idx="10">
                  <c:v>51628.881000000001</c:v>
                </c:pt>
                <c:pt idx="11">
                  <c:v>51858.165000000001</c:v>
                </c:pt>
                <c:pt idx="12">
                  <c:v>52164.898000000001</c:v>
                </c:pt>
                <c:pt idx="13">
                  <c:v>50889.182999999997</c:v>
                </c:pt>
                <c:pt idx="14">
                  <c:v>48234.055</c:v>
                </c:pt>
                <c:pt idx="15">
                  <c:v>49269.182999999997</c:v>
                </c:pt>
                <c:pt idx="16">
                  <c:v>51648.85</c:v>
                </c:pt>
                <c:pt idx="17">
                  <c:v>52555.665000000001</c:v>
                </c:pt>
                <c:pt idx="18">
                  <c:v>50296.993000000002</c:v>
                </c:pt>
                <c:pt idx="19">
                  <c:v>50750.51</c:v>
                </c:pt>
                <c:pt idx="20">
                  <c:v>49335.73</c:v>
                </c:pt>
                <c:pt idx="21">
                  <c:v>49827.402000000002</c:v>
                </c:pt>
                <c:pt idx="22">
                  <c:v>51744.12</c:v>
                </c:pt>
                <c:pt idx="23">
                  <c:v>49692.887000000002</c:v>
                </c:pt>
                <c:pt idx="24">
                  <c:v>49595.495999999999</c:v>
                </c:pt>
                <c:pt idx="25">
                  <c:v>49720.737999999998</c:v>
                </c:pt>
                <c:pt idx="26">
                  <c:v>49883.633999999998</c:v>
                </c:pt>
                <c:pt idx="27">
                  <c:v>50434.593999999997</c:v>
                </c:pt>
                <c:pt idx="28">
                  <c:v>52259.197</c:v>
                </c:pt>
                <c:pt idx="29">
                  <c:v>51856.667999999998</c:v>
                </c:pt>
                <c:pt idx="30">
                  <c:v>53071.836000000003</c:v>
                </c:pt>
                <c:pt idx="31">
                  <c:v>55541.567000000003</c:v>
                </c:pt>
                <c:pt idx="32">
                  <c:v>60955.489000000001</c:v>
                </c:pt>
                <c:pt idx="33">
                  <c:v>60781.93</c:v>
                </c:pt>
                <c:pt idx="34">
                  <c:v>64568.13</c:v>
                </c:pt>
                <c:pt idx="35">
                  <c:v>63308.557999999997</c:v>
                </c:pt>
                <c:pt idx="36">
                  <c:v>61100.544000000002</c:v>
                </c:pt>
                <c:pt idx="37">
                  <c:v>58846.909</c:v>
                </c:pt>
                <c:pt idx="38">
                  <c:v>59032.523999999998</c:v>
                </c:pt>
                <c:pt idx="39">
                  <c:v>59445.326000000001</c:v>
                </c:pt>
                <c:pt idx="40">
                  <c:v>63833.576999999997</c:v>
                </c:pt>
                <c:pt idx="41">
                  <c:v>61170.154000000002</c:v>
                </c:pt>
                <c:pt idx="42">
                  <c:v>59225.002</c:v>
                </c:pt>
                <c:pt idx="43">
                  <c:v>60203.714</c:v>
                </c:pt>
                <c:pt idx="44">
                  <c:v>58776.194000000003</c:v>
                </c:pt>
                <c:pt idx="45">
                  <c:v>59195.061999999998</c:v>
                </c:pt>
                <c:pt idx="46">
                  <c:v>58569.394</c:v>
                </c:pt>
                <c:pt idx="47">
                  <c:v>57416.012999999999</c:v>
                </c:pt>
                <c:pt idx="48">
                  <c:v>58913.336000000003</c:v>
                </c:pt>
                <c:pt idx="49">
                  <c:v>59066.648000000001</c:v>
                </c:pt>
                <c:pt idx="50">
                  <c:v>59050.053</c:v>
                </c:pt>
                <c:pt idx="51">
                  <c:v>58556.940999999999</c:v>
                </c:pt>
                <c:pt idx="52">
                  <c:v>61272.873</c:v>
                </c:pt>
                <c:pt idx="53">
                  <c:v>62648.851999999999</c:v>
                </c:pt>
                <c:pt idx="54">
                  <c:v>61626.002</c:v>
                </c:pt>
                <c:pt idx="55">
                  <c:v>62999.675999999999</c:v>
                </c:pt>
                <c:pt idx="56">
                  <c:v>61210.2</c:v>
                </c:pt>
                <c:pt idx="57">
                  <c:v>60539.502</c:v>
                </c:pt>
                <c:pt idx="58">
                  <c:v>61382.718000000001</c:v>
                </c:pt>
                <c:pt idx="59">
                  <c:v>60380.32</c:v>
                </c:pt>
                <c:pt idx="60">
                  <c:v>64037.451999999997</c:v>
                </c:pt>
                <c:pt idx="61">
                  <c:v>63275.612999999998</c:v>
                </c:pt>
                <c:pt idx="62">
                  <c:v>64156.053999999996</c:v>
                </c:pt>
                <c:pt idx="63">
                  <c:v>66439.216</c:v>
                </c:pt>
                <c:pt idx="64">
                  <c:v>65593.816000000006</c:v>
                </c:pt>
                <c:pt idx="65">
                  <c:v>66778.441999999995</c:v>
                </c:pt>
                <c:pt idx="66">
                  <c:v>67227.994000000006</c:v>
                </c:pt>
                <c:pt idx="67">
                  <c:v>69873.926000000007</c:v>
                </c:pt>
                <c:pt idx="68">
                  <c:v>69527.304000000004</c:v>
                </c:pt>
                <c:pt idx="69">
                  <c:v>69659.506999999998</c:v>
                </c:pt>
                <c:pt idx="70">
                  <c:v>70418.842999999993</c:v>
                </c:pt>
                <c:pt idx="71">
                  <c:v>71165.323999999993</c:v>
                </c:pt>
                <c:pt idx="72">
                  <c:v>71792.972999999998</c:v>
                </c:pt>
                <c:pt idx="73">
                  <c:v>70465.489000000001</c:v>
                </c:pt>
                <c:pt idx="74">
                  <c:v>69104.062999999995</c:v>
                </c:pt>
                <c:pt idx="75">
                  <c:v>67207.012000000002</c:v>
                </c:pt>
                <c:pt idx="76">
                  <c:v>70029.528999999995</c:v>
                </c:pt>
                <c:pt idx="77">
                  <c:v>73302.701000000001</c:v>
                </c:pt>
                <c:pt idx="78">
                  <c:v>73483.224000000002</c:v>
                </c:pt>
                <c:pt idx="79">
                  <c:v>76050.335999999996</c:v>
                </c:pt>
                <c:pt idx="80">
                  <c:v>78089.212</c:v>
                </c:pt>
                <c:pt idx="81">
                  <c:v>79609.157999999996</c:v>
                </c:pt>
                <c:pt idx="82">
                  <c:v>79665.680999999997</c:v>
                </c:pt>
                <c:pt idx="83">
                  <c:v>78553.47</c:v>
                </c:pt>
                <c:pt idx="84">
                  <c:v>85547.797000000006</c:v>
                </c:pt>
                <c:pt idx="85">
                  <c:v>83161.043999999994</c:v>
                </c:pt>
                <c:pt idx="86">
                  <c:v>79953.945999999996</c:v>
                </c:pt>
                <c:pt idx="87">
                  <c:v>83696.145000000004</c:v>
                </c:pt>
                <c:pt idx="88">
                  <c:v>82582.535999999993</c:v>
                </c:pt>
                <c:pt idx="89">
                  <c:v>81782.182000000001</c:v>
                </c:pt>
                <c:pt idx="90">
                  <c:v>82844.372000000003</c:v>
                </c:pt>
                <c:pt idx="91">
                  <c:v>81715.111999999994</c:v>
                </c:pt>
                <c:pt idx="92">
                  <c:v>81448.975999999995</c:v>
                </c:pt>
                <c:pt idx="93">
                  <c:v>82660.698000000004</c:v>
                </c:pt>
                <c:pt idx="94">
                  <c:v>86073.885999999999</c:v>
                </c:pt>
                <c:pt idx="95">
                  <c:v>83285.751999999993</c:v>
                </c:pt>
                <c:pt idx="96">
                  <c:v>81404.017000000007</c:v>
                </c:pt>
                <c:pt idx="97">
                  <c:v>81463.665999999997</c:v>
                </c:pt>
                <c:pt idx="98">
                  <c:v>79263.967999999993</c:v>
                </c:pt>
                <c:pt idx="99">
                  <c:v>80406.009999999995</c:v>
                </c:pt>
                <c:pt idx="100">
                  <c:v>77637.565000000002</c:v>
                </c:pt>
                <c:pt idx="101">
                  <c:v>78827.850000000006</c:v>
                </c:pt>
                <c:pt idx="102">
                  <c:v>79519.127999999997</c:v>
                </c:pt>
                <c:pt idx="103">
                  <c:v>79665.266000000003</c:v>
                </c:pt>
                <c:pt idx="104">
                  <c:v>80491.86</c:v>
                </c:pt>
                <c:pt idx="105">
                  <c:v>80259.608999999997</c:v>
                </c:pt>
                <c:pt idx="106">
                  <c:v>78393.043000000005</c:v>
                </c:pt>
                <c:pt idx="107">
                  <c:v>76972.581999999995</c:v>
                </c:pt>
                <c:pt idx="108">
                  <c:v>77080.160000000003</c:v>
                </c:pt>
                <c:pt idx="109">
                  <c:v>80196.986000000004</c:v>
                </c:pt>
                <c:pt idx="110">
                  <c:v>81580.917000000001</c:v>
                </c:pt>
                <c:pt idx="111">
                  <c:v>81457.293000000005</c:v>
                </c:pt>
                <c:pt idx="112">
                  <c:v>85960.544999999998</c:v>
                </c:pt>
                <c:pt idx="113">
                  <c:v>86766.934999999998</c:v>
                </c:pt>
                <c:pt idx="114">
                  <c:v>84818.816999999995</c:v>
                </c:pt>
                <c:pt idx="115">
                  <c:v>85759.824999999997</c:v>
                </c:pt>
                <c:pt idx="116">
                  <c:v>86440.051000000007</c:v>
                </c:pt>
                <c:pt idx="117">
                  <c:v>90302.107000000004</c:v>
                </c:pt>
                <c:pt idx="118">
                  <c:v>90253.476999999999</c:v>
                </c:pt>
                <c:pt idx="119">
                  <c:v>90833.822</c:v>
                </c:pt>
                <c:pt idx="120">
                  <c:v>91445.824999999997</c:v>
                </c:pt>
                <c:pt idx="121">
                  <c:v>93335.732999999993</c:v>
                </c:pt>
                <c:pt idx="122">
                  <c:v>94540.986999999994</c:v>
                </c:pt>
                <c:pt idx="123">
                  <c:v>94654.664999999994</c:v>
                </c:pt>
                <c:pt idx="124">
                  <c:v>94713.842000000004</c:v>
                </c:pt>
              </c:numCache>
            </c:numRef>
          </c:val>
          <c:extLst>
            <c:ext xmlns:c16="http://schemas.microsoft.com/office/drawing/2014/chart" uri="{C3380CC4-5D6E-409C-BE32-E72D297353CC}">
              <c16:uniqueId val="{00000001-6237-4814-BE64-9FB2F0079CDD}"/>
            </c:ext>
          </c:extLst>
        </c:ser>
        <c:dLbls>
          <c:showLegendKey val="0"/>
          <c:showVal val="0"/>
          <c:showCatName val="0"/>
          <c:showSerName val="0"/>
          <c:showPercent val="0"/>
          <c:showBubbleSize val="0"/>
        </c:dLbls>
        <c:gapWidth val="150"/>
        <c:overlap val="100"/>
        <c:axId val="271005568"/>
        <c:axId val="271007104"/>
      </c:barChart>
      <c:dateAx>
        <c:axId val="271005568"/>
        <c:scaling>
          <c:orientation val="minMax"/>
        </c:scaling>
        <c:delete val="0"/>
        <c:axPos val="b"/>
        <c:numFmt formatCode="m/d/yyyy" sourceLinked="0"/>
        <c:majorTickMark val="out"/>
        <c:minorTickMark val="none"/>
        <c:tickLblPos val="nextTo"/>
        <c:txPr>
          <a:bodyPr/>
          <a:lstStyle/>
          <a:p>
            <a:pPr>
              <a:defRPr sz="900"/>
            </a:pPr>
            <a:endParaRPr lang="pl-PL"/>
          </a:p>
        </c:txPr>
        <c:crossAx val="271007104"/>
        <c:crosses val="autoZero"/>
        <c:auto val="1"/>
        <c:lblOffset val="100"/>
        <c:baseTimeUnit val="months"/>
        <c:majorUnit val="6"/>
        <c:majorTimeUnit val="months"/>
      </c:dateAx>
      <c:valAx>
        <c:axId val="271007104"/>
        <c:scaling>
          <c:orientation val="minMax"/>
        </c:scaling>
        <c:delete val="0"/>
        <c:axPos val="l"/>
        <c:majorGridlines/>
        <c:numFmt formatCode="#,##0" sourceLinked="0"/>
        <c:majorTickMark val="out"/>
        <c:minorTickMark val="none"/>
        <c:tickLblPos val="nextTo"/>
        <c:txPr>
          <a:bodyPr/>
          <a:lstStyle/>
          <a:p>
            <a:pPr>
              <a:defRPr sz="900"/>
            </a:pPr>
            <a:endParaRPr lang="pl-PL"/>
          </a:p>
        </c:txPr>
        <c:crossAx val="271005568"/>
        <c:crosses val="autoZero"/>
        <c:crossBetween val="between"/>
      </c:valAx>
    </c:plotArea>
    <c:legend>
      <c:legendPos val="r"/>
      <c:layout>
        <c:manualLayout>
          <c:xMode val="edge"/>
          <c:yMode val="edge"/>
          <c:x val="0.26507198104603036"/>
          <c:y val="0.12904958629050292"/>
          <c:w val="0.28231282110596639"/>
          <c:h val="0.10811906359238728"/>
        </c:manualLayout>
      </c:layout>
      <c:overlay val="0"/>
      <c:txPr>
        <a:bodyPr/>
        <a:lstStyle/>
        <a:p>
          <a:pPr>
            <a:defRPr sz="800"/>
          </a:pPr>
          <a:endParaRPr lang="pl-PL"/>
        </a:p>
      </c:txPr>
    </c:legend>
    <c:plotVisOnly val="1"/>
    <c:dispBlanksAs val="gap"/>
    <c:showDLblsOverMax val="0"/>
  </c:chart>
  <c:spPr>
    <a:noFill/>
    <a:ln>
      <a:noFill/>
    </a:ln>
  </c:sp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8445685742273664E-2"/>
          <c:y val="5.1400554097404488E-2"/>
          <c:w val="0.84406444217284948"/>
          <c:h val="0.74928623505395164"/>
        </c:manualLayout>
      </c:layout>
      <c:barChart>
        <c:barDir val="col"/>
        <c:grouping val="stacked"/>
        <c:varyColors val="0"/>
        <c:ser>
          <c:idx val="1"/>
          <c:order val="0"/>
          <c:tx>
            <c:strRef>
              <c:f>'Wykres 26 | B'!$H$2</c:f>
              <c:strCache>
                <c:ptCount val="1"/>
                <c:pt idx="0">
                  <c:v>Ruchomości</c:v>
                </c:pt>
              </c:strCache>
            </c:strRef>
          </c:tx>
          <c:spPr>
            <a:solidFill>
              <a:schemeClr val="accent1"/>
            </a:solidFill>
            <a:ln>
              <a:solidFill>
                <a:schemeClr val="accent1"/>
              </a:solidFill>
            </a:ln>
          </c:spPr>
          <c:invertIfNegative val="0"/>
          <c:cat>
            <c:numRef>
              <c:f>'Wykres 26 | B'!$G$3:$G$16</c:f>
              <c:numCache>
                <c:formatCode>General</c:formatCode>
                <c:ptCount val="14"/>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numCache>
            </c:numRef>
          </c:cat>
          <c:val>
            <c:numRef>
              <c:f>'Wykres 26 | B'!$H$3:$H$16</c:f>
              <c:numCache>
                <c:formatCode>General</c:formatCode>
                <c:ptCount val="14"/>
                <c:pt idx="0">
                  <c:v>13.8</c:v>
                </c:pt>
                <c:pt idx="1">
                  <c:v>19.8</c:v>
                </c:pt>
                <c:pt idx="2">
                  <c:v>29.6</c:v>
                </c:pt>
                <c:pt idx="3">
                  <c:v>29.7</c:v>
                </c:pt>
                <c:pt idx="4">
                  <c:v>20.9</c:v>
                </c:pt>
                <c:pt idx="5">
                  <c:v>25.7</c:v>
                </c:pt>
                <c:pt idx="6">
                  <c:v>29.5</c:v>
                </c:pt>
                <c:pt idx="7">
                  <c:v>29.8</c:v>
                </c:pt>
                <c:pt idx="8">
                  <c:v>33.700000000000003</c:v>
                </c:pt>
                <c:pt idx="9">
                  <c:v>41.6</c:v>
                </c:pt>
                <c:pt idx="10">
                  <c:v>48.4</c:v>
                </c:pt>
                <c:pt idx="11">
                  <c:v>57.9</c:v>
                </c:pt>
                <c:pt idx="12">
                  <c:v>66.900000000000006</c:v>
                </c:pt>
                <c:pt idx="13">
                  <c:v>81.599999999999994</c:v>
                </c:pt>
              </c:numCache>
            </c:numRef>
          </c:val>
          <c:extLst>
            <c:ext xmlns:c16="http://schemas.microsoft.com/office/drawing/2014/chart" uri="{C3380CC4-5D6E-409C-BE32-E72D297353CC}">
              <c16:uniqueId val="{00000000-35A2-4BB8-91D0-7F740241F9AB}"/>
            </c:ext>
          </c:extLst>
        </c:ser>
        <c:ser>
          <c:idx val="2"/>
          <c:order val="1"/>
          <c:tx>
            <c:strRef>
              <c:f>'Wykres 26 | B'!$I$2</c:f>
              <c:strCache>
                <c:ptCount val="1"/>
                <c:pt idx="0">
                  <c:v>Nieruchomości</c:v>
                </c:pt>
              </c:strCache>
            </c:strRef>
          </c:tx>
          <c:spPr>
            <a:solidFill>
              <a:srgbClr val="C00000"/>
            </a:solidFill>
            <a:ln>
              <a:solidFill>
                <a:srgbClr val="C00000"/>
              </a:solidFill>
            </a:ln>
          </c:spPr>
          <c:invertIfNegative val="0"/>
          <c:cat>
            <c:numRef>
              <c:f>'Wykres 26 | B'!$G$3:$G$16</c:f>
              <c:numCache>
                <c:formatCode>General</c:formatCode>
                <c:ptCount val="14"/>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numCache>
            </c:numRef>
          </c:cat>
          <c:val>
            <c:numRef>
              <c:f>'Wykres 26 | B'!$I$3:$I$16</c:f>
              <c:numCache>
                <c:formatCode>General</c:formatCode>
                <c:ptCount val="14"/>
                <c:pt idx="0">
                  <c:v>2.5</c:v>
                </c:pt>
                <c:pt idx="1">
                  <c:v>2</c:v>
                </c:pt>
                <c:pt idx="2">
                  <c:v>3.1</c:v>
                </c:pt>
                <c:pt idx="3">
                  <c:v>3.3</c:v>
                </c:pt>
                <c:pt idx="4">
                  <c:v>2.1</c:v>
                </c:pt>
                <c:pt idx="5">
                  <c:v>1.6</c:v>
                </c:pt>
                <c:pt idx="6">
                  <c:v>1.6</c:v>
                </c:pt>
                <c:pt idx="7">
                  <c:v>1.5</c:v>
                </c:pt>
                <c:pt idx="8">
                  <c:v>1.6</c:v>
                </c:pt>
                <c:pt idx="9">
                  <c:v>1.2</c:v>
                </c:pt>
                <c:pt idx="10">
                  <c:v>1.4</c:v>
                </c:pt>
                <c:pt idx="11">
                  <c:v>0.7</c:v>
                </c:pt>
                <c:pt idx="12">
                  <c:v>0.9</c:v>
                </c:pt>
                <c:pt idx="13">
                  <c:v>0.95</c:v>
                </c:pt>
              </c:numCache>
            </c:numRef>
          </c:val>
          <c:extLst>
            <c:ext xmlns:c16="http://schemas.microsoft.com/office/drawing/2014/chart" uri="{C3380CC4-5D6E-409C-BE32-E72D297353CC}">
              <c16:uniqueId val="{00000001-35A2-4BB8-91D0-7F740241F9AB}"/>
            </c:ext>
          </c:extLst>
        </c:ser>
        <c:dLbls>
          <c:showLegendKey val="0"/>
          <c:showVal val="0"/>
          <c:showCatName val="0"/>
          <c:showSerName val="0"/>
          <c:showPercent val="0"/>
          <c:showBubbleSize val="0"/>
        </c:dLbls>
        <c:gapWidth val="150"/>
        <c:overlap val="100"/>
        <c:axId val="271036800"/>
        <c:axId val="271038336"/>
      </c:barChart>
      <c:catAx>
        <c:axId val="271036800"/>
        <c:scaling>
          <c:orientation val="minMax"/>
        </c:scaling>
        <c:delete val="0"/>
        <c:axPos val="b"/>
        <c:numFmt formatCode="General" sourceLinked="1"/>
        <c:majorTickMark val="out"/>
        <c:minorTickMark val="none"/>
        <c:tickLblPos val="nextTo"/>
        <c:crossAx val="271038336"/>
        <c:crosses val="autoZero"/>
        <c:auto val="1"/>
        <c:lblAlgn val="ctr"/>
        <c:lblOffset val="100"/>
        <c:noMultiLvlLbl val="0"/>
      </c:catAx>
      <c:valAx>
        <c:axId val="271038336"/>
        <c:scaling>
          <c:orientation val="minMax"/>
        </c:scaling>
        <c:delete val="0"/>
        <c:axPos val="l"/>
        <c:majorGridlines/>
        <c:numFmt formatCode="General" sourceLinked="1"/>
        <c:majorTickMark val="out"/>
        <c:minorTickMark val="none"/>
        <c:tickLblPos val="nextTo"/>
        <c:crossAx val="271036800"/>
        <c:crosses val="autoZero"/>
        <c:crossBetween val="between"/>
      </c:valAx>
    </c:plotArea>
    <c:legend>
      <c:legendPos val="r"/>
      <c:layout>
        <c:manualLayout>
          <c:xMode val="edge"/>
          <c:yMode val="edge"/>
          <c:x val="0.12525043744531941"/>
          <c:y val="0.15239391951006123"/>
          <c:w val="0.45193380741937172"/>
          <c:h val="0.16743438320209975"/>
        </c:manualLayout>
      </c:layout>
      <c:overlay val="0"/>
    </c:legend>
    <c:plotVisOnly val="1"/>
    <c:dispBlanksAs val="gap"/>
    <c:showDLblsOverMax val="0"/>
  </c:chart>
  <c:spPr>
    <a:ln>
      <a:noFill/>
    </a:ln>
  </c:sp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Arkusz1!$B$1</c:f>
              <c:strCache>
                <c:ptCount val="1"/>
                <c:pt idx="0">
                  <c:v>Seria 1</c:v>
                </c:pt>
              </c:strCache>
            </c:strRef>
          </c:tx>
          <c:invertIfNegative val="0"/>
          <c:dLbls>
            <c:dLbl>
              <c:idx val="12"/>
              <c:layout>
                <c:manualLayout>
                  <c:x val="-1.5120277641633638E-2"/>
                  <c:y val="-0.38751396255332032"/>
                </c:manualLayout>
              </c:layout>
              <c:spPr/>
              <c:txPr>
                <a:bodyPr/>
                <a:lstStyle/>
                <a:p>
                  <a:pPr>
                    <a:defRPr/>
                  </a:pPr>
                  <a:endParaRPr lang="pl-PL"/>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D3E-49B4-8AF1-AE16B13C838C}"/>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Arkusz1!$A$2:$A$14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Arkusz1!$B$2:$B$14</c:f>
              <c:numCache>
                <c:formatCode>#\ ##0.0</c:formatCode>
                <c:ptCount val="13"/>
                <c:pt idx="0">
                  <c:v>25.574900000000003</c:v>
                </c:pt>
                <c:pt idx="1">
                  <c:v>30.3428</c:v>
                </c:pt>
                <c:pt idx="2">
                  <c:v>45.506</c:v>
                </c:pt>
                <c:pt idx="3">
                  <c:v>51.351999999999997</c:v>
                </c:pt>
                <c:pt idx="4">
                  <c:v>88.614000000000004</c:v>
                </c:pt>
                <c:pt idx="5">
                  <c:v>43.650098239999998</c:v>
                </c:pt>
                <c:pt idx="6">
                  <c:v>54.720137291999897</c:v>
                </c:pt>
                <c:pt idx="7">
                  <c:v>132.42401800000002</c:v>
                </c:pt>
                <c:pt idx="8">
                  <c:v>152.68117000000001</c:v>
                </c:pt>
                <c:pt idx="9">
                  <c:v>165.290267</c:v>
                </c:pt>
                <c:pt idx="10">
                  <c:v>192.73844600000001</c:v>
                </c:pt>
                <c:pt idx="11">
                  <c:v>191.6</c:v>
                </c:pt>
                <c:pt idx="12">
                  <c:v>242.8</c:v>
                </c:pt>
              </c:numCache>
            </c:numRef>
          </c:val>
          <c:extLst>
            <c:ext xmlns:c16="http://schemas.microsoft.com/office/drawing/2014/chart" uri="{C3380CC4-5D6E-409C-BE32-E72D297353CC}">
              <c16:uniqueId val="{00000001-5D3E-49B4-8AF1-AE16B13C838C}"/>
            </c:ext>
          </c:extLst>
        </c:ser>
        <c:dLbls>
          <c:showLegendKey val="0"/>
          <c:showVal val="0"/>
          <c:showCatName val="0"/>
          <c:showSerName val="0"/>
          <c:showPercent val="0"/>
          <c:showBubbleSize val="0"/>
        </c:dLbls>
        <c:gapWidth val="150"/>
        <c:overlap val="100"/>
        <c:axId val="274300288"/>
        <c:axId val="274310272"/>
      </c:barChart>
      <c:catAx>
        <c:axId val="274300288"/>
        <c:scaling>
          <c:orientation val="minMax"/>
        </c:scaling>
        <c:delete val="0"/>
        <c:axPos val="b"/>
        <c:numFmt formatCode="General" sourceLinked="1"/>
        <c:majorTickMark val="out"/>
        <c:minorTickMark val="none"/>
        <c:tickLblPos val="nextTo"/>
        <c:crossAx val="274310272"/>
        <c:crosses val="autoZero"/>
        <c:auto val="1"/>
        <c:lblAlgn val="ctr"/>
        <c:lblOffset val="100"/>
        <c:noMultiLvlLbl val="0"/>
      </c:catAx>
      <c:valAx>
        <c:axId val="274310272"/>
        <c:scaling>
          <c:orientation val="minMax"/>
        </c:scaling>
        <c:delete val="0"/>
        <c:axPos val="l"/>
        <c:majorGridlines/>
        <c:numFmt formatCode="General" sourceLinked="0"/>
        <c:majorTickMark val="out"/>
        <c:minorTickMark val="none"/>
        <c:tickLblPos val="nextTo"/>
        <c:crossAx val="274300288"/>
        <c:crosses val="autoZero"/>
        <c:crossBetween val="between"/>
      </c:valAx>
    </c:plotArea>
    <c:plotVisOnly val="1"/>
    <c:dispBlanksAs val="gap"/>
    <c:showDLblsOverMax val="0"/>
  </c:chart>
  <c:spPr>
    <a:ln>
      <a:noFill/>
    </a:ln>
  </c:spPr>
  <c:txPr>
    <a:bodyPr/>
    <a:lstStyle/>
    <a:p>
      <a:pPr>
        <a:defRPr>
          <a:latin typeface="Arial Narrow" panose="020B0606020202030204" pitchFamily="34" charset="0"/>
        </a:defRPr>
      </a:pPr>
      <a:endParaRPr lang="pl-PL"/>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7080805831051483"/>
          <c:y val="6.4163258662434622E-2"/>
          <c:w val="0.33581441254951283"/>
          <c:h val="0.80907322631182732"/>
        </c:manualLayout>
      </c:layout>
      <c:barChart>
        <c:barDir val="bar"/>
        <c:grouping val="clustered"/>
        <c:varyColors val="0"/>
        <c:ser>
          <c:idx val="0"/>
          <c:order val="0"/>
          <c:tx>
            <c:strRef>
              <c:f>Arkusz1!$A$3</c:f>
              <c:strCache>
                <c:ptCount val="1"/>
                <c:pt idx="0">
                  <c:v>przeds. przemysłowe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Arkusz1!$B$2:$E$2</c:f>
              <c:strCache>
                <c:ptCount val="4"/>
                <c:pt idx="0">
                  <c:v>środki własne</c:v>
                </c:pt>
                <c:pt idx="1">
                  <c:v>środki krajowe otrzymane od instytucji dysponujących środkami publicznymi</c:v>
                </c:pt>
                <c:pt idx="2">
                  <c:v>środki pozyskane z zagranicy</c:v>
                </c:pt>
                <c:pt idx="3">
                  <c:v>kredyty, pożyczki i inne zobowiązania finansowe od instytucji finansowych</c:v>
                </c:pt>
              </c:strCache>
            </c:strRef>
          </c:cat>
          <c:val>
            <c:numRef>
              <c:f>Arkusz1!$B$3:$E$3</c:f>
              <c:numCache>
                <c:formatCode>General</c:formatCode>
                <c:ptCount val="4"/>
                <c:pt idx="0">
                  <c:v>15404.6</c:v>
                </c:pt>
                <c:pt idx="1">
                  <c:v>657</c:v>
                </c:pt>
                <c:pt idx="2">
                  <c:v>1644</c:v>
                </c:pt>
                <c:pt idx="3">
                  <c:v>1237.5</c:v>
                </c:pt>
              </c:numCache>
            </c:numRef>
          </c:val>
          <c:extLst>
            <c:ext xmlns:c16="http://schemas.microsoft.com/office/drawing/2014/chart" uri="{C3380CC4-5D6E-409C-BE32-E72D297353CC}">
              <c16:uniqueId val="{00000000-F748-4AA4-9EA2-E902E0012233}"/>
            </c:ext>
          </c:extLst>
        </c:ser>
        <c:ser>
          <c:idx val="1"/>
          <c:order val="1"/>
          <c:tx>
            <c:strRef>
              <c:f>Arkusz1!$A$4</c:f>
              <c:strCache>
                <c:ptCount val="1"/>
                <c:pt idx="0">
                  <c:v>przeds. usługowe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Arkusz1!$B$2:$E$2</c:f>
              <c:strCache>
                <c:ptCount val="4"/>
                <c:pt idx="0">
                  <c:v>środki własne</c:v>
                </c:pt>
                <c:pt idx="1">
                  <c:v>środki krajowe otrzymane od instytucji dysponujących środkami publicznymi</c:v>
                </c:pt>
                <c:pt idx="2">
                  <c:v>środki pozyskane z zagranicy</c:v>
                </c:pt>
                <c:pt idx="3">
                  <c:v>kredyty, pożyczki i inne zobowiązania finansowe od instytucji finansowych</c:v>
                </c:pt>
              </c:strCache>
            </c:strRef>
          </c:cat>
          <c:val>
            <c:numRef>
              <c:f>Arkusz1!$B$4:$E$4</c:f>
              <c:numCache>
                <c:formatCode>General</c:formatCode>
                <c:ptCount val="4"/>
                <c:pt idx="0">
                  <c:v>15697</c:v>
                </c:pt>
                <c:pt idx="1">
                  <c:v>349.3</c:v>
                </c:pt>
                <c:pt idx="2">
                  <c:v>1258.7</c:v>
                </c:pt>
                <c:pt idx="3">
                  <c:v>705.7</c:v>
                </c:pt>
              </c:numCache>
            </c:numRef>
          </c:val>
          <c:extLst>
            <c:ext xmlns:c16="http://schemas.microsoft.com/office/drawing/2014/chart" uri="{C3380CC4-5D6E-409C-BE32-E72D297353CC}">
              <c16:uniqueId val="{00000001-F748-4AA4-9EA2-E902E0012233}"/>
            </c:ext>
          </c:extLst>
        </c:ser>
        <c:dLbls>
          <c:showLegendKey val="0"/>
          <c:showVal val="0"/>
          <c:showCatName val="0"/>
          <c:showSerName val="0"/>
          <c:showPercent val="0"/>
          <c:showBubbleSize val="0"/>
        </c:dLbls>
        <c:gapWidth val="150"/>
        <c:axId val="268470144"/>
        <c:axId val="268471680"/>
      </c:barChart>
      <c:catAx>
        <c:axId val="268470144"/>
        <c:scaling>
          <c:orientation val="minMax"/>
        </c:scaling>
        <c:delete val="0"/>
        <c:axPos val="l"/>
        <c:numFmt formatCode="General" sourceLinked="0"/>
        <c:majorTickMark val="out"/>
        <c:minorTickMark val="none"/>
        <c:tickLblPos val="nextTo"/>
        <c:crossAx val="268471680"/>
        <c:crosses val="autoZero"/>
        <c:auto val="1"/>
        <c:lblAlgn val="ctr"/>
        <c:lblOffset val="100"/>
        <c:noMultiLvlLbl val="0"/>
      </c:catAx>
      <c:valAx>
        <c:axId val="268471680"/>
        <c:scaling>
          <c:orientation val="minMax"/>
        </c:scaling>
        <c:delete val="0"/>
        <c:axPos val="b"/>
        <c:majorGridlines/>
        <c:numFmt formatCode="General" sourceLinked="1"/>
        <c:majorTickMark val="out"/>
        <c:minorTickMark val="none"/>
        <c:tickLblPos val="nextTo"/>
        <c:crossAx val="268470144"/>
        <c:crosses val="autoZero"/>
        <c:crossBetween val="between"/>
      </c:valAx>
    </c:plotArea>
    <c:legend>
      <c:legendPos val="r"/>
      <c:overlay val="0"/>
    </c:legend>
    <c:plotVisOnly val="1"/>
    <c:dispBlanksAs val="gap"/>
    <c:showDLblsOverMax val="0"/>
  </c:chart>
  <c:txPr>
    <a:bodyPr/>
    <a:lstStyle/>
    <a:p>
      <a:pPr>
        <a:defRPr baseline="0">
          <a:solidFill>
            <a:schemeClr val="tx1">
              <a:lumMod val="85000"/>
              <a:lumOff val="15000"/>
            </a:schemeClr>
          </a:solidFill>
        </a:defRPr>
      </a:pPr>
      <a:endParaRPr lang="pl-PL"/>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15507436570428"/>
          <c:y val="5.1400554097404488E-2"/>
          <c:w val="0.80087029746281713"/>
          <c:h val="0.8326195683872849"/>
        </c:manualLayout>
      </c:layout>
      <c:barChart>
        <c:barDir val="col"/>
        <c:grouping val="clustered"/>
        <c:varyColors val="0"/>
        <c:ser>
          <c:idx val="0"/>
          <c:order val="0"/>
          <c:tx>
            <c:strRef>
              <c:f>'Wykres 29'!$B$1</c:f>
              <c:strCache>
                <c:ptCount val="1"/>
                <c:pt idx="0">
                  <c:v>2014</c:v>
                </c:pt>
              </c:strCache>
            </c:strRef>
          </c:tx>
          <c:invertIfNegative val="0"/>
          <c:cat>
            <c:strRef>
              <c:f>'Wykres 29'!$A$2:$A$5</c:f>
              <c:strCache>
                <c:ptCount val="4"/>
                <c:pt idx="0">
                  <c:v>Polska</c:v>
                </c:pt>
                <c:pt idx="1">
                  <c:v>Czechy</c:v>
                </c:pt>
                <c:pt idx="2">
                  <c:v>Litwa</c:v>
                </c:pt>
                <c:pt idx="3">
                  <c:v>Rumunia</c:v>
                </c:pt>
              </c:strCache>
            </c:strRef>
          </c:cat>
          <c:val>
            <c:numRef>
              <c:f>'Wykres 29'!$B$2:$B$5</c:f>
              <c:numCache>
                <c:formatCode>General</c:formatCode>
                <c:ptCount val="4"/>
                <c:pt idx="0">
                  <c:v>258</c:v>
                </c:pt>
                <c:pt idx="1">
                  <c:v>296</c:v>
                </c:pt>
                <c:pt idx="2">
                  <c:v>39</c:v>
                </c:pt>
                <c:pt idx="3">
                  <c:v>89</c:v>
                </c:pt>
              </c:numCache>
            </c:numRef>
          </c:val>
          <c:extLst>
            <c:ext xmlns:c16="http://schemas.microsoft.com/office/drawing/2014/chart" uri="{C3380CC4-5D6E-409C-BE32-E72D297353CC}">
              <c16:uniqueId val="{00000000-9C65-4906-8507-5962F09E0B80}"/>
            </c:ext>
          </c:extLst>
        </c:ser>
        <c:ser>
          <c:idx val="1"/>
          <c:order val="1"/>
          <c:tx>
            <c:strRef>
              <c:f>'Wykres 29'!$C$1</c:f>
              <c:strCache>
                <c:ptCount val="1"/>
                <c:pt idx="0">
                  <c:v>2015</c:v>
                </c:pt>
              </c:strCache>
            </c:strRef>
          </c:tx>
          <c:invertIfNegative val="0"/>
          <c:cat>
            <c:strRef>
              <c:f>'Wykres 29'!$A$2:$A$5</c:f>
              <c:strCache>
                <c:ptCount val="4"/>
                <c:pt idx="0">
                  <c:v>Polska</c:v>
                </c:pt>
                <c:pt idx="1">
                  <c:v>Czechy</c:v>
                </c:pt>
                <c:pt idx="2">
                  <c:v>Litwa</c:v>
                </c:pt>
                <c:pt idx="3">
                  <c:v>Rumunia</c:v>
                </c:pt>
              </c:strCache>
            </c:strRef>
          </c:cat>
          <c:val>
            <c:numRef>
              <c:f>'Wykres 29'!$C$2:$C$5</c:f>
              <c:numCache>
                <c:formatCode>General</c:formatCode>
                <c:ptCount val="4"/>
                <c:pt idx="0">
                  <c:v>818</c:v>
                </c:pt>
                <c:pt idx="1">
                  <c:v>14</c:v>
                </c:pt>
                <c:pt idx="2">
                  <c:v>49</c:v>
                </c:pt>
                <c:pt idx="3">
                  <c:v>147</c:v>
                </c:pt>
              </c:numCache>
            </c:numRef>
          </c:val>
          <c:extLst>
            <c:ext xmlns:c16="http://schemas.microsoft.com/office/drawing/2014/chart" uri="{C3380CC4-5D6E-409C-BE32-E72D297353CC}">
              <c16:uniqueId val="{00000001-9C65-4906-8507-5962F09E0B80}"/>
            </c:ext>
          </c:extLst>
        </c:ser>
        <c:ser>
          <c:idx val="2"/>
          <c:order val="2"/>
          <c:tx>
            <c:strRef>
              <c:f>'Wykres 29'!$D$1</c:f>
              <c:strCache>
                <c:ptCount val="1"/>
                <c:pt idx="0">
                  <c:v>2016</c:v>
                </c:pt>
              </c:strCache>
            </c:strRef>
          </c:tx>
          <c:invertIfNegative val="0"/>
          <c:cat>
            <c:strRef>
              <c:f>'Wykres 29'!$A$2:$A$5</c:f>
              <c:strCache>
                <c:ptCount val="4"/>
                <c:pt idx="0">
                  <c:v>Polska</c:v>
                </c:pt>
                <c:pt idx="1">
                  <c:v>Czechy</c:v>
                </c:pt>
                <c:pt idx="2">
                  <c:v>Litwa</c:v>
                </c:pt>
                <c:pt idx="3">
                  <c:v>Rumunia</c:v>
                </c:pt>
              </c:strCache>
            </c:strRef>
          </c:cat>
          <c:val>
            <c:numRef>
              <c:f>'Wykres 29'!$D$2:$D$5</c:f>
              <c:numCache>
                <c:formatCode>General</c:formatCode>
                <c:ptCount val="4"/>
                <c:pt idx="0">
                  <c:v>758</c:v>
                </c:pt>
                <c:pt idx="1">
                  <c:v>168</c:v>
                </c:pt>
                <c:pt idx="2">
                  <c:v>156</c:v>
                </c:pt>
                <c:pt idx="3">
                  <c:v>148</c:v>
                </c:pt>
              </c:numCache>
            </c:numRef>
          </c:val>
          <c:extLst>
            <c:ext xmlns:c16="http://schemas.microsoft.com/office/drawing/2014/chart" uri="{C3380CC4-5D6E-409C-BE32-E72D297353CC}">
              <c16:uniqueId val="{00000002-9C65-4906-8507-5962F09E0B80}"/>
            </c:ext>
          </c:extLst>
        </c:ser>
        <c:ser>
          <c:idx val="3"/>
          <c:order val="3"/>
          <c:tx>
            <c:strRef>
              <c:f>'Wykres 29'!$E$1</c:f>
              <c:strCache>
                <c:ptCount val="1"/>
                <c:pt idx="0">
                  <c:v>2017</c:v>
                </c:pt>
              </c:strCache>
            </c:strRef>
          </c:tx>
          <c:invertIfNegative val="0"/>
          <c:cat>
            <c:strRef>
              <c:f>'Wykres 29'!$A$2:$A$5</c:f>
              <c:strCache>
                <c:ptCount val="4"/>
                <c:pt idx="0">
                  <c:v>Polska</c:v>
                </c:pt>
                <c:pt idx="1">
                  <c:v>Czechy</c:v>
                </c:pt>
                <c:pt idx="2">
                  <c:v>Litwa</c:v>
                </c:pt>
                <c:pt idx="3">
                  <c:v>Rumunia</c:v>
                </c:pt>
              </c:strCache>
            </c:strRef>
          </c:cat>
          <c:val>
            <c:numRef>
              <c:f>'Wykres 29'!$E$2:$E$5</c:f>
              <c:numCache>
                <c:formatCode>General</c:formatCode>
                <c:ptCount val="4"/>
                <c:pt idx="0">
                  <c:v>2486</c:v>
                </c:pt>
                <c:pt idx="1">
                  <c:v>55</c:v>
                </c:pt>
                <c:pt idx="2">
                  <c:v>11</c:v>
                </c:pt>
                <c:pt idx="3">
                  <c:v>496</c:v>
                </c:pt>
              </c:numCache>
            </c:numRef>
          </c:val>
          <c:extLst>
            <c:ext xmlns:c16="http://schemas.microsoft.com/office/drawing/2014/chart" uri="{C3380CC4-5D6E-409C-BE32-E72D297353CC}">
              <c16:uniqueId val="{00000003-9C65-4906-8507-5962F09E0B80}"/>
            </c:ext>
          </c:extLst>
        </c:ser>
        <c:dLbls>
          <c:showLegendKey val="0"/>
          <c:showVal val="0"/>
          <c:showCatName val="0"/>
          <c:showSerName val="0"/>
          <c:showPercent val="0"/>
          <c:showBubbleSize val="0"/>
        </c:dLbls>
        <c:gapWidth val="150"/>
        <c:axId val="271050624"/>
        <c:axId val="271052160"/>
      </c:barChart>
      <c:scatterChart>
        <c:scatterStyle val="lineMarker"/>
        <c:varyColors val="0"/>
        <c:ser>
          <c:idx val="4"/>
          <c:order val="4"/>
          <c:tx>
            <c:strRef>
              <c:f>'Wykres 29'!$F$1</c:f>
              <c:strCache>
                <c:ptCount val="1"/>
                <c:pt idx="0">
                  <c:v>Udział PE w PKB</c:v>
                </c:pt>
              </c:strCache>
            </c:strRef>
          </c:tx>
          <c:spPr>
            <a:ln w="28575">
              <a:noFill/>
            </a:ln>
          </c:spP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strRef>
              <c:f>'Wykres 29'!$A$2:$A$5</c:f>
              <c:strCache>
                <c:ptCount val="4"/>
                <c:pt idx="0">
                  <c:v>Polska</c:v>
                </c:pt>
                <c:pt idx="1">
                  <c:v>Czechy</c:v>
                </c:pt>
                <c:pt idx="2">
                  <c:v>Litwa</c:v>
                </c:pt>
                <c:pt idx="3">
                  <c:v>Rumunia</c:v>
                </c:pt>
              </c:strCache>
            </c:strRef>
          </c:xVal>
          <c:yVal>
            <c:numRef>
              <c:f>'Wykres 29'!$F$2:$F$5</c:f>
              <c:numCache>
                <c:formatCode>0.000%</c:formatCode>
                <c:ptCount val="4"/>
                <c:pt idx="0">
                  <c:v>5.3499999999999997E-3</c:v>
                </c:pt>
                <c:pt idx="1">
                  <c:v>2.9E-4</c:v>
                </c:pt>
                <c:pt idx="2">
                  <c:v>2.7E-4</c:v>
                </c:pt>
                <c:pt idx="3">
                  <c:v>2.65E-3</c:v>
                </c:pt>
              </c:numCache>
            </c:numRef>
          </c:yVal>
          <c:smooth val="0"/>
          <c:extLst>
            <c:ext xmlns:c16="http://schemas.microsoft.com/office/drawing/2014/chart" uri="{C3380CC4-5D6E-409C-BE32-E72D297353CC}">
              <c16:uniqueId val="{00000004-9C65-4906-8507-5962F09E0B80}"/>
            </c:ext>
          </c:extLst>
        </c:ser>
        <c:dLbls>
          <c:showLegendKey val="0"/>
          <c:showVal val="0"/>
          <c:showCatName val="0"/>
          <c:showSerName val="0"/>
          <c:showPercent val="0"/>
          <c:showBubbleSize val="0"/>
        </c:dLbls>
        <c:axId val="271059584"/>
        <c:axId val="271058048"/>
      </c:scatterChart>
      <c:catAx>
        <c:axId val="271050624"/>
        <c:scaling>
          <c:orientation val="minMax"/>
        </c:scaling>
        <c:delete val="0"/>
        <c:axPos val="b"/>
        <c:numFmt formatCode="General" sourceLinked="0"/>
        <c:majorTickMark val="out"/>
        <c:minorTickMark val="none"/>
        <c:tickLblPos val="nextTo"/>
        <c:crossAx val="271052160"/>
        <c:crosses val="autoZero"/>
        <c:auto val="1"/>
        <c:lblAlgn val="ctr"/>
        <c:lblOffset val="100"/>
        <c:noMultiLvlLbl val="0"/>
      </c:catAx>
      <c:valAx>
        <c:axId val="271052160"/>
        <c:scaling>
          <c:orientation val="minMax"/>
        </c:scaling>
        <c:delete val="0"/>
        <c:axPos val="l"/>
        <c:majorGridlines/>
        <c:numFmt formatCode="General" sourceLinked="1"/>
        <c:majorTickMark val="out"/>
        <c:minorTickMark val="none"/>
        <c:tickLblPos val="nextTo"/>
        <c:crossAx val="271050624"/>
        <c:crosses val="autoZero"/>
        <c:crossBetween val="between"/>
      </c:valAx>
      <c:valAx>
        <c:axId val="271058048"/>
        <c:scaling>
          <c:orientation val="minMax"/>
        </c:scaling>
        <c:delete val="0"/>
        <c:axPos val="r"/>
        <c:numFmt formatCode="0.00%" sourceLinked="0"/>
        <c:majorTickMark val="out"/>
        <c:minorTickMark val="none"/>
        <c:tickLblPos val="nextTo"/>
        <c:crossAx val="271059584"/>
        <c:crosses val="max"/>
        <c:crossBetween val="midCat"/>
      </c:valAx>
      <c:valAx>
        <c:axId val="271059584"/>
        <c:scaling>
          <c:orientation val="minMax"/>
        </c:scaling>
        <c:delete val="1"/>
        <c:axPos val="t"/>
        <c:majorTickMark val="out"/>
        <c:minorTickMark val="none"/>
        <c:tickLblPos val="nextTo"/>
        <c:crossAx val="271058048"/>
        <c:crosses val="max"/>
        <c:crossBetween val="midCat"/>
      </c:valAx>
    </c:plotArea>
    <c:legend>
      <c:legendPos val="r"/>
      <c:layout>
        <c:manualLayout>
          <c:xMode val="edge"/>
          <c:yMode val="edge"/>
          <c:x val="0.45570888013998256"/>
          <c:y val="0.13792906095071453"/>
          <c:w val="0.22762445319335084"/>
          <c:h val="0.41858595800524934"/>
        </c:manualLayout>
      </c:layout>
      <c:overlay val="0"/>
    </c:legend>
    <c:plotVisOnly val="1"/>
    <c:dispBlanksAs val="gap"/>
    <c:showDLblsOverMax val="0"/>
  </c:chart>
  <c:spPr>
    <a:ln>
      <a:noFill/>
    </a:ln>
  </c:sp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Arkusz1!$B$1</c:f>
              <c:strCache>
                <c:ptCount val="1"/>
                <c:pt idx="0">
                  <c:v>Udział w zatrudnieniu</c:v>
                </c:pt>
              </c:strCache>
            </c:strRef>
          </c:tx>
          <c:dPt>
            <c:idx val="0"/>
            <c:bubble3D val="0"/>
            <c:extLst>
              <c:ext xmlns:c16="http://schemas.microsoft.com/office/drawing/2014/chart" uri="{C3380CC4-5D6E-409C-BE32-E72D297353CC}">
                <c16:uniqueId val="{00000000-6DD4-4C10-9BEB-4A9F48919078}"/>
              </c:ext>
            </c:extLst>
          </c:dPt>
          <c:dPt>
            <c:idx val="1"/>
            <c:bubble3D val="0"/>
            <c:extLst>
              <c:ext xmlns:c16="http://schemas.microsoft.com/office/drawing/2014/chart" uri="{C3380CC4-5D6E-409C-BE32-E72D297353CC}">
                <c16:uniqueId val="{00000001-6DD4-4C10-9BEB-4A9F48919078}"/>
              </c:ext>
            </c:extLst>
          </c:dPt>
          <c:dPt>
            <c:idx val="2"/>
            <c:bubble3D val="0"/>
            <c:extLst>
              <c:ext xmlns:c16="http://schemas.microsoft.com/office/drawing/2014/chart" uri="{C3380CC4-5D6E-409C-BE32-E72D297353CC}">
                <c16:uniqueId val="{00000002-6DD4-4C10-9BEB-4A9F48919078}"/>
              </c:ext>
            </c:extLst>
          </c:dPt>
          <c:dPt>
            <c:idx val="3"/>
            <c:bubble3D val="0"/>
            <c:extLst>
              <c:ext xmlns:c16="http://schemas.microsoft.com/office/drawing/2014/chart" uri="{C3380CC4-5D6E-409C-BE32-E72D297353CC}">
                <c16:uniqueId val="{00000003-6DD4-4C10-9BEB-4A9F48919078}"/>
              </c:ext>
            </c:extLst>
          </c:dPt>
          <c:dPt>
            <c:idx val="4"/>
            <c:bubble3D val="0"/>
            <c:extLst>
              <c:ext xmlns:c16="http://schemas.microsoft.com/office/drawing/2014/chart" uri="{C3380CC4-5D6E-409C-BE32-E72D297353CC}">
                <c16:uniqueId val="{00000004-6DD4-4C10-9BEB-4A9F48919078}"/>
              </c:ext>
            </c:extLst>
          </c:dPt>
          <c:dPt>
            <c:idx val="5"/>
            <c:bubble3D val="0"/>
            <c:extLst>
              <c:ext xmlns:c16="http://schemas.microsoft.com/office/drawing/2014/chart" uri="{C3380CC4-5D6E-409C-BE32-E72D297353CC}">
                <c16:uniqueId val="{00000005-6DD4-4C10-9BEB-4A9F48919078}"/>
              </c:ext>
            </c:extLst>
          </c:dPt>
          <c:dPt>
            <c:idx val="6"/>
            <c:bubble3D val="0"/>
            <c:extLst>
              <c:ext xmlns:c16="http://schemas.microsoft.com/office/drawing/2014/chart" uri="{C3380CC4-5D6E-409C-BE32-E72D297353CC}">
                <c16:uniqueId val="{00000006-6DD4-4C10-9BEB-4A9F48919078}"/>
              </c:ext>
            </c:extLst>
          </c:dPt>
          <c:dPt>
            <c:idx val="7"/>
            <c:bubble3D val="0"/>
            <c:extLst>
              <c:ext xmlns:c16="http://schemas.microsoft.com/office/drawing/2014/chart" uri="{C3380CC4-5D6E-409C-BE32-E72D297353CC}">
                <c16:uniqueId val="{00000007-6DD4-4C10-9BEB-4A9F48919078}"/>
              </c:ext>
            </c:extLst>
          </c:dPt>
          <c:dPt>
            <c:idx val="8"/>
            <c:bubble3D val="0"/>
            <c:extLst>
              <c:ext xmlns:c16="http://schemas.microsoft.com/office/drawing/2014/chart" uri="{C3380CC4-5D6E-409C-BE32-E72D297353CC}">
                <c16:uniqueId val="{00000008-6DD4-4C10-9BEB-4A9F48919078}"/>
              </c:ext>
            </c:extLst>
          </c:dPt>
          <c:dPt>
            <c:idx val="9"/>
            <c:bubble3D val="0"/>
            <c:extLst>
              <c:ext xmlns:c16="http://schemas.microsoft.com/office/drawing/2014/chart" uri="{C3380CC4-5D6E-409C-BE32-E72D297353CC}">
                <c16:uniqueId val="{00000009-6DD4-4C10-9BEB-4A9F48919078}"/>
              </c:ext>
            </c:extLst>
          </c:dPt>
          <c:dPt>
            <c:idx val="10"/>
            <c:bubble3D val="0"/>
            <c:extLst>
              <c:ext xmlns:c16="http://schemas.microsoft.com/office/drawing/2014/chart" uri="{C3380CC4-5D6E-409C-BE32-E72D297353CC}">
                <c16:uniqueId val="{0000000A-6DD4-4C10-9BEB-4A9F48919078}"/>
              </c:ext>
            </c:extLst>
          </c:dPt>
          <c:dPt>
            <c:idx val="11"/>
            <c:bubble3D val="0"/>
            <c:extLst>
              <c:ext xmlns:c16="http://schemas.microsoft.com/office/drawing/2014/chart" uri="{C3380CC4-5D6E-409C-BE32-E72D297353CC}">
                <c16:uniqueId val="{0000000B-6DD4-4C10-9BEB-4A9F48919078}"/>
              </c:ext>
            </c:extLst>
          </c:dPt>
          <c:dLbls>
            <c:spPr>
              <a:noFill/>
              <a:ln w="25398">
                <a:noFill/>
              </a:ln>
            </c:spPr>
            <c:showLegendKey val="0"/>
            <c:showVal val="1"/>
            <c:showCatName val="0"/>
            <c:showSerName val="0"/>
            <c:showPercent val="0"/>
            <c:showBubbleSize val="0"/>
            <c:showLeaderLines val="1"/>
            <c:extLst>
              <c:ext xmlns:c15="http://schemas.microsoft.com/office/drawing/2012/chart" uri="{CE6537A1-D6FC-4f65-9D91-7224C49458BB}"/>
            </c:extLst>
          </c:dLbls>
          <c:cat>
            <c:strRef>
              <c:f>Arkusz1!$A$2:$A$13</c:f>
              <c:strCache>
                <c:ptCount val="12"/>
                <c:pt idx="0">
                  <c:v>Kraków</c:v>
                </c:pt>
                <c:pt idx="1">
                  <c:v>Warszawa</c:v>
                </c:pt>
                <c:pt idx="2">
                  <c:v>Wrocław</c:v>
                </c:pt>
                <c:pt idx="3">
                  <c:v>Trójmiasto</c:v>
                </c:pt>
                <c:pt idx="4">
                  <c:v>Konurbacja Górnośląska</c:v>
                </c:pt>
                <c:pt idx="5">
                  <c:v>Łódź</c:v>
                </c:pt>
                <c:pt idx="6">
                  <c:v>Poznań</c:v>
                </c:pt>
                <c:pt idx="7">
                  <c:v>Bydgoszcz</c:v>
                </c:pt>
                <c:pt idx="8">
                  <c:v>Lublin</c:v>
                </c:pt>
                <c:pt idx="9">
                  <c:v>Rzeszów</c:v>
                </c:pt>
                <c:pt idx="10">
                  <c:v>Szczecin</c:v>
                </c:pt>
                <c:pt idx="11">
                  <c:v>Inne miasta</c:v>
                </c:pt>
              </c:strCache>
            </c:strRef>
          </c:cat>
          <c:val>
            <c:numRef>
              <c:f>Arkusz1!$B$2:$B$13</c:f>
              <c:numCache>
                <c:formatCode>0.0%</c:formatCode>
                <c:ptCount val="12"/>
                <c:pt idx="0">
                  <c:v>0.22900000000000001</c:v>
                </c:pt>
                <c:pt idx="1">
                  <c:v>0.18099999999999999</c:v>
                </c:pt>
                <c:pt idx="2">
                  <c:v>0.161</c:v>
                </c:pt>
                <c:pt idx="3">
                  <c:v>8.3000000000000004E-2</c:v>
                </c:pt>
                <c:pt idx="4">
                  <c:v>7.4999999999999997E-2</c:v>
                </c:pt>
                <c:pt idx="5">
                  <c:v>7.2999999999999995E-2</c:v>
                </c:pt>
                <c:pt idx="6">
                  <c:v>5.2999999999999999E-2</c:v>
                </c:pt>
                <c:pt idx="7">
                  <c:v>3.4000000000000002E-2</c:v>
                </c:pt>
                <c:pt idx="8">
                  <c:v>2.4E-2</c:v>
                </c:pt>
                <c:pt idx="9">
                  <c:v>1.7000000000000001E-2</c:v>
                </c:pt>
                <c:pt idx="10">
                  <c:v>1.6E-2</c:v>
                </c:pt>
                <c:pt idx="11">
                  <c:v>5.0999999999999997E-2</c:v>
                </c:pt>
              </c:numCache>
            </c:numRef>
          </c:val>
          <c:extLst>
            <c:ext xmlns:c16="http://schemas.microsoft.com/office/drawing/2014/chart" uri="{C3380CC4-5D6E-409C-BE32-E72D297353CC}">
              <c16:uniqueId val="{0000000C-6DD4-4C10-9BEB-4A9F48919078}"/>
            </c:ext>
          </c:extLst>
        </c:ser>
        <c:dLbls>
          <c:showLegendKey val="0"/>
          <c:showVal val="0"/>
          <c:showCatName val="0"/>
          <c:showSerName val="0"/>
          <c:showPercent val="0"/>
          <c:showBubbleSize val="0"/>
          <c:showLeaderLines val="1"/>
        </c:dLbls>
        <c:firstSliceAng val="0"/>
      </c:pieChart>
      <c:spPr>
        <a:noFill/>
        <a:ln w="25398">
          <a:noFill/>
        </a:ln>
      </c:spPr>
    </c:plotArea>
    <c:legend>
      <c:legendPos val="r"/>
      <c:overlay val="0"/>
    </c:legend>
    <c:plotVisOnly val="1"/>
    <c:dispBlanksAs val="gap"/>
    <c:showDLblsOverMax val="0"/>
  </c:chart>
  <c:spPr>
    <a:ln>
      <a:noFill/>
    </a:ln>
  </c:sp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Arkusz1!$A$19</c:f>
              <c:strCache>
                <c:ptCount val="1"/>
                <c:pt idx="0">
                  <c:v>Nakłady wewnętrzne na działalnośc badawczą i rozwojową (mln zł)</c:v>
                </c:pt>
              </c:strCache>
            </c:strRef>
          </c:tx>
          <c:marker>
            <c:symbol val="none"/>
          </c:marker>
          <c:cat>
            <c:numRef>
              <c:f>Arkusz1!$B$18:$V$18</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Arkusz1!$B$19:$V$19</c:f>
              <c:numCache>
                <c:formatCode>General</c:formatCode>
                <c:ptCount val="21"/>
                <c:pt idx="0">
                  <c:v>4796</c:v>
                </c:pt>
                <c:pt idx="1">
                  <c:v>4858</c:v>
                </c:pt>
                <c:pt idx="2">
                  <c:v>4522</c:v>
                </c:pt>
                <c:pt idx="3">
                  <c:v>4558</c:v>
                </c:pt>
                <c:pt idx="4">
                  <c:v>5155</c:v>
                </c:pt>
                <c:pt idx="5">
                  <c:v>5575</c:v>
                </c:pt>
                <c:pt idx="6">
                  <c:v>5893</c:v>
                </c:pt>
                <c:pt idx="7">
                  <c:v>6673</c:v>
                </c:pt>
                <c:pt idx="8">
                  <c:v>7706</c:v>
                </c:pt>
                <c:pt idx="9">
                  <c:v>9070</c:v>
                </c:pt>
                <c:pt idx="10" formatCode="#,##0">
                  <c:v>10416</c:v>
                </c:pt>
                <c:pt idx="11" formatCode="#,##0">
                  <c:v>11687</c:v>
                </c:pt>
                <c:pt idx="12" formatCode="#,##0">
                  <c:v>14353</c:v>
                </c:pt>
                <c:pt idx="13" formatCode="#,##0">
                  <c:v>14424</c:v>
                </c:pt>
                <c:pt idx="14" formatCode="#,##0">
                  <c:v>16168</c:v>
                </c:pt>
                <c:pt idx="15" formatCode="#,##0">
                  <c:v>18061</c:v>
                </c:pt>
                <c:pt idx="16" formatCode="#,##0">
                  <c:v>17943</c:v>
                </c:pt>
                <c:pt idx="17" formatCode="#,##0">
                  <c:v>20578</c:v>
                </c:pt>
                <c:pt idx="18" formatCode="#,##0">
                  <c:v>25648</c:v>
                </c:pt>
                <c:pt idx="19" formatCode="#,##0">
                  <c:v>30285</c:v>
                </c:pt>
                <c:pt idx="20" formatCode="#,##0">
                  <c:v>32402</c:v>
                </c:pt>
              </c:numCache>
            </c:numRef>
          </c:val>
          <c:smooth val="0"/>
          <c:extLst>
            <c:ext xmlns:c16="http://schemas.microsoft.com/office/drawing/2014/chart" uri="{C3380CC4-5D6E-409C-BE32-E72D297353CC}">
              <c16:uniqueId val="{00000000-E24F-4DCD-98B7-DA93D8522283}"/>
            </c:ext>
          </c:extLst>
        </c:ser>
        <c:dLbls>
          <c:showLegendKey val="0"/>
          <c:showVal val="0"/>
          <c:showCatName val="0"/>
          <c:showSerName val="0"/>
          <c:showPercent val="0"/>
          <c:showBubbleSize val="0"/>
        </c:dLbls>
        <c:smooth val="0"/>
        <c:axId val="271252480"/>
        <c:axId val="261169920"/>
      </c:lineChart>
      <c:catAx>
        <c:axId val="271252480"/>
        <c:scaling>
          <c:orientation val="minMax"/>
        </c:scaling>
        <c:delete val="0"/>
        <c:axPos val="b"/>
        <c:numFmt formatCode="General" sourceLinked="1"/>
        <c:majorTickMark val="out"/>
        <c:minorTickMark val="none"/>
        <c:tickLblPos val="nextTo"/>
        <c:crossAx val="261169920"/>
        <c:crosses val="autoZero"/>
        <c:auto val="1"/>
        <c:lblAlgn val="ctr"/>
        <c:lblOffset val="100"/>
        <c:noMultiLvlLbl val="0"/>
      </c:catAx>
      <c:valAx>
        <c:axId val="261169920"/>
        <c:scaling>
          <c:orientation val="minMax"/>
        </c:scaling>
        <c:delete val="0"/>
        <c:axPos val="l"/>
        <c:majorGridlines/>
        <c:numFmt formatCode="General" sourceLinked="1"/>
        <c:majorTickMark val="out"/>
        <c:minorTickMark val="none"/>
        <c:tickLblPos val="nextTo"/>
        <c:crossAx val="271252480"/>
        <c:crosses val="autoZero"/>
        <c:crossBetween val="between"/>
      </c:valAx>
    </c:plotArea>
    <c:legend>
      <c:legendPos val="b"/>
      <c:overlay val="0"/>
    </c:legend>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Arkusz1!$A$22</c:f>
              <c:strCache>
                <c:ptCount val="1"/>
                <c:pt idx="0">
                  <c:v>sektor rządowy</c:v>
                </c:pt>
              </c:strCache>
            </c:strRef>
          </c:tx>
          <c:invertIfNegative val="0"/>
          <c:cat>
            <c:numRef>
              <c:f>Arkusz1!$E$21:$Y$21</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Arkusz1!$E$22:$Y$22</c:f>
              <c:numCache>
                <c:formatCode>0.0</c:formatCode>
                <c:ptCount val="21"/>
                <c:pt idx="0">
                  <c:v>66.5</c:v>
                </c:pt>
                <c:pt idx="1">
                  <c:v>64.8</c:v>
                </c:pt>
                <c:pt idx="2">
                  <c:v>61.9</c:v>
                </c:pt>
                <c:pt idx="3">
                  <c:v>62.7</c:v>
                </c:pt>
                <c:pt idx="4">
                  <c:v>61.7</c:v>
                </c:pt>
                <c:pt idx="5">
                  <c:v>57.7</c:v>
                </c:pt>
                <c:pt idx="6">
                  <c:v>57.5</c:v>
                </c:pt>
                <c:pt idx="7">
                  <c:v>58.6</c:v>
                </c:pt>
                <c:pt idx="8">
                  <c:v>59.8</c:v>
                </c:pt>
                <c:pt idx="9">
                  <c:v>60.4</c:v>
                </c:pt>
                <c:pt idx="10">
                  <c:v>60.9</c:v>
                </c:pt>
                <c:pt idx="11">
                  <c:v>55.8</c:v>
                </c:pt>
                <c:pt idx="12">
                  <c:v>51.3</c:v>
                </c:pt>
                <c:pt idx="13">
                  <c:v>47.2</c:v>
                </c:pt>
                <c:pt idx="14">
                  <c:v>45.2</c:v>
                </c:pt>
                <c:pt idx="15">
                  <c:v>41.8</c:v>
                </c:pt>
                <c:pt idx="16">
                  <c:v>38.9</c:v>
                </c:pt>
                <c:pt idx="17">
                  <c:v>38.299999999999997</c:v>
                </c:pt>
                <c:pt idx="18">
                  <c:v>35.4</c:v>
                </c:pt>
                <c:pt idx="19">
                  <c:v>38.799999999999997</c:v>
                </c:pt>
                <c:pt idx="20">
                  <c:v>39</c:v>
                </c:pt>
              </c:numCache>
            </c:numRef>
          </c:val>
          <c:extLst>
            <c:ext xmlns:c16="http://schemas.microsoft.com/office/drawing/2014/chart" uri="{C3380CC4-5D6E-409C-BE32-E72D297353CC}">
              <c16:uniqueId val="{00000000-860A-4343-9CB9-F0A8955C777F}"/>
            </c:ext>
          </c:extLst>
        </c:ser>
        <c:ser>
          <c:idx val="1"/>
          <c:order val="1"/>
          <c:tx>
            <c:strRef>
              <c:f>Arkusz1!$A$23</c:f>
              <c:strCache>
                <c:ptCount val="1"/>
                <c:pt idx="0">
                  <c:v>sektor przedsiębiorstw</c:v>
                </c:pt>
              </c:strCache>
            </c:strRef>
          </c:tx>
          <c:invertIfNegative val="0"/>
          <c:cat>
            <c:numRef>
              <c:f>Arkusz1!$E$21:$Y$21</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Arkusz1!$E$23:$Y$23</c:f>
              <c:numCache>
                <c:formatCode>0.0</c:formatCode>
                <c:ptCount val="21"/>
                <c:pt idx="0">
                  <c:v>29.5</c:v>
                </c:pt>
                <c:pt idx="1">
                  <c:v>30.8</c:v>
                </c:pt>
                <c:pt idx="2">
                  <c:v>30.1</c:v>
                </c:pt>
                <c:pt idx="3">
                  <c:v>30.3</c:v>
                </c:pt>
                <c:pt idx="4">
                  <c:v>30.5</c:v>
                </c:pt>
                <c:pt idx="5">
                  <c:v>33.4</c:v>
                </c:pt>
                <c:pt idx="6">
                  <c:v>33.1</c:v>
                </c:pt>
                <c:pt idx="7">
                  <c:v>34.299999999999997</c:v>
                </c:pt>
                <c:pt idx="8">
                  <c:v>30.5</c:v>
                </c:pt>
                <c:pt idx="9">
                  <c:v>27.1</c:v>
                </c:pt>
                <c:pt idx="10">
                  <c:v>24.4</c:v>
                </c:pt>
                <c:pt idx="11">
                  <c:v>28.1</c:v>
                </c:pt>
                <c:pt idx="12">
                  <c:v>32.299999999999997</c:v>
                </c:pt>
                <c:pt idx="13">
                  <c:v>37.299999999999997</c:v>
                </c:pt>
                <c:pt idx="14">
                  <c:v>39</c:v>
                </c:pt>
                <c:pt idx="15">
                  <c:v>39</c:v>
                </c:pt>
                <c:pt idx="16">
                  <c:v>53.1</c:v>
                </c:pt>
                <c:pt idx="17">
                  <c:v>52.4</c:v>
                </c:pt>
                <c:pt idx="18">
                  <c:v>53.3</c:v>
                </c:pt>
                <c:pt idx="19">
                  <c:v>50.7</c:v>
                </c:pt>
                <c:pt idx="20">
                  <c:v>50.6</c:v>
                </c:pt>
              </c:numCache>
            </c:numRef>
          </c:val>
          <c:extLst>
            <c:ext xmlns:c16="http://schemas.microsoft.com/office/drawing/2014/chart" uri="{C3380CC4-5D6E-409C-BE32-E72D297353CC}">
              <c16:uniqueId val="{00000001-860A-4343-9CB9-F0A8955C777F}"/>
            </c:ext>
          </c:extLst>
        </c:ser>
        <c:ser>
          <c:idx val="2"/>
          <c:order val="2"/>
          <c:tx>
            <c:strRef>
              <c:f>Arkusz1!$A$24</c:f>
              <c:strCache>
                <c:ptCount val="1"/>
                <c:pt idx="0">
                  <c:v>sektor szkolnictwa wyższego</c:v>
                </c:pt>
              </c:strCache>
            </c:strRef>
          </c:tx>
          <c:invertIfNegative val="0"/>
          <c:cat>
            <c:numRef>
              <c:f>Arkusz1!$E$21:$Y$21</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Arkusz1!$E$24:$Y$24</c:f>
              <c:numCache>
                <c:formatCode>0.0</c:formatCode>
                <c:ptCount val="21"/>
                <c:pt idx="0">
                  <c:v>1.7</c:v>
                </c:pt>
                <c:pt idx="1">
                  <c:v>1.6</c:v>
                </c:pt>
                <c:pt idx="2">
                  <c:v>2.9</c:v>
                </c:pt>
                <c:pt idx="3">
                  <c:v>2.1</c:v>
                </c:pt>
                <c:pt idx="4">
                  <c:v>2.4</c:v>
                </c:pt>
                <c:pt idx="5">
                  <c:v>2.9</c:v>
                </c:pt>
                <c:pt idx="6">
                  <c:v>2.2000000000000002</c:v>
                </c:pt>
                <c:pt idx="7">
                  <c:v>0.2</c:v>
                </c:pt>
                <c:pt idx="8">
                  <c:v>4.0999999999999996</c:v>
                </c:pt>
                <c:pt idx="9">
                  <c:v>6.7</c:v>
                </c:pt>
                <c:pt idx="10">
                  <c:v>2.5</c:v>
                </c:pt>
                <c:pt idx="11">
                  <c:v>2.4</c:v>
                </c:pt>
                <c:pt idx="12">
                  <c:v>2.6</c:v>
                </c:pt>
                <c:pt idx="13">
                  <c:v>2.1</c:v>
                </c:pt>
                <c:pt idx="14">
                  <c:v>2.2000000000000002</c:v>
                </c:pt>
                <c:pt idx="15">
                  <c:v>2.2000000000000002</c:v>
                </c:pt>
                <c:pt idx="16">
                  <c:v>2.4</c:v>
                </c:pt>
                <c:pt idx="17">
                  <c:v>3</c:v>
                </c:pt>
                <c:pt idx="18">
                  <c:v>4.0999999999999996</c:v>
                </c:pt>
                <c:pt idx="19">
                  <c:v>3</c:v>
                </c:pt>
                <c:pt idx="20">
                  <c:v>2.7</c:v>
                </c:pt>
              </c:numCache>
            </c:numRef>
          </c:val>
          <c:extLst>
            <c:ext xmlns:c16="http://schemas.microsoft.com/office/drawing/2014/chart" uri="{C3380CC4-5D6E-409C-BE32-E72D297353CC}">
              <c16:uniqueId val="{00000002-860A-4343-9CB9-F0A8955C777F}"/>
            </c:ext>
          </c:extLst>
        </c:ser>
        <c:ser>
          <c:idx val="3"/>
          <c:order val="3"/>
          <c:tx>
            <c:strRef>
              <c:f>Arkusz1!$A$25</c:f>
              <c:strCache>
                <c:ptCount val="1"/>
                <c:pt idx="0">
                  <c:v>sektor prywatnych instytucji niekomercyjnych</c:v>
                </c:pt>
              </c:strCache>
            </c:strRef>
          </c:tx>
          <c:invertIfNegative val="0"/>
          <c:cat>
            <c:numRef>
              <c:f>Arkusz1!$E$21:$Y$21</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Arkusz1!$E$25:$Y$25</c:f>
              <c:numCache>
                <c:formatCode>0.0</c:formatCode>
                <c:ptCount val="21"/>
                <c:pt idx="0">
                  <c:v>0.4</c:v>
                </c:pt>
                <c:pt idx="1">
                  <c:v>0.4</c:v>
                </c:pt>
                <c:pt idx="2">
                  <c:v>0.3</c:v>
                </c:pt>
                <c:pt idx="3">
                  <c:v>0.3</c:v>
                </c:pt>
                <c:pt idx="4">
                  <c:v>0.3</c:v>
                </c:pt>
                <c:pt idx="5">
                  <c:v>0.3</c:v>
                </c:pt>
                <c:pt idx="6">
                  <c:v>0.3</c:v>
                </c:pt>
                <c:pt idx="7">
                  <c:v>0.2</c:v>
                </c:pt>
                <c:pt idx="8">
                  <c:v>0.2</c:v>
                </c:pt>
                <c:pt idx="9">
                  <c:v>0.3</c:v>
                </c:pt>
                <c:pt idx="10">
                  <c:v>0.3</c:v>
                </c:pt>
                <c:pt idx="11">
                  <c:v>0.2</c:v>
                </c:pt>
                <c:pt idx="12">
                  <c:v>0.4</c:v>
                </c:pt>
                <c:pt idx="13">
                  <c:v>0.2</c:v>
                </c:pt>
                <c:pt idx="14">
                  <c:v>0.2</c:v>
                </c:pt>
                <c:pt idx="15">
                  <c:v>0.2</c:v>
                </c:pt>
                <c:pt idx="16">
                  <c:v>0.2</c:v>
                </c:pt>
                <c:pt idx="17">
                  <c:v>0.3</c:v>
                </c:pt>
                <c:pt idx="18">
                  <c:v>0.2</c:v>
                </c:pt>
                <c:pt idx="19">
                  <c:v>0.5</c:v>
                </c:pt>
                <c:pt idx="20">
                  <c:v>0.5</c:v>
                </c:pt>
              </c:numCache>
            </c:numRef>
          </c:val>
          <c:extLst>
            <c:ext xmlns:c16="http://schemas.microsoft.com/office/drawing/2014/chart" uri="{C3380CC4-5D6E-409C-BE32-E72D297353CC}">
              <c16:uniqueId val="{00000003-860A-4343-9CB9-F0A8955C777F}"/>
            </c:ext>
          </c:extLst>
        </c:ser>
        <c:ser>
          <c:idx val="4"/>
          <c:order val="4"/>
          <c:tx>
            <c:strRef>
              <c:f>Arkusz1!$A$26</c:f>
              <c:strCache>
                <c:ptCount val="1"/>
                <c:pt idx="0">
                  <c:v>reszta świata</c:v>
                </c:pt>
              </c:strCache>
            </c:strRef>
          </c:tx>
          <c:invertIfNegative val="0"/>
          <c:cat>
            <c:numRef>
              <c:f>Arkusz1!$E$21:$Y$21</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Arkusz1!$E$26:$Y$26</c:f>
              <c:numCache>
                <c:formatCode>General</c:formatCode>
                <c:ptCount val="21"/>
                <c:pt idx="0">
                  <c:v>1.8</c:v>
                </c:pt>
                <c:pt idx="1">
                  <c:v>2.4</c:v>
                </c:pt>
                <c:pt idx="2">
                  <c:v>4.8</c:v>
                </c:pt>
                <c:pt idx="3">
                  <c:v>4.5999999999999996</c:v>
                </c:pt>
                <c:pt idx="4">
                  <c:v>5.2</c:v>
                </c:pt>
                <c:pt idx="5">
                  <c:v>5.7</c:v>
                </c:pt>
                <c:pt idx="6">
                  <c:v>7</c:v>
                </c:pt>
                <c:pt idx="7">
                  <c:v>6.7</c:v>
                </c:pt>
                <c:pt idx="8">
                  <c:v>5.4</c:v>
                </c:pt>
                <c:pt idx="9">
                  <c:v>5.5</c:v>
                </c:pt>
                <c:pt idx="10">
                  <c:v>11.8</c:v>
                </c:pt>
                <c:pt idx="11">
                  <c:v>13.4</c:v>
                </c:pt>
                <c:pt idx="12">
                  <c:v>13.3</c:v>
                </c:pt>
                <c:pt idx="13">
                  <c:v>13.1</c:v>
                </c:pt>
                <c:pt idx="14">
                  <c:v>13.4</c:v>
                </c:pt>
                <c:pt idx="15">
                  <c:v>16.7</c:v>
                </c:pt>
                <c:pt idx="16">
                  <c:v>5.5</c:v>
                </c:pt>
                <c:pt idx="17">
                  <c:v>6</c:v>
                </c:pt>
                <c:pt idx="18">
                  <c:v>7</c:v>
                </c:pt>
                <c:pt idx="19">
                  <c:v>7</c:v>
                </c:pt>
                <c:pt idx="20">
                  <c:v>7.2</c:v>
                </c:pt>
              </c:numCache>
            </c:numRef>
          </c:val>
          <c:extLst>
            <c:ext xmlns:c16="http://schemas.microsoft.com/office/drawing/2014/chart" uri="{C3380CC4-5D6E-409C-BE32-E72D297353CC}">
              <c16:uniqueId val="{00000004-860A-4343-9CB9-F0A8955C777F}"/>
            </c:ext>
          </c:extLst>
        </c:ser>
        <c:dLbls>
          <c:showLegendKey val="0"/>
          <c:showVal val="0"/>
          <c:showCatName val="0"/>
          <c:showSerName val="0"/>
          <c:showPercent val="0"/>
          <c:showBubbleSize val="0"/>
        </c:dLbls>
        <c:gapWidth val="150"/>
        <c:overlap val="100"/>
        <c:axId val="268466816"/>
        <c:axId val="271102336"/>
      </c:barChart>
      <c:catAx>
        <c:axId val="268466816"/>
        <c:scaling>
          <c:orientation val="minMax"/>
        </c:scaling>
        <c:delete val="0"/>
        <c:axPos val="b"/>
        <c:numFmt formatCode="General" sourceLinked="1"/>
        <c:majorTickMark val="out"/>
        <c:minorTickMark val="none"/>
        <c:tickLblPos val="nextTo"/>
        <c:crossAx val="271102336"/>
        <c:crosses val="autoZero"/>
        <c:auto val="1"/>
        <c:lblAlgn val="ctr"/>
        <c:lblOffset val="100"/>
        <c:noMultiLvlLbl val="0"/>
      </c:catAx>
      <c:valAx>
        <c:axId val="271102336"/>
        <c:scaling>
          <c:orientation val="minMax"/>
        </c:scaling>
        <c:delete val="0"/>
        <c:axPos val="l"/>
        <c:majorGridlines/>
        <c:numFmt formatCode="0%" sourceLinked="1"/>
        <c:majorTickMark val="out"/>
        <c:minorTickMark val="none"/>
        <c:tickLblPos val="nextTo"/>
        <c:crossAx val="268466816"/>
        <c:crosses val="autoZero"/>
        <c:crossBetween val="between"/>
      </c:valAx>
    </c:plotArea>
    <c:legend>
      <c:legendPos val="r"/>
      <c:layout>
        <c:manualLayout>
          <c:xMode val="edge"/>
          <c:yMode val="edge"/>
          <c:x val="0.66749471805398353"/>
          <c:y val="0.15085848643919511"/>
          <c:w val="0.29410143793290555"/>
          <c:h val="0.69828302712160983"/>
        </c:manualLayout>
      </c:layout>
      <c:overlay val="0"/>
    </c:legend>
    <c:plotVisOnly val="1"/>
    <c:dispBlanksAs val="gap"/>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'Econ data portal'!$B$13</c:f>
              <c:strCache>
                <c:ptCount val="1"/>
                <c:pt idx="0">
                  <c:v>Brak innowacji</c:v>
                </c:pt>
              </c:strCache>
            </c:strRef>
          </c:tx>
          <c:spPr>
            <a:solidFill>
              <a:schemeClr val="bg1">
                <a:lumMod val="75000"/>
              </a:schemeClr>
            </a:solidFill>
            <a:ln>
              <a:noFill/>
            </a:ln>
            <a:effectLst/>
          </c:spPr>
          <c:invertIfNegative val="0"/>
          <c:dPt>
            <c:idx val="19"/>
            <c:invertIfNegative val="0"/>
            <c:bubble3D val="0"/>
            <c:extLst>
              <c:ext xmlns:c16="http://schemas.microsoft.com/office/drawing/2014/chart" uri="{C3380CC4-5D6E-409C-BE32-E72D297353CC}">
                <c16:uniqueId val="{00000001-6D5E-46A0-83A3-CC4F4ED09431}"/>
              </c:ext>
            </c:extLst>
          </c:dPt>
          <c:cat>
            <c:strRef>
              <c:f>'Econ data portal'!$A$14:$A$42</c:f>
              <c:strCache>
                <c:ptCount val="29"/>
                <c:pt idx="0">
                  <c:v>Finlandia</c:v>
                </c:pt>
                <c:pt idx="1">
                  <c:v>Hiszpania</c:v>
                </c:pt>
                <c:pt idx="2">
                  <c:v>Dania</c:v>
                </c:pt>
                <c:pt idx="3">
                  <c:v>Austria</c:v>
                </c:pt>
                <c:pt idx="4">
                  <c:v>Belgia</c:v>
                </c:pt>
                <c:pt idx="5">
                  <c:v>Portugalia</c:v>
                </c:pt>
                <c:pt idx="6">
                  <c:v>Słowenia</c:v>
                </c:pt>
                <c:pt idx="7">
                  <c:v>Czechy</c:v>
                </c:pt>
                <c:pt idx="8">
                  <c:v>Litwa</c:v>
                </c:pt>
                <c:pt idx="9">
                  <c:v>EU</c:v>
                </c:pt>
                <c:pt idx="10">
                  <c:v>Niemcy</c:v>
                </c:pt>
                <c:pt idx="11">
                  <c:v>Irlandia</c:v>
                </c:pt>
                <c:pt idx="12">
                  <c:v>Szwecja</c:v>
                </c:pt>
                <c:pt idx="13">
                  <c:v>Włochy</c:v>
                </c:pt>
                <c:pt idx="14">
                  <c:v>Francja</c:v>
                </c:pt>
                <c:pt idx="15">
                  <c:v>Cypr</c:v>
                </c:pt>
                <c:pt idx="16">
                  <c:v>Węgry</c:v>
                </c:pt>
                <c:pt idx="17">
                  <c:v>Chorwacja</c:v>
                </c:pt>
                <c:pt idx="18">
                  <c:v>Słowacja</c:v>
                </c:pt>
                <c:pt idx="19">
                  <c:v>POLSKA</c:v>
                </c:pt>
                <c:pt idx="20">
                  <c:v>Estonia</c:v>
                </c:pt>
                <c:pt idx="21">
                  <c:v>Wielka Brytania</c:v>
                </c:pt>
                <c:pt idx="22">
                  <c:v>Luksemburg</c:v>
                </c:pt>
                <c:pt idx="23">
                  <c:v>Holandia</c:v>
                </c:pt>
                <c:pt idx="24">
                  <c:v>Grecja</c:v>
                </c:pt>
                <c:pt idx="25">
                  <c:v>Rumunia</c:v>
                </c:pt>
                <c:pt idx="26">
                  <c:v>Malta</c:v>
                </c:pt>
                <c:pt idx="27">
                  <c:v>Bułgria</c:v>
                </c:pt>
                <c:pt idx="28">
                  <c:v>Łotwa</c:v>
                </c:pt>
              </c:strCache>
            </c:strRef>
          </c:cat>
          <c:val>
            <c:numRef>
              <c:f>'Econ data portal'!$B$14:$B$42</c:f>
              <c:numCache>
                <c:formatCode>General</c:formatCode>
                <c:ptCount val="29"/>
                <c:pt idx="0">
                  <c:v>39.340000000000003</c:v>
                </c:pt>
                <c:pt idx="1">
                  <c:v>62.16</c:v>
                </c:pt>
                <c:pt idx="2">
                  <c:v>50.94</c:v>
                </c:pt>
                <c:pt idx="3">
                  <c:v>60.99</c:v>
                </c:pt>
                <c:pt idx="4">
                  <c:v>54.53</c:v>
                </c:pt>
                <c:pt idx="5">
                  <c:v>50.08</c:v>
                </c:pt>
                <c:pt idx="6">
                  <c:v>60.33</c:v>
                </c:pt>
                <c:pt idx="7">
                  <c:v>65.52</c:v>
                </c:pt>
                <c:pt idx="8">
                  <c:v>55.98</c:v>
                </c:pt>
                <c:pt idx="9">
                  <c:v>58.45</c:v>
                </c:pt>
                <c:pt idx="10">
                  <c:v>58</c:v>
                </c:pt>
                <c:pt idx="11">
                  <c:v>57.47</c:v>
                </c:pt>
                <c:pt idx="12">
                  <c:v>58.86</c:v>
                </c:pt>
                <c:pt idx="13">
                  <c:v>50.74</c:v>
                </c:pt>
                <c:pt idx="14">
                  <c:v>62.59</c:v>
                </c:pt>
                <c:pt idx="15">
                  <c:v>67.12</c:v>
                </c:pt>
                <c:pt idx="16">
                  <c:v>64.260000000000005</c:v>
                </c:pt>
                <c:pt idx="17">
                  <c:v>65.040000000000006</c:v>
                </c:pt>
                <c:pt idx="18">
                  <c:v>64.400000000000006</c:v>
                </c:pt>
                <c:pt idx="19">
                  <c:v>53.89</c:v>
                </c:pt>
                <c:pt idx="20">
                  <c:v>69.95</c:v>
                </c:pt>
                <c:pt idx="21">
                  <c:v>52.96</c:v>
                </c:pt>
                <c:pt idx="22">
                  <c:v>53.13</c:v>
                </c:pt>
                <c:pt idx="23">
                  <c:v>67.17</c:v>
                </c:pt>
                <c:pt idx="24">
                  <c:v>64.31</c:v>
                </c:pt>
                <c:pt idx="25">
                  <c:v>68.03</c:v>
                </c:pt>
                <c:pt idx="26">
                  <c:v>56.53</c:v>
                </c:pt>
                <c:pt idx="27">
                  <c:v>71.94</c:v>
                </c:pt>
                <c:pt idx="28">
                  <c:v>61.08</c:v>
                </c:pt>
              </c:numCache>
            </c:numRef>
          </c:val>
          <c:extLst>
            <c:ext xmlns:c16="http://schemas.microsoft.com/office/drawing/2014/chart" uri="{C3380CC4-5D6E-409C-BE32-E72D297353CC}">
              <c16:uniqueId val="{00000002-6D5E-46A0-83A3-CC4F4ED09431}"/>
            </c:ext>
          </c:extLst>
        </c:ser>
        <c:ser>
          <c:idx val="1"/>
          <c:order val="1"/>
          <c:tx>
            <c:strRef>
              <c:f>'Econ data portal'!$C$13</c:f>
              <c:strCache>
                <c:ptCount val="1"/>
                <c:pt idx="0">
                  <c:v>Nowe dla firmy</c:v>
                </c:pt>
              </c:strCache>
            </c:strRef>
          </c:tx>
          <c:spPr>
            <a:solidFill>
              <a:schemeClr val="bg1">
                <a:lumMod val="50000"/>
              </a:schemeClr>
            </a:solidFill>
            <a:ln>
              <a:noFill/>
            </a:ln>
            <a:effectLst/>
          </c:spPr>
          <c:invertIfNegative val="0"/>
          <c:dPt>
            <c:idx val="19"/>
            <c:invertIfNegative val="0"/>
            <c:bubble3D val="0"/>
            <c:extLst>
              <c:ext xmlns:c16="http://schemas.microsoft.com/office/drawing/2014/chart" uri="{C3380CC4-5D6E-409C-BE32-E72D297353CC}">
                <c16:uniqueId val="{00000004-6D5E-46A0-83A3-CC4F4ED09431}"/>
              </c:ext>
            </c:extLst>
          </c:dPt>
          <c:cat>
            <c:strRef>
              <c:f>'Econ data portal'!$A$14:$A$42</c:f>
              <c:strCache>
                <c:ptCount val="29"/>
                <c:pt idx="0">
                  <c:v>Finlandia</c:v>
                </c:pt>
                <c:pt idx="1">
                  <c:v>Hiszpania</c:v>
                </c:pt>
                <c:pt idx="2">
                  <c:v>Dania</c:v>
                </c:pt>
                <c:pt idx="3">
                  <c:v>Austria</c:v>
                </c:pt>
                <c:pt idx="4">
                  <c:v>Belgia</c:v>
                </c:pt>
                <c:pt idx="5">
                  <c:v>Portugalia</c:v>
                </c:pt>
                <c:pt idx="6">
                  <c:v>Słowenia</c:v>
                </c:pt>
                <c:pt idx="7">
                  <c:v>Czechy</c:v>
                </c:pt>
                <c:pt idx="8">
                  <c:v>Litwa</c:v>
                </c:pt>
                <c:pt idx="9">
                  <c:v>EU</c:v>
                </c:pt>
                <c:pt idx="10">
                  <c:v>Niemcy</c:v>
                </c:pt>
                <c:pt idx="11">
                  <c:v>Irlandia</c:v>
                </c:pt>
                <c:pt idx="12">
                  <c:v>Szwecja</c:v>
                </c:pt>
                <c:pt idx="13">
                  <c:v>Włochy</c:v>
                </c:pt>
                <c:pt idx="14">
                  <c:v>Francja</c:v>
                </c:pt>
                <c:pt idx="15">
                  <c:v>Cypr</c:v>
                </c:pt>
                <c:pt idx="16">
                  <c:v>Węgry</c:v>
                </c:pt>
                <c:pt idx="17">
                  <c:v>Chorwacja</c:v>
                </c:pt>
                <c:pt idx="18">
                  <c:v>Słowacja</c:v>
                </c:pt>
                <c:pt idx="19">
                  <c:v>POLSKA</c:v>
                </c:pt>
                <c:pt idx="20">
                  <c:v>Estonia</c:v>
                </c:pt>
                <c:pt idx="21">
                  <c:v>Wielka Brytania</c:v>
                </c:pt>
                <c:pt idx="22">
                  <c:v>Luksemburg</c:v>
                </c:pt>
                <c:pt idx="23">
                  <c:v>Holandia</c:v>
                </c:pt>
                <c:pt idx="24">
                  <c:v>Grecja</c:v>
                </c:pt>
                <c:pt idx="25">
                  <c:v>Rumunia</c:v>
                </c:pt>
                <c:pt idx="26">
                  <c:v>Malta</c:v>
                </c:pt>
                <c:pt idx="27">
                  <c:v>Bułgria</c:v>
                </c:pt>
                <c:pt idx="28">
                  <c:v>Łotwa</c:v>
                </c:pt>
              </c:strCache>
            </c:strRef>
          </c:cat>
          <c:val>
            <c:numRef>
              <c:f>'Econ data portal'!$C$14:$C$42</c:f>
              <c:numCache>
                <c:formatCode>General</c:formatCode>
                <c:ptCount val="29"/>
                <c:pt idx="0">
                  <c:v>33.08</c:v>
                </c:pt>
                <c:pt idx="1">
                  <c:v>17.43</c:v>
                </c:pt>
                <c:pt idx="2">
                  <c:v>27.94</c:v>
                </c:pt>
                <c:pt idx="3">
                  <c:v>20.170000000000002</c:v>
                </c:pt>
                <c:pt idx="4">
                  <c:v>25.63</c:v>
                </c:pt>
                <c:pt idx="5">
                  <c:v>31.47</c:v>
                </c:pt>
                <c:pt idx="6">
                  <c:v>23.97</c:v>
                </c:pt>
                <c:pt idx="7">
                  <c:v>20.14</c:v>
                </c:pt>
                <c:pt idx="8">
                  <c:v>23.38</c:v>
                </c:pt>
                <c:pt idx="9">
                  <c:v>27.05</c:v>
                </c:pt>
                <c:pt idx="10">
                  <c:v>28.58</c:v>
                </c:pt>
                <c:pt idx="11">
                  <c:v>27.83</c:v>
                </c:pt>
                <c:pt idx="12">
                  <c:v>25.52</c:v>
                </c:pt>
                <c:pt idx="13">
                  <c:v>38.520000000000003</c:v>
                </c:pt>
                <c:pt idx="14">
                  <c:v>25.07</c:v>
                </c:pt>
                <c:pt idx="15">
                  <c:v>17.86</c:v>
                </c:pt>
                <c:pt idx="16">
                  <c:v>24.85</c:v>
                </c:pt>
                <c:pt idx="17">
                  <c:v>21.48</c:v>
                </c:pt>
                <c:pt idx="18">
                  <c:v>21.03</c:v>
                </c:pt>
                <c:pt idx="19">
                  <c:v>26.51</c:v>
                </c:pt>
                <c:pt idx="20">
                  <c:v>23.41</c:v>
                </c:pt>
                <c:pt idx="21">
                  <c:v>39.79</c:v>
                </c:pt>
                <c:pt idx="22">
                  <c:v>35.26</c:v>
                </c:pt>
                <c:pt idx="23">
                  <c:v>21.64</c:v>
                </c:pt>
                <c:pt idx="24">
                  <c:v>24.96</c:v>
                </c:pt>
                <c:pt idx="25">
                  <c:v>21.31</c:v>
                </c:pt>
                <c:pt idx="26">
                  <c:v>31.7</c:v>
                </c:pt>
                <c:pt idx="27">
                  <c:v>20.440000000000001</c:v>
                </c:pt>
                <c:pt idx="28">
                  <c:v>22.3</c:v>
                </c:pt>
              </c:numCache>
            </c:numRef>
          </c:val>
          <c:extLst>
            <c:ext xmlns:c16="http://schemas.microsoft.com/office/drawing/2014/chart" uri="{C3380CC4-5D6E-409C-BE32-E72D297353CC}">
              <c16:uniqueId val="{00000005-6D5E-46A0-83A3-CC4F4ED09431}"/>
            </c:ext>
          </c:extLst>
        </c:ser>
        <c:ser>
          <c:idx val="2"/>
          <c:order val="2"/>
          <c:tx>
            <c:strRef>
              <c:f>'Econ data portal'!$D$13</c:f>
              <c:strCache>
                <c:ptCount val="1"/>
                <c:pt idx="0">
                  <c:v>Nowe na rynku krajowym</c:v>
                </c:pt>
              </c:strCache>
            </c:strRef>
          </c:tx>
          <c:spPr>
            <a:solidFill>
              <a:srgbClr val="5F86CD"/>
            </a:solidFill>
            <a:ln>
              <a:noFill/>
            </a:ln>
            <a:effectLst/>
          </c:spPr>
          <c:invertIfNegative val="0"/>
          <c:cat>
            <c:strRef>
              <c:f>'Econ data portal'!$A$14:$A$42</c:f>
              <c:strCache>
                <c:ptCount val="29"/>
                <c:pt idx="0">
                  <c:v>Finlandia</c:v>
                </c:pt>
                <c:pt idx="1">
                  <c:v>Hiszpania</c:v>
                </c:pt>
                <c:pt idx="2">
                  <c:v>Dania</c:v>
                </c:pt>
                <c:pt idx="3">
                  <c:v>Austria</c:v>
                </c:pt>
                <c:pt idx="4">
                  <c:v>Belgia</c:v>
                </c:pt>
                <c:pt idx="5">
                  <c:v>Portugalia</c:v>
                </c:pt>
                <c:pt idx="6">
                  <c:v>Słowenia</c:v>
                </c:pt>
                <c:pt idx="7">
                  <c:v>Czechy</c:v>
                </c:pt>
                <c:pt idx="8">
                  <c:v>Litwa</c:v>
                </c:pt>
                <c:pt idx="9">
                  <c:v>EU</c:v>
                </c:pt>
                <c:pt idx="10">
                  <c:v>Niemcy</c:v>
                </c:pt>
                <c:pt idx="11">
                  <c:v>Irlandia</c:v>
                </c:pt>
                <c:pt idx="12">
                  <c:v>Szwecja</c:v>
                </c:pt>
                <c:pt idx="13">
                  <c:v>Włochy</c:v>
                </c:pt>
                <c:pt idx="14">
                  <c:v>Francja</c:v>
                </c:pt>
                <c:pt idx="15">
                  <c:v>Cypr</c:v>
                </c:pt>
                <c:pt idx="16">
                  <c:v>Węgry</c:v>
                </c:pt>
                <c:pt idx="17">
                  <c:v>Chorwacja</c:v>
                </c:pt>
                <c:pt idx="18">
                  <c:v>Słowacja</c:v>
                </c:pt>
                <c:pt idx="19">
                  <c:v>POLSKA</c:v>
                </c:pt>
                <c:pt idx="20">
                  <c:v>Estonia</c:v>
                </c:pt>
                <c:pt idx="21">
                  <c:v>Wielka Brytania</c:v>
                </c:pt>
                <c:pt idx="22">
                  <c:v>Luksemburg</c:v>
                </c:pt>
                <c:pt idx="23">
                  <c:v>Holandia</c:v>
                </c:pt>
                <c:pt idx="24">
                  <c:v>Grecja</c:v>
                </c:pt>
                <c:pt idx="25">
                  <c:v>Rumunia</c:v>
                </c:pt>
                <c:pt idx="26">
                  <c:v>Malta</c:v>
                </c:pt>
                <c:pt idx="27">
                  <c:v>Bułgria</c:v>
                </c:pt>
                <c:pt idx="28">
                  <c:v>Łotwa</c:v>
                </c:pt>
              </c:strCache>
            </c:strRef>
          </c:cat>
          <c:val>
            <c:numRef>
              <c:f>'Econ data portal'!$D$14:$D$42</c:f>
              <c:numCache>
                <c:formatCode>General</c:formatCode>
                <c:ptCount val="29"/>
                <c:pt idx="0">
                  <c:v>11.95</c:v>
                </c:pt>
                <c:pt idx="1">
                  <c:v>5.94</c:v>
                </c:pt>
                <c:pt idx="2">
                  <c:v>7.18</c:v>
                </c:pt>
                <c:pt idx="3">
                  <c:v>5.44</c:v>
                </c:pt>
                <c:pt idx="4">
                  <c:v>6.73</c:v>
                </c:pt>
                <c:pt idx="5">
                  <c:v>7.09</c:v>
                </c:pt>
                <c:pt idx="6">
                  <c:v>5.73</c:v>
                </c:pt>
                <c:pt idx="7">
                  <c:v>4.3899999999999997</c:v>
                </c:pt>
                <c:pt idx="8">
                  <c:v>11.04</c:v>
                </c:pt>
                <c:pt idx="9">
                  <c:v>4.92</c:v>
                </c:pt>
                <c:pt idx="10">
                  <c:v>3.94</c:v>
                </c:pt>
                <c:pt idx="11">
                  <c:v>5.33</c:v>
                </c:pt>
                <c:pt idx="12">
                  <c:v>6.48</c:v>
                </c:pt>
                <c:pt idx="13">
                  <c:v>1.98</c:v>
                </c:pt>
                <c:pt idx="14">
                  <c:v>3.71</c:v>
                </c:pt>
                <c:pt idx="15">
                  <c:v>8.23</c:v>
                </c:pt>
                <c:pt idx="16">
                  <c:v>4.21</c:v>
                </c:pt>
                <c:pt idx="17">
                  <c:v>6.99</c:v>
                </c:pt>
                <c:pt idx="18">
                  <c:v>8.32</c:v>
                </c:pt>
                <c:pt idx="19">
                  <c:v>13.37</c:v>
                </c:pt>
                <c:pt idx="20">
                  <c:v>0.82</c:v>
                </c:pt>
                <c:pt idx="21">
                  <c:v>1.48</c:v>
                </c:pt>
                <c:pt idx="22">
                  <c:v>5.93</c:v>
                </c:pt>
                <c:pt idx="23">
                  <c:v>5.59</c:v>
                </c:pt>
                <c:pt idx="24">
                  <c:v>6.13</c:v>
                </c:pt>
                <c:pt idx="25">
                  <c:v>6.3</c:v>
                </c:pt>
                <c:pt idx="26">
                  <c:v>9.07</c:v>
                </c:pt>
                <c:pt idx="27">
                  <c:v>5.15</c:v>
                </c:pt>
                <c:pt idx="28">
                  <c:v>14.34</c:v>
                </c:pt>
              </c:numCache>
            </c:numRef>
          </c:val>
          <c:extLst>
            <c:ext xmlns:c16="http://schemas.microsoft.com/office/drawing/2014/chart" uri="{C3380CC4-5D6E-409C-BE32-E72D297353CC}">
              <c16:uniqueId val="{00000006-6D5E-46A0-83A3-CC4F4ED09431}"/>
            </c:ext>
          </c:extLst>
        </c:ser>
        <c:ser>
          <c:idx val="3"/>
          <c:order val="3"/>
          <c:tx>
            <c:strRef>
              <c:f>'Econ data portal'!$E$13</c:f>
              <c:strCache>
                <c:ptCount val="1"/>
                <c:pt idx="0">
                  <c:v>Nowe na rynku globalnym</c:v>
                </c:pt>
              </c:strCache>
            </c:strRef>
          </c:tx>
          <c:spPr>
            <a:solidFill>
              <a:srgbClr val="002060"/>
            </a:solidFill>
            <a:ln>
              <a:noFill/>
            </a:ln>
            <a:effectLst/>
          </c:spPr>
          <c:invertIfNegative val="0"/>
          <c:dPt>
            <c:idx val="19"/>
            <c:invertIfNegative val="0"/>
            <c:bubble3D val="0"/>
            <c:extLst>
              <c:ext xmlns:c16="http://schemas.microsoft.com/office/drawing/2014/chart" uri="{C3380CC4-5D6E-409C-BE32-E72D297353CC}">
                <c16:uniqueId val="{00000008-6D5E-46A0-83A3-CC4F4ED09431}"/>
              </c:ext>
            </c:extLst>
          </c:dPt>
          <c:cat>
            <c:strRef>
              <c:f>'Econ data portal'!$A$14:$A$42</c:f>
              <c:strCache>
                <c:ptCount val="29"/>
                <c:pt idx="0">
                  <c:v>Finlandia</c:v>
                </c:pt>
                <c:pt idx="1">
                  <c:v>Hiszpania</c:v>
                </c:pt>
                <c:pt idx="2">
                  <c:v>Dania</c:v>
                </c:pt>
                <c:pt idx="3">
                  <c:v>Austria</c:v>
                </c:pt>
                <c:pt idx="4">
                  <c:v>Belgia</c:v>
                </c:pt>
                <c:pt idx="5">
                  <c:v>Portugalia</c:v>
                </c:pt>
                <c:pt idx="6">
                  <c:v>Słowenia</c:v>
                </c:pt>
                <c:pt idx="7">
                  <c:v>Czechy</c:v>
                </c:pt>
                <c:pt idx="8">
                  <c:v>Litwa</c:v>
                </c:pt>
                <c:pt idx="9">
                  <c:v>EU</c:v>
                </c:pt>
                <c:pt idx="10">
                  <c:v>Niemcy</c:v>
                </c:pt>
                <c:pt idx="11">
                  <c:v>Irlandia</c:v>
                </c:pt>
                <c:pt idx="12">
                  <c:v>Szwecja</c:v>
                </c:pt>
                <c:pt idx="13">
                  <c:v>Włochy</c:v>
                </c:pt>
                <c:pt idx="14">
                  <c:v>Francja</c:v>
                </c:pt>
                <c:pt idx="15">
                  <c:v>Cypr</c:v>
                </c:pt>
                <c:pt idx="16">
                  <c:v>Węgry</c:v>
                </c:pt>
                <c:pt idx="17">
                  <c:v>Chorwacja</c:v>
                </c:pt>
                <c:pt idx="18">
                  <c:v>Słowacja</c:v>
                </c:pt>
                <c:pt idx="19">
                  <c:v>POLSKA</c:v>
                </c:pt>
                <c:pt idx="20">
                  <c:v>Estonia</c:v>
                </c:pt>
                <c:pt idx="21">
                  <c:v>Wielka Brytania</c:v>
                </c:pt>
                <c:pt idx="22">
                  <c:v>Luksemburg</c:v>
                </c:pt>
                <c:pt idx="23">
                  <c:v>Holandia</c:v>
                </c:pt>
                <c:pt idx="24">
                  <c:v>Grecja</c:v>
                </c:pt>
                <c:pt idx="25">
                  <c:v>Rumunia</c:v>
                </c:pt>
                <c:pt idx="26">
                  <c:v>Malta</c:v>
                </c:pt>
                <c:pt idx="27">
                  <c:v>Bułgria</c:v>
                </c:pt>
                <c:pt idx="28">
                  <c:v>Łotwa</c:v>
                </c:pt>
              </c:strCache>
            </c:strRef>
          </c:cat>
          <c:val>
            <c:numRef>
              <c:f>'Econ data portal'!$E$14:$E$42</c:f>
              <c:numCache>
                <c:formatCode>General</c:formatCode>
                <c:ptCount val="29"/>
                <c:pt idx="0">
                  <c:v>15.63</c:v>
                </c:pt>
                <c:pt idx="1">
                  <c:v>14.46</c:v>
                </c:pt>
                <c:pt idx="2">
                  <c:v>13.94</c:v>
                </c:pt>
                <c:pt idx="3">
                  <c:v>13.41</c:v>
                </c:pt>
                <c:pt idx="4">
                  <c:v>13.11</c:v>
                </c:pt>
                <c:pt idx="5">
                  <c:v>11.36</c:v>
                </c:pt>
                <c:pt idx="6">
                  <c:v>9.9700000000000006</c:v>
                </c:pt>
                <c:pt idx="7">
                  <c:v>9.94</c:v>
                </c:pt>
                <c:pt idx="8">
                  <c:v>9.61</c:v>
                </c:pt>
                <c:pt idx="9">
                  <c:v>9.58</c:v>
                </c:pt>
                <c:pt idx="10">
                  <c:v>9.4700000000000006</c:v>
                </c:pt>
                <c:pt idx="11">
                  <c:v>9.3699999999999992</c:v>
                </c:pt>
                <c:pt idx="12">
                  <c:v>9.14</c:v>
                </c:pt>
                <c:pt idx="13">
                  <c:v>8.76</c:v>
                </c:pt>
                <c:pt idx="14">
                  <c:v>8.64</c:v>
                </c:pt>
                <c:pt idx="15">
                  <c:v>6.79</c:v>
                </c:pt>
                <c:pt idx="16">
                  <c:v>6.68</c:v>
                </c:pt>
                <c:pt idx="17">
                  <c:v>6.49</c:v>
                </c:pt>
                <c:pt idx="18">
                  <c:v>6.25</c:v>
                </c:pt>
                <c:pt idx="19">
                  <c:v>6.23</c:v>
                </c:pt>
                <c:pt idx="20">
                  <c:v>5.82</c:v>
                </c:pt>
                <c:pt idx="21">
                  <c:v>5.77</c:v>
                </c:pt>
                <c:pt idx="22">
                  <c:v>5.68</c:v>
                </c:pt>
                <c:pt idx="23">
                  <c:v>5.6</c:v>
                </c:pt>
                <c:pt idx="24">
                  <c:v>4.5999999999999996</c:v>
                </c:pt>
                <c:pt idx="25">
                  <c:v>4.3600000000000003</c:v>
                </c:pt>
                <c:pt idx="26">
                  <c:v>2.7</c:v>
                </c:pt>
                <c:pt idx="27">
                  <c:v>2.48</c:v>
                </c:pt>
                <c:pt idx="28">
                  <c:v>2.2799999999999998</c:v>
                </c:pt>
              </c:numCache>
            </c:numRef>
          </c:val>
          <c:extLst>
            <c:ext xmlns:c16="http://schemas.microsoft.com/office/drawing/2014/chart" uri="{C3380CC4-5D6E-409C-BE32-E72D297353CC}">
              <c16:uniqueId val="{00000009-6D5E-46A0-83A3-CC4F4ED09431}"/>
            </c:ext>
          </c:extLst>
        </c:ser>
        <c:dLbls>
          <c:showLegendKey val="0"/>
          <c:showVal val="0"/>
          <c:showCatName val="0"/>
          <c:showSerName val="0"/>
          <c:showPercent val="0"/>
          <c:showBubbleSize val="0"/>
        </c:dLbls>
        <c:gapWidth val="100"/>
        <c:overlap val="100"/>
        <c:axId val="274582144"/>
        <c:axId val="274588032"/>
      </c:barChart>
      <c:catAx>
        <c:axId val="274582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274588032"/>
        <c:crosses val="autoZero"/>
        <c:auto val="1"/>
        <c:lblAlgn val="ctr"/>
        <c:lblOffset val="100"/>
        <c:noMultiLvlLbl val="0"/>
      </c:catAx>
      <c:valAx>
        <c:axId val="274588032"/>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4582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9560516412737998E-2"/>
          <c:y val="8.4061028168245705E-2"/>
          <c:w val="0.87619630209051891"/>
          <c:h val="0.59650031677074844"/>
        </c:manualLayout>
      </c:layout>
      <c:barChart>
        <c:barDir val="col"/>
        <c:grouping val="clustered"/>
        <c:varyColors val="0"/>
        <c:ser>
          <c:idx val="0"/>
          <c:order val="0"/>
          <c:tx>
            <c:strRef>
              <c:f>Arkusz1!$B$80</c:f>
              <c:strCache>
                <c:ptCount val="1"/>
                <c:pt idx="0">
                  <c:v>Wskaźnik intensywności</c:v>
                </c:pt>
              </c:strCache>
            </c:strRef>
          </c:tx>
          <c:spPr>
            <a:solidFill>
              <a:schemeClr val="accent1"/>
            </a:solidFill>
            <a:ln>
              <a:noFill/>
            </a:ln>
            <a:effectLst/>
          </c:spPr>
          <c:invertIfNegative val="0"/>
          <c:dPt>
            <c:idx val="22"/>
            <c:invertIfNegative val="0"/>
            <c:bubble3D val="0"/>
            <c:spPr>
              <a:solidFill>
                <a:srgbClr val="FF0000"/>
              </a:solidFill>
              <a:ln>
                <a:noFill/>
              </a:ln>
              <a:effectLst/>
            </c:spPr>
            <c:extLst>
              <c:ext xmlns:c16="http://schemas.microsoft.com/office/drawing/2014/chart" uri="{C3380CC4-5D6E-409C-BE32-E72D297353CC}">
                <c16:uniqueId val="{00000001-0930-4990-977F-834A47824B01}"/>
              </c:ext>
            </c:extLst>
          </c:dPt>
          <c:cat>
            <c:strRef>
              <c:f>Arkusz1!$A$81:$A$109</c:f>
              <c:strCache>
                <c:ptCount val="29"/>
                <c:pt idx="0">
                  <c:v>Finlandia</c:v>
                </c:pt>
                <c:pt idx="1">
                  <c:v>Norwegia</c:v>
                </c:pt>
                <c:pt idx="2">
                  <c:v>Dania</c:v>
                </c:pt>
                <c:pt idx="3">
                  <c:v>Szwecja</c:v>
                </c:pt>
                <c:pt idx="4">
                  <c:v>Holandia</c:v>
                </c:pt>
                <c:pt idx="5">
                  <c:v>Irlandia</c:v>
                </c:pt>
                <c:pt idx="6">
                  <c:v>Słowenia</c:v>
                </c:pt>
                <c:pt idx="7">
                  <c:v>Malta</c:v>
                </c:pt>
                <c:pt idx="8">
                  <c:v>Belgia</c:v>
                </c:pt>
                <c:pt idx="9">
                  <c:v>Litwa</c:v>
                </c:pt>
                <c:pt idx="10">
                  <c:v>Austria</c:v>
                </c:pt>
                <c:pt idx="11">
                  <c:v>Niemcy</c:v>
                </c:pt>
                <c:pt idx="12">
                  <c:v>Hiszpania</c:v>
                </c:pt>
                <c:pt idx="13">
                  <c:v>Portugalia</c:v>
                </c:pt>
                <c:pt idx="14">
                  <c:v>Czechy</c:v>
                </c:pt>
                <c:pt idx="15">
                  <c:v>Wielka Brytania</c:v>
                </c:pt>
                <c:pt idx="16">
                  <c:v>Francja</c:v>
                </c:pt>
                <c:pt idx="17">
                  <c:v>Luksemburg</c:v>
                </c:pt>
                <c:pt idx="18">
                  <c:v>Łotwa</c:v>
                </c:pt>
                <c:pt idx="19">
                  <c:v>Estonia</c:v>
                </c:pt>
                <c:pt idx="20">
                  <c:v>Włochy</c:v>
                </c:pt>
                <c:pt idx="21">
                  <c:v>Słowacja</c:v>
                </c:pt>
                <c:pt idx="22">
                  <c:v>Polska</c:v>
                </c:pt>
                <c:pt idx="23">
                  <c:v>Węgry</c:v>
                </c:pt>
                <c:pt idx="24">
                  <c:v>Chorwacja</c:v>
                </c:pt>
                <c:pt idx="25">
                  <c:v>Cypr</c:v>
                </c:pt>
                <c:pt idx="26">
                  <c:v>Bułgaria</c:v>
                </c:pt>
                <c:pt idx="27">
                  <c:v>Rumunia</c:v>
                </c:pt>
                <c:pt idx="28">
                  <c:v>Grecja</c:v>
                </c:pt>
              </c:strCache>
            </c:strRef>
          </c:cat>
          <c:val>
            <c:numRef>
              <c:f>Arkusz1!$B$81:$B$109</c:f>
              <c:numCache>
                <c:formatCode>General</c:formatCode>
                <c:ptCount val="29"/>
                <c:pt idx="0">
                  <c:v>37</c:v>
                </c:pt>
                <c:pt idx="1">
                  <c:v>33.44</c:v>
                </c:pt>
                <c:pt idx="2">
                  <c:v>30.91</c:v>
                </c:pt>
                <c:pt idx="3">
                  <c:v>27.37</c:v>
                </c:pt>
                <c:pt idx="4">
                  <c:v>25.6</c:v>
                </c:pt>
                <c:pt idx="5">
                  <c:v>25.57</c:v>
                </c:pt>
                <c:pt idx="6">
                  <c:v>25.06</c:v>
                </c:pt>
                <c:pt idx="7">
                  <c:v>22.18</c:v>
                </c:pt>
                <c:pt idx="8">
                  <c:v>22.110000000000021</c:v>
                </c:pt>
                <c:pt idx="9">
                  <c:v>22</c:v>
                </c:pt>
                <c:pt idx="10">
                  <c:v>21.21</c:v>
                </c:pt>
                <c:pt idx="11">
                  <c:v>20.959999999999987</c:v>
                </c:pt>
                <c:pt idx="12">
                  <c:v>20.9</c:v>
                </c:pt>
                <c:pt idx="13">
                  <c:v>20.34</c:v>
                </c:pt>
                <c:pt idx="14">
                  <c:v>20.3</c:v>
                </c:pt>
                <c:pt idx="15">
                  <c:v>20.2</c:v>
                </c:pt>
                <c:pt idx="16">
                  <c:v>20.170000000000005</c:v>
                </c:pt>
                <c:pt idx="17">
                  <c:v>19.68</c:v>
                </c:pt>
                <c:pt idx="18">
                  <c:v>19.079999999999988</c:v>
                </c:pt>
                <c:pt idx="19">
                  <c:v>19</c:v>
                </c:pt>
                <c:pt idx="20">
                  <c:v>17.93</c:v>
                </c:pt>
                <c:pt idx="21">
                  <c:v>16.93</c:v>
                </c:pt>
                <c:pt idx="22">
                  <c:v>16.64</c:v>
                </c:pt>
                <c:pt idx="23">
                  <c:v>16.510000000000005</c:v>
                </c:pt>
                <c:pt idx="24">
                  <c:v>15.75</c:v>
                </c:pt>
                <c:pt idx="25">
                  <c:v>15.53</c:v>
                </c:pt>
                <c:pt idx="26">
                  <c:v>14.54</c:v>
                </c:pt>
                <c:pt idx="27">
                  <c:v>11.86000000000001</c:v>
                </c:pt>
                <c:pt idx="28">
                  <c:v>11.370000000000006</c:v>
                </c:pt>
              </c:numCache>
            </c:numRef>
          </c:val>
          <c:extLst>
            <c:ext xmlns:c16="http://schemas.microsoft.com/office/drawing/2014/chart" uri="{C3380CC4-5D6E-409C-BE32-E72D297353CC}">
              <c16:uniqueId val="{00000002-0930-4990-977F-834A47824B01}"/>
            </c:ext>
          </c:extLst>
        </c:ser>
        <c:dLbls>
          <c:showLegendKey val="0"/>
          <c:showVal val="0"/>
          <c:showCatName val="0"/>
          <c:showSerName val="0"/>
          <c:showPercent val="0"/>
          <c:showBubbleSize val="0"/>
        </c:dLbls>
        <c:gapWidth val="219"/>
        <c:overlap val="-27"/>
        <c:axId val="264915584"/>
        <c:axId val="264925568"/>
      </c:barChart>
      <c:catAx>
        <c:axId val="264915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4925568"/>
        <c:crosses val="autoZero"/>
        <c:auto val="1"/>
        <c:lblAlgn val="ctr"/>
        <c:lblOffset val="100"/>
        <c:noMultiLvlLbl val="0"/>
      </c:catAx>
      <c:valAx>
        <c:axId val="2649255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Wskaźnik intensywności [%]</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4915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Arkusz1!$B$29</c:f>
              <c:strCache>
                <c:ptCount val="1"/>
                <c:pt idx="0">
                  <c:v>2010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Arkusz1!$A$30:$A$33</c:f>
              <c:strCache>
                <c:ptCount val="4"/>
                <c:pt idx="0">
                  <c:v>wysoka technika</c:v>
                </c:pt>
                <c:pt idx="1">
                  <c:v>średnio-wysoka technika</c:v>
                </c:pt>
                <c:pt idx="2">
                  <c:v>średnio-niska technika</c:v>
                </c:pt>
                <c:pt idx="3">
                  <c:v>niska technika</c:v>
                </c:pt>
              </c:strCache>
            </c:strRef>
          </c:cat>
          <c:val>
            <c:numRef>
              <c:f>Arkusz1!$B$30:$B$33</c:f>
              <c:numCache>
                <c:formatCode>General</c:formatCode>
                <c:ptCount val="4"/>
                <c:pt idx="0">
                  <c:v>6.8</c:v>
                </c:pt>
                <c:pt idx="1">
                  <c:v>27.2</c:v>
                </c:pt>
                <c:pt idx="2">
                  <c:v>32.700000000000003</c:v>
                </c:pt>
                <c:pt idx="3">
                  <c:v>33.299999999999997</c:v>
                </c:pt>
              </c:numCache>
            </c:numRef>
          </c:val>
          <c:extLst>
            <c:ext xmlns:c16="http://schemas.microsoft.com/office/drawing/2014/chart" uri="{C3380CC4-5D6E-409C-BE32-E72D297353CC}">
              <c16:uniqueId val="{00000000-EAD2-4B38-A04C-C4ACCAB17DE2}"/>
            </c:ext>
          </c:extLst>
        </c:ser>
        <c:ser>
          <c:idx val="2"/>
          <c:order val="1"/>
          <c:tx>
            <c:strRef>
              <c:f>Arkusz1!$C$29</c:f>
              <c:strCache>
                <c:ptCount val="1"/>
                <c:pt idx="0">
                  <c:v>2020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Arkusz1!$A$30:$A$33</c:f>
              <c:strCache>
                <c:ptCount val="4"/>
                <c:pt idx="0">
                  <c:v>wysoka technika</c:v>
                </c:pt>
                <c:pt idx="1">
                  <c:v>średnio-wysoka technika</c:v>
                </c:pt>
                <c:pt idx="2">
                  <c:v>średnio-niska technika</c:v>
                </c:pt>
                <c:pt idx="3">
                  <c:v>niska technika</c:v>
                </c:pt>
              </c:strCache>
            </c:strRef>
          </c:cat>
          <c:val>
            <c:numRef>
              <c:f>Arkusz1!$C$30:$C$33</c:f>
              <c:numCache>
                <c:formatCode>General</c:formatCode>
                <c:ptCount val="4"/>
                <c:pt idx="0">
                  <c:v>5.2</c:v>
                </c:pt>
                <c:pt idx="1">
                  <c:v>27.1</c:v>
                </c:pt>
                <c:pt idx="2">
                  <c:v>31.9</c:v>
                </c:pt>
                <c:pt idx="3">
                  <c:v>35.700000000000003</c:v>
                </c:pt>
              </c:numCache>
            </c:numRef>
          </c:val>
          <c:extLst>
            <c:ext xmlns:c16="http://schemas.microsoft.com/office/drawing/2014/chart" uri="{C3380CC4-5D6E-409C-BE32-E72D297353CC}">
              <c16:uniqueId val="{00000001-EAD2-4B38-A04C-C4ACCAB17DE2}"/>
            </c:ext>
          </c:extLst>
        </c:ser>
        <c:dLbls>
          <c:showLegendKey val="0"/>
          <c:showVal val="0"/>
          <c:showCatName val="0"/>
          <c:showSerName val="0"/>
          <c:showPercent val="0"/>
          <c:showBubbleSize val="0"/>
        </c:dLbls>
        <c:gapWidth val="150"/>
        <c:axId val="275410944"/>
        <c:axId val="275412480"/>
      </c:barChart>
      <c:catAx>
        <c:axId val="275410944"/>
        <c:scaling>
          <c:orientation val="minMax"/>
        </c:scaling>
        <c:delete val="0"/>
        <c:axPos val="b"/>
        <c:numFmt formatCode="General" sourceLinked="0"/>
        <c:majorTickMark val="out"/>
        <c:minorTickMark val="none"/>
        <c:tickLblPos val="nextTo"/>
        <c:crossAx val="275412480"/>
        <c:crosses val="autoZero"/>
        <c:auto val="1"/>
        <c:lblAlgn val="ctr"/>
        <c:lblOffset val="100"/>
        <c:noMultiLvlLbl val="0"/>
      </c:catAx>
      <c:valAx>
        <c:axId val="275412480"/>
        <c:scaling>
          <c:orientation val="minMax"/>
        </c:scaling>
        <c:delete val="0"/>
        <c:axPos val="l"/>
        <c:majorGridlines>
          <c:spPr>
            <a:ln>
              <a:solidFill>
                <a:schemeClr val="accent1">
                  <a:alpha val="35000"/>
                </a:schemeClr>
              </a:solidFill>
            </a:ln>
          </c:spPr>
        </c:majorGridlines>
        <c:numFmt formatCode="General" sourceLinked="1"/>
        <c:majorTickMark val="out"/>
        <c:minorTickMark val="none"/>
        <c:tickLblPos val="nextTo"/>
        <c:crossAx val="275410944"/>
        <c:crosses val="autoZero"/>
        <c:crossBetween val="between"/>
      </c:valAx>
    </c:plotArea>
    <c:legend>
      <c:legendPos val="b"/>
      <c:overlay val="0"/>
    </c:legend>
    <c:plotVisOnly val="1"/>
    <c:dispBlanksAs val="gap"/>
    <c:showDLblsOverMax val="0"/>
  </c:chart>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580927384076991E-2"/>
          <c:y val="5.5555555555555552E-2"/>
          <c:w val="0.90286351706036749"/>
          <c:h val="0.60472525271690436"/>
        </c:manualLayout>
      </c:layout>
      <c:barChart>
        <c:barDir val="col"/>
        <c:grouping val="clustered"/>
        <c:varyColors val="0"/>
        <c:ser>
          <c:idx val="0"/>
          <c:order val="0"/>
          <c:tx>
            <c:strRef>
              <c:f>'wykres ex t+u do PKB'!$C$9</c:f>
              <c:strCache>
                <c:ptCount val="1"/>
                <c:pt idx="0">
                  <c:v>2010</c:v>
                </c:pt>
              </c:strCache>
            </c:strRef>
          </c:tx>
          <c:spPr>
            <a:solidFill>
              <a:srgbClr val="05295B"/>
            </a:solidFill>
            <a:ln>
              <a:noFill/>
            </a:ln>
            <a:effectLst/>
          </c:spPr>
          <c:invertIfNegative val="0"/>
          <c:dPt>
            <c:idx val="4"/>
            <c:invertIfNegative val="0"/>
            <c:bubble3D val="0"/>
            <c:spPr>
              <a:solidFill>
                <a:schemeClr val="accent1">
                  <a:lumMod val="75000"/>
                </a:schemeClr>
              </a:solidFill>
              <a:ln>
                <a:noFill/>
              </a:ln>
              <a:effectLst/>
            </c:spPr>
            <c:extLst>
              <c:ext xmlns:c16="http://schemas.microsoft.com/office/drawing/2014/chart" uri="{C3380CC4-5D6E-409C-BE32-E72D297353CC}">
                <c16:uniqueId val="{00000001-EA67-4466-9DE4-20E9F4015C5C}"/>
              </c:ext>
            </c:extLst>
          </c:dPt>
          <c:cat>
            <c:strRef>
              <c:f>'wykres ex t+u do PKB'!$B$10:$B$20</c:f>
              <c:strCache>
                <c:ptCount val="11"/>
                <c:pt idx="0">
                  <c:v>Słowacja</c:v>
                </c:pt>
                <c:pt idx="1">
                  <c:v>Niderlandy</c:v>
                </c:pt>
                <c:pt idx="2">
                  <c:v>Węgry</c:v>
                </c:pt>
                <c:pt idx="3">
                  <c:v>Czechy</c:v>
                </c:pt>
                <c:pt idx="4">
                  <c:v>Polska</c:v>
                </c:pt>
                <c:pt idx="5">
                  <c:v>UE-27</c:v>
                </c:pt>
                <c:pt idx="6">
                  <c:v>Strefa euro</c:v>
                </c:pt>
                <c:pt idx="7">
                  <c:v>Niemcy</c:v>
                </c:pt>
                <c:pt idx="8">
                  <c:v>UE28</c:v>
                </c:pt>
                <c:pt idx="9">
                  <c:v>Hiszpania</c:v>
                </c:pt>
                <c:pt idx="10">
                  <c:v>Francja</c:v>
                </c:pt>
              </c:strCache>
            </c:strRef>
          </c:cat>
          <c:val>
            <c:numRef>
              <c:f>'wykres ex t+u do PKB'!$C$10:$C$20</c:f>
              <c:numCache>
                <c:formatCode>#,##0.##########</c:formatCode>
                <c:ptCount val="11"/>
                <c:pt idx="0">
                  <c:v>77.2</c:v>
                </c:pt>
                <c:pt idx="1">
                  <c:v>69.8</c:v>
                </c:pt>
                <c:pt idx="2">
                  <c:v>81.3</c:v>
                </c:pt>
                <c:pt idx="3">
                  <c:v>65.5</c:v>
                </c:pt>
                <c:pt idx="4">
                  <c:v>39.9</c:v>
                </c:pt>
                <c:pt idx="5">
                  <c:v>40.299999999999997</c:v>
                </c:pt>
                <c:pt idx="6">
                  <c:v>39.200000000000003</c:v>
                </c:pt>
                <c:pt idx="7">
                  <c:v>42.6</c:v>
                </c:pt>
                <c:pt idx="8">
                  <c:v>38.6</c:v>
                </c:pt>
                <c:pt idx="9" formatCode="#,##0">
                  <c:v>26</c:v>
                </c:pt>
                <c:pt idx="10">
                  <c:v>26.8</c:v>
                </c:pt>
              </c:numCache>
            </c:numRef>
          </c:val>
          <c:extLst>
            <c:ext xmlns:c16="http://schemas.microsoft.com/office/drawing/2014/chart" uri="{C3380CC4-5D6E-409C-BE32-E72D297353CC}">
              <c16:uniqueId val="{00000002-EA67-4466-9DE4-20E9F4015C5C}"/>
            </c:ext>
          </c:extLst>
        </c:ser>
        <c:ser>
          <c:idx val="1"/>
          <c:order val="1"/>
          <c:tx>
            <c:strRef>
              <c:f>'wykres ex t+u do PKB'!$D$9</c:f>
              <c:strCache>
                <c:ptCount val="1"/>
                <c:pt idx="0">
                  <c:v>2019</c:v>
                </c:pt>
              </c:strCache>
            </c:strRef>
          </c:tx>
          <c:spPr>
            <a:solidFill>
              <a:srgbClr val="D01632"/>
            </a:solidFill>
            <a:ln>
              <a:noFill/>
            </a:ln>
            <a:effectLst/>
          </c:spPr>
          <c:invertIfNegative val="0"/>
          <c:dPt>
            <c:idx val="4"/>
            <c:invertIfNegative val="0"/>
            <c:bubble3D val="0"/>
            <c:spPr>
              <a:solidFill>
                <a:srgbClr val="FF5050"/>
              </a:solidFill>
              <a:ln>
                <a:noFill/>
              </a:ln>
              <a:effectLst/>
            </c:spPr>
            <c:extLst>
              <c:ext xmlns:c16="http://schemas.microsoft.com/office/drawing/2014/chart" uri="{C3380CC4-5D6E-409C-BE32-E72D297353CC}">
                <c16:uniqueId val="{00000004-EA67-4466-9DE4-20E9F4015C5C}"/>
              </c:ext>
            </c:extLst>
          </c:dPt>
          <c:cat>
            <c:strRef>
              <c:f>'wykres ex t+u do PKB'!$B$10:$B$20</c:f>
              <c:strCache>
                <c:ptCount val="11"/>
                <c:pt idx="0">
                  <c:v>Słowacja</c:v>
                </c:pt>
                <c:pt idx="1">
                  <c:v>Niderlandy</c:v>
                </c:pt>
                <c:pt idx="2">
                  <c:v>Węgry</c:v>
                </c:pt>
                <c:pt idx="3">
                  <c:v>Czechy</c:v>
                </c:pt>
                <c:pt idx="4">
                  <c:v>Polska</c:v>
                </c:pt>
                <c:pt idx="5">
                  <c:v>UE-27</c:v>
                </c:pt>
                <c:pt idx="6">
                  <c:v>Strefa euro</c:v>
                </c:pt>
                <c:pt idx="7">
                  <c:v>Niemcy</c:v>
                </c:pt>
                <c:pt idx="8">
                  <c:v>UE28</c:v>
                </c:pt>
                <c:pt idx="9">
                  <c:v>Hiszpania</c:v>
                </c:pt>
                <c:pt idx="10">
                  <c:v>Francja</c:v>
                </c:pt>
              </c:strCache>
            </c:strRef>
          </c:cat>
          <c:val>
            <c:numRef>
              <c:f>'wykres ex t+u do PKB'!$D$10:$D$20</c:f>
              <c:numCache>
                <c:formatCode>#,##0.##########</c:formatCode>
                <c:ptCount val="11"/>
                <c:pt idx="0">
                  <c:v>92.4</c:v>
                </c:pt>
                <c:pt idx="1">
                  <c:v>83.3</c:v>
                </c:pt>
                <c:pt idx="2">
                  <c:v>82.2</c:v>
                </c:pt>
                <c:pt idx="3">
                  <c:v>74.400000000000006</c:v>
                </c:pt>
                <c:pt idx="4">
                  <c:v>55.5</c:v>
                </c:pt>
                <c:pt idx="5">
                  <c:v>49.4</c:v>
                </c:pt>
                <c:pt idx="6">
                  <c:v>48.2</c:v>
                </c:pt>
                <c:pt idx="7">
                  <c:v>46.9</c:v>
                </c:pt>
                <c:pt idx="8">
                  <c:v>46.6</c:v>
                </c:pt>
                <c:pt idx="9">
                  <c:v>34.9</c:v>
                </c:pt>
                <c:pt idx="10">
                  <c:v>31.8</c:v>
                </c:pt>
              </c:numCache>
            </c:numRef>
          </c:val>
          <c:extLst>
            <c:ext xmlns:c16="http://schemas.microsoft.com/office/drawing/2014/chart" uri="{C3380CC4-5D6E-409C-BE32-E72D297353CC}">
              <c16:uniqueId val="{00000005-EA67-4466-9DE4-20E9F4015C5C}"/>
            </c:ext>
          </c:extLst>
        </c:ser>
        <c:dLbls>
          <c:showLegendKey val="0"/>
          <c:showVal val="0"/>
          <c:showCatName val="0"/>
          <c:showSerName val="0"/>
          <c:showPercent val="0"/>
          <c:showBubbleSize val="0"/>
        </c:dLbls>
        <c:gapWidth val="122"/>
        <c:overlap val="-27"/>
        <c:axId val="267988352"/>
        <c:axId val="271099008"/>
      </c:barChart>
      <c:catAx>
        <c:axId val="267988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pl-PL"/>
          </a:p>
        </c:txPr>
        <c:crossAx val="271099008"/>
        <c:crosses val="autoZero"/>
        <c:auto val="1"/>
        <c:lblAlgn val="ctr"/>
        <c:lblOffset val="100"/>
        <c:noMultiLvlLbl val="0"/>
      </c:catAx>
      <c:valAx>
        <c:axId val="2710990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267988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'Rachunki narodowe'!$D$7</c:f>
              <c:strCache>
                <c:ptCount val="1"/>
                <c:pt idx="0">
                  <c:v>PKB</c:v>
                </c:pt>
              </c:strCache>
            </c:strRef>
          </c:tx>
          <c:spPr>
            <a:ln w="28575" cap="rnd">
              <a:solidFill>
                <a:srgbClr val="05295B"/>
              </a:solidFill>
              <a:round/>
            </a:ln>
            <a:effectLst/>
          </c:spPr>
          <c:marker>
            <c:symbol val="none"/>
          </c:marker>
          <c:cat>
            <c:strRef>
              <c:f>'Rachunki narodowe'!$E$6:$O$6</c:f>
              <c:strCache>
                <c:ptCount val="11"/>
                <c:pt idx="0">
                  <c:v>2009</c:v>
                </c:pt>
                <c:pt idx="1">
                  <c:v>2010</c:v>
                </c:pt>
                <c:pt idx="2">
                  <c:v>2011</c:v>
                </c:pt>
                <c:pt idx="3">
                  <c:v>2012</c:v>
                </c:pt>
                <c:pt idx="4">
                  <c:v>2013</c:v>
                </c:pt>
                <c:pt idx="5">
                  <c:v>2014</c:v>
                </c:pt>
                <c:pt idx="6">
                  <c:v>2015</c:v>
                </c:pt>
                <c:pt idx="7">
                  <c:v>2016</c:v>
                </c:pt>
                <c:pt idx="8">
                  <c:v>2017</c:v>
                </c:pt>
                <c:pt idx="9">
                  <c:v>2018</c:v>
                </c:pt>
                <c:pt idx="10">
                  <c:v>2019</c:v>
                </c:pt>
              </c:strCache>
            </c:strRef>
          </c:cat>
          <c:val>
            <c:numRef>
              <c:f>'Rachunki narodowe'!$E$7:$O$7</c:f>
              <c:numCache>
                <c:formatCode>General</c:formatCode>
                <c:ptCount val="11"/>
                <c:pt idx="0">
                  <c:v>102.8</c:v>
                </c:pt>
                <c:pt idx="1">
                  <c:v>103.7</c:v>
                </c:pt>
                <c:pt idx="2">
                  <c:v>104.8</c:v>
                </c:pt>
                <c:pt idx="3">
                  <c:v>101.3</c:v>
                </c:pt>
                <c:pt idx="4">
                  <c:v>101.1</c:v>
                </c:pt>
                <c:pt idx="5">
                  <c:v>103.4</c:v>
                </c:pt>
                <c:pt idx="6">
                  <c:v>104.2</c:v>
                </c:pt>
                <c:pt idx="7">
                  <c:v>103.1</c:v>
                </c:pt>
                <c:pt idx="8">
                  <c:v>104.8</c:v>
                </c:pt>
                <c:pt idx="9">
                  <c:v>105.4</c:v>
                </c:pt>
                <c:pt idx="10" formatCode="0.0">
                  <c:v>104.5</c:v>
                </c:pt>
              </c:numCache>
            </c:numRef>
          </c:val>
          <c:smooth val="0"/>
          <c:extLst>
            <c:ext xmlns:c16="http://schemas.microsoft.com/office/drawing/2014/chart" uri="{C3380CC4-5D6E-409C-BE32-E72D297353CC}">
              <c16:uniqueId val="{00000000-A0F9-4676-930E-D50A6C0EB04A}"/>
            </c:ext>
          </c:extLst>
        </c:ser>
        <c:ser>
          <c:idx val="1"/>
          <c:order val="1"/>
          <c:tx>
            <c:strRef>
              <c:f>'Rachunki narodowe'!$D$8</c:f>
              <c:strCache>
                <c:ptCount val="1"/>
                <c:pt idx="0">
                  <c:v>Eksport</c:v>
                </c:pt>
              </c:strCache>
            </c:strRef>
          </c:tx>
          <c:spPr>
            <a:ln w="28575" cap="rnd">
              <a:solidFill>
                <a:srgbClr val="D01632"/>
              </a:solidFill>
              <a:round/>
            </a:ln>
            <a:effectLst/>
          </c:spPr>
          <c:marker>
            <c:symbol val="none"/>
          </c:marker>
          <c:cat>
            <c:strRef>
              <c:f>'Rachunki narodowe'!$E$6:$O$6</c:f>
              <c:strCache>
                <c:ptCount val="11"/>
                <c:pt idx="0">
                  <c:v>2009</c:v>
                </c:pt>
                <c:pt idx="1">
                  <c:v>2010</c:v>
                </c:pt>
                <c:pt idx="2">
                  <c:v>2011</c:v>
                </c:pt>
                <c:pt idx="3">
                  <c:v>2012</c:v>
                </c:pt>
                <c:pt idx="4">
                  <c:v>2013</c:v>
                </c:pt>
                <c:pt idx="5">
                  <c:v>2014</c:v>
                </c:pt>
                <c:pt idx="6">
                  <c:v>2015</c:v>
                </c:pt>
                <c:pt idx="7">
                  <c:v>2016</c:v>
                </c:pt>
                <c:pt idx="8">
                  <c:v>2017</c:v>
                </c:pt>
                <c:pt idx="9">
                  <c:v>2018</c:v>
                </c:pt>
                <c:pt idx="10">
                  <c:v>2019</c:v>
                </c:pt>
              </c:strCache>
            </c:strRef>
          </c:cat>
          <c:val>
            <c:numRef>
              <c:f>'Rachunki narodowe'!$E$8:$O$8</c:f>
              <c:numCache>
                <c:formatCode>0.0</c:formatCode>
                <c:ptCount val="11"/>
                <c:pt idx="0" formatCode="General">
                  <c:v>84.5</c:v>
                </c:pt>
                <c:pt idx="1">
                  <c:v>122.6</c:v>
                </c:pt>
                <c:pt idx="2">
                  <c:v>113.6</c:v>
                </c:pt>
                <c:pt idx="3">
                  <c:v>104.9</c:v>
                </c:pt>
                <c:pt idx="4">
                  <c:v>108</c:v>
                </c:pt>
                <c:pt idx="5">
                  <c:v>107</c:v>
                </c:pt>
                <c:pt idx="6">
                  <c:v>108.3</c:v>
                </c:pt>
                <c:pt idx="7">
                  <c:v>102.9</c:v>
                </c:pt>
                <c:pt idx="8">
                  <c:v>111.8</c:v>
                </c:pt>
                <c:pt idx="9">
                  <c:v>108.2</c:v>
                </c:pt>
                <c:pt idx="10">
                  <c:v>106.5</c:v>
                </c:pt>
              </c:numCache>
            </c:numRef>
          </c:val>
          <c:smooth val="0"/>
          <c:extLst>
            <c:ext xmlns:c16="http://schemas.microsoft.com/office/drawing/2014/chart" uri="{C3380CC4-5D6E-409C-BE32-E72D297353CC}">
              <c16:uniqueId val="{00000001-A0F9-4676-930E-D50A6C0EB04A}"/>
            </c:ext>
          </c:extLst>
        </c:ser>
        <c:dLbls>
          <c:showLegendKey val="0"/>
          <c:showVal val="0"/>
          <c:showCatName val="0"/>
          <c:showSerName val="0"/>
          <c:showPercent val="0"/>
          <c:showBubbleSize val="0"/>
        </c:dLbls>
        <c:smooth val="0"/>
        <c:axId val="271145600"/>
        <c:axId val="271147392"/>
      </c:lineChart>
      <c:catAx>
        <c:axId val="271145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pl-PL"/>
          </a:p>
        </c:txPr>
        <c:crossAx val="271147392"/>
        <c:crosses val="autoZero"/>
        <c:auto val="1"/>
        <c:lblAlgn val="ctr"/>
        <c:lblOffset val="100"/>
        <c:noMultiLvlLbl val="0"/>
      </c:catAx>
      <c:valAx>
        <c:axId val="271147392"/>
        <c:scaling>
          <c:orientation val="minMax"/>
          <c:min val="8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pl-PL"/>
          </a:p>
        </c:txPr>
        <c:crossAx val="271145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rgbClr val="05295B"/>
            </a:solidFill>
          </c:spPr>
          <c:invertIfNegative val="0"/>
          <c:dLbls>
            <c:spPr>
              <a:noFill/>
              <a:ln>
                <a:noFill/>
              </a:ln>
              <a:effectLst/>
            </c:spPr>
            <c:txPr>
              <a:bodyPr/>
              <a:lstStyle/>
              <a:p>
                <a:pPr>
                  <a:defRPr sz="800" b="1">
                    <a:solidFill>
                      <a:schemeClr val="bg1"/>
                    </a:solidFill>
                    <a:latin typeface="Arial Narrow" panose="020B060602020203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'Dane sort 2019_wykres'!$B$3:$B$16</c:f>
              <c:strCache>
                <c:ptCount val="14"/>
                <c:pt idx="0">
                  <c:v>Chiny</c:v>
                </c:pt>
                <c:pt idx="1">
                  <c:v>USA</c:v>
                </c:pt>
                <c:pt idx="2">
                  <c:v>Niemcy</c:v>
                </c:pt>
                <c:pt idx="3">
                  <c:v>Niderlandy</c:v>
                </c:pt>
                <c:pt idx="4">
                  <c:v>Japonia</c:v>
                </c:pt>
                <c:pt idx="5">
                  <c:v>Francja</c:v>
                </c:pt>
                <c:pt idx="6">
                  <c:v>Rep. Korei</c:v>
                </c:pt>
                <c:pt idx="7">
                  <c:v>HongKong</c:v>
                </c:pt>
                <c:pt idx="8">
                  <c:v>Włochy</c:v>
                </c:pt>
                <c:pt idx="9">
                  <c:v>Wlk. Brytania</c:v>
                </c:pt>
                <c:pt idx="10">
                  <c:v>…</c:v>
                </c:pt>
                <c:pt idx="11">
                  <c:v>…</c:v>
                </c:pt>
                <c:pt idx="12">
                  <c:v>…</c:v>
                </c:pt>
                <c:pt idx="13">
                  <c:v>Polska</c:v>
                </c:pt>
              </c:strCache>
            </c:strRef>
          </c:cat>
          <c:val>
            <c:numRef>
              <c:f>'Dane sort 2019_wykres'!$D$3:$D$16</c:f>
              <c:numCache>
                <c:formatCode>0.0</c:formatCode>
                <c:ptCount val="14"/>
                <c:pt idx="0">
                  <c:v>13.2</c:v>
                </c:pt>
                <c:pt idx="1">
                  <c:v>8.6999999999999993</c:v>
                </c:pt>
                <c:pt idx="2">
                  <c:v>7.9</c:v>
                </c:pt>
                <c:pt idx="3">
                  <c:v>3.8</c:v>
                </c:pt>
                <c:pt idx="4">
                  <c:v>3.7</c:v>
                </c:pt>
                <c:pt idx="5">
                  <c:v>3</c:v>
                </c:pt>
                <c:pt idx="6">
                  <c:v>2.9</c:v>
                </c:pt>
                <c:pt idx="7">
                  <c:v>2.8</c:v>
                </c:pt>
                <c:pt idx="8">
                  <c:v>2.8</c:v>
                </c:pt>
                <c:pt idx="9">
                  <c:v>2.5</c:v>
                </c:pt>
                <c:pt idx="13">
                  <c:v>1.4</c:v>
                </c:pt>
              </c:numCache>
            </c:numRef>
          </c:val>
          <c:extLst>
            <c:ext xmlns:c16="http://schemas.microsoft.com/office/drawing/2014/chart" uri="{C3380CC4-5D6E-409C-BE32-E72D297353CC}">
              <c16:uniqueId val="{00000000-47E3-4B26-9EEF-72BBE534D60A}"/>
            </c:ext>
          </c:extLst>
        </c:ser>
        <c:dLbls>
          <c:showLegendKey val="0"/>
          <c:showVal val="0"/>
          <c:showCatName val="0"/>
          <c:showSerName val="0"/>
          <c:showPercent val="0"/>
          <c:showBubbleSize val="0"/>
        </c:dLbls>
        <c:gapWidth val="97"/>
        <c:axId val="267281536"/>
        <c:axId val="267283072"/>
      </c:barChart>
      <c:catAx>
        <c:axId val="267281536"/>
        <c:scaling>
          <c:orientation val="minMax"/>
        </c:scaling>
        <c:delete val="0"/>
        <c:axPos val="b"/>
        <c:numFmt formatCode="General" sourceLinked="0"/>
        <c:majorTickMark val="out"/>
        <c:minorTickMark val="none"/>
        <c:tickLblPos val="nextTo"/>
        <c:txPr>
          <a:bodyPr/>
          <a:lstStyle/>
          <a:p>
            <a:pPr>
              <a:defRPr sz="800">
                <a:latin typeface="Arial Narrow" panose="020B0606020202030204" pitchFamily="34" charset="0"/>
              </a:defRPr>
            </a:pPr>
            <a:endParaRPr lang="pl-PL"/>
          </a:p>
        </c:txPr>
        <c:crossAx val="267283072"/>
        <c:crosses val="autoZero"/>
        <c:auto val="1"/>
        <c:lblAlgn val="ctr"/>
        <c:lblOffset val="100"/>
        <c:noMultiLvlLbl val="0"/>
      </c:catAx>
      <c:valAx>
        <c:axId val="267283072"/>
        <c:scaling>
          <c:orientation val="minMax"/>
        </c:scaling>
        <c:delete val="0"/>
        <c:axPos val="l"/>
        <c:majorGridlines/>
        <c:numFmt formatCode="0" sourceLinked="0"/>
        <c:majorTickMark val="out"/>
        <c:minorTickMark val="none"/>
        <c:tickLblPos val="nextTo"/>
        <c:txPr>
          <a:bodyPr/>
          <a:lstStyle/>
          <a:p>
            <a:pPr>
              <a:defRPr sz="800">
                <a:latin typeface="Arial Narrow" panose="020B0606020202030204" pitchFamily="34" charset="0"/>
              </a:defRPr>
            </a:pPr>
            <a:endParaRPr lang="pl-PL"/>
          </a:p>
        </c:txPr>
        <c:crossAx val="267281536"/>
        <c:crosses val="autoZero"/>
        <c:crossBetween val="between"/>
      </c:valAx>
    </c:plotArea>
    <c:plotVisOnly val="1"/>
    <c:dispBlanksAs val="gap"/>
    <c:showDLblsOverMax val="0"/>
  </c:chart>
  <c:spPr>
    <a:ln>
      <a:noFill/>
    </a:ln>
  </c:sp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35403472981534E-2"/>
          <c:y val="2.7534189805221716E-2"/>
          <c:w val="0.89019685039370078"/>
          <c:h val="0.74503062117235352"/>
        </c:manualLayout>
      </c:layout>
      <c:barChart>
        <c:barDir val="col"/>
        <c:grouping val="stacked"/>
        <c:varyColors val="0"/>
        <c:ser>
          <c:idx val="0"/>
          <c:order val="0"/>
          <c:tx>
            <c:strRef>
              <c:f>Arkusz1!$C$25</c:f>
              <c:strCache>
                <c:ptCount val="1"/>
                <c:pt idx="0">
                  <c:v>0-9</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Narrow" panose="020B0606020202030204" pitchFamily="34"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Arkusz1!$D$24:$E$24</c:f>
              <c:numCache>
                <c:formatCode>General</c:formatCode>
                <c:ptCount val="2"/>
                <c:pt idx="0">
                  <c:v>2010</c:v>
                </c:pt>
                <c:pt idx="1">
                  <c:v>2018</c:v>
                </c:pt>
              </c:numCache>
            </c:numRef>
          </c:cat>
          <c:val>
            <c:numRef>
              <c:f>Arkusz1!$D$25:$E$25</c:f>
              <c:numCache>
                <c:formatCode>0.0</c:formatCode>
                <c:ptCount val="2"/>
                <c:pt idx="0">
                  <c:v>2</c:v>
                </c:pt>
                <c:pt idx="1">
                  <c:v>3.2</c:v>
                </c:pt>
              </c:numCache>
            </c:numRef>
          </c:val>
          <c:extLst>
            <c:ext xmlns:c16="http://schemas.microsoft.com/office/drawing/2014/chart" uri="{C3380CC4-5D6E-409C-BE32-E72D297353CC}">
              <c16:uniqueId val="{00000000-3992-4DF1-8328-3330B131F46E}"/>
            </c:ext>
          </c:extLst>
        </c:ser>
        <c:ser>
          <c:idx val="1"/>
          <c:order val="1"/>
          <c:tx>
            <c:strRef>
              <c:f>Arkusz1!$C$26</c:f>
              <c:strCache>
                <c:ptCount val="1"/>
                <c:pt idx="0">
                  <c:v>10-49</c:v>
                </c:pt>
              </c:strCache>
            </c:strRef>
          </c:tx>
          <c:spPr>
            <a:solidFill>
              <a:srgbClr val="76777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Narrow" panose="020B0606020202030204" pitchFamily="34"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Arkusz1!$D$24:$E$24</c:f>
              <c:numCache>
                <c:formatCode>General</c:formatCode>
                <c:ptCount val="2"/>
                <c:pt idx="0">
                  <c:v>2010</c:v>
                </c:pt>
                <c:pt idx="1">
                  <c:v>2018</c:v>
                </c:pt>
              </c:numCache>
            </c:numRef>
          </c:cat>
          <c:val>
            <c:numRef>
              <c:f>Arkusz1!$D$26:$E$26</c:f>
              <c:numCache>
                <c:formatCode>0.0</c:formatCode>
                <c:ptCount val="2"/>
                <c:pt idx="0">
                  <c:v>32.4</c:v>
                </c:pt>
                <c:pt idx="1">
                  <c:v>37.799999999999997</c:v>
                </c:pt>
              </c:numCache>
            </c:numRef>
          </c:val>
          <c:extLst>
            <c:ext xmlns:c16="http://schemas.microsoft.com/office/drawing/2014/chart" uri="{C3380CC4-5D6E-409C-BE32-E72D297353CC}">
              <c16:uniqueId val="{00000001-3992-4DF1-8328-3330B131F46E}"/>
            </c:ext>
          </c:extLst>
        </c:ser>
        <c:ser>
          <c:idx val="2"/>
          <c:order val="2"/>
          <c:tx>
            <c:strRef>
              <c:f>Arkusz1!$C$27</c:f>
              <c:strCache>
                <c:ptCount val="1"/>
                <c:pt idx="0">
                  <c:v>50-249</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Narrow" panose="020B0606020202030204" pitchFamily="34"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Arkusz1!$D$24:$E$24</c:f>
              <c:numCache>
                <c:formatCode>General</c:formatCode>
                <c:ptCount val="2"/>
                <c:pt idx="0">
                  <c:v>2010</c:v>
                </c:pt>
                <c:pt idx="1">
                  <c:v>2018</c:v>
                </c:pt>
              </c:numCache>
            </c:numRef>
          </c:cat>
          <c:val>
            <c:numRef>
              <c:f>Arkusz1!$D$27:$E$27</c:f>
              <c:numCache>
                <c:formatCode>0.0</c:formatCode>
                <c:ptCount val="2"/>
                <c:pt idx="0">
                  <c:v>47.5</c:v>
                </c:pt>
                <c:pt idx="1">
                  <c:v>51.9</c:v>
                </c:pt>
              </c:numCache>
            </c:numRef>
          </c:val>
          <c:extLst>
            <c:ext xmlns:c16="http://schemas.microsoft.com/office/drawing/2014/chart" uri="{C3380CC4-5D6E-409C-BE32-E72D297353CC}">
              <c16:uniqueId val="{00000002-3992-4DF1-8328-3330B131F46E}"/>
            </c:ext>
          </c:extLst>
        </c:ser>
        <c:ser>
          <c:idx val="3"/>
          <c:order val="3"/>
          <c:tx>
            <c:strRef>
              <c:f>Arkusz1!$C$28</c:f>
              <c:strCache>
                <c:ptCount val="1"/>
                <c:pt idx="0">
                  <c:v>&gt; 249</c:v>
                </c:pt>
              </c:strCache>
            </c:strRef>
          </c:tx>
          <c:spPr>
            <a:solidFill>
              <a:srgbClr val="05295B"/>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Narrow" panose="020B0606020202030204" pitchFamily="34"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Arkusz1!$D$24:$E$24</c:f>
              <c:numCache>
                <c:formatCode>General</c:formatCode>
                <c:ptCount val="2"/>
                <c:pt idx="0">
                  <c:v>2010</c:v>
                </c:pt>
                <c:pt idx="1">
                  <c:v>2018</c:v>
                </c:pt>
              </c:numCache>
            </c:numRef>
          </c:cat>
          <c:val>
            <c:numRef>
              <c:f>Arkusz1!$D$28:$E$28</c:f>
              <c:numCache>
                <c:formatCode>0.0</c:formatCode>
                <c:ptCount val="2"/>
                <c:pt idx="0">
                  <c:v>66.3</c:v>
                </c:pt>
                <c:pt idx="1">
                  <c:v>69.599999999999994</c:v>
                </c:pt>
              </c:numCache>
            </c:numRef>
          </c:val>
          <c:extLst>
            <c:ext xmlns:c16="http://schemas.microsoft.com/office/drawing/2014/chart" uri="{C3380CC4-5D6E-409C-BE32-E72D297353CC}">
              <c16:uniqueId val="{00000003-3992-4DF1-8328-3330B131F46E}"/>
            </c:ext>
          </c:extLst>
        </c:ser>
        <c:dLbls>
          <c:showLegendKey val="0"/>
          <c:showVal val="0"/>
          <c:showCatName val="0"/>
          <c:showSerName val="0"/>
          <c:showPercent val="0"/>
          <c:showBubbleSize val="0"/>
        </c:dLbls>
        <c:gapWidth val="150"/>
        <c:overlap val="100"/>
        <c:axId val="309824896"/>
        <c:axId val="309843072"/>
      </c:barChart>
      <c:catAx>
        <c:axId val="309824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pl-PL"/>
          </a:p>
        </c:txPr>
        <c:crossAx val="309843072"/>
        <c:crosses val="autoZero"/>
        <c:auto val="1"/>
        <c:lblAlgn val="ctr"/>
        <c:lblOffset val="100"/>
        <c:noMultiLvlLbl val="0"/>
      </c:catAx>
      <c:valAx>
        <c:axId val="309843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pl-PL"/>
          </a:p>
        </c:txPr>
        <c:crossAx val="309824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7824055114487302E-2"/>
          <c:y val="2.3014739812353264E-2"/>
          <c:w val="0.88142237739884122"/>
          <c:h val="0.92457096126324401"/>
        </c:manualLayout>
      </c:layout>
      <c:barChart>
        <c:barDir val="col"/>
        <c:grouping val="stacked"/>
        <c:varyColors val="0"/>
        <c:ser>
          <c:idx val="1"/>
          <c:order val="0"/>
          <c:tx>
            <c:strRef>
              <c:f>'udział ex w przychodach_W1'!$E$5</c:f>
              <c:strCache>
                <c:ptCount val="1"/>
                <c:pt idx="0">
                  <c:v>0-9</c:v>
                </c:pt>
              </c:strCache>
            </c:strRef>
          </c:tx>
          <c:spPr>
            <a:solidFill>
              <a:srgbClr val="D01632"/>
            </a:solidFill>
          </c:spPr>
          <c:invertIfNegative val="0"/>
          <c:dLbls>
            <c:spPr>
              <a:noFill/>
              <a:ln>
                <a:noFill/>
              </a:ln>
              <a:effectLst/>
            </c:spPr>
            <c:txPr>
              <a:bodyPr wrap="square" lIns="38100" tIns="19050" rIns="38100" bIns="19050" anchor="ctr">
                <a:spAutoFit/>
              </a:bodyPr>
              <a:lstStyle/>
              <a:p>
                <a:pPr>
                  <a:defRPr>
                    <a:latin typeface="Arial Narrow" panose="020B060602020203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'udział ex w przychodach_W1'!$C$6:$C$7</c:f>
              <c:numCache>
                <c:formatCode>General</c:formatCode>
                <c:ptCount val="2"/>
                <c:pt idx="0">
                  <c:v>2010</c:v>
                </c:pt>
                <c:pt idx="1">
                  <c:v>2018</c:v>
                </c:pt>
              </c:numCache>
            </c:numRef>
          </c:cat>
          <c:val>
            <c:numRef>
              <c:f>'udział ex w przychodach_W1'!$E$6:$E$7</c:f>
              <c:numCache>
                <c:formatCode>0.0</c:formatCode>
                <c:ptCount val="2"/>
                <c:pt idx="0">
                  <c:v>4.5</c:v>
                </c:pt>
                <c:pt idx="1">
                  <c:v>4.9000000000000004</c:v>
                </c:pt>
              </c:numCache>
            </c:numRef>
          </c:val>
          <c:extLst>
            <c:ext xmlns:c16="http://schemas.microsoft.com/office/drawing/2014/chart" uri="{C3380CC4-5D6E-409C-BE32-E72D297353CC}">
              <c16:uniqueId val="{00000000-F03B-4225-B474-7EF164940369}"/>
            </c:ext>
          </c:extLst>
        </c:ser>
        <c:ser>
          <c:idx val="2"/>
          <c:order val="1"/>
          <c:tx>
            <c:strRef>
              <c:f>'udział ex w przychodach_W1'!$F$5</c:f>
              <c:strCache>
                <c:ptCount val="1"/>
                <c:pt idx="0">
                  <c:v>10-49</c:v>
                </c:pt>
              </c:strCache>
            </c:strRef>
          </c:tx>
          <c:spPr>
            <a:solidFill>
              <a:srgbClr val="0A4798">
                <a:alpha val="44706"/>
              </a:srgbClr>
            </a:solidFill>
          </c:spPr>
          <c:invertIfNegative val="0"/>
          <c:dLbls>
            <c:spPr>
              <a:noFill/>
              <a:ln>
                <a:noFill/>
              </a:ln>
              <a:effectLst/>
            </c:spPr>
            <c:txPr>
              <a:bodyPr wrap="square" lIns="38100" tIns="19050" rIns="38100" bIns="19050" anchor="ctr">
                <a:spAutoFit/>
              </a:bodyPr>
              <a:lstStyle/>
              <a:p>
                <a:pPr>
                  <a:defRPr>
                    <a:latin typeface="Arial Narrow" panose="020B060602020203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'udział ex w przychodach_W1'!$C$6:$C$7</c:f>
              <c:numCache>
                <c:formatCode>General</c:formatCode>
                <c:ptCount val="2"/>
                <c:pt idx="0">
                  <c:v>2010</c:v>
                </c:pt>
                <c:pt idx="1">
                  <c:v>2018</c:v>
                </c:pt>
              </c:numCache>
            </c:numRef>
          </c:cat>
          <c:val>
            <c:numRef>
              <c:f>'udział ex w przychodach_W1'!$F$6:$F$7</c:f>
              <c:numCache>
                <c:formatCode>0.0</c:formatCode>
                <c:ptCount val="2"/>
                <c:pt idx="0">
                  <c:v>11.1</c:v>
                </c:pt>
                <c:pt idx="1">
                  <c:v>14.5</c:v>
                </c:pt>
              </c:numCache>
            </c:numRef>
          </c:val>
          <c:extLst>
            <c:ext xmlns:c16="http://schemas.microsoft.com/office/drawing/2014/chart" uri="{C3380CC4-5D6E-409C-BE32-E72D297353CC}">
              <c16:uniqueId val="{00000001-F03B-4225-B474-7EF164940369}"/>
            </c:ext>
          </c:extLst>
        </c:ser>
        <c:ser>
          <c:idx val="3"/>
          <c:order val="2"/>
          <c:tx>
            <c:strRef>
              <c:f>'udział ex w przychodach_W1'!$G$5</c:f>
              <c:strCache>
                <c:ptCount val="1"/>
                <c:pt idx="0">
                  <c:v>50-249</c:v>
                </c:pt>
              </c:strCache>
            </c:strRef>
          </c:tx>
          <c:spPr>
            <a:solidFill>
              <a:srgbClr val="767779">
                <a:alpha val="66667"/>
              </a:srgbClr>
            </a:solidFill>
          </c:spPr>
          <c:invertIfNegative val="0"/>
          <c:dLbls>
            <c:spPr>
              <a:noFill/>
              <a:ln>
                <a:noFill/>
              </a:ln>
              <a:effectLst/>
            </c:spPr>
            <c:txPr>
              <a:bodyPr wrap="square" lIns="38100" tIns="19050" rIns="38100" bIns="19050" anchor="ctr">
                <a:spAutoFit/>
              </a:bodyPr>
              <a:lstStyle/>
              <a:p>
                <a:pPr>
                  <a:defRPr>
                    <a:latin typeface="Arial Narrow" panose="020B060602020203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'udział ex w przychodach_W1'!$C$6:$C$7</c:f>
              <c:numCache>
                <c:formatCode>General</c:formatCode>
                <c:ptCount val="2"/>
                <c:pt idx="0">
                  <c:v>2010</c:v>
                </c:pt>
                <c:pt idx="1">
                  <c:v>2018</c:v>
                </c:pt>
              </c:numCache>
            </c:numRef>
          </c:cat>
          <c:val>
            <c:numRef>
              <c:f>'udział ex w przychodach_W1'!$G$6:$G$7</c:f>
              <c:numCache>
                <c:formatCode>0.0</c:formatCode>
                <c:ptCount val="2"/>
                <c:pt idx="0">
                  <c:v>13.7</c:v>
                </c:pt>
                <c:pt idx="1">
                  <c:v>19.2</c:v>
                </c:pt>
              </c:numCache>
            </c:numRef>
          </c:val>
          <c:extLst>
            <c:ext xmlns:c16="http://schemas.microsoft.com/office/drawing/2014/chart" uri="{C3380CC4-5D6E-409C-BE32-E72D297353CC}">
              <c16:uniqueId val="{00000002-F03B-4225-B474-7EF164940369}"/>
            </c:ext>
          </c:extLst>
        </c:ser>
        <c:ser>
          <c:idx val="4"/>
          <c:order val="3"/>
          <c:tx>
            <c:strRef>
              <c:f>'udział ex w przychodach_W1'!$H$5</c:f>
              <c:strCache>
                <c:ptCount val="1"/>
                <c:pt idx="0">
                  <c:v>&gt;249</c:v>
                </c:pt>
              </c:strCache>
            </c:strRef>
          </c:tx>
          <c:spPr>
            <a:solidFill>
              <a:srgbClr val="05295B"/>
            </a:solidFill>
          </c:spPr>
          <c:invertIfNegative val="0"/>
          <c:dLbls>
            <c:spPr>
              <a:noFill/>
              <a:ln>
                <a:noFill/>
              </a:ln>
              <a:effectLst/>
            </c:spPr>
            <c:txPr>
              <a:bodyPr wrap="square" lIns="38100" tIns="19050" rIns="38100" bIns="19050" anchor="ctr">
                <a:spAutoFit/>
              </a:bodyPr>
              <a:lstStyle/>
              <a:p>
                <a:pPr>
                  <a:defRPr b="1">
                    <a:solidFill>
                      <a:schemeClr val="bg1"/>
                    </a:solidFill>
                    <a:latin typeface="Arial Narrow" panose="020B060602020203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'udział ex w przychodach_W1'!$C$6:$C$7</c:f>
              <c:numCache>
                <c:formatCode>General</c:formatCode>
                <c:ptCount val="2"/>
                <c:pt idx="0">
                  <c:v>2010</c:v>
                </c:pt>
                <c:pt idx="1">
                  <c:v>2018</c:v>
                </c:pt>
              </c:numCache>
            </c:numRef>
          </c:cat>
          <c:val>
            <c:numRef>
              <c:f>'udział ex w przychodach_W1'!$H$6:$H$7</c:f>
              <c:numCache>
                <c:formatCode>0.0</c:formatCode>
                <c:ptCount val="2"/>
                <c:pt idx="0">
                  <c:v>21.3</c:v>
                </c:pt>
                <c:pt idx="1">
                  <c:v>26.5</c:v>
                </c:pt>
              </c:numCache>
            </c:numRef>
          </c:val>
          <c:extLst>
            <c:ext xmlns:c16="http://schemas.microsoft.com/office/drawing/2014/chart" uri="{C3380CC4-5D6E-409C-BE32-E72D297353CC}">
              <c16:uniqueId val="{00000003-F03B-4225-B474-7EF164940369}"/>
            </c:ext>
          </c:extLst>
        </c:ser>
        <c:dLbls>
          <c:dLblPos val="ctr"/>
          <c:showLegendKey val="0"/>
          <c:showVal val="1"/>
          <c:showCatName val="0"/>
          <c:showSerName val="0"/>
          <c:showPercent val="0"/>
          <c:showBubbleSize val="0"/>
        </c:dLbls>
        <c:gapWidth val="150"/>
        <c:overlap val="100"/>
        <c:axId val="271182080"/>
        <c:axId val="310030336"/>
      </c:barChart>
      <c:catAx>
        <c:axId val="271182080"/>
        <c:scaling>
          <c:orientation val="minMax"/>
        </c:scaling>
        <c:delete val="0"/>
        <c:axPos val="b"/>
        <c:numFmt formatCode="General" sourceLinked="1"/>
        <c:majorTickMark val="out"/>
        <c:minorTickMark val="none"/>
        <c:tickLblPos val="nextTo"/>
        <c:txPr>
          <a:bodyPr/>
          <a:lstStyle/>
          <a:p>
            <a:pPr>
              <a:defRPr>
                <a:latin typeface="Arial Narrow" panose="020B0606020202030204" pitchFamily="34" charset="0"/>
              </a:defRPr>
            </a:pPr>
            <a:endParaRPr lang="pl-PL"/>
          </a:p>
        </c:txPr>
        <c:crossAx val="310030336"/>
        <c:crosses val="autoZero"/>
        <c:auto val="1"/>
        <c:lblAlgn val="ctr"/>
        <c:lblOffset val="100"/>
        <c:noMultiLvlLbl val="0"/>
      </c:catAx>
      <c:valAx>
        <c:axId val="310030336"/>
        <c:scaling>
          <c:orientation val="minMax"/>
        </c:scaling>
        <c:delete val="0"/>
        <c:axPos val="l"/>
        <c:majorGridlines/>
        <c:numFmt formatCode="0" sourceLinked="0"/>
        <c:majorTickMark val="out"/>
        <c:minorTickMark val="none"/>
        <c:tickLblPos val="nextTo"/>
        <c:txPr>
          <a:bodyPr/>
          <a:lstStyle/>
          <a:p>
            <a:pPr>
              <a:defRPr>
                <a:latin typeface="Arial Narrow" panose="020B0606020202030204" pitchFamily="34" charset="0"/>
              </a:defRPr>
            </a:pPr>
            <a:endParaRPr lang="pl-PL"/>
          </a:p>
        </c:txPr>
        <c:crossAx val="271182080"/>
        <c:crosses val="autoZero"/>
        <c:crossBetween val="between"/>
      </c:valAx>
    </c:plotArea>
    <c:legend>
      <c:legendPos val="r"/>
      <c:overlay val="0"/>
      <c:txPr>
        <a:bodyPr/>
        <a:lstStyle/>
        <a:p>
          <a:pPr>
            <a:defRPr>
              <a:latin typeface="Arial Narrow" panose="020B0606020202030204" pitchFamily="34" charset="0"/>
            </a:defRPr>
          </a:pPr>
          <a:endParaRPr lang="pl-PL"/>
        </a:p>
      </c:txPr>
    </c:legend>
    <c:plotVisOnly val="1"/>
    <c:dispBlanksAs val="gap"/>
    <c:showDLblsOverMax val="0"/>
  </c:chart>
  <c:spPr>
    <a:ln>
      <a:noFill/>
    </a:ln>
  </c:sp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1"/>
          <c:order val="0"/>
          <c:tx>
            <c:strRef>
              <c:f>Arkusz1!$M$47</c:f>
              <c:strCache>
                <c:ptCount val="1"/>
                <c:pt idx="0">
                  <c:v>dobra pośrednie</c:v>
                </c:pt>
              </c:strCache>
            </c:strRef>
          </c:tx>
          <c:spPr>
            <a:solidFill>
              <a:srgbClr val="05295B"/>
            </a:solidFill>
          </c:spPr>
          <c:invertIfNegative val="0"/>
          <c:dLbls>
            <c:spPr>
              <a:noFill/>
              <a:ln>
                <a:noFill/>
              </a:ln>
              <a:effectLst/>
            </c:spPr>
            <c:txPr>
              <a:bodyPr wrap="square" lIns="38100" tIns="19050" rIns="38100" bIns="19050" anchor="ctr">
                <a:spAutoFit/>
              </a:bodyPr>
              <a:lstStyle/>
              <a:p>
                <a:pPr>
                  <a:defRPr>
                    <a:solidFill>
                      <a:schemeClr val="bg1"/>
                    </a:solidFill>
                    <a:latin typeface="Arial Narrow" panose="020B060602020203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(Arkusz1!$N$43,Arkusz1!$AA$43)</c:f>
              <c:numCache>
                <c:formatCode>0</c:formatCode>
                <c:ptCount val="2"/>
                <c:pt idx="0">
                  <c:v>2010</c:v>
                </c:pt>
                <c:pt idx="1">
                  <c:v>2019</c:v>
                </c:pt>
              </c:numCache>
            </c:numRef>
          </c:cat>
          <c:val>
            <c:numRef>
              <c:f>(Arkusz1!$N$47,Arkusz1!$AA$47)</c:f>
              <c:numCache>
                <c:formatCode>#,##0.0</c:formatCode>
                <c:ptCount val="2"/>
                <c:pt idx="0">
                  <c:v>49.7</c:v>
                </c:pt>
                <c:pt idx="1">
                  <c:v>47.4</c:v>
                </c:pt>
              </c:numCache>
            </c:numRef>
          </c:val>
          <c:extLst>
            <c:ext xmlns:c16="http://schemas.microsoft.com/office/drawing/2014/chart" uri="{C3380CC4-5D6E-409C-BE32-E72D297353CC}">
              <c16:uniqueId val="{00000000-069D-45B0-A1D3-942FAEE16484}"/>
            </c:ext>
          </c:extLst>
        </c:ser>
        <c:ser>
          <c:idx val="0"/>
          <c:order val="1"/>
          <c:tx>
            <c:strRef>
              <c:f>Arkusz1!$M$46</c:f>
              <c:strCache>
                <c:ptCount val="1"/>
                <c:pt idx="0">
                  <c:v>pozostałe</c:v>
                </c:pt>
              </c:strCache>
            </c:strRef>
          </c:tx>
          <c:spPr>
            <a:solidFill>
              <a:srgbClr val="767779"/>
            </a:solidFill>
          </c:spPr>
          <c:invertIfNegative val="0"/>
          <c:dLbls>
            <c:spPr>
              <a:noFill/>
              <a:ln>
                <a:noFill/>
              </a:ln>
              <a:effectLst/>
            </c:spPr>
            <c:txPr>
              <a:bodyPr wrap="square" lIns="38100" tIns="19050" rIns="38100" bIns="19050" anchor="ctr">
                <a:spAutoFit/>
              </a:bodyPr>
              <a:lstStyle/>
              <a:p>
                <a:pPr>
                  <a:defRPr>
                    <a:solidFill>
                      <a:schemeClr val="bg1"/>
                    </a:solidFill>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(Arkusz1!$N$43,Arkusz1!$AA$43)</c:f>
              <c:numCache>
                <c:formatCode>0</c:formatCode>
                <c:ptCount val="2"/>
                <c:pt idx="0">
                  <c:v>2010</c:v>
                </c:pt>
                <c:pt idx="1">
                  <c:v>2019</c:v>
                </c:pt>
              </c:numCache>
            </c:numRef>
          </c:cat>
          <c:val>
            <c:numRef>
              <c:f>(Arkusz1!$N$46,Arkusz1!$AA$46)</c:f>
              <c:numCache>
                <c:formatCode>#,##0.0</c:formatCode>
                <c:ptCount val="2"/>
                <c:pt idx="0">
                  <c:v>50.3</c:v>
                </c:pt>
                <c:pt idx="1">
                  <c:v>52.6</c:v>
                </c:pt>
              </c:numCache>
            </c:numRef>
          </c:val>
          <c:extLst>
            <c:ext xmlns:c16="http://schemas.microsoft.com/office/drawing/2014/chart" uri="{C3380CC4-5D6E-409C-BE32-E72D297353CC}">
              <c16:uniqueId val="{00000001-069D-45B0-A1D3-942FAEE16484}"/>
            </c:ext>
          </c:extLst>
        </c:ser>
        <c:dLbls>
          <c:showLegendKey val="0"/>
          <c:showVal val="0"/>
          <c:showCatName val="0"/>
          <c:showSerName val="0"/>
          <c:showPercent val="0"/>
          <c:showBubbleSize val="0"/>
        </c:dLbls>
        <c:gapWidth val="150"/>
        <c:overlap val="100"/>
        <c:axId val="267765632"/>
        <c:axId val="267767168"/>
      </c:barChart>
      <c:catAx>
        <c:axId val="267765632"/>
        <c:scaling>
          <c:orientation val="minMax"/>
        </c:scaling>
        <c:delete val="0"/>
        <c:axPos val="b"/>
        <c:numFmt formatCode="0" sourceLinked="1"/>
        <c:majorTickMark val="out"/>
        <c:minorTickMark val="none"/>
        <c:tickLblPos val="nextTo"/>
        <c:txPr>
          <a:bodyPr/>
          <a:lstStyle/>
          <a:p>
            <a:pPr>
              <a:defRPr>
                <a:latin typeface="Arial Narrow" panose="020B0606020202030204" pitchFamily="34" charset="0"/>
              </a:defRPr>
            </a:pPr>
            <a:endParaRPr lang="pl-PL"/>
          </a:p>
        </c:txPr>
        <c:crossAx val="267767168"/>
        <c:crosses val="autoZero"/>
        <c:auto val="1"/>
        <c:lblAlgn val="ctr"/>
        <c:lblOffset val="100"/>
        <c:noMultiLvlLbl val="0"/>
      </c:catAx>
      <c:valAx>
        <c:axId val="267767168"/>
        <c:scaling>
          <c:orientation val="minMax"/>
          <c:max val="100"/>
        </c:scaling>
        <c:delete val="0"/>
        <c:axPos val="l"/>
        <c:majorGridlines/>
        <c:numFmt formatCode="#,##0" sourceLinked="0"/>
        <c:majorTickMark val="out"/>
        <c:minorTickMark val="none"/>
        <c:tickLblPos val="nextTo"/>
        <c:txPr>
          <a:bodyPr/>
          <a:lstStyle/>
          <a:p>
            <a:pPr>
              <a:defRPr>
                <a:latin typeface="Arial Narrow" panose="020B0606020202030204" pitchFamily="34" charset="0"/>
              </a:defRPr>
            </a:pPr>
            <a:endParaRPr lang="pl-PL"/>
          </a:p>
        </c:txPr>
        <c:crossAx val="267765632"/>
        <c:crosses val="autoZero"/>
        <c:crossBetween val="between"/>
      </c:valAx>
      <c:spPr>
        <a:ln>
          <a:noFill/>
        </a:ln>
      </c:spPr>
    </c:plotArea>
    <c:legend>
      <c:legendPos val="b"/>
      <c:layout>
        <c:manualLayout>
          <c:xMode val="edge"/>
          <c:yMode val="edge"/>
          <c:x val="0.25258665583468731"/>
          <c:y val="0.93936662289259765"/>
          <c:w val="0.44079958755155613"/>
          <c:h val="3.6616161616161616E-2"/>
        </c:manualLayout>
      </c:layout>
      <c:overlay val="0"/>
      <c:txPr>
        <a:bodyPr/>
        <a:lstStyle/>
        <a:p>
          <a:pPr>
            <a:defRPr>
              <a:latin typeface="Arial Narrow" panose="020B0606020202030204" pitchFamily="34" charset="0"/>
            </a:defRPr>
          </a:pPr>
          <a:endParaRPr lang="pl-PL"/>
        </a:p>
      </c:txPr>
    </c:legend>
    <c:plotVisOnly val="1"/>
    <c:dispBlanksAs val="gap"/>
    <c:showDLblsOverMax val="0"/>
  </c:chart>
  <c:spPr>
    <a:ln>
      <a:noFill/>
    </a:ln>
  </c:sp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7651661466844952E-2"/>
          <c:y val="5.1400554097404488E-2"/>
          <c:w val="0.87179270044074675"/>
          <c:h val="0.69215101423580327"/>
        </c:manualLayout>
      </c:layout>
      <c:barChart>
        <c:barDir val="col"/>
        <c:grouping val="stacked"/>
        <c:varyColors val="0"/>
        <c:ser>
          <c:idx val="0"/>
          <c:order val="0"/>
          <c:tx>
            <c:strRef>
              <c:f>Arkusz1!$C$5</c:f>
              <c:strCache>
                <c:ptCount val="1"/>
                <c:pt idx="0">
                  <c:v>krajowa VA w eksporcie innych krajów</c:v>
                </c:pt>
              </c:strCache>
            </c:strRef>
          </c:tx>
          <c:spPr>
            <a:solidFill>
              <a:srgbClr val="406D97"/>
            </a:solidFill>
          </c:spPr>
          <c:invertIfNegative val="0"/>
          <c:dLbls>
            <c:spPr>
              <a:noFill/>
              <a:ln>
                <a:noFill/>
              </a:ln>
              <a:effectLst/>
            </c:spPr>
            <c:txPr>
              <a:bodyPr/>
              <a:lstStyle/>
              <a:p>
                <a:pPr>
                  <a:defRPr b="1"/>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Arkusz1!$D$4:$E$4</c:f>
              <c:numCache>
                <c:formatCode>General</c:formatCode>
                <c:ptCount val="2"/>
                <c:pt idx="0">
                  <c:v>2005</c:v>
                </c:pt>
                <c:pt idx="1">
                  <c:v>2015</c:v>
                </c:pt>
              </c:numCache>
            </c:numRef>
          </c:cat>
          <c:val>
            <c:numRef>
              <c:f>Arkusz1!$D$5:$E$5</c:f>
              <c:numCache>
                <c:formatCode>#,##0.0</c:formatCode>
                <c:ptCount val="2"/>
                <c:pt idx="0">
                  <c:v>20</c:v>
                </c:pt>
                <c:pt idx="1">
                  <c:v>21.5</c:v>
                </c:pt>
              </c:numCache>
            </c:numRef>
          </c:val>
          <c:extLst>
            <c:ext xmlns:c16="http://schemas.microsoft.com/office/drawing/2014/chart" uri="{C3380CC4-5D6E-409C-BE32-E72D297353CC}">
              <c16:uniqueId val="{00000000-4428-4117-829C-DC2875A3B350}"/>
            </c:ext>
          </c:extLst>
        </c:ser>
        <c:ser>
          <c:idx val="1"/>
          <c:order val="1"/>
          <c:tx>
            <c:strRef>
              <c:f>Arkusz1!$C$6</c:f>
              <c:strCache>
                <c:ptCount val="1"/>
                <c:pt idx="0">
                  <c:v>zagraniczna VA w krajowym eksporcie</c:v>
                </c:pt>
              </c:strCache>
            </c:strRef>
          </c:tx>
          <c:spPr>
            <a:solidFill>
              <a:schemeClr val="bg1">
                <a:lumMod val="65000"/>
              </a:schemeClr>
            </a:solidFill>
          </c:spPr>
          <c:invertIfNegative val="0"/>
          <c:dLbls>
            <c:spPr>
              <a:noFill/>
              <a:ln>
                <a:noFill/>
              </a:ln>
              <a:effectLst/>
            </c:spPr>
            <c:txPr>
              <a:bodyPr/>
              <a:lstStyle/>
              <a:p>
                <a:pPr>
                  <a:defRPr b="1"/>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Arkusz1!$D$4:$E$4</c:f>
              <c:numCache>
                <c:formatCode>General</c:formatCode>
                <c:ptCount val="2"/>
                <c:pt idx="0">
                  <c:v>2005</c:v>
                </c:pt>
                <c:pt idx="1">
                  <c:v>2015</c:v>
                </c:pt>
              </c:numCache>
            </c:numRef>
          </c:cat>
          <c:val>
            <c:numRef>
              <c:f>Arkusz1!$D$6:$E$6</c:f>
              <c:numCache>
                <c:formatCode>#,##0.0</c:formatCode>
                <c:ptCount val="2"/>
                <c:pt idx="0">
                  <c:v>24.7</c:v>
                </c:pt>
                <c:pt idx="1">
                  <c:v>26.6</c:v>
                </c:pt>
              </c:numCache>
            </c:numRef>
          </c:val>
          <c:extLst>
            <c:ext xmlns:c16="http://schemas.microsoft.com/office/drawing/2014/chart" uri="{C3380CC4-5D6E-409C-BE32-E72D297353CC}">
              <c16:uniqueId val="{00000001-4428-4117-829C-DC2875A3B350}"/>
            </c:ext>
          </c:extLst>
        </c:ser>
        <c:dLbls>
          <c:dLblPos val="ctr"/>
          <c:showLegendKey val="0"/>
          <c:showVal val="1"/>
          <c:showCatName val="0"/>
          <c:showSerName val="0"/>
          <c:showPercent val="0"/>
          <c:showBubbleSize val="0"/>
        </c:dLbls>
        <c:gapWidth val="150"/>
        <c:overlap val="100"/>
        <c:axId val="309999488"/>
        <c:axId val="310001024"/>
      </c:barChart>
      <c:catAx>
        <c:axId val="309999488"/>
        <c:scaling>
          <c:orientation val="minMax"/>
        </c:scaling>
        <c:delete val="0"/>
        <c:axPos val="b"/>
        <c:numFmt formatCode="General" sourceLinked="1"/>
        <c:majorTickMark val="out"/>
        <c:minorTickMark val="none"/>
        <c:tickLblPos val="nextTo"/>
        <c:crossAx val="310001024"/>
        <c:crosses val="autoZero"/>
        <c:auto val="1"/>
        <c:lblAlgn val="ctr"/>
        <c:lblOffset val="100"/>
        <c:noMultiLvlLbl val="0"/>
      </c:catAx>
      <c:valAx>
        <c:axId val="310001024"/>
        <c:scaling>
          <c:orientation val="minMax"/>
          <c:max val="50"/>
        </c:scaling>
        <c:delete val="0"/>
        <c:axPos val="l"/>
        <c:majorGridlines/>
        <c:numFmt formatCode="0" sourceLinked="0"/>
        <c:majorTickMark val="out"/>
        <c:minorTickMark val="none"/>
        <c:tickLblPos val="nextTo"/>
        <c:crossAx val="309999488"/>
        <c:crosses val="autoZero"/>
        <c:crossBetween val="between"/>
        <c:majorUnit val="10"/>
      </c:valAx>
    </c:plotArea>
    <c:legend>
      <c:legendPos val="b"/>
      <c:overlay val="0"/>
    </c:legend>
    <c:plotVisOnly val="1"/>
    <c:dispBlanksAs val="gap"/>
    <c:showDLblsOverMax val="0"/>
  </c:chart>
  <c:spPr>
    <a:ln>
      <a:noFill/>
    </a:ln>
  </c:spPr>
  <c:externalData r:id="rId1">
    <c:autoUpdate val="0"/>
  </c:externalData>
  <c:userShapes r:id="rId2"/>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933330837607264"/>
          <c:y val="0.15542784500930673"/>
          <c:w val="0.39513692038495191"/>
          <c:h val="0.65856153397491979"/>
        </c:manualLayout>
      </c:layout>
      <c:pieChart>
        <c:varyColors val="1"/>
        <c:ser>
          <c:idx val="0"/>
          <c:order val="0"/>
          <c:dPt>
            <c:idx val="0"/>
            <c:bubble3D val="0"/>
            <c:spPr>
              <a:solidFill>
                <a:srgbClr val="05295B"/>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A3E-46D4-ADE0-87B133A96B22}"/>
              </c:ext>
            </c:extLst>
          </c:dPt>
          <c:dPt>
            <c:idx val="1"/>
            <c:bubble3D val="0"/>
            <c:spPr>
              <a:solidFill>
                <a:srgbClr val="0A4798"/>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A3E-46D4-ADE0-87B133A96B22}"/>
              </c:ext>
            </c:extLst>
          </c:dPt>
          <c:dPt>
            <c:idx val="2"/>
            <c:bubble3D val="0"/>
            <c:spPr>
              <a:solidFill>
                <a:srgbClr val="68A5D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BA3E-46D4-ADE0-87B133A96B22}"/>
              </c:ext>
            </c:extLst>
          </c:dPt>
          <c:dPt>
            <c:idx val="3"/>
            <c:bubble3D val="0"/>
            <c:spPr>
              <a:solidFill>
                <a:srgbClr val="767779"/>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BA3E-46D4-ADE0-87B133A96B22}"/>
              </c:ext>
            </c:extLst>
          </c:dPt>
          <c:dPt>
            <c:idx val="4"/>
            <c:bubble3D val="0"/>
            <c:spPr>
              <a:solidFill>
                <a:schemeClr val="bg1">
                  <a:lumMod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BA3E-46D4-ADE0-87B133A96B22}"/>
              </c:ext>
            </c:extLst>
          </c:dPt>
          <c:dPt>
            <c:idx val="5"/>
            <c:bubble3D val="0"/>
            <c:spPr>
              <a:solidFill>
                <a:srgbClr val="C000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BA3E-46D4-ADE0-87B133A96B22}"/>
              </c:ext>
            </c:extLst>
          </c:dPt>
          <c:dLbls>
            <c:dLbl>
              <c:idx val="3"/>
              <c:layout>
                <c:manualLayout>
                  <c:x val="-5.3684939541035974E-2"/>
                  <c:y val="-8.563036164103647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A3E-46D4-ADE0-87B133A96B22}"/>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dane_20200720_131230!$C$8:$C$13</c:f>
              <c:strCache>
                <c:ptCount val="6"/>
                <c:pt idx="0">
                  <c:v>kotły, maszyny i urządzenia mechaniczne oraz ich części</c:v>
                </c:pt>
                <c:pt idx="1">
                  <c:v>pojazdy oraz ich części i akcesoria</c:v>
                </c:pt>
                <c:pt idx="2">
                  <c:v>maszyny i urządzenia elektryczne oraz ich części</c:v>
                </c:pt>
                <c:pt idx="3">
                  <c:v>meble, pościel, materace, lampy, reklamy świetlne, budynki prefabrykowane</c:v>
                </c:pt>
                <c:pt idx="4">
                  <c:v>tworzywa sztuczne i artykuły z nich</c:v>
                </c:pt>
                <c:pt idx="5">
                  <c:v>pozostałe</c:v>
                </c:pt>
              </c:strCache>
            </c:strRef>
          </c:cat>
          <c:val>
            <c:numRef>
              <c:f>dane_20200720_131230!$L$8:$L$13</c:f>
              <c:numCache>
                <c:formatCode>#,##0.0</c:formatCode>
                <c:ptCount val="6"/>
                <c:pt idx="0">
                  <c:v>13.8</c:v>
                </c:pt>
                <c:pt idx="1">
                  <c:v>11.3</c:v>
                </c:pt>
                <c:pt idx="2">
                  <c:v>11.2</c:v>
                </c:pt>
                <c:pt idx="3">
                  <c:v>5.7</c:v>
                </c:pt>
                <c:pt idx="4">
                  <c:v>4.9000000000000004</c:v>
                </c:pt>
                <c:pt idx="5">
                  <c:v>53.1</c:v>
                </c:pt>
              </c:numCache>
            </c:numRef>
          </c:val>
          <c:extLst>
            <c:ext xmlns:c16="http://schemas.microsoft.com/office/drawing/2014/chart" uri="{C3380CC4-5D6E-409C-BE32-E72D297353CC}">
              <c16:uniqueId val="{0000000C-BA3E-46D4-ADE0-87B133A96B2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1089411520928304E-2"/>
          <c:y val="5.1893862104446249E-2"/>
          <c:w val="0.91478778146152784"/>
          <c:h val="0.68134250660527895"/>
        </c:manualLayout>
      </c:layout>
      <c:barChart>
        <c:barDir val="col"/>
        <c:grouping val="clustered"/>
        <c:varyColors val="0"/>
        <c:ser>
          <c:idx val="0"/>
          <c:order val="0"/>
          <c:tx>
            <c:strRef>
              <c:f>Data!$B$9</c:f>
              <c:strCache>
                <c:ptCount val="1"/>
                <c:pt idx="0">
                  <c:v>2008</c:v>
                </c:pt>
              </c:strCache>
            </c:strRef>
          </c:tx>
          <c:spPr>
            <a:solidFill>
              <a:srgbClr val="406D97"/>
            </a:solidFill>
          </c:spPr>
          <c:invertIfNegative val="0"/>
          <c:dPt>
            <c:idx val="18"/>
            <c:invertIfNegative val="0"/>
            <c:bubble3D val="0"/>
            <c:spPr>
              <a:solidFill>
                <a:srgbClr val="406D97"/>
              </a:solidFill>
              <a:ln>
                <a:noFill/>
              </a:ln>
            </c:spPr>
            <c:extLst>
              <c:ext xmlns:c16="http://schemas.microsoft.com/office/drawing/2014/chart" uri="{C3380CC4-5D6E-409C-BE32-E72D297353CC}">
                <c16:uniqueId val="{00000001-888D-4FF9-99F6-EF522ED31199}"/>
              </c:ext>
            </c:extLst>
          </c:dPt>
          <c:cat>
            <c:strRef>
              <c:f>Data!$A$10:$A$37</c:f>
              <c:strCache>
                <c:ptCount val="28"/>
                <c:pt idx="0">
                  <c:v>Irlandia</c:v>
                </c:pt>
                <c:pt idx="1">
                  <c:v>Malta</c:v>
                </c:pt>
                <c:pt idx="2">
                  <c:v>Niderlandy</c:v>
                </c:pt>
                <c:pt idx="3">
                  <c:v>Francja</c:v>
                </c:pt>
                <c:pt idx="4">
                  <c:v>Czechy</c:v>
                </c:pt>
                <c:pt idx="5">
                  <c:v>Wlk. Brytania</c:v>
                </c:pt>
                <c:pt idx="6">
                  <c:v>Węgry</c:v>
                </c:pt>
                <c:pt idx="7">
                  <c:v>Niemcy</c:v>
                </c:pt>
                <c:pt idx="8">
                  <c:v>Austria</c:v>
                </c:pt>
                <c:pt idx="9">
                  <c:v>Estonia</c:v>
                </c:pt>
                <c:pt idx="10">
                  <c:v>Szwecja</c:v>
                </c:pt>
                <c:pt idx="11">
                  <c:v>Łotwa</c:v>
                </c:pt>
                <c:pt idx="12">
                  <c:v>Belgia</c:v>
                </c:pt>
                <c:pt idx="13">
                  <c:v>Słowacja</c:v>
                </c:pt>
                <c:pt idx="14">
                  <c:v>Cypr</c:v>
                </c:pt>
                <c:pt idx="15">
                  <c:v>Dania</c:v>
                </c:pt>
                <c:pt idx="16">
                  <c:v>Polska</c:v>
                </c:pt>
                <c:pt idx="17">
                  <c:v>Rumunia</c:v>
                </c:pt>
                <c:pt idx="18">
                  <c:v>Chorwacja</c:v>
                </c:pt>
                <c:pt idx="19">
                  <c:v>Litwa</c:v>
                </c:pt>
                <c:pt idx="20">
                  <c:v>Włochy</c:v>
                </c:pt>
                <c:pt idx="21">
                  <c:v>Luksemburg</c:v>
                </c:pt>
                <c:pt idx="22">
                  <c:v>Finlandia</c:v>
                </c:pt>
                <c:pt idx="23">
                  <c:v>Bułgaria</c:v>
                </c:pt>
                <c:pt idx="24">
                  <c:v>Słowenia</c:v>
                </c:pt>
                <c:pt idx="25">
                  <c:v>Hiszpania</c:v>
                </c:pt>
                <c:pt idx="26">
                  <c:v>Grecja</c:v>
                </c:pt>
                <c:pt idx="27">
                  <c:v>Portugalia</c:v>
                </c:pt>
              </c:strCache>
            </c:strRef>
          </c:cat>
          <c:val>
            <c:numRef>
              <c:f>Data!$B$10:$B$37</c:f>
              <c:numCache>
                <c:formatCode>#,##0.0</c:formatCode>
                <c:ptCount val="28"/>
                <c:pt idx="0">
                  <c:v>24.3</c:v>
                </c:pt>
                <c:pt idx="1">
                  <c:v>38.299999999999997</c:v>
                </c:pt>
                <c:pt idx="2">
                  <c:v>16.2</c:v>
                </c:pt>
                <c:pt idx="3">
                  <c:v>17.600000000000001</c:v>
                </c:pt>
                <c:pt idx="4">
                  <c:v>14.1</c:v>
                </c:pt>
                <c:pt idx="5">
                  <c:v>15.4</c:v>
                </c:pt>
                <c:pt idx="6">
                  <c:v>20.2</c:v>
                </c:pt>
                <c:pt idx="7">
                  <c:v>12.4</c:v>
                </c:pt>
                <c:pt idx="8">
                  <c:v>10.8</c:v>
                </c:pt>
                <c:pt idx="9">
                  <c:v>7.5</c:v>
                </c:pt>
                <c:pt idx="10">
                  <c:v>13.2</c:v>
                </c:pt>
                <c:pt idx="11">
                  <c:v>4.5999999999999996</c:v>
                </c:pt>
                <c:pt idx="12">
                  <c:v>6.8</c:v>
                </c:pt>
                <c:pt idx="13">
                  <c:v>5.2</c:v>
                </c:pt>
                <c:pt idx="14">
                  <c:v>19.100000000000001</c:v>
                </c:pt>
                <c:pt idx="15">
                  <c:v>10.7</c:v>
                </c:pt>
                <c:pt idx="16">
                  <c:v>4.3</c:v>
                </c:pt>
                <c:pt idx="17">
                  <c:v>5.4</c:v>
                </c:pt>
                <c:pt idx="18">
                  <c:v>6.7</c:v>
                </c:pt>
                <c:pt idx="19">
                  <c:v>6.5</c:v>
                </c:pt>
                <c:pt idx="20">
                  <c:v>5.9</c:v>
                </c:pt>
                <c:pt idx="21">
                  <c:v>35.6</c:v>
                </c:pt>
                <c:pt idx="22">
                  <c:v>17.3</c:v>
                </c:pt>
                <c:pt idx="23" formatCode="General">
                  <c:v>4.5999999999999996</c:v>
                </c:pt>
                <c:pt idx="24">
                  <c:v>5.2</c:v>
                </c:pt>
                <c:pt idx="25">
                  <c:v>4.2</c:v>
                </c:pt>
                <c:pt idx="26">
                  <c:v>5</c:v>
                </c:pt>
                <c:pt idx="27">
                  <c:v>6.3</c:v>
                </c:pt>
              </c:numCache>
            </c:numRef>
          </c:val>
          <c:extLst>
            <c:ext xmlns:c16="http://schemas.microsoft.com/office/drawing/2014/chart" uri="{C3380CC4-5D6E-409C-BE32-E72D297353CC}">
              <c16:uniqueId val="{00000002-888D-4FF9-99F6-EF522ED31199}"/>
            </c:ext>
          </c:extLst>
        </c:ser>
        <c:ser>
          <c:idx val="1"/>
          <c:order val="1"/>
          <c:tx>
            <c:strRef>
              <c:f>Data!$C$9</c:f>
              <c:strCache>
                <c:ptCount val="1"/>
                <c:pt idx="0">
                  <c:v>2018</c:v>
                </c:pt>
              </c:strCache>
            </c:strRef>
          </c:tx>
          <c:spPr>
            <a:solidFill>
              <a:srgbClr val="B1293C"/>
            </a:solidFill>
            <a:ln>
              <a:noFill/>
            </a:ln>
          </c:spPr>
          <c:invertIfNegative val="0"/>
          <c:dPt>
            <c:idx val="18"/>
            <c:invertIfNegative val="0"/>
            <c:bubble3D val="0"/>
            <c:extLst>
              <c:ext xmlns:c16="http://schemas.microsoft.com/office/drawing/2014/chart" uri="{C3380CC4-5D6E-409C-BE32-E72D297353CC}">
                <c16:uniqueId val="{00000003-888D-4FF9-99F6-EF522ED31199}"/>
              </c:ext>
            </c:extLst>
          </c:dPt>
          <c:cat>
            <c:strRef>
              <c:f>Data!$A$10:$A$37</c:f>
              <c:strCache>
                <c:ptCount val="28"/>
                <c:pt idx="0">
                  <c:v>Irlandia</c:v>
                </c:pt>
                <c:pt idx="1">
                  <c:v>Malta</c:v>
                </c:pt>
                <c:pt idx="2">
                  <c:v>Niderlandy</c:v>
                </c:pt>
                <c:pt idx="3">
                  <c:v>Francja</c:v>
                </c:pt>
                <c:pt idx="4">
                  <c:v>Czechy</c:v>
                </c:pt>
                <c:pt idx="5">
                  <c:v>Wlk. Brytania</c:v>
                </c:pt>
                <c:pt idx="6">
                  <c:v>Węgry</c:v>
                </c:pt>
                <c:pt idx="7">
                  <c:v>Niemcy</c:v>
                </c:pt>
                <c:pt idx="8">
                  <c:v>Austria</c:v>
                </c:pt>
                <c:pt idx="9">
                  <c:v>Estonia</c:v>
                </c:pt>
                <c:pt idx="10">
                  <c:v>Szwecja</c:v>
                </c:pt>
                <c:pt idx="11">
                  <c:v>Łotwa</c:v>
                </c:pt>
                <c:pt idx="12">
                  <c:v>Belgia</c:v>
                </c:pt>
                <c:pt idx="13">
                  <c:v>Słowacja</c:v>
                </c:pt>
                <c:pt idx="14">
                  <c:v>Cypr</c:v>
                </c:pt>
                <c:pt idx="15">
                  <c:v>Dania</c:v>
                </c:pt>
                <c:pt idx="16">
                  <c:v>Polska</c:v>
                </c:pt>
                <c:pt idx="17">
                  <c:v>Rumunia</c:v>
                </c:pt>
                <c:pt idx="18">
                  <c:v>Chorwacja</c:v>
                </c:pt>
                <c:pt idx="19">
                  <c:v>Litwa</c:v>
                </c:pt>
                <c:pt idx="20">
                  <c:v>Włochy</c:v>
                </c:pt>
                <c:pt idx="21">
                  <c:v>Luksemburg</c:v>
                </c:pt>
                <c:pt idx="22">
                  <c:v>Finlandia</c:v>
                </c:pt>
                <c:pt idx="23">
                  <c:v>Bułgaria</c:v>
                </c:pt>
                <c:pt idx="24">
                  <c:v>Słowenia</c:v>
                </c:pt>
                <c:pt idx="25">
                  <c:v>Hiszpania</c:v>
                </c:pt>
                <c:pt idx="26">
                  <c:v>Grecja</c:v>
                </c:pt>
                <c:pt idx="27">
                  <c:v>Portugalia</c:v>
                </c:pt>
              </c:strCache>
            </c:strRef>
          </c:cat>
          <c:val>
            <c:numRef>
              <c:f>Data!$C$10:$C$37</c:f>
              <c:numCache>
                <c:formatCode>#,##0.0</c:formatCode>
                <c:ptCount val="28"/>
                <c:pt idx="0">
                  <c:v>34.700000000000003</c:v>
                </c:pt>
                <c:pt idx="1">
                  <c:v>25.6</c:v>
                </c:pt>
                <c:pt idx="2">
                  <c:v>21.3</c:v>
                </c:pt>
                <c:pt idx="3">
                  <c:v>20.5</c:v>
                </c:pt>
                <c:pt idx="4">
                  <c:v>17.8</c:v>
                </c:pt>
                <c:pt idx="5">
                  <c:v>16.7</c:v>
                </c:pt>
                <c:pt idx="6">
                  <c:v>15.6</c:v>
                </c:pt>
                <c:pt idx="7">
                  <c:v>15.1</c:v>
                </c:pt>
                <c:pt idx="8">
                  <c:v>13.8</c:v>
                </c:pt>
                <c:pt idx="9">
                  <c:v>11.5</c:v>
                </c:pt>
                <c:pt idx="10">
                  <c:v>11.3</c:v>
                </c:pt>
                <c:pt idx="11">
                  <c:v>11.2</c:v>
                </c:pt>
                <c:pt idx="12">
                  <c:v>10.3</c:v>
                </c:pt>
                <c:pt idx="13">
                  <c:v>9.6</c:v>
                </c:pt>
                <c:pt idx="14">
                  <c:v>9.5</c:v>
                </c:pt>
                <c:pt idx="15">
                  <c:v>9.4</c:v>
                </c:pt>
                <c:pt idx="16">
                  <c:v>8.4</c:v>
                </c:pt>
                <c:pt idx="17">
                  <c:v>8.4</c:v>
                </c:pt>
                <c:pt idx="18">
                  <c:v>8.1</c:v>
                </c:pt>
                <c:pt idx="19">
                  <c:v>7.9</c:v>
                </c:pt>
                <c:pt idx="20">
                  <c:v>7.8</c:v>
                </c:pt>
                <c:pt idx="21">
                  <c:v>7.2</c:v>
                </c:pt>
                <c:pt idx="22">
                  <c:v>6.1</c:v>
                </c:pt>
                <c:pt idx="23">
                  <c:v>5.9</c:v>
                </c:pt>
                <c:pt idx="24">
                  <c:v>5.8</c:v>
                </c:pt>
                <c:pt idx="25">
                  <c:v>5.5</c:v>
                </c:pt>
                <c:pt idx="26">
                  <c:v>4.5</c:v>
                </c:pt>
                <c:pt idx="27">
                  <c:v>4</c:v>
                </c:pt>
              </c:numCache>
            </c:numRef>
          </c:val>
          <c:extLst>
            <c:ext xmlns:c16="http://schemas.microsoft.com/office/drawing/2014/chart" uri="{C3380CC4-5D6E-409C-BE32-E72D297353CC}">
              <c16:uniqueId val="{00000004-888D-4FF9-99F6-EF522ED31199}"/>
            </c:ext>
          </c:extLst>
        </c:ser>
        <c:dLbls>
          <c:showLegendKey val="0"/>
          <c:showVal val="0"/>
          <c:showCatName val="0"/>
          <c:showSerName val="0"/>
          <c:showPercent val="0"/>
          <c:showBubbleSize val="0"/>
        </c:dLbls>
        <c:gapWidth val="150"/>
        <c:axId val="312598528"/>
        <c:axId val="312600064"/>
      </c:barChart>
      <c:catAx>
        <c:axId val="312598528"/>
        <c:scaling>
          <c:orientation val="minMax"/>
        </c:scaling>
        <c:delete val="0"/>
        <c:axPos val="b"/>
        <c:numFmt formatCode="General" sourceLinked="1"/>
        <c:majorTickMark val="out"/>
        <c:minorTickMark val="none"/>
        <c:tickLblPos val="nextTo"/>
        <c:txPr>
          <a:bodyPr/>
          <a:lstStyle/>
          <a:p>
            <a:pPr>
              <a:defRPr sz="865"/>
            </a:pPr>
            <a:endParaRPr lang="pl-PL"/>
          </a:p>
        </c:txPr>
        <c:crossAx val="312600064"/>
        <c:crosses val="autoZero"/>
        <c:auto val="1"/>
        <c:lblAlgn val="ctr"/>
        <c:lblOffset val="100"/>
        <c:noMultiLvlLbl val="0"/>
      </c:catAx>
      <c:valAx>
        <c:axId val="312600064"/>
        <c:scaling>
          <c:orientation val="minMax"/>
        </c:scaling>
        <c:delete val="0"/>
        <c:axPos val="l"/>
        <c:majorGridlines/>
        <c:numFmt formatCode="#,##0" sourceLinked="0"/>
        <c:majorTickMark val="out"/>
        <c:minorTickMark val="none"/>
        <c:tickLblPos val="nextTo"/>
        <c:txPr>
          <a:bodyPr/>
          <a:lstStyle/>
          <a:p>
            <a:pPr>
              <a:defRPr sz="865"/>
            </a:pPr>
            <a:endParaRPr lang="pl-PL"/>
          </a:p>
        </c:txPr>
        <c:crossAx val="312598528"/>
        <c:crosses val="autoZero"/>
        <c:crossBetween val="between"/>
      </c:valAx>
    </c:plotArea>
    <c:legend>
      <c:legendPos val="b"/>
      <c:layout>
        <c:manualLayout>
          <c:xMode val="edge"/>
          <c:yMode val="edge"/>
          <c:x val="0.72912855986459635"/>
          <c:y val="4.8928185181671566E-2"/>
          <c:w val="0.16454995462015842"/>
          <c:h val="6.8495968124466372E-2"/>
        </c:manualLayout>
      </c:layout>
      <c:overlay val="0"/>
    </c:legend>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marker>
            <c:symbol val="none"/>
          </c:marker>
          <c:dLbls>
            <c:dLbl>
              <c:idx val="0"/>
              <c:layout>
                <c:manualLayout>
                  <c:x val="-3.7703378337347937E-2"/>
                  <c:y val="-6.8945705257110079E-2"/>
                </c:manualLayout>
              </c:layout>
              <c:tx>
                <c:rich>
                  <a:bodyPr/>
                  <a:lstStyle/>
                  <a:p>
                    <a:r>
                      <a:rPr lang="en-US" baseline="0"/>
                      <a:t>1950: </a:t>
                    </a:r>
                    <a:br>
                      <a:rPr lang="en-US" baseline="0"/>
                    </a:br>
                    <a:r>
                      <a:rPr lang="en-US" baseline="0"/>
                      <a:t>20,61%</a:t>
                    </a:r>
                  </a:p>
                </c:rich>
              </c:tx>
              <c:showLegendKey val="0"/>
              <c:showVal val="1"/>
              <c:showCatName val="1"/>
              <c:showSerName val="0"/>
              <c:showPercent val="0"/>
              <c:showBubbleSize val="0"/>
              <c:extLst>
                <c:ext xmlns:c15="http://schemas.microsoft.com/office/drawing/2012/chart" uri="{CE6537A1-D6FC-4f65-9D91-7224C49458BB}">
                  <c15:layout>
                    <c:manualLayout>
                      <c:w val="0.11347057196256637"/>
                      <c:h val="0.18250525349082872"/>
                    </c:manualLayout>
                  </c15:layout>
                  <c15:showDataLabelsRange val="0"/>
                </c:ext>
                <c:ext xmlns:c16="http://schemas.microsoft.com/office/drawing/2014/chart" uri="{C3380CC4-5D6E-409C-BE32-E72D297353CC}">
                  <c16:uniqueId val="{00000000-B387-41DE-BA96-24EE20573114}"/>
                </c:ext>
              </c:extLst>
            </c:dLbl>
            <c:dLbl>
              <c:idx val="19"/>
              <c:layout>
                <c:manualLayout>
                  <c:x val="-5.4200530439679401E-2"/>
                  <c:y val="5.8910152894266633E-2"/>
                </c:manualLayout>
              </c:layout>
              <c:tx>
                <c:rich>
                  <a:bodyPr/>
                  <a:lstStyle/>
                  <a:p>
                    <a:r>
                      <a:rPr lang="en-US" sz="800"/>
                      <a:t>1969:</a:t>
                    </a:r>
                  </a:p>
                  <a:p>
                    <a:r>
                      <a:rPr lang="en-US" sz="800"/>
                      <a:t>22,50%</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387-41DE-BA96-24EE20573114}"/>
                </c:ext>
              </c:extLst>
            </c:dLbl>
            <c:dLbl>
              <c:idx val="25"/>
              <c:layout>
                <c:manualLayout>
                  <c:x val="-6.221196632482634E-2"/>
                  <c:y val="-5.9472041334208275E-2"/>
                </c:manualLayout>
              </c:layout>
              <c:tx>
                <c:rich>
                  <a:bodyPr/>
                  <a:lstStyle/>
                  <a:p>
                    <a:r>
                      <a:rPr lang="en-US" sz="800"/>
                      <a:t>1975:</a:t>
                    </a:r>
                  </a:p>
                  <a:p>
                    <a:r>
                      <a:rPr lang="en-US" sz="800"/>
                      <a:t>29,61%</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B387-41DE-BA96-24EE20573114}"/>
                </c:ext>
              </c:extLst>
            </c:dLbl>
            <c:dLbl>
              <c:idx val="31"/>
              <c:layout>
                <c:manualLayout>
                  <c:x val="-5.71668358477187E-2"/>
                  <c:y val="6.7326728386777154E-2"/>
                </c:manualLayout>
              </c:layout>
              <c:tx>
                <c:rich>
                  <a:bodyPr/>
                  <a:lstStyle/>
                  <a:p>
                    <a:r>
                      <a:rPr lang="en-US" sz="800"/>
                      <a:t>1981:</a:t>
                    </a:r>
                  </a:p>
                  <a:p>
                    <a:r>
                      <a:rPr lang="en-US" sz="800"/>
                      <a:t>20,29%</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387-41DE-BA96-24EE20573114}"/>
                </c:ext>
              </c:extLst>
            </c:dLbl>
            <c:dLbl>
              <c:idx val="40"/>
              <c:layout>
                <c:manualLayout>
                  <c:x val="-6.8551707386191249E-2"/>
                  <c:y val="7.469118069520253E-2"/>
                </c:manualLayout>
              </c:layout>
              <c:tx>
                <c:rich>
                  <a:bodyPr/>
                  <a:lstStyle/>
                  <a:p>
                    <a:r>
                      <a:rPr lang="en-US" baseline="0"/>
                      <a:t>1990: </a:t>
                    </a:r>
                    <a:br>
                      <a:rPr lang="en-US" baseline="0"/>
                    </a:br>
                    <a:r>
                      <a:rPr lang="en-US" baseline="0"/>
                      <a:t>20,22%</a:t>
                    </a:r>
                  </a:p>
                </c:rich>
              </c:tx>
              <c:showLegendKey val="0"/>
              <c:showVal val="1"/>
              <c:showCatName val="1"/>
              <c:showSerName val="0"/>
              <c:showPercent val="0"/>
              <c:showBubbleSize val="0"/>
              <c:extLst>
                <c:ext xmlns:c15="http://schemas.microsoft.com/office/drawing/2012/chart" uri="{CE6537A1-D6FC-4f65-9D91-7224C49458BB}">
                  <c15:layout>
                    <c:manualLayout>
                      <c:w val="0.12375334831218075"/>
                      <c:h val="0.13079597454799621"/>
                    </c:manualLayout>
                  </c15:layout>
                  <c15:showDataLabelsRange val="0"/>
                </c:ext>
                <c:ext xmlns:c16="http://schemas.microsoft.com/office/drawing/2014/chart" uri="{C3380CC4-5D6E-409C-BE32-E72D297353CC}">
                  <c16:uniqueId val="{00000004-B387-41DE-BA96-24EE20573114}"/>
                </c:ext>
              </c:extLst>
            </c:dLbl>
            <c:dLbl>
              <c:idx val="66"/>
              <c:layout>
                <c:manualLayout>
                  <c:x val="-2.3351039551236679E-3"/>
                  <c:y val="-7.5275115052610947E-2"/>
                </c:manualLayout>
              </c:layout>
              <c:tx>
                <c:rich>
                  <a:bodyPr/>
                  <a:lstStyle/>
                  <a:p>
                    <a:r>
                      <a:rPr lang="en-US" sz="800"/>
                      <a:t>2016:</a:t>
                    </a:r>
                  </a:p>
                  <a:p>
                    <a:r>
                      <a:rPr lang="en-US" sz="800"/>
                      <a:t>49,05%</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B387-41DE-BA96-24EE20573114}"/>
                </c:ext>
              </c:extLst>
            </c:dLbl>
            <c:spPr>
              <a:noFill/>
              <a:ln>
                <a:noFill/>
              </a:ln>
              <a:effectLst/>
            </c:spPr>
            <c:txPr>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PL_USA!$E$5:$E$71</c:f>
              <c:numCache>
                <c:formatCode>General</c:formatCode>
                <c:ptCount val="67"/>
                <c:pt idx="0">
                  <c:v>1950</c:v>
                </c:pt>
                <c:pt idx="1">
                  <c:v>1951</c:v>
                </c:pt>
                <c:pt idx="2">
                  <c:v>1952</c:v>
                </c:pt>
                <c:pt idx="3">
                  <c:v>1953</c:v>
                </c:pt>
                <c:pt idx="4">
                  <c:v>1954</c:v>
                </c:pt>
                <c:pt idx="5">
                  <c:v>1955</c:v>
                </c:pt>
                <c:pt idx="6">
                  <c:v>1956</c:v>
                </c:pt>
                <c:pt idx="7">
                  <c:v>1957</c:v>
                </c:pt>
                <c:pt idx="8">
                  <c:v>1958</c:v>
                </c:pt>
                <c:pt idx="9">
                  <c:v>1959</c:v>
                </c:pt>
                <c:pt idx="10">
                  <c:v>1960</c:v>
                </c:pt>
                <c:pt idx="11">
                  <c:v>1961</c:v>
                </c:pt>
                <c:pt idx="12">
                  <c:v>1962</c:v>
                </c:pt>
                <c:pt idx="13">
                  <c:v>1963</c:v>
                </c:pt>
                <c:pt idx="14">
                  <c:v>1964</c:v>
                </c:pt>
                <c:pt idx="15">
                  <c:v>1965</c:v>
                </c:pt>
                <c:pt idx="16">
                  <c:v>1966</c:v>
                </c:pt>
                <c:pt idx="17">
                  <c:v>1967</c:v>
                </c:pt>
                <c:pt idx="18">
                  <c:v>1968</c:v>
                </c:pt>
                <c:pt idx="19">
                  <c:v>1969</c:v>
                </c:pt>
                <c:pt idx="20">
                  <c:v>1970</c:v>
                </c:pt>
                <c:pt idx="21">
                  <c:v>1971</c:v>
                </c:pt>
                <c:pt idx="22">
                  <c:v>1972</c:v>
                </c:pt>
                <c:pt idx="23">
                  <c:v>1973</c:v>
                </c:pt>
                <c:pt idx="24">
                  <c:v>1974</c:v>
                </c:pt>
                <c:pt idx="25">
                  <c:v>1975</c:v>
                </c:pt>
                <c:pt idx="26">
                  <c:v>1976</c:v>
                </c:pt>
                <c:pt idx="27">
                  <c:v>1977</c:v>
                </c:pt>
                <c:pt idx="28">
                  <c:v>1978</c:v>
                </c:pt>
                <c:pt idx="29">
                  <c:v>1979</c:v>
                </c:pt>
                <c:pt idx="30">
                  <c:v>1980</c:v>
                </c:pt>
                <c:pt idx="31">
                  <c:v>1981</c:v>
                </c:pt>
                <c:pt idx="32">
                  <c:v>1982</c:v>
                </c:pt>
                <c:pt idx="33">
                  <c:v>1983</c:v>
                </c:pt>
                <c:pt idx="34">
                  <c:v>1984</c:v>
                </c:pt>
                <c:pt idx="35">
                  <c:v>1985</c:v>
                </c:pt>
                <c:pt idx="36">
                  <c:v>1986</c:v>
                </c:pt>
                <c:pt idx="37">
                  <c:v>1987</c:v>
                </c:pt>
                <c:pt idx="38">
                  <c:v>1988</c:v>
                </c:pt>
                <c:pt idx="39">
                  <c:v>1989</c:v>
                </c:pt>
                <c:pt idx="40">
                  <c:v>1990</c:v>
                </c:pt>
                <c:pt idx="41">
                  <c:v>1991</c:v>
                </c:pt>
                <c:pt idx="42">
                  <c:v>1992</c:v>
                </c:pt>
                <c:pt idx="43">
                  <c:v>1993</c:v>
                </c:pt>
                <c:pt idx="44">
                  <c:v>1994</c:v>
                </c:pt>
                <c:pt idx="45">
                  <c:v>1995</c:v>
                </c:pt>
                <c:pt idx="46">
                  <c:v>1996</c:v>
                </c:pt>
                <c:pt idx="47">
                  <c:v>1997</c:v>
                </c:pt>
                <c:pt idx="48">
                  <c:v>1998</c:v>
                </c:pt>
                <c:pt idx="49">
                  <c:v>1999</c:v>
                </c:pt>
                <c:pt idx="50">
                  <c:v>2000</c:v>
                </c:pt>
                <c:pt idx="51">
                  <c:v>2001</c:v>
                </c:pt>
                <c:pt idx="52">
                  <c:v>2002</c:v>
                </c:pt>
                <c:pt idx="53">
                  <c:v>2003</c:v>
                </c:pt>
                <c:pt idx="54">
                  <c:v>2004</c:v>
                </c:pt>
                <c:pt idx="55">
                  <c:v>2005</c:v>
                </c:pt>
                <c:pt idx="56">
                  <c:v>2006</c:v>
                </c:pt>
                <c:pt idx="57">
                  <c:v>2007</c:v>
                </c:pt>
                <c:pt idx="58">
                  <c:v>2008</c:v>
                </c:pt>
                <c:pt idx="59">
                  <c:v>2009</c:v>
                </c:pt>
                <c:pt idx="60">
                  <c:v>2010</c:v>
                </c:pt>
                <c:pt idx="61">
                  <c:v>2011</c:v>
                </c:pt>
                <c:pt idx="62">
                  <c:v>2012</c:v>
                </c:pt>
                <c:pt idx="63">
                  <c:v>2013</c:v>
                </c:pt>
                <c:pt idx="64">
                  <c:v>2014</c:v>
                </c:pt>
                <c:pt idx="65">
                  <c:v>2015</c:v>
                </c:pt>
                <c:pt idx="66">
                  <c:v>2016</c:v>
                </c:pt>
              </c:numCache>
            </c:numRef>
          </c:cat>
          <c:val>
            <c:numRef>
              <c:f>PL_USA!$H$5:$H$71</c:f>
              <c:numCache>
                <c:formatCode>0.00%</c:formatCode>
                <c:ptCount val="67"/>
                <c:pt idx="0">
                  <c:v>0.20608883931500557</c:v>
                </c:pt>
                <c:pt idx="1">
                  <c:v>0.19980156269378643</c:v>
                </c:pt>
                <c:pt idx="2">
                  <c:v>0.19680107036428876</c:v>
                </c:pt>
                <c:pt idx="3">
                  <c:v>0.19861677602411776</c:v>
                </c:pt>
                <c:pt idx="4">
                  <c:v>0.2109852843214437</c:v>
                </c:pt>
                <c:pt idx="5">
                  <c:v>0.20644789867587796</c:v>
                </c:pt>
                <c:pt idx="6">
                  <c:v>0.21128865386826071</c:v>
                </c:pt>
                <c:pt idx="7">
                  <c:v>0.21841787786522662</c:v>
                </c:pt>
                <c:pt idx="8">
                  <c:v>0.23157273532015343</c:v>
                </c:pt>
                <c:pt idx="9">
                  <c:v>0.22199877101837887</c:v>
                </c:pt>
                <c:pt idx="10">
                  <c:v>0.2284859895891018</c:v>
                </c:pt>
                <c:pt idx="11">
                  <c:v>0.24192572214580468</c:v>
                </c:pt>
                <c:pt idx="12">
                  <c:v>0.22595773831480212</c:v>
                </c:pt>
                <c:pt idx="13">
                  <c:v>0.23033563925185754</c:v>
                </c:pt>
                <c:pt idx="14">
                  <c:v>0.22833988212180747</c:v>
                </c:pt>
                <c:pt idx="15">
                  <c:v>0.22720897615708274</c:v>
                </c:pt>
                <c:pt idx="16">
                  <c:v>0.2273958009676417</c:v>
                </c:pt>
                <c:pt idx="17">
                  <c:v>0.23054023290429909</c:v>
                </c:pt>
                <c:pt idx="18">
                  <c:v>0.23387641397940234</c:v>
                </c:pt>
                <c:pt idx="19">
                  <c:v>0.22499586708546868</c:v>
                </c:pt>
                <c:pt idx="20">
                  <c:v>0.23720677852909258</c:v>
                </c:pt>
                <c:pt idx="21">
                  <c:v>0.24759171961467513</c:v>
                </c:pt>
                <c:pt idx="22">
                  <c:v>0.25532166043674998</c:v>
                </c:pt>
                <c:pt idx="23">
                  <c:v>0.26169980829229789</c:v>
                </c:pt>
                <c:pt idx="24">
                  <c:v>0.2805949708981626</c:v>
                </c:pt>
                <c:pt idx="25">
                  <c:v>0.29611650485436891</c:v>
                </c:pt>
                <c:pt idx="26">
                  <c:v>0.27325473964300234</c:v>
                </c:pt>
                <c:pt idx="27">
                  <c:v>0.25456233705939074</c:v>
                </c:pt>
                <c:pt idx="28">
                  <c:v>0.23932120053265954</c:v>
                </c:pt>
                <c:pt idx="29">
                  <c:v>0.2196587760008013</c:v>
                </c:pt>
                <c:pt idx="30">
                  <c:v>0.21007665552291224</c:v>
                </c:pt>
                <c:pt idx="31">
                  <c:v>0.20292121373436253</c:v>
                </c:pt>
                <c:pt idx="32">
                  <c:v>0.21228304405874499</c:v>
                </c:pt>
                <c:pt idx="33">
                  <c:v>0.21953645677907094</c:v>
                </c:pt>
                <c:pt idx="34">
                  <c:v>0.21885521885521886</c:v>
                </c:pt>
                <c:pt idx="35">
                  <c:v>0.22395833333333334</c:v>
                </c:pt>
                <c:pt idx="36">
                  <c:v>0.22903311571297746</c:v>
                </c:pt>
                <c:pt idx="37">
                  <c:v>0.22548229196659947</c:v>
                </c:pt>
                <c:pt idx="38">
                  <c:v>0.22827268925135927</c:v>
                </c:pt>
                <c:pt idx="39">
                  <c:v>0.22899039638708274</c:v>
                </c:pt>
                <c:pt idx="40">
                  <c:v>0.20215239846411767</c:v>
                </c:pt>
                <c:pt idx="41">
                  <c:v>0.20293988591487494</c:v>
                </c:pt>
                <c:pt idx="42">
                  <c:v>0.21572997502752342</c:v>
                </c:pt>
                <c:pt idx="43">
                  <c:v>0.23049626608760129</c:v>
                </c:pt>
                <c:pt idx="44">
                  <c:v>0.24167697381983097</c:v>
                </c:pt>
                <c:pt idx="45">
                  <c:v>0.26269960143179916</c:v>
                </c:pt>
                <c:pt idx="46">
                  <c:v>0.26797644380660168</c:v>
                </c:pt>
                <c:pt idx="47">
                  <c:v>0.27891091244637251</c:v>
                </c:pt>
                <c:pt idx="48">
                  <c:v>0.28296148399229215</c:v>
                </c:pt>
                <c:pt idx="49">
                  <c:v>0.28943826274228285</c:v>
                </c:pt>
                <c:pt idx="50">
                  <c:v>0.28781572122823457</c:v>
                </c:pt>
                <c:pt idx="51">
                  <c:v>0.28959414098260605</c:v>
                </c:pt>
                <c:pt idx="52">
                  <c:v>0.29638835455075974</c:v>
                </c:pt>
                <c:pt idx="53">
                  <c:v>0.2900462275753849</c:v>
                </c:pt>
                <c:pt idx="54">
                  <c:v>0.29247520260656179</c:v>
                </c:pt>
                <c:pt idx="55">
                  <c:v>0.29652602960426944</c:v>
                </c:pt>
                <c:pt idx="56">
                  <c:v>0.30530798177856999</c:v>
                </c:pt>
                <c:pt idx="57">
                  <c:v>0.33446622922478486</c:v>
                </c:pt>
                <c:pt idx="58">
                  <c:v>0.35159917256742779</c:v>
                </c:pt>
                <c:pt idx="59">
                  <c:v>0.39180236517862671</c:v>
                </c:pt>
                <c:pt idx="60">
                  <c:v>0.41599853857551711</c:v>
                </c:pt>
                <c:pt idx="61">
                  <c:v>0.4395973829894313</c:v>
                </c:pt>
                <c:pt idx="62">
                  <c:v>0.45713775449458272</c:v>
                </c:pt>
                <c:pt idx="63">
                  <c:v>0.46452234433674772</c:v>
                </c:pt>
                <c:pt idx="64">
                  <c:v>0.47143078352431095</c:v>
                </c:pt>
                <c:pt idx="65">
                  <c:v>0.48126105227130117</c:v>
                </c:pt>
                <c:pt idx="66">
                  <c:v>0.49046496274639251</c:v>
                </c:pt>
              </c:numCache>
            </c:numRef>
          </c:val>
          <c:smooth val="0"/>
          <c:extLst>
            <c:ext xmlns:c16="http://schemas.microsoft.com/office/drawing/2014/chart" uri="{C3380CC4-5D6E-409C-BE32-E72D297353CC}">
              <c16:uniqueId val="{00000006-B387-41DE-BA96-24EE20573114}"/>
            </c:ext>
          </c:extLst>
        </c:ser>
        <c:dLbls>
          <c:showLegendKey val="0"/>
          <c:showVal val="0"/>
          <c:showCatName val="0"/>
          <c:showSerName val="0"/>
          <c:showPercent val="0"/>
          <c:showBubbleSize val="0"/>
        </c:dLbls>
        <c:smooth val="0"/>
        <c:axId val="267197440"/>
        <c:axId val="267199232"/>
      </c:lineChart>
      <c:catAx>
        <c:axId val="267197440"/>
        <c:scaling>
          <c:orientation val="minMax"/>
        </c:scaling>
        <c:delete val="0"/>
        <c:axPos val="b"/>
        <c:numFmt formatCode="General" sourceLinked="1"/>
        <c:majorTickMark val="out"/>
        <c:minorTickMark val="none"/>
        <c:tickLblPos val="nextTo"/>
        <c:txPr>
          <a:bodyPr rot="5400000" vert="horz"/>
          <a:lstStyle/>
          <a:p>
            <a:pPr>
              <a:defRPr sz="800"/>
            </a:pPr>
            <a:endParaRPr lang="pl-PL"/>
          </a:p>
        </c:txPr>
        <c:crossAx val="267199232"/>
        <c:crosses val="autoZero"/>
        <c:auto val="1"/>
        <c:lblAlgn val="ctr"/>
        <c:lblOffset val="100"/>
        <c:noMultiLvlLbl val="0"/>
      </c:catAx>
      <c:valAx>
        <c:axId val="267199232"/>
        <c:scaling>
          <c:orientation val="minMax"/>
        </c:scaling>
        <c:delete val="0"/>
        <c:axPos val="l"/>
        <c:majorGridlines>
          <c:spPr>
            <a:ln>
              <a:solidFill>
                <a:schemeClr val="bg1">
                  <a:lumMod val="75000"/>
                  <a:alpha val="63000"/>
                </a:schemeClr>
              </a:solidFill>
            </a:ln>
          </c:spPr>
        </c:majorGridlines>
        <c:numFmt formatCode="0%" sourceLinked="0"/>
        <c:majorTickMark val="out"/>
        <c:minorTickMark val="none"/>
        <c:tickLblPos val="nextTo"/>
        <c:txPr>
          <a:bodyPr/>
          <a:lstStyle/>
          <a:p>
            <a:pPr>
              <a:defRPr sz="800"/>
            </a:pPr>
            <a:endParaRPr lang="pl-PL"/>
          </a:p>
        </c:txPr>
        <c:crossAx val="267197440"/>
        <c:crosses val="autoZero"/>
        <c:crossBetween val="between"/>
      </c:valAx>
    </c:plotArea>
    <c:plotVisOnly val="1"/>
    <c:dispBlanksAs val="gap"/>
    <c:showDLblsOverMax val="0"/>
  </c:chart>
  <c:spPr>
    <a:ln>
      <a:noFill/>
    </a:ln>
  </c:spPr>
  <c:externalData r:id="rId2">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4.3087051271314285E-2"/>
          <c:y val="2.2124953414055872E-2"/>
          <c:w val="0.94631967059471001"/>
          <c:h val="0.89909080713053446"/>
        </c:manualLayout>
      </c:layout>
      <c:barChart>
        <c:barDir val="col"/>
        <c:grouping val="clustered"/>
        <c:varyColors val="0"/>
        <c:ser>
          <c:idx val="1"/>
          <c:order val="0"/>
          <c:spPr>
            <a:solidFill>
              <a:srgbClr val="05295B"/>
            </a:solidFill>
            <a:ln w="11096">
              <a:noFill/>
              <a:prstDash val="solid"/>
            </a:ln>
          </c:spPr>
          <c:invertIfNegative val="0"/>
          <c:dLbls>
            <c:spPr>
              <a:noFill/>
              <a:ln w="20266">
                <a:noFill/>
              </a:ln>
            </c:spPr>
            <c:txPr>
              <a:bodyPr/>
              <a:lstStyle/>
              <a:p>
                <a:pPr>
                  <a:defRPr sz="800" b="0" i="0" u="none" strike="noStrike" baseline="0">
                    <a:solidFill>
                      <a:srgbClr val="FFFFFF"/>
                    </a:solidFill>
                    <a:latin typeface="Calibri"/>
                    <a:ea typeface="Calibri"/>
                    <a:cs typeface="Calibri"/>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PrPrzem!$A$4:$A$13</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PrPrzem!$C$4:$C$13</c:f>
              <c:numCache>
                <c:formatCode>0.0</c:formatCode>
                <c:ptCount val="10"/>
                <c:pt idx="0">
                  <c:v>6</c:v>
                </c:pt>
                <c:pt idx="1">
                  <c:v>5.0999999999999996</c:v>
                </c:pt>
                <c:pt idx="2">
                  <c:v>6</c:v>
                </c:pt>
                <c:pt idx="3">
                  <c:v>6.7</c:v>
                </c:pt>
                <c:pt idx="4">
                  <c:v>7.9</c:v>
                </c:pt>
                <c:pt idx="5">
                  <c:v>8.5</c:v>
                </c:pt>
                <c:pt idx="6">
                  <c:v>8.5</c:v>
                </c:pt>
                <c:pt idx="7">
                  <c:v>8.5</c:v>
                </c:pt>
                <c:pt idx="8">
                  <c:v>8.3000000000000007</c:v>
                </c:pt>
                <c:pt idx="9">
                  <c:v>8.6999999999999993</c:v>
                </c:pt>
              </c:numCache>
            </c:numRef>
          </c:val>
          <c:extLst>
            <c:ext xmlns:c16="http://schemas.microsoft.com/office/drawing/2014/chart" uri="{C3380CC4-5D6E-409C-BE32-E72D297353CC}">
              <c16:uniqueId val="{00000000-4771-4828-A99E-8FC4316E0B37}"/>
            </c:ext>
          </c:extLst>
        </c:ser>
        <c:dLbls>
          <c:showLegendKey val="0"/>
          <c:showVal val="0"/>
          <c:showCatName val="0"/>
          <c:showSerName val="0"/>
          <c:showPercent val="0"/>
          <c:showBubbleSize val="0"/>
        </c:dLbls>
        <c:gapWidth val="60"/>
        <c:axId val="312570240"/>
        <c:axId val="312571776"/>
      </c:barChart>
      <c:catAx>
        <c:axId val="312570240"/>
        <c:scaling>
          <c:orientation val="minMax"/>
        </c:scaling>
        <c:delete val="0"/>
        <c:axPos val="b"/>
        <c:numFmt formatCode="General" sourceLinked="1"/>
        <c:majorTickMark val="out"/>
        <c:minorTickMark val="out"/>
        <c:tickLblPos val="low"/>
        <c:spPr>
          <a:ln w="2774">
            <a:solidFill>
              <a:srgbClr val="000000"/>
            </a:solidFill>
            <a:prstDash val="solid"/>
          </a:ln>
        </c:spPr>
        <c:txPr>
          <a:bodyPr rot="0" vert="horz"/>
          <a:lstStyle/>
          <a:p>
            <a:pPr>
              <a:defRPr sz="716" b="0" i="0" u="none" strike="noStrike" baseline="0">
                <a:solidFill>
                  <a:srgbClr val="000000"/>
                </a:solidFill>
                <a:latin typeface="Calibri"/>
                <a:ea typeface="Calibri"/>
                <a:cs typeface="Calibri"/>
              </a:defRPr>
            </a:pPr>
            <a:endParaRPr lang="pl-PL"/>
          </a:p>
        </c:txPr>
        <c:crossAx val="312571776"/>
        <c:crosses val="autoZero"/>
        <c:auto val="0"/>
        <c:lblAlgn val="ctr"/>
        <c:lblOffset val="40"/>
        <c:tickLblSkip val="1"/>
        <c:tickMarkSkip val="1"/>
        <c:noMultiLvlLbl val="0"/>
      </c:catAx>
      <c:valAx>
        <c:axId val="312571776"/>
        <c:scaling>
          <c:orientation val="minMax"/>
          <c:max val="10"/>
          <c:min val="0"/>
        </c:scaling>
        <c:delete val="0"/>
        <c:axPos val="l"/>
        <c:majorGridlines>
          <c:spPr>
            <a:ln w="2774">
              <a:solidFill>
                <a:srgbClr val="C0C0C0"/>
              </a:solidFill>
              <a:prstDash val="sysDash"/>
            </a:ln>
          </c:spPr>
        </c:majorGridlines>
        <c:numFmt formatCode="#,##0" sourceLinked="0"/>
        <c:majorTickMark val="cross"/>
        <c:minorTickMark val="none"/>
        <c:tickLblPos val="nextTo"/>
        <c:spPr>
          <a:ln w="2774">
            <a:solidFill>
              <a:srgbClr val="333333"/>
            </a:solidFill>
            <a:prstDash val="solid"/>
          </a:ln>
        </c:spPr>
        <c:txPr>
          <a:bodyPr rot="0" vert="horz"/>
          <a:lstStyle/>
          <a:p>
            <a:pPr>
              <a:defRPr sz="758" b="0" i="0" u="none" strike="noStrike" baseline="0">
                <a:solidFill>
                  <a:srgbClr val="000000"/>
                </a:solidFill>
                <a:latin typeface="Calibri"/>
                <a:ea typeface="Calibri"/>
                <a:cs typeface="Calibri"/>
              </a:defRPr>
            </a:pPr>
            <a:endParaRPr lang="pl-PL"/>
          </a:p>
        </c:txPr>
        <c:crossAx val="312570240"/>
        <c:crosses val="autoZero"/>
        <c:crossBetween val="between"/>
        <c:majorUnit val="2"/>
      </c:valAx>
      <c:spPr>
        <a:noFill/>
        <a:ln w="24082">
          <a:noFill/>
        </a:ln>
      </c:spPr>
    </c:plotArea>
    <c:plotVisOnly val="1"/>
    <c:dispBlanksAs val="gap"/>
    <c:showDLblsOverMax val="0"/>
  </c:chart>
  <c:spPr>
    <a:noFill/>
    <a:ln>
      <a:noFill/>
    </a:ln>
  </c:spPr>
  <c:txPr>
    <a:bodyPr/>
    <a:lstStyle/>
    <a:p>
      <a:pPr>
        <a:defRPr sz="872" b="0" i="0" u="none" strike="noStrike" baseline="0">
          <a:solidFill>
            <a:srgbClr val="000000"/>
          </a:solidFill>
          <a:latin typeface="Arial"/>
          <a:ea typeface="Arial"/>
          <a:cs typeface="Arial"/>
        </a:defRPr>
      </a:pPr>
      <a:endParaRPr lang="pl-PL"/>
    </a:p>
  </c:txPr>
  <c:externalData r:id="rId2">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69003032652006E-2"/>
          <c:y val="1.9646783307815441E-2"/>
          <c:w val="0.88337270341207352"/>
          <c:h val="0.81546262136813319"/>
        </c:manualLayout>
      </c:layout>
      <c:barChart>
        <c:barDir val="col"/>
        <c:grouping val="stacked"/>
        <c:varyColors val="0"/>
        <c:ser>
          <c:idx val="0"/>
          <c:order val="0"/>
          <c:tx>
            <c:v>do UE</c:v>
          </c:tx>
          <c:spPr>
            <a:solidFill>
              <a:srgbClr val="406D97"/>
            </a:solidFill>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'Dane do wykresu'!$A$13:$A$22</c:f>
              <c:strCache>
                <c:ptCount val="10"/>
                <c:pt idx="0">
                  <c:v>Czechy</c:v>
                </c:pt>
                <c:pt idx="1">
                  <c:v>Węgry</c:v>
                </c:pt>
                <c:pt idx="2">
                  <c:v>Polska</c:v>
                </c:pt>
                <c:pt idx="3">
                  <c:v>Belgia</c:v>
                </c:pt>
                <c:pt idx="4">
                  <c:v>Austria</c:v>
                </c:pt>
                <c:pt idx="5">
                  <c:v>Hiszpania</c:v>
                </c:pt>
                <c:pt idx="6">
                  <c:v>Francja</c:v>
                </c:pt>
                <c:pt idx="7">
                  <c:v>Niemcy</c:v>
                </c:pt>
                <c:pt idx="8">
                  <c:v>Włochy</c:v>
                </c:pt>
                <c:pt idx="9">
                  <c:v>Wlk. Brytania</c:v>
                </c:pt>
              </c:strCache>
            </c:strRef>
          </c:cat>
          <c:val>
            <c:numRef>
              <c:f>'Dane do wykresu'!$B$13:$B$22</c:f>
              <c:numCache>
                <c:formatCode>#,##0.0</c:formatCode>
                <c:ptCount val="10"/>
                <c:pt idx="0">
                  <c:v>84.4</c:v>
                </c:pt>
                <c:pt idx="1">
                  <c:v>81.8</c:v>
                </c:pt>
                <c:pt idx="2">
                  <c:v>80.400000000000006</c:v>
                </c:pt>
                <c:pt idx="3">
                  <c:v>72.8</c:v>
                </c:pt>
                <c:pt idx="4">
                  <c:v>71.400000000000006</c:v>
                </c:pt>
                <c:pt idx="5">
                  <c:v>66.2</c:v>
                </c:pt>
                <c:pt idx="6">
                  <c:v>59</c:v>
                </c:pt>
                <c:pt idx="7">
                  <c:v>59</c:v>
                </c:pt>
                <c:pt idx="8">
                  <c:v>56.3</c:v>
                </c:pt>
                <c:pt idx="9">
                  <c:v>47.1</c:v>
                </c:pt>
              </c:numCache>
            </c:numRef>
          </c:val>
          <c:extLst>
            <c:ext xmlns:c16="http://schemas.microsoft.com/office/drawing/2014/chart" uri="{C3380CC4-5D6E-409C-BE32-E72D297353CC}">
              <c16:uniqueId val="{00000000-DC70-4186-8C5E-A58E3E587B2E}"/>
            </c:ext>
          </c:extLst>
        </c:ser>
        <c:ser>
          <c:idx val="1"/>
          <c:order val="1"/>
          <c:tx>
            <c:v>do reszty świata</c:v>
          </c:tx>
          <c:spPr>
            <a:solidFill>
              <a:schemeClr val="bg1">
                <a:lumMod val="50000"/>
              </a:schemeClr>
            </a:solidFill>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'Dane do wykresu'!$A$13:$A$22</c:f>
              <c:strCache>
                <c:ptCount val="10"/>
                <c:pt idx="0">
                  <c:v>Czechy</c:v>
                </c:pt>
                <c:pt idx="1">
                  <c:v>Węgry</c:v>
                </c:pt>
                <c:pt idx="2">
                  <c:v>Polska</c:v>
                </c:pt>
                <c:pt idx="3">
                  <c:v>Belgia</c:v>
                </c:pt>
                <c:pt idx="4">
                  <c:v>Austria</c:v>
                </c:pt>
                <c:pt idx="5">
                  <c:v>Hiszpania</c:v>
                </c:pt>
                <c:pt idx="6">
                  <c:v>Francja</c:v>
                </c:pt>
                <c:pt idx="7">
                  <c:v>Niemcy</c:v>
                </c:pt>
                <c:pt idx="8">
                  <c:v>Włochy</c:v>
                </c:pt>
                <c:pt idx="9">
                  <c:v>Wlk. Brytania</c:v>
                </c:pt>
              </c:strCache>
            </c:strRef>
          </c:cat>
          <c:val>
            <c:numRef>
              <c:f>'Dane do wykresu'!$C$13:$C$22</c:f>
              <c:numCache>
                <c:formatCode>#,##0.0</c:formatCode>
                <c:ptCount val="10"/>
                <c:pt idx="0">
                  <c:v>15.599999999999994</c:v>
                </c:pt>
                <c:pt idx="1">
                  <c:v>18.200000000000003</c:v>
                </c:pt>
                <c:pt idx="2">
                  <c:v>19.599999999999994</c:v>
                </c:pt>
                <c:pt idx="3">
                  <c:v>27.200000000000003</c:v>
                </c:pt>
                <c:pt idx="4">
                  <c:v>28.599999999999994</c:v>
                </c:pt>
                <c:pt idx="5">
                  <c:v>33.799999999999997</c:v>
                </c:pt>
                <c:pt idx="6">
                  <c:v>41</c:v>
                </c:pt>
                <c:pt idx="7">
                  <c:v>41</c:v>
                </c:pt>
                <c:pt idx="8">
                  <c:v>43.7</c:v>
                </c:pt>
                <c:pt idx="9">
                  <c:v>52.9</c:v>
                </c:pt>
              </c:numCache>
            </c:numRef>
          </c:val>
          <c:extLst>
            <c:ext xmlns:c16="http://schemas.microsoft.com/office/drawing/2014/chart" uri="{C3380CC4-5D6E-409C-BE32-E72D297353CC}">
              <c16:uniqueId val="{00000001-DC70-4186-8C5E-A58E3E587B2E}"/>
            </c:ext>
          </c:extLst>
        </c:ser>
        <c:dLbls>
          <c:showLegendKey val="0"/>
          <c:showVal val="0"/>
          <c:showCatName val="0"/>
          <c:showSerName val="0"/>
          <c:showPercent val="0"/>
          <c:showBubbleSize val="0"/>
        </c:dLbls>
        <c:gapWidth val="46"/>
        <c:overlap val="100"/>
        <c:axId val="312483200"/>
        <c:axId val="312489088"/>
      </c:barChart>
      <c:catAx>
        <c:axId val="312483200"/>
        <c:scaling>
          <c:orientation val="minMax"/>
        </c:scaling>
        <c:delete val="0"/>
        <c:axPos val="b"/>
        <c:numFmt formatCode="General" sourceLinked="0"/>
        <c:majorTickMark val="out"/>
        <c:minorTickMark val="none"/>
        <c:tickLblPos val="nextTo"/>
        <c:crossAx val="312489088"/>
        <c:crosses val="autoZero"/>
        <c:auto val="1"/>
        <c:lblAlgn val="ctr"/>
        <c:lblOffset val="100"/>
        <c:noMultiLvlLbl val="0"/>
      </c:catAx>
      <c:valAx>
        <c:axId val="312489088"/>
        <c:scaling>
          <c:orientation val="minMax"/>
          <c:max val="100"/>
        </c:scaling>
        <c:delete val="0"/>
        <c:axPos val="l"/>
        <c:majorGridlines/>
        <c:numFmt formatCode="General" sourceLinked="0"/>
        <c:majorTickMark val="out"/>
        <c:minorTickMark val="none"/>
        <c:tickLblPos val="nextTo"/>
        <c:crossAx val="312483200"/>
        <c:crosses val="autoZero"/>
        <c:crossBetween val="between"/>
      </c:valAx>
    </c:plotArea>
    <c:legend>
      <c:legendPos val="b"/>
      <c:layout>
        <c:manualLayout>
          <c:xMode val="edge"/>
          <c:yMode val="edge"/>
          <c:x val="0.35470030349352988"/>
          <c:y val="0.91986300294337797"/>
          <c:w val="0.3042309305793211"/>
          <c:h val="8.0136997056622084E-2"/>
        </c:manualLayout>
      </c:layout>
      <c:overlay val="0"/>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Arkusz1!$D$7:$D$9</c:f>
              <c:strCache>
                <c:ptCount val="3"/>
                <c:pt idx="0">
                  <c:v>10-49</c:v>
                </c:pt>
                <c:pt idx="1">
                  <c:v>50-249</c:v>
                </c:pt>
                <c:pt idx="2">
                  <c:v>250 i więcej</c:v>
                </c:pt>
              </c:strCache>
            </c:strRef>
          </c:cat>
          <c:val>
            <c:numRef>
              <c:f>Arkusz1!$F$7:$F$9</c:f>
              <c:numCache>
                <c:formatCode>#,##0.0</c:formatCode>
                <c:ptCount val="3"/>
                <c:pt idx="0">
                  <c:v>14.826210595084669</c:v>
                </c:pt>
                <c:pt idx="1">
                  <c:v>25.453401208152105</c:v>
                </c:pt>
                <c:pt idx="2">
                  <c:v>59.720388196763217</c:v>
                </c:pt>
              </c:numCache>
            </c:numRef>
          </c:val>
          <c:extLst>
            <c:ext xmlns:c16="http://schemas.microsoft.com/office/drawing/2014/chart" uri="{C3380CC4-5D6E-409C-BE32-E72D297353CC}">
              <c16:uniqueId val="{00000000-C29B-47D4-A2D1-91D820926DCD}"/>
            </c:ext>
          </c:extLst>
        </c:ser>
        <c:dLbls>
          <c:showLegendKey val="0"/>
          <c:showVal val="0"/>
          <c:showCatName val="0"/>
          <c:showSerName val="0"/>
          <c:showPercent val="0"/>
          <c:showBubbleSize val="0"/>
          <c:showLeaderLines val="1"/>
        </c:dLbls>
        <c:firstSliceAng val="0"/>
      </c:pieChart>
    </c:plotArea>
    <c:plotVisOnly val="1"/>
    <c:dispBlanksAs val="gap"/>
    <c:showDLblsOverMax val="0"/>
  </c:chart>
  <c:spPr>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Arkusz1!$D$7:$D$9</c:f>
              <c:strCache>
                <c:ptCount val="3"/>
                <c:pt idx="0">
                  <c:v>10-49</c:v>
                </c:pt>
                <c:pt idx="1">
                  <c:v>50-249</c:v>
                </c:pt>
                <c:pt idx="2">
                  <c:v>250 i więcej</c:v>
                </c:pt>
              </c:strCache>
            </c:strRef>
          </c:cat>
          <c:val>
            <c:numRef>
              <c:f>Arkusz1!$H$7:$H$9</c:f>
              <c:numCache>
                <c:formatCode>#,##0.0</c:formatCode>
                <c:ptCount val="3"/>
                <c:pt idx="0">
                  <c:v>7.5716579404586453</c:v>
                </c:pt>
                <c:pt idx="1">
                  <c:v>21.855268979136206</c:v>
                </c:pt>
                <c:pt idx="2">
                  <c:v>70.573073080405138</c:v>
                </c:pt>
              </c:numCache>
            </c:numRef>
          </c:val>
          <c:extLst>
            <c:ext xmlns:c16="http://schemas.microsoft.com/office/drawing/2014/chart" uri="{C3380CC4-5D6E-409C-BE32-E72D297353CC}">
              <c16:uniqueId val="{00000000-9F3A-4B59-983A-E0070EA6B8B2}"/>
            </c:ext>
          </c:extLst>
        </c:ser>
        <c:dLbls>
          <c:showLegendKey val="0"/>
          <c:showVal val="0"/>
          <c:showCatName val="0"/>
          <c:showSerName val="0"/>
          <c:showPercent val="0"/>
          <c:showBubbleSize val="0"/>
          <c:showLeaderLines val="1"/>
        </c:dLbls>
        <c:firstSliceAng val="0"/>
      </c:pieChart>
    </c:plotArea>
    <c:legend>
      <c:legendPos val="b"/>
      <c:overlay val="0"/>
      <c:txPr>
        <a:bodyPr/>
        <a:lstStyle/>
        <a:p>
          <a:pPr rtl="0">
            <a:defRPr/>
          </a:pPr>
          <a:endParaRPr lang="pl-PL"/>
        </a:p>
      </c:txPr>
    </c:legend>
    <c:plotVisOnly val="1"/>
    <c:dispBlanksAs val="gap"/>
    <c:showDLblsOverMax val="0"/>
  </c:chart>
  <c:spPr>
    <a:ln>
      <a:no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Arkusz1!$D$7:$D$9</c:f>
              <c:strCache>
                <c:ptCount val="3"/>
                <c:pt idx="0">
                  <c:v>10-49</c:v>
                </c:pt>
                <c:pt idx="1">
                  <c:v>50-249</c:v>
                </c:pt>
                <c:pt idx="2">
                  <c:v>250 i więcej</c:v>
                </c:pt>
              </c:strCache>
            </c:strRef>
          </c:cat>
          <c:val>
            <c:numRef>
              <c:f>Arkusz1!$J$7:$J$9</c:f>
              <c:numCache>
                <c:formatCode>#,##0.0</c:formatCode>
                <c:ptCount val="3"/>
                <c:pt idx="0">
                  <c:v>4.4890505595728767</c:v>
                </c:pt>
                <c:pt idx="1">
                  <c:v>13.275004767003534</c:v>
                </c:pt>
                <c:pt idx="2">
                  <c:v>82.235944673423603</c:v>
                </c:pt>
              </c:numCache>
            </c:numRef>
          </c:val>
          <c:extLst>
            <c:ext xmlns:c16="http://schemas.microsoft.com/office/drawing/2014/chart" uri="{C3380CC4-5D6E-409C-BE32-E72D297353CC}">
              <c16:uniqueId val="{00000000-526A-48E4-8C20-0FA92BD7F644}"/>
            </c:ext>
          </c:extLst>
        </c:ser>
        <c:dLbls>
          <c:showLegendKey val="0"/>
          <c:showVal val="0"/>
          <c:showCatName val="0"/>
          <c:showSerName val="0"/>
          <c:showPercent val="0"/>
          <c:showBubbleSize val="0"/>
          <c:showLeaderLines val="1"/>
        </c:dLbls>
        <c:firstSliceAng val="0"/>
      </c:pieChart>
    </c:plotArea>
    <c:plotVisOnly val="1"/>
    <c:dispBlanksAs val="gap"/>
    <c:showDLblsOverMax val="0"/>
  </c:chart>
  <c:spPr>
    <a:ln>
      <a:no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6141294838145232E-2"/>
          <c:y val="6.4356761319807304E-2"/>
          <c:w val="0.71835826771653544"/>
          <c:h val="0.8326195683872849"/>
        </c:manualLayout>
      </c:layout>
      <c:lineChart>
        <c:grouping val="standard"/>
        <c:varyColors val="0"/>
        <c:ser>
          <c:idx val="0"/>
          <c:order val="0"/>
          <c:tx>
            <c:strRef>
              <c:f>'Produktywność zasobów'!$A$2</c:f>
              <c:strCache>
                <c:ptCount val="1"/>
                <c:pt idx="0">
                  <c:v>UE28</c:v>
                </c:pt>
              </c:strCache>
            </c:strRef>
          </c:tx>
          <c:marker>
            <c:symbol val="none"/>
          </c:marker>
          <c:cat>
            <c:numRef>
              <c:f>'Produktywność zasobów'!$B$1:$J$1</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'Produktywność zasobów'!$B$2:$J$2</c:f>
              <c:numCache>
                <c:formatCode>General</c:formatCode>
                <c:ptCount val="9"/>
                <c:pt idx="0">
                  <c:v>1.7917000000000001</c:v>
                </c:pt>
                <c:pt idx="1">
                  <c:v>1.9531000000000001</c:v>
                </c:pt>
                <c:pt idx="2">
                  <c:v>2.0272999999999999</c:v>
                </c:pt>
                <c:pt idx="3">
                  <c:v>2.1013000000000002</c:v>
                </c:pt>
                <c:pt idx="4">
                  <c:v>2.1362999999999999</c:v>
                </c:pt>
                <c:pt idx="5">
                  <c:v>2.1932999999999998</c:v>
                </c:pt>
                <c:pt idx="6" formatCode="#,##0.##########">
                  <c:v>2.2170000000000001</c:v>
                </c:pt>
                <c:pt idx="7">
                  <c:v>2.2595999999999998</c:v>
                </c:pt>
                <c:pt idx="8">
                  <c:v>2.3376999999999999</c:v>
                </c:pt>
              </c:numCache>
            </c:numRef>
          </c:val>
          <c:smooth val="0"/>
          <c:extLst>
            <c:ext xmlns:c16="http://schemas.microsoft.com/office/drawing/2014/chart" uri="{C3380CC4-5D6E-409C-BE32-E72D297353CC}">
              <c16:uniqueId val="{00000000-E351-4461-888E-9DA5575A6D57}"/>
            </c:ext>
          </c:extLst>
        </c:ser>
        <c:ser>
          <c:idx val="1"/>
          <c:order val="1"/>
          <c:tx>
            <c:strRef>
              <c:f>'Produktywność zasobów'!$A$3</c:f>
              <c:strCache>
                <c:ptCount val="1"/>
                <c:pt idx="0">
                  <c:v>Polska</c:v>
                </c:pt>
              </c:strCache>
            </c:strRef>
          </c:tx>
          <c:marker>
            <c:symbol val="none"/>
          </c:marker>
          <c:cat>
            <c:numRef>
              <c:f>'Produktywność zasobów'!$B$1:$J$1</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'Produktywność zasobów'!$B$3:$J$3</c:f>
              <c:numCache>
                <c:formatCode>General</c:formatCode>
                <c:ptCount val="9"/>
                <c:pt idx="0">
                  <c:v>0.81259999999999999</c:v>
                </c:pt>
                <c:pt idx="1">
                  <c:v>0.9637</c:v>
                </c:pt>
                <c:pt idx="2">
                  <c:v>1.0324</c:v>
                </c:pt>
                <c:pt idx="3">
                  <c:v>1.0659000000000001</c:v>
                </c:pt>
                <c:pt idx="4" formatCode="#,##0.##########">
                  <c:v>1.1400999999999999</c:v>
                </c:pt>
                <c:pt idx="5" formatCode="#,##0.##########">
                  <c:v>1.1101000000000001</c:v>
                </c:pt>
                <c:pt idx="6" formatCode="#,##0.##########">
                  <c:v>1.1014999999999999</c:v>
                </c:pt>
                <c:pt idx="7">
                  <c:v>1.1194</c:v>
                </c:pt>
                <c:pt idx="8" formatCode="#,##0.##########">
                  <c:v>1.2396</c:v>
                </c:pt>
              </c:numCache>
            </c:numRef>
          </c:val>
          <c:smooth val="0"/>
          <c:extLst>
            <c:ext xmlns:c16="http://schemas.microsoft.com/office/drawing/2014/chart" uri="{C3380CC4-5D6E-409C-BE32-E72D297353CC}">
              <c16:uniqueId val="{00000001-E351-4461-888E-9DA5575A6D57}"/>
            </c:ext>
          </c:extLst>
        </c:ser>
        <c:dLbls>
          <c:showLegendKey val="0"/>
          <c:showVal val="0"/>
          <c:showCatName val="0"/>
          <c:showSerName val="0"/>
          <c:showPercent val="0"/>
          <c:showBubbleSize val="0"/>
        </c:dLbls>
        <c:smooth val="0"/>
        <c:axId val="258659456"/>
        <c:axId val="258660992"/>
      </c:lineChart>
      <c:catAx>
        <c:axId val="258659456"/>
        <c:scaling>
          <c:orientation val="minMax"/>
        </c:scaling>
        <c:delete val="0"/>
        <c:axPos val="b"/>
        <c:numFmt formatCode="General" sourceLinked="1"/>
        <c:majorTickMark val="out"/>
        <c:minorTickMark val="none"/>
        <c:tickLblPos val="nextTo"/>
        <c:crossAx val="258660992"/>
        <c:crosses val="autoZero"/>
        <c:auto val="1"/>
        <c:lblAlgn val="ctr"/>
        <c:lblOffset val="100"/>
        <c:noMultiLvlLbl val="0"/>
      </c:catAx>
      <c:valAx>
        <c:axId val="258660992"/>
        <c:scaling>
          <c:orientation val="minMax"/>
          <c:max val="2.5"/>
          <c:min val="0.5"/>
        </c:scaling>
        <c:delete val="0"/>
        <c:axPos val="l"/>
        <c:majorGridlines/>
        <c:numFmt formatCode="General" sourceLinked="1"/>
        <c:majorTickMark val="out"/>
        <c:minorTickMark val="none"/>
        <c:tickLblPos val="nextTo"/>
        <c:crossAx val="258659456"/>
        <c:crosses val="autoZero"/>
        <c:crossBetween val="between"/>
        <c:majorUnit val="0.2"/>
      </c:valAx>
    </c:plotArea>
    <c:legend>
      <c:legendPos val="r"/>
      <c:overlay val="1"/>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marker>
            <c:symbol val="none"/>
          </c:marker>
          <c:cat>
            <c:numRef>
              <c:f>'Zużycie wody w przemyśle '!$A$2:$A$10</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'Zużycie wody w przemyśle '!$A$2:$A$10</c:f>
              <c:numCache>
                <c:formatCode>General</c:formatCode>
                <c:ptCount val="9"/>
                <c:pt idx="0">
                  <c:v>2011</c:v>
                </c:pt>
                <c:pt idx="1">
                  <c:v>2012</c:v>
                </c:pt>
                <c:pt idx="2">
                  <c:v>2013</c:v>
                </c:pt>
                <c:pt idx="3">
                  <c:v>2014</c:v>
                </c:pt>
                <c:pt idx="4">
                  <c:v>2015</c:v>
                </c:pt>
                <c:pt idx="5">
                  <c:v>2016</c:v>
                </c:pt>
                <c:pt idx="6">
                  <c:v>2017</c:v>
                </c:pt>
                <c:pt idx="7">
                  <c:v>2018</c:v>
                </c:pt>
                <c:pt idx="8">
                  <c:v>2019</c:v>
                </c:pt>
              </c:numCache>
            </c:numRef>
          </c:val>
          <c:smooth val="0"/>
          <c:extLst>
            <c:ext xmlns:c16="http://schemas.microsoft.com/office/drawing/2014/chart" uri="{C3380CC4-5D6E-409C-BE32-E72D297353CC}">
              <c16:uniqueId val="{00000000-DC54-4655-A06F-DDEAD1F5DF40}"/>
            </c:ext>
          </c:extLst>
        </c:ser>
        <c:ser>
          <c:idx val="1"/>
          <c:order val="1"/>
          <c:marker>
            <c:symbol val="none"/>
          </c:marker>
          <c:cat>
            <c:numRef>
              <c:f>'Zużycie wody w przemyśle '!$A$2:$A$10</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'Zużycie wody w przemyśle '!$B$2:$B$10</c:f>
              <c:numCache>
                <c:formatCode>General</c:formatCode>
                <c:ptCount val="9"/>
                <c:pt idx="0">
                  <c:v>8023296</c:v>
                </c:pt>
                <c:pt idx="1">
                  <c:v>7707974</c:v>
                </c:pt>
                <c:pt idx="2">
                  <c:v>7503823</c:v>
                </c:pt>
                <c:pt idx="3">
                  <c:v>7650138</c:v>
                </c:pt>
                <c:pt idx="4">
                  <c:v>7471726</c:v>
                </c:pt>
                <c:pt idx="5">
                  <c:v>7499173</c:v>
                </c:pt>
                <c:pt idx="6">
                  <c:v>7054175</c:v>
                </c:pt>
                <c:pt idx="7">
                  <c:v>6812327</c:v>
                </c:pt>
                <c:pt idx="8">
                  <c:v>6292488</c:v>
                </c:pt>
              </c:numCache>
            </c:numRef>
          </c:val>
          <c:smooth val="0"/>
          <c:extLst>
            <c:ext xmlns:c16="http://schemas.microsoft.com/office/drawing/2014/chart" uri="{C3380CC4-5D6E-409C-BE32-E72D297353CC}">
              <c16:uniqueId val="{00000001-DC54-4655-A06F-DDEAD1F5DF40}"/>
            </c:ext>
          </c:extLst>
        </c:ser>
        <c:dLbls>
          <c:showLegendKey val="0"/>
          <c:showVal val="0"/>
          <c:showCatName val="0"/>
          <c:showSerName val="0"/>
          <c:showPercent val="0"/>
          <c:showBubbleSize val="0"/>
        </c:dLbls>
        <c:smooth val="0"/>
        <c:axId val="267730944"/>
        <c:axId val="267732480"/>
      </c:lineChart>
      <c:catAx>
        <c:axId val="267730944"/>
        <c:scaling>
          <c:orientation val="minMax"/>
        </c:scaling>
        <c:delete val="0"/>
        <c:axPos val="b"/>
        <c:numFmt formatCode="General" sourceLinked="1"/>
        <c:majorTickMark val="out"/>
        <c:minorTickMark val="none"/>
        <c:tickLblPos val="nextTo"/>
        <c:crossAx val="267732480"/>
        <c:crossesAt val="6000000"/>
        <c:auto val="1"/>
        <c:lblAlgn val="ctr"/>
        <c:lblOffset val="100"/>
        <c:noMultiLvlLbl val="0"/>
      </c:catAx>
      <c:valAx>
        <c:axId val="267732480"/>
        <c:scaling>
          <c:orientation val="minMax"/>
          <c:min val="6000000"/>
        </c:scaling>
        <c:delete val="0"/>
        <c:axPos val="l"/>
        <c:majorGridlines/>
        <c:numFmt formatCode="General" sourceLinked="1"/>
        <c:majorTickMark val="out"/>
        <c:minorTickMark val="none"/>
        <c:tickLblPos val="nextTo"/>
        <c:crossAx val="267730944"/>
        <c:crosses val="autoZero"/>
        <c:crossBetween val="between"/>
      </c:valAx>
    </c:plotArea>
    <c:plotVisOnly val="1"/>
    <c:dispBlanksAs val="gap"/>
    <c:showDLblsOverMax val="0"/>
  </c:chart>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35CD39A-E419-4511-80E9-BCE425C36C52}"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pl-PL"/>
        </a:p>
      </dgm:t>
    </dgm:pt>
    <dgm:pt modelId="{4E19A425-A547-437F-9669-F6F0AFBBFC2B}">
      <dgm:prSet phldrT="[Tekst]" custT="1"/>
      <dgm:spPr>
        <a:xfrm>
          <a:off x="152403" y="196974"/>
          <a:ext cx="1523993" cy="912687"/>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l-PL" sz="2200">
              <a:solidFill>
                <a:sysClr val="window" lastClr="FFFFFF"/>
              </a:solidFill>
              <a:latin typeface="Calibri" panose="020F0502020204030204"/>
              <a:ea typeface="+mn-ea"/>
              <a:cs typeface="+mn-cs"/>
            </a:rPr>
            <a:t>Przemysł</a:t>
          </a:r>
        </a:p>
      </dgm:t>
    </dgm:pt>
    <dgm:pt modelId="{B464FB57-1F19-4233-AABE-89FBF1CFC9BE}" type="parTrans" cxnId="{62E96DC5-0600-4BB3-A656-CE8698690D0F}">
      <dgm:prSet/>
      <dgm:spPr/>
      <dgm:t>
        <a:bodyPr/>
        <a:lstStyle/>
        <a:p>
          <a:endParaRPr lang="pl-PL"/>
        </a:p>
      </dgm:t>
    </dgm:pt>
    <dgm:pt modelId="{214E61DD-74F7-424A-8321-13E70AAC0F77}" type="sibTrans" cxnId="{62E96DC5-0600-4BB3-A656-CE8698690D0F}">
      <dgm:prSet/>
      <dgm:spPr/>
      <dgm:t>
        <a:bodyPr/>
        <a:lstStyle/>
        <a:p>
          <a:endParaRPr lang="pl-PL"/>
        </a:p>
      </dgm:t>
    </dgm:pt>
    <dgm:pt modelId="{F100CFBB-D400-4D05-8DA8-4EB827858E49}">
      <dgm:prSet phldrT="[Tekst]" custT="1"/>
      <dgm:spPr>
        <a:xfrm>
          <a:off x="1676396" y="334"/>
          <a:ext cx="2743200" cy="1305966"/>
        </a:xfrm>
        <a:solidFill>
          <a:srgbClr val="4472C4">
            <a:lumMod val="75000"/>
            <a:alpha val="90000"/>
          </a:srgbClr>
        </a:solidFill>
        <a:ln w="12700" cap="flat" cmpd="sng" algn="ctr">
          <a:solidFill>
            <a:srgbClr val="4472C4">
              <a:alpha val="90000"/>
              <a:tint val="40000"/>
              <a:hueOff val="0"/>
              <a:satOff val="0"/>
              <a:lumOff val="0"/>
              <a:alphaOff val="0"/>
            </a:srgbClr>
          </a:solidFill>
          <a:prstDash val="solid"/>
          <a:miter lim="800000"/>
        </a:ln>
        <a:effectLst/>
      </dgm:spPr>
      <dgm:t>
        <a:bodyPr lIns="108000" anchor="ctr" anchorCtr="0"/>
        <a:lstStyle/>
        <a:p>
          <a:pPr>
            <a:buChar char="•"/>
          </a:pPr>
          <a:r>
            <a:rPr lang="pl-PL" sz="1200">
              <a:solidFill>
                <a:sysClr val="window" lastClr="FFFFFF"/>
              </a:solidFill>
              <a:latin typeface="Calibri" panose="020F0502020204030204"/>
              <a:ea typeface="+mn-ea"/>
              <a:cs typeface="+mn-cs"/>
            </a:rPr>
            <a:t>znaki towarowe: 4,3%</a:t>
          </a:r>
        </a:p>
      </dgm:t>
    </dgm:pt>
    <dgm:pt modelId="{94360A8E-B4CE-46B3-A9A5-562685A24285}" type="parTrans" cxnId="{C7FDA7C1-91A0-49B6-B689-FB39F779A052}">
      <dgm:prSet/>
      <dgm:spPr/>
      <dgm:t>
        <a:bodyPr/>
        <a:lstStyle/>
        <a:p>
          <a:endParaRPr lang="pl-PL"/>
        </a:p>
      </dgm:t>
    </dgm:pt>
    <dgm:pt modelId="{754F5C09-B64D-4D4B-9831-C5B6CFCE45DD}" type="sibTrans" cxnId="{C7FDA7C1-91A0-49B6-B689-FB39F779A052}">
      <dgm:prSet/>
      <dgm:spPr/>
      <dgm:t>
        <a:bodyPr/>
        <a:lstStyle/>
        <a:p>
          <a:endParaRPr lang="pl-PL"/>
        </a:p>
      </dgm:t>
    </dgm:pt>
    <dgm:pt modelId="{20120DF6-8B0C-471F-A9E1-F04A27E6C9AA}">
      <dgm:prSet phldrT="[Tekst]" custT="1"/>
      <dgm:spPr>
        <a:xfrm>
          <a:off x="1676396" y="1436898"/>
          <a:ext cx="2743200" cy="1305966"/>
        </a:xfrm>
        <a:solidFill>
          <a:srgbClr val="4472C4">
            <a:lumMod val="75000"/>
            <a:alpha val="90000"/>
          </a:srgbClr>
        </a:solidFill>
        <a:ln w="12700" cap="flat" cmpd="sng" algn="ctr">
          <a:solidFill>
            <a:srgbClr val="4472C4">
              <a:alpha val="90000"/>
              <a:tint val="40000"/>
              <a:hueOff val="0"/>
              <a:satOff val="0"/>
              <a:lumOff val="0"/>
              <a:alphaOff val="0"/>
            </a:srgbClr>
          </a:solidFill>
          <a:prstDash val="solid"/>
          <a:miter lim="800000"/>
        </a:ln>
        <a:effectLst/>
      </dgm:spPr>
      <dgm:t>
        <a:bodyPr lIns="108000" anchor="ctr" anchorCtr="0"/>
        <a:lstStyle/>
        <a:p>
          <a:pPr>
            <a:buChar char="•"/>
          </a:pPr>
          <a:r>
            <a:rPr lang="pl-PL" sz="1200">
              <a:solidFill>
                <a:sysClr val="window" lastClr="FFFFFF"/>
              </a:solidFill>
              <a:latin typeface="Calibri" panose="020F0502020204030204"/>
              <a:ea typeface="+mn-ea"/>
              <a:cs typeface="+mn-cs"/>
            </a:rPr>
            <a:t>znaki towarowe: 3,6%</a:t>
          </a:r>
        </a:p>
      </dgm:t>
    </dgm:pt>
    <dgm:pt modelId="{B8771040-F55A-4B93-B4E6-40535F75B933}" type="parTrans" cxnId="{7F7BB00D-407F-4A61-815E-A086FE1F7D44}">
      <dgm:prSet/>
      <dgm:spPr/>
      <dgm:t>
        <a:bodyPr/>
        <a:lstStyle/>
        <a:p>
          <a:endParaRPr lang="pl-PL"/>
        </a:p>
      </dgm:t>
    </dgm:pt>
    <dgm:pt modelId="{3E8681F7-AA59-40EF-B2D2-ED2AE39896DB}" type="sibTrans" cxnId="{7F7BB00D-407F-4A61-815E-A086FE1F7D44}">
      <dgm:prSet/>
      <dgm:spPr/>
      <dgm:t>
        <a:bodyPr/>
        <a:lstStyle/>
        <a:p>
          <a:endParaRPr lang="pl-PL"/>
        </a:p>
      </dgm:t>
    </dgm:pt>
    <dgm:pt modelId="{50A80B4F-3DEF-4DAE-B0AC-F51FAA58259E}">
      <dgm:prSet phldrT="[Tekst]" custT="1"/>
      <dgm:spPr>
        <a:xfrm>
          <a:off x="1676396" y="334"/>
          <a:ext cx="2743200" cy="1305966"/>
        </a:xfrm>
        <a:solidFill>
          <a:srgbClr val="4472C4">
            <a:lumMod val="75000"/>
            <a:alpha val="90000"/>
          </a:srgbClr>
        </a:solidFill>
        <a:ln w="12700" cap="flat" cmpd="sng" algn="ctr">
          <a:solidFill>
            <a:srgbClr val="4472C4">
              <a:alpha val="90000"/>
              <a:tint val="40000"/>
              <a:hueOff val="0"/>
              <a:satOff val="0"/>
              <a:lumOff val="0"/>
              <a:alphaOff val="0"/>
            </a:srgbClr>
          </a:solidFill>
          <a:prstDash val="solid"/>
          <a:miter lim="800000"/>
        </a:ln>
        <a:effectLst/>
      </dgm:spPr>
      <dgm:t>
        <a:bodyPr lIns="108000" anchor="ctr" anchorCtr="0"/>
        <a:lstStyle/>
        <a:p>
          <a:pPr>
            <a:buChar char="•"/>
          </a:pPr>
          <a:r>
            <a:rPr lang="pl-PL" sz="1200">
              <a:solidFill>
                <a:sysClr val="window" lastClr="FFFFFF"/>
              </a:solidFill>
              <a:latin typeface="Calibri" panose="020F0502020204030204"/>
              <a:ea typeface="+mn-ea"/>
              <a:cs typeface="+mn-cs"/>
            </a:rPr>
            <a:t>wzory użytkowe: 1,4%</a:t>
          </a:r>
        </a:p>
      </dgm:t>
    </dgm:pt>
    <dgm:pt modelId="{531AB99D-9BA1-4BCA-BF09-8618B8F89A24}" type="parTrans" cxnId="{DB67CBB9-08E5-4DF5-B325-A5E2E936B5AC}">
      <dgm:prSet/>
      <dgm:spPr/>
      <dgm:t>
        <a:bodyPr/>
        <a:lstStyle/>
        <a:p>
          <a:endParaRPr lang="pl-PL"/>
        </a:p>
      </dgm:t>
    </dgm:pt>
    <dgm:pt modelId="{E8D3B92E-F079-4E43-B3EB-C30C528AAAF1}" type="sibTrans" cxnId="{DB67CBB9-08E5-4DF5-B325-A5E2E936B5AC}">
      <dgm:prSet/>
      <dgm:spPr/>
      <dgm:t>
        <a:bodyPr/>
        <a:lstStyle/>
        <a:p>
          <a:endParaRPr lang="pl-PL"/>
        </a:p>
      </dgm:t>
    </dgm:pt>
    <dgm:pt modelId="{9F348E77-A81B-482B-BD4A-1A728F3EB707}">
      <dgm:prSet phldrT="[Tekst]" custT="1"/>
      <dgm:spPr>
        <a:xfrm>
          <a:off x="1676396" y="334"/>
          <a:ext cx="2743200" cy="1305966"/>
        </a:xfrm>
        <a:solidFill>
          <a:srgbClr val="4472C4">
            <a:lumMod val="75000"/>
            <a:alpha val="90000"/>
          </a:srgbClr>
        </a:solidFill>
        <a:ln w="12700" cap="flat" cmpd="sng" algn="ctr">
          <a:solidFill>
            <a:srgbClr val="4472C4">
              <a:alpha val="90000"/>
              <a:tint val="40000"/>
              <a:hueOff val="0"/>
              <a:satOff val="0"/>
              <a:lumOff val="0"/>
              <a:alphaOff val="0"/>
            </a:srgbClr>
          </a:solidFill>
          <a:prstDash val="solid"/>
          <a:miter lim="800000"/>
        </a:ln>
        <a:effectLst/>
      </dgm:spPr>
      <dgm:t>
        <a:bodyPr lIns="108000" anchor="ctr" anchorCtr="0"/>
        <a:lstStyle/>
        <a:p>
          <a:pPr>
            <a:buChar char="•"/>
          </a:pPr>
          <a:r>
            <a:rPr lang="pl-PL" sz="1200">
              <a:solidFill>
                <a:sysClr val="window" lastClr="FFFFFF"/>
              </a:solidFill>
              <a:latin typeface="Calibri" panose="020F0502020204030204"/>
              <a:ea typeface="+mn-ea"/>
              <a:cs typeface="+mn-cs"/>
            </a:rPr>
            <a:t>wzory przemysłowe: 1,1%</a:t>
          </a:r>
        </a:p>
      </dgm:t>
    </dgm:pt>
    <dgm:pt modelId="{B604A121-7A49-4E52-8334-52AF73722B38}" type="parTrans" cxnId="{84DD8416-983B-442B-B610-E2C94E1C6AB8}">
      <dgm:prSet/>
      <dgm:spPr/>
      <dgm:t>
        <a:bodyPr/>
        <a:lstStyle/>
        <a:p>
          <a:endParaRPr lang="pl-PL"/>
        </a:p>
      </dgm:t>
    </dgm:pt>
    <dgm:pt modelId="{67D94795-4624-40B4-8F91-ABAA0970A7BA}" type="sibTrans" cxnId="{84DD8416-983B-442B-B610-E2C94E1C6AB8}">
      <dgm:prSet/>
      <dgm:spPr/>
      <dgm:t>
        <a:bodyPr/>
        <a:lstStyle/>
        <a:p>
          <a:endParaRPr lang="pl-PL"/>
        </a:p>
      </dgm:t>
    </dgm:pt>
    <dgm:pt modelId="{48AD12FB-58D4-4447-8B1F-7A9B2B7CAD0C}">
      <dgm:prSet phldrT="[Tekst]" custT="1"/>
      <dgm:spPr>
        <a:xfrm>
          <a:off x="1676396" y="334"/>
          <a:ext cx="2743200" cy="1305966"/>
        </a:xfrm>
        <a:solidFill>
          <a:srgbClr val="4472C4">
            <a:lumMod val="75000"/>
            <a:alpha val="90000"/>
          </a:srgbClr>
        </a:solidFill>
        <a:ln w="12700" cap="flat" cmpd="sng" algn="ctr">
          <a:solidFill>
            <a:srgbClr val="4472C4">
              <a:alpha val="90000"/>
              <a:tint val="40000"/>
              <a:hueOff val="0"/>
              <a:satOff val="0"/>
              <a:lumOff val="0"/>
              <a:alphaOff val="0"/>
            </a:srgbClr>
          </a:solidFill>
          <a:prstDash val="solid"/>
          <a:miter lim="800000"/>
        </a:ln>
        <a:effectLst/>
      </dgm:spPr>
      <dgm:t>
        <a:bodyPr lIns="108000" anchor="ctr" anchorCtr="0"/>
        <a:lstStyle/>
        <a:p>
          <a:pPr>
            <a:buChar char="•"/>
          </a:pPr>
          <a:r>
            <a:rPr lang="pl-PL" sz="1200">
              <a:solidFill>
                <a:sysClr val="window" lastClr="FFFFFF"/>
              </a:solidFill>
              <a:latin typeface="Calibri" panose="020F0502020204030204"/>
              <a:ea typeface="+mn-ea"/>
              <a:cs typeface="+mn-cs"/>
            </a:rPr>
            <a:t>wynalazki: 2,9%</a:t>
          </a:r>
        </a:p>
      </dgm:t>
    </dgm:pt>
    <dgm:pt modelId="{BD12CA04-5598-4CBE-8A35-9E96345FCC3A}" type="parTrans" cxnId="{C9C6EC69-5E56-4F80-8342-36C611E6D900}">
      <dgm:prSet/>
      <dgm:spPr/>
      <dgm:t>
        <a:bodyPr/>
        <a:lstStyle/>
        <a:p>
          <a:endParaRPr lang="pl-PL"/>
        </a:p>
      </dgm:t>
    </dgm:pt>
    <dgm:pt modelId="{48C1855B-6713-448E-9C82-B34DC361AE3E}" type="sibTrans" cxnId="{C9C6EC69-5E56-4F80-8342-36C611E6D900}">
      <dgm:prSet/>
      <dgm:spPr/>
      <dgm:t>
        <a:bodyPr/>
        <a:lstStyle/>
        <a:p>
          <a:endParaRPr lang="pl-PL"/>
        </a:p>
      </dgm:t>
    </dgm:pt>
    <dgm:pt modelId="{1B60F64F-F528-41A5-8700-AD562B607B3F}">
      <dgm:prSet custT="1"/>
      <dgm:spPr>
        <a:xfrm>
          <a:off x="1676396" y="1436898"/>
          <a:ext cx="2743200" cy="1305966"/>
        </a:xfrm>
        <a:solidFill>
          <a:srgbClr val="4472C4">
            <a:lumMod val="75000"/>
            <a:alpha val="90000"/>
          </a:srgbClr>
        </a:solidFill>
        <a:ln w="12700" cap="flat" cmpd="sng" algn="ctr">
          <a:solidFill>
            <a:srgbClr val="4472C4">
              <a:alpha val="90000"/>
              <a:tint val="40000"/>
              <a:hueOff val="0"/>
              <a:satOff val="0"/>
              <a:lumOff val="0"/>
              <a:alphaOff val="0"/>
            </a:srgbClr>
          </a:solidFill>
          <a:prstDash val="solid"/>
          <a:miter lim="800000"/>
        </a:ln>
        <a:effectLst/>
      </dgm:spPr>
      <dgm:t>
        <a:bodyPr lIns="108000" anchor="ctr" anchorCtr="0"/>
        <a:lstStyle/>
        <a:p>
          <a:pPr>
            <a:buChar char="•"/>
          </a:pPr>
          <a:r>
            <a:rPr lang="pl-PL" sz="1200">
              <a:solidFill>
                <a:sysClr val="window" lastClr="FFFFFF"/>
              </a:solidFill>
              <a:latin typeface="Calibri" panose="020F0502020204030204"/>
              <a:ea typeface="+mn-ea"/>
              <a:cs typeface="+mn-cs"/>
            </a:rPr>
            <a:t>wzory użytkowe: 0,2%</a:t>
          </a:r>
        </a:p>
      </dgm:t>
    </dgm:pt>
    <dgm:pt modelId="{4E1C1AD9-C346-485B-8500-7DBC022AD900}" type="parTrans" cxnId="{BF03079F-5F52-45CE-8387-0828923C9267}">
      <dgm:prSet/>
      <dgm:spPr/>
      <dgm:t>
        <a:bodyPr/>
        <a:lstStyle/>
        <a:p>
          <a:endParaRPr lang="pl-PL"/>
        </a:p>
      </dgm:t>
    </dgm:pt>
    <dgm:pt modelId="{428C385B-44B7-406B-9652-DBBAC0244C3C}" type="sibTrans" cxnId="{BF03079F-5F52-45CE-8387-0828923C9267}">
      <dgm:prSet/>
      <dgm:spPr/>
      <dgm:t>
        <a:bodyPr/>
        <a:lstStyle/>
        <a:p>
          <a:endParaRPr lang="pl-PL"/>
        </a:p>
      </dgm:t>
    </dgm:pt>
    <dgm:pt modelId="{1CE02432-F777-4F38-B3B4-7A76100482C0}">
      <dgm:prSet custT="1"/>
      <dgm:spPr>
        <a:xfrm>
          <a:off x="1676396" y="1436898"/>
          <a:ext cx="2743200" cy="1305966"/>
        </a:xfrm>
        <a:solidFill>
          <a:srgbClr val="4472C4">
            <a:lumMod val="75000"/>
            <a:alpha val="90000"/>
          </a:srgbClr>
        </a:solidFill>
        <a:ln w="12700" cap="flat" cmpd="sng" algn="ctr">
          <a:solidFill>
            <a:srgbClr val="4472C4">
              <a:alpha val="90000"/>
              <a:tint val="40000"/>
              <a:hueOff val="0"/>
              <a:satOff val="0"/>
              <a:lumOff val="0"/>
              <a:alphaOff val="0"/>
            </a:srgbClr>
          </a:solidFill>
          <a:prstDash val="solid"/>
          <a:miter lim="800000"/>
        </a:ln>
        <a:effectLst/>
      </dgm:spPr>
      <dgm:t>
        <a:bodyPr lIns="108000" anchor="ctr" anchorCtr="0"/>
        <a:lstStyle/>
        <a:p>
          <a:pPr>
            <a:buChar char="•"/>
          </a:pPr>
          <a:r>
            <a:rPr lang="pl-PL" sz="1200">
              <a:solidFill>
                <a:sysClr val="window" lastClr="FFFFFF"/>
              </a:solidFill>
              <a:latin typeface="Calibri" panose="020F0502020204030204"/>
              <a:ea typeface="+mn-ea"/>
              <a:cs typeface="+mn-cs"/>
            </a:rPr>
            <a:t>wzory przemysłowe: 0,3%</a:t>
          </a:r>
        </a:p>
      </dgm:t>
    </dgm:pt>
    <dgm:pt modelId="{BFC43E63-9915-4BA1-A498-1239739C0226}" type="parTrans" cxnId="{F450B62E-50B4-4719-9BD8-C02F007A934B}">
      <dgm:prSet/>
      <dgm:spPr/>
      <dgm:t>
        <a:bodyPr/>
        <a:lstStyle/>
        <a:p>
          <a:endParaRPr lang="pl-PL"/>
        </a:p>
      </dgm:t>
    </dgm:pt>
    <dgm:pt modelId="{A60AA781-2738-47F7-83A3-7A0585B1FDCA}" type="sibTrans" cxnId="{F450B62E-50B4-4719-9BD8-C02F007A934B}">
      <dgm:prSet/>
      <dgm:spPr/>
      <dgm:t>
        <a:bodyPr/>
        <a:lstStyle/>
        <a:p>
          <a:endParaRPr lang="pl-PL"/>
        </a:p>
      </dgm:t>
    </dgm:pt>
    <dgm:pt modelId="{41A8357E-94AB-4433-9DCA-E4EF1FF5C7BE}">
      <dgm:prSet custT="1"/>
      <dgm:spPr>
        <a:xfrm>
          <a:off x="1676396" y="1436898"/>
          <a:ext cx="2743200" cy="1305966"/>
        </a:xfrm>
        <a:solidFill>
          <a:srgbClr val="4472C4">
            <a:lumMod val="75000"/>
            <a:alpha val="90000"/>
          </a:srgbClr>
        </a:solidFill>
        <a:ln w="12700" cap="flat" cmpd="sng" algn="ctr">
          <a:solidFill>
            <a:srgbClr val="4472C4">
              <a:alpha val="90000"/>
              <a:tint val="40000"/>
              <a:hueOff val="0"/>
              <a:satOff val="0"/>
              <a:lumOff val="0"/>
              <a:alphaOff val="0"/>
            </a:srgbClr>
          </a:solidFill>
          <a:prstDash val="solid"/>
          <a:miter lim="800000"/>
        </a:ln>
        <a:effectLst/>
      </dgm:spPr>
      <dgm:t>
        <a:bodyPr lIns="108000" anchor="ctr" anchorCtr="0"/>
        <a:lstStyle/>
        <a:p>
          <a:pPr>
            <a:buChar char="•"/>
          </a:pPr>
          <a:r>
            <a:rPr lang="pl-PL" sz="1200">
              <a:solidFill>
                <a:sysClr val="window" lastClr="FFFFFF"/>
              </a:solidFill>
              <a:latin typeface="Calibri" panose="020F0502020204030204"/>
              <a:ea typeface="+mn-ea"/>
              <a:cs typeface="+mn-cs"/>
            </a:rPr>
            <a:t>wynalazki: 0,8%</a:t>
          </a:r>
        </a:p>
      </dgm:t>
    </dgm:pt>
    <dgm:pt modelId="{4AF3E5F9-D299-4B88-8218-C6EAF4A6B2E3}" type="parTrans" cxnId="{19A5F2B7-F81C-4D5E-B0FC-529B1DE13B5F}">
      <dgm:prSet/>
      <dgm:spPr/>
      <dgm:t>
        <a:bodyPr/>
        <a:lstStyle/>
        <a:p>
          <a:endParaRPr lang="pl-PL"/>
        </a:p>
      </dgm:t>
    </dgm:pt>
    <dgm:pt modelId="{46C4230B-F74A-444F-95CE-9E988D1E1AD3}" type="sibTrans" cxnId="{19A5F2B7-F81C-4D5E-B0FC-529B1DE13B5F}">
      <dgm:prSet/>
      <dgm:spPr/>
      <dgm:t>
        <a:bodyPr/>
        <a:lstStyle/>
        <a:p>
          <a:endParaRPr lang="pl-PL"/>
        </a:p>
      </dgm:t>
    </dgm:pt>
    <dgm:pt modelId="{4FA06906-945D-47CB-A85B-EA9E8A984FDC}">
      <dgm:prSet phldrT="[Tekst]" custT="1"/>
      <dgm:spPr>
        <a:xfrm>
          <a:off x="152403" y="1614490"/>
          <a:ext cx="1523993" cy="950783"/>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l-PL" sz="2200">
              <a:solidFill>
                <a:sysClr val="window" lastClr="FFFFFF"/>
              </a:solidFill>
              <a:latin typeface="Calibri" panose="020F0502020204030204"/>
              <a:ea typeface="+mn-ea"/>
              <a:cs typeface="+mn-cs"/>
            </a:rPr>
            <a:t>Usługi</a:t>
          </a:r>
        </a:p>
      </dgm:t>
    </dgm:pt>
    <dgm:pt modelId="{3297D64F-490D-48A2-B6E0-FE2F31BF7BAF}" type="sibTrans" cxnId="{DFD4C3FE-D1E9-40EE-92E7-EC31DFAF6EAE}">
      <dgm:prSet/>
      <dgm:spPr/>
      <dgm:t>
        <a:bodyPr/>
        <a:lstStyle/>
        <a:p>
          <a:endParaRPr lang="pl-PL"/>
        </a:p>
      </dgm:t>
    </dgm:pt>
    <dgm:pt modelId="{AEB76873-6D35-4FFA-8E02-C51ADDCB9DAE}" type="parTrans" cxnId="{DFD4C3FE-D1E9-40EE-92E7-EC31DFAF6EAE}">
      <dgm:prSet/>
      <dgm:spPr/>
      <dgm:t>
        <a:bodyPr/>
        <a:lstStyle/>
        <a:p>
          <a:endParaRPr lang="pl-PL"/>
        </a:p>
      </dgm:t>
    </dgm:pt>
    <dgm:pt modelId="{EC899AC3-3F32-47F0-AD23-AB9E028DB7D0}" type="pres">
      <dgm:prSet presAssocID="{335CD39A-E419-4511-80E9-BCE425C36C52}" presName="Name0" presStyleCnt="0">
        <dgm:presLayoutVars>
          <dgm:dir/>
          <dgm:animLvl val="lvl"/>
          <dgm:resizeHandles/>
        </dgm:presLayoutVars>
      </dgm:prSet>
      <dgm:spPr/>
    </dgm:pt>
    <dgm:pt modelId="{7FF85631-D5FD-4BC8-9DD9-B68875848C00}" type="pres">
      <dgm:prSet presAssocID="{4E19A425-A547-437F-9669-F6F0AFBBFC2B}" presName="linNode" presStyleCnt="0"/>
      <dgm:spPr/>
    </dgm:pt>
    <dgm:pt modelId="{C4E4A705-3C8A-4593-9943-19ABBF3F6F4C}" type="pres">
      <dgm:prSet presAssocID="{4E19A425-A547-437F-9669-F6F0AFBBFC2B}" presName="parentShp" presStyleLbl="node1" presStyleIdx="0" presStyleCnt="2" custScaleX="83333" custScaleY="69886">
        <dgm:presLayoutVars>
          <dgm:bulletEnabled val="1"/>
        </dgm:presLayoutVars>
      </dgm:prSet>
      <dgm:spPr>
        <a:prstGeom prst="roundRect">
          <a:avLst/>
        </a:prstGeom>
      </dgm:spPr>
    </dgm:pt>
    <dgm:pt modelId="{D21CA095-8EC3-41B6-9CB0-726BEE38FEC5}" type="pres">
      <dgm:prSet presAssocID="{4E19A425-A547-437F-9669-F6F0AFBBFC2B}" presName="childShp" presStyleLbl="bgAccFollowNode1" presStyleIdx="0" presStyleCnt="2">
        <dgm:presLayoutVars>
          <dgm:bulletEnabled val="1"/>
        </dgm:presLayoutVars>
      </dgm:prSet>
      <dgm:spPr>
        <a:prstGeom prst="rightArrow">
          <a:avLst>
            <a:gd name="adj1" fmla="val 75000"/>
            <a:gd name="adj2" fmla="val 50000"/>
          </a:avLst>
        </a:prstGeom>
      </dgm:spPr>
    </dgm:pt>
    <dgm:pt modelId="{8CF620E3-ED16-4CC1-9DDA-63F8852F776C}" type="pres">
      <dgm:prSet presAssocID="{214E61DD-74F7-424A-8321-13E70AAC0F77}" presName="spacing" presStyleCnt="0"/>
      <dgm:spPr/>
    </dgm:pt>
    <dgm:pt modelId="{496598A3-2BD7-4F26-9767-A6F578F58777}" type="pres">
      <dgm:prSet presAssocID="{4FA06906-945D-47CB-A85B-EA9E8A984FDC}" presName="linNode" presStyleCnt="0"/>
      <dgm:spPr/>
    </dgm:pt>
    <dgm:pt modelId="{767A527A-63C2-4F66-92E7-8415788E5777}" type="pres">
      <dgm:prSet presAssocID="{4FA06906-945D-47CB-A85B-EA9E8A984FDC}" presName="parentShp" presStyleLbl="node1" presStyleIdx="1" presStyleCnt="2" custScaleX="83333" custScaleY="72803">
        <dgm:presLayoutVars>
          <dgm:bulletEnabled val="1"/>
        </dgm:presLayoutVars>
      </dgm:prSet>
      <dgm:spPr>
        <a:prstGeom prst="roundRect">
          <a:avLst/>
        </a:prstGeom>
      </dgm:spPr>
    </dgm:pt>
    <dgm:pt modelId="{A92EE9EF-5A5A-4047-886D-9AF8E1B4F462}" type="pres">
      <dgm:prSet presAssocID="{4FA06906-945D-47CB-A85B-EA9E8A984FDC}" presName="childShp" presStyleLbl="bgAccFollowNode1" presStyleIdx="1" presStyleCnt="2">
        <dgm:presLayoutVars>
          <dgm:bulletEnabled val="1"/>
        </dgm:presLayoutVars>
      </dgm:prSet>
      <dgm:spPr>
        <a:prstGeom prst="rightArrow">
          <a:avLst>
            <a:gd name="adj1" fmla="val 75000"/>
            <a:gd name="adj2" fmla="val 50000"/>
          </a:avLst>
        </a:prstGeom>
      </dgm:spPr>
    </dgm:pt>
  </dgm:ptLst>
  <dgm:cxnLst>
    <dgm:cxn modelId="{7F7BB00D-407F-4A61-815E-A086FE1F7D44}" srcId="{4FA06906-945D-47CB-A85B-EA9E8A984FDC}" destId="{20120DF6-8B0C-471F-A9E1-F04A27E6C9AA}" srcOrd="0" destOrd="0" parTransId="{B8771040-F55A-4B93-B4E6-40535F75B933}" sibTransId="{3E8681F7-AA59-40EF-B2D2-ED2AE39896DB}"/>
    <dgm:cxn modelId="{84DD8416-983B-442B-B610-E2C94E1C6AB8}" srcId="{4E19A425-A547-437F-9669-F6F0AFBBFC2B}" destId="{9F348E77-A81B-482B-BD4A-1A728F3EB707}" srcOrd="2" destOrd="0" parTransId="{B604A121-7A49-4E52-8334-52AF73722B38}" sibTransId="{67D94795-4624-40B4-8F91-ABAA0970A7BA}"/>
    <dgm:cxn modelId="{BAB5C822-8316-4286-9955-9BABFEAE14A7}" type="presOf" srcId="{50A80B4F-3DEF-4DAE-B0AC-F51FAA58259E}" destId="{D21CA095-8EC3-41B6-9CB0-726BEE38FEC5}" srcOrd="0" destOrd="1" presId="urn:microsoft.com/office/officeart/2005/8/layout/vList6"/>
    <dgm:cxn modelId="{BB4E2E28-2760-493C-AEF5-F8CB1DD803DB}" type="presOf" srcId="{1CE02432-F777-4F38-B3B4-7A76100482C0}" destId="{A92EE9EF-5A5A-4047-886D-9AF8E1B4F462}" srcOrd="0" destOrd="2" presId="urn:microsoft.com/office/officeart/2005/8/layout/vList6"/>
    <dgm:cxn modelId="{9A696629-231B-41C4-BF2C-EB8CA53CA8EF}" type="presOf" srcId="{4E19A425-A547-437F-9669-F6F0AFBBFC2B}" destId="{C4E4A705-3C8A-4593-9943-19ABBF3F6F4C}" srcOrd="0" destOrd="0" presId="urn:microsoft.com/office/officeart/2005/8/layout/vList6"/>
    <dgm:cxn modelId="{F450B62E-50B4-4719-9BD8-C02F007A934B}" srcId="{4FA06906-945D-47CB-A85B-EA9E8A984FDC}" destId="{1CE02432-F777-4F38-B3B4-7A76100482C0}" srcOrd="2" destOrd="0" parTransId="{BFC43E63-9915-4BA1-A498-1239739C0226}" sibTransId="{A60AA781-2738-47F7-83A3-7A0585B1FDCA}"/>
    <dgm:cxn modelId="{658DA048-AB32-4F8B-9982-03D77D624393}" type="presOf" srcId="{9F348E77-A81B-482B-BD4A-1A728F3EB707}" destId="{D21CA095-8EC3-41B6-9CB0-726BEE38FEC5}" srcOrd="0" destOrd="2" presId="urn:microsoft.com/office/officeart/2005/8/layout/vList6"/>
    <dgm:cxn modelId="{C9C6EC69-5E56-4F80-8342-36C611E6D900}" srcId="{4E19A425-A547-437F-9669-F6F0AFBBFC2B}" destId="{48AD12FB-58D4-4447-8B1F-7A9B2B7CAD0C}" srcOrd="3" destOrd="0" parTransId="{BD12CA04-5598-4CBE-8A35-9E96345FCC3A}" sibTransId="{48C1855B-6713-448E-9C82-B34DC361AE3E}"/>
    <dgm:cxn modelId="{437F966D-B3A9-4ECE-AC93-BB86AFFBCFC8}" type="presOf" srcId="{41A8357E-94AB-4433-9DCA-E4EF1FF5C7BE}" destId="{A92EE9EF-5A5A-4047-886D-9AF8E1B4F462}" srcOrd="0" destOrd="3" presId="urn:microsoft.com/office/officeart/2005/8/layout/vList6"/>
    <dgm:cxn modelId="{2498BA4F-1914-432D-A3F4-F4DA0610E704}" type="presOf" srcId="{335CD39A-E419-4511-80E9-BCE425C36C52}" destId="{EC899AC3-3F32-47F0-AD23-AB9E028DB7D0}" srcOrd="0" destOrd="0" presId="urn:microsoft.com/office/officeart/2005/8/layout/vList6"/>
    <dgm:cxn modelId="{D374BE71-594D-4C76-A4E0-5DD30D201CA6}" type="presOf" srcId="{4FA06906-945D-47CB-A85B-EA9E8A984FDC}" destId="{767A527A-63C2-4F66-92E7-8415788E5777}" srcOrd="0" destOrd="0" presId="urn:microsoft.com/office/officeart/2005/8/layout/vList6"/>
    <dgm:cxn modelId="{0C00EE99-8B46-47D3-8CFB-D6C8FBB9DF49}" type="presOf" srcId="{1B60F64F-F528-41A5-8700-AD562B607B3F}" destId="{A92EE9EF-5A5A-4047-886D-9AF8E1B4F462}" srcOrd="0" destOrd="1" presId="urn:microsoft.com/office/officeart/2005/8/layout/vList6"/>
    <dgm:cxn modelId="{BF03079F-5F52-45CE-8387-0828923C9267}" srcId="{4FA06906-945D-47CB-A85B-EA9E8A984FDC}" destId="{1B60F64F-F528-41A5-8700-AD562B607B3F}" srcOrd="1" destOrd="0" parTransId="{4E1C1AD9-C346-485B-8500-7DBC022AD900}" sibTransId="{428C385B-44B7-406B-9652-DBBAC0244C3C}"/>
    <dgm:cxn modelId="{866F5DB3-11D3-4B50-B03B-99733A524B6D}" type="presOf" srcId="{F100CFBB-D400-4D05-8DA8-4EB827858E49}" destId="{D21CA095-8EC3-41B6-9CB0-726BEE38FEC5}" srcOrd="0" destOrd="0" presId="urn:microsoft.com/office/officeart/2005/8/layout/vList6"/>
    <dgm:cxn modelId="{19A5F2B7-F81C-4D5E-B0FC-529B1DE13B5F}" srcId="{4FA06906-945D-47CB-A85B-EA9E8A984FDC}" destId="{41A8357E-94AB-4433-9DCA-E4EF1FF5C7BE}" srcOrd="3" destOrd="0" parTransId="{4AF3E5F9-D299-4B88-8218-C6EAF4A6B2E3}" sibTransId="{46C4230B-F74A-444F-95CE-9E988D1E1AD3}"/>
    <dgm:cxn modelId="{DB67CBB9-08E5-4DF5-B325-A5E2E936B5AC}" srcId="{4E19A425-A547-437F-9669-F6F0AFBBFC2B}" destId="{50A80B4F-3DEF-4DAE-B0AC-F51FAA58259E}" srcOrd="1" destOrd="0" parTransId="{531AB99D-9BA1-4BCA-BF09-8618B8F89A24}" sibTransId="{E8D3B92E-F079-4E43-B3EB-C30C528AAAF1}"/>
    <dgm:cxn modelId="{5053CFB9-D9C1-44D7-BD92-17227EDB9137}" type="presOf" srcId="{20120DF6-8B0C-471F-A9E1-F04A27E6C9AA}" destId="{A92EE9EF-5A5A-4047-886D-9AF8E1B4F462}" srcOrd="0" destOrd="0" presId="urn:microsoft.com/office/officeart/2005/8/layout/vList6"/>
    <dgm:cxn modelId="{6FF61BBA-D486-4380-AECF-E919980534DA}" type="presOf" srcId="{48AD12FB-58D4-4447-8B1F-7A9B2B7CAD0C}" destId="{D21CA095-8EC3-41B6-9CB0-726BEE38FEC5}" srcOrd="0" destOrd="3" presId="urn:microsoft.com/office/officeart/2005/8/layout/vList6"/>
    <dgm:cxn modelId="{C7FDA7C1-91A0-49B6-B689-FB39F779A052}" srcId="{4E19A425-A547-437F-9669-F6F0AFBBFC2B}" destId="{F100CFBB-D400-4D05-8DA8-4EB827858E49}" srcOrd="0" destOrd="0" parTransId="{94360A8E-B4CE-46B3-A9A5-562685A24285}" sibTransId="{754F5C09-B64D-4D4B-9831-C5B6CFCE45DD}"/>
    <dgm:cxn modelId="{62E96DC5-0600-4BB3-A656-CE8698690D0F}" srcId="{335CD39A-E419-4511-80E9-BCE425C36C52}" destId="{4E19A425-A547-437F-9669-F6F0AFBBFC2B}" srcOrd="0" destOrd="0" parTransId="{B464FB57-1F19-4233-AABE-89FBF1CFC9BE}" sibTransId="{214E61DD-74F7-424A-8321-13E70AAC0F77}"/>
    <dgm:cxn modelId="{DFD4C3FE-D1E9-40EE-92E7-EC31DFAF6EAE}" srcId="{335CD39A-E419-4511-80E9-BCE425C36C52}" destId="{4FA06906-945D-47CB-A85B-EA9E8A984FDC}" srcOrd="1" destOrd="0" parTransId="{AEB76873-6D35-4FFA-8E02-C51ADDCB9DAE}" sibTransId="{3297D64F-490D-48A2-B6E0-FE2F31BF7BAF}"/>
    <dgm:cxn modelId="{EAC158AC-1F70-4342-9A42-8634DF2B53B9}" type="presParOf" srcId="{EC899AC3-3F32-47F0-AD23-AB9E028DB7D0}" destId="{7FF85631-D5FD-4BC8-9DD9-B68875848C00}" srcOrd="0" destOrd="0" presId="urn:microsoft.com/office/officeart/2005/8/layout/vList6"/>
    <dgm:cxn modelId="{1E21AEAA-65BD-4851-97D7-7CE859E9659B}" type="presParOf" srcId="{7FF85631-D5FD-4BC8-9DD9-B68875848C00}" destId="{C4E4A705-3C8A-4593-9943-19ABBF3F6F4C}" srcOrd="0" destOrd="0" presId="urn:microsoft.com/office/officeart/2005/8/layout/vList6"/>
    <dgm:cxn modelId="{1F78883B-5934-4F07-8CBC-AA1936306C86}" type="presParOf" srcId="{7FF85631-D5FD-4BC8-9DD9-B68875848C00}" destId="{D21CA095-8EC3-41B6-9CB0-726BEE38FEC5}" srcOrd="1" destOrd="0" presId="urn:microsoft.com/office/officeart/2005/8/layout/vList6"/>
    <dgm:cxn modelId="{C82D56CE-B615-4625-9DAE-57AB1C70AA40}" type="presParOf" srcId="{EC899AC3-3F32-47F0-AD23-AB9E028DB7D0}" destId="{8CF620E3-ED16-4CC1-9DDA-63F8852F776C}" srcOrd="1" destOrd="0" presId="urn:microsoft.com/office/officeart/2005/8/layout/vList6"/>
    <dgm:cxn modelId="{EC8E7408-F09C-43E6-BD0E-C835DC42001A}" type="presParOf" srcId="{EC899AC3-3F32-47F0-AD23-AB9E028DB7D0}" destId="{496598A3-2BD7-4F26-9767-A6F578F58777}" srcOrd="2" destOrd="0" presId="urn:microsoft.com/office/officeart/2005/8/layout/vList6"/>
    <dgm:cxn modelId="{DCF6723A-1778-4EBC-8053-396331A576A2}" type="presParOf" srcId="{496598A3-2BD7-4F26-9767-A6F578F58777}" destId="{767A527A-63C2-4F66-92E7-8415788E5777}" srcOrd="0" destOrd="0" presId="urn:microsoft.com/office/officeart/2005/8/layout/vList6"/>
    <dgm:cxn modelId="{6530D6B2-32CF-4A21-84BD-CC10BDC03BAD}" type="presParOf" srcId="{496598A3-2BD7-4F26-9767-A6F578F58777}" destId="{A92EE9EF-5A5A-4047-886D-9AF8E1B4F462}" srcOrd="1" destOrd="0" presId="urn:microsoft.com/office/officeart/2005/8/layout/vList6"/>
  </dgm:cxnLst>
  <dgm:bg/>
  <dgm:whole/>
  <dgm:extLst>
    <a:ext uri="http://schemas.microsoft.com/office/drawing/2008/diagram">
      <dsp:dataModelExt xmlns:dsp="http://schemas.microsoft.com/office/drawing/2008/diagram" relId="rId1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1CA095-8EC3-41B6-9CB0-726BEE38FEC5}">
      <dsp:nvSpPr>
        <dsp:cNvPr id="0" name=""/>
        <dsp:cNvSpPr/>
      </dsp:nvSpPr>
      <dsp:spPr>
        <a:xfrm>
          <a:off x="1419835" y="284"/>
          <a:ext cx="2323371" cy="1109510"/>
        </a:xfrm>
        <a:prstGeom prst="rightArrow">
          <a:avLst>
            <a:gd name="adj1" fmla="val 75000"/>
            <a:gd name="adj2" fmla="val 50000"/>
          </a:avLst>
        </a:prstGeom>
        <a:solidFill>
          <a:srgbClr val="4472C4">
            <a:lumMod val="75000"/>
            <a:alpha val="9000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8000" tIns="7620" rIns="7620" bIns="7620" numCol="1" spcCol="1270" anchor="ctr" anchorCtr="0">
          <a:noAutofit/>
        </a:bodyPr>
        <a:lstStyle/>
        <a:p>
          <a:pPr marL="114300" lvl="1" indent="-114300" algn="l" defTabSz="533400">
            <a:lnSpc>
              <a:spcPct val="90000"/>
            </a:lnSpc>
            <a:spcBef>
              <a:spcPct val="0"/>
            </a:spcBef>
            <a:spcAft>
              <a:spcPct val="15000"/>
            </a:spcAft>
            <a:buChar char="•"/>
          </a:pPr>
          <a:r>
            <a:rPr lang="pl-PL" sz="1200" kern="1200">
              <a:solidFill>
                <a:sysClr val="window" lastClr="FFFFFF"/>
              </a:solidFill>
              <a:latin typeface="Calibri" panose="020F0502020204030204"/>
              <a:ea typeface="+mn-ea"/>
              <a:cs typeface="+mn-cs"/>
            </a:rPr>
            <a:t>znaki towarowe: 4,3%</a:t>
          </a:r>
        </a:p>
        <a:p>
          <a:pPr marL="114300" lvl="1" indent="-114300" algn="l" defTabSz="533400">
            <a:lnSpc>
              <a:spcPct val="90000"/>
            </a:lnSpc>
            <a:spcBef>
              <a:spcPct val="0"/>
            </a:spcBef>
            <a:spcAft>
              <a:spcPct val="15000"/>
            </a:spcAft>
            <a:buChar char="•"/>
          </a:pPr>
          <a:r>
            <a:rPr lang="pl-PL" sz="1200" kern="1200">
              <a:solidFill>
                <a:sysClr val="window" lastClr="FFFFFF"/>
              </a:solidFill>
              <a:latin typeface="Calibri" panose="020F0502020204030204"/>
              <a:ea typeface="+mn-ea"/>
              <a:cs typeface="+mn-cs"/>
            </a:rPr>
            <a:t>wzory użytkowe: 1,4%</a:t>
          </a:r>
        </a:p>
        <a:p>
          <a:pPr marL="114300" lvl="1" indent="-114300" algn="l" defTabSz="533400">
            <a:lnSpc>
              <a:spcPct val="90000"/>
            </a:lnSpc>
            <a:spcBef>
              <a:spcPct val="0"/>
            </a:spcBef>
            <a:spcAft>
              <a:spcPct val="15000"/>
            </a:spcAft>
            <a:buChar char="•"/>
          </a:pPr>
          <a:r>
            <a:rPr lang="pl-PL" sz="1200" kern="1200">
              <a:solidFill>
                <a:sysClr val="window" lastClr="FFFFFF"/>
              </a:solidFill>
              <a:latin typeface="Calibri" panose="020F0502020204030204"/>
              <a:ea typeface="+mn-ea"/>
              <a:cs typeface="+mn-cs"/>
            </a:rPr>
            <a:t>wzory przemysłowe: 1,1%</a:t>
          </a:r>
        </a:p>
        <a:p>
          <a:pPr marL="114300" lvl="1" indent="-114300" algn="l" defTabSz="533400">
            <a:lnSpc>
              <a:spcPct val="90000"/>
            </a:lnSpc>
            <a:spcBef>
              <a:spcPct val="0"/>
            </a:spcBef>
            <a:spcAft>
              <a:spcPct val="15000"/>
            </a:spcAft>
            <a:buChar char="•"/>
          </a:pPr>
          <a:r>
            <a:rPr lang="pl-PL" sz="1200" kern="1200">
              <a:solidFill>
                <a:sysClr val="window" lastClr="FFFFFF"/>
              </a:solidFill>
              <a:latin typeface="Calibri" panose="020F0502020204030204"/>
              <a:ea typeface="+mn-ea"/>
              <a:cs typeface="+mn-cs"/>
            </a:rPr>
            <a:t>wynalazki: 2,9%</a:t>
          </a:r>
        </a:p>
      </dsp:txBody>
      <dsp:txXfrm>
        <a:off x="1419835" y="138973"/>
        <a:ext cx="1907305" cy="832132"/>
      </dsp:txXfrm>
    </dsp:sp>
    <dsp:sp modelId="{C4E4A705-3C8A-4593-9943-19ABBF3F6F4C}">
      <dsp:nvSpPr>
        <dsp:cNvPr id="0" name=""/>
        <dsp:cNvSpPr/>
      </dsp:nvSpPr>
      <dsp:spPr>
        <a:xfrm>
          <a:off x="129078" y="167343"/>
          <a:ext cx="1290756" cy="775392"/>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41910" rIns="83820" bIns="41910" numCol="1" spcCol="1270" anchor="ctr" anchorCtr="0">
          <a:noAutofit/>
        </a:bodyPr>
        <a:lstStyle/>
        <a:p>
          <a:pPr marL="0" lvl="0" indent="0" algn="ctr" defTabSz="977900">
            <a:lnSpc>
              <a:spcPct val="90000"/>
            </a:lnSpc>
            <a:spcBef>
              <a:spcPct val="0"/>
            </a:spcBef>
            <a:spcAft>
              <a:spcPct val="35000"/>
            </a:spcAft>
            <a:buNone/>
          </a:pPr>
          <a:r>
            <a:rPr lang="pl-PL" sz="2200" kern="1200">
              <a:solidFill>
                <a:sysClr val="window" lastClr="FFFFFF"/>
              </a:solidFill>
              <a:latin typeface="Calibri" panose="020F0502020204030204"/>
              <a:ea typeface="+mn-ea"/>
              <a:cs typeface="+mn-cs"/>
            </a:rPr>
            <a:t>Przemysł</a:t>
          </a:r>
        </a:p>
      </dsp:txBody>
      <dsp:txXfrm>
        <a:off x="166930" y="205195"/>
        <a:ext cx="1215052" cy="699688"/>
      </dsp:txXfrm>
    </dsp:sp>
    <dsp:sp modelId="{A92EE9EF-5A5A-4047-886D-9AF8E1B4F462}">
      <dsp:nvSpPr>
        <dsp:cNvPr id="0" name=""/>
        <dsp:cNvSpPr/>
      </dsp:nvSpPr>
      <dsp:spPr>
        <a:xfrm>
          <a:off x="1419835" y="1220746"/>
          <a:ext cx="2323371" cy="1109510"/>
        </a:xfrm>
        <a:prstGeom prst="rightArrow">
          <a:avLst>
            <a:gd name="adj1" fmla="val 75000"/>
            <a:gd name="adj2" fmla="val 50000"/>
          </a:avLst>
        </a:prstGeom>
        <a:solidFill>
          <a:srgbClr val="4472C4">
            <a:lumMod val="75000"/>
            <a:alpha val="9000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8000" tIns="7620" rIns="7620" bIns="7620" numCol="1" spcCol="1270" anchor="ctr" anchorCtr="0">
          <a:noAutofit/>
        </a:bodyPr>
        <a:lstStyle/>
        <a:p>
          <a:pPr marL="114300" lvl="1" indent="-114300" algn="l" defTabSz="533400">
            <a:lnSpc>
              <a:spcPct val="90000"/>
            </a:lnSpc>
            <a:spcBef>
              <a:spcPct val="0"/>
            </a:spcBef>
            <a:spcAft>
              <a:spcPct val="15000"/>
            </a:spcAft>
            <a:buChar char="•"/>
          </a:pPr>
          <a:r>
            <a:rPr lang="pl-PL" sz="1200" kern="1200">
              <a:solidFill>
                <a:sysClr val="window" lastClr="FFFFFF"/>
              </a:solidFill>
              <a:latin typeface="Calibri" panose="020F0502020204030204"/>
              <a:ea typeface="+mn-ea"/>
              <a:cs typeface="+mn-cs"/>
            </a:rPr>
            <a:t>znaki towarowe: 3,6%</a:t>
          </a:r>
        </a:p>
        <a:p>
          <a:pPr marL="114300" lvl="1" indent="-114300" algn="l" defTabSz="533400">
            <a:lnSpc>
              <a:spcPct val="90000"/>
            </a:lnSpc>
            <a:spcBef>
              <a:spcPct val="0"/>
            </a:spcBef>
            <a:spcAft>
              <a:spcPct val="15000"/>
            </a:spcAft>
            <a:buChar char="•"/>
          </a:pPr>
          <a:r>
            <a:rPr lang="pl-PL" sz="1200" kern="1200">
              <a:solidFill>
                <a:sysClr val="window" lastClr="FFFFFF"/>
              </a:solidFill>
              <a:latin typeface="Calibri" panose="020F0502020204030204"/>
              <a:ea typeface="+mn-ea"/>
              <a:cs typeface="+mn-cs"/>
            </a:rPr>
            <a:t>wzory użytkowe: 0,2%</a:t>
          </a:r>
        </a:p>
        <a:p>
          <a:pPr marL="114300" lvl="1" indent="-114300" algn="l" defTabSz="533400">
            <a:lnSpc>
              <a:spcPct val="90000"/>
            </a:lnSpc>
            <a:spcBef>
              <a:spcPct val="0"/>
            </a:spcBef>
            <a:spcAft>
              <a:spcPct val="15000"/>
            </a:spcAft>
            <a:buChar char="•"/>
          </a:pPr>
          <a:r>
            <a:rPr lang="pl-PL" sz="1200" kern="1200">
              <a:solidFill>
                <a:sysClr val="window" lastClr="FFFFFF"/>
              </a:solidFill>
              <a:latin typeface="Calibri" panose="020F0502020204030204"/>
              <a:ea typeface="+mn-ea"/>
              <a:cs typeface="+mn-cs"/>
            </a:rPr>
            <a:t>wzory przemysłowe: 0,3%</a:t>
          </a:r>
        </a:p>
        <a:p>
          <a:pPr marL="114300" lvl="1" indent="-114300" algn="l" defTabSz="533400">
            <a:lnSpc>
              <a:spcPct val="90000"/>
            </a:lnSpc>
            <a:spcBef>
              <a:spcPct val="0"/>
            </a:spcBef>
            <a:spcAft>
              <a:spcPct val="15000"/>
            </a:spcAft>
            <a:buChar char="•"/>
          </a:pPr>
          <a:r>
            <a:rPr lang="pl-PL" sz="1200" kern="1200">
              <a:solidFill>
                <a:sysClr val="window" lastClr="FFFFFF"/>
              </a:solidFill>
              <a:latin typeface="Calibri" panose="020F0502020204030204"/>
              <a:ea typeface="+mn-ea"/>
              <a:cs typeface="+mn-cs"/>
            </a:rPr>
            <a:t>wynalazki: 0,8%</a:t>
          </a:r>
        </a:p>
      </dsp:txBody>
      <dsp:txXfrm>
        <a:off x="1419835" y="1359435"/>
        <a:ext cx="1907305" cy="832132"/>
      </dsp:txXfrm>
    </dsp:sp>
    <dsp:sp modelId="{767A527A-63C2-4F66-92E7-8415788E5777}">
      <dsp:nvSpPr>
        <dsp:cNvPr id="0" name=""/>
        <dsp:cNvSpPr/>
      </dsp:nvSpPr>
      <dsp:spPr>
        <a:xfrm>
          <a:off x="129078" y="1371623"/>
          <a:ext cx="1290756" cy="807757"/>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41910" rIns="83820" bIns="41910" numCol="1" spcCol="1270" anchor="ctr" anchorCtr="0">
          <a:noAutofit/>
        </a:bodyPr>
        <a:lstStyle/>
        <a:p>
          <a:pPr marL="0" lvl="0" indent="0" algn="ctr" defTabSz="977900">
            <a:lnSpc>
              <a:spcPct val="90000"/>
            </a:lnSpc>
            <a:spcBef>
              <a:spcPct val="0"/>
            </a:spcBef>
            <a:spcAft>
              <a:spcPct val="35000"/>
            </a:spcAft>
            <a:buNone/>
          </a:pPr>
          <a:r>
            <a:rPr lang="pl-PL" sz="2200" kern="1200">
              <a:solidFill>
                <a:sysClr val="window" lastClr="FFFFFF"/>
              </a:solidFill>
              <a:latin typeface="Calibri" panose="020F0502020204030204"/>
              <a:ea typeface="+mn-ea"/>
              <a:cs typeface="+mn-cs"/>
            </a:rPr>
            <a:t>Usługi</a:t>
          </a:r>
        </a:p>
      </dsp:txBody>
      <dsp:txXfrm>
        <a:off x="168509" y="1411054"/>
        <a:ext cx="1211894" cy="728895"/>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0.11077</cdr:x>
      <cdr:y>0</cdr:y>
    </cdr:from>
    <cdr:to>
      <cdr:x>0.232</cdr:x>
      <cdr:y>0.10155</cdr:y>
    </cdr:to>
    <cdr:sp macro="" textlink="">
      <cdr:nvSpPr>
        <cdr:cNvPr id="2" name="Objaśnienie prostokątne zaokrąglone 1"/>
        <cdr:cNvSpPr/>
      </cdr:nvSpPr>
      <cdr:spPr>
        <a:xfrm xmlns:a="http://schemas.openxmlformats.org/drawingml/2006/main">
          <a:off x="447370" y="0"/>
          <a:ext cx="489585" cy="292100"/>
        </a:xfrm>
        <a:prstGeom xmlns:a="http://schemas.openxmlformats.org/drawingml/2006/main" prst="wedgeRoundRectCallout">
          <a:avLst>
            <a:gd name="adj1" fmla="val 37062"/>
            <a:gd name="adj2" fmla="val 115697"/>
            <a:gd name="adj3" fmla="val 16667"/>
          </a:avLst>
        </a:prstGeom>
        <a:gradFill xmlns:a="http://schemas.openxmlformats.org/drawingml/2006/main"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xmlns:a="http://schemas.openxmlformats.org/drawingml/2006/main" w="9525" cap="flat" cmpd="sng" algn="ctr">
          <a:solidFill>
            <a:sysClr val="windowText" lastClr="000000">
              <a:shade val="95000"/>
              <a:satMod val="105000"/>
            </a:sysClr>
          </a:solidFill>
          <a:prstDash val="solid"/>
        </a:ln>
        <a:effectLst xmlns:a="http://schemas.openxmlformats.org/drawingml/2006/main">
          <a:outerShdw blurRad="40000" dist="20000" dir="5400000" rotWithShape="0">
            <a:srgbClr val="000000">
              <a:alpha val="38000"/>
            </a:srgbClr>
          </a:outerShdw>
        </a:effectLst>
      </cdr:spPr>
      <cdr:txBody>
        <a:bodyPr xmlns:a="http://schemas.openxmlformats.org/drawingml/2006/main" wrap="square">
          <a:noAutofit/>
        </a:bodyPr>
        <a:lstStyle xmlns:a="http://schemas.openxmlformats.org/drawingml/2006/main"/>
        <a:p xmlns:a="http://schemas.openxmlformats.org/drawingml/2006/main">
          <a:r>
            <a:rPr lang="pl-PL" sz="1000" b="1"/>
            <a:t>44,7</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07BAFF78104DFF82E4ABF4BC36ED5A"/>
        <w:category>
          <w:name w:val="Ogólne"/>
          <w:gallery w:val="placeholder"/>
        </w:category>
        <w:types>
          <w:type w:val="bbPlcHdr"/>
        </w:types>
        <w:behaviors>
          <w:behavior w:val="content"/>
        </w:behaviors>
        <w:guid w:val="{C79C6226-D539-4EC2-8955-04848EC43D96}"/>
      </w:docPartPr>
      <w:docPartBody>
        <w:p w:rsidR="00F56A80" w:rsidRDefault="00F56A80">
          <w:pPr>
            <w:pStyle w:val="CC07BAFF78104DFF82E4ABF4BC36ED5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ms Rmn">
    <w:altName w:val="Times New Roman"/>
    <w:panose1 w:val="02020603040505020304"/>
    <w:charset w:val="00"/>
    <w:family w:val="roman"/>
    <w:notTrueType/>
    <w:pitch w:val="variable"/>
    <w:sig w:usb0="00000003" w:usb1="00000000" w:usb2="00000000" w:usb3="00000000" w:csb0="00000001" w:csb1="00000000"/>
  </w:font>
  <w:font w:name="Roboto-Regular">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6A80"/>
    <w:rsid w:val="00071560"/>
    <w:rsid w:val="000C4A43"/>
    <w:rsid w:val="00136149"/>
    <w:rsid w:val="001C10E1"/>
    <w:rsid w:val="002235FF"/>
    <w:rsid w:val="002B4AFF"/>
    <w:rsid w:val="002D11FE"/>
    <w:rsid w:val="003129BA"/>
    <w:rsid w:val="0033417C"/>
    <w:rsid w:val="0037165D"/>
    <w:rsid w:val="00387C3C"/>
    <w:rsid w:val="005916EB"/>
    <w:rsid w:val="006C7304"/>
    <w:rsid w:val="00751DDE"/>
    <w:rsid w:val="008A5E43"/>
    <w:rsid w:val="00910439"/>
    <w:rsid w:val="0096020B"/>
    <w:rsid w:val="009D4457"/>
    <w:rsid w:val="00B52966"/>
    <w:rsid w:val="00B6285A"/>
    <w:rsid w:val="00B657F9"/>
    <w:rsid w:val="00BD6305"/>
    <w:rsid w:val="00C54F5A"/>
    <w:rsid w:val="00D40DA2"/>
    <w:rsid w:val="00DD583D"/>
    <w:rsid w:val="00ED4210"/>
    <w:rsid w:val="00F56A80"/>
    <w:rsid w:val="00FF5F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C07BAFF78104DFF82E4ABF4BC36ED5A">
    <w:name w:val="CC07BAFF78104DFF82E4ABF4BC36ED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NazwaPliku xmlns="8C029B3F-2CC4-4A59-AF0D-A90575FA3373">Zał. 1 Diagnoza do SP2030.docx</NazwaPliku>
    <Odbiorcy2 xmlns="8C029B3F-2CC4-4A59-AF0D-A90575FA3373" xsi:nil="true"/>
    <Osoba xmlns="8C029B3F-2CC4-4A59-AF0D-A90575FA3373">STAT\ORCZYKOWSKAM</Osoba>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0x003F9B028CC42C594AAF0DA90575FA3373</ContentTypeId>
    <TemplateUrl xmlns="http://schemas.microsoft.com/sharepoint/v3" xsi:nil="true"/>
    <NazwaPliku xmlns="8C029B3F-2CC4-4A59-AF0D-A90575FA3373">Zał. 1 Diagnoza do SP2030.docx.docx</NazwaPliku>
    <_SourceUrl xmlns="http://schemas.microsoft.com/sharepoint/v3" xsi:nil="true"/>
    <Odbiorcy2 xmlns="8C029B3F-2CC4-4A59-AF0D-A90575FA3373" xsi:nil="true"/>
    <xd_ProgID xmlns="http://schemas.microsoft.com/sharepoint/v3" xsi:nil="true"/>
    <Osoba xmlns="8C029B3F-2CC4-4A59-AF0D-A90575FA3373">STAT\Ceglarzjo</Osoba>
    <Order xmlns="http://schemas.microsoft.com/sharepoint/v3" xsi:nil="true"/>
    <_SharedFileIndex xmlns="http://schemas.microsoft.com/sharepoint/v3" xsi:nil="true"/>
    <MetaInfo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F099CA-01C5-4FA1-AC8E-3803CBA55627}">
  <ds:schemaRefs>
    <ds:schemaRef ds:uri="http://schemas.microsoft.com/office/2006/metadata/properties"/>
    <ds:schemaRef ds:uri="http://schemas.microsoft.com/office/infopath/2007/PartnerControls"/>
    <ds:schemaRef ds:uri="8C029B3F-2CC4-4A59-AF0D-A90575FA3373"/>
    <ds:schemaRef ds:uri="http://schemas.microsoft.com/sharepoint/v3"/>
  </ds:schemaRefs>
</ds:datastoreItem>
</file>

<file path=customXml/itemProps2.xml><?xml version="1.0" encoding="utf-8"?>
<ds:datastoreItem xmlns:ds="http://schemas.openxmlformats.org/officeDocument/2006/customXml" ds:itemID="{511AC5C6-D80F-44FF-B46A-9818E2A9D1F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3.xml><?xml version="1.0" encoding="utf-8"?>
<ds:datastoreItem xmlns:ds="http://schemas.openxmlformats.org/officeDocument/2006/customXml" ds:itemID="{1B8C4389-6B1C-4E49-8916-D8BEF33C1D8D}">
  <ds:schemaRefs>
    <ds:schemaRef ds:uri="http://schemas.openxmlformats.org/officeDocument/2006/bibliography"/>
  </ds:schemaRefs>
</ds:datastoreItem>
</file>

<file path=customXml/itemProps4.xml><?xml version="1.0" encoding="utf-8"?>
<ds:datastoreItem xmlns:ds="http://schemas.openxmlformats.org/officeDocument/2006/customXml" ds:itemID="{3343EAF5-2B82-4BDD-A4C7-204CB61EE5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517EE2D-5C37-4A0D-B0BF-FE4329891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DFB8F2B-A532-4D96-8391-DA06F5FAA2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129</Pages>
  <Words>45457</Words>
  <Characters>272746</Characters>
  <Application>Microsoft Office Word</Application>
  <DocSecurity>0</DocSecurity>
  <Lines>2272</Lines>
  <Paragraphs>635</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317568</CharactersWithSpaces>
  <SharedDoc>false</SharedDoc>
  <HLinks>
    <vt:vector size="810" baseType="variant">
      <vt:variant>
        <vt:i4>3145855</vt:i4>
      </vt:variant>
      <vt:variant>
        <vt:i4>1020</vt:i4>
      </vt:variant>
      <vt:variant>
        <vt:i4>0</vt:i4>
      </vt:variant>
      <vt:variant>
        <vt:i4>5</vt:i4>
      </vt:variant>
      <vt:variant>
        <vt:lpwstr>http://dx.doi.org/10.1787/data-00648-en</vt:lpwstr>
      </vt:variant>
      <vt:variant>
        <vt:lpwstr/>
      </vt:variant>
      <vt:variant>
        <vt:i4>4259922</vt:i4>
      </vt:variant>
      <vt:variant>
        <vt:i4>1017</vt:i4>
      </vt:variant>
      <vt:variant>
        <vt:i4>0</vt:i4>
      </vt:variant>
      <vt:variant>
        <vt:i4>5</vt:i4>
      </vt:variant>
      <vt:variant>
        <vt:lpwstr>https://badania.parp.gov.pl/raport-o-stanie-sektora-msp/stan-sektora-msp-w-polsce</vt:lpwstr>
      </vt:variant>
      <vt:variant>
        <vt:lpwstr/>
      </vt:variant>
      <vt:variant>
        <vt:i4>4259922</vt:i4>
      </vt:variant>
      <vt:variant>
        <vt:i4>1014</vt:i4>
      </vt:variant>
      <vt:variant>
        <vt:i4>0</vt:i4>
      </vt:variant>
      <vt:variant>
        <vt:i4>5</vt:i4>
      </vt:variant>
      <vt:variant>
        <vt:lpwstr>https://badania.parp.gov.pl/raport-o-stanie-sektora-msp/stan-sektora-msp-w-polsce</vt:lpwstr>
      </vt:variant>
      <vt:variant>
        <vt:lpwstr/>
      </vt:variant>
      <vt:variant>
        <vt:i4>6422575</vt:i4>
      </vt:variant>
      <vt:variant>
        <vt:i4>1011</vt:i4>
      </vt:variant>
      <vt:variant>
        <vt:i4>0</vt:i4>
      </vt:variant>
      <vt:variant>
        <vt:i4>5</vt:i4>
      </vt:variant>
      <vt:variant>
        <vt:lpwstr>http://www.parp.gov.pl/publikacje/ebook/553</vt:lpwstr>
      </vt:variant>
      <vt:variant>
        <vt:lpwstr/>
      </vt:variant>
      <vt:variant>
        <vt:i4>4259913</vt:i4>
      </vt:variant>
      <vt:variant>
        <vt:i4>1008</vt:i4>
      </vt:variant>
      <vt:variant>
        <vt:i4>0</vt:i4>
      </vt:variant>
      <vt:variant>
        <vt:i4>5</vt:i4>
      </vt:variant>
      <vt:variant>
        <vt:lpwstr>http://www.intracen.org/</vt:lpwstr>
      </vt:variant>
      <vt:variant>
        <vt:lpwstr/>
      </vt:variant>
      <vt:variant>
        <vt:i4>327707</vt:i4>
      </vt:variant>
      <vt:variant>
        <vt:i4>1005</vt:i4>
      </vt:variant>
      <vt:variant>
        <vt:i4>0</vt:i4>
      </vt:variant>
      <vt:variant>
        <vt:i4>5</vt:i4>
      </vt:variant>
      <vt:variant>
        <vt:lpwstr>http://stat.gov.pl/obszary-tematyczne/podmioty-gospodarcze-wyniki-finansowe/przedsiebiorstwa-niefinansowe/dzialalnosc-podmiotow-posiadajacych-jednostki-zagraniczne-w-2016-roku,5,9.html</vt:lpwstr>
      </vt:variant>
      <vt:variant>
        <vt:lpwstr/>
      </vt:variant>
      <vt:variant>
        <vt:i4>2359419</vt:i4>
      </vt:variant>
      <vt:variant>
        <vt:i4>1002</vt:i4>
      </vt:variant>
      <vt:variant>
        <vt:i4>0</vt:i4>
      </vt:variant>
      <vt:variant>
        <vt:i4>5</vt:i4>
      </vt:variant>
      <vt:variant>
        <vt:lpwstr>https://bdl.stat.gov.pl/BDL/metadane/cechy/3407</vt:lpwstr>
      </vt:variant>
      <vt:variant>
        <vt:lpwstr/>
      </vt:variant>
      <vt:variant>
        <vt:i4>2162811</vt:i4>
      </vt:variant>
      <vt:variant>
        <vt:i4>999</vt:i4>
      </vt:variant>
      <vt:variant>
        <vt:i4>0</vt:i4>
      </vt:variant>
      <vt:variant>
        <vt:i4>5</vt:i4>
      </vt:variant>
      <vt:variant>
        <vt:lpwstr>https://bdl.stat.gov.pl/BDL/metadane/cechy/3450</vt:lpwstr>
      </vt:variant>
      <vt:variant>
        <vt:lpwstr/>
      </vt:variant>
      <vt:variant>
        <vt:i4>3211313</vt:i4>
      </vt:variant>
      <vt:variant>
        <vt:i4>996</vt:i4>
      </vt:variant>
      <vt:variant>
        <vt:i4>0</vt:i4>
      </vt:variant>
      <vt:variant>
        <vt:i4>5</vt:i4>
      </vt:variant>
      <vt:variant>
        <vt:lpwstr>https://ec.europa.eu/digital-single-market/en/desi</vt:lpwstr>
      </vt:variant>
      <vt:variant>
        <vt:lpwstr/>
      </vt:variant>
      <vt:variant>
        <vt:i4>8323135</vt:i4>
      </vt:variant>
      <vt:variant>
        <vt:i4>921</vt:i4>
      </vt:variant>
      <vt:variant>
        <vt:i4>0</vt:i4>
      </vt:variant>
      <vt:variant>
        <vt:i4>5</vt:i4>
      </vt:variant>
      <vt:variant>
        <vt:lpwstr>http://stat.gov.pl/obszary-tematyczne/roczniki-statystyczne/roczniki-statystyczne/rocznik-statystyczny-przemyslu-2017,5,11.html</vt:lpwstr>
      </vt:variant>
      <vt:variant>
        <vt:lpwstr/>
      </vt:variant>
      <vt:variant>
        <vt:i4>5898313</vt:i4>
      </vt:variant>
      <vt:variant>
        <vt:i4>918</vt:i4>
      </vt:variant>
      <vt:variant>
        <vt:i4>0</vt:i4>
      </vt:variant>
      <vt:variant>
        <vt:i4>5</vt:i4>
      </vt:variant>
      <vt:variant>
        <vt:lpwstr>https://stat.gov.pl/obszary-tematyczne/przemysl-budownictwo-srodki-trwale/przemysl/gospodarka-materialowa-w-2016-r-,6,12.html</vt:lpwstr>
      </vt:variant>
      <vt:variant>
        <vt:lpwstr/>
      </vt:variant>
      <vt:variant>
        <vt:i4>6619168</vt:i4>
      </vt:variant>
      <vt:variant>
        <vt:i4>915</vt:i4>
      </vt:variant>
      <vt:variant>
        <vt:i4>0</vt:i4>
      </vt:variant>
      <vt:variant>
        <vt:i4>5</vt:i4>
      </vt:variant>
      <vt:variant>
        <vt:lpwstr>https://stat.gov.pl/obszary-tematyczne/srodowisko-energia/srodowisko/ochrona-srodowiska-2017,1,18.html</vt:lpwstr>
      </vt:variant>
      <vt:variant>
        <vt:lpwstr/>
      </vt:variant>
      <vt:variant>
        <vt:i4>5308508</vt:i4>
      </vt:variant>
      <vt:variant>
        <vt:i4>837</vt:i4>
      </vt:variant>
      <vt:variant>
        <vt:i4>0</vt:i4>
      </vt:variant>
      <vt:variant>
        <vt:i4>5</vt:i4>
      </vt:variant>
      <vt:variant>
        <vt:lpwstr>http://www.siemens.pl/pl/press/news/raport-smart-industry-polska-2018.htm</vt:lpwstr>
      </vt:variant>
      <vt:variant>
        <vt:lpwstr/>
      </vt:variant>
      <vt:variant>
        <vt:i4>1048576</vt:i4>
      </vt:variant>
      <vt:variant>
        <vt:i4>834</vt:i4>
      </vt:variant>
      <vt:variant>
        <vt:i4>0</vt:i4>
      </vt:variant>
      <vt:variant>
        <vt:i4>5</vt:i4>
      </vt:variant>
      <vt:variant>
        <vt:lpwstr>http://www.oecd.org/sti/msti.htm</vt:lpwstr>
      </vt:variant>
      <vt:variant>
        <vt:lpwstr/>
      </vt:variant>
      <vt:variant>
        <vt:i4>4390939</vt:i4>
      </vt:variant>
      <vt:variant>
        <vt:i4>831</vt:i4>
      </vt:variant>
      <vt:variant>
        <vt:i4>0</vt:i4>
      </vt:variant>
      <vt:variant>
        <vt:i4>5</vt:i4>
      </vt:variant>
      <vt:variant>
        <vt:lpwstr>http://www.oecd.org/sti/ind/amne.htm</vt:lpwstr>
      </vt:variant>
      <vt:variant>
        <vt:lpwstr/>
      </vt:variant>
      <vt:variant>
        <vt:i4>3670113</vt:i4>
      </vt:variant>
      <vt:variant>
        <vt:i4>828</vt:i4>
      </vt:variant>
      <vt:variant>
        <vt:i4>0</vt:i4>
      </vt:variant>
      <vt:variant>
        <vt:i4>5</vt:i4>
      </vt:variant>
      <vt:variant>
        <vt:lpwstr>https://www.palgrave.com/br/book/9780230343436</vt:lpwstr>
      </vt:variant>
      <vt:variant>
        <vt:lpwstr/>
      </vt:variant>
      <vt:variant>
        <vt:i4>5570565</vt:i4>
      </vt:variant>
      <vt:variant>
        <vt:i4>825</vt:i4>
      </vt:variant>
      <vt:variant>
        <vt:i4>0</vt:i4>
      </vt:variant>
      <vt:variant>
        <vt:i4>5</vt:i4>
      </vt:variant>
      <vt:variant>
        <vt:lpwstr>https://mc.bip.gov.pl/rok-2017/analiza-diagnostyczna-intesywnosc-wykorzystania-danych-w-gospodarce-a-jej-rozwoj.html</vt:lpwstr>
      </vt:variant>
      <vt:variant>
        <vt:lpwstr/>
      </vt:variant>
      <vt:variant>
        <vt:i4>4587600</vt:i4>
      </vt:variant>
      <vt:variant>
        <vt:i4>822</vt:i4>
      </vt:variant>
      <vt:variant>
        <vt:i4>0</vt:i4>
      </vt:variant>
      <vt:variant>
        <vt:i4>5</vt:i4>
      </vt:variant>
      <vt:variant>
        <vt:lpwstr>https://www.ingwb.com/media/2088633/3d-printing-report-031017.pdf</vt:lpwstr>
      </vt:variant>
      <vt:variant>
        <vt:lpwstr/>
      </vt:variant>
      <vt:variant>
        <vt:i4>720965</vt:i4>
      </vt:variant>
      <vt:variant>
        <vt:i4>819</vt:i4>
      </vt:variant>
      <vt:variant>
        <vt:i4>0</vt:i4>
      </vt:variant>
      <vt:variant>
        <vt:i4>5</vt:i4>
      </vt:variant>
      <vt:variant>
        <vt:lpwstr>http://stat.gov.pl/obszary-tematyczne/nauka-i-technika-spoleczenstwo-informacyjne/nauka-i-technika/nauka-i-technika-w-2016-roku,1,13.html</vt:lpwstr>
      </vt:variant>
      <vt:variant>
        <vt:lpwstr/>
      </vt:variant>
      <vt:variant>
        <vt:i4>2228276</vt:i4>
      </vt:variant>
      <vt:variant>
        <vt:i4>816</vt:i4>
      </vt:variant>
      <vt:variant>
        <vt:i4>0</vt:i4>
      </vt:variant>
      <vt:variant>
        <vt:i4>5</vt:i4>
      </vt:variant>
      <vt:variant>
        <vt:lpwstr>http://stat.gov.pl/obszary-tematyczne/nauka-i-technika-spoleczenstwo-informacyjne/nauka-i-technika/dzialalnosc-innowacyjna-przedsiebiorstw-w-latach-2014-2016,2,15.html</vt:lpwstr>
      </vt:variant>
      <vt:variant>
        <vt:lpwstr/>
      </vt:variant>
      <vt:variant>
        <vt:i4>393304</vt:i4>
      </vt:variant>
      <vt:variant>
        <vt:i4>813</vt:i4>
      </vt:variant>
      <vt:variant>
        <vt:i4>0</vt:i4>
      </vt:variant>
      <vt:variant>
        <vt:i4>5</vt:i4>
      </vt:variant>
      <vt:variant>
        <vt:lpwstr>https://stat.gov.pl/cps/rde/xbcr/gus/NTS_nauka_i_technika_2010.zip</vt:lpwstr>
      </vt:variant>
      <vt:variant>
        <vt:lpwstr/>
      </vt:variant>
      <vt:variant>
        <vt:i4>3473470</vt:i4>
      </vt:variant>
      <vt:variant>
        <vt:i4>810</vt:i4>
      </vt:variant>
      <vt:variant>
        <vt:i4>0</vt:i4>
      </vt:variant>
      <vt:variant>
        <vt:i4>5</vt:i4>
      </vt:variant>
      <vt:variant>
        <vt:lpwstr>https://www.globalinnovationindex.org/</vt:lpwstr>
      </vt:variant>
      <vt:variant>
        <vt:lpwstr/>
      </vt:variant>
      <vt:variant>
        <vt:i4>655443</vt:i4>
      </vt:variant>
      <vt:variant>
        <vt:i4>807</vt:i4>
      </vt:variant>
      <vt:variant>
        <vt:i4>0</vt:i4>
      </vt:variant>
      <vt:variant>
        <vt:i4>5</vt:i4>
      </vt:variant>
      <vt:variant>
        <vt:lpwstr>https://eur-lex.europa.eu/legal-content/EN/TXT/?uri=COM:2018:120:FIN</vt:lpwstr>
      </vt:variant>
      <vt:variant>
        <vt:lpwstr/>
      </vt:variant>
      <vt:variant>
        <vt:i4>2359379</vt:i4>
      </vt:variant>
      <vt:variant>
        <vt:i4>804</vt:i4>
      </vt:variant>
      <vt:variant>
        <vt:i4>0</vt:i4>
      </vt:variant>
      <vt:variant>
        <vt:i4>5</vt:i4>
      </vt:variant>
      <vt:variant>
        <vt:lpwstr>http://ec.europa.eu/growth/industry/innovation/facts-figures/regional_en</vt:lpwstr>
      </vt:variant>
      <vt:variant>
        <vt:lpwstr/>
      </vt:variant>
      <vt:variant>
        <vt:i4>8126481</vt:i4>
      </vt:variant>
      <vt:variant>
        <vt:i4>801</vt:i4>
      </vt:variant>
      <vt:variant>
        <vt:i4>0</vt:i4>
      </vt:variant>
      <vt:variant>
        <vt:i4>5</vt:i4>
      </vt:variant>
      <vt:variant>
        <vt:lpwstr>http://ec.europa.eu/growth/industry/innovation/facts-figures/scoreboards_en</vt:lpwstr>
      </vt:variant>
      <vt:variant>
        <vt:lpwstr/>
      </vt:variant>
      <vt:variant>
        <vt:i4>2162745</vt:i4>
      </vt:variant>
      <vt:variant>
        <vt:i4>798</vt:i4>
      </vt:variant>
      <vt:variant>
        <vt:i4>0</vt:i4>
      </vt:variant>
      <vt:variant>
        <vt:i4>5</vt:i4>
      </vt:variant>
      <vt:variant>
        <vt:lpwstr>https://www.epo.org/about-us/annual-reports-statistics/statistics.html</vt:lpwstr>
      </vt:variant>
      <vt:variant>
        <vt:lpwstr/>
      </vt:variant>
      <vt:variant>
        <vt:i4>1245203</vt:i4>
      </vt:variant>
      <vt:variant>
        <vt:i4>795</vt:i4>
      </vt:variant>
      <vt:variant>
        <vt:i4>0</vt:i4>
      </vt:variant>
      <vt:variant>
        <vt:i4>5</vt:i4>
      </vt:variant>
      <vt:variant>
        <vt:lpwstr>http://www.oecd.org/sti/inno/oslomanualguidelinesforcollectingandinterpretinginnovationdata3rdedition.htm</vt:lpwstr>
      </vt:variant>
      <vt:variant>
        <vt:lpwstr/>
      </vt:variant>
      <vt:variant>
        <vt:i4>6684717</vt:i4>
      </vt:variant>
      <vt:variant>
        <vt:i4>729</vt:i4>
      </vt:variant>
      <vt:variant>
        <vt:i4>0</vt:i4>
      </vt:variant>
      <vt:variant>
        <vt:i4>5</vt:i4>
      </vt:variant>
      <vt:variant>
        <vt:lpwstr>http://www.polskacyfrowa.gov.pl/media/1076/POPC_WISECC_ISP_raportkoncowy_2112015.pdf</vt:lpwstr>
      </vt:variant>
      <vt:variant>
        <vt:lpwstr/>
      </vt:variant>
      <vt:variant>
        <vt:i4>3276924</vt:i4>
      </vt:variant>
      <vt:variant>
        <vt:i4>726</vt:i4>
      </vt:variant>
      <vt:variant>
        <vt:i4>0</vt:i4>
      </vt:variant>
      <vt:variant>
        <vt:i4>5</vt:i4>
      </vt:variant>
      <vt:variant>
        <vt:lpwstr>https://www.rolandberger.com/en/Publications/pub_the_industrie_4_0_transition_quantified.html</vt:lpwstr>
      </vt:variant>
      <vt:variant>
        <vt:lpwstr/>
      </vt:variant>
      <vt:variant>
        <vt:i4>2949226</vt:i4>
      </vt:variant>
      <vt:variant>
        <vt:i4>723</vt:i4>
      </vt:variant>
      <vt:variant>
        <vt:i4>0</vt:i4>
      </vt:variant>
      <vt:variant>
        <vt:i4>5</vt:i4>
      </vt:variant>
      <vt:variant>
        <vt:lpwstr>https://www.pwc.com/gx/en/audit-services/assets/pdf/global-top-100-companies-2017-final.pdf</vt:lpwstr>
      </vt:variant>
      <vt:variant>
        <vt:lpwstr/>
      </vt:variant>
      <vt:variant>
        <vt:i4>5701724</vt:i4>
      </vt:variant>
      <vt:variant>
        <vt:i4>720</vt:i4>
      </vt:variant>
      <vt:variant>
        <vt:i4>0</vt:i4>
      </vt:variant>
      <vt:variant>
        <vt:i4>5</vt:i4>
      </vt:variant>
      <vt:variant>
        <vt:lpwstr>http://dx.doi.org/10.1787/msti-v2017-2-en</vt:lpwstr>
      </vt:variant>
      <vt:variant>
        <vt:lpwstr/>
      </vt:variant>
      <vt:variant>
        <vt:i4>2621543</vt:i4>
      </vt:variant>
      <vt:variant>
        <vt:i4>717</vt:i4>
      </vt:variant>
      <vt:variant>
        <vt:i4>0</vt:i4>
      </vt:variant>
      <vt:variant>
        <vt:i4>5</vt:i4>
      </vt:variant>
      <vt:variant>
        <vt:lpwstr>https://www.gov.pl/cyfryzacja/prezentacja-raportu-gospodarka-oparta-o-dane-przemysl</vt:lpwstr>
      </vt:variant>
      <vt:variant>
        <vt:lpwstr/>
      </vt:variant>
      <vt:variant>
        <vt:i4>3539051</vt:i4>
      </vt:variant>
      <vt:variant>
        <vt:i4>714</vt:i4>
      </vt:variant>
      <vt:variant>
        <vt:i4>0</vt:i4>
      </vt:variant>
      <vt:variant>
        <vt:i4>5</vt:i4>
      </vt:variant>
      <vt:variant>
        <vt:lpwstr>https://www.parp.gov.pl/images/PARP_publications/pdf/2017_ict_sector_by_2025_pl.pdf</vt:lpwstr>
      </vt:variant>
      <vt:variant>
        <vt:lpwstr/>
      </vt:variant>
      <vt:variant>
        <vt:i4>3801147</vt:i4>
      </vt:variant>
      <vt:variant>
        <vt:i4>711</vt:i4>
      </vt:variant>
      <vt:variant>
        <vt:i4>0</vt:i4>
      </vt:variant>
      <vt:variant>
        <vt:i4>5</vt:i4>
      </vt:variant>
      <vt:variant>
        <vt:lpwstr>https://ifr.org/ifr-press-releases/news/world-robotics-report-2016</vt:lpwstr>
      </vt:variant>
      <vt:variant>
        <vt:lpwstr/>
      </vt:variant>
      <vt:variant>
        <vt:i4>7667745</vt:i4>
      </vt:variant>
      <vt:variant>
        <vt:i4>708</vt:i4>
      </vt:variant>
      <vt:variant>
        <vt:i4>0</vt:i4>
      </vt:variant>
      <vt:variant>
        <vt:i4>5</vt:i4>
      </vt:variant>
      <vt:variant>
        <vt:lpwstr>http://stat.gov.pl/obszary-tematyczne/nauka-i-technika-spoleczenstwo-informacyjne/spoleczenstwo-informacyjne/spoleczenstwo-informacyjne-w-polsce-wyniki-badan-statystycznych-z-lat-2013-2017,1,11.html</vt:lpwstr>
      </vt:variant>
      <vt:variant>
        <vt:lpwstr/>
      </vt:variant>
      <vt:variant>
        <vt:i4>3604582</vt:i4>
      </vt:variant>
      <vt:variant>
        <vt:i4>705</vt:i4>
      </vt:variant>
      <vt:variant>
        <vt:i4>0</vt:i4>
      </vt:variant>
      <vt:variant>
        <vt:i4>5</vt:i4>
      </vt:variant>
      <vt:variant>
        <vt:lpwstr>http://digital-agenda-data.eu/</vt:lpwstr>
      </vt:variant>
      <vt:variant>
        <vt:lpwstr/>
      </vt:variant>
      <vt:variant>
        <vt:i4>7012399</vt:i4>
      </vt:variant>
      <vt:variant>
        <vt:i4>636</vt:i4>
      </vt:variant>
      <vt:variant>
        <vt:i4>0</vt:i4>
      </vt:variant>
      <vt:variant>
        <vt:i4>5</vt:i4>
      </vt:variant>
      <vt:variant>
        <vt:lpwstr>https://bkl.parp.gov.pl/publikacje-142-artykul.html</vt:lpwstr>
      </vt:variant>
      <vt:variant>
        <vt:lpwstr/>
      </vt:variant>
      <vt:variant>
        <vt:i4>6815799</vt:i4>
      </vt:variant>
      <vt:variant>
        <vt:i4>633</vt:i4>
      </vt:variant>
      <vt:variant>
        <vt:i4>0</vt:i4>
      </vt:variant>
      <vt:variant>
        <vt:i4>5</vt:i4>
      </vt:variant>
      <vt:variant>
        <vt:lpwstr>http://www.oecd.org/eco/surveys/economic-survey-poland.htm</vt:lpwstr>
      </vt:variant>
      <vt:variant>
        <vt:lpwstr/>
      </vt:variant>
      <vt:variant>
        <vt:i4>851972</vt:i4>
      </vt:variant>
      <vt:variant>
        <vt:i4>630</vt:i4>
      </vt:variant>
      <vt:variant>
        <vt:i4>0</vt:i4>
      </vt:variant>
      <vt:variant>
        <vt:i4>5</vt:i4>
      </vt:variant>
      <vt:variant>
        <vt:lpwstr>http://www.oecd.org/education/education-at-a-glance-19991487.htm</vt:lpwstr>
      </vt:variant>
      <vt:variant>
        <vt:lpwstr/>
      </vt:variant>
      <vt:variant>
        <vt:i4>1048585</vt:i4>
      </vt:variant>
      <vt:variant>
        <vt:i4>627</vt:i4>
      </vt:variant>
      <vt:variant>
        <vt:i4>0</vt:i4>
      </vt:variant>
      <vt:variant>
        <vt:i4>5</vt:i4>
      </vt:variant>
      <vt:variant>
        <vt:lpwstr>http://www.oecd.org/skills/skills-matter-9789264258051-en.htm</vt:lpwstr>
      </vt:variant>
      <vt:variant>
        <vt:lpwstr/>
      </vt:variant>
      <vt:variant>
        <vt:i4>2818087</vt:i4>
      </vt:variant>
      <vt:variant>
        <vt:i4>624</vt:i4>
      </vt:variant>
      <vt:variant>
        <vt:i4>0</vt:i4>
      </vt:variant>
      <vt:variant>
        <vt:i4>5</vt:i4>
      </vt:variant>
      <vt:variant>
        <vt:lpwstr>https://barometrzawodow.pl/</vt:lpwstr>
      </vt:variant>
      <vt:variant>
        <vt:lpwstr/>
      </vt:variant>
      <vt:variant>
        <vt:i4>4653141</vt:i4>
      </vt:variant>
      <vt:variant>
        <vt:i4>621</vt:i4>
      </vt:variant>
      <vt:variant>
        <vt:i4>0</vt:i4>
      </vt:variant>
      <vt:variant>
        <vt:i4>5</vt:i4>
      </vt:variant>
      <vt:variant>
        <vt:lpwstr>https://stat.gov.pl/obszary-tematyczne/edukacja/edukacja/ksztalcenie-doroslych-w-2016-roku,14,1.html</vt:lpwstr>
      </vt:variant>
      <vt:variant>
        <vt:lpwstr/>
      </vt:variant>
      <vt:variant>
        <vt:i4>1703964</vt:i4>
      </vt:variant>
      <vt:variant>
        <vt:i4>618</vt:i4>
      </vt:variant>
      <vt:variant>
        <vt:i4>0</vt:i4>
      </vt:variant>
      <vt:variant>
        <vt:i4>5</vt:i4>
      </vt:variant>
      <vt:variant>
        <vt:lpwstr>https://stat.gov.pl/obszary-tematyczne/inne-opracowania/inne-opracowania-zbiorcze/polska-w-unii-europejskiej-2017,16,10.html</vt:lpwstr>
      </vt:variant>
      <vt:variant>
        <vt:lpwstr/>
      </vt:variant>
      <vt:variant>
        <vt:i4>7667745</vt:i4>
      </vt:variant>
      <vt:variant>
        <vt:i4>615</vt:i4>
      </vt:variant>
      <vt:variant>
        <vt:i4>0</vt:i4>
      </vt:variant>
      <vt:variant>
        <vt:i4>5</vt:i4>
      </vt:variant>
      <vt:variant>
        <vt:lpwstr>http://stat.gov.pl/obszary-tematyczne/nauka-i-technika-spoleczenstwo-informacyjne/spoleczenstwo-informacyjne/spoleczenstwo-informacyjne-w-polsce-wyniki-badan-statystycznych-z-lat-2013-2017,1,11.html</vt:lpwstr>
      </vt:variant>
      <vt:variant>
        <vt:lpwstr/>
      </vt:variant>
      <vt:variant>
        <vt:i4>3276909</vt:i4>
      </vt:variant>
      <vt:variant>
        <vt:i4>612</vt:i4>
      </vt:variant>
      <vt:variant>
        <vt:i4>0</vt:i4>
      </vt:variant>
      <vt:variant>
        <vt:i4>5</vt:i4>
      </vt:variant>
      <vt:variant>
        <vt:lpwstr>http://stat.gov.pl/obszary-tematyczne/ludnosc/prognoza-ludnosci/prognoza-ludnosci-na-lata-2014-2050-opracowana-2014-r-,1,5.html</vt:lpwstr>
      </vt:variant>
      <vt:variant>
        <vt:lpwstr/>
      </vt:variant>
      <vt:variant>
        <vt:i4>1572937</vt:i4>
      </vt:variant>
      <vt:variant>
        <vt:i4>609</vt:i4>
      </vt:variant>
      <vt:variant>
        <vt:i4>0</vt:i4>
      </vt:variant>
      <vt:variant>
        <vt:i4>5</vt:i4>
      </vt:variant>
      <vt:variant>
        <vt:lpwstr>https://eur-lex.europa.eu/legal-content/EN/TXT/?uri=SWD:2018:219:FIN</vt:lpwstr>
      </vt:variant>
      <vt:variant>
        <vt:lpwstr/>
      </vt:variant>
      <vt:variant>
        <vt:i4>7077994</vt:i4>
      </vt:variant>
      <vt:variant>
        <vt:i4>606</vt:i4>
      </vt:variant>
      <vt:variant>
        <vt:i4>0</vt:i4>
      </vt:variant>
      <vt:variant>
        <vt:i4>5</vt:i4>
      </vt:variant>
      <vt:variant>
        <vt:lpwstr>https://eur-lex.europa.eu/legal-content/EN/TXT/?uri=CELEX%3A32017H0809%2820%29</vt:lpwstr>
      </vt:variant>
      <vt:variant>
        <vt:lpwstr/>
      </vt:variant>
      <vt:variant>
        <vt:i4>5832798</vt:i4>
      </vt:variant>
      <vt:variant>
        <vt:i4>570</vt:i4>
      </vt:variant>
      <vt:variant>
        <vt:i4>0</vt:i4>
      </vt:variant>
      <vt:variant>
        <vt:i4>5</vt:i4>
      </vt:variant>
      <vt:variant>
        <vt:lpwstr>http://www.sooipp.org.pl/</vt:lpwstr>
      </vt:variant>
      <vt:variant>
        <vt:lpwstr/>
      </vt:variant>
      <vt:variant>
        <vt:i4>4915207</vt:i4>
      </vt:variant>
      <vt:variant>
        <vt:i4>567</vt:i4>
      </vt:variant>
      <vt:variant>
        <vt:i4>0</vt:i4>
      </vt:variant>
      <vt:variant>
        <vt:i4>5</vt:i4>
      </vt:variant>
      <vt:variant>
        <vt:lpwstr>http://startupyard.com/is-the-polish-government-drowning-its-innovators-in-money/</vt:lpwstr>
      </vt:variant>
      <vt:variant>
        <vt:lpwstr/>
      </vt:variant>
      <vt:variant>
        <vt:i4>8323126</vt:i4>
      </vt:variant>
      <vt:variant>
        <vt:i4>564</vt:i4>
      </vt:variant>
      <vt:variant>
        <vt:i4>0</vt:i4>
      </vt:variant>
      <vt:variant>
        <vt:i4>5</vt:i4>
      </vt:variant>
      <vt:variant>
        <vt:lpwstr>http://www.leasing.org.pl/</vt:lpwstr>
      </vt:variant>
      <vt:variant>
        <vt:lpwstr/>
      </vt:variant>
      <vt:variant>
        <vt:i4>196687</vt:i4>
      </vt:variant>
      <vt:variant>
        <vt:i4>561</vt:i4>
      </vt:variant>
      <vt:variant>
        <vt:i4>0</vt:i4>
      </vt:variant>
      <vt:variant>
        <vt:i4>5</vt:i4>
      </vt:variant>
      <vt:variant>
        <vt:lpwstr>http://faktoring.pl/analizy-i-statystyki/</vt:lpwstr>
      </vt:variant>
      <vt:variant>
        <vt:lpwstr/>
      </vt:variant>
      <vt:variant>
        <vt:i4>5701658</vt:i4>
      </vt:variant>
      <vt:variant>
        <vt:i4>558</vt:i4>
      </vt:variant>
      <vt:variant>
        <vt:i4>0</vt:i4>
      </vt:variant>
      <vt:variant>
        <vt:i4>5</vt:i4>
      </vt:variant>
      <vt:variant>
        <vt:lpwstr>http://www.parp.gov.pl/publikacje/ebook/3</vt:lpwstr>
      </vt:variant>
      <vt:variant>
        <vt:lpwstr/>
      </vt:variant>
      <vt:variant>
        <vt:i4>5046348</vt:i4>
      </vt:variant>
      <vt:variant>
        <vt:i4>555</vt:i4>
      </vt:variant>
      <vt:variant>
        <vt:i4>0</vt:i4>
      </vt:variant>
      <vt:variant>
        <vt:i4>5</vt:i4>
      </vt:variant>
      <vt:variant>
        <vt:lpwstr>http://www.oecd.org/poland/economic-survey-poland.htm</vt:lpwstr>
      </vt:variant>
      <vt:variant>
        <vt:lpwstr/>
      </vt:variant>
      <vt:variant>
        <vt:i4>655384</vt:i4>
      </vt:variant>
      <vt:variant>
        <vt:i4>552</vt:i4>
      </vt:variant>
      <vt:variant>
        <vt:i4>0</vt:i4>
      </vt:variant>
      <vt:variant>
        <vt:i4>5</vt:i4>
      </vt:variant>
      <vt:variant>
        <vt:lpwstr>http://www.oecd.org/sdd/business-stats/entrepreneurship-at-a-glance-22266941.htm</vt:lpwstr>
      </vt:variant>
      <vt:variant>
        <vt:lpwstr/>
      </vt:variant>
      <vt:variant>
        <vt:i4>1900557</vt:i4>
      </vt:variant>
      <vt:variant>
        <vt:i4>549</vt:i4>
      </vt:variant>
      <vt:variant>
        <vt:i4>0</vt:i4>
      </vt:variant>
      <vt:variant>
        <vt:i4>5</vt:i4>
      </vt:variant>
      <vt:variant>
        <vt:lpwstr>https://www.nik.gov.pl/kontrole/P/16/019/KGP/</vt:lpwstr>
      </vt:variant>
      <vt:variant>
        <vt:lpwstr/>
      </vt:variant>
      <vt:variant>
        <vt:i4>2555932</vt:i4>
      </vt:variant>
      <vt:variant>
        <vt:i4>546</vt:i4>
      </vt:variant>
      <vt:variant>
        <vt:i4>0</vt:i4>
      </vt:variant>
      <vt:variant>
        <vt:i4>5</vt:i4>
      </vt:variant>
      <vt:variant>
        <vt:lpwstr>http://www.nbp.pl/home.aspx?c=/ascx/koniunktura_prezentacja.ascx</vt:lpwstr>
      </vt:variant>
      <vt:variant>
        <vt:lpwstr/>
      </vt:variant>
      <vt:variant>
        <vt:i4>131093</vt:i4>
      </vt:variant>
      <vt:variant>
        <vt:i4>543</vt:i4>
      </vt:variant>
      <vt:variant>
        <vt:i4>0</vt:i4>
      </vt:variant>
      <vt:variant>
        <vt:i4>5</vt:i4>
      </vt:variant>
      <vt:variant>
        <vt:lpwstr>http://www.nbp.pl/home.aspx?f=/systemfinansowy/kredytowy.html</vt:lpwstr>
      </vt:variant>
      <vt:variant>
        <vt:lpwstr/>
      </vt:variant>
      <vt:variant>
        <vt:i4>3604531</vt:i4>
      </vt:variant>
      <vt:variant>
        <vt:i4>540</vt:i4>
      </vt:variant>
      <vt:variant>
        <vt:i4>0</vt:i4>
      </vt:variant>
      <vt:variant>
        <vt:i4>5</vt:i4>
      </vt:variant>
      <vt:variant>
        <vt:lpwstr>https://sl2014.gov.pl/</vt:lpwstr>
      </vt:variant>
      <vt:variant>
        <vt:lpwstr/>
      </vt:variant>
      <vt:variant>
        <vt:i4>6029399</vt:i4>
      </vt:variant>
      <vt:variant>
        <vt:i4>537</vt:i4>
      </vt:variant>
      <vt:variant>
        <vt:i4>0</vt:i4>
      </vt:variant>
      <vt:variant>
        <vt:i4>5</vt:i4>
      </vt:variant>
      <vt:variant>
        <vt:lpwstr>https://www.finanse.mf.gov.pl/documents/766655/6153845/Informacja</vt:lpwstr>
      </vt:variant>
      <vt:variant>
        <vt:lpwstr/>
      </vt:variant>
      <vt:variant>
        <vt:i4>7340077</vt:i4>
      </vt:variant>
      <vt:variant>
        <vt:i4>534</vt:i4>
      </vt:variant>
      <vt:variant>
        <vt:i4>0</vt:i4>
      </vt:variant>
      <vt:variant>
        <vt:i4>5</vt:i4>
      </vt:variant>
      <vt:variant>
        <vt:lpwstr>https://www.knf.gov.pl/knf/pl/komponenty/img/RAPORT_O_SYTUACJI_BANKOW_2017_12_61471.pdf</vt:lpwstr>
      </vt:variant>
      <vt:variant>
        <vt:lpwstr/>
      </vt:variant>
      <vt:variant>
        <vt:i4>5701730</vt:i4>
      </vt:variant>
      <vt:variant>
        <vt:i4>531</vt:i4>
      </vt:variant>
      <vt:variant>
        <vt:i4>0</vt:i4>
      </vt:variant>
      <vt:variant>
        <vt:i4>5</vt:i4>
      </vt:variant>
      <vt:variant>
        <vt:lpwstr>https://ec.europa.eu/growth/smes/business-friendly-environment/performance-review_pl</vt:lpwstr>
      </vt:variant>
      <vt:variant>
        <vt:lpwstr>sba-fact-sheets</vt:lpwstr>
      </vt:variant>
      <vt:variant>
        <vt:i4>5701730</vt:i4>
      </vt:variant>
      <vt:variant>
        <vt:i4>528</vt:i4>
      </vt:variant>
      <vt:variant>
        <vt:i4>0</vt:i4>
      </vt:variant>
      <vt:variant>
        <vt:i4>5</vt:i4>
      </vt:variant>
      <vt:variant>
        <vt:lpwstr>https://ec.europa.eu/growth/smes/business-friendly-environment/performance-review_pl</vt:lpwstr>
      </vt:variant>
      <vt:variant>
        <vt:lpwstr>sba-fact-sheets</vt:lpwstr>
      </vt:variant>
      <vt:variant>
        <vt:i4>7602241</vt:i4>
      </vt:variant>
      <vt:variant>
        <vt:i4>525</vt:i4>
      </vt:variant>
      <vt:variant>
        <vt:i4>0</vt:i4>
      </vt:variant>
      <vt:variant>
        <vt:i4>5</vt:i4>
      </vt:variant>
      <vt:variant>
        <vt:lpwstr>https://www.investeurope.eu/media/671537/invest-europe_cee_privateequitystatistics2016_24082017.pdf</vt:lpwstr>
      </vt:variant>
      <vt:variant>
        <vt:lpwstr/>
      </vt:variant>
      <vt:variant>
        <vt:i4>7602293</vt:i4>
      </vt:variant>
      <vt:variant>
        <vt:i4>522</vt:i4>
      </vt:variant>
      <vt:variant>
        <vt:i4>0</vt:i4>
      </vt:variant>
      <vt:variant>
        <vt:i4>5</vt:i4>
      </vt:variant>
      <vt:variant>
        <vt:lpwstr>http://stat.gov.pl/obszary-tematyczne/roczniki-statystyczne/roczniki-statystyczne/rocznik-statystyczny-pracy-2017,7,5.html</vt:lpwstr>
      </vt:variant>
      <vt:variant>
        <vt:lpwstr/>
      </vt:variant>
      <vt:variant>
        <vt:i4>6422590</vt:i4>
      </vt:variant>
      <vt:variant>
        <vt:i4>519</vt:i4>
      </vt:variant>
      <vt:variant>
        <vt:i4>0</vt:i4>
      </vt:variant>
      <vt:variant>
        <vt:i4>5</vt:i4>
      </vt:variant>
      <vt:variant>
        <vt:lpwstr>https://stat.gov.pl/obszary-tematyczne/przemysl-budownictwo-srodki-trwale/srodki-trwale/srodki-trwale-w-gospodarce-narodowej-w-2016-roku,1,14.html</vt:lpwstr>
      </vt:variant>
      <vt:variant>
        <vt:lpwstr/>
      </vt:variant>
      <vt:variant>
        <vt:i4>1769475</vt:i4>
      </vt:variant>
      <vt:variant>
        <vt:i4>516</vt:i4>
      </vt:variant>
      <vt:variant>
        <vt:i4>0</vt:i4>
      </vt:variant>
      <vt:variant>
        <vt:i4>5</vt:i4>
      </vt:variant>
      <vt:variant>
        <vt:lpwstr>http://stat.gov.pl/obszary-tematyczne/podmioty-gospodarcze-wyniki-finansowe/przedsiebiorstwa-niefinansowe/dzialalnosc-przedsiebiorstw-niefinansowych-w-2016-r-,2,12.html</vt:lpwstr>
      </vt:variant>
      <vt:variant>
        <vt:lpwstr/>
      </vt:variant>
      <vt:variant>
        <vt:i4>4194377</vt:i4>
      </vt:variant>
      <vt:variant>
        <vt:i4>513</vt:i4>
      </vt:variant>
      <vt:variant>
        <vt:i4>0</vt:i4>
      </vt:variant>
      <vt:variant>
        <vt:i4>5</vt:i4>
      </vt:variant>
      <vt:variant>
        <vt:lpwstr>https://stat.gov.pl/obszary-tematyczne/nauka-i-technika-spoleczenstwo-informacyjne/nauka-i-technika/dzialalnosc-innowacyjna-przedsiebiorstw-w-latach-2014-2016,2,15.html</vt:lpwstr>
      </vt:variant>
      <vt:variant>
        <vt:lpwstr/>
      </vt:variant>
      <vt:variant>
        <vt:i4>5505126</vt:i4>
      </vt:variant>
      <vt:variant>
        <vt:i4>510</vt:i4>
      </vt:variant>
      <vt:variant>
        <vt:i4>0</vt:i4>
      </vt:variant>
      <vt:variant>
        <vt:i4>5</vt:i4>
      </vt:variant>
      <vt:variant>
        <vt:lpwstr>https://wneiz.pl/nauka_wneiz/sip/sip13-2009/SiP-13-19.pdf</vt:lpwstr>
      </vt:variant>
      <vt:variant>
        <vt:lpwstr/>
      </vt:variant>
      <vt:variant>
        <vt:i4>7340105</vt:i4>
      </vt:variant>
      <vt:variant>
        <vt:i4>507</vt:i4>
      </vt:variant>
      <vt:variant>
        <vt:i4>0</vt:i4>
      </vt:variant>
      <vt:variant>
        <vt:i4>5</vt:i4>
      </vt:variant>
      <vt:variant>
        <vt:lpwstr>https://toplead.com.ua/ru/get_file/id/polish-venture-capital-report-2016.pdf</vt:lpwstr>
      </vt:variant>
      <vt:variant>
        <vt:lpwstr/>
      </vt:variant>
      <vt:variant>
        <vt:i4>5439550</vt:i4>
      </vt:variant>
      <vt:variant>
        <vt:i4>504</vt:i4>
      </vt:variant>
      <vt:variant>
        <vt:i4>0</vt:i4>
      </vt:variant>
      <vt:variant>
        <vt:i4>5</vt:i4>
      </vt:variant>
      <vt:variant>
        <vt:lpwstr>https://www.gpw.pl/statystyki-gpw</vt:lpwstr>
      </vt:variant>
      <vt:variant>
        <vt:lpwstr>5</vt:lpwstr>
      </vt:variant>
      <vt:variant>
        <vt:i4>6291560</vt:i4>
      </vt:variant>
      <vt:variant>
        <vt:i4>501</vt:i4>
      </vt:variant>
      <vt:variant>
        <vt:i4>0</vt:i4>
      </vt:variant>
      <vt:variant>
        <vt:i4>5</vt:i4>
      </vt:variant>
      <vt:variant>
        <vt:lpwstr>https://badania.parp.gov.pl/global-entrepreneurship-monitor-gem</vt:lpwstr>
      </vt:variant>
      <vt:variant>
        <vt:lpwstr/>
      </vt:variant>
      <vt:variant>
        <vt:i4>6619177</vt:i4>
      </vt:variant>
      <vt:variant>
        <vt:i4>498</vt:i4>
      </vt:variant>
      <vt:variant>
        <vt:i4>0</vt:i4>
      </vt:variant>
      <vt:variant>
        <vt:i4>5</vt:i4>
      </vt:variant>
      <vt:variant>
        <vt:lpwstr>http://www.ncbr.gov.pl/programy-krajowe/bridge/bridge-vc/aktualnosci/art,3581,raport-koncowy-ocena-stanu-gotowosci-sektora-badawczo-rozwojowego-w-polsce-do-skorzystania-z-mozliwosci-wsparcia-z-publiczno-pry.html</vt:lpwstr>
      </vt:variant>
      <vt:variant>
        <vt:lpwstr/>
      </vt:variant>
      <vt:variant>
        <vt:i4>5046290</vt:i4>
      </vt:variant>
      <vt:variant>
        <vt:i4>495</vt:i4>
      </vt:variant>
      <vt:variant>
        <vt:i4>0</vt:i4>
      </vt:variant>
      <vt:variant>
        <vt:i4>5</vt:i4>
      </vt:variant>
      <vt:variant>
        <vt:lpwstr>https://www.ewaluacja.gov.pl/strony/badania-i-analizy/wyniki-badan-ewaluacyjnych/badania-ewaluacyjne/efektywnosc-systemu-funduszy-venture-capital-wspartych-przez-kfk-sa-ze-srodkow-po-ig-2007-2013/</vt:lpwstr>
      </vt:variant>
      <vt:variant>
        <vt:lpwstr/>
      </vt:variant>
      <vt:variant>
        <vt:i4>7864355</vt:i4>
      </vt:variant>
      <vt:variant>
        <vt:i4>492</vt:i4>
      </vt:variant>
      <vt:variant>
        <vt:i4>0</vt:i4>
      </vt:variant>
      <vt:variant>
        <vt:i4>5</vt:i4>
      </vt:variant>
      <vt:variant>
        <vt:lpwstr>http://startuppoland.org/knowledge/zlota-ksiega-venture-capital-w-polsce-2018/</vt:lpwstr>
      </vt:variant>
      <vt:variant>
        <vt:lpwstr/>
      </vt:variant>
      <vt:variant>
        <vt:i4>4718656</vt:i4>
      </vt:variant>
      <vt:variant>
        <vt:i4>489</vt:i4>
      </vt:variant>
      <vt:variant>
        <vt:i4>0</vt:i4>
      </vt:variant>
      <vt:variant>
        <vt:i4>5</vt:i4>
      </vt:variant>
      <vt:variant>
        <vt:lpwstr>https://www2.deloitte.com/pl/pl/pages/zarzadzania-procesami-i-strategiczne/articles/innowacje/startup-ankieta2016-2.html</vt:lpwstr>
      </vt:variant>
      <vt:variant>
        <vt:lpwstr/>
      </vt:variant>
      <vt:variant>
        <vt:i4>1114200</vt:i4>
      </vt:variant>
      <vt:variant>
        <vt:i4>486</vt:i4>
      </vt:variant>
      <vt:variant>
        <vt:i4>0</vt:i4>
      </vt:variant>
      <vt:variant>
        <vt:i4>5</vt:i4>
      </vt:variant>
      <vt:variant>
        <vt:lpwstr>https://www2.deloitte.com/pl/pl/pages/zarzadzania-procesami-i-strategiczne/articles/innowacje/badania-i-rozwoj-w-przedsiebiorstwach-2016-raport.html</vt:lpwstr>
      </vt:variant>
      <vt:variant>
        <vt:lpwstr/>
      </vt:variant>
      <vt:variant>
        <vt:i4>1966121</vt:i4>
      </vt:variant>
      <vt:variant>
        <vt:i4>483</vt:i4>
      </vt:variant>
      <vt:variant>
        <vt:i4>0</vt:i4>
      </vt:variant>
      <vt:variant>
        <vt:i4>5</vt:i4>
      </vt:variant>
      <vt:variant>
        <vt:lpwstr>http://kolegia.sgh.waw.pl/pl/KZiF/czasopisma/oik/numery/Documents/2017_NR_2_(176).pdf</vt:lpwstr>
      </vt:variant>
      <vt:variant>
        <vt:lpwstr/>
      </vt:variant>
      <vt:variant>
        <vt:i4>7340133</vt:i4>
      </vt:variant>
      <vt:variant>
        <vt:i4>480</vt:i4>
      </vt:variant>
      <vt:variant>
        <vt:i4>0</vt:i4>
      </vt:variant>
      <vt:variant>
        <vt:i4>5</vt:i4>
      </vt:variant>
      <vt:variant>
        <vt:lpwstr>http://www.doingbusiness.org/reports/global-reports/doing-business-2017</vt:lpwstr>
      </vt:variant>
      <vt:variant>
        <vt:lpwstr/>
      </vt:variant>
      <vt:variant>
        <vt:i4>6094904</vt:i4>
      </vt:variant>
      <vt:variant>
        <vt:i4>477</vt:i4>
      </vt:variant>
      <vt:variant>
        <vt:i4>0</vt:i4>
      </vt:variant>
      <vt:variant>
        <vt:i4>5</vt:i4>
      </vt:variant>
      <vt:variant>
        <vt:lpwstr>http://absl.pl/wp-content/uploads/2018/06/raport_absl_2018_EN_180527_epub.pdf</vt:lpwstr>
      </vt:variant>
      <vt:variant>
        <vt:lpwstr/>
      </vt:variant>
      <vt:variant>
        <vt:i4>5242948</vt:i4>
      </vt:variant>
      <vt:variant>
        <vt:i4>474</vt:i4>
      </vt:variant>
      <vt:variant>
        <vt:i4>0</vt:i4>
      </vt:variant>
      <vt:variant>
        <vt:i4>5</vt:i4>
      </vt:variant>
      <vt:variant>
        <vt:lpwstr>http://absl.pl/pl/publikacje/</vt:lpwstr>
      </vt:variant>
      <vt:variant>
        <vt:lpwstr/>
      </vt:variant>
      <vt:variant>
        <vt:i4>5242901</vt:i4>
      </vt:variant>
      <vt:variant>
        <vt:i4>357</vt:i4>
      </vt:variant>
      <vt:variant>
        <vt:i4>0</vt:i4>
      </vt:variant>
      <vt:variant>
        <vt:i4>5</vt:i4>
      </vt:variant>
      <vt:variant>
        <vt:lpwstr>http://www.nber.org/papers/w17143</vt:lpwstr>
      </vt:variant>
      <vt:variant>
        <vt:lpwstr/>
      </vt:variant>
      <vt:variant>
        <vt:i4>2490494</vt:i4>
      </vt:variant>
      <vt:variant>
        <vt:i4>354</vt:i4>
      </vt:variant>
      <vt:variant>
        <vt:i4>0</vt:i4>
      </vt:variant>
      <vt:variant>
        <vt:i4>5</vt:i4>
      </vt:variant>
      <vt:variant>
        <vt:lpwstr>https://www.mckinsey.com/~/media/McKinsey/Global Themes/Meeting societys expectations/Solving the productivity puzzle/MGI-Solving-the-Productivity-Puzzle-Report-February-22-2018.ashx</vt:lpwstr>
      </vt:variant>
      <vt:variant>
        <vt:lpwstr/>
      </vt:variant>
      <vt:variant>
        <vt:i4>5570565</vt:i4>
      </vt:variant>
      <vt:variant>
        <vt:i4>351</vt:i4>
      </vt:variant>
      <vt:variant>
        <vt:i4>0</vt:i4>
      </vt:variant>
      <vt:variant>
        <vt:i4>5</vt:i4>
      </vt:variant>
      <vt:variant>
        <vt:lpwstr>https://mc.bip.gov.pl/rok-2017/analiza-diagnostyczna-intesywnosc-wykorzystania-danych-w-gospodarce-a-jej-rozwoj.html</vt:lpwstr>
      </vt:variant>
      <vt:variant>
        <vt:lpwstr/>
      </vt:variant>
      <vt:variant>
        <vt:i4>8257592</vt:i4>
      </vt:variant>
      <vt:variant>
        <vt:i4>348</vt:i4>
      </vt:variant>
      <vt:variant>
        <vt:i4>0</vt:i4>
      </vt:variant>
      <vt:variant>
        <vt:i4>5</vt:i4>
      </vt:variant>
      <vt:variant>
        <vt:lpwstr>http://stat.gov.pl/download/gfx/portalinformacyjny/pl/defaultaktualnosci/5502/11/18/1/wyniki_finansowe_podmiotow_gospodarczych_1-12_2017_tablice.xlsx</vt:lpwstr>
      </vt:variant>
      <vt:variant>
        <vt:lpwstr/>
      </vt:variant>
      <vt:variant>
        <vt:i4>2818093</vt:i4>
      </vt:variant>
      <vt:variant>
        <vt:i4>345</vt:i4>
      </vt:variant>
      <vt:variant>
        <vt:i4>0</vt:i4>
      </vt:variant>
      <vt:variant>
        <vt:i4>5</vt:i4>
      </vt:variant>
      <vt:variant>
        <vt:lpwstr>http://documents.worldbank.org/curated/en/418451468336625510/Measuring-growth-in-total-factor-productivity</vt:lpwstr>
      </vt:variant>
      <vt:variant>
        <vt:lpwstr/>
      </vt:variant>
      <vt:variant>
        <vt:i4>2097182</vt:i4>
      </vt:variant>
      <vt:variant>
        <vt:i4>342</vt:i4>
      </vt:variant>
      <vt:variant>
        <vt:i4>0</vt:i4>
      </vt:variant>
      <vt:variant>
        <vt:i4>5</vt:i4>
      </vt:variant>
      <vt:variant>
        <vt:lpwstr>https://ec.europa.eu/info/research-and-innovation/strategy/policy-support/science-research-and-innovation-performance-eu-srip-report_en</vt:lpwstr>
      </vt:variant>
      <vt:variant>
        <vt:lpwstr/>
      </vt:variant>
      <vt:variant>
        <vt:i4>1900594</vt:i4>
      </vt:variant>
      <vt:variant>
        <vt:i4>278</vt:i4>
      </vt:variant>
      <vt:variant>
        <vt:i4>0</vt:i4>
      </vt:variant>
      <vt:variant>
        <vt:i4>5</vt:i4>
      </vt:variant>
      <vt:variant>
        <vt:lpwstr/>
      </vt:variant>
      <vt:variant>
        <vt:lpwstr>_Toc517448474</vt:lpwstr>
      </vt:variant>
      <vt:variant>
        <vt:i4>1900594</vt:i4>
      </vt:variant>
      <vt:variant>
        <vt:i4>272</vt:i4>
      </vt:variant>
      <vt:variant>
        <vt:i4>0</vt:i4>
      </vt:variant>
      <vt:variant>
        <vt:i4>5</vt:i4>
      </vt:variant>
      <vt:variant>
        <vt:lpwstr/>
      </vt:variant>
      <vt:variant>
        <vt:lpwstr>_Toc517448473</vt:lpwstr>
      </vt:variant>
      <vt:variant>
        <vt:i4>1900594</vt:i4>
      </vt:variant>
      <vt:variant>
        <vt:i4>266</vt:i4>
      </vt:variant>
      <vt:variant>
        <vt:i4>0</vt:i4>
      </vt:variant>
      <vt:variant>
        <vt:i4>5</vt:i4>
      </vt:variant>
      <vt:variant>
        <vt:lpwstr/>
      </vt:variant>
      <vt:variant>
        <vt:lpwstr>_Toc517448472</vt:lpwstr>
      </vt:variant>
      <vt:variant>
        <vt:i4>1900594</vt:i4>
      </vt:variant>
      <vt:variant>
        <vt:i4>260</vt:i4>
      </vt:variant>
      <vt:variant>
        <vt:i4>0</vt:i4>
      </vt:variant>
      <vt:variant>
        <vt:i4>5</vt:i4>
      </vt:variant>
      <vt:variant>
        <vt:lpwstr/>
      </vt:variant>
      <vt:variant>
        <vt:lpwstr>_Toc517448471</vt:lpwstr>
      </vt:variant>
      <vt:variant>
        <vt:i4>1900594</vt:i4>
      </vt:variant>
      <vt:variant>
        <vt:i4>254</vt:i4>
      </vt:variant>
      <vt:variant>
        <vt:i4>0</vt:i4>
      </vt:variant>
      <vt:variant>
        <vt:i4>5</vt:i4>
      </vt:variant>
      <vt:variant>
        <vt:lpwstr/>
      </vt:variant>
      <vt:variant>
        <vt:lpwstr>_Toc517448470</vt:lpwstr>
      </vt:variant>
      <vt:variant>
        <vt:i4>1835058</vt:i4>
      </vt:variant>
      <vt:variant>
        <vt:i4>248</vt:i4>
      </vt:variant>
      <vt:variant>
        <vt:i4>0</vt:i4>
      </vt:variant>
      <vt:variant>
        <vt:i4>5</vt:i4>
      </vt:variant>
      <vt:variant>
        <vt:lpwstr/>
      </vt:variant>
      <vt:variant>
        <vt:lpwstr>_Toc517448469</vt:lpwstr>
      </vt:variant>
      <vt:variant>
        <vt:i4>1835058</vt:i4>
      </vt:variant>
      <vt:variant>
        <vt:i4>242</vt:i4>
      </vt:variant>
      <vt:variant>
        <vt:i4>0</vt:i4>
      </vt:variant>
      <vt:variant>
        <vt:i4>5</vt:i4>
      </vt:variant>
      <vt:variant>
        <vt:lpwstr/>
      </vt:variant>
      <vt:variant>
        <vt:lpwstr>_Toc517448468</vt:lpwstr>
      </vt:variant>
      <vt:variant>
        <vt:i4>1835058</vt:i4>
      </vt:variant>
      <vt:variant>
        <vt:i4>236</vt:i4>
      </vt:variant>
      <vt:variant>
        <vt:i4>0</vt:i4>
      </vt:variant>
      <vt:variant>
        <vt:i4>5</vt:i4>
      </vt:variant>
      <vt:variant>
        <vt:lpwstr/>
      </vt:variant>
      <vt:variant>
        <vt:lpwstr>_Toc517448467</vt:lpwstr>
      </vt:variant>
      <vt:variant>
        <vt:i4>1835058</vt:i4>
      </vt:variant>
      <vt:variant>
        <vt:i4>230</vt:i4>
      </vt:variant>
      <vt:variant>
        <vt:i4>0</vt:i4>
      </vt:variant>
      <vt:variant>
        <vt:i4>5</vt:i4>
      </vt:variant>
      <vt:variant>
        <vt:lpwstr/>
      </vt:variant>
      <vt:variant>
        <vt:lpwstr>_Toc517448466</vt:lpwstr>
      </vt:variant>
      <vt:variant>
        <vt:i4>1835058</vt:i4>
      </vt:variant>
      <vt:variant>
        <vt:i4>224</vt:i4>
      </vt:variant>
      <vt:variant>
        <vt:i4>0</vt:i4>
      </vt:variant>
      <vt:variant>
        <vt:i4>5</vt:i4>
      </vt:variant>
      <vt:variant>
        <vt:lpwstr/>
      </vt:variant>
      <vt:variant>
        <vt:lpwstr>_Toc517448465</vt:lpwstr>
      </vt:variant>
      <vt:variant>
        <vt:i4>1835058</vt:i4>
      </vt:variant>
      <vt:variant>
        <vt:i4>218</vt:i4>
      </vt:variant>
      <vt:variant>
        <vt:i4>0</vt:i4>
      </vt:variant>
      <vt:variant>
        <vt:i4>5</vt:i4>
      </vt:variant>
      <vt:variant>
        <vt:lpwstr/>
      </vt:variant>
      <vt:variant>
        <vt:lpwstr>_Toc517448464</vt:lpwstr>
      </vt:variant>
      <vt:variant>
        <vt:i4>1835058</vt:i4>
      </vt:variant>
      <vt:variant>
        <vt:i4>212</vt:i4>
      </vt:variant>
      <vt:variant>
        <vt:i4>0</vt:i4>
      </vt:variant>
      <vt:variant>
        <vt:i4>5</vt:i4>
      </vt:variant>
      <vt:variant>
        <vt:lpwstr/>
      </vt:variant>
      <vt:variant>
        <vt:lpwstr>_Toc517448463</vt:lpwstr>
      </vt:variant>
      <vt:variant>
        <vt:i4>1835058</vt:i4>
      </vt:variant>
      <vt:variant>
        <vt:i4>206</vt:i4>
      </vt:variant>
      <vt:variant>
        <vt:i4>0</vt:i4>
      </vt:variant>
      <vt:variant>
        <vt:i4>5</vt:i4>
      </vt:variant>
      <vt:variant>
        <vt:lpwstr/>
      </vt:variant>
      <vt:variant>
        <vt:lpwstr>_Toc517448462</vt:lpwstr>
      </vt:variant>
      <vt:variant>
        <vt:i4>1835058</vt:i4>
      </vt:variant>
      <vt:variant>
        <vt:i4>200</vt:i4>
      </vt:variant>
      <vt:variant>
        <vt:i4>0</vt:i4>
      </vt:variant>
      <vt:variant>
        <vt:i4>5</vt:i4>
      </vt:variant>
      <vt:variant>
        <vt:lpwstr/>
      </vt:variant>
      <vt:variant>
        <vt:lpwstr>_Toc517448461</vt:lpwstr>
      </vt:variant>
      <vt:variant>
        <vt:i4>1835058</vt:i4>
      </vt:variant>
      <vt:variant>
        <vt:i4>194</vt:i4>
      </vt:variant>
      <vt:variant>
        <vt:i4>0</vt:i4>
      </vt:variant>
      <vt:variant>
        <vt:i4>5</vt:i4>
      </vt:variant>
      <vt:variant>
        <vt:lpwstr/>
      </vt:variant>
      <vt:variant>
        <vt:lpwstr>_Toc517448460</vt:lpwstr>
      </vt:variant>
      <vt:variant>
        <vt:i4>2031666</vt:i4>
      </vt:variant>
      <vt:variant>
        <vt:i4>188</vt:i4>
      </vt:variant>
      <vt:variant>
        <vt:i4>0</vt:i4>
      </vt:variant>
      <vt:variant>
        <vt:i4>5</vt:i4>
      </vt:variant>
      <vt:variant>
        <vt:lpwstr/>
      </vt:variant>
      <vt:variant>
        <vt:lpwstr>_Toc517448459</vt:lpwstr>
      </vt:variant>
      <vt:variant>
        <vt:i4>2031666</vt:i4>
      </vt:variant>
      <vt:variant>
        <vt:i4>182</vt:i4>
      </vt:variant>
      <vt:variant>
        <vt:i4>0</vt:i4>
      </vt:variant>
      <vt:variant>
        <vt:i4>5</vt:i4>
      </vt:variant>
      <vt:variant>
        <vt:lpwstr/>
      </vt:variant>
      <vt:variant>
        <vt:lpwstr>_Toc517448458</vt:lpwstr>
      </vt:variant>
      <vt:variant>
        <vt:i4>2031666</vt:i4>
      </vt:variant>
      <vt:variant>
        <vt:i4>176</vt:i4>
      </vt:variant>
      <vt:variant>
        <vt:i4>0</vt:i4>
      </vt:variant>
      <vt:variant>
        <vt:i4>5</vt:i4>
      </vt:variant>
      <vt:variant>
        <vt:lpwstr/>
      </vt:variant>
      <vt:variant>
        <vt:lpwstr>_Toc517448457</vt:lpwstr>
      </vt:variant>
      <vt:variant>
        <vt:i4>2031666</vt:i4>
      </vt:variant>
      <vt:variant>
        <vt:i4>170</vt:i4>
      </vt:variant>
      <vt:variant>
        <vt:i4>0</vt:i4>
      </vt:variant>
      <vt:variant>
        <vt:i4>5</vt:i4>
      </vt:variant>
      <vt:variant>
        <vt:lpwstr/>
      </vt:variant>
      <vt:variant>
        <vt:lpwstr>_Toc517448456</vt:lpwstr>
      </vt:variant>
      <vt:variant>
        <vt:i4>2031666</vt:i4>
      </vt:variant>
      <vt:variant>
        <vt:i4>164</vt:i4>
      </vt:variant>
      <vt:variant>
        <vt:i4>0</vt:i4>
      </vt:variant>
      <vt:variant>
        <vt:i4>5</vt:i4>
      </vt:variant>
      <vt:variant>
        <vt:lpwstr/>
      </vt:variant>
      <vt:variant>
        <vt:lpwstr>_Toc517448455</vt:lpwstr>
      </vt:variant>
      <vt:variant>
        <vt:i4>2031666</vt:i4>
      </vt:variant>
      <vt:variant>
        <vt:i4>158</vt:i4>
      </vt:variant>
      <vt:variant>
        <vt:i4>0</vt:i4>
      </vt:variant>
      <vt:variant>
        <vt:i4>5</vt:i4>
      </vt:variant>
      <vt:variant>
        <vt:lpwstr/>
      </vt:variant>
      <vt:variant>
        <vt:lpwstr>_Toc517448454</vt:lpwstr>
      </vt:variant>
      <vt:variant>
        <vt:i4>2031666</vt:i4>
      </vt:variant>
      <vt:variant>
        <vt:i4>152</vt:i4>
      </vt:variant>
      <vt:variant>
        <vt:i4>0</vt:i4>
      </vt:variant>
      <vt:variant>
        <vt:i4>5</vt:i4>
      </vt:variant>
      <vt:variant>
        <vt:lpwstr/>
      </vt:variant>
      <vt:variant>
        <vt:lpwstr>_Toc517448453</vt:lpwstr>
      </vt:variant>
      <vt:variant>
        <vt:i4>2031666</vt:i4>
      </vt:variant>
      <vt:variant>
        <vt:i4>146</vt:i4>
      </vt:variant>
      <vt:variant>
        <vt:i4>0</vt:i4>
      </vt:variant>
      <vt:variant>
        <vt:i4>5</vt:i4>
      </vt:variant>
      <vt:variant>
        <vt:lpwstr/>
      </vt:variant>
      <vt:variant>
        <vt:lpwstr>_Toc517448452</vt:lpwstr>
      </vt:variant>
      <vt:variant>
        <vt:i4>2031666</vt:i4>
      </vt:variant>
      <vt:variant>
        <vt:i4>140</vt:i4>
      </vt:variant>
      <vt:variant>
        <vt:i4>0</vt:i4>
      </vt:variant>
      <vt:variant>
        <vt:i4>5</vt:i4>
      </vt:variant>
      <vt:variant>
        <vt:lpwstr/>
      </vt:variant>
      <vt:variant>
        <vt:lpwstr>_Toc517448451</vt:lpwstr>
      </vt:variant>
      <vt:variant>
        <vt:i4>2031666</vt:i4>
      </vt:variant>
      <vt:variant>
        <vt:i4>134</vt:i4>
      </vt:variant>
      <vt:variant>
        <vt:i4>0</vt:i4>
      </vt:variant>
      <vt:variant>
        <vt:i4>5</vt:i4>
      </vt:variant>
      <vt:variant>
        <vt:lpwstr/>
      </vt:variant>
      <vt:variant>
        <vt:lpwstr>_Toc517448450</vt:lpwstr>
      </vt:variant>
      <vt:variant>
        <vt:i4>1966130</vt:i4>
      </vt:variant>
      <vt:variant>
        <vt:i4>128</vt:i4>
      </vt:variant>
      <vt:variant>
        <vt:i4>0</vt:i4>
      </vt:variant>
      <vt:variant>
        <vt:i4>5</vt:i4>
      </vt:variant>
      <vt:variant>
        <vt:lpwstr/>
      </vt:variant>
      <vt:variant>
        <vt:lpwstr>_Toc517448449</vt:lpwstr>
      </vt:variant>
      <vt:variant>
        <vt:i4>1966130</vt:i4>
      </vt:variant>
      <vt:variant>
        <vt:i4>122</vt:i4>
      </vt:variant>
      <vt:variant>
        <vt:i4>0</vt:i4>
      </vt:variant>
      <vt:variant>
        <vt:i4>5</vt:i4>
      </vt:variant>
      <vt:variant>
        <vt:lpwstr/>
      </vt:variant>
      <vt:variant>
        <vt:lpwstr>_Toc517448448</vt:lpwstr>
      </vt:variant>
      <vt:variant>
        <vt:i4>1966130</vt:i4>
      </vt:variant>
      <vt:variant>
        <vt:i4>116</vt:i4>
      </vt:variant>
      <vt:variant>
        <vt:i4>0</vt:i4>
      </vt:variant>
      <vt:variant>
        <vt:i4>5</vt:i4>
      </vt:variant>
      <vt:variant>
        <vt:lpwstr/>
      </vt:variant>
      <vt:variant>
        <vt:lpwstr>_Toc517448447</vt:lpwstr>
      </vt:variant>
      <vt:variant>
        <vt:i4>1966130</vt:i4>
      </vt:variant>
      <vt:variant>
        <vt:i4>110</vt:i4>
      </vt:variant>
      <vt:variant>
        <vt:i4>0</vt:i4>
      </vt:variant>
      <vt:variant>
        <vt:i4>5</vt:i4>
      </vt:variant>
      <vt:variant>
        <vt:lpwstr/>
      </vt:variant>
      <vt:variant>
        <vt:lpwstr>_Toc517448446</vt:lpwstr>
      </vt:variant>
      <vt:variant>
        <vt:i4>1966130</vt:i4>
      </vt:variant>
      <vt:variant>
        <vt:i4>104</vt:i4>
      </vt:variant>
      <vt:variant>
        <vt:i4>0</vt:i4>
      </vt:variant>
      <vt:variant>
        <vt:i4>5</vt:i4>
      </vt:variant>
      <vt:variant>
        <vt:lpwstr/>
      </vt:variant>
      <vt:variant>
        <vt:lpwstr>_Toc517448445</vt:lpwstr>
      </vt:variant>
      <vt:variant>
        <vt:i4>1966130</vt:i4>
      </vt:variant>
      <vt:variant>
        <vt:i4>98</vt:i4>
      </vt:variant>
      <vt:variant>
        <vt:i4>0</vt:i4>
      </vt:variant>
      <vt:variant>
        <vt:i4>5</vt:i4>
      </vt:variant>
      <vt:variant>
        <vt:lpwstr/>
      </vt:variant>
      <vt:variant>
        <vt:lpwstr>_Toc517448444</vt:lpwstr>
      </vt:variant>
      <vt:variant>
        <vt:i4>1966130</vt:i4>
      </vt:variant>
      <vt:variant>
        <vt:i4>92</vt:i4>
      </vt:variant>
      <vt:variant>
        <vt:i4>0</vt:i4>
      </vt:variant>
      <vt:variant>
        <vt:i4>5</vt:i4>
      </vt:variant>
      <vt:variant>
        <vt:lpwstr/>
      </vt:variant>
      <vt:variant>
        <vt:lpwstr>_Toc517448443</vt:lpwstr>
      </vt:variant>
      <vt:variant>
        <vt:i4>1966130</vt:i4>
      </vt:variant>
      <vt:variant>
        <vt:i4>86</vt:i4>
      </vt:variant>
      <vt:variant>
        <vt:i4>0</vt:i4>
      </vt:variant>
      <vt:variant>
        <vt:i4>5</vt:i4>
      </vt:variant>
      <vt:variant>
        <vt:lpwstr/>
      </vt:variant>
      <vt:variant>
        <vt:lpwstr>_Toc517448442</vt:lpwstr>
      </vt:variant>
      <vt:variant>
        <vt:i4>1966130</vt:i4>
      </vt:variant>
      <vt:variant>
        <vt:i4>80</vt:i4>
      </vt:variant>
      <vt:variant>
        <vt:i4>0</vt:i4>
      </vt:variant>
      <vt:variant>
        <vt:i4>5</vt:i4>
      </vt:variant>
      <vt:variant>
        <vt:lpwstr/>
      </vt:variant>
      <vt:variant>
        <vt:lpwstr>_Toc517448441</vt:lpwstr>
      </vt:variant>
      <vt:variant>
        <vt:i4>1966130</vt:i4>
      </vt:variant>
      <vt:variant>
        <vt:i4>74</vt:i4>
      </vt:variant>
      <vt:variant>
        <vt:i4>0</vt:i4>
      </vt:variant>
      <vt:variant>
        <vt:i4>5</vt:i4>
      </vt:variant>
      <vt:variant>
        <vt:lpwstr/>
      </vt:variant>
      <vt:variant>
        <vt:lpwstr>_Toc517448440</vt:lpwstr>
      </vt:variant>
      <vt:variant>
        <vt:i4>1638450</vt:i4>
      </vt:variant>
      <vt:variant>
        <vt:i4>68</vt:i4>
      </vt:variant>
      <vt:variant>
        <vt:i4>0</vt:i4>
      </vt:variant>
      <vt:variant>
        <vt:i4>5</vt:i4>
      </vt:variant>
      <vt:variant>
        <vt:lpwstr/>
      </vt:variant>
      <vt:variant>
        <vt:lpwstr>_Toc517448439</vt:lpwstr>
      </vt:variant>
      <vt:variant>
        <vt:i4>1638450</vt:i4>
      </vt:variant>
      <vt:variant>
        <vt:i4>62</vt:i4>
      </vt:variant>
      <vt:variant>
        <vt:i4>0</vt:i4>
      </vt:variant>
      <vt:variant>
        <vt:i4>5</vt:i4>
      </vt:variant>
      <vt:variant>
        <vt:lpwstr/>
      </vt:variant>
      <vt:variant>
        <vt:lpwstr>_Toc517448438</vt:lpwstr>
      </vt:variant>
      <vt:variant>
        <vt:i4>1638450</vt:i4>
      </vt:variant>
      <vt:variant>
        <vt:i4>56</vt:i4>
      </vt:variant>
      <vt:variant>
        <vt:i4>0</vt:i4>
      </vt:variant>
      <vt:variant>
        <vt:i4>5</vt:i4>
      </vt:variant>
      <vt:variant>
        <vt:lpwstr/>
      </vt:variant>
      <vt:variant>
        <vt:lpwstr>_Toc517448437</vt:lpwstr>
      </vt:variant>
      <vt:variant>
        <vt:i4>1638450</vt:i4>
      </vt:variant>
      <vt:variant>
        <vt:i4>50</vt:i4>
      </vt:variant>
      <vt:variant>
        <vt:i4>0</vt:i4>
      </vt:variant>
      <vt:variant>
        <vt:i4>5</vt:i4>
      </vt:variant>
      <vt:variant>
        <vt:lpwstr/>
      </vt:variant>
      <vt:variant>
        <vt:lpwstr>_Toc517448436</vt:lpwstr>
      </vt:variant>
      <vt:variant>
        <vt:i4>1638450</vt:i4>
      </vt:variant>
      <vt:variant>
        <vt:i4>44</vt:i4>
      </vt:variant>
      <vt:variant>
        <vt:i4>0</vt:i4>
      </vt:variant>
      <vt:variant>
        <vt:i4>5</vt:i4>
      </vt:variant>
      <vt:variant>
        <vt:lpwstr/>
      </vt:variant>
      <vt:variant>
        <vt:lpwstr>_Toc517448435</vt:lpwstr>
      </vt:variant>
      <vt:variant>
        <vt:i4>1638450</vt:i4>
      </vt:variant>
      <vt:variant>
        <vt:i4>38</vt:i4>
      </vt:variant>
      <vt:variant>
        <vt:i4>0</vt:i4>
      </vt:variant>
      <vt:variant>
        <vt:i4>5</vt:i4>
      </vt:variant>
      <vt:variant>
        <vt:lpwstr/>
      </vt:variant>
      <vt:variant>
        <vt:lpwstr>_Toc517448434</vt:lpwstr>
      </vt:variant>
      <vt:variant>
        <vt:i4>1638450</vt:i4>
      </vt:variant>
      <vt:variant>
        <vt:i4>32</vt:i4>
      </vt:variant>
      <vt:variant>
        <vt:i4>0</vt:i4>
      </vt:variant>
      <vt:variant>
        <vt:i4>5</vt:i4>
      </vt:variant>
      <vt:variant>
        <vt:lpwstr/>
      </vt:variant>
      <vt:variant>
        <vt:lpwstr>_Toc517448433</vt:lpwstr>
      </vt:variant>
      <vt:variant>
        <vt:i4>1638450</vt:i4>
      </vt:variant>
      <vt:variant>
        <vt:i4>26</vt:i4>
      </vt:variant>
      <vt:variant>
        <vt:i4>0</vt:i4>
      </vt:variant>
      <vt:variant>
        <vt:i4>5</vt:i4>
      </vt:variant>
      <vt:variant>
        <vt:lpwstr/>
      </vt:variant>
      <vt:variant>
        <vt:lpwstr>_Toc517448432</vt:lpwstr>
      </vt:variant>
      <vt:variant>
        <vt:i4>1638450</vt:i4>
      </vt:variant>
      <vt:variant>
        <vt:i4>20</vt:i4>
      </vt:variant>
      <vt:variant>
        <vt:i4>0</vt:i4>
      </vt:variant>
      <vt:variant>
        <vt:i4>5</vt:i4>
      </vt:variant>
      <vt:variant>
        <vt:lpwstr/>
      </vt:variant>
      <vt:variant>
        <vt:lpwstr>_Toc517448431</vt:lpwstr>
      </vt:variant>
      <vt:variant>
        <vt:i4>1638450</vt:i4>
      </vt:variant>
      <vt:variant>
        <vt:i4>14</vt:i4>
      </vt:variant>
      <vt:variant>
        <vt:i4>0</vt:i4>
      </vt:variant>
      <vt:variant>
        <vt:i4>5</vt:i4>
      </vt:variant>
      <vt:variant>
        <vt:lpwstr/>
      </vt:variant>
      <vt:variant>
        <vt:lpwstr>_Toc517448430</vt:lpwstr>
      </vt:variant>
      <vt:variant>
        <vt:i4>1572914</vt:i4>
      </vt:variant>
      <vt:variant>
        <vt:i4>8</vt:i4>
      </vt:variant>
      <vt:variant>
        <vt:i4>0</vt:i4>
      </vt:variant>
      <vt:variant>
        <vt:i4>5</vt:i4>
      </vt:variant>
      <vt:variant>
        <vt:lpwstr/>
      </vt:variant>
      <vt:variant>
        <vt:lpwstr>_Toc517448429</vt:lpwstr>
      </vt:variant>
      <vt:variant>
        <vt:i4>1572914</vt:i4>
      </vt:variant>
      <vt:variant>
        <vt:i4>2</vt:i4>
      </vt:variant>
      <vt:variant>
        <vt:i4>0</vt:i4>
      </vt:variant>
      <vt:variant>
        <vt:i4>5</vt:i4>
      </vt:variant>
      <vt:variant>
        <vt:lpwstr/>
      </vt:variant>
      <vt:variant>
        <vt:lpwstr>_Toc517448428</vt:lpwstr>
      </vt:variant>
      <vt:variant>
        <vt:i4>7143482</vt:i4>
      </vt:variant>
      <vt:variant>
        <vt:i4>3</vt:i4>
      </vt:variant>
      <vt:variant>
        <vt:i4>0</vt:i4>
      </vt:variant>
      <vt:variant>
        <vt:i4>5</vt:i4>
      </vt:variant>
      <vt:variant>
        <vt:lpwstr>http://www.oip.olsztyn.pl/</vt:lpwstr>
      </vt:variant>
      <vt:variant>
        <vt:lpwstr/>
      </vt:variant>
      <vt:variant>
        <vt:i4>589854</vt:i4>
      </vt:variant>
      <vt:variant>
        <vt:i4>0</vt:i4>
      </vt:variant>
      <vt:variant>
        <vt:i4>0</vt:i4>
      </vt:variant>
      <vt:variant>
        <vt:i4>5</vt:i4>
      </vt:variant>
      <vt:variant>
        <vt:lpwstr>http://www.inqbe.pl/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Jakub Kaminski</dc:creator>
  <cp:lastModifiedBy>Jarosławski Kamil</cp:lastModifiedBy>
  <cp:revision>2</cp:revision>
  <cp:lastPrinted>2019-07-17T12:38:00Z</cp:lastPrinted>
  <dcterms:created xsi:type="dcterms:W3CDTF">2022-07-14T07:47:00Z</dcterms:created>
  <dcterms:modified xsi:type="dcterms:W3CDTF">2022-07-14T07:47:00Z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GUS-GP01.070.8.2020.94</vt:lpwstr>
  </property>
  <property fmtid="{D5CDD505-2E9C-101B-9397-08002B2CF9AE}" pid="3" name="UNPPisma">
    <vt:lpwstr>2020-196343</vt:lpwstr>
  </property>
  <property fmtid="{D5CDD505-2E9C-101B-9397-08002B2CF9AE}" pid="4" name="ZnakSprawy">
    <vt:lpwstr>GUS-GP01.070.8.2020</vt:lpwstr>
  </property>
  <property fmtid="{D5CDD505-2E9C-101B-9397-08002B2CF9AE}" pid="5" name="ZnakSprawyPrzedPrzeniesieniem">
    <vt:lpwstr/>
  </property>
  <property fmtid="{D5CDD505-2E9C-101B-9397-08002B2CF9AE}" pid="6" name="Autor">
    <vt:lpwstr>Niklewicz-Kietczer Danuta</vt:lpwstr>
  </property>
  <property fmtid="{D5CDD505-2E9C-101B-9397-08002B2CF9AE}" pid="7" name="AutorInicjaly">
    <vt:lpwstr>DN</vt:lpwstr>
  </property>
  <property fmtid="{D5CDD505-2E9C-101B-9397-08002B2CF9AE}" pid="8" name="AutorNrTelefonu">
    <vt:lpwstr>(22) 608 3417</vt:lpwstr>
  </property>
  <property fmtid="{D5CDD505-2E9C-101B-9397-08002B2CF9AE}" pid="9" name="Stanowisko">
    <vt:lpwstr>główny specjalista</vt:lpwstr>
  </property>
  <property fmtid="{D5CDD505-2E9C-101B-9397-08002B2CF9AE}" pid="10" name="OpisPisma">
    <vt:lpwstr>Stanowisko GUS do projektu Strategii produktywności 2030</vt:lpwstr>
  </property>
  <property fmtid="{D5CDD505-2E9C-101B-9397-08002B2CF9AE}" pid="11" name="Komorka">
    <vt:lpwstr>Prezes GUS</vt:lpwstr>
  </property>
  <property fmtid="{D5CDD505-2E9C-101B-9397-08002B2CF9AE}" pid="12" name="KodKomorki">
    <vt:lpwstr>Prezes GUS</vt:lpwstr>
  </property>
  <property fmtid="{D5CDD505-2E9C-101B-9397-08002B2CF9AE}" pid="13" name="AktualnaData">
    <vt:lpwstr>2020-10-08</vt:lpwstr>
  </property>
  <property fmtid="{D5CDD505-2E9C-101B-9397-08002B2CF9AE}" pid="14" name="Wydzial">
    <vt:lpwstr>Wydział Projektów Rozwojowych</vt:lpwstr>
  </property>
  <property fmtid="{D5CDD505-2E9C-101B-9397-08002B2CF9AE}" pid="15" name="KodWydzialu">
    <vt:lpwstr>BP-04</vt:lpwstr>
  </property>
  <property fmtid="{D5CDD505-2E9C-101B-9397-08002B2CF9AE}" pid="16" name="ZaakceptowanePrzez">
    <vt:lpwstr>n/d</vt:lpwstr>
  </property>
  <property fmtid="{D5CDD505-2E9C-101B-9397-08002B2CF9AE}" pid="17" name="PrzekazanieDo">
    <vt:lpwstr>Michał Kowalczyk</vt:lpwstr>
  </property>
  <property fmtid="{D5CDD505-2E9C-101B-9397-08002B2CF9AE}" pid="18" name="PrzekazanieDoStanowisko">
    <vt:lpwstr>konsultant</vt:lpwstr>
  </property>
  <property fmtid="{D5CDD505-2E9C-101B-9397-08002B2CF9AE}" pid="19" name="PrzekazanieDoKomorkaPracownika">
    <vt:lpwstr>Wydział Zarządzania Strategicznego(GP-01) </vt:lpwstr>
  </property>
  <property fmtid="{D5CDD505-2E9C-101B-9397-08002B2CF9AE}" pid="20" name="PrzekazanieWgRozdzielnika">
    <vt:lpwstr/>
  </property>
  <property fmtid="{D5CDD505-2E9C-101B-9397-08002B2CF9AE}" pid="21" name="adresImie">
    <vt:lpwstr/>
  </property>
  <property fmtid="{D5CDD505-2E9C-101B-9397-08002B2CF9AE}" pid="22" name="adresNazwisko">
    <vt:lpwstr/>
  </property>
  <property fmtid="{D5CDD505-2E9C-101B-9397-08002B2CF9AE}" pid="23" name="adresNazwa">
    <vt:lpwstr/>
  </property>
  <property fmtid="{D5CDD505-2E9C-101B-9397-08002B2CF9AE}" pid="24" name="adresOddzial">
    <vt:lpwstr/>
  </property>
  <property fmtid="{D5CDD505-2E9C-101B-9397-08002B2CF9AE}" pid="25" name="adresUlica">
    <vt:lpwstr/>
  </property>
  <property fmtid="{D5CDD505-2E9C-101B-9397-08002B2CF9AE}" pid="26" name="adresTypUlicy">
    <vt:lpwstr/>
  </property>
  <property fmtid="{D5CDD505-2E9C-101B-9397-08002B2CF9AE}" pid="27" name="adresNrDomu">
    <vt:lpwstr/>
  </property>
  <property fmtid="{D5CDD505-2E9C-101B-9397-08002B2CF9AE}" pid="28" name="adresNrLokalu">
    <vt:lpwstr/>
  </property>
  <property fmtid="{D5CDD505-2E9C-101B-9397-08002B2CF9AE}" pid="29" name="adresKodPocztowy">
    <vt:lpwstr/>
  </property>
  <property fmtid="{D5CDD505-2E9C-101B-9397-08002B2CF9AE}" pid="30" name="adresMiejscowosc">
    <vt:lpwstr/>
  </property>
  <property fmtid="{D5CDD505-2E9C-101B-9397-08002B2CF9AE}" pid="31" name="adresPoczta">
    <vt:lpwstr/>
  </property>
  <property fmtid="{D5CDD505-2E9C-101B-9397-08002B2CF9AE}" pid="32" name="adresEMail">
    <vt:lpwstr/>
  </property>
  <property fmtid="{D5CDD505-2E9C-101B-9397-08002B2CF9AE}" pid="33" name="DataNaPismie">
    <vt:lpwstr/>
  </property>
  <property fmtid="{D5CDD505-2E9C-101B-9397-08002B2CF9AE}" pid="34" name="KodKreskowy">
    <vt:lpwstr/>
  </property>
  <property fmtid="{D5CDD505-2E9C-101B-9397-08002B2CF9AE}" pid="35" name="TrescPisma">
    <vt:lpwstr/>
  </property>
  <property fmtid="{D5CDD505-2E9C-101B-9397-08002B2CF9AE}" pid="36" name="ContentTypeId">
    <vt:lpwstr>0x0101005F253E89B8992844AAE9836E71E202A8</vt:lpwstr>
  </property>
</Properties>
</file>