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783" w:rsidRDefault="006D6783">
      <w:pPr>
        <w:pStyle w:val="Bodytext30"/>
        <w:pBdr>
          <w:bottom w:val="single" w:sz="4" w:space="0" w:color="auto"/>
        </w:pBdr>
      </w:pPr>
    </w:p>
    <w:p w:rsidR="006D6783" w:rsidRDefault="00FB2550">
      <w:pPr>
        <w:pStyle w:val="Bodytext20"/>
        <w:tabs>
          <w:tab w:val="left" w:pos="3019"/>
        </w:tabs>
      </w:pPr>
      <w:r>
        <w:rPr>
          <w:rStyle w:val="Bodytext2"/>
          <w:b/>
          <w:bCs/>
        </w:rPr>
        <w:t>Od:</w:t>
      </w:r>
      <w:r>
        <w:rPr>
          <w:rStyle w:val="Bodytext2"/>
          <w:b/>
          <w:bCs/>
        </w:rPr>
        <w:tab/>
      </w:r>
    </w:p>
    <w:p w:rsidR="006D6783" w:rsidRDefault="00FB2550">
      <w:pPr>
        <w:pStyle w:val="Bodytext20"/>
        <w:tabs>
          <w:tab w:val="left" w:pos="3019"/>
        </w:tabs>
      </w:pPr>
      <w:r>
        <w:rPr>
          <w:rStyle w:val="Bodytext2"/>
          <w:b/>
          <w:bCs/>
        </w:rPr>
        <w:t>Wysłano:</w:t>
      </w:r>
      <w:r>
        <w:rPr>
          <w:rStyle w:val="Bodytext2"/>
          <w:b/>
          <w:bCs/>
        </w:rPr>
        <w:tab/>
      </w:r>
      <w:r>
        <w:rPr>
          <w:rStyle w:val="Bodytext2"/>
        </w:rPr>
        <w:t>środa, 22 kwietnia 2026 10:07</w:t>
      </w:r>
    </w:p>
    <w:p w:rsidR="006D6783" w:rsidRDefault="00FB2550">
      <w:pPr>
        <w:pStyle w:val="Bodytext20"/>
        <w:tabs>
          <w:tab w:val="left" w:pos="3019"/>
        </w:tabs>
      </w:pPr>
      <w:r>
        <w:rPr>
          <w:rStyle w:val="Bodytext2"/>
          <w:b/>
          <w:bCs/>
        </w:rPr>
        <w:t>Do:</w:t>
      </w:r>
      <w:r>
        <w:rPr>
          <w:rStyle w:val="Bodytext2"/>
          <w:b/>
          <w:bCs/>
        </w:rPr>
        <w:tab/>
      </w:r>
      <w:r>
        <w:rPr>
          <w:rStyle w:val="Bodytext2"/>
        </w:rPr>
        <w:t>kontakt</w:t>
      </w:r>
    </w:p>
    <w:p w:rsidR="006D6783" w:rsidRDefault="00FB2550">
      <w:pPr>
        <w:pStyle w:val="Bodytext20"/>
        <w:tabs>
          <w:tab w:val="left" w:pos="3019"/>
          <w:tab w:val="center" w:pos="7949"/>
        </w:tabs>
      </w:pPr>
      <w:r>
        <w:rPr>
          <w:rStyle w:val="Bodytext2"/>
          <w:b/>
          <w:bCs/>
        </w:rPr>
        <w:t>Temat:</w:t>
      </w:r>
      <w:r>
        <w:rPr>
          <w:rStyle w:val="Bodytext2"/>
          <w:b/>
          <w:bCs/>
        </w:rPr>
        <w:tab/>
      </w:r>
      <w:r>
        <w:rPr>
          <w:rStyle w:val="Bodytext2"/>
        </w:rPr>
        <w:t>PETYCJA w sprawie zmiany przepisów</w:t>
      </w:r>
      <w:r>
        <w:rPr>
          <w:rStyle w:val="Bodytext2"/>
        </w:rPr>
        <w:tab/>
        <w:t>kpa oraz rozporządzenia w sprawie</w:t>
      </w:r>
    </w:p>
    <w:p w:rsidR="006D6783" w:rsidRDefault="00FB2550">
      <w:pPr>
        <w:pStyle w:val="Bodytext20"/>
        <w:spacing w:after="540"/>
        <w:ind w:left="3060"/>
      </w:pPr>
      <w:r>
        <w:rPr>
          <w:rStyle w:val="Bodytext2"/>
        </w:rPr>
        <w:t xml:space="preserve">organizacji </w:t>
      </w:r>
      <w:r>
        <w:rPr>
          <w:rStyle w:val="Bodytext2"/>
        </w:rPr>
        <w:t>przyjmowania i rozpatrywania skarg i wniosków</w:t>
      </w:r>
    </w:p>
    <w:p w:rsidR="006D6783" w:rsidRDefault="00FB2550">
      <w:pPr>
        <w:pStyle w:val="Heading110"/>
        <w:keepNext/>
        <w:keepLines/>
      </w:pPr>
      <w:bookmarkStart w:id="0" w:name="bookmark0"/>
      <w:r>
        <w:rPr>
          <w:rStyle w:val="Heading11"/>
          <w:b/>
          <w:bCs/>
        </w:rPr>
        <w:t>Uwaga! Wiadomość pochodzi od zewnętrznego nadawcy.</w:t>
      </w:r>
      <w:bookmarkEnd w:id="0"/>
    </w:p>
    <w:p w:rsidR="006D6783" w:rsidRDefault="00FB2550">
      <w:pPr>
        <w:pStyle w:val="Bodytext10"/>
      </w:pPr>
      <w:r>
        <w:rPr>
          <w:rStyle w:val="Bodytext1"/>
        </w:rPr>
        <w:t>Dzień dobry,</w:t>
      </w:r>
    </w:p>
    <w:p w:rsidR="006D6783" w:rsidRDefault="00FB2550">
      <w:pPr>
        <w:pStyle w:val="Bodytext10"/>
        <w:spacing w:after="0"/>
      </w:pPr>
      <w:r>
        <w:rPr>
          <w:rStyle w:val="Bodytext1"/>
        </w:rPr>
        <w:t>Wnoszę o podjęcie inicjatywy legislacyjnej polegającej na zmianie:</w:t>
      </w:r>
    </w:p>
    <w:p w:rsidR="006D6783" w:rsidRDefault="00FB2550">
      <w:pPr>
        <w:pStyle w:val="Bodytext10"/>
        <w:numPr>
          <w:ilvl w:val="0"/>
          <w:numId w:val="1"/>
        </w:numPr>
        <w:tabs>
          <w:tab w:val="left" w:pos="265"/>
        </w:tabs>
        <w:spacing w:after="0"/>
      </w:pP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63 § 1 ustawy z dnia 14 czerwca 1960 r. - Kodeks postępowania administracy</w:t>
      </w:r>
      <w:r>
        <w:rPr>
          <w:rStyle w:val="Bodytext1"/>
        </w:rPr>
        <w:t>jnego, który stanowi, że: „Podania (żądania, wyjaśnienia, odwołania, zażalenia) wnosi się na piśmie, za pomocą telefaksu lub ustnie do protokołu”;</w:t>
      </w:r>
    </w:p>
    <w:p w:rsidR="006D6783" w:rsidRDefault="00FB2550">
      <w:pPr>
        <w:pStyle w:val="Bodytext10"/>
        <w:numPr>
          <w:ilvl w:val="0"/>
          <w:numId w:val="1"/>
        </w:numPr>
        <w:tabs>
          <w:tab w:val="left" w:pos="272"/>
        </w:tabs>
      </w:pPr>
      <w:r>
        <w:rPr>
          <w:rStyle w:val="Bodytext1"/>
        </w:rPr>
        <w:t>§ 5 rozporządzenia Rady Ministrów z dnia 8 stycznia 2002 r. w sprawie organizacji przyjmowania i rozpatrywani</w:t>
      </w:r>
      <w:r>
        <w:rPr>
          <w:rStyle w:val="Bodytext1"/>
        </w:rPr>
        <w:t xml:space="preserve">a skarg i wniosków, </w:t>
      </w:r>
      <w:bookmarkStart w:id="1" w:name="_GoBack"/>
      <w:r>
        <w:rPr>
          <w:rStyle w:val="Bodytext1"/>
        </w:rPr>
        <w:t>zgod</w:t>
      </w:r>
      <w:bookmarkEnd w:id="1"/>
      <w:r>
        <w:rPr>
          <w:rStyle w:val="Bodytext1"/>
        </w:rPr>
        <w:t>nie z którym: „Skargi i wnioski mogą być wnoszone pisemnie, telegraficznie lub za pomocą dalekopisu, telefaksu, poczty elektronicznej, a także ustnie do protokołu”.</w:t>
      </w:r>
    </w:p>
    <w:p w:rsidR="006D6783" w:rsidRDefault="00FB2550">
      <w:pPr>
        <w:pStyle w:val="Bodytext10"/>
      </w:pPr>
      <w:r>
        <w:rPr>
          <w:rStyle w:val="Bodytext1"/>
        </w:rPr>
        <w:t>Petycja dotyczy usunięcia z obowiązujących przepisów form komunikac</w:t>
      </w:r>
      <w:r>
        <w:rPr>
          <w:rStyle w:val="Bodytext1"/>
        </w:rPr>
        <w:t>ji takich jak: telefaks, telegraf oraz dalekopis, jako narzędzi przestarzałych, niefunkcjonujących w praktyce lub nieodpowiadających współczesnym standardom bezpieczeństwa.</w:t>
      </w:r>
    </w:p>
    <w:p w:rsidR="006D6783" w:rsidRDefault="00FB2550">
      <w:pPr>
        <w:pStyle w:val="Bodytext10"/>
        <w:spacing w:after="0"/>
      </w:pPr>
      <w:r>
        <w:rPr>
          <w:rStyle w:val="Bodytext1"/>
        </w:rPr>
        <w:t xml:space="preserve">Telegraf i dalekopis są środkami komunikacji, które w praktyce nie funkcjonują już </w:t>
      </w:r>
      <w:r>
        <w:rPr>
          <w:rStyle w:val="Bodytext1"/>
        </w:rPr>
        <w:t xml:space="preserve">w obrocie prawnym ani gospodarczym, zarówno w sektorze publicznym, jak i prywatnym. Ich dalsze wymienianie w przepisach prawa ma charakter wyłącznie historyczny i nie odpowiada rzeczywistym możliwościom technicznym stron postępowania administracyjnego ani </w:t>
      </w:r>
      <w:r>
        <w:rPr>
          <w:rStyle w:val="Bodytext1"/>
        </w:rPr>
        <w:t>organów.</w:t>
      </w:r>
    </w:p>
    <w:p w:rsidR="006D6783" w:rsidRDefault="00FB2550">
      <w:pPr>
        <w:pStyle w:val="Bodytext10"/>
      </w:pPr>
      <w:r>
        <w:rPr>
          <w:rStyle w:val="Bodytext1"/>
        </w:rPr>
        <w:t>Utrzymywanie martwych instytucji prawnych obniża przejrzystość przepisów oraz podważa ich zrozumiałość dla obywateli.</w:t>
      </w:r>
    </w:p>
    <w:p w:rsidR="006D6783" w:rsidRDefault="00FB2550">
      <w:pPr>
        <w:pStyle w:val="Bodytext10"/>
        <w:spacing w:after="0"/>
      </w:pPr>
      <w:r>
        <w:rPr>
          <w:rStyle w:val="Bodytext1"/>
        </w:rPr>
        <w:t>Urządzenia typu faks nie spełniają współczesnych standardów</w:t>
      </w:r>
    </w:p>
    <w:p w:rsidR="006D6783" w:rsidRDefault="00FB2550">
      <w:pPr>
        <w:pStyle w:val="Bodytext10"/>
        <w:numPr>
          <w:ilvl w:val="0"/>
          <w:numId w:val="1"/>
        </w:numPr>
        <w:tabs>
          <w:tab w:val="left" w:pos="258"/>
        </w:tabs>
        <w:spacing w:after="0"/>
      </w:pPr>
      <w:r>
        <w:rPr>
          <w:rStyle w:val="Bodytext1"/>
        </w:rPr>
        <w:t>bezpieczeństwa informacji, w szczególności:</w:t>
      </w:r>
    </w:p>
    <w:p w:rsidR="006D6783" w:rsidRDefault="00FB2550">
      <w:pPr>
        <w:pStyle w:val="Bodytext10"/>
        <w:numPr>
          <w:ilvl w:val="0"/>
          <w:numId w:val="1"/>
        </w:numPr>
        <w:tabs>
          <w:tab w:val="left" w:pos="258"/>
        </w:tabs>
        <w:spacing w:after="0"/>
      </w:pPr>
      <w:r>
        <w:rPr>
          <w:rStyle w:val="Bodytext1"/>
        </w:rPr>
        <w:t>brak mechanizmów szyfrowa</w:t>
      </w:r>
      <w:r>
        <w:rPr>
          <w:rStyle w:val="Bodytext1"/>
        </w:rPr>
        <w:t>nia,</w:t>
      </w:r>
    </w:p>
    <w:p w:rsidR="006D6783" w:rsidRDefault="00FB2550">
      <w:pPr>
        <w:pStyle w:val="Bodytext10"/>
        <w:numPr>
          <w:ilvl w:val="0"/>
          <w:numId w:val="1"/>
        </w:numPr>
        <w:tabs>
          <w:tab w:val="left" w:pos="258"/>
        </w:tabs>
        <w:spacing w:after="0"/>
      </w:pPr>
      <w:r>
        <w:rPr>
          <w:rStyle w:val="Bodytext1"/>
        </w:rPr>
        <w:t>brak autoryzacji nadawcy,</w:t>
      </w:r>
    </w:p>
    <w:p w:rsidR="006D6783" w:rsidRDefault="00FB2550">
      <w:pPr>
        <w:pStyle w:val="Bodytext10"/>
        <w:numPr>
          <w:ilvl w:val="0"/>
          <w:numId w:val="1"/>
        </w:numPr>
        <w:tabs>
          <w:tab w:val="left" w:pos="258"/>
        </w:tabs>
        <w:spacing w:after="0"/>
      </w:pPr>
      <w:r>
        <w:rPr>
          <w:rStyle w:val="Bodytext1"/>
        </w:rPr>
        <w:t>brak kontroli dostępu do dokumentów,</w:t>
      </w:r>
    </w:p>
    <w:p w:rsidR="006D6783" w:rsidRDefault="00FB2550">
      <w:pPr>
        <w:pStyle w:val="Bodytext10"/>
        <w:numPr>
          <w:ilvl w:val="0"/>
          <w:numId w:val="1"/>
        </w:numPr>
        <w:tabs>
          <w:tab w:val="left" w:pos="258"/>
        </w:tabs>
        <w:spacing w:after="0"/>
      </w:pPr>
      <w:r>
        <w:rPr>
          <w:rStyle w:val="Bodytext1"/>
        </w:rPr>
        <w:t>brak regularnych aktualizacji bezpieczeństwa,</w:t>
      </w:r>
    </w:p>
    <w:p w:rsidR="006D6783" w:rsidRDefault="00FB2550">
      <w:pPr>
        <w:pStyle w:val="Bodytext10"/>
        <w:numPr>
          <w:ilvl w:val="0"/>
          <w:numId w:val="1"/>
        </w:numPr>
        <w:tabs>
          <w:tab w:val="left" w:pos="265"/>
        </w:tabs>
      </w:pPr>
      <w:r>
        <w:rPr>
          <w:rStyle w:val="Bodytext1"/>
        </w:rPr>
        <w:t>możliwość nieuprawnionego dostępu do dokumentów zawierających dane osobowe lub informacje prawnie chronione.</w:t>
      </w:r>
    </w:p>
    <w:p w:rsidR="006D6783" w:rsidRDefault="00FB2550">
      <w:pPr>
        <w:pStyle w:val="Bodytext10"/>
        <w:spacing w:after="0"/>
      </w:pPr>
      <w:r>
        <w:rPr>
          <w:rStyle w:val="Bodytext1"/>
        </w:rPr>
        <w:t>Zgodnie z powszechnie stosowanymi</w:t>
      </w:r>
      <w:r>
        <w:rPr>
          <w:rStyle w:val="Bodytext1"/>
        </w:rPr>
        <w:t xml:space="preserve"> zaleceniami w zakresie bezpieczeństwa teleinformatycznego, urządzenia faksowe są systematycznie wycofywane z użytku służbowego w administracji publicznej oraz w podmiotach przetwarzających dane osobowe.</w:t>
      </w:r>
    </w:p>
    <w:p w:rsidR="006D6783" w:rsidRDefault="00FB2550">
      <w:pPr>
        <w:pStyle w:val="Bodytext10"/>
      </w:pPr>
      <w:r>
        <w:rPr>
          <w:rStyle w:val="Bodytext1"/>
        </w:rPr>
        <w:t>W kontekście obowiązywania RODO oraz przepisów o kra</w:t>
      </w:r>
      <w:r>
        <w:rPr>
          <w:rStyle w:val="Bodytext1"/>
        </w:rPr>
        <w:t xml:space="preserve">jowym systemie </w:t>
      </w:r>
      <w:proofErr w:type="spellStart"/>
      <w:r>
        <w:rPr>
          <w:rStyle w:val="Bodytext1"/>
        </w:rPr>
        <w:t>cyberbezpieczeństwa</w:t>
      </w:r>
      <w:proofErr w:type="spellEnd"/>
      <w:r>
        <w:rPr>
          <w:rStyle w:val="Bodytext1"/>
        </w:rPr>
        <w:t xml:space="preserve"> utrzymywanie faxu jako dopuszczalnej formy komunikacji urzędowej budzi uzasadnione wątpliwości.</w:t>
      </w:r>
    </w:p>
    <w:p w:rsidR="006D6783" w:rsidRDefault="00FB2550">
      <w:pPr>
        <w:pStyle w:val="Bodytext10"/>
      </w:pPr>
      <w:r>
        <w:rPr>
          <w:rStyle w:val="Bodytext1"/>
        </w:rPr>
        <w:t>Polski model administracji publicznej od lat zmierza w kierunku cyfryzacji, w tym kontekście regulacje odwołujące się do tech</w:t>
      </w:r>
      <w:r>
        <w:rPr>
          <w:rStyle w:val="Bodytext1"/>
        </w:rPr>
        <w:t>nologii sprzed kilkudziesięciu lat stoją w sprzeczności z kierunkiem rozwoju administracji publicznej oraz z zasadą racjonalnego prawodawcy.</w:t>
      </w:r>
      <w:r>
        <w:br w:type="page"/>
      </w:r>
    </w:p>
    <w:p w:rsidR="006D6783" w:rsidRDefault="00FB2550">
      <w:pPr>
        <w:pStyle w:val="Bodytext10"/>
      </w:pPr>
      <w:r>
        <w:rPr>
          <w:rStyle w:val="Bodytext1"/>
        </w:rPr>
        <w:lastRenderedPageBreak/>
        <w:t>Postuluję dostosowanie ww. przepisów do obecnego poziomu cyfryzacji i realiów w naszym kraju, a tym samym zwiększe</w:t>
      </w:r>
      <w:r>
        <w:rPr>
          <w:rStyle w:val="Bodytext1"/>
        </w:rPr>
        <w:t>nia bezpieczeństwa.</w:t>
      </w:r>
    </w:p>
    <w:p w:rsidR="006D6783" w:rsidRDefault="00FB2550">
      <w:pPr>
        <w:pStyle w:val="Bodytext10"/>
      </w:pPr>
      <w:r>
        <w:rPr>
          <w:rStyle w:val="Bodytext1"/>
        </w:rPr>
        <w:t>Już na marginesie wskazuję, że obecnie Ministerstwo Sprawiedliwości proceduje zmianę kodeksu postępowania karnego w podobnym zakresie (UD272).</w:t>
      </w:r>
    </w:p>
    <w:p w:rsidR="006D6783" w:rsidRDefault="00FB2550">
      <w:pPr>
        <w:pStyle w:val="Bodytext10"/>
        <w:spacing w:after="0"/>
      </w:pPr>
      <w:r>
        <w:rPr>
          <w:rStyle w:val="Bodytext1"/>
        </w:rPr>
        <w:t>Pozdrawiam serdecznie</w:t>
      </w:r>
    </w:p>
    <w:p w:rsidR="006D6783" w:rsidRDefault="006D6783">
      <w:pPr>
        <w:pStyle w:val="Bodytext10"/>
      </w:pPr>
    </w:p>
    <w:sectPr w:rsidR="006D6783">
      <w:footerReference w:type="default" r:id="rId7"/>
      <w:pgSz w:w="11900" w:h="16840"/>
      <w:pgMar w:top="889" w:right="812" w:bottom="1704" w:left="633" w:header="46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550" w:rsidRDefault="00FB2550">
      <w:r>
        <w:separator/>
      </w:r>
    </w:p>
  </w:endnote>
  <w:endnote w:type="continuationSeparator" w:id="0">
    <w:p w:rsidR="00FB2550" w:rsidRDefault="00FB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783" w:rsidRDefault="00FB2550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3721735</wp:posOffset>
              </wp:positionH>
              <wp:positionV relativeFrom="page">
                <wp:posOffset>10229850</wp:posOffset>
              </wp:positionV>
              <wp:extent cx="18415" cy="685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15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6783" w:rsidRDefault="00FB2550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42CAC" w:rsidRPr="00F42CAC">
                            <w:rPr>
                              <w:rStyle w:val="Headerorfooter2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Headerorfooter2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3.05pt;margin-top:805.5pt;width:1.45pt;height:5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UMHkgEAAB8DAAAOAAAAZHJzL2Uyb0RvYy54bWysUlFLAzEMfhf8D6Xv7jZxYxy7DUUUQVSY&#10;/oCu1+4K16Y0dXf796bdbRN9E1/aNEm/fPmSxaq3LdupgAZcxSejMWfKSaiN21b84/3has4ZRuFq&#10;0YJTFd8r5Kvl5cWi86W6hgbaWgVGIA7Lzle8idGXRYGyUVbgCLxyFNQQrIj0DNuiDqIjdNsW1+Px&#10;rOgg1D6AVIjkvT8E+TLja61kfNUaVWRtxYlbzGfI5yadxXIhym0QvjFyoCH+wMIK46joCepeRME+&#10;g/kFZY0MgKDjSIItQGsjVe6BupmMf3SzboRXuRcSB/1JJvw/WPmyewvM1DQ7zpywNKJclU2SNJ3H&#10;kjLWnnJifwd9Shv8SM7Uca+DTTf1wihOIu9Pwqo+Mpk+zW8mU84kRWbz6TzLXpy/+oDxUYFlyah4&#10;oKllMcXuGSOVo9RjSqrk4MG0bfInfgceyYr9ph/IbaDeE+eOBltxR5vHWfvkSLe0A0cjHI3NYCRw&#10;9LefkQrkugn1ADUUoylkOsPGpDF/f+es814vvwAAAP//AwBQSwMEFAAGAAgAAAAhAOzfTbveAAAA&#10;DQEAAA8AAABkcnMvZG93bnJldi54bWxMj8FOwzAQRO9I/IO1lbhRx5UaTIhToUpcuFEQEjc33sZR&#10;Yzuy3TT5e7YnuO3ujGbf1LvZDWzCmPrgFYh1AQx9G0zvOwVfn2+PEljK2hs9BI8KFkywa+7val2Z&#10;cPUfOB1yxyjEp0orsDmPFeepteh0WocRPWmnEJ3OtMaOm6ivFO4GvimKkjvde/pg9Yh7i+35cHEK&#10;nubvgGPCPf6cpjbafpHD+6LUw2p+fQGWcc5/ZrjhEzo0xHQMF28SGxRsZSnISkIpBLUiy1Y+03C8&#10;nTZCAm9q/r9F8wsAAP//AwBQSwECLQAUAAYACAAAACEAtoM4kv4AAADhAQAAEwAAAAAAAAAAAAAA&#10;AAAAAAAAW0NvbnRlbnRfVHlwZXNdLnhtbFBLAQItABQABgAIAAAAIQA4/SH/1gAAAJQBAAALAAAA&#10;AAAAAAAAAAAAAC8BAABfcmVscy8ucmVsc1BLAQItABQABgAIAAAAIQA+EUMHkgEAAB8DAAAOAAAA&#10;AAAAAAAAAAAAAC4CAABkcnMvZTJvRG9jLnhtbFBLAQItABQABgAIAAAAIQDs30273gAAAA0BAAAP&#10;AAAAAAAAAAAAAAAAAOwDAABkcnMvZG93bnJldi54bWxQSwUGAAAAAAQABADzAAAA9wQAAAAA&#10;" filled="f" stroked="f">
              <v:textbox style="mso-fit-shape-to-text:t" inset="0,0,0,0">
                <w:txbxContent>
                  <w:p w:rsidR="006D6783" w:rsidRDefault="00FB2550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42CAC" w:rsidRPr="00F42CAC">
                      <w:rPr>
                        <w:rStyle w:val="Headerorfooter2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Headerorfooter2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550" w:rsidRDefault="00FB2550"/>
  </w:footnote>
  <w:footnote w:type="continuationSeparator" w:id="0">
    <w:p w:rsidR="00FB2550" w:rsidRDefault="00FB25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01276"/>
    <w:multiLevelType w:val="multilevel"/>
    <w:tmpl w:val="CE9490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783"/>
    <w:rsid w:val="006D6783"/>
    <w:rsid w:val="00F42CAC"/>
    <w:rsid w:val="00FB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17DA63-3DBB-4A3F-B674-DE73C92D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">
    <w:name w:val="Heading #1|1_"/>
    <w:basedOn w:val="Domylnaczcionkaakapitu"/>
    <w:link w:val="Heading110"/>
    <w:rPr>
      <w:b/>
      <w:bCs/>
      <w:i w:val="0"/>
      <w:iCs w:val="0"/>
      <w:smallCaps w:val="0"/>
      <w:strike w:val="0"/>
      <w:color w:val="BE0101"/>
      <w:sz w:val="28"/>
      <w:szCs w:val="28"/>
      <w:u w:val="none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|3"/>
    <w:basedOn w:val="Normalny"/>
    <w:link w:val="Bodytext3"/>
    <w:pPr>
      <w:spacing w:after="280" w:line="262" w:lineRule="auto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Bodytext20">
    <w:name w:val="Body text|2"/>
    <w:basedOn w:val="Normalny"/>
    <w:link w:val="Bodytext2"/>
    <w:rPr>
      <w:rFonts w:ascii="Arial" w:eastAsia="Arial" w:hAnsi="Arial" w:cs="Arial"/>
      <w:sz w:val="19"/>
      <w:szCs w:val="19"/>
    </w:rPr>
  </w:style>
  <w:style w:type="paragraph" w:customStyle="1" w:styleId="Heading110">
    <w:name w:val="Heading #1|1"/>
    <w:basedOn w:val="Normalny"/>
    <w:link w:val="Heading11"/>
    <w:pPr>
      <w:spacing w:after="540"/>
      <w:outlineLvl w:val="0"/>
    </w:pPr>
    <w:rPr>
      <w:b/>
      <w:bCs/>
      <w:color w:val="BE0101"/>
      <w:sz w:val="28"/>
      <w:szCs w:val="28"/>
    </w:rPr>
  </w:style>
  <w:style w:type="paragraph" w:customStyle="1" w:styleId="Bodytext10">
    <w:name w:val="Body text|1"/>
    <w:basedOn w:val="Normalny"/>
    <w:link w:val="Bodytext1"/>
    <w:pPr>
      <w:spacing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2460</Characters>
  <Application>Microsoft Office Word</Application>
  <DocSecurity>0</DocSecurity>
  <Lines>20</Lines>
  <Paragraphs>5</Paragraphs>
  <ScaleCrop>false</ScaleCrop>
  <Company>MSWiA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2</cp:revision>
  <dcterms:created xsi:type="dcterms:W3CDTF">2026-05-07T14:18:00Z</dcterms:created>
  <dcterms:modified xsi:type="dcterms:W3CDTF">2026-05-07T14:18:00Z</dcterms:modified>
</cp:coreProperties>
</file>