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CE" w:rsidRPr="004270CE" w:rsidRDefault="003C6FB6" w:rsidP="00BE1868">
      <w:pPr>
        <w:pStyle w:val="dane1"/>
        <w:spacing w:line="259" w:lineRule="auto"/>
      </w:pPr>
      <w:bookmarkStart w:id="0" w:name="_GoBack"/>
      <w:bookmarkEnd w:id="0"/>
      <w:r>
        <w:t xml:space="preserve">Departament </w:t>
      </w:r>
      <w:r w:rsidR="009D75DF">
        <w:t>Kontroli</w:t>
      </w:r>
    </w:p>
    <w:p w:rsidR="009276B2" w:rsidRDefault="009276B2" w:rsidP="00BE1868">
      <w:pPr>
        <w:spacing w:after="0"/>
        <w:rPr>
          <w:rFonts w:ascii="Lato" w:hAnsi="Lato"/>
          <w:sz w:val="20"/>
        </w:rPr>
      </w:pPr>
    </w:p>
    <w:p w:rsidR="009D75DF" w:rsidRPr="00AE0F6E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</w:t>
      </w:r>
      <w:r w:rsidR="0086616B">
        <w:rPr>
          <w:rFonts w:ascii="Lato" w:hAnsi="Lato"/>
          <w:sz w:val="20"/>
          <w:szCs w:val="20"/>
        </w:rPr>
        <w:t>16</w:t>
      </w:r>
      <w:r w:rsidR="0085298A">
        <w:rPr>
          <w:rFonts w:ascii="Lato" w:hAnsi="Lato"/>
          <w:sz w:val="20"/>
          <w:szCs w:val="20"/>
        </w:rPr>
        <w:t xml:space="preserve"> lutego</w:t>
      </w:r>
      <w:r w:rsidR="00C9309C">
        <w:rPr>
          <w:rFonts w:ascii="Lato" w:hAnsi="Lato"/>
          <w:sz w:val="20"/>
          <w:szCs w:val="20"/>
        </w:rPr>
        <w:t xml:space="preserve"> </w:t>
      </w:r>
      <w:r w:rsidRPr="00AE0F6E">
        <w:rPr>
          <w:rFonts w:ascii="Lato" w:hAnsi="Lato"/>
          <w:sz w:val="20"/>
          <w:szCs w:val="20"/>
        </w:rPr>
        <w:t>202</w:t>
      </w:r>
      <w:r w:rsidR="001734CD">
        <w:rPr>
          <w:rFonts w:ascii="Lato" w:hAnsi="Lato"/>
          <w:sz w:val="20"/>
          <w:szCs w:val="20"/>
        </w:rPr>
        <w:t>6</w:t>
      </w:r>
      <w:r w:rsidRPr="00AE0F6E">
        <w:rPr>
          <w:rFonts w:ascii="Lato" w:hAnsi="Lato"/>
          <w:sz w:val="20"/>
          <w:szCs w:val="20"/>
        </w:rPr>
        <w:t xml:space="preserve"> r.</w:t>
      </w:r>
    </w:p>
    <w:p w:rsidR="009D75DF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</w:p>
    <w:p w:rsidR="002A416F" w:rsidRPr="007B0134" w:rsidRDefault="002A416F" w:rsidP="00D00435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</w:p>
    <w:p w:rsidR="00D00435" w:rsidRDefault="00D00435" w:rsidP="00D0043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:rsidR="009D75DF" w:rsidRPr="007B0134" w:rsidRDefault="009D75DF" w:rsidP="00D0043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Informacja o wynikach kontroli</w:t>
      </w:r>
    </w:p>
    <w:p w:rsidR="00503B40" w:rsidRPr="00503B40" w:rsidRDefault="009D75DF" w:rsidP="00D00435">
      <w:pPr>
        <w:spacing w:after="0"/>
        <w:jc w:val="center"/>
        <w:rPr>
          <w:rFonts w:ascii="Lato" w:hAnsi="Lato"/>
          <w:b/>
          <w:i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na temat:</w:t>
      </w:r>
      <w:r w:rsidRPr="007B0134">
        <w:rPr>
          <w:rFonts w:ascii="Lato" w:hAnsi="Lato"/>
          <w:b/>
          <w:i/>
          <w:sz w:val="20"/>
          <w:szCs w:val="20"/>
        </w:rPr>
        <w:t xml:space="preserve"> </w:t>
      </w:r>
      <w:r w:rsidR="00503B40" w:rsidRPr="00503B40">
        <w:rPr>
          <w:rFonts w:ascii="Lato" w:hAnsi="Lato"/>
          <w:b/>
          <w:i/>
          <w:sz w:val="20"/>
          <w:szCs w:val="20"/>
          <w:lang w:val="pl"/>
        </w:rPr>
        <w:t>Prawidłowość sprawowania nadzoru nad środkami trwałymi</w:t>
      </w:r>
    </w:p>
    <w:p w:rsidR="009D75DF" w:rsidRPr="007B0134" w:rsidRDefault="00503B40" w:rsidP="00D0043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503B40">
        <w:rPr>
          <w:rFonts w:ascii="Lato" w:hAnsi="Lato"/>
          <w:b/>
          <w:sz w:val="20"/>
          <w:szCs w:val="20"/>
        </w:rPr>
        <w:t>w Państwowym Instytucie Medycznym</w:t>
      </w:r>
      <w:r w:rsidRPr="00503B40">
        <w:rPr>
          <w:rFonts w:ascii="Lato" w:hAnsi="Lato"/>
          <w:b/>
          <w:sz w:val="20"/>
          <w:szCs w:val="20"/>
          <w:lang w:val="pl"/>
        </w:rPr>
        <w:t xml:space="preserve"> </w:t>
      </w:r>
      <w:r w:rsidRPr="00503B40">
        <w:rPr>
          <w:rFonts w:ascii="Lato" w:hAnsi="Lato"/>
          <w:b/>
          <w:sz w:val="20"/>
          <w:szCs w:val="20"/>
        </w:rPr>
        <w:t xml:space="preserve">Ministerstwa Spraw Wewnętrznych </w:t>
      </w:r>
      <w:r>
        <w:rPr>
          <w:rFonts w:ascii="Lato" w:hAnsi="Lato"/>
          <w:b/>
          <w:sz w:val="20"/>
          <w:szCs w:val="20"/>
        </w:rPr>
        <w:br/>
      </w:r>
      <w:r w:rsidRPr="00503B40">
        <w:rPr>
          <w:rFonts w:ascii="Lato" w:hAnsi="Lato"/>
          <w:b/>
          <w:sz w:val="20"/>
          <w:szCs w:val="20"/>
        </w:rPr>
        <w:t>i Administracji</w:t>
      </w:r>
      <w:r>
        <w:rPr>
          <w:rStyle w:val="Odwoanieprzypisudolnego"/>
          <w:rFonts w:ascii="Lato" w:hAnsi="Lato"/>
          <w:b/>
          <w:sz w:val="20"/>
          <w:szCs w:val="20"/>
        </w:rPr>
        <w:footnoteReference w:id="1"/>
      </w:r>
      <w:r>
        <w:rPr>
          <w:rFonts w:ascii="Lato" w:hAnsi="Lato"/>
          <w:b/>
          <w:sz w:val="20"/>
          <w:szCs w:val="20"/>
        </w:rPr>
        <w:t xml:space="preserve"> z siedzibą w Warszawie.</w:t>
      </w:r>
    </w:p>
    <w:p w:rsidR="009D75DF" w:rsidRPr="007B0134" w:rsidRDefault="009D75DF" w:rsidP="00D00435">
      <w:pPr>
        <w:spacing w:after="120"/>
        <w:rPr>
          <w:rFonts w:ascii="Lato" w:hAnsi="Lato"/>
          <w:b/>
          <w:sz w:val="20"/>
          <w:szCs w:val="20"/>
        </w:rPr>
      </w:pPr>
    </w:p>
    <w:p w:rsidR="009A1EA0" w:rsidRPr="007B0134" w:rsidRDefault="009A1EA0" w:rsidP="00D00435">
      <w:pPr>
        <w:spacing w:after="120"/>
        <w:rPr>
          <w:b/>
          <w:sz w:val="20"/>
          <w:szCs w:val="20"/>
        </w:rPr>
      </w:pPr>
    </w:p>
    <w:p w:rsidR="009A1EA0" w:rsidRPr="007B0134" w:rsidRDefault="009A1EA0" w:rsidP="00D00435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Podstawa prawna</w:t>
      </w:r>
    </w:p>
    <w:p w:rsidR="009A1EA0" w:rsidRPr="007B0134" w:rsidRDefault="009A1EA0" w:rsidP="00D00435">
      <w:pPr>
        <w:spacing w:after="0"/>
        <w:ind w:left="284"/>
        <w:rPr>
          <w:rFonts w:ascii="Lato" w:hAnsi="Lato"/>
          <w:sz w:val="20"/>
          <w:szCs w:val="20"/>
        </w:rPr>
      </w:pPr>
      <w:r w:rsidRPr="007B0134">
        <w:rPr>
          <w:rFonts w:ascii="Lato" w:hAnsi="Lato"/>
          <w:sz w:val="20"/>
          <w:szCs w:val="20"/>
        </w:rPr>
        <w:t>Czynności kontrolne zostały przeprowadzone na podsta</w:t>
      </w:r>
      <w:r w:rsidR="005D24CF" w:rsidRPr="007B0134">
        <w:rPr>
          <w:rFonts w:ascii="Lato" w:hAnsi="Lato"/>
          <w:sz w:val="20"/>
          <w:szCs w:val="20"/>
        </w:rPr>
        <w:t>wie ustawy z dnia 15 </w:t>
      </w:r>
      <w:r w:rsidRPr="007B0134">
        <w:rPr>
          <w:rFonts w:ascii="Lato" w:hAnsi="Lato"/>
          <w:sz w:val="20"/>
          <w:szCs w:val="20"/>
        </w:rPr>
        <w:t xml:space="preserve">lipca 2011 r. </w:t>
      </w:r>
      <w:r w:rsidRPr="007B0134">
        <w:rPr>
          <w:rFonts w:ascii="Lato" w:hAnsi="Lato"/>
          <w:i/>
          <w:sz w:val="20"/>
          <w:szCs w:val="20"/>
        </w:rPr>
        <w:t>o kontroli w administracji rządowej</w:t>
      </w:r>
      <w:r w:rsidRPr="007B0134">
        <w:rPr>
          <w:rStyle w:val="Odwoanieprzypisudolnego"/>
          <w:rFonts w:ascii="Lato" w:hAnsi="Lato"/>
          <w:sz w:val="20"/>
          <w:szCs w:val="20"/>
        </w:rPr>
        <w:footnoteReference w:id="2"/>
      </w:r>
      <w:r w:rsidRPr="007B0134">
        <w:rPr>
          <w:rFonts w:ascii="Lato" w:hAnsi="Lato"/>
          <w:sz w:val="20"/>
          <w:szCs w:val="20"/>
        </w:rPr>
        <w:t>.</w:t>
      </w:r>
    </w:p>
    <w:p w:rsidR="009A1EA0" w:rsidRPr="007B0134" w:rsidRDefault="009A1EA0" w:rsidP="00D00435">
      <w:pPr>
        <w:spacing w:after="0"/>
        <w:rPr>
          <w:rFonts w:ascii="Lato" w:hAnsi="Lato"/>
          <w:sz w:val="20"/>
          <w:szCs w:val="20"/>
        </w:rPr>
      </w:pPr>
    </w:p>
    <w:p w:rsidR="009A1EA0" w:rsidRPr="007B0134" w:rsidRDefault="009A1EA0" w:rsidP="00D00435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Tryb kontroli</w:t>
      </w:r>
    </w:p>
    <w:p w:rsidR="009A1EA0" w:rsidRPr="007B0134" w:rsidRDefault="009A1EA0" w:rsidP="00D00435">
      <w:pPr>
        <w:spacing w:after="0"/>
        <w:ind w:left="284"/>
        <w:rPr>
          <w:rFonts w:ascii="Lato" w:hAnsi="Lato"/>
          <w:i/>
          <w:sz w:val="20"/>
          <w:szCs w:val="20"/>
          <w:lang w:eastAsia="pl-PL"/>
        </w:rPr>
      </w:pPr>
      <w:r w:rsidRPr="007B0134">
        <w:rPr>
          <w:rFonts w:ascii="Lato" w:hAnsi="Lato"/>
          <w:sz w:val="20"/>
          <w:szCs w:val="20"/>
          <w:lang w:eastAsia="pl-PL"/>
        </w:rPr>
        <w:t>Kontrola została przeprowadzona przez Departament Kontroli Ministerstwa Spraw Wewnętrznych i A</w:t>
      </w:r>
      <w:r w:rsidR="00CE38C2">
        <w:rPr>
          <w:rFonts w:ascii="Lato" w:hAnsi="Lato"/>
          <w:sz w:val="20"/>
          <w:szCs w:val="20"/>
          <w:lang w:eastAsia="pl-PL"/>
        </w:rPr>
        <w:t>dministracji w trybie zwykłym, poza</w:t>
      </w:r>
      <w:r w:rsidRPr="007B0134">
        <w:rPr>
          <w:rFonts w:ascii="Lato" w:hAnsi="Lato"/>
          <w:sz w:val="20"/>
          <w:szCs w:val="20"/>
          <w:lang w:eastAsia="pl-PL"/>
        </w:rPr>
        <w:t xml:space="preserve"> </w:t>
      </w:r>
      <w:r w:rsidRPr="007B0134">
        <w:rPr>
          <w:rFonts w:ascii="Lato" w:hAnsi="Lato"/>
          <w:i/>
          <w:sz w:val="20"/>
          <w:szCs w:val="20"/>
          <w:lang w:eastAsia="pl-PL"/>
        </w:rPr>
        <w:t>Planem kontroli Ministerstwa Spraw Wewnętrznych i Administracji na rok 202</w:t>
      </w:r>
      <w:r w:rsidR="007F7E81" w:rsidRPr="007B0134">
        <w:rPr>
          <w:rFonts w:ascii="Lato" w:hAnsi="Lato"/>
          <w:i/>
          <w:sz w:val="20"/>
          <w:szCs w:val="20"/>
          <w:lang w:eastAsia="pl-PL"/>
        </w:rPr>
        <w:t>5</w:t>
      </w:r>
      <w:r w:rsidR="00CE38C2">
        <w:rPr>
          <w:rStyle w:val="Odwoanieprzypisudolnego"/>
          <w:rFonts w:ascii="Lato" w:hAnsi="Lato"/>
          <w:i/>
          <w:sz w:val="20"/>
          <w:szCs w:val="20"/>
          <w:lang w:eastAsia="pl-PL"/>
        </w:rPr>
        <w:footnoteReference w:id="3"/>
      </w:r>
      <w:r w:rsidRPr="007B0134">
        <w:rPr>
          <w:rFonts w:ascii="Lato" w:hAnsi="Lato"/>
          <w:i/>
          <w:sz w:val="20"/>
          <w:szCs w:val="20"/>
          <w:lang w:eastAsia="pl-PL"/>
        </w:rPr>
        <w:t>.</w:t>
      </w:r>
    </w:p>
    <w:p w:rsidR="009A1EA0" w:rsidRPr="007B0134" w:rsidRDefault="009A1EA0" w:rsidP="00D00435">
      <w:pPr>
        <w:spacing w:after="0"/>
        <w:ind w:left="284"/>
        <w:rPr>
          <w:rFonts w:ascii="Lato" w:hAnsi="Lato"/>
          <w:sz w:val="20"/>
          <w:szCs w:val="20"/>
        </w:rPr>
      </w:pPr>
    </w:p>
    <w:p w:rsidR="009A1EA0" w:rsidRPr="007B0134" w:rsidRDefault="009A1EA0" w:rsidP="00D00435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Termin kontroli</w:t>
      </w:r>
    </w:p>
    <w:p w:rsidR="009A1EA0" w:rsidRPr="007B0134" w:rsidRDefault="009A1EA0" w:rsidP="00D00435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7B0134">
        <w:rPr>
          <w:rFonts w:ascii="Lato" w:hAnsi="Lato"/>
          <w:sz w:val="20"/>
          <w:szCs w:val="20"/>
          <w:lang w:eastAsia="pl-PL"/>
        </w:rPr>
        <w:t>Od </w:t>
      </w:r>
      <w:r w:rsidR="007B0134" w:rsidRPr="007B0134">
        <w:rPr>
          <w:rFonts w:ascii="Lato" w:hAnsi="Lato"/>
          <w:sz w:val="20"/>
          <w:szCs w:val="20"/>
          <w:lang w:eastAsia="pl-PL"/>
        </w:rPr>
        <w:t>1</w:t>
      </w:r>
      <w:r w:rsidR="00371BBD">
        <w:rPr>
          <w:rFonts w:ascii="Lato" w:hAnsi="Lato"/>
          <w:sz w:val="20"/>
          <w:szCs w:val="20"/>
          <w:lang w:eastAsia="pl-PL"/>
        </w:rPr>
        <w:t>0</w:t>
      </w:r>
      <w:r w:rsidRPr="007B0134">
        <w:rPr>
          <w:rFonts w:ascii="Lato" w:hAnsi="Lato"/>
          <w:sz w:val="20"/>
          <w:szCs w:val="20"/>
          <w:lang w:eastAsia="pl-PL"/>
        </w:rPr>
        <w:t xml:space="preserve"> </w:t>
      </w:r>
      <w:r w:rsidR="00371BBD">
        <w:rPr>
          <w:rFonts w:ascii="Lato" w:hAnsi="Lato"/>
          <w:sz w:val="20"/>
          <w:szCs w:val="20"/>
          <w:lang w:eastAsia="pl-PL"/>
        </w:rPr>
        <w:t>marca</w:t>
      </w:r>
      <w:r w:rsidRPr="007B0134">
        <w:rPr>
          <w:rFonts w:ascii="Lato" w:hAnsi="Lato"/>
          <w:sz w:val="20"/>
          <w:szCs w:val="20"/>
          <w:lang w:eastAsia="pl-PL"/>
        </w:rPr>
        <w:t xml:space="preserve"> </w:t>
      </w:r>
      <w:r w:rsidRPr="007B0134">
        <w:rPr>
          <w:rFonts w:ascii="Lato" w:hAnsi="Lato"/>
          <w:sz w:val="20"/>
          <w:szCs w:val="20"/>
        </w:rPr>
        <w:t>202</w:t>
      </w:r>
      <w:r w:rsidR="007F7E81" w:rsidRPr="007B0134">
        <w:rPr>
          <w:rFonts w:ascii="Lato" w:hAnsi="Lato"/>
          <w:sz w:val="20"/>
          <w:szCs w:val="20"/>
        </w:rPr>
        <w:t>5</w:t>
      </w:r>
      <w:r w:rsidRPr="007B0134">
        <w:rPr>
          <w:rFonts w:ascii="Lato" w:hAnsi="Lato"/>
          <w:sz w:val="20"/>
          <w:szCs w:val="20"/>
        </w:rPr>
        <w:t xml:space="preserve"> r. do </w:t>
      </w:r>
      <w:r w:rsidR="00371BBD">
        <w:rPr>
          <w:rFonts w:ascii="Lato" w:hAnsi="Lato"/>
          <w:sz w:val="20"/>
          <w:szCs w:val="20"/>
        </w:rPr>
        <w:t>30 września</w:t>
      </w:r>
      <w:r w:rsidR="00650E0C" w:rsidRPr="007B0134">
        <w:rPr>
          <w:rFonts w:ascii="Lato" w:hAnsi="Lato"/>
          <w:sz w:val="20"/>
          <w:szCs w:val="20"/>
        </w:rPr>
        <w:t xml:space="preserve"> 202</w:t>
      </w:r>
      <w:r w:rsidR="007F7E81" w:rsidRPr="007B0134">
        <w:rPr>
          <w:rFonts w:ascii="Lato" w:hAnsi="Lato"/>
          <w:sz w:val="20"/>
          <w:szCs w:val="20"/>
        </w:rPr>
        <w:t>5</w:t>
      </w:r>
      <w:r w:rsidRPr="007B0134">
        <w:rPr>
          <w:rFonts w:ascii="Lato" w:hAnsi="Lato"/>
          <w:sz w:val="20"/>
          <w:szCs w:val="20"/>
        </w:rPr>
        <w:t xml:space="preserve"> r. </w:t>
      </w:r>
    </w:p>
    <w:p w:rsidR="009A1EA0" w:rsidRPr="007B0134" w:rsidRDefault="009A1EA0" w:rsidP="00D00435">
      <w:pPr>
        <w:spacing w:after="0"/>
        <w:rPr>
          <w:rFonts w:ascii="Lato" w:hAnsi="Lato"/>
          <w:b/>
          <w:sz w:val="20"/>
          <w:szCs w:val="20"/>
        </w:rPr>
      </w:pPr>
    </w:p>
    <w:p w:rsidR="009A1EA0" w:rsidRPr="007B0134" w:rsidRDefault="009A1EA0" w:rsidP="00D00435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B0134">
        <w:rPr>
          <w:rFonts w:ascii="Lato" w:hAnsi="Lato"/>
          <w:b/>
          <w:sz w:val="20"/>
          <w:szCs w:val="20"/>
        </w:rPr>
        <w:t>Zakres kontroli obejmował następujące zagadnienia:</w:t>
      </w:r>
    </w:p>
    <w:p w:rsidR="004A6ABF" w:rsidRPr="004A6ABF" w:rsidRDefault="004A6ABF" w:rsidP="00733D41">
      <w:pPr>
        <w:pStyle w:val="Akapitzlist"/>
        <w:numPr>
          <w:ilvl w:val="0"/>
          <w:numId w:val="2"/>
        </w:numPr>
        <w:spacing w:line="259" w:lineRule="auto"/>
        <w:rPr>
          <w:rFonts w:ascii="Lato" w:eastAsia="Times New Roman" w:hAnsi="Lato" w:cstheme="minorBidi"/>
          <w:sz w:val="20"/>
          <w:szCs w:val="20"/>
          <w:lang w:eastAsia="pl-PL"/>
        </w:rPr>
      </w:pPr>
      <w:r w:rsidRPr="004A6ABF">
        <w:rPr>
          <w:rFonts w:ascii="Lato" w:eastAsia="Times New Roman" w:hAnsi="Lato" w:cstheme="minorBidi"/>
          <w:sz w:val="20"/>
          <w:szCs w:val="20"/>
          <w:lang w:eastAsia="pl-PL"/>
        </w:rPr>
        <w:t xml:space="preserve">Sposób ewidencjonowania i inwentaryzacji środków trwałych. </w:t>
      </w:r>
    </w:p>
    <w:p w:rsidR="004A6ABF" w:rsidRDefault="004A6ABF" w:rsidP="00D00435">
      <w:pPr>
        <w:pStyle w:val="Akapitzlist"/>
        <w:numPr>
          <w:ilvl w:val="0"/>
          <w:numId w:val="2"/>
        </w:numPr>
        <w:spacing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4A6ABF">
        <w:rPr>
          <w:rFonts w:ascii="Lato" w:eastAsia="Times New Roman" w:hAnsi="Lato" w:cstheme="minorBidi"/>
          <w:sz w:val="20"/>
          <w:szCs w:val="20"/>
          <w:lang w:eastAsia="pl-PL"/>
        </w:rPr>
        <w:t>Przyjmowanie przez PIM MSWiA środków trwałych z Fundacji przy Centralnym Szpitalu Klinicznym MSWiA w Warszawie oraz ich ewidencja</w:t>
      </w:r>
      <w:r w:rsidR="00982F20" w:rsidRPr="00E36D2F">
        <w:rPr>
          <w:rFonts w:ascii="Lato" w:eastAsia="Times New Roman" w:hAnsi="Lato" w:cstheme="minorBidi"/>
          <w:sz w:val="20"/>
          <w:szCs w:val="20"/>
          <w:lang w:eastAsia="pl-PL"/>
        </w:rPr>
        <w:t>.</w:t>
      </w:r>
    </w:p>
    <w:p w:rsidR="004A6ABF" w:rsidRPr="004A6ABF" w:rsidRDefault="004A6ABF" w:rsidP="00D00435">
      <w:pPr>
        <w:pStyle w:val="Akapitzlist"/>
        <w:numPr>
          <w:ilvl w:val="0"/>
          <w:numId w:val="2"/>
        </w:numPr>
        <w:spacing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4A6ABF">
        <w:rPr>
          <w:rFonts w:eastAsia="Arial" w:cs="Calibri"/>
          <w:lang w:val="pl" w:eastAsia="pl-PL"/>
        </w:rPr>
        <w:t>Nadzór nad środkami trwałymi, w tym przechowywaniem i zabezpieczaniem środków trwałych m.in. podczas prac mo</w:t>
      </w:r>
      <w:r>
        <w:rPr>
          <w:rFonts w:eastAsia="Arial" w:cs="Calibri"/>
          <w:lang w:val="pl" w:eastAsia="pl-PL"/>
        </w:rPr>
        <w:t>dernizacyjnych lub remontowych.</w:t>
      </w:r>
    </w:p>
    <w:p w:rsidR="00717B1E" w:rsidRPr="00733D41" w:rsidRDefault="004A6ABF" w:rsidP="00D00435">
      <w:pPr>
        <w:pStyle w:val="Akapitzlist"/>
        <w:numPr>
          <w:ilvl w:val="0"/>
          <w:numId w:val="2"/>
        </w:numPr>
        <w:spacing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4A6ABF">
        <w:rPr>
          <w:rFonts w:eastAsia="Arial" w:cs="Calibri"/>
          <w:shd w:val="clear" w:color="auto" w:fill="FFFFFF"/>
          <w:lang w:val="pl" w:eastAsia="pl-PL"/>
        </w:rPr>
        <w:t>Stwierdzanie i rozliczanie niedoborów środków trwałych.</w:t>
      </w:r>
    </w:p>
    <w:p w:rsidR="004A6ABF" w:rsidRPr="004A6ABF" w:rsidRDefault="004A6ABF" w:rsidP="00733D41">
      <w:pPr>
        <w:pStyle w:val="Akapitzlist"/>
        <w:spacing w:line="259" w:lineRule="auto"/>
        <w:ind w:left="714"/>
        <w:rPr>
          <w:rFonts w:ascii="Lato" w:eastAsia="Times New Roman" w:hAnsi="Lato" w:cstheme="minorBidi"/>
          <w:sz w:val="20"/>
          <w:szCs w:val="20"/>
          <w:lang w:eastAsia="pl-PL"/>
        </w:rPr>
      </w:pPr>
    </w:p>
    <w:p w:rsidR="009A1EA0" w:rsidRPr="00733D41" w:rsidRDefault="009A1EA0" w:rsidP="00733D41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Lato" w:hAnsi="Lato"/>
          <w:sz w:val="20"/>
          <w:szCs w:val="20"/>
        </w:rPr>
      </w:pPr>
      <w:r w:rsidRPr="00733D41">
        <w:rPr>
          <w:rFonts w:ascii="Lato" w:hAnsi="Lato"/>
          <w:b/>
          <w:sz w:val="20"/>
          <w:szCs w:val="20"/>
        </w:rPr>
        <w:t xml:space="preserve">Kontrolą objęto okres </w:t>
      </w:r>
      <w:r w:rsidR="007568A4" w:rsidRPr="00733D41">
        <w:rPr>
          <w:rFonts w:ascii="Lato" w:hAnsi="Lato"/>
          <w:sz w:val="20"/>
          <w:szCs w:val="20"/>
        </w:rPr>
        <w:t xml:space="preserve">od 1 </w:t>
      </w:r>
      <w:r w:rsidR="007F7E81" w:rsidRPr="00733D41">
        <w:rPr>
          <w:rFonts w:ascii="Lato" w:hAnsi="Lato"/>
          <w:sz w:val="20"/>
          <w:szCs w:val="20"/>
        </w:rPr>
        <w:t>stycznia</w:t>
      </w:r>
      <w:r w:rsidR="007568A4" w:rsidRPr="00733D41">
        <w:rPr>
          <w:rFonts w:ascii="Lato" w:hAnsi="Lato"/>
          <w:sz w:val="20"/>
          <w:szCs w:val="20"/>
        </w:rPr>
        <w:t xml:space="preserve"> 202</w:t>
      </w:r>
      <w:r w:rsidR="00BE1484">
        <w:rPr>
          <w:rFonts w:ascii="Lato" w:hAnsi="Lato"/>
          <w:sz w:val="20"/>
          <w:szCs w:val="20"/>
        </w:rPr>
        <w:t>3</w:t>
      </w:r>
      <w:r w:rsidR="002A416F" w:rsidRPr="00733D41">
        <w:rPr>
          <w:rFonts w:ascii="Lato" w:hAnsi="Lato"/>
          <w:sz w:val="20"/>
          <w:szCs w:val="20"/>
        </w:rPr>
        <w:t xml:space="preserve"> r. do 8 kwietnia </w:t>
      </w:r>
      <w:r w:rsidR="00810D71" w:rsidRPr="00733D41">
        <w:rPr>
          <w:rFonts w:ascii="Lato" w:hAnsi="Lato"/>
          <w:sz w:val="20"/>
          <w:szCs w:val="20"/>
        </w:rPr>
        <w:t>202</w:t>
      </w:r>
      <w:r w:rsidR="002A416F" w:rsidRPr="00733D41">
        <w:rPr>
          <w:rFonts w:ascii="Lato" w:hAnsi="Lato"/>
          <w:sz w:val="20"/>
          <w:szCs w:val="20"/>
        </w:rPr>
        <w:t>5</w:t>
      </w:r>
      <w:r w:rsidR="002D02D1" w:rsidRPr="00733D41">
        <w:rPr>
          <w:rFonts w:ascii="Lato" w:hAnsi="Lato"/>
          <w:sz w:val="20"/>
          <w:szCs w:val="20"/>
        </w:rPr>
        <w:t xml:space="preserve"> r</w:t>
      </w:r>
      <w:r w:rsidR="00717B1E">
        <w:rPr>
          <w:rFonts w:ascii="Lato" w:hAnsi="Lato"/>
          <w:sz w:val="20"/>
          <w:szCs w:val="20"/>
        </w:rPr>
        <w:t>.</w:t>
      </w:r>
      <w:r w:rsidR="002A416F" w:rsidRPr="00733D41">
        <w:rPr>
          <w:rFonts w:ascii="Lato" w:hAnsi="Lato" w:cstheme="minorHAnsi"/>
        </w:rPr>
        <w:t xml:space="preserve"> </w:t>
      </w:r>
      <w:r w:rsidR="002A416F" w:rsidRPr="00733D41">
        <w:rPr>
          <w:rFonts w:ascii="Lato" w:hAnsi="Lato"/>
          <w:sz w:val="20"/>
          <w:szCs w:val="20"/>
        </w:rPr>
        <w:t>Badaniami kontrolnymi objęte zostały również zdarzenia i dokumenty sprzed 1 stycznia 2023 r. i</w:t>
      </w:r>
      <w:r w:rsidR="007873A7">
        <w:rPr>
          <w:rFonts w:ascii="Lato" w:hAnsi="Lato"/>
          <w:sz w:val="20"/>
          <w:szCs w:val="20"/>
        </w:rPr>
        <w:t> </w:t>
      </w:r>
      <w:r w:rsidR="002A416F" w:rsidRPr="00733D41">
        <w:rPr>
          <w:rFonts w:ascii="Lato" w:hAnsi="Lato"/>
          <w:sz w:val="20"/>
          <w:szCs w:val="20"/>
        </w:rPr>
        <w:t xml:space="preserve">po 8 kwietnia 2025 r. w przypadkach, gdy miały one wpływ lub związek z zagadnieniami będącymi przedmiotem kontroli, a ich wyłączenie z kontroli nie pozwoliło na ocenę kontrolowanej działalności. </w:t>
      </w:r>
    </w:p>
    <w:p w:rsidR="00810D71" w:rsidRPr="002B4898" w:rsidRDefault="00810D71" w:rsidP="00D00435">
      <w:pPr>
        <w:spacing w:after="0"/>
        <w:ind w:left="284"/>
        <w:rPr>
          <w:rFonts w:ascii="Lato" w:hAnsi="Lato"/>
          <w:sz w:val="20"/>
          <w:szCs w:val="20"/>
        </w:rPr>
      </w:pPr>
    </w:p>
    <w:p w:rsidR="008F1409" w:rsidRPr="002B4898" w:rsidRDefault="009A1EA0" w:rsidP="00733D41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2B4898">
        <w:rPr>
          <w:rFonts w:ascii="Lato" w:hAnsi="Lato"/>
          <w:b/>
          <w:sz w:val="20"/>
          <w:szCs w:val="20"/>
        </w:rPr>
        <w:t>Ustalenia kontroli – ocena kontrolowanej działalności</w:t>
      </w:r>
      <w:r w:rsidR="007243F0" w:rsidRPr="002B4898">
        <w:rPr>
          <w:rFonts w:ascii="Lato" w:hAnsi="Lato"/>
          <w:b/>
          <w:sz w:val="20"/>
          <w:szCs w:val="20"/>
        </w:rPr>
        <w:t>:</w:t>
      </w:r>
    </w:p>
    <w:p w:rsidR="002A416F" w:rsidRDefault="00717B1E" w:rsidP="00D00435">
      <w:pPr>
        <w:spacing w:after="120"/>
        <w:rPr>
          <w:rFonts w:ascii="Lato" w:hAnsi="Lato"/>
          <w:sz w:val="20"/>
          <w:szCs w:val="20"/>
          <w:lang w:eastAsia="pl-PL"/>
        </w:rPr>
      </w:pPr>
      <w:r w:rsidRPr="00717B1E">
        <w:rPr>
          <w:rFonts w:ascii="Lato" w:hAnsi="Lato"/>
          <w:b/>
          <w:sz w:val="20"/>
          <w:szCs w:val="20"/>
          <w:lang w:eastAsia="pl-PL"/>
        </w:rPr>
        <w:lastRenderedPageBreak/>
        <w:t>Negatywnie</w:t>
      </w:r>
      <w:r w:rsidRPr="00733D41">
        <w:rPr>
          <w:rFonts w:ascii="Lato" w:hAnsi="Lato"/>
          <w:b/>
          <w:sz w:val="20"/>
          <w:szCs w:val="20"/>
          <w:lang w:eastAsia="pl-PL"/>
        </w:rPr>
        <w:t xml:space="preserve"> </w:t>
      </w:r>
      <w:r w:rsidRPr="00717B1E">
        <w:rPr>
          <w:rFonts w:ascii="Lato" w:hAnsi="Lato"/>
          <w:b/>
          <w:sz w:val="20"/>
          <w:szCs w:val="20"/>
          <w:lang w:eastAsia="pl-PL"/>
        </w:rPr>
        <w:t>oceniono</w:t>
      </w:r>
      <w:r w:rsidRPr="002A416F">
        <w:rPr>
          <w:rFonts w:ascii="Lato" w:hAnsi="Lato"/>
          <w:sz w:val="20"/>
          <w:szCs w:val="20"/>
          <w:lang w:eastAsia="pl-PL"/>
        </w:rPr>
        <w:t xml:space="preserve"> </w:t>
      </w:r>
      <w:r>
        <w:rPr>
          <w:rFonts w:ascii="Lato" w:hAnsi="Lato"/>
          <w:sz w:val="20"/>
          <w:szCs w:val="20"/>
          <w:lang w:eastAsia="pl-PL"/>
        </w:rPr>
        <w:t xml:space="preserve">działania </w:t>
      </w:r>
      <w:r w:rsidRPr="00503B40">
        <w:rPr>
          <w:rFonts w:ascii="Lato" w:hAnsi="Lato"/>
          <w:b/>
          <w:sz w:val="20"/>
          <w:szCs w:val="20"/>
        </w:rPr>
        <w:t>Państwow</w:t>
      </w:r>
      <w:r>
        <w:rPr>
          <w:rFonts w:ascii="Lato" w:hAnsi="Lato"/>
          <w:b/>
          <w:sz w:val="20"/>
          <w:szCs w:val="20"/>
        </w:rPr>
        <w:t>ego</w:t>
      </w:r>
      <w:r w:rsidRPr="00503B40">
        <w:rPr>
          <w:rFonts w:ascii="Lato" w:hAnsi="Lato"/>
          <w:b/>
          <w:sz w:val="20"/>
          <w:szCs w:val="20"/>
        </w:rPr>
        <w:t xml:space="preserve"> Instytu</w:t>
      </w:r>
      <w:r>
        <w:rPr>
          <w:rFonts w:ascii="Lato" w:hAnsi="Lato"/>
          <w:b/>
          <w:sz w:val="20"/>
          <w:szCs w:val="20"/>
        </w:rPr>
        <w:t>tu</w:t>
      </w:r>
      <w:r w:rsidRPr="00503B40">
        <w:rPr>
          <w:rFonts w:ascii="Lato" w:hAnsi="Lato"/>
          <w:b/>
          <w:sz w:val="20"/>
          <w:szCs w:val="20"/>
        </w:rPr>
        <w:t xml:space="preserve"> Medyczn</w:t>
      </w:r>
      <w:r>
        <w:rPr>
          <w:rFonts w:ascii="Lato" w:hAnsi="Lato"/>
          <w:b/>
          <w:sz w:val="20"/>
          <w:szCs w:val="20"/>
        </w:rPr>
        <w:t xml:space="preserve">ego MSWiA z </w:t>
      </w:r>
      <w:r w:rsidR="002A416F" w:rsidRPr="002A416F">
        <w:rPr>
          <w:rFonts w:ascii="Lato" w:hAnsi="Lato"/>
          <w:sz w:val="20"/>
          <w:szCs w:val="20"/>
          <w:lang w:val="pl" w:eastAsia="pl-PL"/>
        </w:rPr>
        <w:t xml:space="preserve">uwagi na stwierdzone liczne nieprawidłowości i uchybienia we wszystkich badanych obszarach </w:t>
      </w:r>
      <w:r w:rsidR="002A416F" w:rsidRPr="002A416F">
        <w:rPr>
          <w:rFonts w:ascii="Lato" w:hAnsi="Lato"/>
          <w:sz w:val="20"/>
          <w:szCs w:val="20"/>
          <w:lang w:eastAsia="pl-PL"/>
        </w:rPr>
        <w:t>działalność jednostki kontrolowanej</w:t>
      </w:r>
      <w:r>
        <w:rPr>
          <w:rFonts w:ascii="Lato" w:hAnsi="Lato"/>
          <w:sz w:val="20"/>
          <w:szCs w:val="20"/>
          <w:lang w:eastAsia="pl-PL"/>
        </w:rPr>
        <w:t>.</w:t>
      </w:r>
      <w:r w:rsidR="002A416F" w:rsidRPr="002A416F">
        <w:rPr>
          <w:rFonts w:ascii="Lato" w:hAnsi="Lato"/>
          <w:sz w:val="20"/>
          <w:szCs w:val="20"/>
          <w:lang w:eastAsia="pl-PL"/>
        </w:rPr>
        <w:t xml:space="preserve"> </w:t>
      </w:r>
    </w:p>
    <w:p w:rsidR="001B57F6" w:rsidRPr="001B57F6" w:rsidRDefault="001B57F6" w:rsidP="00733D41">
      <w:pPr>
        <w:spacing w:after="60"/>
        <w:rPr>
          <w:rFonts w:ascii="Lato" w:hAnsi="Lato"/>
          <w:sz w:val="20"/>
          <w:szCs w:val="20"/>
          <w:lang w:eastAsia="pl-PL"/>
        </w:rPr>
      </w:pPr>
      <w:r w:rsidRPr="001B57F6">
        <w:rPr>
          <w:rFonts w:ascii="Lato" w:hAnsi="Lato"/>
          <w:sz w:val="20"/>
          <w:szCs w:val="20"/>
          <w:lang w:eastAsia="pl-PL"/>
        </w:rPr>
        <w:t xml:space="preserve">W obszarze ewidencjonowania środków trwałych za </w:t>
      </w:r>
      <w:r w:rsidRPr="001B57F6">
        <w:rPr>
          <w:rFonts w:ascii="Lato" w:hAnsi="Lato"/>
          <w:b/>
          <w:sz w:val="20"/>
          <w:szCs w:val="20"/>
          <w:lang w:eastAsia="pl-PL"/>
        </w:rPr>
        <w:t>nieprawidłowość</w:t>
      </w:r>
      <w:r w:rsidRPr="001B57F6">
        <w:rPr>
          <w:rFonts w:ascii="Lato" w:hAnsi="Lato"/>
          <w:sz w:val="20"/>
          <w:szCs w:val="20"/>
          <w:lang w:eastAsia="pl-PL"/>
        </w:rPr>
        <w:t xml:space="preserve"> uznano:</w:t>
      </w:r>
    </w:p>
    <w:p w:rsidR="001B57F6" w:rsidRPr="001B57F6" w:rsidRDefault="001B57F6" w:rsidP="00733D41">
      <w:pPr>
        <w:pStyle w:val="Akapitzlist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/>
          <w:sz w:val="20"/>
          <w:szCs w:val="20"/>
          <w:lang w:eastAsia="pl-PL"/>
        </w:rPr>
      </w:pPr>
      <w:r w:rsidRPr="001B57F6">
        <w:rPr>
          <w:rFonts w:ascii="Lato" w:hAnsi="Lato"/>
          <w:sz w:val="20"/>
          <w:szCs w:val="20"/>
          <w:lang w:eastAsia="pl-PL"/>
        </w:rPr>
        <w:t>niewprowadzenie regulacji dotyczących zasad prowadzenia gospodarki magazynowej i dokumentowania procesów z tym związanych przed uchyleniem dotychczas</w:t>
      </w:r>
      <w:r w:rsidRPr="001B57F6">
        <w:rPr>
          <w:rFonts w:ascii="Lato" w:hAnsi="Lato"/>
          <w:i/>
          <w:sz w:val="20"/>
          <w:szCs w:val="20"/>
          <w:lang w:eastAsia="pl-PL"/>
        </w:rPr>
        <w:t xml:space="preserve"> </w:t>
      </w:r>
      <w:r w:rsidRPr="001B57F6">
        <w:rPr>
          <w:rFonts w:ascii="Lato" w:hAnsi="Lato"/>
          <w:sz w:val="20"/>
          <w:szCs w:val="20"/>
          <w:lang w:eastAsia="pl-PL"/>
        </w:rPr>
        <w:t xml:space="preserve">regulującej ten obszar </w:t>
      </w:r>
      <w:r w:rsidRPr="001B57F6">
        <w:rPr>
          <w:rFonts w:ascii="Lato" w:hAnsi="Lato"/>
          <w:i/>
          <w:sz w:val="20"/>
          <w:szCs w:val="20"/>
          <w:lang w:eastAsia="pl-PL"/>
        </w:rPr>
        <w:t xml:space="preserve">Instrukcji gospodarki składnikami majątkowymi </w:t>
      </w:r>
      <w:r w:rsidR="00886510">
        <w:rPr>
          <w:rFonts w:ascii="Lato" w:hAnsi="Lato"/>
          <w:i/>
          <w:sz w:val="20"/>
          <w:szCs w:val="20"/>
          <w:lang w:eastAsia="pl-PL"/>
        </w:rPr>
        <w:br/>
      </w:r>
      <w:r w:rsidRPr="001B57F6">
        <w:rPr>
          <w:rFonts w:ascii="Lato" w:hAnsi="Lato"/>
          <w:i/>
          <w:sz w:val="20"/>
          <w:szCs w:val="20"/>
          <w:lang w:eastAsia="pl-PL"/>
        </w:rPr>
        <w:t>w CSK MSWiA z dnia 1 sierpnia 2008 r.</w:t>
      </w:r>
      <w:r w:rsidRPr="001B57F6">
        <w:rPr>
          <w:rFonts w:ascii="Lato" w:hAnsi="Lato"/>
          <w:sz w:val="20"/>
          <w:szCs w:val="20"/>
          <w:lang w:eastAsia="pl-PL"/>
        </w:rPr>
        <w:t>;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 w:cs="Calibri"/>
          <w:sz w:val="20"/>
          <w:szCs w:val="20"/>
        </w:rPr>
      </w:pPr>
      <w:r w:rsidRPr="001B57F6">
        <w:rPr>
          <w:rFonts w:ascii="Lato" w:hAnsi="Lato"/>
          <w:sz w:val="20"/>
          <w:szCs w:val="20"/>
        </w:rPr>
        <w:t xml:space="preserve">nierealizowanie określonego w § 5 ust. 8 </w:t>
      </w:r>
      <w:r w:rsidRPr="001B57F6">
        <w:rPr>
          <w:rFonts w:ascii="Lato" w:hAnsi="Lato"/>
          <w:i/>
          <w:sz w:val="20"/>
          <w:szCs w:val="20"/>
        </w:rPr>
        <w:t xml:space="preserve">Procedury - Gospodarowanie składnikami majątkowymi i ewidencji oraz zasad odpowiedzialności majątkowej, służbowej lub merytorycznej za składniki majątkowe CSK MSWiA w Warszawie </w:t>
      </w:r>
      <w:r w:rsidRPr="001B57F6">
        <w:rPr>
          <w:rFonts w:ascii="Lato" w:hAnsi="Lato"/>
          <w:sz w:val="20"/>
          <w:szCs w:val="20"/>
        </w:rPr>
        <w:t>z 31 grudnia 2020 r.</w:t>
      </w:r>
      <w:r w:rsidRPr="001B57F6">
        <w:rPr>
          <w:rStyle w:val="Odwoanieprzypisudolnego"/>
          <w:rFonts w:ascii="Lato" w:hAnsi="Lato"/>
          <w:sz w:val="20"/>
          <w:szCs w:val="20"/>
        </w:rPr>
        <w:footnoteReference w:id="4"/>
      </w:r>
      <w:r w:rsidRPr="001B57F6">
        <w:rPr>
          <w:rFonts w:ascii="Lato" w:hAnsi="Lato"/>
          <w:i/>
          <w:iCs/>
          <w:sz w:val="20"/>
          <w:szCs w:val="20"/>
        </w:rPr>
        <w:t xml:space="preserve"> </w:t>
      </w:r>
      <w:r w:rsidRPr="001B57F6">
        <w:rPr>
          <w:rFonts w:ascii="Lato" w:hAnsi="Lato" w:cs="Calibri"/>
          <w:sz w:val="20"/>
          <w:szCs w:val="20"/>
        </w:rPr>
        <w:t>obowiązku corocznego przekazywania do komórek organizacyjnych wykazu sprzętu do uzgodnienia stanu faktycznego z ewidencją księgową;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 w:cs="Calibri"/>
          <w:sz w:val="20"/>
          <w:szCs w:val="20"/>
        </w:rPr>
      </w:pPr>
      <w:r w:rsidRPr="001B57F6">
        <w:rPr>
          <w:rFonts w:ascii="Lato" w:hAnsi="Lato" w:cs="Calibri"/>
          <w:sz w:val="20"/>
          <w:szCs w:val="20"/>
        </w:rPr>
        <w:t>zamieszczenie w ewidencji wyposażenia dla tożsamych rodzajowo składników majątku jednakowych numerów inwentarzowych obejmujących kilka następujących po sobie numerów, w efekcie czego takim samym numerem znakowano kilka sztuk jednorodnego rodzajowo wyposażenia;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 w:cs="Calibri"/>
          <w:sz w:val="20"/>
          <w:szCs w:val="20"/>
        </w:rPr>
      </w:pPr>
      <w:r w:rsidRPr="001B57F6">
        <w:rPr>
          <w:rFonts w:ascii="Lato" w:hAnsi="Lato" w:cs="Calibri"/>
          <w:sz w:val="20"/>
          <w:szCs w:val="20"/>
        </w:rPr>
        <w:t xml:space="preserve">nieprzestrzeganie </w:t>
      </w:r>
      <w:r w:rsidRPr="001B57F6">
        <w:rPr>
          <w:rFonts w:ascii="Lato" w:hAnsi="Lato" w:cs="Calibri"/>
          <w:i/>
          <w:sz w:val="20"/>
          <w:szCs w:val="20"/>
        </w:rPr>
        <w:t xml:space="preserve">Procedury </w:t>
      </w:r>
      <w:r w:rsidRPr="001B57F6">
        <w:rPr>
          <w:rFonts w:ascii="Lato" w:hAnsi="Lato"/>
          <w:i/>
          <w:sz w:val="20"/>
          <w:szCs w:val="20"/>
        </w:rPr>
        <w:t xml:space="preserve">gospodarowania składnikami majątkowymi i ewidencji </w:t>
      </w:r>
      <w:r w:rsidR="00DE291A">
        <w:rPr>
          <w:rFonts w:ascii="Lato" w:hAnsi="Lato"/>
          <w:i/>
          <w:sz w:val="20"/>
          <w:szCs w:val="20"/>
        </w:rPr>
        <w:br/>
      </w:r>
      <w:r w:rsidRPr="001B57F6">
        <w:rPr>
          <w:rFonts w:ascii="Lato" w:hAnsi="Lato"/>
          <w:sz w:val="20"/>
          <w:szCs w:val="20"/>
        </w:rPr>
        <w:t>w zakresie wymogu</w:t>
      </w:r>
      <w:r w:rsidRPr="001B57F6">
        <w:rPr>
          <w:rFonts w:ascii="Lato" w:hAnsi="Lato" w:cs="Calibri"/>
          <w:sz w:val="20"/>
          <w:szCs w:val="20"/>
        </w:rPr>
        <w:t xml:space="preserve"> delegowania przez kierowników komórek organizacyjnych uprawnień do nadzorowania składników majątku na podstawie pisemnych upoważnień; 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eastAsia="Times New Roman" w:hAnsi="Lato" w:cs="Calibri"/>
          <w:sz w:val="20"/>
          <w:szCs w:val="20"/>
          <w:lang w:eastAsia="pl-PL"/>
        </w:rPr>
      </w:pPr>
      <w:r w:rsidRPr="001B57F6">
        <w:rPr>
          <w:rFonts w:ascii="Lato" w:hAnsi="Lato"/>
          <w:sz w:val="20"/>
          <w:szCs w:val="20"/>
        </w:rPr>
        <w:t>niewycenianie środków trwałych (w tym nadwyżek inwentaryzacyjnych) i wprowadzanie ich do ewidencji ilościowo-wartościowej z wartościami zerowymi oraz dokonywanie wpisów w ewidencji ilościowo-wartościowej na podstawie dokumentów niebędących dowodami księgowymi przychodu środków trwałych;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sz w:val="20"/>
          <w:szCs w:val="20"/>
        </w:rPr>
      </w:pPr>
      <w:r w:rsidRPr="001B57F6">
        <w:rPr>
          <w:rFonts w:ascii="Lato" w:hAnsi="Lato"/>
          <w:sz w:val="20"/>
          <w:szCs w:val="20"/>
        </w:rPr>
        <w:t>wprowadzanie do ewidencji środków trwałych, które stanowiły część składową składników majątku ujętych w ewidencji na podstawie protokołów przekazania;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sz w:val="20"/>
          <w:szCs w:val="20"/>
        </w:rPr>
      </w:pPr>
      <w:r w:rsidRPr="001B57F6">
        <w:rPr>
          <w:rFonts w:ascii="Lato" w:hAnsi="Lato"/>
          <w:sz w:val="20"/>
          <w:szCs w:val="20"/>
        </w:rPr>
        <w:t>niezaktualizowanie zapisów ewidencji ilościowo-wartościowej w przedmiocie majątku przypisanego na stan zlikwidowanego Szpitala Tymczasowego na Stadionie PGE Narodowy w Warszawie</w:t>
      </w:r>
      <w:r w:rsidRPr="001B57F6">
        <w:rPr>
          <w:rStyle w:val="Odwoanieprzypisudolnego"/>
          <w:rFonts w:ascii="Lato" w:hAnsi="Lato"/>
          <w:sz w:val="20"/>
          <w:szCs w:val="20"/>
        </w:rPr>
        <w:footnoteReference w:id="5"/>
      </w:r>
      <w:r w:rsidRPr="001B57F6">
        <w:rPr>
          <w:rFonts w:ascii="Lato" w:hAnsi="Lato"/>
          <w:sz w:val="20"/>
          <w:szCs w:val="20"/>
        </w:rPr>
        <w:t xml:space="preserve">; 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sz w:val="20"/>
          <w:szCs w:val="20"/>
        </w:rPr>
      </w:pPr>
      <w:r w:rsidRPr="001B57F6">
        <w:rPr>
          <w:rFonts w:ascii="Lato" w:hAnsi="Lato"/>
          <w:sz w:val="20"/>
          <w:szCs w:val="20"/>
        </w:rPr>
        <w:t xml:space="preserve">nieprowadzenie w badanym okresie ewidencji pozabilansowej sprzętu i aparatury medycznej otrzymanej w związku z pandemią COVID-19, do której prowadzenia - zgodnie z </w:t>
      </w:r>
      <w:r w:rsidRPr="001B57F6">
        <w:rPr>
          <w:rFonts w:ascii="Lato" w:hAnsi="Lato"/>
          <w:i/>
          <w:sz w:val="20"/>
          <w:szCs w:val="20"/>
        </w:rPr>
        <w:t xml:space="preserve">Procedurą gospodarowania składnikami majątkowymi i ewidencji </w:t>
      </w:r>
      <w:r w:rsidRPr="001B57F6">
        <w:rPr>
          <w:rFonts w:ascii="Lato" w:hAnsi="Lato"/>
          <w:sz w:val="20"/>
          <w:szCs w:val="20"/>
        </w:rPr>
        <w:t>z 2020 r.</w:t>
      </w:r>
      <w:r w:rsidRPr="001B57F6">
        <w:rPr>
          <w:rFonts w:ascii="Lato" w:hAnsi="Lato"/>
          <w:i/>
          <w:sz w:val="20"/>
          <w:szCs w:val="20"/>
        </w:rPr>
        <w:t xml:space="preserve"> - </w:t>
      </w:r>
      <w:r w:rsidRPr="001B57F6">
        <w:rPr>
          <w:rFonts w:ascii="Lato" w:hAnsi="Lato"/>
          <w:sz w:val="20"/>
          <w:szCs w:val="20"/>
        </w:rPr>
        <w:t xml:space="preserve">zobligowani byli pracownicy dawnej Sekcji Obsługi Środków Trwałych </w:t>
      </w:r>
      <w:r w:rsidR="00886510">
        <w:rPr>
          <w:rFonts w:ascii="Lato" w:hAnsi="Lato"/>
          <w:sz w:val="20"/>
          <w:szCs w:val="20"/>
        </w:rPr>
        <w:br/>
      </w:r>
      <w:r w:rsidRPr="001B57F6">
        <w:rPr>
          <w:rFonts w:ascii="Lato" w:hAnsi="Lato"/>
          <w:sz w:val="20"/>
          <w:szCs w:val="20"/>
        </w:rPr>
        <w:t xml:space="preserve">i Wyposażenia obecnie włączeni do Działu Księgowości i Sprawozdawczości; </w:t>
      </w:r>
    </w:p>
    <w:p w:rsidR="001B57F6" w:rsidRPr="001B57F6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sz w:val="20"/>
          <w:szCs w:val="20"/>
        </w:rPr>
      </w:pPr>
      <w:r w:rsidRPr="001B57F6">
        <w:rPr>
          <w:rFonts w:ascii="Lato" w:hAnsi="Lato"/>
          <w:sz w:val="20"/>
          <w:szCs w:val="20"/>
        </w:rPr>
        <w:t xml:space="preserve">niezamieszczenie w ewidencji pozabilansowej sprzętu IT wszystkich elementów określonych w § 23 ust. 5 </w:t>
      </w:r>
      <w:r w:rsidRPr="001B57F6">
        <w:rPr>
          <w:rFonts w:ascii="Lato" w:hAnsi="Lato"/>
          <w:i/>
          <w:sz w:val="20"/>
          <w:szCs w:val="20"/>
        </w:rPr>
        <w:t xml:space="preserve">Procedury gospodarowania składnikami majątkowymi i ewidencji </w:t>
      </w:r>
      <w:r w:rsidRPr="001B57F6">
        <w:rPr>
          <w:rFonts w:ascii="Lato" w:hAnsi="Lato"/>
          <w:sz w:val="20"/>
          <w:szCs w:val="20"/>
        </w:rPr>
        <w:t xml:space="preserve">i nierzetelne jej prowadzenie; </w:t>
      </w:r>
    </w:p>
    <w:p w:rsidR="001B57F6" w:rsidRPr="00D513C7" w:rsidRDefault="001B57F6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</w:rPr>
      </w:pPr>
      <w:r w:rsidRPr="001B57F6">
        <w:rPr>
          <w:rFonts w:ascii="Lato" w:hAnsi="Lato"/>
          <w:sz w:val="20"/>
          <w:szCs w:val="20"/>
        </w:rPr>
        <w:t>opóźnienie w podjęciu działań służących uregulowaniu statusu prawnego środków trwałych otrzymanych podczas pandemii COVID-19 i uporządkowaniu zapisów ewidencji ilościowo-wartościowej;</w:t>
      </w:r>
      <w:r w:rsidRPr="00D513C7">
        <w:rPr>
          <w:rFonts w:ascii="Lato" w:hAnsi="Lato"/>
        </w:rPr>
        <w:t xml:space="preserve"> 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sz w:val="20"/>
          <w:szCs w:val="20"/>
        </w:rPr>
        <w:lastRenderedPageBreak/>
        <w:t>nierozliczanie pracowników z przydzielonego im majątku przed ustaniem zatrudnienia;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>niesporządzanie spisów zdawczo—odbiorczych przed dokonaniem zmiany kierownika komórki organizacyjnej</w:t>
      </w:r>
      <w:r w:rsidRPr="00DE291A">
        <w:rPr>
          <w:rFonts w:ascii="Lato" w:hAnsi="Lato"/>
          <w:sz w:val="20"/>
          <w:szCs w:val="20"/>
        </w:rPr>
        <w:t xml:space="preserve"> </w:t>
      </w:r>
      <w:r w:rsidRPr="00DE291A">
        <w:rPr>
          <w:rFonts w:ascii="Lato" w:hAnsi="Lato"/>
          <w:iCs/>
          <w:sz w:val="20"/>
          <w:szCs w:val="20"/>
        </w:rPr>
        <w:t>lub innej osoby odpowiedzialnej za nadzór nad składnikami majątku;</w:t>
      </w:r>
      <w:r w:rsidRPr="00DE291A">
        <w:rPr>
          <w:rFonts w:ascii="Lato" w:hAnsi="Lato"/>
          <w:sz w:val="20"/>
          <w:szCs w:val="20"/>
        </w:rPr>
        <w:t xml:space="preserve"> 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>niesporządzanie dowodów zmiany miejsca użytkowania środków trwałych i wyposażenia;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>niewyrażanie przez Kierownika Działu Inżynierii Medycznej akceptacji na protokołach wybrakowania sprzętu IT oraz powoływanie się w ich treści na uchylone</w:t>
      </w:r>
      <w:r w:rsidRPr="00DE291A">
        <w:rPr>
          <w:rFonts w:ascii="Lato" w:hAnsi="Lato"/>
          <w:sz w:val="20"/>
          <w:szCs w:val="20"/>
        </w:rPr>
        <w:t xml:space="preserve"> w 2020 roku zarządzenie nr 24/2011 Dyrektora Centralnego Szpitala Klinicznego  MSWiA w</w:t>
      </w:r>
      <w:r w:rsidR="00D00435">
        <w:rPr>
          <w:rFonts w:ascii="Lato" w:hAnsi="Lato"/>
          <w:sz w:val="20"/>
          <w:szCs w:val="20"/>
        </w:rPr>
        <w:t> </w:t>
      </w:r>
      <w:r w:rsidRPr="00DE291A">
        <w:rPr>
          <w:rFonts w:ascii="Lato" w:hAnsi="Lato"/>
          <w:sz w:val="20"/>
          <w:szCs w:val="20"/>
        </w:rPr>
        <w:t>Warszawie z dnia 1 kwietnia 2011 r.;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>opóźnienie w sporządzaniu protokołów wybrakowania przez Komisje ds. Wybrakowania;</w:t>
      </w:r>
    </w:p>
    <w:p w:rsidR="00DE291A" w:rsidRPr="00DE291A" w:rsidRDefault="00DE291A" w:rsidP="00733D41">
      <w:pPr>
        <w:pStyle w:val="Tekstpodstawowy2"/>
        <w:numPr>
          <w:ilvl w:val="0"/>
          <w:numId w:val="10"/>
        </w:numPr>
        <w:spacing w:after="60" w:line="259" w:lineRule="auto"/>
        <w:ind w:left="426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>wprowadzenie zmian w sposobie postępowania ze składnikami majątku nienadającymi się do dalszego użytkowania bez zachowania formy pisemnej i bez uchylenia dotychczas regulującego ten proces zarządzenia</w:t>
      </w:r>
      <w:r w:rsidRPr="00DE291A">
        <w:rPr>
          <w:rFonts w:ascii="Lato" w:hAnsi="Lato"/>
          <w:i/>
          <w:iCs/>
          <w:sz w:val="20"/>
          <w:szCs w:val="20"/>
        </w:rPr>
        <w:t xml:space="preserve"> </w:t>
      </w:r>
      <w:r w:rsidRPr="00DE291A">
        <w:rPr>
          <w:rFonts w:ascii="Lato" w:hAnsi="Lato"/>
          <w:iCs/>
          <w:sz w:val="20"/>
          <w:szCs w:val="20"/>
        </w:rPr>
        <w:t>nr</w:t>
      </w:r>
      <w:r w:rsidRPr="00DE291A">
        <w:rPr>
          <w:rFonts w:ascii="Lato" w:hAnsi="Lato"/>
          <w:i/>
          <w:iCs/>
          <w:sz w:val="20"/>
          <w:szCs w:val="20"/>
        </w:rPr>
        <w:t xml:space="preserve"> </w:t>
      </w:r>
      <w:r w:rsidRPr="00DE291A">
        <w:rPr>
          <w:rFonts w:ascii="Lato" w:hAnsi="Lato"/>
          <w:iCs/>
          <w:sz w:val="20"/>
          <w:szCs w:val="20"/>
        </w:rPr>
        <w:t>77/2020</w:t>
      </w:r>
      <w:r w:rsidRPr="00DE291A">
        <w:rPr>
          <w:rFonts w:ascii="Lato" w:hAnsi="Lato"/>
          <w:i/>
          <w:iCs/>
          <w:sz w:val="20"/>
          <w:szCs w:val="20"/>
        </w:rPr>
        <w:t xml:space="preserve"> </w:t>
      </w:r>
      <w:r w:rsidRPr="00DE291A">
        <w:rPr>
          <w:rFonts w:ascii="Lato" w:hAnsi="Lato"/>
          <w:iCs/>
          <w:sz w:val="20"/>
          <w:szCs w:val="20"/>
        </w:rPr>
        <w:t>Dyrektora Centralnego Szpitala Klinicznego MSWiA w Warszawie</w:t>
      </w:r>
      <w:r w:rsidRPr="00DE291A">
        <w:rPr>
          <w:rFonts w:ascii="Lato" w:hAnsi="Lato"/>
          <w:i/>
          <w:iCs/>
          <w:sz w:val="20"/>
          <w:szCs w:val="20"/>
        </w:rPr>
        <w:t xml:space="preserve"> </w:t>
      </w:r>
      <w:r w:rsidRPr="00DE291A">
        <w:rPr>
          <w:rFonts w:ascii="Lato" w:hAnsi="Lato"/>
          <w:iCs/>
          <w:sz w:val="20"/>
          <w:szCs w:val="20"/>
        </w:rPr>
        <w:t>z 24 września 2020 r.</w:t>
      </w:r>
      <w:r w:rsidRPr="00DE291A">
        <w:rPr>
          <w:rFonts w:ascii="Lato" w:hAnsi="Lato"/>
          <w:i/>
          <w:iCs/>
          <w:sz w:val="20"/>
          <w:szCs w:val="20"/>
        </w:rPr>
        <w:t xml:space="preserve"> </w:t>
      </w:r>
      <w:r w:rsidR="00886510">
        <w:rPr>
          <w:rFonts w:ascii="Lato" w:hAnsi="Lato"/>
          <w:i/>
          <w:iCs/>
          <w:sz w:val="20"/>
          <w:szCs w:val="20"/>
        </w:rPr>
        <w:br/>
      </w:r>
      <w:r w:rsidRPr="00DE291A">
        <w:rPr>
          <w:rFonts w:ascii="Lato" w:hAnsi="Lato"/>
          <w:i/>
          <w:iCs/>
          <w:sz w:val="20"/>
          <w:szCs w:val="20"/>
        </w:rPr>
        <w:t xml:space="preserve">w sprawie powołania Komisji ds. Wybrakowania aparatury, sprzętu oraz wyposażenia będącego w użytkowaniu jednostek organizacyjnych CSK MSWiA w Warszawie; </w:t>
      </w:r>
    </w:p>
    <w:p w:rsidR="00DE291A" w:rsidRDefault="00DE291A" w:rsidP="00733D41">
      <w:pPr>
        <w:pStyle w:val="Tekstpodstawowy2"/>
        <w:numPr>
          <w:ilvl w:val="0"/>
          <w:numId w:val="10"/>
        </w:numPr>
        <w:spacing w:line="259" w:lineRule="auto"/>
        <w:ind w:left="425" w:hanging="357"/>
        <w:rPr>
          <w:rFonts w:ascii="Lato" w:hAnsi="Lato"/>
          <w:iCs/>
          <w:sz w:val="20"/>
          <w:szCs w:val="20"/>
        </w:rPr>
      </w:pPr>
      <w:r w:rsidRPr="00DE291A">
        <w:rPr>
          <w:rFonts w:ascii="Lato" w:hAnsi="Lato"/>
          <w:iCs/>
          <w:sz w:val="20"/>
          <w:szCs w:val="20"/>
        </w:rPr>
        <w:t xml:space="preserve">niesporządzanie przez Komisję ds. Wybrakowania dokumentów LT zgodnych ze wzorem określonym w załączniku nr 2 do </w:t>
      </w:r>
      <w:r w:rsidRPr="00DE291A">
        <w:rPr>
          <w:rFonts w:ascii="Lato" w:hAnsi="Lato"/>
          <w:i/>
          <w:sz w:val="20"/>
          <w:szCs w:val="20"/>
        </w:rPr>
        <w:t xml:space="preserve">Procedury gospodarowania składnikami majątkowymi i ewidencji </w:t>
      </w:r>
      <w:r w:rsidRPr="00DE291A">
        <w:rPr>
          <w:rFonts w:ascii="Lato" w:hAnsi="Lato"/>
          <w:iCs/>
          <w:sz w:val="20"/>
          <w:szCs w:val="20"/>
        </w:rPr>
        <w:t xml:space="preserve">oraz wycofywanie składników majątku z ewidencji </w:t>
      </w:r>
      <w:r w:rsidR="00886510">
        <w:rPr>
          <w:rFonts w:ascii="Lato" w:hAnsi="Lato"/>
          <w:iCs/>
          <w:sz w:val="20"/>
          <w:szCs w:val="20"/>
        </w:rPr>
        <w:br/>
      </w:r>
      <w:r w:rsidRPr="00DE291A">
        <w:rPr>
          <w:rFonts w:ascii="Lato" w:hAnsi="Lato"/>
          <w:iCs/>
          <w:sz w:val="20"/>
          <w:szCs w:val="20"/>
        </w:rPr>
        <w:t>na podstawie protokołów wybrakowania przed ich fizycznym zniszczeniem.</w:t>
      </w:r>
    </w:p>
    <w:p w:rsidR="00EA04B4" w:rsidRPr="00EA04B4" w:rsidRDefault="00EA04B4" w:rsidP="00733D41">
      <w:pPr>
        <w:pStyle w:val="Tekstpodstawowy2"/>
        <w:spacing w:after="60" w:line="259" w:lineRule="auto"/>
        <w:rPr>
          <w:rFonts w:ascii="Lato" w:hAnsi="Lato"/>
          <w:iCs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 xml:space="preserve">Za </w:t>
      </w:r>
      <w:r>
        <w:rPr>
          <w:rFonts w:ascii="Lato" w:hAnsi="Lato"/>
          <w:b/>
          <w:iCs/>
          <w:sz w:val="20"/>
          <w:szCs w:val="20"/>
        </w:rPr>
        <w:t xml:space="preserve">uchybienia </w:t>
      </w:r>
      <w:r>
        <w:rPr>
          <w:rFonts w:ascii="Lato" w:hAnsi="Lato"/>
          <w:iCs/>
          <w:sz w:val="20"/>
          <w:szCs w:val="20"/>
        </w:rPr>
        <w:t>uznano: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/>
          <w:sz w:val="20"/>
          <w:szCs w:val="20"/>
        </w:rPr>
      </w:pPr>
      <w:r w:rsidRPr="00EA04B4">
        <w:rPr>
          <w:rFonts w:ascii="Lato" w:hAnsi="Lato"/>
          <w:sz w:val="20"/>
          <w:szCs w:val="20"/>
        </w:rPr>
        <w:t xml:space="preserve">wprowadzenie </w:t>
      </w:r>
      <w:r w:rsidRPr="00EA04B4">
        <w:rPr>
          <w:rFonts w:ascii="Lato" w:hAnsi="Lato"/>
          <w:i/>
          <w:sz w:val="20"/>
          <w:szCs w:val="20"/>
        </w:rPr>
        <w:t xml:space="preserve">Procedury gospodarowanie składnikami majątkowymi i ewidencji </w:t>
      </w:r>
      <w:r w:rsidRPr="00EA04B4">
        <w:rPr>
          <w:rFonts w:ascii="Lato" w:hAnsi="Lato"/>
          <w:sz w:val="20"/>
          <w:szCs w:val="20"/>
        </w:rPr>
        <w:t xml:space="preserve">oraz </w:t>
      </w:r>
      <w:r w:rsidRPr="00EA04B4">
        <w:rPr>
          <w:rFonts w:ascii="Lato" w:hAnsi="Lato"/>
          <w:i/>
          <w:sz w:val="20"/>
          <w:szCs w:val="20"/>
        </w:rPr>
        <w:t>Instrukcji - Przeprowadzania inwentaryzacji w CSK MSWiA w Warszawie</w:t>
      </w:r>
      <w:r w:rsidRPr="00EA04B4">
        <w:rPr>
          <w:rFonts w:ascii="Lato" w:hAnsi="Lato"/>
          <w:sz w:val="20"/>
          <w:szCs w:val="20"/>
        </w:rPr>
        <w:t xml:space="preserve"> z 31 grudnia 2020 r. bez uchylenia poprzednio obowiązujących w tym zakresie regulacji wewnętrznych;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eastAsia="Times New Roman" w:hAnsi="Lato" w:cs="Calibri"/>
          <w:sz w:val="20"/>
          <w:szCs w:val="20"/>
          <w:lang w:eastAsia="pl-PL"/>
        </w:rPr>
      </w:pPr>
      <w:r w:rsidRPr="00EA04B4">
        <w:rPr>
          <w:rFonts w:ascii="Lato" w:eastAsia="Times New Roman" w:hAnsi="Lato" w:cs="Calibri"/>
          <w:sz w:val="20"/>
          <w:szCs w:val="20"/>
          <w:lang w:eastAsia="pl-PL"/>
        </w:rPr>
        <w:t xml:space="preserve">niezamieszczenie w </w:t>
      </w:r>
      <w:r w:rsidRPr="00EA04B4">
        <w:rPr>
          <w:rFonts w:ascii="Lato" w:eastAsia="Times New Roman" w:hAnsi="Lato" w:cs="Calibri"/>
          <w:i/>
          <w:sz w:val="20"/>
          <w:szCs w:val="20"/>
          <w:lang w:eastAsia="pl-PL"/>
        </w:rPr>
        <w:t>Regulaminie organizacyjnym PIM MSWiA</w:t>
      </w:r>
      <w:r w:rsidRPr="00EA04B4">
        <w:rPr>
          <w:rFonts w:ascii="Lato" w:eastAsia="Times New Roman" w:hAnsi="Lato" w:cs="Calibri"/>
          <w:sz w:val="20"/>
          <w:szCs w:val="20"/>
          <w:lang w:eastAsia="pl-PL"/>
        </w:rPr>
        <w:t xml:space="preserve"> z 9 listopada 2023 r. zadań wykonywanych przez pracowników Działu Księgowości i Sprawozdawczości związanych z ewidencjonowaniem składników majątku oraz inwentaryzacją aktywów i pasywów Instytutu; 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eastAsia="Times New Roman" w:hAnsi="Lato" w:cs="Calibri"/>
          <w:sz w:val="20"/>
          <w:szCs w:val="20"/>
          <w:lang w:eastAsia="pl-PL"/>
        </w:rPr>
      </w:pPr>
      <w:r w:rsidRPr="00EA04B4">
        <w:rPr>
          <w:rFonts w:ascii="Lato" w:eastAsia="Times New Roman" w:hAnsi="Lato" w:cs="Calibri"/>
          <w:sz w:val="20"/>
          <w:szCs w:val="20"/>
          <w:lang w:eastAsia="pl-PL"/>
        </w:rPr>
        <w:t>niezaktualizowanie zakresów czynności pracownika realizującego zadania związane z</w:t>
      </w:r>
      <w:r w:rsidR="00D00435">
        <w:rPr>
          <w:rFonts w:ascii="Lato" w:eastAsia="Times New Roman" w:hAnsi="Lato" w:cs="Calibri"/>
          <w:sz w:val="20"/>
          <w:szCs w:val="20"/>
          <w:lang w:eastAsia="pl-PL"/>
        </w:rPr>
        <w:t> </w:t>
      </w:r>
      <w:r w:rsidRPr="00EA04B4">
        <w:rPr>
          <w:rFonts w:ascii="Lato" w:eastAsia="Times New Roman" w:hAnsi="Lato" w:cs="Calibri"/>
          <w:sz w:val="20"/>
          <w:szCs w:val="20"/>
          <w:lang w:eastAsia="pl-PL"/>
        </w:rPr>
        <w:t>prowadzeniem ewidencji środków trwałych i wyposażenia oraz pracownika realizującego zadania związane z inwentaryzacją w zakresie zmian nazewnictwa komórek organizacyjnych i podległości służbowej wprowadzonych zarządzeniem nr</w:t>
      </w:r>
      <w:r w:rsidR="00D00435">
        <w:rPr>
          <w:rFonts w:ascii="Lato" w:eastAsia="Times New Roman" w:hAnsi="Lato" w:cs="Calibri"/>
          <w:sz w:val="20"/>
          <w:szCs w:val="20"/>
          <w:lang w:eastAsia="pl-PL"/>
        </w:rPr>
        <w:t> </w:t>
      </w:r>
      <w:r w:rsidRPr="00EA04B4">
        <w:rPr>
          <w:rFonts w:ascii="Lato" w:eastAsia="Times New Roman" w:hAnsi="Lato" w:cs="Calibri"/>
          <w:sz w:val="20"/>
          <w:szCs w:val="20"/>
          <w:lang w:eastAsia="pl-PL"/>
        </w:rPr>
        <w:t xml:space="preserve">93/2022 Dyrektora Centralnego Szpital Klinicznego MSWiA w Warszawie z dnia 30 września 2022 r. </w:t>
      </w:r>
      <w:r w:rsidRPr="00EA04B4">
        <w:rPr>
          <w:rFonts w:ascii="Lato" w:eastAsia="Times New Roman" w:hAnsi="Lato" w:cs="Calibri"/>
          <w:i/>
          <w:sz w:val="20"/>
          <w:szCs w:val="20"/>
          <w:lang w:eastAsia="pl-PL"/>
        </w:rPr>
        <w:t>w sprawie zmiany Regulaminu organizacyjnego Centralnego Szpitala Klinicznego MSWiA w Warszawie</w:t>
      </w:r>
      <w:r w:rsidRPr="00EA04B4">
        <w:rPr>
          <w:rFonts w:ascii="Lato" w:eastAsia="Times New Roman" w:hAnsi="Lato" w:cs="Calibri"/>
          <w:sz w:val="20"/>
          <w:szCs w:val="20"/>
          <w:lang w:eastAsia="pl-PL"/>
        </w:rPr>
        <w:t>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eastAsia="Times New Roman" w:hAnsi="Lato" w:cs="Calibri"/>
          <w:sz w:val="20"/>
          <w:szCs w:val="20"/>
          <w:lang w:eastAsia="pl-PL"/>
        </w:rPr>
      </w:pPr>
      <w:r w:rsidRPr="00EA04B4">
        <w:rPr>
          <w:rFonts w:ascii="Lato" w:eastAsia="Times New Roman" w:hAnsi="Lato" w:cs="Calibri"/>
          <w:sz w:val="20"/>
          <w:szCs w:val="20"/>
          <w:lang w:eastAsia="pl-PL"/>
        </w:rPr>
        <w:t>niezaktualizowanie</w:t>
      </w:r>
      <w:r w:rsidRPr="00EA04B4">
        <w:rPr>
          <w:rFonts w:ascii="Lato" w:hAnsi="Lato" w:cs="Calibri"/>
          <w:sz w:val="20"/>
          <w:szCs w:val="20"/>
        </w:rPr>
        <w:t xml:space="preserve"> procedur wewnętrznych w zakresie wprowadzonych zmian w nazewnictwie i kompetencjach komórek organizacyjnych Instytutu;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 w:cs="Calibri"/>
          <w:b/>
          <w:sz w:val="20"/>
          <w:szCs w:val="20"/>
        </w:rPr>
      </w:pPr>
      <w:r w:rsidRPr="00EA04B4">
        <w:rPr>
          <w:rFonts w:ascii="Lato" w:hAnsi="Lato" w:cs="Calibri"/>
          <w:sz w:val="20"/>
          <w:szCs w:val="20"/>
        </w:rPr>
        <w:t>stosowanie nieprawidłowej numeracji na dokumentach OT</w:t>
      </w:r>
      <w:r w:rsidRPr="00EA04B4">
        <w:rPr>
          <w:rFonts w:ascii="Lato" w:hAnsi="Lato" w:cs="Calibri"/>
          <w:b/>
          <w:sz w:val="20"/>
          <w:szCs w:val="20"/>
        </w:rPr>
        <w:t>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 w:cs="Calibri"/>
          <w:sz w:val="20"/>
          <w:szCs w:val="20"/>
        </w:rPr>
      </w:pPr>
      <w:r w:rsidRPr="00EA04B4">
        <w:rPr>
          <w:rFonts w:ascii="Lato" w:hAnsi="Lato" w:cs="Calibri"/>
          <w:sz w:val="20"/>
          <w:szCs w:val="20"/>
        </w:rPr>
        <w:t>niezamieszczanie na dowodach OT daty wprowadzenia środka trwałego do ewidencji;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 w:cs="Calibri"/>
          <w:sz w:val="20"/>
          <w:szCs w:val="20"/>
        </w:rPr>
      </w:pPr>
      <w:r w:rsidRPr="00EA04B4">
        <w:rPr>
          <w:rFonts w:ascii="Lato" w:hAnsi="Lato"/>
          <w:sz w:val="20"/>
          <w:szCs w:val="20"/>
        </w:rPr>
        <w:lastRenderedPageBreak/>
        <w:t xml:space="preserve">niezamieszczenie w </w:t>
      </w:r>
      <w:r w:rsidRPr="00EA04B4">
        <w:rPr>
          <w:rFonts w:ascii="Lato" w:hAnsi="Lato"/>
          <w:i/>
          <w:sz w:val="20"/>
          <w:szCs w:val="20"/>
        </w:rPr>
        <w:t xml:space="preserve">Procedurze gospodarowania składnikami majątkowymi i ewidencji </w:t>
      </w:r>
      <w:r w:rsidRPr="00EA04B4">
        <w:rPr>
          <w:rFonts w:ascii="Lato" w:hAnsi="Lato"/>
          <w:sz w:val="20"/>
          <w:szCs w:val="20"/>
        </w:rPr>
        <w:t>zapisów w przedmiocie</w:t>
      </w:r>
      <w:r w:rsidRPr="00EA04B4">
        <w:rPr>
          <w:rFonts w:ascii="Lato" w:hAnsi="Lato"/>
          <w:i/>
          <w:sz w:val="20"/>
          <w:szCs w:val="20"/>
        </w:rPr>
        <w:t xml:space="preserve"> </w:t>
      </w:r>
      <w:r w:rsidRPr="00EA04B4">
        <w:rPr>
          <w:rFonts w:ascii="Lato" w:hAnsi="Lato"/>
          <w:sz w:val="20"/>
          <w:szCs w:val="20"/>
        </w:rPr>
        <w:t xml:space="preserve">prowadzenia ewidencji pozabilansowej dzierżaw specjalistycznego sprzętu obcego przez Dział Zaopatrzania Medycznego/Dział Zaopatrzenia; 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 w:cs="Calibri"/>
          <w:sz w:val="20"/>
          <w:szCs w:val="20"/>
        </w:rPr>
      </w:pPr>
      <w:r w:rsidRPr="00EA04B4">
        <w:rPr>
          <w:rFonts w:ascii="Lato" w:hAnsi="Lato" w:cs="Calibri"/>
          <w:sz w:val="20"/>
          <w:szCs w:val="20"/>
        </w:rPr>
        <w:t>przypadki nieoznakowania składników majątkowych numerami inwentarzowymi;</w:t>
      </w:r>
    </w:p>
    <w:p w:rsidR="00EA04B4" w:rsidRPr="00EA04B4" w:rsidRDefault="00EA04B4" w:rsidP="00733D41">
      <w:pPr>
        <w:pStyle w:val="Akapitzlist"/>
        <w:numPr>
          <w:ilvl w:val="0"/>
          <w:numId w:val="11"/>
        </w:numPr>
        <w:spacing w:after="60" w:line="259" w:lineRule="auto"/>
        <w:ind w:left="426"/>
        <w:contextualSpacing w:val="0"/>
        <w:rPr>
          <w:rFonts w:ascii="Lato" w:hAnsi="Lato" w:cs="Calibri"/>
          <w:sz w:val="20"/>
          <w:szCs w:val="20"/>
        </w:rPr>
      </w:pPr>
      <w:r w:rsidRPr="00EA04B4">
        <w:rPr>
          <w:rFonts w:ascii="Lato" w:eastAsiaTheme="minorHAnsi" w:hAnsi="Lato" w:cstheme="minorBidi"/>
          <w:sz w:val="20"/>
          <w:szCs w:val="20"/>
        </w:rPr>
        <w:t xml:space="preserve">sporządzanie </w:t>
      </w:r>
      <w:r w:rsidRPr="00EA04B4">
        <w:rPr>
          <w:rFonts w:ascii="Lato" w:eastAsia="Arial" w:hAnsi="Lato" w:cs="Arial"/>
          <w:sz w:val="20"/>
          <w:szCs w:val="20"/>
        </w:rPr>
        <w:t xml:space="preserve">dokumentów dotyczących zmiany miejsca użytkowania składników majątkowych </w:t>
      </w:r>
      <w:r w:rsidRPr="00EA04B4">
        <w:rPr>
          <w:rFonts w:ascii="Lato" w:eastAsiaTheme="minorHAnsi" w:hAnsi="Lato" w:cstheme="minorBidi"/>
          <w:sz w:val="20"/>
          <w:szCs w:val="20"/>
        </w:rPr>
        <w:t xml:space="preserve">na wzorze innym niż określony w załączniku nr 3 do </w:t>
      </w:r>
      <w:r w:rsidRPr="00EA04B4">
        <w:rPr>
          <w:rFonts w:ascii="Lato" w:eastAsiaTheme="minorHAnsi" w:hAnsi="Lato" w:cstheme="minorBidi"/>
          <w:i/>
          <w:sz w:val="20"/>
          <w:szCs w:val="20"/>
        </w:rPr>
        <w:t>Procedury gospodarowania składnikami majątkowymi i ewidencji;</w:t>
      </w:r>
      <w:r w:rsidRPr="00EA04B4">
        <w:rPr>
          <w:rFonts w:ascii="Lato" w:eastAsiaTheme="minorHAnsi" w:hAnsi="Lato" w:cstheme="minorBidi"/>
          <w:sz w:val="20"/>
          <w:szCs w:val="20"/>
        </w:rPr>
        <w:t xml:space="preserve"> </w:t>
      </w:r>
    </w:p>
    <w:p w:rsidR="00EA04B4" w:rsidRDefault="00EA04B4" w:rsidP="00733D41">
      <w:pPr>
        <w:pStyle w:val="Akapitzlist"/>
        <w:numPr>
          <w:ilvl w:val="0"/>
          <w:numId w:val="11"/>
        </w:numPr>
        <w:spacing w:after="120" w:line="259" w:lineRule="auto"/>
        <w:ind w:left="425" w:hanging="357"/>
        <w:contextualSpacing w:val="0"/>
        <w:rPr>
          <w:rFonts w:ascii="Lato" w:hAnsi="Lato" w:cs="Calibri"/>
          <w:sz w:val="20"/>
          <w:szCs w:val="20"/>
        </w:rPr>
      </w:pPr>
      <w:r w:rsidRPr="00EA04B4">
        <w:rPr>
          <w:rFonts w:ascii="Lato" w:eastAsiaTheme="minorHAnsi" w:hAnsi="Lato" w:cstheme="minorBidi"/>
          <w:sz w:val="20"/>
          <w:szCs w:val="20"/>
        </w:rPr>
        <w:t xml:space="preserve">przypadek opóźnienia </w:t>
      </w:r>
      <w:r w:rsidRPr="00EA04B4">
        <w:rPr>
          <w:rFonts w:ascii="Lato" w:hAnsi="Lato"/>
          <w:sz w:val="20"/>
          <w:szCs w:val="20"/>
        </w:rPr>
        <w:t>w przekazaniu dokumentu MT do Działu Księgowości i Sprawozdawczości</w:t>
      </w:r>
      <w:r w:rsidRPr="00EA04B4">
        <w:rPr>
          <w:rFonts w:ascii="Lato" w:hAnsi="Lato" w:cs="Calibri"/>
          <w:sz w:val="20"/>
          <w:szCs w:val="20"/>
        </w:rPr>
        <w:t xml:space="preserve">.  </w:t>
      </w:r>
    </w:p>
    <w:p w:rsidR="00EE106B" w:rsidRDefault="00EE106B" w:rsidP="00D00435">
      <w:pPr>
        <w:spacing w:after="120"/>
        <w:rPr>
          <w:rFonts w:ascii="Lato" w:hAnsi="Lato" w:cs="Calibri"/>
          <w:sz w:val="20"/>
          <w:szCs w:val="20"/>
        </w:rPr>
      </w:pPr>
      <w:r w:rsidRPr="00EE106B">
        <w:rPr>
          <w:rFonts w:ascii="Lato" w:hAnsi="Lato" w:cs="Calibri"/>
          <w:sz w:val="20"/>
          <w:szCs w:val="20"/>
        </w:rPr>
        <w:t xml:space="preserve">W badanym okresie w Instytucie prowadzono inwentaryzację środków trwałych metodą spisu z natury, jednak za </w:t>
      </w:r>
      <w:r w:rsidRPr="00EE106B">
        <w:rPr>
          <w:rFonts w:ascii="Lato" w:hAnsi="Lato" w:cs="Calibri"/>
          <w:b/>
          <w:sz w:val="20"/>
          <w:szCs w:val="20"/>
        </w:rPr>
        <w:t>nieprawidłowość</w:t>
      </w:r>
      <w:r w:rsidRPr="00EE106B">
        <w:rPr>
          <w:rFonts w:ascii="Lato" w:hAnsi="Lato" w:cs="Calibri"/>
          <w:sz w:val="20"/>
          <w:szCs w:val="20"/>
        </w:rPr>
        <w:t xml:space="preserve"> uznano </w:t>
      </w:r>
      <w:r w:rsidRPr="00EE106B">
        <w:rPr>
          <w:rFonts w:ascii="Lato" w:hAnsi="Lato" w:cs="Calibri"/>
          <w:sz w:val="20"/>
          <w:szCs w:val="20"/>
          <w:u w:val="single"/>
        </w:rPr>
        <w:t>niewprowadzenie do ewidencji ilościowo-wartościowej wszystkich ujawnionych w toku inwentaryzacji nadwyżek oraz niezdjęcie ze stanu wszystkich niedoborów.</w:t>
      </w:r>
      <w:r w:rsidRPr="00EE106B">
        <w:rPr>
          <w:rFonts w:ascii="Lato" w:hAnsi="Lato" w:cs="Calibri"/>
          <w:sz w:val="20"/>
          <w:szCs w:val="20"/>
        </w:rPr>
        <w:t xml:space="preserve"> Powyższe działanie </w:t>
      </w:r>
      <w:r w:rsidRPr="00EE106B">
        <w:rPr>
          <w:rFonts w:ascii="Lato" w:hAnsi="Lato" w:cs="Calibri"/>
          <w:sz w:val="20"/>
          <w:szCs w:val="20"/>
          <w:u w:val="single"/>
        </w:rPr>
        <w:t xml:space="preserve">może wyczerpywać znamiona naruszenia dyscypliny finansów publicznych określonego w art. 18 pkt 1 ustawy z dnia 17 grudnia 2004 r. </w:t>
      </w:r>
      <w:r w:rsidRPr="00733D41">
        <w:rPr>
          <w:rFonts w:ascii="Lato" w:hAnsi="Lato" w:cs="Calibri"/>
          <w:i/>
          <w:sz w:val="20"/>
          <w:szCs w:val="20"/>
          <w:u w:val="single"/>
        </w:rPr>
        <w:t>o odpowiedzialności za naruszenie dyscypliny finansów publicznych</w:t>
      </w:r>
      <w:r w:rsidR="00D00435" w:rsidRPr="00D00435">
        <w:rPr>
          <w:rFonts w:ascii="Lato" w:hAnsi="Lato" w:cs="Calibri"/>
          <w:vertAlign w:val="superscript"/>
        </w:rPr>
        <w:footnoteReference w:id="6"/>
      </w:r>
      <w:r w:rsidRPr="00EE106B">
        <w:rPr>
          <w:rFonts w:ascii="Lato" w:hAnsi="Lato" w:cs="Calibri"/>
          <w:sz w:val="20"/>
          <w:szCs w:val="20"/>
        </w:rPr>
        <w:t>, bowiem zgodnie z art. 27 ust. 2 ustawy z dnia 29 września 1994 r.</w:t>
      </w:r>
      <w:r>
        <w:rPr>
          <w:rFonts w:ascii="Lato" w:hAnsi="Lato" w:cs="Calibri"/>
          <w:sz w:val="20"/>
          <w:szCs w:val="20"/>
        </w:rPr>
        <w:br/>
      </w:r>
      <w:r w:rsidRPr="00733D41">
        <w:rPr>
          <w:rFonts w:ascii="Lato" w:hAnsi="Lato" w:cs="Calibri"/>
          <w:i/>
          <w:sz w:val="20"/>
          <w:szCs w:val="20"/>
        </w:rPr>
        <w:t>o rachunkowości</w:t>
      </w:r>
      <w:r w:rsidR="00D00435" w:rsidRPr="00D00435">
        <w:rPr>
          <w:rFonts w:ascii="Lato" w:hAnsi="Lato" w:cs="Calibri"/>
          <w:vertAlign w:val="superscript"/>
        </w:rPr>
        <w:footnoteReference w:id="7"/>
      </w:r>
      <w:r w:rsidRPr="00EE106B">
        <w:rPr>
          <w:rFonts w:ascii="Lato" w:hAnsi="Lato" w:cs="Calibri"/>
          <w:sz w:val="20"/>
          <w:szCs w:val="20"/>
        </w:rPr>
        <w:t xml:space="preserve">  ujawnione w toku inwentaryzacji różnice między stanem rzeczywistym </w:t>
      </w:r>
      <w:r>
        <w:rPr>
          <w:rFonts w:ascii="Lato" w:hAnsi="Lato" w:cs="Calibri"/>
          <w:sz w:val="20"/>
          <w:szCs w:val="20"/>
        </w:rPr>
        <w:br/>
      </w:r>
      <w:r w:rsidRPr="00EE106B">
        <w:rPr>
          <w:rFonts w:ascii="Lato" w:hAnsi="Lato" w:cs="Calibri"/>
          <w:sz w:val="20"/>
          <w:szCs w:val="20"/>
        </w:rPr>
        <w:t xml:space="preserve">a stanem wykazanym w księgach rachunkowych należy wyjaśnić i rozliczyć w księgach rachunkowych tego roku obrotowego, na który przypadał termin inwentaryzacji. Ponadto, za </w:t>
      </w:r>
      <w:r w:rsidRPr="00EE106B">
        <w:rPr>
          <w:rFonts w:ascii="Lato" w:hAnsi="Lato" w:cs="Calibri"/>
          <w:b/>
          <w:sz w:val="20"/>
          <w:szCs w:val="20"/>
        </w:rPr>
        <w:t>nieprawidłowość</w:t>
      </w:r>
      <w:r w:rsidRPr="00EE106B">
        <w:rPr>
          <w:rFonts w:ascii="Lato" w:hAnsi="Lato" w:cs="Calibri"/>
          <w:sz w:val="20"/>
          <w:szCs w:val="20"/>
        </w:rPr>
        <w:t xml:space="preserve"> uznano nierozliczenie różnic inwentaryzacyjnych dotyczących składników majątku, do których dostęp był czasowo utrudniony z powodu trwających prac remontowych, co także może wyczerpywać znamiona naruszenia dyscypliny finansów publicznych określonego w art. 18 pkt 1 ustawy o odpowiedzialności za naruszenie dyscypliny finansów publicznych.</w:t>
      </w:r>
    </w:p>
    <w:p w:rsidR="00D77E40" w:rsidRPr="00D77E40" w:rsidRDefault="00D77E40" w:rsidP="00733D41">
      <w:pPr>
        <w:spacing w:after="60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 xml:space="preserve">W obszarze tym za </w:t>
      </w:r>
      <w:r>
        <w:rPr>
          <w:rFonts w:ascii="Lato" w:hAnsi="Lato" w:cs="Calibri"/>
          <w:b/>
          <w:sz w:val="20"/>
          <w:szCs w:val="20"/>
        </w:rPr>
        <w:t xml:space="preserve">nieprawidłowość </w:t>
      </w:r>
      <w:r>
        <w:rPr>
          <w:rFonts w:ascii="Lato" w:hAnsi="Lato" w:cs="Calibri"/>
          <w:sz w:val="20"/>
          <w:szCs w:val="20"/>
        </w:rPr>
        <w:t>uznano także:</w:t>
      </w:r>
    </w:p>
    <w:p w:rsidR="00D77E40" w:rsidRPr="00D77E40" w:rsidRDefault="00D77E40" w:rsidP="00733D41">
      <w:pPr>
        <w:pStyle w:val="Tekstpodstawowy2"/>
        <w:numPr>
          <w:ilvl w:val="0"/>
          <w:numId w:val="12"/>
        </w:numPr>
        <w:spacing w:after="60" w:line="259" w:lineRule="auto"/>
        <w:ind w:left="426"/>
        <w:rPr>
          <w:rFonts w:ascii="Lato" w:hAnsi="Lato" w:cs="Calibri"/>
          <w:sz w:val="20"/>
          <w:szCs w:val="20"/>
        </w:rPr>
      </w:pPr>
      <w:r w:rsidRPr="00D77E40">
        <w:rPr>
          <w:rFonts w:ascii="Lato" w:hAnsi="Lato" w:cs="Calibri"/>
          <w:sz w:val="20"/>
          <w:szCs w:val="20"/>
        </w:rPr>
        <w:t>niestosowanie regulacji wewnętrznych w zakresie</w:t>
      </w:r>
      <w:r w:rsidRPr="00D77E40">
        <w:rPr>
          <w:rFonts w:ascii="Lato" w:hAnsi="Lato" w:cs="Calibri"/>
          <w:b/>
          <w:sz w:val="20"/>
          <w:szCs w:val="20"/>
        </w:rPr>
        <w:t xml:space="preserve"> </w:t>
      </w:r>
      <w:r w:rsidRPr="00D77E40">
        <w:rPr>
          <w:rFonts w:ascii="Lato" w:hAnsi="Lato" w:cs="Calibri"/>
          <w:sz w:val="20"/>
          <w:szCs w:val="20"/>
        </w:rPr>
        <w:t xml:space="preserve">obowiązku przeprowadzenia wyceny nadwyżek i niedoborów oraz ustalenia w zestawieniach różnic inwentaryzacyjnych łącznej ich wartości, z podziałem na poszczególne ośrodki kosztów, przed sporządzeniem przez Komisję Inwentaryzacyjną protokołów z rozliczenia różnic inwentaryzacyjnych; </w:t>
      </w:r>
    </w:p>
    <w:p w:rsidR="00D77E40" w:rsidRPr="00D77E40" w:rsidRDefault="00D77E40" w:rsidP="00733D41">
      <w:pPr>
        <w:pStyle w:val="Tekstpodstawowy2"/>
        <w:numPr>
          <w:ilvl w:val="0"/>
          <w:numId w:val="12"/>
        </w:numPr>
        <w:spacing w:after="60" w:line="259" w:lineRule="auto"/>
        <w:ind w:left="426"/>
        <w:rPr>
          <w:rFonts w:ascii="Lato" w:hAnsi="Lato"/>
          <w:sz w:val="20"/>
          <w:szCs w:val="20"/>
        </w:rPr>
      </w:pPr>
      <w:r w:rsidRPr="00D77E40">
        <w:rPr>
          <w:rFonts w:ascii="Lato" w:hAnsi="Lato"/>
          <w:iCs/>
          <w:sz w:val="20"/>
          <w:szCs w:val="20"/>
        </w:rPr>
        <w:t xml:space="preserve">kierowanie przez </w:t>
      </w:r>
      <w:r w:rsidRPr="00D77E40">
        <w:rPr>
          <w:rFonts w:ascii="Lato" w:hAnsi="Lato" w:cs="Calibri"/>
          <w:sz w:val="20"/>
          <w:szCs w:val="20"/>
        </w:rPr>
        <w:t>Komisję Inwentaryzacyjną zaleceń nieadekwatnych do stanu faktycznego;</w:t>
      </w:r>
      <w:r w:rsidRPr="00D77E40">
        <w:rPr>
          <w:rFonts w:ascii="Lato" w:hAnsi="Lato"/>
          <w:sz w:val="20"/>
          <w:szCs w:val="20"/>
        </w:rPr>
        <w:t xml:space="preserve"> </w:t>
      </w:r>
    </w:p>
    <w:p w:rsidR="00D77E40" w:rsidRPr="00D77E40" w:rsidRDefault="00D77E40" w:rsidP="00733D41">
      <w:pPr>
        <w:pStyle w:val="Tekstpodstawowy2"/>
        <w:numPr>
          <w:ilvl w:val="0"/>
          <w:numId w:val="12"/>
        </w:numPr>
        <w:spacing w:after="60" w:line="259" w:lineRule="auto"/>
        <w:ind w:left="426"/>
        <w:rPr>
          <w:rFonts w:ascii="Lato" w:hAnsi="Lato" w:cs="Calibri"/>
          <w:sz w:val="20"/>
          <w:szCs w:val="20"/>
        </w:rPr>
      </w:pPr>
      <w:r w:rsidRPr="00D77E40">
        <w:rPr>
          <w:rFonts w:ascii="Lato" w:hAnsi="Lato" w:cs="Calibri"/>
          <w:sz w:val="20"/>
          <w:szCs w:val="20"/>
        </w:rPr>
        <w:t xml:space="preserve">niezamieszczanie w protokołach z rozliczenia różnic inwentaryzacyjnych danych pozwalających na jednoznaczną identyfikację ujawnionych nadwyżek; </w:t>
      </w:r>
    </w:p>
    <w:p w:rsidR="00237547" w:rsidRDefault="00D77E40" w:rsidP="00733D41">
      <w:pPr>
        <w:pStyle w:val="Tekstpodstawowy2"/>
        <w:numPr>
          <w:ilvl w:val="0"/>
          <w:numId w:val="12"/>
        </w:numPr>
        <w:spacing w:line="259" w:lineRule="auto"/>
        <w:ind w:left="426"/>
        <w:rPr>
          <w:rFonts w:ascii="Lato" w:hAnsi="Lato"/>
          <w:iCs/>
          <w:sz w:val="20"/>
          <w:szCs w:val="20"/>
        </w:rPr>
      </w:pPr>
      <w:r w:rsidRPr="00D77E40">
        <w:rPr>
          <w:rFonts w:ascii="Lato" w:hAnsi="Lato"/>
          <w:iCs/>
          <w:sz w:val="20"/>
          <w:szCs w:val="20"/>
        </w:rPr>
        <w:t xml:space="preserve">niepotwierdzanie przez Komisję Inwentaryzacyjną faktycznej lokalizacji urządzenia przed rekomendowaniem jego przesunięcia na stan Działu Wsparcia Użytkownika. </w:t>
      </w:r>
    </w:p>
    <w:p w:rsidR="00237547" w:rsidRPr="00237547" w:rsidRDefault="00237547" w:rsidP="00733D41">
      <w:pPr>
        <w:pStyle w:val="Tekstpodstawowy2"/>
        <w:spacing w:after="0" w:line="259" w:lineRule="auto"/>
        <w:rPr>
          <w:rFonts w:ascii="Lato" w:hAnsi="Lato"/>
          <w:iCs/>
          <w:sz w:val="20"/>
          <w:szCs w:val="20"/>
        </w:rPr>
      </w:pPr>
      <w:r w:rsidRPr="00237547">
        <w:rPr>
          <w:rFonts w:ascii="Lato" w:hAnsi="Lato"/>
          <w:iCs/>
          <w:sz w:val="20"/>
          <w:szCs w:val="20"/>
        </w:rPr>
        <w:t xml:space="preserve">Jako </w:t>
      </w:r>
      <w:r w:rsidRPr="00664EC4">
        <w:rPr>
          <w:rFonts w:ascii="Lato" w:hAnsi="Lato"/>
          <w:b/>
          <w:iCs/>
          <w:sz w:val="20"/>
          <w:szCs w:val="20"/>
        </w:rPr>
        <w:t>uchybienie</w:t>
      </w:r>
      <w:r w:rsidRPr="00237547">
        <w:rPr>
          <w:rFonts w:ascii="Lato" w:hAnsi="Lato"/>
          <w:iCs/>
          <w:sz w:val="20"/>
          <w:szCs w:val="20"/>
        </w:rPr>
        <w:t xml:space="preserve"> oceniono niezamieszczenie w regulacji wewnętrznej procedur w zakresie obowiązku przekazywania Sprawozdania zbiorczego z inwentaryzacji do Głównej Księgowej i Kierownictwa PIM MSWiA oraz jego formalnej akceptacji/zatwierdzenia, </w:t>
      </w:r>
      <w:r w:rsidR="00CA4B77">
        <w:rPr>
          <w:rFonts w:ascii="Lato" w:hAnsi="Lato"/>
          <w:iCs/>
          <w:sz w:val="20"/>
          <w:szCs w:val="20"/>
        </w:rPr>
        <w:br/>
      </w:r>
      <w:r w:rsidRPr="00237547">
        <w:rPr>
          <w:rFonts w:ascii="Lato" w:hAnsi="Lato"/>
          <w:iCs/>
          <w:sz w:val="20"/>
          <w:szCs w:val="20"/>
        </w:rPr>
        <w:t xml:space="preserve">a także - z uwagi na incydentalność zjawiska - pojedynczy przypadek braku podpisu Głównej Księgowej na protokole z rozliczenia różnic inwentaryzacyjnych. Za </w:t>
      </w:r>
      <w:r w:rsidRPr="00CA4B77">
        <w:rPr>
          <w:rFonts w:ascii="Lato" w:hAnsi="Lato"/>
          <w:b/>
          <w:iCs/>
          <w:sz w:val="20"/>
          <w:szCs w:val="20"/>
        </w:rPr>
        <w:t xml:space="preserve">uchybienie </w:t>
      </w:r>
      <w:r w:rsidRPr="00237547">
        <w:rPr>
          <w:rFonts w:ascii="Lato" w:hAnsi="Lato"/>
          <w:iCs/>
          <w:sz w:val="20"/>
          <w:szCs w:val="20"/>
        </w:rPr>
        <w:t xml:space="preserve">uznano również powtarzające się przypadki niepodpisywania protokołów z rozliczenia </w:t>
      </w:r>
      <w:r w:rsidRPr="00237547">
        <w:rPr>
          <w:rFonts w:ascii="Lato" w:hAnsi="Lato"/>
          <w:iCs/>
          <w:sz w:val="20"/>
          <w:szCs w:val="20"/>
        </w:rPr>
        <w:lastRenderedPageBreak/>
        <w:t>różnić inwentaryzacyjnych przez wszystkich członków Komisji Inwetaryzacyjnej oraz pojedynczy przypadek niezamieszczenia na protokole podpisu przez żadnego z jej członków.</w:t>
      </w:r>
    </w:p>
    <w:p w:rsidR="00237547" w:rsidRPr="00237547" w:rsidRDefault="00D00435" w:rsidP="00733D41">
      <w:pPr>
        <w:pStyle w:val="Tekstpodstawowy2"/>
        <w:spacing w:after="0" w:line="259" w:lineRule="auto"/>
        <w:rPr>
          <w:rFonts w:ascii="Lato" w:hAnsi="Lato"/>
          <w:iCs/>
          <w:sz w:val="20"/>
          <w:szCs w:val="20"/>
        </w:rPr>
      </w:pPr>
      <w:r>
        <w:rPr>
          <w:rFonts w:ascii="Lato" w:hAnsi="Lato"/>
          <w:b/>
          <w:iCs/>
          <w:sz w:val="20"/>
          <w:szCs w:val="20"/>
        </w:rPr>
        <w:t>N</w:t>
      </w:r>
      <w:r w:rsidRPr="00CA4B77">
        <w:rPr>
          <w:rFonts w:ascii="Lato" w:hAnsi="Lato"/>
          <w:b/>
          <w:iCs/>
          <w:sz w:val="20"/>
          <w:szCs w:val="20"/>
        </w:rPr>
        <w:t>egatywnie</w:t>
      </w:r>
      <w:r w:rsidRPr="00237547">
        <w:rPr>
          <w:rFonts w:ascii="Lato" w:hAnsi="Lato"/>
          <w:iCs/>
          <w:sz w:val="20"/>
          <w:szCs w:val="20"/>
        </w:rPr>
        <w:t xml:space="preserve"> </w:t>
      </w:r>
      <w:r w:rsidRPr="00733D41">
        <w:rPr>
          <w:rFonts w:ascii="Lato" w:hAnsi="Lato"/>
          <w:b/>
          <w:iCs/>
          <w:sz w:val="20"/>
          <w:szCs w:val="20"/>
        </w:rPr>
        <w:t>oceniono</w:t>
      </w:r>
      <w:r w:rsidRPr="00237547">
        <w:rPr>
          <w:rFonts w:ascii="Lato" w:hAnsi="Lato"/>
          <w:iCs/>
          <w:sz w:val="20"/>
          <w:szCs w:val="20"/>
        </w:rPr>
        <w:t xml:space="preserve"> </w:t>
      </w:r>
      <w:r>
        <w:rPr>
          <w:rFonts w:ascii="Lato" w:hAnsi="Lato"/>
          <w:iCs/>
          <w:sz w:val="20"/>
          <w:szCs w:val="20"/>
        </w:rPr>
        <w:t>p</w:t>
      </w:r>
      <w:r w:rsidR="00237547" w:rsidRPr="00237547">
        <w:rPr>
          <w:rFonts w:ascii="Lato" w:hAnsi="Lato"/>
          <w:iCs/>
          <w:sz w:val="20"/>
          <w:szCs w:val="20"/>
        </w:rPr>
        <w:t>rzyjmowanie przez PIM MSWiA środków trwałych z Fundacji przy Centralnym Szpitalu Klinicznym MSWiA w Warszawie oraz ich ewidencjonowanie</w:t>
      </w:r>
      <w:r>
        <w:rPr>
          <w:rFonts w:ascii="Lato" w:hAnsi="Lato"/>
          <w:iCs/>
          <w:sz w:val="20"/>
          <w:szCs w:val="20"/>
        </w:rPr>
        <w:t>.</w:t>
      </w:r>
      <w:r w:rsidR="00237547" w:rsidRPr="00237547">
        <w:rPr>
          <w:rFonts w:ascii="Lato" w:hAnsi="Lato"/>
          <w:iCs/>
          <w:sz w:val="20"/>
          <w:szCs w:val="20"/>
        </w:rPr>
        <w:t xml:space="preserve"> </w:t>
      </w:r>
      <w:r w:rsidR="00CA4B77">
        <w:rPr>
          <w:rFonts w:ascii="Lato" w:hAnsi="Lato"/>
          <w:iCs/>
          <w:sz w:val="20"/>
          <w:szCs w:val="20"/>
        </w:rPr>
        <w:br/>
      </w:r>
      <w:r w:rsidR="00237547" w:rsidRPr="00237547">
        <w:rPr>
          <w:rFonts w:ascii="Lato" w:hAnsi="Lato"/>
          <w:iCs/>
          <w:sz w:val="20"/>
          <w:szCs w:val="20"/>
        </w:rPr>
        <w:t xml:space="preserve">W PIM MSWiA opracowano Instrukcję pn. </w:t>
      </w:r>
      <w:r w:rsidR="00237547" w:rsidRPr="00733D41">
        <w:rPr>
          <w:rFonts w:ascii="Lato" w:hAnsi="Lato"/>
          <w:i/>
          <w:iCs/>
          <w:sz w:val="20"/>
          <w:szCs w:val="20"/>
        </w:rPr>
        <w:t>Przyjmowanie, ewidencja oraz rozchód darowizn w PIM MSWiA</w:t>
      </w:r>
      <w:r w:rsidR="00237547" w:rsidRPr="00237547">
        <w:rPr>
          <w:rFonts w:ascii="Lato" w:hAnsi="Lato"/>
          <w:iCs/>
          <w:sz w:val="20"/>
          <w:szCs w:val="20"/>
        </w:rPr>
        <w:t>, w której uregulowane zostały zasady przyjmowania, ewidencji oraz rozchodu darowizn, jednak w ramach współpracy z Fundacją przy Centralnym Szpitalu Klinicznym MSWiA w Warszawie, postanowienia regulacji nie były przestrzegane.</w:t>
      </w:r>
    </w:p>
    <w:p w:rsidR="00237547" w:rsidRPr="00237547" w:rsidRDefault="00237547" w:rsidP="00733D41">
      <w:pPr>
        <w:pStyle w:val="Tekstpodstawowy2"/>
        <w:spacing w:line="259" w:lineRule="auto"/>
        <w:rPr>
          <w:rFonts w:ascii="Lato" w:hAnsi="Lato"/>
          <w:iCs/>
          <w:sz w:val="20"/>
          <w:szCs w:val="20"/>
        </w:rPr>
      </w:pPr>
      <w:r w:rsidRPr="00237547">
        <w:rPr>
          <w:rFonts w:ascii="Lato" w:hAnsi="Lato"/>
          <w:iCs/>
          <w:sz w:val="20"/>
          <w:szCs w:val="20"/>
        </w:rPr>
        <w:t xml:space="preserve">W okresie objętym kontrolą, co prawda, realizowano, działania wynikające z ww. procedury, w tym opracowywano </w:t>
      </w:r>
      <w:r w:rsidRPr="00733D41">
        <w:rPr>
          <w:rFonts w:ascii="Lato" w:hAnsi="Lato"/>
          <w:i/>
          <w:iCs/>
          <w:sz w:val="20"/>
          <w:szCs w:val="20"/>
        </w:rPr>
        <w:t>Opinie merytoryczne</w:t>
      </w:r>
      <w:r w:rsidRPr="00237547">
        <w:rPr>
          <w:rFonts w:ascii="Lato" w:hAnsi="Lato"/>
          <w:iCs/>
          <w:sz w:val="20"/>
          <w:szCs w:val="20"/>
        </w:rPr>
        <w:t xml:space="preserve"> </w:t>
      </w:r>
      <w:r w:rsidRPr="00733D41">
        <w:rPr>
          <w:rFonts w:ascii="Lato" w:hAnsi="Lato"/>
          <w:i/>
          <w:iCs/>
          <w:sz w:val="20"/>
          <w:szCs w:val="20"/>
        </w:rPr>
        <w:t xml:space="preserve">w zakresie przyjęcia darowizn niepieniężnych, </w:t>
      </w:r>
      <w:r w:rsidRPr="00237547">
        <w:rPr>
          <w:rFonts w:ascii="Lato" w:hAnsi="Lato"/>
          <w:iCs/>
          <w:sz w:val="20"/>
          <w:szCs w:val="20"/>
        </w:rPr>
        <w:t xml:space="preserve">które zawierały pisemne pozytywne stanowiska działów merytorycznych, wydawano zgody na przyjęcia darowizn, a także zawierano umowy, które były parafowane przez radcę prawnego, niemniej jednak działania te były podejmowane ze znacznym opóźnieniem, tj. po faktycznych przyjęciach przedmiotów darowizn. </w:t>
      </w:r>
    </w:p>
    <w:p w:rsidR="00D77E40" w:rsidRPr="00D77E40" w:rsidRDefault="00237547" w:rsidP="00733D41">
      <w:pPr>
        <w:pStyle w:val="Tekstpodstawowy2"/>
        <w:spacing w:after="60" w:line="259" w:lineRule="auto"/>
        <w:rPr>
          <w:rFonts w:ascii="Lato" w:hAnsi="Lato"/>
          <w:iCs/>
          <w:sz w:val="20"/>
          <w:szCs w:val="20"/>
        </w:rPr>
      </w:pPr>
      <w:r w:rsidRPr="00237547">
        <w:rPr>
          <w:rFonts w:ascii="Lato" w:hAnsi="Lato"/>
          <w:iCs/>
          <w:sz w:val="20"/>
          <w:szCs w:val="20"/>
        </w:rPr>
        <w:t xml:space="preserve">Za </w:t>
      </w:r>
      <w:r w:rsidRPr="00237547">
        <w:rPr>
          <w:rFonts w:ascii="Lato" w:hAnsi="Lato"/>
          <w:b/>
          <w:iCs/>
          <w:sz w:val="20"/>
          <w:szCs w:val="20"/>
        </w:rPr>
        <w:t xml:space="preserve">nieprawidłowości </w:t>
      </w:r>
      <w:r w:rsidRPr="00237547">
        <w:rPr>
          <w:rFonts w:ascii="Lato" w:hAnsi="Lato"/>
          <w:iCs/>
          <w:sz w:val="20"/>
          <w:szCs w:val="20"/>
        </w:rPr>
        <w:t xml:space="preserve">uznano: </w:t>
      </w:r>
      <w:r w:rsidR="00D77E40" w:rsidRPr="00D77E40">
        <w:rPr>
          <w:rFonts w:ascii="Lato" w:hAnsi="Lato"/>
          <w:iCs/>
          <w:sz w:val="20"/>
          <w:szCs w:val="20"/>
        </w:rPr>
        <w:t xml:space="preserve"> 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>przyjmowanie przedmiotów darowizn przed uzyskaniem zgody Dyrektora PIM MSWiA na ich przyjęcie oraz przed podpisaniem umów;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przyjęcie darowizn, tj. </w:t>
      </w:r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pompy </w:t>
      </w:r>
      <w:proofErr w:type="spellStart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>synchromed</w:t>
      </w:r>
      <w:proofErr w:type="spellEnd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>ll</w:t>
      </w:r>
      <w:proofErr w:type="spellEnd"/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 oraz </w:t>
      </w:r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monitora </w:t>
      </w:r>
      <w:proofErr w:type="spellStart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>Ambu</w:t>
      </w:r>
      <w:proofErr w:type="spellEnd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>aView</w:t>
      </w:r>
      <w:proofErr w:type="spellEnd"/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 2,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 przekazanych w ramach umowy nr 3/F/2025 z 27 marca 2025 r., bez dostarczenia odpowiednich certyfikatów dopuszczających te urządzenia do obrotu i stosowania;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przeprowadzenie weryfikacji dokumentacji i dostarczonych przedmiotów oraz skorygowanie umowy darowizny </w:t>
      </w:r>
      <w:r w:rsidRPr="00664EC4">
        <w:rPr>
          <w:rFonts w:ascii="Lato" w:hAnsi="Lato"/>
          <w:color w:val="000000" w:themeColor="text1"/>
          <w:sz w:val="20"/>
          <w:szCs w:val="20"/>
          <w:lang w:eastAsia="pl-PL"/>
        </w:rPr>
        <w:t xml:space="preserve">nr 11/F/2023 o 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wartość nieprzekazanych przedmiotów w kwocie 39 438,57 zł dopiero</w:t>
      </w:r>
      <w:r w:rsidRPr="00664EC4">
        <w:rPr>
          <w:rFonts w:ascii="Lato" w:hAnsi="Lato"/>
          <w:color w:val="000000" w:themeColor="text1"/>
          <w:sz w:val="20"/>
          <w:szCs w:val="20"/>
          <w:lang w:eastAsia="pl-PL"/>
        </w:rPr>
        <w:t xml:space="preserve"> p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o upływie 9 miesięcy od zawarcia umowy;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/>
          <w:color w:val="000000" w:themeColor="text1"/>
          <w:sz w:val="20"/>
          <w:szCs w:val="20"/>
        </w:rPr>
        <w:t>nierzetelne dokumentowanie terminów odbiorów poszczególnych darowizn w </w:t>
      </w:r>
      <w:r w:rsidRPr="00664EC4">
        <w:rPr>
          <w:rFonts w:ascii="Lato" w:hAnsi="Lato"/>
          <w:i/>
          <w:color w:val="000000" w:themeColor="text1"/>
          <w:sz w:val="20"/>
          <w:szCs w:val="20"/>
        </w:rPr>
        <w:t>protokołach zdawczo-odbiorczych</w:t>
      </w:r>
      <w:r w:rsidRPr="00664EC4">
        <w:rPr>
          <w:rFonts w:ascii="Lato" w:hAnsi="Lato"/>
          <w:color w:val="000000" w:themeColor="text1"/>
          <w:sz w:val="20"/>
          <w:szCs w:val="20"/>
        </w:rPr>
        <w:t>;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="Arial"/>
          <w:color w:val="000000" w:themeColor="text1"/>
          <w:sz w:val="20"/>
          <w:szCs w:val="20"/>
        </w:rPr>
        <w:t xml:space="preserve">fizyczną utratę </w:t>
      </w:r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 xml:space="preserve">Rejestru darowizn 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i brak</w:t>
      </w:r>
      <w:r w:rsidRPr="00664EC4">
        <w:rPr>
          <w:rFonts w:ascii="Lato" w:hAnsi="Lato" w:cs="Arial"/>
          <w:color w:val="000000" w:themeColor="text1"/>
          <w:sz w:val="20"/>
          <w:szCs w:val="20"/>
        </w:rPr>
        <w:t xml:space="preserve"> możliwości jego szybkiego przywrócenia 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w oparciu o systemem kopii zapasowych; 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>opóźnienia w sporządzaniu dowodów OT dla przyjmowanych darowizn</w:t>
      </w:r>
      <w:r w:rsidRPr="00664EC4">
        <w:rPr>
          <w:rFonts w:ascii="Lato" w:hAnsi="Lato"/>
          <w:color w:val="000000" w:themeColor="text1"/>
          <w:sz w:val="20"/>
          <w:szCs w:val="20"/>
          <w:lang w:eastAsia="pl-PL"/>
        </w:rPr>
        <w:t>;</w:t>
      </w:r>
    </w:p>
    <w:p w:rsidR="00664EC4" w:rsidRPr="00664EC4" w:rsidRDefault="00664EC4" w:rsidP="00733D41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sz w:val="20"/>
          <w:szCs w:val="20"/>
        </w:rPr>
      </w:pPr>
      <w:r w:rsidRPr="00664EC4">
        <w:rPr>
          <w:rFonts w:ascii="Lato" w:hAnsi="Lato"/>
          <w:sz w:val="20"/>
          <w:szCs w:val="20"/>
        </w:rPr>
        <w:t>niepełne i nierzetelne wprowadzanie danych dotyczących otrzymanych darowizn do</w:t>
      </w:r>
      <w:r w:rsidR="00694C05">
        <w:rPr>
          <w:rFonts w:ascii="Lato" w:hAnsi="Lato"/>
          <w:sz w:val="20"/>
          <w:szCs w:val="20"/>
        </w:rPr>
        <w:t> </w:t>
      </w:r>
      <w:r w:rsidRPr="00664EC4">
        <w:rPr>
          <w:rFonts w:ascii="Lato" w:hAnsi="Lato"/>
          <w:sz w:val="20"/>
          <w:szCs w:val="20"/>
        </w:rPr>
        <w:t>ewidencji składników majątkowych Instytutu</w:t>
      </w:r>
      <w:r w:rsidRPr="00664EC4">
        <w:rPr>
          <w:rFonts w:ascii="Lato" w:hAnsi="Lato" w:cstheme="minorHAnsi"/>
          <w:sz w:val="20"/>
          <w:szCs w:val="20"/>
        </w:rPr>
        <w:t>.</w:t>
      </w:r>
    </w:p>
    <w:p w:rsidR="00664EC4" w:rsidRPr="00664EC4" w:rsidRDefault="00664EC4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60"/>
        <w:rPr>
          <w:rFonts w:ascii="Lato" w:hAnsi="Lato" w:cs="Calibri"/>
          <w:iCs/>
          <w:sz w:val="20"/>
          <w:szCs w:val="20"/>
        </w:rPr>
      </w:pPr>
      <w:r>
        <w:rPr>
          <w:rFonts w:ascii="Lato" w:hAnsi="Lato" w:cs="Calibri"/>
          <w:iCs/>
          <w:sz w:val="20"/>
          <w:szCs w:val="20"/>
        </w:rPr>
        <w:t xml:space="preserve">Za </w:t>
      </w:r>
      <w:r>
        <w:rPr>
          <w:rFonts w:ascii="Lato" w:hAnsi="Lato" w:cs="Calibri"/>
          <w:b/>
          <w:iCs/>
          <w:sz w:val="20"/>
          <w:szCs w:val="20"/>
        </w:rPr>
        <w:t xml:space="preserve">uchybienia </w:t>
      </w:r>
      <w:r>
        <w:rPr>
          <w:rFonts w:ascii="Lato" w:hAnsi="Lato" w:cs="Calibri"/>
          <w:iCs/>
          <w:sz w:val="20"/>
          <w:szCs w:val="20"/>
        </w:rPr>
        <w:t>uznano:</w:t>
      </w:r>
    </w:p>
    <w:p w:rsidR="00664EC4" w:rsidRPr="00664EC4" w:rsidRDefault="00664EC4" w:rsidP="00733D41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>odtworzenie elektronicznego rejestru przyjętych rzeczowych składników majątku (</w:t>
      </w:r>
      <w:r w:rsidRPr="00664EC4">
        <w:rPr>
          <w:rFonts w:ascii="Lato" w:hAnsi="Lato" w:cstheme="minorHAnsi"/>
          <w:i/>
          <w:color w:val="000000" w:themeColor="text1"/>
          <w:sz w:val="20"/>
          <w:szCs w:val="20"/>
        </w:rPr>
        <w:t>Rejestr darowizn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) w sposób nierzetelny;</w:t>
      </w:r>
    </w:p>
    <w:p w:rsidR="00664EC4" w:rsidRPr="00664EC4" w:rsidRDefault="00664EC4" w:rsidP="00733D41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60" w:line="259" w:lineRule="auto"/>
        <w:ind w:left="426"/>
        <w:contextualSpacing w:val="0"/>
        <w:rPr>
          <w:rFonts w:ascii="Lato" w:hAnsi="Lato" w:cs="Calibri"/>
          <w:iCs/>
          <w:color w:val="000000" w:themeColor="text1"/>
          <w:sz w:val="20"/>
          <w:szCs w:val="20"/>
        </w:rPr>
      </w:pPr>
      <w:r w:rsidRPr="00664EC4">
        <w:rPr>
          <w:rFonts w:ascii="Lato" w:hAnsi="Lato" w:cs="Calibri"/>
          <w:iCs/>
          <w:color w:val="000000" w:themeColor="text1"/>
          <w:sz w:val="20"/>
          <w:szCs w:val="20"/>
        </w:rPr>
        <w:t xml:space="preserve">niezaakceptowanie/niezatwierdzenie </w:t>
      </w:r>
      <w:r w:rsidRPr="00664EC4">
        <w:rPr>
          <w:rFonts w:ascii="Lato" w:hAnsi="Lato" w:cs="Calibri"/>
          <w:i/>
          <w:iCs/>
          <w:color w:val="000000" w:themeColor="text1"/>
          <w:sz w:val="20"/>
          <w:szCs w:val="20"/>
        </w:rPr>
        <w:t>protokołów zdawczo-odbiorczych</w:t>
      </w:r>
      <w:r w:rsidRPr="00664EC4">
        <w:rPr>
          <w:rFonts w:ascii="Lato" w:hAnsi="Lato" w:cs="Calibri"/>
          <w:iCs/>
          <w:color w:val="000000" w:themeColor="text1"/>
          <w:sz w:val="20"/>
          <w:szCs w:val="20"/>
        </w:rPr>
        <w:t xml:space="preserve"> </w:t>
      </w:r>
      <w:r w:rsidRPr="00664EC4">
        <w:rPr>
          <w:rFonts w:ascii="Lato" w:hAnsi="Lato"/>
          <w:sz w:val="20"/>
          <w:szCs w:val="20"/>
        </w:rPr>
        <w:t>otrzymanych darowizn</w:t>
      </w:r>
      <w:r w:rsidRPr="00664EC4">
        <w:rPr>
          <w:rFonts w:ascii="Lato" w:hAnsi="Lato" w:cs="Calibri"/>
          <w:iCs/>
          <w:color w:val="000000" w:themeColor="text1"/>
          <w:sz w:val="20"/>
          <w:szCs w:val="20"/>
        </w:rPr>
        <w:t xml:space="preserve"> przez Dyrektora PIM MSWiA;</w:t>
      </w:r>
    </w:p>
    <w:p w:rsidR="00664EC4" w:rsidRPr="00644DB9" w:rsidRDefault="00664EC4" w:rsidP="00733D41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120" w:line="259" w:lineRule="auto"/>
        <w:ind w:left="425" w:hanging="357"/>
        <w:contextualSpacing w:val="0"/>
        <w:rPr>
          <w:rFonts w:ascii="Lato" w:hAnsi="Lato" w:cstheme="minorHAnsi"/>
          <w:b/>
          <w:color w:val="000000" w:themeColor="text1"/>
        </w:rPr>
      </w:pP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niezaktualizowanie </w:t>
      </w:r>
      <w:r w:rsidRPr="00664EC4">
        <w:rPr>
          <w:rFonts w:ascii="Lato" w:hAnsi="Lato" w:cstheme="minorHAnsi"/>
          <w:i/>
          <w:iCs/>
          <w:color w:val="000000" w:themeColor="text1"/>
          <w:sz w:val="20"/>
          <w:szCs w:val="20"/>
        </w:rPr>
        <w:t xml:space="preserve">Procedury gospodarowania składnikami majątkowymi i ewidencji 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w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>zakresie usunięcia</w:t>
      </w:r>
      <w:r w:rsidRPr="00664EC4">
        <w:rPr>
          <w:rFonts w:ascii="Lato" w:hAnsi="Lato" w:cstheme="minorHAnsi"/>
          <w:i/>
          <w:iCs/>
          <w:color w:val="000000" w:themeColor="text1"/>
          <w:sz w:val="20"/>
          <w:szCs w:val="20"/>
        </w:rPr>
        <w:t xml:space="preserve">, 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po </w:t>
      </w:r>
      <w:r w:rsidRPr="00664EC4">
        <w:rPr>
          <w:rFonts w:ascii="Lato" w:hAnsi="Lato"/>
          <w:sz w:val="20"/>
          <w:szCs w:val="20"/>
        </w:rPr>
        <w:t>przekształceniu Centralnego Szpitala Klinicznego MSWiA w</w:t>
      </w:r>
      <w:r w:rsidR="00694C05">
        <w:rPr>
          <w:rFonts w:ascii="Lato" w:hAnsi="Lato"/>
          <w:sz w:val="20"/>
          <w:szCs w:val="20"/>
        </w:rPr>
        <w:t> </w:t>
      </w:r>
      <w:r w:rsidRPr="00664EC4">
        <w:rPr>
          <w:rFonts w:ascii="Lato" w:hAnsi="Lato"/>
          <w:sz w:val="20"/>
          <w:szCs w:val="20"/>
        </w:rPr>
        <w:t>Warszawie w Instytut</w:t>
      </w:r>
      <w:r w:rsidRPr="00664EC4">
        <w:rPr>
          <w:rStyle w:val="Odwoanieprzypisudolnego"/>
          <w:rFonts w:ascii="Lato" w:hAnsi="Lato"/>
          <w:sz w:val="20"/>
          <w:szCs w:val="20"/>
        </w:rPr>
        <w:footnoteReference w:id="8"/>
      </w:r>
      <w:r w:rsidRPr="00664EC4">
        <w:rPr>
          <w:rFonts w:ascii="Lato" w:hAnsi="Lato"/>
          <w:sz w:val="20"/>
          <w:szCs w:val="20"/>
        </w:rPr>
        <w:t>,</w:t>
      </w:r>
      <w:r w:rsidRPr="00664EC4">
        <w:rPr>
          <w:rFonts w:ascii="Lato" w:hAnsi="Lato" w:cstheme="minorHAnsi"/>
          <w:color w:val="000000" w:themeColor="text1"/>
          <w:sz w:val="20"/>
          <w:szCs w:val="20"/>
        </w:rPr>
        <w:t xml:space="preserve"> wymogu opiniowania przez Radę Społeczną przyjęcia darowizny nowej aparatury i sprzętu medycznego</w:t>
      </w:r>
      <w:r w:rsidRPr="00D513C7">
        <w:rPr>
          <w:rFonts w:ascii="Lato" w:hAnsi="Lato" w:cstheme="minorHAnsi"/>
          <w:color w:val="000000" w:themeColor="text1"/>
        </w:rPr>
        <w:t xml:space="preserve">. </w:t>
      </w:r>
    </w:p>
    <w:p w:rsidR="00694C05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lastRenderedPageBreak/>
        <w:t>Negatywnie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oceniono współpracę z Fundacją oraz działania podejmowane w PIM MSWiA w zakresie pozyskiwania środków finansowych na sprzęt jednorazowy do przeprowadzania operacji z wykorzystaniem robota da Vinci. </w:t>
      </w:r>
      <w:r w:rsidRPr="00CA4B77">
        <w:rPr>
          <w:rFonts w:ascii="Lato" w:hAnsi="Lato" w:cstheme="minorHAnsi"/>
          <w:b/>
          <w:color w:val="000000" w:themeColor="text1"/>
          <w:sz w:val="20"/>
          <w:szCs w:val="20"/>
        </w:rPr>
        <w:t>Na ocenę negatywną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tego obszaru wpłynęły działania podejmowane przez Kierownika Kliniki Chirurgii Gastroenterologicznej i Transplantologii CSK/PIM MSWiA w zakresie apelowania do pacjentów i/lub ich rodzin o wpłaty darowizn na rzecz Fundacji przy Centralnym Szpitalu Klinicznym MSWiA w Warszawie, która za pozyskane w ten sposób środki finansowe zakupywała m.in. akcesoria do robota da Vinci, a następnie przekazywała je na rzecz Instytutu. Ówczesny Dyrektor CSK/PIM MSWiA wyrażając zgodę na wsparcie Fundacji w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zakupie akcesoriów do robota nie wykazał zainteresowania w zakresie okoliczności pozyskiwania środków na akcesoria do robota da Vinci, co świadczyło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o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niewystarczającym nadzorze. Niedostateczny nadzór nad sposobem pozyskiwania środków na operacje robotem da Vinci uznano za </w:t>
      </w: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, która negatywnie wp</w:t>
      </w:r>
      <w:r w:rsidR="00E17A0F">
        <w:rPr>
          <w:rFonts w:ascii="Lato" w:hAnsi="Lato" w:cstheme="minorHAnsi"/>
          <w:color w:val="000000" w:themeColor="text1"/>
          <w:sz w:val="20"/>
          <w:szCs w:val="20"/>
        </w:rPr>
        <w:t>łynęła na wizerunek Instytutu.</w:t>
      </w:r>
    </w:p>
    <w:p w:rsidR="00644DB9" w:rsidRPr="00644DB9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Jednostka kontrolowana w badanym okresie nie wdrożyła rozwiązań organizacyjnych umożliwiających skuteczne nadzorowanie środków trwałych. PIM MSWiA nie dysponował powierzchnią magazynową, która umożliwiałaby relokowanie składników majątku na czas trwających w badanym okresie prac remontowych/modernizacyjnych oraz termomodernizacji obiektu, dlatego korzystano z rozwiązań tymczasowych, wygospodarowując wolne przestrzenie magazynowe w budynkach PIM i w zewnętrznych kontenerach mobilnych. Skuteczny nadzór nad przechowywanym w ten sposób majątkiem utrudniało niesporządzenie wykazów magazynowanego sprzętu, a także nieokreślenie zasad dostępu do tymczasowych miejsc przechowywania składników majątku. W efekcie dostęp do składników majątku mogły mieć inne osoby niż odpowiedzialne za nadzór nad nimi, co uznane zostało za </w:t>
      </w: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. Za </w:t>
      </w: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również nieprzeprowadzenie analizy warunków środowiskowych dla sposobu przechowywania pełnowartościowych urządzeń medycznych w pomieszczeniach tymczasowych i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mobi</w:t>
      </w:r>
      <w:r w:rsidR="00E17A0F">
        <w:rPr>
          <w:rFonts w:ascii="Lato" w:hAnsi="Lato" w:cstheme="minorHAnsi"/>
          <w:color w:val="000000" w:themeColor="text1"/>
          <w:sz w:val="20"/>
          <w:szCs w:val="20"/>
        </w:rPr>
        <w:t xml:space="preserve">lnych kontenerach zewnętrznych. 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Dla obecnych miejsc przechowywania aparatury medycznej, w stosunku do których prowadzona jest ewidencja kluczy, stwierdzono </w:t>
      </w: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polegającą na niewskazaniu osób uprawnionych do dostępu do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utworzonego w lutym 2025 r. tymczasowego pomieszczenia magazynowego w</w:t>
      </w:r>
      <w:r w:rsidR="00694C05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budynku „AG”. Ponadto, jako </w:t>
      </w:r>
      <w:r w:rsidRPr="00134F2F">
        <w:rPr>
          <w:rFonts w:ascii="Lato" w:hAnsi="Lato" w:cstheme="minorHAnsi"/>
          <w:b/>
          <w:color w:val="000000" w:themeColor="text1"/>
          <w:sz w:val="20"/>
          <w:szCs w:val="20"/>
        </w:rPr>
        <w:t>uchybienie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oceniono przypadek nieudokumentowania, pobrania klucza do ww. pomieszczenia, w przeznaczonej do tego ewidencji.</w:t>
      </w:r>
    </w:p>
    <w:p w:rsidR="007D35E8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Za </w:t>
      </w:r>
      <w:r w:rsidRPr="003021C6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niezapewnienie wystarczającego nadzoru podczas przewożenia sprzętu i aparatury medycznej ze zlikwidowanego Szpitala Tymczasowego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na Stadionie Narodowym. Proces ten nie został należycie skoordynowany, bowiem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w tamtym czasie nie sporządzono dokumentacji zdawczo-odbiorczej środków trwałych przewożonych na teren ówczesnego CSK. Nie sporządzono również dokumentacji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z późniejszej relokacji tych środków do tymczasowych miejsc składowania, co także uznano za </w:t>
      </w:r>
      <w:r w:rsidRPr="003021C6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. Nadzór nad majątkiem otrzymanym podczas pandemii COVID-19 utrudniało jednostce przekazywanie przez Agencję Rezerw Materiałowych/Rządową Agencji Rezerw Strategicznych składników majątkowych bez określenia ich cech identyfikacyjnych takich jak nr fabryczny/seryjny. Powyższe nie zwalniało jednak Kierownictwa CSK/PIM z obowiązku właściwego zaewidencjonowania urządzeń i skutecznego nadzoru nad nimi. Przewiezione ze Szpitala Tymczasowego urządzenia medyczne zostały spisane dopiero w pierwszym kwartale 2025 r., a od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1 kwietnia 2025 r. Dział Inżynierii Medycznej rozpoczął prowadzenie ewidencji pozabilansowej sprzętu i aparatury medycznej. Za </w:t>
      </w:r>
      <w:r w:rsidRPr="003021C6">
        <w:rPr>
          <w:rFonts w:ascii="Lato" w:hAnsi="Lato" w:cstheme="minorHAnsi"/>
          <w:b/>
          <w:color w:val="000000" w:themeColor="text1"/>
          <w:sz w:val="20"/>
          <w:szCs w:val="20"/>
        </w:rPr>
        <w:t>uchybienie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jednak nie</w:t>
      </w:r>
      <w:r w:rsidR="007873A7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odzwierciedlenie w powyższej ewidencji faktycznej lokalizacji urządzeń magazynowanych 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lastRenderedPageBreak/>
        <w:t>w kontenerach, wskazując - w związku z planowym ich przenies</w:t>
      </w:r>
      <w:r w:rsidR="00E17A0F">
        <w:rPr>
          <w:rFonts w:ascii="Lato" w:hAnsi="Lato" w:cstheme="minorHAnsi"/>
          <w:color w:val="000000" w:themeColor="text1"/>
          <w:sz w:val="20"/>
          <w:szCs w:val="20"/>
        </w:rPr>
        <w:t xml:space="preserve">ieniem - lokalizację docelową. </w:t>
      </w:r>
    </w:p>
    <w:p w:rsidR="007D35E8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Za </w:t>
      </w:r>
      <w:r w:rsidRPr="00E17A0F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także dokonanie utylizacji zużytych składników majątku bez uprzedniego sporządzenia przez Komisję ds. Wybrakowania dokumentacji wymaganej do wykreślenia środków trwałych z ewi</w:t>
      </w:r>
      <w:r w:rsidR="00134F2F">
        <w:rPr>
          <w:rFonts w:ascii="Lato" w:hAnsi="Lato" w:cstheme="minorHAnsi"/>
          <w:color w:val="000000" w:themeColor="text1"/>
          <w:sz w:val="20"/>
          <w:szCs w:val="20"/>
        </w:rPr>
        <w:t xml:space="preserve">dencji ilościowo-wartościowej. </w:t>
      </w:r>
    </w:p>
    <w:p w:rsidR="00644DB9" w:rsidRPr="00644DB9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644DB9">
        <w:rPr>
          <w:rFonts w:ascii="Lato" w:hAnsi="Lato" w:cstheme="minorHAnsi"/>
          <w:color w:val="000000" w:themeColor="text1"/>
          <w:sz w:val="20"/>
          <w:szCs w:val="20"/>
        </w:rPr>
        <w:t>Obowiązujący w jednostce kontrolowanej system nadzoru nie dawał rękojmi właściwego zabezpieczenia składników majątku, co potwierdza ujawnienie w okresie objętym kontrolą kradzieży sprzętu medycznego przechowywanego w tymczasowy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t>ch pomieszczeniach magazynowych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, o łącznej wartości 380 475,84 zł. W przypadku części urządzeń objętych złożonym w lutym 2025 r. zawiadomieniem o kradzieży, do ujawnienia ich utraty doszło znacznie wcześniej (maj 2023 r.; grudzień 2023 r.; grudzień 2024 r.), jednak pomimo niejasnych okoliczności utraty nie dopełniono procedury, jaka powinna zostać zastosowana w przypadku podejrzenia kradzieży. Natomiast w przedmiocie części urządzeń Instytut powziął wiedzę o ich braku dopiero po otrzymaniu informacji z Policji. W</w:t>
      </w:r>
      <w:r w:rsidR="007D35E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czasie ujawnienia przez pracowników Instytutu braku urządzeń w dwóch przypadkach, co do których początkowo nie było pewności odnośnie przyczyn ich zaginięcia, nie sporządzono i nie przekazano do Dyrektora - wymaganej na podstawie § 21 ust. 3 </w:t>
      </w:r>
      <w:r w:rsidRPr="00733D41">
        <w:rPr>
          <w:rFonts w:ascii="Lato" w:hAnsi="Lato" w:cstheme="minorHAnsi"/>
          <w:i/>
          <w:color w:val="000000" w:themeColor="text1"/>
          <w:sz w:val="20"/>
          <w:szCs w:val="20"/>
        </w:rPr>
        <w:t>Procedury gospodarowania składnikami majątkowymi i ewidencji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- notatki służbowej opisującej szkodę, co uznano za </w:t>
      </w:r>
      <w:r w:rsidRPr="003021C6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. Natomiast w jednym przypadku, w</w:t>
      </w:r>
      <w:r w:rsidR="007D35E8">
        <w:rPr>
          <w:rFonts w:ascii="Lato" w:hAnsi="Lato" w:cstheme="minorHAnsi"/>
          <w:color w:val="000000" w:themeColor="text1"/>
          <w:sz w:val="20"/>
          <w:szCs w:val="20"/>
        </w:rPr>
        <w:t> 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którym taka notatka powstała i została przekazana Dyrekcji PIM, jej treść wskazywała jedynie na brak możliwości jednoznacznego potwierdzenia utraty urządzeń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i konieczność dokonania dalszych ustaleń w tym zakresie. Utrata objętych zawiadomieniem urządzeń została potwierdzona przez Komisję ds. Likwidacji Szkód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w protokołach z prac tej Komisji z 29 stycznia 2024 r., 11 lipca 2024 r., 11 grudnia 2024 r., jednak pomimo zatwierdzenia przedmiotowych dokumentów Kierownictwo PIM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nie podjęło wówczas decyzji o zawiadomieniu organów ścigania. Jednocześnie, z uwagi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na rozpoczętą dopiero w 2025 r. inwentaryzację urządzeń medycznych i trwające ustalanie źródła pochodzenia urządzeń, jednostka kontrolowana nie mogła stwierdzić, </w:t>
      </w:r>
      <w:r w:rsidR="002A3366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czy zawiadomieniem zostały objęte wszystkie utracone urządzenia. Z jednej z Klinik zaginęły bowiem 3 aparaty AIRVO 2, a zawiadomieniem objęto jedynie 2 z nich. Mając na uwadze powyższe, brak zdecydowanych działań służących wyjaśnieniu okoliczności utraty i opóźnienia w złożeniu zawiadomienia o możliwości popełnienia czynu zabronionego uznano za </w:t>
      </w:r>
      <w:r w:rsidRPr="00EC49F8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>. Wpływ na brak zdecydowanych działań ze strony jednostki kontrolowanej mogło mieć nienależyte ewidencjowanie sprzętu oraz niezapewnienie wystarczającego nadzoru nad posiadanym sprzętem.</w:t>
      </w:r>
    </w:p>
    <w:p w:rsidR="001B57F6" w:rsidRPr="00FB1A93" w:rsidRDefault="00644DB9" w:rsidP="00733D4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Lato" w:hAnsi="Lato" w:cstheme="minorHAnsi"/>
          <w:color w:val="000000" w:themeColor="text1"/>
          <w:sz w:val="20"/>
          <w:szCs w:val="20"/>
        </w:rPr>
      </w:pPr>
      <w:r w:rsidRPr="00EC49F8">
        <w:rPr>
          <w:rFonts w:ascii="Lato" w:hAnsi="Lato" w:cstheme="minorHAnsi"/>
          <w:b/>
          <w:color w:val="000000" w:themeColor="text1"/>
          <w:sz w:val="20"/>
          <w:szCs w:val="20"/>
        </w:rPr>
        <w:t xml:space="preserve">Negatywnie 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należy ocenić sposób rozliczania niedoborów powstałych na skutek szkody </w:t>
      </w:r>
      <w:r w:rsidR="007C2FDF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w majątku, a nadzór Kierownictwa PIM nad pracą Komisji do Spraw Likwidacji Szkód realizującej te zadanie należy uznać za niewystarczający. Nieprawidłowościom powstałym w badanym obszarze sprzyjał brak szczegółowych procedur dotyczących pracy Komisji </w:t>
      </w:r>
      <w:r w:rsidR="007C2FDF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ds. Likwidacji Szkód i dochodzenia ewentualnych roszczeń. Działania Komisji ds. Likwidacji Szkód, co do zasady, polegały wyłącznie na potwierdzeniu zaginięcia składnika majątku, sporządzeniu i przedstawieniu protokołu z posiedzenia Komisji do zatwierdzenia Dyrektorowi lub jego Zastępcy. Nie przeprowadzano i nie dokumentowano czynności dowodowych w ramach prowadzonych postępowań, a Komisja przedstawiała wnioski dotyczące wykreślenia rzeczowych składników majątku z ewidencji, bez formułowania wniosków w przedmiocie odpowiedzialności materialnej pracownika, czy też, zgodnie </w:t>
      </w:r>
      <w:r w:rsidR="007C2FDF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z dyspozycją § 21 ust. 4 i 5 </w:t>
      </w:r>
      <w:r w:rsidRPr="00733D41">
        <w:rPr>
          <w:rFonts w:ascii="Lato" w:hAnsi="Lato" w:cstheme="minorHAnsi"/>
          <w:i/>
          <w:color w:val="000000" w:themeColor="text1"/>
          <w:sz w:val="20"/>
          <w:szCs w:val="20"/>
        </w:rPr>
        <w:t xml:space="preserve">Procedury gospodarowania składnikami majątkowymi </w:t>
      </w:r>
      <w:r w:rsidR="007C2FDF" w:rsidRPr="00733D41">
        <w:rPr>
          <w:rFonts w:ascii="Lato" w:hAnsi="Lato" w:cstheme="minorHAnsi"/>
          <w:i/>
          <w:color w:val="000000" w:themeColor="text1"/>
          <w:sz w:val="20"/>
          <w:szCs w:val="20"/>
        </w:rPr>
        <w:br/>
      </w:r>
      <w:r w:rsidRPr="00733D41">
        <w:rPr>
          <w:rFonts w:ascii="Lato" w:hAnsi="Lato" w:cstheme="minorHAnsi"/>
          <w:i/>
          <w:color w:val="000000" w:themeColor="text1"/>
          <w:sz w:val="20"/>
          <w:szCs w:val="20"/>
        </w:rPr>
        <w:t>i ewidencji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– odpowiednio – konieczności złożenia zawiadomienia o możliwości popełnienia czynu zabronionego, czy zgłoszenia szkody do ubezpieczyciela. </w:t>
      </w:r>
      <w:r w:rsidR="007C2FDF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lastRenderedPageBreak/>
        <w:t xml:space="preserve">W kontrolowanym okresie Komisja ds. Likwidacji Szkód pracowała w oparciu o cechującą się dużym stopniem ogólności i niedostosowaną do potrzeb Instytutu decyzję nr 53/06 Dyrektora CSK MSWiA w Warszawie z dnia 10 listopada 2006 r., a działania dotyczące opracowania nowych regulacji rozpoczęto dopiero na skutek prowadzonych czynności kontrolnych. Za </w:t>
      </w:r>
      <w:r w:rsidRPr="00EC49F8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nieuzyskiwanie do formułowanych przez Komisję wniosków - wymaganej zgodnie z § 2 decyzji nr 53/06 - opinii radcy prawnego </w:t>
      </w:r>
      <w:r w:rsidR="007C2FDF">
        <w:rPr>
          <w:rFonts w:ascii="Lato" w:hAnsi="Lato" w:cstheme="minorHAnsi"/>
          <w:color w:val="000000" w:themeColor="text1"/>
          <w:sz w:val="20"/>
          <w:szCs w:val="20"/>
        </w:rPr>
        <w:br/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i Głównego Księgowego. Za </w:t>
      </w:r>
      <w:r w:rsidRPr="00EC49F8">
        <w:rPr>
          <w:rFonts w:ascii="Lato" w:hAnsi="Lato" w:cstheme="minorHAnsi"/>
          <w:b/>
          <w:color w:val="000000" w:themeColor="text1"/>
          <w:sz w:val="20"/>
          <w:szCs w:val="20"/>
        </w:rPr>
        <w:t>nieprawidłowość</w:t>
      </w:r>
      <w:r w:rsidRPr="00644DB9">
        <w:rPr>
          <w:rFonts w:ascii="Lato" w:hAnsi="Lato" w:cstheme="minorHAnsi"/>
          <w:color w:val="000000" w:themeColor="text1"/>
          <w:sz w:val="20"/>
          <w:szCs w:val="20"/>
        </w:rPr>
        <w:t xml:space="preserve"> uznano również niewycenianie przez Komisję ds. Likwidacji Szkód wszystkich składników majątku poddawanego procedurze szkodowej oraz wycenianie składników majątku w sposób niezgodny z regulacjami wewnętrznymi PIM, a także niesporządzanie dla składników majątku utraconych w wyniku szkody, zatwierdzonych przez kierownika jednostki lub osobę przez niego wyznaczoną dowodów LT.  </w:t>
      </w:r>
    </w:p>
    <w:p w:rsidR="00F3510A" w:rsidRPr="00F718AD" w:rsidRDefault="00F3510A" w:rsidP="00733D41">
      <w:pPr>
        <w:spacing w:after="0"/>
        <w:rPr>
          <w:rFonts w:ascii="Lato" w:hAnsi="Lato"/>
          <w:sz w:val="20"/>
          <w:szCs w:val="20"/>
          <w:lang w:eastAsia="pl-PL"/>
        </w:rPr>
      </w:pPr>
    </w:p>
    <w:p w:rsidR="009A1EA0" w:rsidRPr="001B0B04" w:rsidRDefault="009A1EA0" w:rsidP="00733D41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1B0B04">
        <w:rPr>
          <w:rFonts w:ascii="Lato" w:hAnsi="Lato"/>
          <w:b/>
          <w:sz w:val="20"/>
          <w:szCs w:val="20"/>
        </w:rPr>
        <w:t>Wnioski i zalecenia pokontrolne</w:t>
      </w:r>
    </w:p>
    <w:p w:rsidR="001F0751" w:rsidRDefault="001F0751" w:rsidP="00D00435">
      <w:pPr>
        <w:spacing w:after="120"/>
        <w:rPr>
          <w:rFonts w:ascii="Lato" w:hAnsi="Lato"/>
          <w:sz w:val="20"/>
          <w:szCs w:val="20"/>
          <w:u w:val="single"/>
        </w:rPr>
      </w:pPr>
      <w:r w:rsidRPr="00E47A36">
        <w:rPr>
          <w:rFonts w:ascii="Lato" w:hAnsi="Lato"/>
          <w:sz w:val="20"/>
          <w:szCs w:val="20"/>
        </w:rPr>
        <w:t>W związku ze stwierdzonymi nieprawidłowościami i uchybieniami oraz celem usprawnienia funkcjo</w:t>
      </w:r>
      <w:r w:rsidR="00EA02AF" w:rsidRPr="00E47A36">
        <w:rPr>
          <w:rFonts w:ascii="Lato" w:hAnsi="Lato"/>
          <w:sz w:val="20"/>
          <w:szCs w:val="20"/>
        </w:rPr>
        <w:t>nowania jednostki kontrolowanej</w:t>
      </w:r>
      <w:r w:rsidRPr="00E47A36">
        <w:rPr>
          <w:rFonts w:ascii="Lato" w:hAnsi="Lato"/>
          <w:sz w:val="20"/>
          <w:szCs w:val="20"/>
        </w:rPr>
        <w:t xml:space="preserve"> </w:t>
      </w:r>
      <w:r w:rsidRPr="00E47A36">
        <w:rPr>
          <w:rFonts w:ascii="Lato" w:hAnsi="Lato"/>
          <w:sz w:val="20"/>
          <w:szCs w:val="20"/>
          <w:u w:val="single"/>
        </w:rPr>
        <w:t>zalecono</w:t>
      </w:r>
      <w:r w:rsidR="00E47A36" w:rsidRPr="00E47A36">
        <w:rPr>
          <w:rFonts w:ascii="Lato" w:hAnsi="Lato"/>
          <w:sz w:val="20"/>
          <w:szCs w:val="20"/>
          <w:u w:val="single"/>
        </w:rPr>
        <w:t xml:space="preserve"> i wnioskowano o</w:t>
      </w:r>
      <w:r w:rsidRPr="00E47A36">
        <w:rPr>
          <w:rFonts w:ascii="Lato" w:hAnsi="Lato"/>
          <w:sz w:val="20"/>
          <w:szCs w:val="20"/>
          <w:u w:val="single"/>
        </w:rPr>
        <w:t>:</w:t>
      </w:r>
    </w:p>
    <w:p w:rsidR="00E47A36" w:rsidRPr="00E47A36" w:rsidRDefault="00E47A36" w:rsidP="00694C05">
      <w:pPr>
        <w:spacing w:after="120"/>
        <w:rPr>
          <w:rFonts w:ascii="Lato" w:hAnsi="Lato"/>
          <w:b/>
          <w:sz w:val="20"/>
          <w:szCs w:val="20"/>
          <w:u w:val="single"/>
        </w:rPr>
      </w:pPr>
      <w:r w:rsidRPr="00E47A36">
        <w:rPr>
          <w:rFonts w:ascii="Lato" w:hAnsi="Lato"/>
          <w:b/>
          <w:sz w:val="20"/>
          <w:szCs w:val="20"/>
          <w:u w:val="single"/>
        </w:rPr>
        <w:t>Zalecenia:</w:t>
      </w:r>
    </w:p>
    <w:p w:rsidR="002A74C1" w:rsidRPr="004D5301" w:rsidRDefault="00FB1A93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FB1A93">
        <w:rPr>
          <w:rFonts w:ascii="Lato" w:hAnsi="Lato"/>
          <w:sz w:val="20"/>
          <w:szCs w:val="20"/>
          <w:lang w:eastAsia="ar-SA"/>
        </w:rPr>
        <w:t xml:space="preserve">Dokonanie przeglądu i aktualizacji procedur wewnętrznych dotyczących gospodarowania składnikami majątku i inwentaryzacji tj.: </w:t>
      </w:r>
      <w:r w:rsidRPr="00733D41">
        <w:rPr>
          <w:rFonts w:ascii="Lato" w:hAnsi="Lato"/>
          <w:i/>
          <w:sz w:val="20"/>
          <w:szCs w:val="20"/>
          <w:lang w:eastAsia="ar-SA"/>
        </w:rPr>
        <w:t>Procedury - Gospodarowanie składnikami majątkowymi i ewidencji oraz zasad odpowiedzialności majątkowej, służbowej lub merytorycznej za składniki majątkowe CSK MSWiA w Warszawie</w:t>
      </w:r>
      <w:r w:rsidRPr="00FB1A93">
        <w:rPr>
          <w:rFonts w:ascii="Lato" w:hAnsi="Lato"/>
          <w:sz w:val="20"/>
          <w:szCs w:val="20"/>
          <w:lang w:eastAsia="ar-SA"/>
        </w:rPr>
        <w:t xml:space="preserve"> z 31 grudnia 2020 r., </w:t>
      </w:r>
      <w:r w:rsidRPr="00733D41">
        <w:rPr>
          <w:rFonts w:ascii="Lato" w:hAnsi="Lato"/>
          <w:i/>
          <w:sz w:val="20"/>
          <w:szCs w:val="20"/>
          <w:lang w:eastAsia="ar-SA"/>
        </w:rPr>
        <w:t xml:space="preserve">Procedury - Nadzór nad aparaturą medyczną </w:t>
      </w:r>
      <w:r w:rsidRPr="009E0D6E">
        <w:rPr>
          <w:rFonts w:ascii="Lato" w:hAnsi="Lato"/>
          <w:sz w:val="20"/>
          <w:szCs w:val="20"/>
          <w:lang w:eastAsia="ar-SA"/>
        </w:rPr>
        <w:t xml:space="preserve">z 8 lutego 2022 r., </w:t>
      </w:r>
      <w:r w:rsidRPr="00733D41">
        <w:rPr>
          <w:rFonts w:ascii="Lato" w:hAnsi="Lato"/>
          <w:i/>
          <w:sz w:val="20"/>
          <w:szCs w:val="20"/>
          <w:lang w:eastAsia="ar-SA"/>
        </w:rPr>
        <w:t>Instrukcji - Przeprowadzanie inwentaryzacji w CSK MSWiA w Warszawie</w:t>
      </w:r>
      <w:r w:rsidRPr="00FB1A93">
        <w:rPr>
          <w:rFonts w:ascii="Lato" w:hAnsi="Lato"/>
          <w:sz w:val="20"/>
          <w:szCs w:val="20"/>
          <w:lang w:eastAsia="ar-SA"/>
        </w:rPr>
        <w:t xml:space="preserve"> z 31 grudnia 2020 r., w</w:t>
      </w:r>
      <w:r w:rsidR="009E0D6E">
        <w:rPr>
          <w:rFonts w:ascii="Lato" w:hAnsi="Lato"/>
          <w:sz w:val="20"/>
          <w:szCs w:val="20"/>
          <w:lang w:eastAsia="ar-SA"/>
        </w:rPr>
        <w:t> </w:t>
      </w:r>
      <w:r w:rsidRPr="00FB1A93">
        <w:rPr>
          <w:rFonts w:ascii="Lato" w:hAnsi="Lato"/>
          <w:sz w:val="20"/>
          <w:szCs w:val="20"/>
          <w:lang w:eastAsia="ar-SA"/>
        </w:rPr>
        <w:t>zakresie zmian w nazewnictwie i kompetencjach komórek organizacyjnych wprowadzonych po utworzeniu Instytutu oraz ewentualnych innych zmian dostosowujących i doprecyzowujących te procedury.</w:t>
      </w:r>
    </w:p>
    <w:p w:rsidR="002A74C1" w:rsidRPr="004D5301" w:rsidRDefault="005447AC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5447AC">
        <w:rPr>
          <w:rFonts w:ascii="Lato" w:hAnsi="Lato"/>
          <w:sz w:val="20"/>
          <w:szCs w:val="20"/>
          <w:lang w:eastAsia="ar-SA"/>
        </w:rPr>
        <w:t xml:space="preserve">Dokonanie formalnego uchylenia </w:t>
      </w:r>
      <w:r w:rsidRPr="00733D41">
        <w:rPr>
          <w:rFonts w:ascii="Lato" w:hAnsi="Lato"/>
          <w:i/>
          <w:sz w:val="20"/>
          <w:szCs w:val="20"/>
          <w:lang w:eastAsia="ar-SA"/>
        </w:rPr>
        <w:t>Instrukcji zakładowej w sprawie inwentaryzacji aktywów i pasywów (metodami spisu z natury, uzgadniania stanów oraz metodą weryfikacji)</w:t>
      </w:r>
      <w:r w:rsidRPr="005447AC">
        <w:rPr>
          <w:rFonts w:ascii="Lato" w:hAnsi="Lato"/>
          <w:sz w:val="20"/>
          <w:szCs w:val="20"/>
          <w:lang w:eastAsia="ar-SA"/>
        </w:rPr>
        <w:t xml:space="preserve"> </w:t>
      </w:r>
      <w:r w:rsidRPr="00733D41">
        <w:rPr>
          <w:rFonts w:ascii="Lato" w:hAnsi="Lato"/>
          <w:i/>
          <w:sz w:val="20"/>
          <w:szCs w:val="20"/>
          <w:lang w:eastAsia="ar-SA"/>
        </w:rPr>
        <w:t xml:space="preserve">w </w:t>
      </w:r>
      <w:r w:rsidR="002A74C1" w:rsidRPr="00733D41">
        <w:rPr>
          <w:rFonts w:ascii="Lato" w:hAnsi="Lato"/>
          <w:i/>
          <w:sz w:val="20"/>
          <w:szCs w:val="20"/>
          <w:lang w:eastAsia="ar-SA"/>
        </w:rPr>
        <w:t>CSK MSWiA</w:t>
      </w:r>
      <w:r w:rsidR="002A74C1">
        <w:rPr>
          <w:rFonts w:ascii="Lato" w:hAnsi="Lato"/>
          <w:sz w:val="20"/>
          <w:szCs w:val="20"/>
          <w:lang w:eastAsia="ar-SA"/>
        </w:rPr>
        <w:t xml:space="preserve"> z 21 listopada 2005 r.</w:t>
      </w:r>
    </w:p>
    <w:p w:rsidR="002A74C1" w:rsidRPr="004D5301" w:rsidRDefault="002A74C1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2A74C1">
        <w:rPr>
          <w:rFonts w:ascii="Lato" w:hAnsi="Lato"/>
          <w:sz w:val="20"/>
          <w:szCs w:val="20"/>
          <w:lang w:eastAsia="ar-SA"/>
        </w:rPr>
        <w:t xml:space="preserve">Określanie we wprowadzanych regulacjach wewnętrznych sposobu ich oddziaływania na poprzednio obowiązujące regulacje. </w:t>
      </w:r>
    </w:p>
    <w:p w:rsidR="002A74C1" w:rsidRPr="002A74C1" w:rsidRDefault="002A74C1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2A74C1">
        <w:rPr>
          <w:rFonts w:ascii="Lato" w:hAnsi="Lato"/>
          <w:sz w:val="20"/>
          <w:szCs w:val="20"/>
          <w:lang w:eastAsia="ar-SA"/>
        </w:rPr>
        <w:t xml:space="preserve">Uregulowanie zasad prowadzenia gospodarki magazynowej i dokumentowania procesów z tym związanych. </w:t>
      </w:r>
    </w:p>
    <w:p w:rsidR="004D5301" w:rsidRPr="004D5301" w:rsidRDefault="004D5301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4D5301">
        <w:rPr>
          <w:rFonts w:ascii="Lato" w:hAnsi="Lato"/>
          <w:sz w:val="20"/>
          <w:szCs w:val="20"/>
          <w:lang w:eastAsia="ar-SA"/>
        </w:rPr>
        <w:t xml:space="preserve">Określenie w </w:t>
      </w:r>
      <w:r w:rsidRPr="00733D41">
        <w:rPr>
          <w:rFonts w:ascii="Lato" w:hAnsi="Lato"/>
          <w:i/>
          <w:sz w:val="20"/>
          <w:szCs w:val="20"/>
          <w:lang w:eastAsia="ar-SA"/>
        </w:rPr>
        <w:t>Regulaminie organizacyjnym PIM MSWiA</w:t>
      </w:r>
      <w:r w:rsidRPr="004D5301">
        <w:rPr>
          <w:rFonts w:ascii="Lato" w:hAnsi="Lato"/>
          <w:sz w:val="20"/>
          <w:szCs w:val="20"/>
          <w:lang w:eastAsia="ar-SA"/>
        </w:rPr>
        <w:t xml:space="preserve"> zadań wykonywanych przez pracowników Działu Księgowości i Sprawozdawczości związanych z</w:t>
      </w:r>
      <w:r w:rsidR="009E0D6E">
        <w:rPr>
          <w:rFonts w:ascii="Lato" w:hAnsi="Lato"/>
          <w:sz w:val="20"/>
          <w:szCs w:val="20"/>
          <w:lang w:eastAsia="ar-SA"/>
        </w:rPr>
        <w:t> </w:t>
      </w:r>
      <w:r w:rsidRPr="004D5301">
        <w:rPr>
          <w:rFonts w:ascii="Lato" w:hAnsi="Lato"/>
          <w:sz w:val="20"/>
          <w:szCs w:val="20"/>
          <w:lang w:eastAsia="ar-SA"/>
        </w:rPr>
        <w:t>ewidencjonowaniem składników majątku oraz inwentaryzacją aktywów i pasywów Instytutu.</w:t>
      </w:r>
    </w:p>
    <w:p w:rsidR="004D5301" w:rsidRPr="004D5301" w:rsidRDefault="004D5301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4D5301">
        <w:rPr>
          <w:rFonts w:ascii="Lato" w:hAnsi="Lato"/>
          <w:sz w:val="20"/>
          <w:szCs w:val="20"/>
          <w:lang w:eastAsia="ar-SA"/>
        </w:rPr>
        <w:t>Wprowadzenie skutecznych mechanizmów nadzoru nad obszarem ewidencjonowania oraz inwentaryzacji składników majątkowych.</w:t>
      </w:r>
    </w:p>
    <w:p w:rsidR="00EA02AF" w:rsidRPr="006202D4" w:rsidRDefault="006202D4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Stosowanie regulacji wewnętrznych dotyczących gospodarowania składnikami majątku, w tym: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realizowanie obowiązku corocznego przekazywania do komórek organizacyjnych wykazu sprzętu do uzgodnienia stanu faktycznego z ewidencją księgową oraz rzetelne wyjaśnianie i korygowanie stwierdzonych różnic;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lastRenderedPageBreak/>
        <w:t>nadawanie składnikom majątku indywidualnych numerów inwentarzowych umożliwiających ich jednoznaczną identyfikację oraz rzetelne wprowadzanie danych do ewidencji ilościowo-wartościowej;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znakowanie składników majątku oraz bieżące zgłaszanie faktów uszkodzenia lub braku etykiet na składnikach majątku w celu uzyskania etykiet lub ich duplikatów oraz niezwłoczne ich uzupełnianie;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sporządzanie przez kierowników komórek organizacyjnych pisemnych upoważnień określających powierzone pracownikom kompetencje w zakresie nadzorowania składników majątku oraz przekazywanie zgodnie z obowiązującą w tym zakresie regulacją wewnętrzną jednego egzemplarza upoważnienia </w:t>
      </w:r>
      <w:r w:rsidR="007C2FDF">
        <w:rPr>
          <w:rFonts w:ascii="Lato" w:hAnsi="Lato"/>
          <w:sz w:val="20"/>
          <w:szCs w:val="20"/>
          <w:lang w:eastAsia="ar-SA"/>
        </w:rPr>
        <w:br/>
      </w:r>
      <w:r w:rsidRPr="006202D4">
        <w:rPr>
          <w:rFonts w:ascii="Lato" w:hAnsi="Lato"/>
          <w:sz w:val="20"/>
          <w:szCs w:val="20"/>
          <w:lang w:eastAsia="ar-SA"/>
        </w:rPr>
        <w:t xml:space="preserve">do Działu Księgowości i Sprawozdawczości; 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wprowadzanie składników majątku do ewidencji wyłącznie na podstawie prawidłowo sporządzonych i zgodnych z regulacjami wewnętrznymi dowodów księgowych;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niewprowadzanie do ewidencji środków trwałych będących częścią składową składników majątku figurującego już w ewidencji;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prawidłowe numerowanie dokumentów OT;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zamieszczanie na dowodach OT daty wprowadzenia środka trwałego do</w:t>
      </w:r>
      <w:r w:rsidR="009E0D6E">
        <w:rPr>
          <w:rFonts w:ascii="Lato" w:hAnsi="Lato"/>
          <w:sz w:val="20"/>
          <w:szCs w:val="20"/>
          <w:lang w:eastAsia="ar-SA"/>
        </w:rPr>
        <w:t> </w:t>
      </w:r>
      <w:r w:rsidRPr="006202D4">
        <w:rPr>
          <w:rFonts w:ascii="Lato" w:hAnsi="Lato"/>
          <w:sz w:val="20"/>
          <w:szCs w:val="20"/>
          <w:lang w:eastAsia="ar-SA"/>
        </w:rPr>
        <w:t>ewidencji ilościowo-wartościowej;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każdorazowe sporządzanie dowodów zmiany miejsca użytkowania środków trwałych i wyposażenia (dowód MT), w tym przygotowywanie ich na określonym w regulacji wewnętrznej wzorze oraz niezwłoczne przekazywanie dokumentów do Działu Księgowości i Sprawozdawczości celem aktualizacji zapisów w</w:t>
      </w:r>
      <w:r w:rsidR="009E0D6E">
        <w:rPr>
          <w:rFonts w:ascii="Lato" w:hAnsi="Lato"/>
          <w:sz w:val="20"/>
          <w:szCs w:val="20"/>
          <w:lang w:eastAsia="ar-SA"/>
        </w:rPr>
        <w:t> </w:t>
      </w:r>
      <w:r w:rsidRPr="006202D4">
        <w:rPr>
          <w:rFonts w:ascii="Lato" w:hAnsi="Lato"/>
          <w:sz w:val="20"/>
          <w:szCs w:val="20"/>
          <w:lang w:eastAsia="ar-SA"/>
        </w:rPr>
        <w:t>ewidencji;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nieprzeprowadzanie procesu fizycznej likwidacji zużytych środków trwałych bez sporządzenia i zatwierdzenia przez uprawnione osoby niezbędnej dokumentacji;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 xml:space="preserve">rozliczanie pracowników z przydzielonego im majątku przed ustaniem zatrudnienia; </w:t>
      </w:r>
    </w:p>
    <w:p w:rsidR="006202D4" w:rsidRPr="006202D4" w:rsidRDefault="006202D4" w:rsidP="00733D41">
      <w:pPr>
        <w:pStyle w:val="Akapitzlist"/>
        <w:numPr>
          <w:ilvl w:val="0"/>
          <w:numId w:val="15"/>
        </w:numPr>
        <w:suppressAutoHyphens/>
        <w:spacing w:after="60" w:line="259" w:lineRule="auto"/>
        <w:ind w:left="851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6202D4">
        <w:rPr>
          <w:rFonts w:ascii="Lato" w:hAnsi="Lato"/>
          <w:sz w:val="20"/>
          <w:szCs w:val="20"/>
          <w:lang w:eastAsia="ar-SA"/>
        </w:rPr>
        <w:t>sporządzanie spisów zdawczo-odbiorczych przed dokonaniem zmiany kierownika komórki organizacyjnej lub osoby odpowiedzialnej za nadzór nad składnikami majątku, a w przypadku braku możliwości ich sporządzenia przeprowadzanie komisyjnej inwentaryzacji.</w:t>
      </w:r>
    </w:p>
    <w:p w:rsidR="00765064" w:rsidRPr="00765064" w:rsidRDefault="00765064" w:rsidP="00733D41">
      <w:pPr>
        <w:pStyle w:val="Akapitzlist"/>
        <w:numPr>
          <w:ilvl w:val="0"/>
          <w:numId w:val="3"/>
        </w:numPr>
        <w:spacing w:after="60" w:line="259" w:lineRule="auto"/>
        <w:ind w:left="360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765064">
        <w:rPr>
          <w:rFonts w:ascii="Lato" w:hAnsi="Lato"/>
          <w:sz w:val="20"/>
          <w:szCs w:val="20"/>
          <w:lang w:eastAsia="ar-SA"/>
        </w:rPr>
        <w:t xml:space="preserve">Wycenianie składników majątku wprowadzonego do ewidencji ilościowo-wartościowej w sposób zgodny z przepisami ustawy z dnia 29 września 1994 r. </w:t>
      </w:r>
      <w:r w:rsidR="007C2FDF">
        <w:rPr>
          <w:rFonts w:ascii="Lato" w:hAnsi="Lato"/>
          <w:sz w:val="20"/>
          <w:szCs w:val="20"/>
          <w:lang w:eastAsia="ar-SA"/>
        </w:rPr>
        <w:br/>
      </w:r>
      <w:r w:rsidRPr="00733D41">
        <w:rPr>
          <w:rFonts w:ascii="Lato" w:hAnsi="Lato"/>
          <w:i/>
          <w:sz w:val="20"/>
          <w:szCs w:val="20"/>
          <w:lang w:eastAsia="ar-SA"/>
        </w:rPr>
        <w:t>o rachunkowości</w:t>
      </w:r>
      <w:r w:rsidRPr="00765064">
        <w:rPr>
          <w:rFonts w:ascii="Lato" w:hAnsi="Lato"/>
          <w:sz w:val="20"/>
          <w:szCs w:val="20"/>
          <w:lang w:eastAsia="ar-SA"/>
        </w:rPr>
        <w:t xml:space="preserve"> i z regulacjami wewnętrznymi. </w:t>
      </w:r>
    </w:p>
    <w:p w:rsidR="00765064" w:rsidRPr="00765064" w:rsidRDefault="00765064" w:rsidP="00733D41">
      <w:pPr>
        <w:pStyle w:val="Akapitzlist"/>
        <w:numPr>
          <w:ilvl w:val="0"/>
          <w:numId w:val="3"/>
        </w:numPr>
        <w:spacing w:after="60" w:line="259" w:lineRule="auto"/>
        <w:ind w:left="360" w:hanging="357"/>
        <w:contextualSpacing w:val="0"/>
        <w:rPr>
          <w:rFonts w:ascii="Lato" w:hAnsi="Lato"/>
          <w:sz w:val="20"/>
          <w:szCs w:val="20"/>
          <w:lang w:eastAsia="ar-SA"/>
        </w:rPr>
      </w:pPr>
      <w:r w:rsidRPr="00765064">
        <w:rPr>
          <w:rFonts w:ascii="Lato" w:hAnsi="Lato"/>
          <w:sz w:val="20"/>
          <w:szCs w:val="20"/>
          <w:lang w:eastAsia="ar-SA"/>
        </w:rPr>
        <w:t xml:space="preserve">Określenie w regulacji wewnętrznej zakresu zadań i odpowiedzialności komórek merytorycznych (Dział Teleinformatyki, Dział Inżynierii Medycznej, Dział Zaopatrzenia) w prowadzeniu ewidencji pozabilansowej sprzętu IT, sprzętu </w:t>
      </w:r>
      <w:r w:rsidR="007C2FDF">
        <w:rPr>
          <w:rFonts w:ascii="Lato" w:hAnsi="Lato"/>
          <w:sz w:val="20"/>
          <w:szCs w:val="20"/>
          <w:lang w:eastAsia="ar-SA"/>
        </w:rPr>
        <w:br/>
      </w:r>
      <w:r w:rsidRPr="00765064">
        <w:rPr>
          <w:rFonts w:ascii="Lato" w:hAnsi="Lato"/>
          <w:sz w:val="20"/>
          <w:szCs w:val="20"/>
          <w:lang w:eastAsia="ar-SA"/>
        </w:rPr>
        <w:t>i aparatury medycznej, innych dzierżawionych specjalistycznych urządzeń medycznych oraz zasad współpracy w tym zakresie ww. komórek z Działem Księgowości i</w:t>
      </w:r>
      <w:r w:rsidR="009E0D6E">
        <w:rPr>
          <w:rFonts w:ascii="Lato" w:hAnsi="Lato"/>
          <w:sz w:val="20"/>
          <w:szCs w:val="20"/>
          <w:lang w:eastAsia="ar-SA"/>
        </w:rPr>
        <w:t> </w:t>
      </w:r>
      <w:r w:rsidRPr="00765064">
        <w:rPr>
          <w:rFonts w:ascii="Lato" w:hAnsi="Lato"/>
          <w:sz w:val="20"/>
          <w:szCs w:val="20"/>
          <w:lang w:eastAsia="ar-SA"/>
        </w:rPr>
        <w:t xml:space="preserve">Sprawozdawczości, a także dokonanie analizy i aktualizacji zakresu danych, jakie należy gromadzić w tych ewidencjach dla skutecznej realizacji celów, </w:t>
      </w:r>
      <w:r w:rsidR="007C2FDF">
        <w:rPr>
          <w:rFonts w:ascii="Lato" w:hAnsi="Lato"/>
          <w:sz w:val="20"/>
          <w:szCs w:val="20"/>
          <w:lang w:eastAsia="ar-SA"/>
        </w:rPr>
        <w:br/>
      </w:r>
      <w:r w:rsidRPr="00765064">
        <w:rPr>
          <w:rFonts w:ascii="Lato" w:hAnsi="Lato"/>
          <w:sz w:val="20"/>
          <w:szCs w:val="20"/>
          <w:lang w:eastAsia="ar-SA"/>
        </w:rPr>
        <w:t>dla których są one prowadzone.</w:t>
      </w:r>
    </w:p>
    <w:p w:rsidR="006551A0" w:rsidRPr="006551A0" w:rsidRDefault="006551A0" w:rsidP="00733D41">
      <w:pPr>
        <w:pStyle w:val="Akapitzlist"/>
        <w:numPr>
          <w:ilvl w:val="0"/>
          <w:numId w:val="3"/>
        </w:numPr>
        <w:spacing w:after="60" w:line="259" w:lineRule="auto"/>
        <w:ind w:left="357"/>
        <w:contextualSpacing w:val="0"/>
        <w:jc w:val="both"/>
        <w:rPr>
          <w:rFonts w:ascii="Lato" w:eastAsiaTheme="minorHAnsi" w:hAnsi="Lato" w:cstheme="minorBidi"/>
          <w:sz w:val="20"/>
          <w:szCs w:val="20"/>
        </w:rPr>
      </w:pPr>
      <w:r w:rsidRPr="006551A0">
        <w:rPr>
          <w:rFonts w:ascii="Lato" w:hAnsi="Lato"/>
          <w:sz w:val="20"/>
          <w:szCs w:val="20"/>
        </w:rPr>
        <w:t xml:space="preserve">Rzetelne prowadzenie ewidencji pozabilansowych i ujmowanie w nich wszystkich danych określonych w regulacjach wewnętrznych.   </w:t>
      </w:r>
    </w:p>
    <w:p w:rsidR="006551A0" w:rsidRPr="006551A0" w:rsidRDefault="006551A0" w:rsidP="00733D41">
      <w:pPr>
        <w:pStyle w:val="Tekstpodstawowy2"/>
        <w:numPr>
          <w:ilvl w:val="0"/>
          <w:numId w:val="3"/>
        </w:numPr>
        <w:spacing w:after="60" w:line="259" w:lineRule="auto"/>
        <w:ind w:left="357"/>
        <w:rPr>
          <w:rFonts w:ascii="Lato" w:hAnsi="Lato"/>
          <w:sz w:val="20"/>
          <w:szCs w:val="20"/>
        </w:rPr>
      </w:pPr>
      <w:r w:rsidRPr="006551A0">
        <w:rPr>
          <w:rFonts w:ascii="Lato" w:hAnsi="Lato"/>
          <w:sz w:val="20"/>
          <w:szCs w:val="20"/>
        </w:rPr>
        <w:t xml:space="preserve">Wyjaśnienie i uregulowanie statusu prawnego wszystkich środków trwałych otrzymanych podczas pandemii COVID-19 oraz uporządkowanie zapisów ewidencji ilościowo-wartościowej w zakresie tych środków.  </w:t>
      </w:r>
    </w:p>
    <w:p w:rsidR="006551A0" w:rsidRPr="006551A0" w:rsidRDefault="006551A0" w:rsidP="00733D41">
      <w:pPr>
        <w:pStyle w:val="Tekstpodstawowy2"/>
        <w:numPr>
          <w:ilvl w:val="0"/>
          <w:numId w:val="3"/>
        </w:numPr>
        <w:spacing w:after="60" w:line="259" w:lineRule="auto"/>
        <w:ind w:left="357"/>
        <w:rPr>
          <w:rFonts w:ascii="Lato" w:hAnsi="Lato"/>
          <w:sz w:val="20"/>
          <w:szCs w:val="20"/>
        </w:rPr>
      </w:pPr>
      <w:r w:rsidRPr="006551A0">
        <w:rPr>
          <w:rFonts w:ascii="Lato" w:hAnsi="Lato"/>
          <w:sz w:val="20"/>
          <w:szCs w:val="20"/>
        </w:rPr>
        <w:lastRenderedPageBreak/>
        <w:t xml:space="preserve">Wyjaśnienie i zaktualizowanie zapisów ewidencji ilościowo-wartościowej w przedmiocie majątku zaewidencjonowanego na ośrodkach kosztów: </w:t>
      </w:r>
      <w:proofErr w:type="spellStart"/>
      <w:r w:rsidRPr="006551A0">
        <w:rPr>
          <w:rFonts w:ascii="Lato" w:hAnsi="Lato"/>
          <w:sz w:val="20"/>
          <w:szCs w:val="20"/>
        </w:rPr>
        <w:t>Covid</w:t>
      </w:r>
      <w:proofErr w:type="spellEnd"/>
      <w:r w:rsidRPr="006551A0">
        <w:rPr>
          <w:rFonts w:ascii="Lato" w:hAnsi="Lato"/>
          <w:sz w:val="20"/>
          <w:szCs w:val="20"/>
        </w:rPr>
        <w:t xml:space="preserve">-Stadion Narodowy Szpital Tymczasowy i OIT - Stadion Narodowy Szpital Tymczasowy. </w:t>
      </w:r>
    </w:p>
    <w:p w:rsidR="00637456" w:rsidRDefault="003F770E" w:rsidP="00733D41">
      <w:pPr>
        <w:suppressAutoHyphens/>
        <w:spacing w:after="60"/>
        <w:ind w:left="357"/>
        <w:rPr>
          <w:rFonts w:ascii="Lato" w:hAnsi="Lato"/>
          <w:sz w:val="20"/>
          <w:szCs w:val="20"/>
        </w:rPr>
      </w:pPr>
      <w:r w:rsidRPr="006551A0">
        <w:rPr>
          <w:rFonts w:ascii="Lato" w:hAnsi="Lato"/>
          <w:sz w:val="20"/>
          <w:szCs w:val="20"/>
          <w:lang w:eastAsia="ar-SA"/>
        </w:rPr>
        <w:t xml:space="preserve">Rzetelne </w:t>
      </w:r>
      <w:r w:rsidRPr="006551A0">
        <w:rPr>
          <w:rFonts w:ascii="Lato" w:hAnsi="Lato"/>
          <w:sz w:val="20"/>
          <w:szCs w:val="20"/>
        </w:rPr>
        <w:t>opisywanie dowodów księgowych, w tym wskazywanie prawidłowego źródła finansowania danego wydatku.</w:t>
      </w:r>
    </w:p>
    <w:p w:rsidR="001C020A" w:rsidRPr="001C020A" w:rsidRDefault="001C020A" w:rsidP="00733D41">
      <w:pPr>
        <w:pStyle w:val="Akapitzlist"/>
        <w:numPr>
          <w:ilvl w:val="0"/>
          <w:numId w:val="3"/>
        </w:numPr>
        <w:suppressAutoHyphens/>
        <w:spacing w:after="60" w:line="259" w:lineRule="auto"/>
        <w:ind w:left="357"/>
        <w:contextualSpacing w:val="0"/>
        <w:rPr>
          <w:rFonts w:ascii="Lato" w:hAnsi="Lato"/>
          <w:sz w:val="20"/>
          <w:szCs w:val="20"/>
        </w:rPr>
      </w:pPr>
      <w:r w:rsidRPr="001C020A">
        <w:rPr>
          <w:rFonts w:ascii="Lato" w:hAnsi="Lato"/>
          <w:sz w:val="20"/>
          <w:szCs w:val="20"/>
        </w:rPr>
        <w:t xml:space="preserve">Zaktualizowanie zakresów czynności pracowników dawnego CSK MSWiA nadal realizujących zadania związane z ewidencjonowaniem składników majątku lub inwentaryzacją, w zakresie wprowadzonych zmian w nazewnictwie komórek organizacyjnych i podległości służbowej, a także - adekwatnie do potrzeb - innych zmian w zakresie przydzielonych im zadań. </w:t>
      </w:r>
    </w:p>
    <w:p w:rsidR="001C020A" w:rsidRPr="001C020A" w:rsidRDefault="001C020A" w:rsidP="00733D41">
      <w:pPr>
        <w:pStyle w:val="Akapitzlist"/>
        <w:numPr>
          <w:ilvl w:val="0"/>
          <w:numId w:val="3"/>
        </w:numPr>
        <w:suppressAutoHyphens/>
        <w:spacing w:after="60" w:line="259" w:lineRule="auto"/>
        <w:ind w:left="357"/>
        <w:contextualSpacing w:val="0"/>
        <w:rPr>
          <w:rFonts w:ascii="Lato" w:hAnsi="Lato"/>
          <w:sz w:val="20"/>
          <w:szCs w:val="20"/>
        </w:rPr>
      </w:pPr>
      <w:r w:rsidRPr="001C020A">
        <w:rPr>
          <w:rFonts w:ascii="Lato" w:hAnsi="Lato"/>
          <w:sz w:val="20"/>
          <w:szCs w:val="20"/>
        </w:rPr>
        <w:t xml:space="preserve">Kompleksowe uregulowanie zasad postępowania ze składnikami majątku nienadającymi się do dalszego użytkowania, w tym określenie zasad przeprowadzania oceny ich przydatności, ich wyceny, organizacji procesu fizycznego niszczenia składników majątku i wycofywania ich z ewidencji, a także niezwłoczne sporządzanie dokumentacji powstałej na poszczególnych etapach i przekazywanie jej do właściwych w sprawie osób/komórek organizacyjnych. </w:t>
      </w:r>
    </w:p>
    <w:p w:rsidR="001C020A" w:rsidRPr="001C020A" w:rsidRDefault="001C020A" w:rsidP="00733D41">
      <w:pPr>
        <w:pStyle w:val="Akapitzlist"/>
        <w:numPr>
          <w:ilvl w:val="0"/>
          <w:numId w:val="3"/>
        </w:numPr>
        <w:suppressAutoHyphens/>
        <w:spacing w:after="60" w:line="259" w:lineRule="auto"/>
        <w:ind w:left="357"/>
        <w:contextualSpacing w:val="0"/>
        <w:rPr>
          <w:rFonts w:ascii="Lato" w:hAnsi="Lato"/>
          <w:sz w:val="20"/>
          <w:szCs w:val="20"/>
        </w:rPr>
      </w:pPr>
      <w:r w:rsidRPr="001C020A">
        <w:rPr>
          <w:rFonts w:ascii="Lato" w:hAnsi="Lato"/>
          <w:sz w:val="20"/>
          <w:szCs w:val="20"/>
        </w:rPr>
        <w:t xml:space="preserve">Do czasu przyjęcia nowych regulacji stosowanie do wszystkich składników majątku (także sprzętu IT) zarządzenia nr 77/2020 Dyrektora CSK MSWiA w Warszawie </w:t>
      </w:r>
      <w:r w:rsidR="007C2FDF">
        <w:rPr>
          <w:rFonts w:ascii="Lato" w:hAnsi="Lato"/>
          <w:sz w:val="20"/>
          <w:szCs w:val="20"/>
        </w:rPr>
        <w:br/>
      </w:r>
      <w:r w:rsidRPr="001C020A">
        <w:rPr>
          <w:rFonts w:ascii="Lato" w:hAnsi="Lato"/>
          <w:sz w:val="20"/>
          <w:szCs w:val="20"/>
        </w:rPr>
        <w:t xml:space="preserve">z 24 września 2020 r. w sprawie powołania Komisji ds. Wybrakowania aparatury, sprzętu oraz wyposażenia będącego w użytkowaniu jednostek organizacyjnych CSK MSWiA w Warszawie, w tym realizowanie obowiązku akceptowania przez Kierownika Działu Inżynierii Medycznej protokołów wybrakowania sprzętu IT. </w:t>
      </w:r>
    </w:p>
    <w:p w:rsidR="003A29E8" w:rsidRDefault="001C020A" w:rsidP="00733D41">
      <w:pPr>
        <w:pStyle w:val="Akapitzlist"/>
        <w:numPr>
          <w:ilvl w:val="0"/>
          <w:numId w:val="3"/>
        </w:numPr>
        <w:suppressAutoHyphens/>
        <w:spacing w:after="60" w:line="259" w:lineRule="auto"/>
        <w:ind w:left="357"/>
        <w:contextualSpacing w:val="0"/>
        <w:rPr>
          <w:rFonts w:ascii="Lato" w:hAnsi="Lato"/>
          <w:sz w:val="20"/>
          <w:szCs w:val="20"/>
        </w:rPr>
      </w:pPr>
      <w:r w:rsidRPr="001C020A">
        <w:rPr>
          <w:rFonts w:ascii="Lato" w:hAnsi="Lato"/>
          <w:sz w:val="20"/>
          <w:szCs w:val="20"/>
        </w:rPr>
        <w:t xml:space="preserve">Sprawne organizowanie procesu fizycznej likwidacji składników majątku nienadających się do dalszego użytkowania i niezwłoczne wprowadzanie do ewidencji informacji o ich likwidacji w oparciu o prawidłowo opracowane i zatwierdzone dowody księgowe. </w:t>
      </w:r>
    </w:p>
    <w:p w:rsidR="003A29E8" w:rsidRPr="003A29E8" w:rsidRDefault="003A29E8" w:rsidP="00733D41">
      <w:pPr>
        <w:pStyle w:val="Akapitzlist"/>
        <w:numPr>
          <w:ilvl w:val="0"/>
          <w:numId w:val="3"/>
        </w:numPr>
        <w:suppressAutoHyphens/>
        <w:spacing w:after="60" w:line="259" w:lineRule="auto"/>
        <w:ind w:left="357"/>
        <w:contextualSpacing w:val="0"/>
        <w:rPr>
          <w:rFonts w:ascii="Lato" w:hAnsi="Lato"/>
          <w:sz w:val="20"/>
          <w:szCs w:val="20"/>
        </w:rPr>
      </w:pPr>
      <w:r w:rsidRPr="003A29E8">
        <w:rPr>
          <w:rFonts w:ascii="Lato" w:hAnsi="Lato" w:cs="Calibri"/>
          <w:sz w:val="20"/>
          <w:szCs w:val="20"/>
        </w:rPr>
        <w:t xml:space="preserve">Rzetelne prowadzenie i rozliczanie inwentaryzacji środków trwałych Instytutu poprzez: </w:t>
      </w:r>
    </w:p>
    <w:p w:rsidR="00F937B5" w:rsidRPr="009E0D6E" w:rsidRDefault="003A29E8" w:rsidP="00733D41">
      <w:pPr>
        <w:numPr>
          <w:ilvl w:val="0"/>
          <w:numId w:val="9"/>
        </w:numPr>
        <w:spacing w:after="0"/>
        <w:ind w:left="851"/>
        <w:rPr>
          <w:rFonts w:ascii="Lato" w:eastAsia="Calibri" w:hAnsi="Lato" w:cs="Calibri"/>
          <w:sz w:val="20"/>
          <w:szCs w:val="20"/>
        </w:rPr>
      </w:pPr>
      <w:r w:rsidRPr="00733D41">
        <w:rPr>
          <w:rFonts w:ascii="Lato" w:hAnsi="Lato" w:cstheme="minorHAnsi"/>
          <w:sz w:val="20"/>
          <w:szCs w:val="20"/>
        </w:rPr>
        <w:t>obejmowanie spisem z natury wszystkich składników majątku oraz rzetelne rozliczanie wszystkich ujawnionych w toku inwentaryzacji różnic między stanem rzeczywistym a stanem wykazanym w księgach rachunkowych w tym roku obrotowym, na który przypadał termin inwentaryzacji</w:t>
      </w:r>
      <w:r w:rsidRPr="009E0D6E">
        <w:rPr>
          <w:rFonts w:ascii="Lato" w:eastAsia="Calibri" w:hAnsi="Lato" w:cs="Calibri"/>
          <w:sz w:val="20"/>
          <w:szCs w:val="20"/>
        </w:rPr>
        <w:t xml:space="preserve">; </w:t>
      </w:r>
    </w:p>
    <w:p w:rsidR="003A29E8" w:rsidRPr="00F937B5" w:rsidRDefault="003A29E8" w:rsidP="00733D41">
      <w:pPr>
        <w:numPr>
          <w:ilvl w:val="0"/>
          <w:numId w:val="9"/>
        </w:numPr>
        <w:spacing w:after="0"/>
        <w:ind w:left="851"/>
        <w:rPr>
          <w:rFonts w:ascii="Lato" w:eastAsia="Calibri" w:hAnsi="Lato" w:cs="Calibri"/>
          <w:sz w:val="20"/>
          <w:szCs w:val="20"/>
        </w:rPr>
      </w:pPr>
      <w:r w:rsidRPr="00F937B5">
        <w:rPr>
          <w:rFonts w:ascii="Lato" w:hAnsi="Lato" w:cs="Calibri"/>
          <w:sz w:val="20"/>
          <w:szCs w:val="20"/>
        </w:rPr>
        <w:t xml:space="preserve">dokonywanie wyceny </w:t>
      </w:r>
      <w:r w:rsidRPr="00F937B5">
        <w:rPr>
          <w:rFonts w:ascii="Lato" w:eastAsia="Calibri" w:hAnsi="Lato" w:cs="Calibri"/>
          <w:sz w:val="20"/>
          <w:szCs w:val="20"/>
        </w:rPr>
        <w:t>nadwyżek i niedoborów środków trwałych</w:t>
      </w:r>
      <w:r w:rsidRPr="00F937B5">
        <w:rPr>
          <w:rFonts w:ascii="Lato" w:hAnsi="Lato" w:cs="Calibri"/>
          <w:sz w:val="20"/>
          <w:szCs w:val="20"/>
        </w:rPr>
        <w:t xml:space="preserve"> </w:t>
      </w:r>
      <w:r w:rsidRPr="00F937B5">
        <w:rPr>
          <w:rFonts w:ascii="Lato" w:eastAsia="Calibri" w:hAnsi="Lato" w:cs="Calibri"/>
          <w:sz w:val="20"/>
          <w:szCs w:val="20"/>
        </w:rPr>
        <w:t xml:space="preserve">oraz ustalenie ich łącznej wartości z podziałem na ośrodki kosztów przed sporządzeniem przez Komisję Inwentaryzacyjną protokołów z rozliczenia różnic inwentaryzacyjnych; </w:t>
      </w:r>
    </w:p>
    <w:p w:rsidR="003A29E8" w:rsidRPr="003A29E8" w:rsidRDefault="003A29E8" w:rsidP="00733D41">
      <w:pPr>
        <w:numPr>
          <w:ilvl w:val="0"/>
          <w:numId w:val="9"/>
        </w:numPr>
        <w:spacing w:after="0"/>
        <w:ind w:left="851"/>
        <w:rPr>
          <w:rFonts w:ascii="Lato" w:hAnsi="Lato" w:cs="Calibri"/>
          <w:sz w:val="20"/>
          <w:szCs w:val="20"/>
        </w:rPr>
      </w:pPr>
      <w:r w:rsidRPr="003A29E8">
        <w:rPr>
          <w:rFonts w:ascii="Lato" w:hAnsi="Lato" w:cs="Calibri"/>
          <w:sz w:val="20"/>
          <w:szCs w:val="20"/>
        </w:rPr>
        <w:t xml:space="preserve">każdorazowe </w:t>
      </w:r>
      <w:r w:rsidRPr="003A29E8">
        <w:rPr>
          <w:rFonts w:ascii="Lato" w:hAnsi="Lato"/>
          <w:iCs/>
          <w:sz w:val="20"/>
          <w:szCs w:val="20"/>
        </w:rPr>
        <w:t>potwierdzanie przez Komisję Inwentaryzacyjną faktycznej lokalizacji składników majątku, w tym sprzętu IT, przed rekomendowaniem jego przesunięcia na stan innej komórki organizacyjnej;</w:t>
      </w:r>
    </w:p>
    <w:p w:rsidR="003A29E8" w:rsidRPr="003A29E8" w:rsidRDefault="003A29E8" w:rsidP="00733D41">
      <w:pPr>
        <w:numPr>
          <w:ilvl w:val="0"/>
          <w:numId w:val="9"/>
        </w:numPr>
        <w:spacing w:after="0"/>
        <w:ind w:left="851"/>
        <w:rPr>
          <w:rFonts w:ascii="Lato" w:hAnsi="Lato"/>
          <w:iCs/>
          <w:sz w:val="20"/>
          <w:szCs w:val="20"/>
        </w:rPr>
      </w:pPr>
      <w:r w:rsidRPr="003A29E8">
        <w:rPr>
          <w:rFonts w:ascii="Lato" w:hAnsi="Lato"/>
          <w:iCs/>
          <w:sz w:val="20"/>
          <w:szCs w:val="20"/>
        </w:rPr>
        <w:t xml:space="preserve">zachowanie należytej staranności w ustaleniu różnic inwentaryzacyjnych, wyjaśnianiu przyczyn ich powstawania i formułowaniu zaleceń, co do sposobu ich rozliczenia;  </w:t>
      </w:r>
    </w:p>
    <w:p w:rsidR="003A29E8" w:rsidRPr="003A29E8" w:rsidRDefault="003A29E8" w:rsidP="00733D41">
      <w:pPr>
        <w:numPr>
          <w:ilvl w:val="0"/>
          <w:numId w:val="9"/>
        </w:numPr>
        <w:spacing w:after="0"/>
        <w:ind w:left="851"/>
        <w:rPr>
          <w:rFonts w:ascii="Lato" w:hAnsi="Lato" w:cs="Calibri"/>
          <w:sz w:val="20"/>
          <w:szCs w:val="20"/>
        </w:rPr>
      </w:pPr>
      <w:r w:rsidRPr="003A29E8">
        <w:rPr>
          <w:rFonts w:ascii="Lato" w:hAnsi="Lato" w:cs="Calibri"/>
          <w:sz w:val="20"/>
          <w:szCs w:val="20"/>
        </w:rPr>
        <w:t xml:space="preserve">rzetelne sporządzanie protokołów z weryfikacji różnic inwentaryzacyjnych, </w:t>
      </w:r>
      <w:r w:rsidR="00F937B5">
        <w:rPr>
          <w:rFonts w:ascii="Lato" w:hAnsi="Lato" w:cs="Calibri"/>
          <w:sz w:val="20"/>
          <w:szCs w:val="20"/>
        </w:rPr>
        <w:br/>
      </w:r>
      <w:r w:rsidRPr="003A29E8">
        <w:rPr>
          <w:rFonts w:ascii="Lato" w:hAnsi="Lato" w:cs="Calibri"/>
          <w:sz w:val="20"/>
          <w:szCs w:val="20"/>
        </w:rPr>
        <w:t xml:space="preserve">w tym zamieszczanie w nich danych pozwalających na jednoznaczną identyfikację ujawnionych nadwyżek; </w:t>
      </w:r>
    </w:p>
    <w:p w:rsidR="003A29E8" w:rsidRDefault="003A29E8" w:rsidP="00733D41">
      <w:pPr>
        <w:numPr>
          <w:ilvl w:val="0"/>
          <w:numId w:val="9"/>
        </w:numPr>
        <w:spacing w:after="60"/>
        <w:ind w:left="850" w:hanging="357"/>
        <w:rPr>
          <w:rFonts w:ascii="Lato" w:hAnsi="Lato"/>
          <w:iCs/>
          <w:sz w:val="20"/>
          <w:szCs w:val="20"/>
        </w:rPr>
      </w:pPr>
      <w:r w:rsidRPr="003A29E8">
        <w:rPr>
          <w:rFonts w:ascii="Lato" w:hAnsi="Lato" w:cs="Calibri"/>
          <w:sz w:val="20"/>
          <w:szCs w:val="20"/>
        </w:rPr>
        <w:t xml:space="preserve">podpisywanie protokołów z rozliczenia różnic inwentaryzacyjnych przez wszystkich członków Komisji Inwetaryzacyjnej oraz </w:t>
      </w:r>
      <w:r w:rsidRPr="003A29E8">
        <w:rPr>
          <w:rFonts w:ascii="Lato" w:hAnsi="Lato"/>
          <w:iCs/>
          <w:sz w:val="20"/>
          <w:szCs w:val="20"/>
        </w:rPr>
        <w:t>Główną Księgową.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lastRenderedPageBreak/>
        <w:t xml:space="preserve">Uszczegółowienie </w:t>
      </w:r>
      <w:r w:rsidRPr="00733D41">
        <w:rPr>
          <w:rFonts w:ascii="Lato" w:hAnsi="Lato"/>
          <w:i/>
          <w:iCs/>
          <w:sz w:val="20"/>
          <w:szCs w:val="20"/>
        </w:rPr>
        <w:t>Instrukcji przeprowadzania inwentaryzacji</w:t>
      </w:r>
      <w:r w:rsidRPr="00BE5C0A">
        <w:rPr>
          <w:rFonts w:ascii="Lato" w:hAnsi="Lato"/>
          <w:iCs/>
          <w:sz w:val="20"/>
          <w:szCs w:val="20"/>
        </w:rPr>
        <w:t xml:space="preserve"> w zakresie osób uprawnionych do otrzymania </w:t>
      </w:r>
      <w:r w:rsidRPr="00733D41">
        <w:rPr>
          <w:rFonts w:ascii="Lato" w:hAnsi="Lato"/>
          <w:i/>
          <w:iCs/>
          <w:sz w:val="20"/>
          <w:szCs w:val="20"/>
        </w:rPr>
        <w:t>Sprawozdania zbiorczego z inwentaryzacji</w:t>
      </w:r>
      <w:r w:rsidRPr="00BE5C0A">
        <w:rPr>
          <w:rFonts w:ascii="Lato" w:hAnsi="Lato"/>
          <w:iCs/>
          <w:sz w:val="20"/>
          <w:szCs w:val="20"/>
        </w:rPr>
        <w:t xml:space="preserve"> oraz wymogu jego akceptacji przez Kierownictwo PIM.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Wzmocnienie nadzoru nad obszarem przyjmowania darowizn przez PIM MSWiA oraz  uwrażliwienie pracowników na potrzebę dbałości o pozytywny wizerunek Instytutu,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>w tym przestrzeganie zasad etycznych, tak aby nie dochodziło do sytuacji apelowania przez pracowników PIM do pacjentów czy ich rodzin o dokonywanie wpłat na rzecz podmiotów udzielających mu darowizn.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Przestrzeganie postanowień </w:t>
      </w:r>
      <w:r w:rsidRPr="00733D41">
        <w:rPr>
          <w:rFonts w:ascii="Lato" w:hAnsi="Lato"/>
          <w:i/>
          <w:iCs/>
          <w:sz w:val="20"/>
          <w:szCs w:val="20"/>
        </w:rPr>
        <w:t>Instrukcji w sprawie darowizn</w:t>
      </w:r>
      <w:r w:rsidRPr="00BE5C0A">
        <w:rPr>
          <w:rFonts w:ascii="Lato" w:hAnsi="Lato"/>
          <w:iCs/>
          <w:sz w:val="20"/>
          <w:szCs w:val="20"/>
        </w:rPr>
        <w:t xml:space="preserve"> w zakresie przyjmowania przedmiotów darowizn po uzyskiwaniu zgody Dyrektora PIM MSWiA na ich przyjęcie.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Rzetelne wskazywanie w protokołach zdawczo-odbiorczych terminów (dat dziennych) przyjęcia darowizn.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Bieżące weryfikowanie zawartych umów darowizn w zakresie kompletności dostarczanych przedmiotów, a w sytuacjach tego wymagających niezwłoczne aneksowanie umów.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>Każdorazowe weryfikowanie, czy otrzymywane darowizny rzeczowych składników majątku posiadają certyfikaty dopuszczające je do obrotu i stosowania.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Niezwłoczne i rzetelne sporządzanie dowodów przyjęć darowizn oraz terminowe ich przekazywanie do Działu Księgowości i Sprawozdawczości.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Rzetelne wprowadzanie do ewidencji ilościowo–wartościowej informacji o wszystkich otrzymanych w drodze darowizn środkach trwałych i wyposażeniu.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Przestrzeganie postanowień </w:t>
      </w:r>
      <w:r w:rsidRPr="00733D41">
        <w:rPr>
          <w:rFonts w:ascii="Lato" w:hAnsi="Lato"/>
          <w:i/>
          <w:iCs/>
          <w:sz w:val="20"/>
          <w:szCs w:val="20"/>
        </w:rPr>
        <w:t>Instrukcji w sprawie darowizn</w:t>
      </w:r>
      <w:r w:rsidRPr="00BE5C0A">
        <w:rPr>
          <w:rFonts w:ascii="Lato" w:hAnsi="Lato"/>
          <w:iCs/>
          <w:sz w:val="20"/>
          <w:szCs w:val="20"/>
        </w:rPr>
        <w:t xml:space="preserve"> w zakresie obowiązku zatwierdzania przez Dyrektora PIM MSWiA protokołów zdawczo-odbiorczych dotyczących przyjmowanych darowizn.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Rzetelne prowadzenie </w:t>
      </w:r>
      <w:r w:rsidRPr="00733D41">
        <w:rPr>
          <w:rFonts w:ascii="Lato" w:hAnsi="Lato"/>
          <w:i/>
          <w:iCs/>
          <w:sz w:val="20"/>
          <w:szCs w:val="20"/>
        </w:rPr>
        <w:t>elektronicznego rejestru przyjętych rzeczowych składników majątku</w:t>
      </w:r>
      <w:r w:rsidRPr="00BE5C0A">
        <w:rPr>
          <w:rFonts w:ascii="Lato" w:hAnsi="Lato"/>
          <w:iCs/>
          <w:sz w:val="20"/>
          <w:szCs w:val="20"/>
        </w:rPr>
        <w:t xml:space="preserve">, dokonanie korekty omyłek powstałych przy odtwarzaniu rejestru oraz wprowadzenie rozwiązań organizacyjno-funkcjonalnych zapobiegających utracie danych z rejestru.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Usunięcie z </w:t>
      </w:r>
      <w:r w:rsidRPr="00733D41">
        <w:rPr>
          <w:rFonts w:ascii="Lato" w:hAnsi="Lato"/>
          <w:i/>
          <w:iCs/>
          <w:sz w:val="20"/>
          <w:szCs w:val="20"/>
        </w:rPr>
        <w:t>Procedury gospodarowania składnikami majątkowymi i ewidencji</w:t>
      </w:r>
      <w:r w:rsidRPr="00BE5C0A">
        <w:rPr>
          <w:rFonts w:ascii="Lato" w:hAnsi="Lato"/>
          <w:iCs/>
          <w:sz w:val="20"/>
          <w:szCs w:val="20"/>
        </w:rPr>
        <w:t xml:space="preserve"> zapisów w</w:t>
      </w:r>
      <w:r w:rsidR="006B114F">
        <w:rPr>
          <w:rFonts w:ascii="Lato" w:hAnsi="Lato"/>
          <w:iCs/>
          <w:sz w:val="20"/>
          <w:szCs w:val="20"/>
        </w:rPr>
        <w:t> </w:t>
      </w:r>
      <w:r w:rsidRPr="00BE5C0A">
        <w:rPr>
          <w:rFonts w:ascii="Lato" w:hAnsi="Lato"/>
          <w:iCs/>
          <w:sz w:val="20"/>
          <w:szCs w:val="20"/>
        </w:rPr>
        <w:t xml:space="preserve">zakresie wymogu uzyskania opinii Rady Społecznej przed przyjęciem przez Instytut darowizny nowej aparatury i sprzętu medycznego.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Wprowadzenie mechanizmów nadzorczych zapewniających skuteczny nadzór nad środkami trwałymi podczas prac modernizacyjnych/remontowych lub w razie zaistnienia innego rodzaju zdarzeń wymagających ich relokacji, w tym sporządzanie spisów zdawczo-odbiorczych lub innej dokumentacji umożliwiającej skuteczne sprawowanie nadzoru nad tymi środkami.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Przechowywanie aparatury medycznej w warunkach uniemożliwiających dostęp osób nieuprawnionych oraz zapewniających utrzymanie sprawności technicznej,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>a w przypadku konieczności tymczasowego relokowania urządzeń do pomieszań nieprzeznaczonych na cele magazynowe, przeprowadzanie analizy wpływu na urządzenia warunków środowiskowych panujących w tych pomieszczeniach.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Bieżące aktualizowanie wykazu osób uprawnionych do pobrania kluczy do pomieszczeń magazynowych i każdorazowe dokumentowanie pobrania kluczy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>do danego pomieszczenia w przeznaczonej do tego ewidencji.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Określenie zasad/procedur dostępu do tymczasowych miejsc przechowywania składników majątku trwałego, dla których nie jest prowadzona ewidencja pobrania </w:t>
      </w:r>
      <w:r w:rsidRPr="00BE5C0A">
        <w:rPr>
          <w:rFonts w:ascii="Lato" w:hAnsi="Lato"/>
          <w:iCs/>
          <w:sz w:val="20"/>
          <w:szCs w:val="20"/>
        </w:rPr>
        <w:lastRenderedPageBreak/>
        <w:t>kluczy, w szczególności w zakresie zasad dostępu do tych miejsc osób innych niż nadzorujące majątek.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>Zapewnienie aktualnych wykazów magazynowego sprzętu i aparatury medycznej.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Dokonanie analizy możliwości zagospodarowania magazynowanych urządzeń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 xml:space="preserve">i aparatury medycznej przy uwzględnieniu szczególnej roli Instytutu, w tym możliwości powierzenia mu zadań z zakresu obronności i bezpieczeństwa publicznego.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Przestrzeganie regulacji wewnętrznych w zakresie obowiązku sporządzania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>i przekazywania do Dyrekcji PIM notatek służbowych z okoliczności ujawnienia szkody.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Każdorazowe niezwłoczne zawiadamianie organów ścigania w przypadku szkód,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 xml:space="preserve">co do których istnieje podejrzenie popełnienia czynu zabronionego.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Prowadzenie czynności w sprawie ujawnionych szkód w sposób umożliwiający zabezpieczenie interesów Instytutu, w tym opracowanie kompleksowych procedur prowadzenia postępowań związanych z powstałymi szkodami w majątku PIM obejmujących m.in. sposób: przeprowadzania i dokumentowania czynności dowodowych, ustalenia stopnia zawinienia oraz ewentualnej umyślności postępowania osoby odpowiedzialnej za jej wyrządzenie, uzyskiwania niezbędnych opinii i rekomendacji, zatwierdzania przez Kierownictwo protokołów z prac komisji,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 xml:space="preserve">a także określających sposób wyceny składników majątku poddawanych procedurze szkodowej oraz wskazujących osoby/komórki odpowiedzialne za sporządzenie dla tych składników dowodów księgowych (dokument LT) w oparciu, o które składniki </w:t>
      </w:r>
      <w:r w:rsidR="00F937B5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 xml:space="preserve">te zostaną wycofane z ewidencji. 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Do czasu przyjęcia nowych regulacji w zakresie prowadzenia postępowań </w:t>
      </w:r>
      <w:r w:rsidR="007873A7" w:rsidRPr="00BE5C0A">
        <w:rPr>
          <w:rFonts w:ascii="Lato" w:hAnsi="Lato"/>
          <w:iCs/>
          <w:sz w:val="20"/>
          <w:szCs w:val="20"/>
        </w:rPr>
        <w:t>szkodowych rzetelne</w:t>
      </w:r>
      <w:r w:rsidRPr="00BE5C0A">
        <w:rPr>
          <w:rFonts w:ascii="Lato" w:hAnsi="Lato"/>
          <w:iCs/>
          <w:sz w:val="20"/>
          <w:szCs w:val="20"/>
        </w:rPr>
        <w:t xml:space="preserve"> stosowanie procedury określonej w decyzji nr 53/06 Dyrektora CSK MSWiA w Warszawie z dnia 10 listopada 2006 r., w tym realizowanie wymogu uzyskania do formułowanych przez Komisje ds. Likwidacji Szkód wniosków opinii radcy prawnego </w:t>
      </w:r>
      <w:r w:rsidR="00D51BD3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>i Głównego Księgowego.</w:t>
      </w:r>
    </w:p>
    <w:p w:rsidR="00BE5C0A" w:rsidRPr="00BE5C0A" w:rsidRDefault="00BE5C0A" w:rsidP="00733D41">
      <w:pPr>
        <w:pStyle w:val="Akapitzlist"/>
        <w:numPr>
          <w:ilvl w:val="0"/>
          <w:numId w:val="3"/>
        </w:numPr>
        <w:spacing w:after="6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Wycenianie wszystkich składników majątku poddawanego procedurze szkodowej </w:t>
      </w:r>
      <w:r w:rsidR="00D51BD3">
        <w:rPr>
          <w:rFonts w:ascii="Lato" w:hAnsi="Lato"/>
          <w:iCs/>
          <w:sz w:val="20"/>
          <w:szCs w:val="20"/>
        </w:rPr>
        <w:br/>
      </w:r>
      <w:r w:rsidRPr="00BE5C0A">
        <w:rPr>
          <w:rFonts w:ascii="Lato" w:hAnsi="Lato"/>
          <w:iCs/>
          <w:sz w:val="20"/>
          <w:szCs w:val="20"/>
        </w:rPr>
        <w:t xml:space="preserve">w sposób zgodny z regulacjami wewnętrznymi. </w:t>
      </w:r>
    </w:p>
    <w:p w:rsidR="001C020A" w:rsidRPr="00FE5413" w:rsidRDefault="00BE5C0A" w:rsidP="00733D41">
      <w:pPr>
        <w:pStyle w:val="Akapitzlist"/>
        <w:numPr>
          <w:ilvl w:val="0"/>
          <w:numId w:val="3"/>
        </w:numPr>
        <w:spacing w:after="240" w:line="259" w:lineRule="auto"/>
        <w:ind w:left="357" w:hanging="357"/>
        <w:contextualSpacing w:val="0"/>
        <w:rPr>
          <w:rFonts w:ascii="Lato" w:hAnsi="Lato"/>
          <w:iCs/>
          <w:sz w:val="20"/>
          <w:szCs w:val="20"/>
        </w:rPr>
      </w:pPr>
      <w:r w:rsidRPr="00BE5C0A">
        <w:rPr>
          <w:rFonts w:ascii="Lato" w:hAnsi="Lato"/>
          <w:iCs/>
          <w:sz w:val="20"/>
          <w:szCs w:val="20"/>
        </w:rPr>
        <w:t xml:space="preserve">Sporządzanie i zatwierdzanie dla składników majątku utraconego w wyniku szkody dowodów LT </w:t>
      </w:r>
      <w:r w:rsidR="00FE5413">
        <w:rPr>
          <w:rFonts w:ascii="Lato" w:hAnsi="Lato"/>
          <w:iCs/>
          <w:sz w:val="20"/>
          <w:szCs w:val="20"/>
        </w:rPr>
        <w:t>dokumentujących rozchód majątku.</w:t>
      </w:r>
    </w:p>
    <w:p w:rsidR="00B25435" w:rsidRPr="00677381" w:rsidRDefault="00677381" w:rsidP="00D00435">
      <w:pPr>
        <w:spacing w:after="60"/>
        <w:jc w:val="both"/>
        <w:rPr>
          <w:rFonts w:ascii="Lato" w:eastAsia="Calibri" w:hAnsi="Lato" w:cs="Times New Roman"/>
          <w:b/>
          <w:sz w:val="20"/>
          <w:szCs w:val="20"/>
          <w:u w:val="single"/>
          <w:lang w:eastAsia="ar-SA"/>
        </w:rPr>
      </w:pPr>
      <w:r w:rsidRPr="00677381">
        <w:rPr>
          <w:rFonts w:ascii="Lato" w:eastAsia="Calibri" w:hAnsi="Lato" w:cs="Times New Roman"/>
          <w:b/>
          <w:sz w:val="20"/>
          <w:szCs w:val="20"/>
          <w:u w:val="single"/>
          <w:lang w:eastAsia="ar-SA"/>
        </w:rPr>
        <w:t>Wnios</w:t>
      </w:r>
      <w:r w:rsidR="00FE5413">
        <w:rPr>
          <w:rFonts w:ascii="Lato" w:eastAsia="Calibri" w:hAnsi="Lato" w:cs="Times New Roman"/>
          <w:b/>
          <w:sz w:val="20"/>
          <w:szCs w:val="20"/>
          <w:u w:val="single"/>
          <w:lang w:eastAsia="ar-SA"/>
        </w:rPr>
        <w:t>e</w:t>
      </w:r>
      <w:r w:rsidRPr="00677381">
        <w:rPr>
          <w:rFonts w:ascii="Lato" w:eastAsia="Calibri" w:hAnsi="Lato" w:cs="Times New Roman"/>
          <w:b/>
          <w:sz w:val="20"/>
          <w:szCs w:val="20"/>
          <w:u w:val="single"/>
          <w:lang w:eastAsia="ar-SA"/>
        </w:rPr>
        <w:t>k:</w:t>
      </w:r>
    </w:p>
    <w:p w:rsidR="00D3355B" w:rsidRPr="00FE5413" w:rsidRDefault="00FE5413" w:rsidP="00D00435">
      <w:pPr>
        <w:spacing w:after="60"/>
        <w:rPr>
          <w:rFonts w:ascii="Lato" w:hAnsi="Lato"/>
          <w:sz w:val="20"/>
          <w:szCs w:val="20"/>
          <w:lang w:eastAsia="ar-SA"/>
        </w:rPr>
      </w:pPr>
      <w:r w:rsidRPr="00FE5413">
        <w:rPr>
          <w:rFonts w:ascii="Lato" w:hAnsi="Lato"/>
          <w:sz w:val="20"/>
          <w:szCs w:val="20"/>
          <w:lang w:eastAsia="ar-SA"/>
        </w:rPr>
        <w:t>Rozważnie możliwości skorygowania w ewidencji wyposażenia zamieszczonych w niej zapisów numerów inwentarzowych dla tożsamych rodzajowo przedmiotów w postaci kilku następujących po sobie numerów oraz ponownego oznakowania tych składników majątku indywidualnymi numerami inwentarzowymi.</w:t>
      </w:r>
    </w:p>
    <w:sectPr w:rsidR="00D3355B" w:rsidRPr="00FE5413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59" w:rsidRDefault="00077959" w:rsidP="009276B2">
      <w:pPr>
        <w:spacing w:after="0" w:line="240" w:lineRule="auto"/>
      </w:pPr>
      <w:r>
        <w:separator/>
      </w:r>
    </w:p>
  </w:endnote>
  <w:endnote w:type="continuationSeparator" w:id="0">
    <w:p w:rsidR="00077959" w:rsidRDefault="0007795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873A7" w:rsidRDefault="007873A7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C709A9">
              <w:rPr>
                <w:b/>
                <w:bCs/>
                <w:noProof/>
                <w:sz w:val="16"/>
                <w:szCs w:val="16"/>
              </w:rPr>
              <w:t>4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C709A9">
              <w:rPr>
                <w:b/>
                <w:bCs/>
                <w:noProof/>
                <w:sz w:val="16"/>
                <w:szCs w:val="16"/>
              </w:rPr>
              <w:t>12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873A7" w:rsidRPr="008C2B4F" w:rsidRDefault="007873A7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A7" w:rsidRPr="00792310" w:rsidRDefault="007873A7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:rsidR="007873A7" w:rsidRPr="00792310" w:rsidRDefault="007873A7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D1F64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:rsidR="007873A7" w:rsidRPr="008C2B4F" w:rsidRDefault="007873A7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59" w:rsidRDefault="00077959" w:rsidP="009276B2">
      <w:pPr>
        <w:spacing w:after="0" w:line="240" w:lineRule="auto"/>
      </w:pPr>
      <w:r>
        <w:separator/>
      </w:r>
    </w:p>
  </w:footnote>
  <w:footnote w:type="continuationSeparator" w:id="0">
    <w:p w:rsidR="00077959" w:rsidRDefault="00077959" w:rsidP="009276B2">
      <w:pPr>
        <w:spacing w:after="0" w:line="240" w:lineRule="auto"/>
      </w:pPr>
      <w:r>
        <w:continuationSeparator/>
      </w:r>
    </w:p>
  </w:footnote>
  <w:footnote w:id="1">
    <w:p w:rsidR="007873A7" w:rsidRPr="00733D41" w:rsidRDefault="007873A7" w:rsidP="00733D41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733D41">
        <w:rPr>
          <w:rStyle w:val="Odwoanieprzypisudolnego"/>
          <w:rFonts w:ascii="Lato" w:hAnsi="Lato"/>
          <w:sz w:val="16"/>
          <w:szCs w:val="16"/>
        </w:rPr>
        <w:footnoteRef/>
      </w:r>
      <w:r w:rsidRPr="00733D41">
        <w:rPr>
          <w:rFonts w:ascii="Lato" w:hAnsi="Lato"/>
          <w:sz w:val="16"/>
          <w:szCs w:val="16"/>
        </w:rPr>
        <w:t xml:space="preserve">  </w:t>
      </w:r>
      <w:r w:rsidRPr="007873A7">
        <w:rPr>
          <w:rFonts w:ascii="Lato" w:hAnsi="Lato"/>
          <w:sz w:val="16"/>
          <w:szCs w:val="16"/>
        </w:rPr>
        <w:t>Dalej: PIM, PIM MSWiA, Instytut lub jednostka kontrolowana</w:t>
      </w:r>
      <w:r>
        <w:rPr>
          <w:rFonts w:ascii="Lato" w:hAnsi="Lato"/>
          <w:sz w:val="16"/>
          <w:szCs w:val="16"/>
        </w:rPr>
        <w:t>.</w:t>
      </w:r>
    </w:p>
  </w:footnote>
  <w:footnote w:id="2">
    <w:p w:rsidR="007873A7" w:rsidRPr="007873A7" w:rsidRDefault="007873A7" w:rsidP="007873A7">
      <w:pPr>
        <w:pStyle w:val="Tekstprzypisudolnego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7873A7">
        <w:rPr>
          <w:rStyle w:val="Odwoanieprzypisudolnego"/>
          <w:rFonts w:ascii="Lato" w:hAnsi="Lato"/>
          <w:sz w:val="16"/>
          <w:szCs w:val="16"/>
        </w:rPr>
        <w:footnoteRef/>
      </w:r>
      <w:r w:rsidRPr="007873A7">
        <w:rPr>
          <w:rFonts w:ascii="Lato" w:hAnsi="Lato"/>
          <w:sz w:val="16"/>
          <w:szCs w:val="16"/>
        </w:rPr>
        <w:t xml:space="preserve"> </w:t>
      </w:r>
      <w:r w:rsidRPr="007873A7">
        <w:rPr>
          <w:rFonts w:ascii="Lato" w:hAnsi="Lato"/>
          <w:bCs/>
          <w:sz w:val="16"/>
          <w:szCs w:val="16"/>
        </w:rPr>
        <w:t>tj. Dz. U. z 2020 r. poz. 224.</w:t>
      </w:r>
    </w:p>
  </w:footnote>
  <w:footnote w:id="3">
    <w:p w:rsidR="007873A7" w:rsidRPr="007873A7" w:rsidRDefault="007873A7" w:rsidP="00733D41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733D41">
        <w:rPr>
          <w:rStyle w:val="Odwoanieprzypisudolnego"/>
          <w:rFonts w:ascii="Lato" w:hAnsi="Lato"/>
          <w:sz w:val="16"/>
          <w:szCs w:val="16"/>
        </w:rPr>
        <w:footnoteRef/>
      </w:r>
      <w:r w:rsidRPr="00733D41">
        <w:rPr>
          <w:rFonts w:ascii="Lato" w:hAnsi="Lato"/>
          <w:sz w:val="16"/>
          <w:szCs w:val="16"/>
        </w:rPr>
        <w:t xml:space="preserve"> </w:t>
      </w:r>
      <w:r w:rsidRPr="007873A7">
        <w:rPr>
          <w:rFonts w:ascii="Lato" w:hAnsi="Lato"/>
          <w:sz w:val="16"/>
          <w:szCs w:val="16"/>
        </w:rPr>
        <w:t xml:space="preserve">Kontrola poza </w:t>
      </w:r>
      <w:r w:rsidRPr="007873A7">
        <w:rPr>
          <w:rFonts w:ascii="Lato" w:hAnsi="Lato"/>
          <w:i/>
          <w:iCs/>
          <w:sz w:val="16"/>
          <w:szCs w:val="16"/>
        </w:rPr>
        <w:t>Planem kontroli Ministerstwa Spraw Wewnętrznych i Administracji na rok 2025,</w:t>
      </w:r>
      <w:r>
        <w:rPr>
          <w:rFonts w:ascii="Lato" w:hAnsi="Lato"/>
          <w:i/>
          <w:iCs/>
          <w:sz w:val="16"/>
          <w:szCs w:val="16"/>
        </w:rPr>
        <w:t xml:space="preserve"> </w:t>
      </w:r>
      <w:r w:rsidRPr="007873A7">
        <w:rPr>
          <w:rFonts w:ascii="Lato" w:hAnsi="Lato"/>
          <w:sz w:val="16"/>
          <w:szCs w:val="16"/>
        </w:rPr>
        <w:t xml:space="preserve">zarządzona w trybie uproszczonym, zmienionym następnie w tryb zwykły – na podstawie art. 53 ustawy z dnia 15 lipca 2011 r. </w:t>
      </w:r>
      <w:r w:rsidRPr="007873A7">
        <w:rPr>
          <w:rFonts w:ascii="Lato" w:hAnsi="Lato"/>
          <w:i/>
          <w:iCs/>
          <w:sz w:val="16"/>
          <w:szCs w:val="16"/>
        </w:rPr>
        <w:t>o kontroli w administracji rządowej.</w:t>
      </w:r>
    </w:p>
    <w:p w:rsidR="007873A7" w:rsidRDefault="007873A7">
      <w:pPr>
        <w:pStyle w:val="Tekstprzypisudolnego"/>
      </w:pPr>
    </w:p>
  </w:footnote>
  <w:footnote w:id="4">
    <w:p w:rsidR="007873A7" w:rsidRPr="00BC0778" w:rsidRDefault="007873A7" w:rsidP="001B57F6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BC0778">
        <w:rPr>
          <w:rStyle w:val="Odwoanieprzypisudolnego"/>
          <w:rFonts w:ascii="Lato" w:hAnsi="Lato"/>
          <w:sz w:val="16"/>
          <w:szCs w:val="16"/>
        </w:rPr>
        <w:footnoteRef/>
      </w:r>
      <w:r w:rsidRPr="00BC0778">
        <w:rPr>
          <w:rFonts w:ascii="Lato" w:hAnsi="Lato"/>
          <w:sz w:val="16"/>
          <w:szCs w:val="16"/>
        </w:rPr>
        <w:t xml:space="preserve"> Dalej: </w:t>
      </w:r>
      <w:r w:rsidRPr="00BC0778">
        <w:rPr>
          <w:rFonts w:ascii="Lato" w:hAnsi="Lato"/>
          <w:i/>
          <w:sz w:val="16"/>
          <w:szCs w:val="16"/>
        </w:rPr>
        <w:t>Procedura gospodarowania składnikami majątkowymi i ewidencji</w:t>
      </w:r>
      <w:r w:rsidRPr="00BC0778">
        <w:rPr>
          <w:rFonts w:ascii="Lato" w:hAnsi="Lato"/>
          <w:sz w:val="16"/>
          <w:szCs w:val="16"/>
        </w:rPr>
        <w:t>.</w:t>
      </w:r>
    </w:p>
  </w:footnote>
  <w:footnote w:id="5">
    <w:p w:rsidR="007873A7" w:rsidRPr="00C92906" w:rsidRDefault="007873A7" w:rsidP="001B57F6">
      <w:pPr>
        <w:pStyle w:val="Tekstprzypisudolnego"/>
        <w:spacing w:after="0"/>
        <w:rPr>
          <w:rFonts w:ascii="Lato" w:hAnsi="Lato"/>
          <w:sz w:val="16"/>
          <w:szCs w:val="16"/>
        </w:rPr>
      </w:pPr>
      <w:r w:rsidRPr="00C92906">
        <w:rPr>
          <w:rStyle w:val="Odwoanieprzypisudolnego"/>
          <w:rFonts w:ascii="Lato" w:hAnsi="Lato"/>
          <w:sz w:val="16"/>
          <w:szCs w:val="16"/>
        </w:rPr>
        <w:footnoteRef/>
      </w:r>
      <w:r w:rsidRPr="00C92906">
        <w:rPr>
          <w:rFonts w:ascii="Lato" w:hAnsi="Lato"/>
          <w:sz w:val="16"/>
          <w:szCs w:val="16"/>
        </w:rPr>
        <w:t xml:space="preserve"> Dalej: Szpital Tymczasowy na Stadionie Narodowym</w:t>
      </w:r>
      <w:r>
        <w:rPr>
          <w:rFonts w:ascii="Lato" w:hAnsi="Lato"/>
          <w:sz w:val="16"/>
          <w:szCs w:val="16"/>
        </w:rPr>
        <w:t>, Szpital Tymczasowy</w:t>
      </w:r>
      <w:r w:rsidRPr="00C92906">
        <w:rPr>
          <w:rFonts w:ascii="Lato" w:hAnsi="Lato"/>
          <w:sz w:val="16"/>
          <w:szCs w:val="16"/>
        </w:rPr>
        <w:t xml:space="preserve">. </w:t>
      </w:r>
    </w:p>
  </w:footnote>
  <w:footnote w:id="6">
    <w:p w:rsidR="007873A7" w:rsidRPr="00DF10B2" w:rsidRDefault="007873A7" w:rsidP="00733D41">
      <w:pPr>
        <w:pStyle w:val="Tekstprzypisudolnego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F10B2">
        <w:rPr>
          <w:rStyle w:val="Odwoanieprzypisudolnego"/>
          <w:rFonts w:ascii="Lato" w:hAnsi="Lato"/>
          <w:sz w:val="16"/>
          <w:szCs w:val="16"/>
        </w:rPr>
        <w:footnoteRef/>
      </w:r>
      <w:r w:rsidRPr="00DF10B2">
        <w:rPr>
          <w:rFonts w:ascii="Lato" w:hAnsi="Lato"/>
          <w:sz w:val="16"/>
          <w:szCs w:val="16"/>
        </w:rPr>
        <w:t xml:space="preserve"> </w:t>
      </w:r>
      <w:r w:rsidR="002B2689">
        <w:rPr>
          <w:rFonts w:ascii="Lato" w:hAnsi="Lato"/>
          <w:sz w:val="16"/>
          <w:szCs w:val="16"/>
        </w:rPr>
        <w:t>t</w:t>
      </w:r>
      <w:r w:rsidRPr="00DF10B2">
        <w:rPr>
          <w:rFonts w:ascii="Lato" w:hAnsi="Lato" w:cs="Calibri"/>
          <w:sz w:val="16"/>
          <w:szCs w:val="16"/>
        </w:rPr>
        <w:t xml:space="preserve">j. Dz. U. z 2024 r. poz. 104 z </w:t>
      </w:r>
      <w:proofErr w:type="spellStart"/>
      <w:r w:rsidRPr="00DF10B2">
        <w:rPr>
          <w:rFonts w:ascii="Lato" w:hAnsi="Lato" w:cs="Calibri"/>
          <w:sz w:val="16"/>
          <w:szCs w:val="16"/>
        </w:rPr>
        <w:t>późn</w:t>
      </w:r>
      <w:proofErr w:type="spellEnd"/>
      <w:r w:rsidRPr="00DF10B2">
        <w:rPr>
          <w:rFonts w:ascii="Lato" w:hAnsi="Lato" w:cs="Calibri"/>
          <w:sz w:val="16"/>
          <w:szCs w:val="16"/>
        </w:rPr>
        <w:t>. zm.</w:t>
      </w:r>
    </w:p>
  </w:footnote>
  <w:footnote w:id="7">
    <w:p w:rsidR="007873A7" w:rsidRDefault="007873A7" w:rsidP="00733D41">
      <w:pPr>
        <w:pStyle w:val="Tekstprzypisudolnego"/>
        <w:spacing w:after="0" w:line="240" w:lineRule="auto"/>
      </w:pPr>
      <w:r w:rsidRPr="00DF10B2">
        <w:rPr>
          <w:rStyle w:val="Odwoanieprzypisudolnego"/>
          <w:rFonts w:ascii="Lato" w:hAnsi="Lato"/>
          <w:sz w:val="16"/>
          <w:szCs w:val="16"/>
        </w:rPr>
        <w:footnoteRef/>
      </w:r>
      <w:r w:rsidRPr="00DF10B2">
        <w:rPr>
          <w:rFonts w:ascii="Lato" w:hAnsi="Lato"/>
          <w:sz w:val="16"/>
          <w:szCs w:val="16"/>
        </w:rPr>
        <w:t xml:space="preserve"> </w:t>
      </w:r>
      <w:r w:rsidR="002B2689">
        <w:rPr>
          <w:rFonts w:ascii="Lato" w:hAnsi="Lato"/>
          <w:sz w:val="16"/>
          <w:szCs w:val="16"/>
        </w:rPr>
        <w:t>t</w:t>
      </w:r>
      <w:r w:rsidRPr="00DF10B2">
        <w:rPr>
          <w:rFonts w:ascii="Lato" w:hAnsi="Lato" w:cs="Calibri"/>
          <w:sz w:val="16"/>
          <w:szCs w:val="16"/>
        </w:rPr>
        <w:t xml:space="preserve">j. Dz. U. z 2023 r. poz. 120 z </w:t>
      </w:r>
      <w:proofErr w:type="spellStart"/>
      <w:r w:rsidRPr="00DF10B2">
        <w:rPr>
          <w:rFonts w:ascii="Lato" w:hAnsi="Lato" w:cs="Calibri"/>
          <w:sz w:val="16"/>
          <w:szCs w:val="16"/>
        </w:rPr>
        <w:t>późn</w:t>
      </w:r>
      <w:proofErr w:type="spellEnd"/>
      <w:r w:rsidRPr="00DF10B2">
        <w:rPr>
          <w:rFonts w:ascii="Lato" w:hAnsi="Lato" w:cs="Calibri"/>
          <w:sz w:val="16"/>
          <w:szCs w:val="16"/>
        </w:rPr>
        <w:t>. zm.</w:t>
      </w:r>
    </w:p>
  </w:footnote>
  <w:footnote w:id="8">
    <w:p w:rsidR="007873A7" w:rsidRPr="00B559B6" w:rsidRDefault="007873A7" w:rsidP="00664E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B559B6"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</w:rPr>
        <w:t xml:space="preserve"> Dalej: CSK, CSK MSWiA</w:t>
      </w:r>
      <w:r w:rsidRPr="00B559B6">
        <w:rPr>
          <w:rFonts w:ascii="Lato" w:hAnsi="Lato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A7" w:rsidRDefault="007873A7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A7" w:rsidRDefault="007873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0C5"/>
    <w:multiLevelType w:val="hybridMultilevel"/>
    <w:tmpl w:val="AEFECBAC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60C1"/>
    <w:multiLevelType w:val="hybridMultilevel"/>
    <w:tmpl w:val="29A64DE4"/>
    <w:lvl w:ilvl="0" w:tplc="6F78B9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15A27"/>
    <w:multiLevelType w:val="hybridMultilevel"/>
    <w:tmpl w:val="9A9CC20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CE22A5"/>
    <w:multiLevelType w:val="hybridMultilevel"/>
    <w:tmpl w:val="A268F2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3907"/>
    <w:multiLevelType w:val="hybridMultilevel"/>
    <w:tmpl w:val="2A4E7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E90"/>
    <w:multiLevelType w:val="hybridMultilevel"/>
    <w:tmpl w:val="9356C38C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86851"/>
    <w:multiLevelType w:val="hybridMultilevel"/>
    <w:tmpl w:val="775A3AA0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6454"/>
    <w:multiLevelType w:val="hybridMultilevel"/>
    <w:tmpl w:val="4ED6E032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4B12"/>
    <w:multiLevelType w:val="hybridMultilevel"/>
    <w:tmpl w:val="46EE7540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20CFD"/>
    <w:multiLevelType w:val="hybridMultilevel"/>
    <w:tmpl w:val="2744E58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879DA"/>
    <w:multiLevelType w:val="hybridMultilevel"/>
    <w:tmpl w:val="022A742A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47D7"/>
    <w:multiLevelType w:val="hybridMultilevel"/>
    <w:tmpl w:val="757A4ED6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862"/>
    <w:multiLevelType w:val="hybridMultilevel"/>
    <w:tmpl w:val="18C25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2680B"/>
    <w:multiLevelType w:val="hybridMultilevel"/>
    <w:tmpl w:val="6128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14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6D13"/>
    <w:rsid w:val="00024232"/>
    <w:rsid w:val="00025BC7"/>
    <w:rsid w:val="0003147E"/>
    <w:rsid w:val="00037322"/>
    <w:rsid w:val="0003733A"/>
    <w:rsid w:val="0004251E"/>
    <w:rsid w:val="00043B3C"/>
    <w:rsid w:val="0004777B"/>
    <w:rsid w:val="0005317A"/>
    <w:rsid w:val="00055F10"/>
    <w:rsid w:val="00071739"/>
    <w:rsid w:val="00072DAE"/>
    <w:rsid w:val="00077959"/>
    <w:rsid w:val="0008251E"/>
    <w:rsid w:val="00085A3B"/>
    <w:rsid w:val="000929B3"/>
    <w:rsid w:val="000A012F"/>
    <w:rsid w:val="000A29C1"/>
    <w:rsid w:val="000A6638"/>
    <w:rsid w:val="000B189C"/>
    <w:rsid w:val="000B3CA3"/>
    <w:rsid w:val="000B7274"/>
    <w:rsid w:val="000B74D8"/>
    <w:rsid w:val="000C149D"/>
    <w:rsid w:val="000E274D"/>
    <w:rsid w:val="000F3D38"/>
    <w:rsid w:val="00100315"/>
    <w:rsid w:val="00104572"/>
    <w:rsid w:val="0010695B"/>
    <w:rsid w:val="00107CB5"/>
    <w:rsid w:val="00111B75"/>
    <w:rsid w:val="001120F3"/>
    <w:rsid w:val="001155FC"/>
    <w:rsid w:val="001236B0"/>
    <w:rsid w:val="00123B62"/>
    <w:rsid w:val="00125AC9"/>
    <w:rsid w:val="00134F2F"/>
    <w:rsid w:val="00150375"/>
    <w:rsid w:val="001547D5"/>
    <w:rsid w:val="001573A8"/>
    <w:rsid w:val="0016130F"/>
    <w:rsid w:val="0016387B"/>
    <w:rsid w:val="00163E04"/>
    <w:rsid w:val="00165299"/>
    <w:rsid w:val="00166A88"/>
    <w:rsid w:val="001734CD"/>
    <w:rsid w:val="00173C5E"/>
    <w:rsid w:val="001759EE"/>
    <w:rsid w:val="00183B62"/>
    <w:rsid w:val="001A0512"/>
    <w:rsid w:val="001A10E9"/>
    <w:rsid w:val="001A2F05"/>
    <w:rsid w:val="001B0B04"/>
    <w:rsid w:val="001B5701"/>
    <w:rsid w:val="001B57F6"/>
    <w:rsid w:val="001B6C4D"/>
    <w:rsid w:val="001B70EB"/>
    <w:rsid w:val="001C020A"/>
    <w:rsid w:val="001C3252"/>
    <w:rsid w:val="001C3C00"/>
    <w:rsid w:val="001D6CC5"/>
    <w:rsid w:val="001E76F9"/>
    <w:rsid w:val="001F0751"/>
    <w:rsid w:val="00200D53"/>
    <w:rsid w:val="002037D1"/>
    <w:rsid w:val="002112ED"/>
    <w:rsid w:val="002115B6"/>
    <w:rsid w:val="002279BC"/>
    <w:rsid w:val="00237547"/>
    <w:rsid w:val="002406A4"/>
    <w:rsid w:val="002526DD"/>
    <w:rsid w:val="0025333F"/>
    <w:rsid w:val="00254DC3"/>
    <w:rsid w:val="002750B7"/>
    <w:rsid w:val="00275FAA"/>
    <w:rsid w:val="00280C30"/>
    <w:rsid w:val="0028533C"/>
    <w:rsid w:val="00292C3A"/>
    <w:rsid w:val="002A1242"/>
    <w:rsid w:val="002A3366"/>
    <w:rsid w:val="002A416F"/>
    <w:rsid w:val="002A41DF"/>
    <w:rsid w:val="002A6100"/>
    <w:rsid w:val="002A74C1"/>
    <w:rsid w:val="002B2689"/>
    <w:rsid w:val="002B4898"/>
    <w:rsid w:val="002B67B0"/>
    <w:rsid w:val="002C4187"/>
    <w:rsid w:val="002C6F79"/>
    <w:rsid w:val="002D02D1"/>
    <w:rsid w:val="002D1649"/>
    <w:rsid w:val="002E0C2E"/>
    <w:rsid w:val="002E0C9D"/>
    <w:rsid w:val="002E30A7"/>
    <w:rsid w:val="002E7D4B"/>
    <w:rsid w:val="002F00A1"/>
    <w:rsid w:val="002F2C2E"/>
    <w:rsid w:val="002F690F"/>
    <w:rsid w:val="003008C8"/>
    <w:rsid w:val="003021C6"/>
    <w:rsid w:val="00307ED4"/>
    <w:rsid w:val="00317A4B"/>
    <w:rsid w:val="00321B10"/>
    <w:rsid w:val="00321D29"/>
    <w:rsid w:val="003574ED"/>
    <w:rsid w:val="00366DD5"/>
    <w:rsid w:val="00371BBD"/>
    <w:rsid w:val="0037378D"/>
    <w:rsid w:val="00382133"/>
    <w:rsid w:val="00393275"/>
    <w:rsid w:val="003A29E8"/>
    <w:rsid w:val="003A3FA6"/>
    <w:rsid w:val="003B0614"/>
    <w:rsid w:val="003B467D"/>
    <w:rsid w:val="003B70A1"/>
    <w:rsid w:val="003B725C"/>
    <w:rsid w:val="003C4302"/>
    <w:rsid w:val="003C431C"/>
    <w:rsid w:val="003C4A5F"/>
    <w:rsid w:val="003C6FB6"/>
    <w:rsid w:val="003D3721"/>
    <w:rsid w:val="003D670B"/>
    <w:rsid w:val="003E403D"/>
    <w:rsid w:val="003F0BDA"/>
    <w:rsid w:val="003F216A"/>
    <w:rsid w:val="003F770E"/>
    <w:rsid w:val="004050C2"/>
    <w:rsid w:val="00421E59"/>
    <w:rsid w:val="00424B56"/>
    <w:rsid w:val="004270CE"/>
    <w:rsid w:val="00434860"/>
    <w:rsid w:val="00446EB9"/>
    <w:rsid w:val="0046115F"/>
    <w:rsid w:val="00474969"/>
    <w:rsid w:val="00476674"/>
    <w:rsid w:val="00480D08"/>
    <w:rsid w:val="004829D0"/>
    <w:rsid w:val="004846F1"/>
    <w:rsid w:val="0049192B"/>
    <w:rsid w:val="004A0723"/>
    <w:rsid w:val="004A2223"/>
    <w:rsid w:val="004A41F8"/>
    <w:rsid w:val="004A6ABF"/>
    <w:rsid w:val="004A794F"/>
    <w:rsid w:val="004B5059"/>
    <w:rsid w:val="004C00FB"/>
    <w:rsid w:val="004C1CB6"/>
    <w:rsid w:val="004C760F"/>
    <w:rsid w:val="004D5301"/>
    <w:rsid w:val="004F5D02"/>
    <w:rsid w:val="00501339"/>
    <w:rsid w:val="00503B40"/>
    <w:rsid w:val="00504C88"/>
    <w:rsid w:val="005054DA"/>
    <w:rsid w:val="0050694F"/>
    <w:rsid w:val="00512F88"/>
    <w:rsid w:val="0051348C"/>
    <w:rsid w:val="005241AF"/>
    <w:rsid w:val="00525EFC"/>
    <w:rsid w:val="00541160"/>
    <w:rsid w:val="005447AC"/>
    <w:rsid w:val="00545697"/>
    <w:rsid w:val="005460AE"/>
    <w:rsid w:val="005561EF"/>
    <w:rsid w:val="00560AC8"/>
    <w:rsid w:val="00561D8F"/>
    <w:rsid w:val="005648EF"/>
    <w:rsid w:val="005675D6"/>
    <w:rsid w:val="0057171E"/>
    <w:rsid w:val="00576D08"/>
    <w:rsid w:val="00582AE5"/>
    <w:rsid w:val="00582E3B"/>
    <w:rsid w:val="00590C4E"/>
    <w:rsid w:val="0059434A"/>
    <w:rsid w:val="00594461"/>
    <w:rsid w:val="00595CB2"/>
    <w:rsid w:val="005966D7"/>
    <w:rsid w:val="00597A77"/>
    <w:rsid w:val="005A03CA"/>
    <w:rsid w:val="005A362F"/>
    <w:rsid w:val="005A75B2"/>
    <w:rsid w:val="005B2215"/>
    <w:rsid w:val="005C4D73"/>
    <w:rsid w:val="005C7373"/>
    <w:rsid w:val="005D01A8"/>
    <w:rsid w:val="005D0FB2"/>
    <w:rsid w:val="005D24CF"/>
    <w:rsid w:val="005E679F"/>
    <w:rsid w:val="005F17A0"/>
    <w:rsid w:val="005F20EC"/>
    <w:rsid w:val="005F3C20"/>
    <w:rsid w:val="00600BBF"/>
    <w:rsid w:val="00605C2B"/>
    <w:rsid w:val="00610E8A"/>
    <w:rsid w:val="00611573"/>
    <w:rsid w:val="006202D4"/>
    <w:rsid w:val="006240C3"/>
    <w:rsid w:val="006325FB"/>
    <w:rsid w:val="00636D44"/>
    <w:rsid w:val="00637456"/>
    <w:rsid w:val="00644DB9"/>
    <w:rsid w:val="0064747E"/>
    <w:rsid w:val="006507B0"/>
    <w:rsid w:val="00650E0C"/>
    <w:rsid w:val="00651508"/>
    <w:rsid w:val="00651600"/>
    <w:rsid w:val="00654256"/>
    <w:rsid w:val="006551A0"/>
    <w:rsid w:val="006613DD"/>
    <w:rsid w:val="00664EC4"/>
    <w:rsid w:val="00673E82"/>
    <w:rsid w:val="00677381"/>
    <w:rsid w:val="00684C9E"/>
    <w:rsid w:val="00687B0D"/>
    <w:rsid w:val="00690E4D"/>
    <w:rsid w:val="00692562"/>
    <w:rsid w:val="00694C05"/>
    <w:rsid w:val="006B114F"/>
    <w:rsid w:val="006B2D8B"/>
    <w:rsid w:val="006B37DF"/>
    <w:rsid w:val="006C69D7"/>
    <w:rsid w:val="006C7435"/>
    <w:rsid w:val="006D26B5"/>
    <w:rsid w:val="006D64FE"/>
    <w:rsid w:val="006D75FF"/>
    <w:rsid w:val="006E3A57"/>
    <w:rsid w:val="006E3ABC"/>
    <w:rsid w:val="006E476A"/>
    <w:rsid w:val="006E5E10"/>
    <w:rsid w:val="006F56E6"/>
    <w:rsid w:val="0070631E"/>
    <w:rsid w:val="007104D1"/>
    <w:rsid w:val="00712CB2"/>
    <w:rsid w:val="00716214"/>
    <w:rsid w:val="007171CC"/>
    <w:rsid w:val="00717B1E"/>
    <w:rsid w:val="00720016"/>
    <w:rsid w:val="007243F0"/>
    <w:rsid w:val="00732157"/>
    <w:rsid w:val="00733D41"/>
    <w:rsid w:val="00735E95"/>
    <w:rsid w:val="0073766D"/>
    <w:rsid w:val="00752937"/>
    <w:rsid w:val="007568A4"/>
    <w:rsid w:val="00765064"/>
    <w:rsid w:val="0076640B"/>
    <w:rsid w:val="007716B1"/>
    <w:rsid w:val="00773226"/>
    <w:rsid w:val="007747F3"/>
    <w:rsid w:val="007755F2"/>
    <w:rsid w:val="00784E84"/>
    <w:rsid w:val="007858B0"/>
    <w:rsid w:val="007873A7"/>
    <w:rsid w:val="00792310"/>
    <w:rsid w:val="0079427B"/>
    <w:rsid w:val="00797496"/>
    <w:rsid w:val="00797577"/>
    <w:rsid w:val="007A0080"/>
    <w:rsid w:val="007A6A9C"/>
    <w:rsid w:val="007B0134"/>
    <w:rsid w:val="007B07DC"/>
    <w:rsid w:val="007B49B3"/>
    <w:rsid w:val="007C0628"/>
    <w:rsid w:val="007C1FF0"/>
    <w:rsid w:val="007C2FDF"/>
    <w:rsid w:val="007C5A70"/>
    <w:rsid w:val="007D35E8"/>
    <w:rsid w:val="007D66AB"/>
    <w:rsid w:val="007F7E81"/>
    <w:rsid w:val="00807B32"/>
    <w:rsid w:val="00810D71"/>
    <w:rsid w:val="00813580"/>
    <w:rsid w:val="00816C71"/>
    <w:rsid w:val="008321E6"/>
    <w:rsid w:val="00840208"/>
    <w:rsid w:val="0085298A"/>
    <w:rsid w:val="00865F85"/>
    <w:rsid w:val="0086616B"/>
    <w:rsid w:val="00882F9C"/>
    <w:rsid w:val="00886510"/>
    <w:rsid w:val="0089598C"/>
    <w:rsid w:val="008A230A"/>
    <w:rsid w:val="008A3A5F"/>
    <w:rsid w:val="008B10E0"/>
    <w:rsid w:val="008B1D9D"/>
    <w:rsid w:val="008B39B9"/>
    <w:rsid w:val="008C2B4F"/>
    <w:rsid w:val="008C5605"/>
    <w:rsid w:val="008D1BD5"/>
    <w:rsid w:val="008D285B"/>
    <w:rsid w:val="008D5FB1"/>
    <w:rsid w:val="008F0FFC"/>
    <w:rsid w:val="008F1409"/>
    <w:rsid w:val="008F47FD"/>
    <w:rsid w:val="008F698D"/>
    <w:rsid w:val="009035E3"/>
    <w:rsid w:val="009207F5"/>
    <w:rsid w:val="009276B2"/>
    <w:rsid w:val="00933430"/>
    <w:rsid w:val="009338D9"/>
    <w:rsid w:val="0094339F"/>
    <w:rsid w:val="00944670"/>
    <w:rsid w:val="009532FA"/>
    <w:rsid w:val="00954041"/>
    <w:rsid w:val="00970D82"/>
    <w:rsid w:val="009748EB"/>
    <w:rsid w:val="009762E2"/>
    <w:rsid w:val="00982F20"/>
    <w:rsid w:val="0098357D"/>
    <w:rsid w:val="00992DE4"/>
    <w:rsid w:val="009A1EA0"/>
    <w:rsid w:val="009B1042"/>
    <w:rsid w:val="009B54A9"/>
    <w:rsid w:val="009D0B68"/>
    <w:rsid w:val="009D2514"/>
    <w:rsid w:val="009D75DF"/>
    <w:rsid w:val="009E0D6E"/>
    <w:rsid w:val="00A10548"/>
    <w:rsid w:val="00A31247"/>
    <w:rsid w:val="00A41AB7"/>
    <w:rsid w:val="00A51AD2"/>
    <w:rsid w:val="00A56DAA"/>
    <w:rsid w:val="00A70E01"/>
    <w:rsid w:val="00A7221D"/>
    <w:rsid w:val="00A800D8"/>
    <w:rsid w:val="00A878F3"/>
    <w:rsid w:val="00AB6D8A"/>
    <w:rsid w:val="00AC4826"/>
    <w:rsid w:val="00AC7CAF"/>
    <w:rsid w:val="00AD5033"/>
    <w:rsid w:val="00AD6984"/>
    <w:rsid w:val="00AE0F6E"/>
    <w:rsid w:val="00AE3483"/>
    <w:rsid w:val="00AE6415"/>
    <w:rsid w:val="00B14AF2"/>
    <w:rsid w:val="00B16C3C"/>
    <w:rsid w:val="00B20AD8"/>
    <w:rsid w:val="00B22724"/>
    <w:rsid w:val="00B252D8"/>
    <w:rsid w:val="00B25435"/>
    <w:rsid w:val="00B3053B"/>
    <w:rsid w:val="00B33A57"/>
    <w:rsid w:val="00B40C8C"/>
    <w:rsid w:val="00B40D8D"/>
    <w:rsid w:val="00B422BD"/>
    <w:rsid w:val="00B53FFD"/>
    <w:rsid w:val="00B65851"/>
    <w:rsid w:val="00B71294"/>
    <w:rsid w:val="00B820A2"/>
    <w:rsid w:val="00B82C09"/>
    <w:rsid w:val="00B82E72"/>
    <w:rsid w:val="00B835D2"/>
    <w:rsid w:val="00B84D3E"/>
    <w:rsid w:val="00B87744"/>
    <w:rsid w:val="00B938F0"/>
    <w:rsid w:val="00B9655B"/>
    <w:rsid w:val="00B97563"/>
    <w:rsid w:val="00BA729D"/>
    <w:rsid w:val="00BB129C"/>
    <w:rsid w:val="00BB2484"/>
    <w:rsid w:val="00BB252A"/>
    <w:rsid w:val="00BB7D07"/>
    <w:rsid w:val="00BC6CCE"/>
    <w:rsid w:val="00BE0B33"/>
    <w:rsid w:val="00BE1484"/>
    <w:rsid w:val="00BE1868"/>
    <w:rsid w:val="00BE2517"/>
    <w:rsid w:val="00BE35FB"/>
    <w:rsid w:val="00BE387B"/>
    <w:rsid w:val="00BE5C0A"/>
    <w:rsid w:val="00BE6444"/>
    <w:rsid w:val="00BF2475"/>
    <w:rsid w:val="00BF2F25"/>
    <w:rsid w:val="00BF491D"/>
    <w:rsid w:val="00C02187"/>
    <w:rsid w:val="00C07A76"/>
    <w:rsid w:val="00C15F47"/>
    <w:rsid w:val="00C2728A"/>
    <w:rsid w:val="00C36E79"/>
    <w:rsid w:val="00C46ADE"/>
    <w:rsid w:val="00C62F95"/>
    <w:rsid w:val="00C709A9"/>
    <w:rsid w:val="00C70ACD"/>
    <w:rsid w:val="00C76466"/>
    <w:rsid w:val="00C8064A"/>
    <w:rsid w:val="00C81829"/>
    <w:rsid w:val="00C85D56"/>
    <w:rsid w:val="00C86402"/>
    <w:rsid w:val="00C9309C"/>
    <w:rsid w:val="00CA33C0"/>
    <w:rsid w:val="00CA4B77"/>
    <w:rsid w:val="00CA5EA0"/>
    <w:rsid w:val="00CB369C"/>
    <w:rsid w:val="00CC3EA4"/>
    <w:rsid w:val="00CC4728"/>
    <w:rsid w:val="00CC51BB"/>
    <w:rsid w:val="00CD18F4"/>
    <w:rsid w:val="00CE14EC"/>
    <w:rsid w:val="00CE1CE6"/>
    <w:rsid w:val="00CE38C2"/>
    <w:rsid w:val="00CF171B"/>
    <w:rsid w:val="00CF21C3"/>
    <w:rsid w:val="00D00435"/>
    <w:rsid w:val="00D132C0"/>
    <w:rsid w:val="00D1782D"/>
    <w:rsid w:val="00D23B69"/>
    <w:rsid w:val="00D245BB"/>
    <w:rsid w:val="00D2490D"/>
    <w:rsid w:val="00D2563C"/>
    <w:rsid w:val="00D26B77"/>
    <w:rsid w:val="00D270AE"/>
    <w:rsid w:val="00D3170F"/>
    <w:rsid w:val="00D3355B"/>
    <w:rsid w:val="00D4045F"/>
    <w:rsid w:val="00D51BD3"/>
    <w:rsid w:val="00D6297D"/>
    <w:rsid w:val="00D63F31"/>
    <w:rsid w:val="00D64D29"/>
    <w:rsid w:val="00D700E3"/>
    <w:rsid w:val="00D73437"/>
    <w:rsid w:val="00D77E40"/>
    <w:rsid w:val="00D8034A"/>
    <w:rsid w:val="00D805F4"/>
    <w:rsid w:val="00D8742C"/>
    <w:rsid w:val="00D915B2"/>
    <w:rsid w:val="00D96FB6"/>
    <w:rsid w:val="00DA46CC"/>
    <w:rsid w:val="00DB4695"/>
    <w:rsid w:val="00DB538F"/>
    <w:rsid w:val="00DB5CE0"/>
    <w:rsid w:val="00DB7067"/>
    <w:rsid w:val="00DC460B"/>
    <w:rsid w:val="00DD35A8"/>
    <w:rsid w:val="00DD396E"/>
    <w:rsid w:val="00DE0FBD"/>
    <w:rsid w:val="00DE291A"/>
    <w:rsid w:val="00DE2D36"/>
    <w:rsid w:val="00DE40AC"/>
    <w:rsid w:val="00DF0C71"/>
    <w:rsid w:val="00DF2C23"/>
    <w:rsid w:val="00DF4C94"/>
    <w:rsid w:val="00E03C7B"/>
    <w:rsid w:val="00E04444"/>
    <w:rsid w:val="00E05870"/>
    <w:rsid w:val="00E1278B"/>
    <w:rsid w:val="00E17A0F"/>
    <w:rsid w:val="00E224F1"/>
    <w:rsid w:val="00E336BF"/>
    <w:rsid w:val="00E3400A"/>
    <w:rsid w:val="00E36816"/>
    <w:rsid w:val="00E36D2F"/>
    <w:rsid w:val="00E42E4B"/>
    <w:rsid w:val="00E431FD"/>
    <w:rsid w:val="00E47A36"/>
    <w:rsid w:val="00E72B6B"/>
    <w:rsid w:val="00E768AE"/>
    <w:rsid w:val="00E864E8"/>
    <w:rsid w:val="00EA0033"/>
    <w:rsid w:val="00EA02AF"/>
    <w:rsid w:val="00EA04B4"/>
    <w:rsid w:val="00EB0203"/>
    <w:rsid w:val="00EB7C15"/>
    <w:rsid w:val="00EC49F8"/>
    <w:rsid w:val="00EE106B"/>
    <w:rsid w:val="00F05F16"/>
    <w:rsid w:val="00F074A5"/>
    <w:rsid w:val="00F13890"/>
    <w:rsid w:val="00F149D6"/>
    <w:rsid w:val="00F249FF"/>
    <w:rsid w:val="00F3241F"/>
    <w:rsid w:val="00F34B49"/>
    <w:rsid w:val="00F3510A"/>
    <w:rsid w:val="00F40743"/>
    <w:rsid w:val="00F513BC"/>
    <w:rsid w:val="00F52780"/>
    <w:rsid w:val="00F61F47"/>
    <w:rsid w:val="00F718AD"/>
    <w:rsid w:val="00F73A57"/>
    <w:rsid w:val="00F937B5"/>
    <w:rsid w:val="00FA195C"/>
    <w:rsid w:val="00FA6BD4"/>
    <w:rsid w:val="00FB1A93"/>
    <w:rsid w:val="00FC0CD2"/>
    <w:rsid w:val="00FC1E1D"/>
    <w:rsid w:val="00FC5A75"/>
    <w:rsid w:val="00FC7408"/>
    <w:rsid w:val="00FD55BE"/>
    <w:rsid w:val="00FE5413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,single space,fn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qFormat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Akapit z listą 1,L1,Numerowanie,List Paragraph,2 heading,A_wyliczenie,K-P_odwolanie,Akapit z listą5,maz_wyliczenie,opis dzialania,normalny tekst,CW_Lista,wypunktowanie,Asia 2  Akapit z listą,List bullet"/>
    <w:basedOn w:val="Normalny"/>
    <w:link w:val="AkapitzlistZnak"/>
    <w:uiPriority w:val="99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Akapit z listą 1 Znak,L1 Znak,Numerowanie Znak,List Paragraph Znak,2 heading Znak,A_wyliczenie Znak,K-P_odwolanie Znak,Akapit z listą5 Znak,maz_wyliczenie Znak,opis dzialania Znak"/>
    <w:link w:val="Akapitzlist"/>
    <w:uiPriority w:val="99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3AA9-F097-475E-8C32-54091C55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4978</Words>
  <Characters>29869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Świeżyńska Katarzyna</cp:lastModifiedBy>
  <cp:revision>9</cp:revision>
  <cp:lastPrinted>2026-02-23T10:23:00Z</cp:lastPrinted>
  <dcterms:created xsi:type="dcterms:W3CDTF">2026-02-16T08:48:00Z</dcterms:created>
  <dcterms:modified xsi:type="dcterms:W3CDTF">2026-02-23T10:27:00Z</dcterms:modified>
</cp:coreProperties>
</file>