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bookmarkStart w:id="0" w:name="_GoBack"/>
      <w:bookmarkEnd w:id="0"/>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14BCA38A" w:rsidR="00837C5A"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późn.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77777777"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1" w:name="_Hlk15289409"/>
      <w:r>
        <w:rPr>
          <w:rFonts w:ascii="Cambria" w:hAnsi="Cambria" w:cs="Arial"/>
          <w:sz w:val="22"/>
          <w:szCs w:val="22"/>
          <w:lang w:eastAsia="pl-PL"/>
        </w:rPr>
        <w:t xml:space="preserve">Wskazane w SWZ ilości prac </w:t>
      </w:r>
      <w:bookmarkStart w:id="2" w:name="_Hlk15288716"/>
      <w:r>
        <w:rPr>
          <w:rFonts w:ascii="Cambria" w:hAnsi="Cambria" w:cs="Arial"/>
          <w:sz w:val="22"/>
          <w:szCs w:val="22"/>
          <w:lang w:eastAsia="pl-PL"/>
        </w:rPr>
        <w:t>wchodzących w zakres Przedmiotu Umowy</w:t>
      </w:r>
      <w:bookmarkEnd w:id="2"/>
      <w:r>
        <w:rPr>
          <w:rFonts w:ascii="Cambria" w:hAnsi="Cambria" w:cs="Arial"/>
          <w:sz w:val="22"/>
          <w:szCs w:val="22"/>
          <w:lang w:eastAsia="pl-PL"/>
        </w:rPr>
        <w:t xml:space="preserve"> (a wycenione przez Wykonawcę w kosztorysie ofertowym stanowiącym część Oferty)</w:t>
      </w:r>
      <w:bookmarkEnd w:id="1"/>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4" w:name="_Hlk15289075"/>
      <w:r>
        <w:rPr>
          <w:rFonts w:ascii="Cambria" w:hAnsi="Cambria" w:cs="Arial"/>
          <w:bCs/>
          <w:sz w:val="22"/>
          <w:szCs w:val="22"/>
          <w:lang w:eastAsia="en-US"/>
        </w:rPr>
        <w:t>lokalizacji (adresie leśnym) na Obszarze Realizacji Pakietu</w:t>
      </w:r>
      <w:bookmarkEnd w:id="4"/>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3"/>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5"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5"/>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6" w:name="_Hlk107733176"/>
      <w:r w:rsidR="001E1EE2">
        <w:rPr>
          <w:rFonts w:ascii="Cambria" w:hAnsi="Cambria" w:cs="Arial"/>
          <w:sz w:val="22"/>
          <w:szCs w:val="22"/>
          <w:lang w:eastAsia="pl-PL"/>
        </w:rPr>
        <w:t>uznawane za wykonane należycie</w:t>
      </w:r>
      <w:bookmarkEnd w:id="6"/>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7" w:name="_Hlk16114577"/>
      <w:r>
        <w:rPr>
          <w:rFonts w:ascii="Cambria" w:hAnsi="Cambria" w:cs="Arial"/>
          <w:sz w:val="22"/>
          <w:szCs w:val="22"/>
          <w:lang w:eastAsia="pl-PL"/>
        </w:rPr>
        <w:t>W przypadku, gdy przedmiotem Zlecenia będą prace z zakresu</w:t>
      </w:r>
      <w:r>
        <w:t xml:space="preserve"> </w:t>
      </w:r>
      <w:bookmarkStart w:id="8" w:name="_Hlk15294375"/>
      <w:r>
        <w:rPr>
          <w:rFonts w:ascii="Cambria" w:hAnsi="Cambria" w:cs="Arial"/>
          <w:sz w:val="22"/>
          <w:szCs w:val="22"/>
          <w:lang w:eastAsia="pl-PL"/>
        </w:rPr>
        <w:t>pozyskania i zrywki drewna</w:t>
      </w:r>
      <w:bookmarkEnd w:id="8"/>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7"/>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9"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9"/>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10" w:name="_Hlk107733386"/>
      <w:bookmarkStart w:id="11"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10"/>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1"/>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2"/>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3"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3"/>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4" w:name="_Toc68356757"/>
      <w:r>
        <w:rPr>
          <w:rFonts w:ascii="Cambria" w:hAnsi="Cambria" w:cs="Arial"/>
          <w:b/>
          <w:bCs/>
          <w:kern w:val="32"/>
          <w:sz w:val="22"/>
          <w:szCs w:val="22"/>
          <w:lang w:eastAsia="pl-PL"/>
        </w:rPr>
        <w:br/>
        <w:t>Kary umowne</w:t>
      </w:r>
      <w:bookmarkEnd w:id="14"/>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5" w:name="_Hlk107732964"/>
      <w:r>
        <w:rPr>
          <w:rFonts w:ascii="Cambria" w:hAnsi="Cambria" w:cs="Arial"/>
          <w:bCs/>
          <w:sz w:val="22"/>
          <w:szCs w:val="22"/>
          <w:lang w:eastAsia="pl-PL"/>
        </w:rPr>
        <w:t xml:space="preserve">w realizacji prac na danej pozycji objętej Zleceniem w stosunku do terminu określonego w Zleceniu </w:t>
      </w:r>
      <w:bookmarkEnd w:id="15"/>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6"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6"/>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7"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8"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7"/>
    <w:bookmarkEnd w:id="18"/>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9" w:name="_Hlk81415788"/>
      <w:r>
        <w:rPr>
          <w:rFonts w:ascii="Cambria" w:hAnsi="Cambria" w:cs="Arial"/>
          <w:sz w:val="22"/>
          <w:szCs w:val="22"/>
          <w:lang w:eastAsia="pl-PL"/>
        </w:rPr>
        <w:t xml:space="preserve">każdy przypadek braku środków ochrony indywidualnej </w:t>
      </w:r>
      <w:bookmarkEnd w:id="19"/>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20"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20"/>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1" w:name="_Toc68356761"/>
      <w:r>
        <w:rPr>
          <w:rFonts w:ascii="Cambria" w:hAnsi="Cambria" w:cs="Arial"/>
          <w:b/>
          <w:sz w:val="22"/>
          <w:szCs w:val="22"/>
          <w:lang w:eastAsia="pl-PL"/>
        </w:rPr>
        <w:br/>
        <w:t>Ubezpieczenia</w:t>
      </w:r>
      <w:bookmarkEnd w:id="21"/>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2" w:name="_Hlk43745153"/>
      <w:r>
        <w:rPr>
          <w:rFonts w:ascii="Cambria" w:hAnsi="Cambria" w:cs="Arial"/>
          <w:sz w:val="22"/>
          <w:szCs w:val="22"/>
          <w:lang w:eastAsia="pl-PL"/>
        </w:rPr>
        <w:t>Zmiana nie może pociągnąć za sobą zwiększenia wynagrodzenia należnego Wykonawcy</w:t>
      </w:r>
      <w:bookmarkEnd w:id="22"/>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3"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3"/>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4"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4"/>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5"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5"/>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6"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6"/>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ED864" w14:textId="77777777" w:rsidR="003A6462" w:rsidRDefault="003A6462">
      <w:r>
        <w:separator/>
      </w:r>
    </w:p>
  </w:endnote>
  <w:endnote w:type="continuationSeparator" w:id="0">
    <w:p w14:paraId="412FB643" w14:textId="77777777" w:rsidR="003A6462" w:rsidRDefault="003A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49B31" w14:textId="77777777" w:rsidR="003A6462" w:rsidRDefault="003A6462">
      <w:r>
        <w:separator/>
      </w:r>
    </w:p>
  </w:footnote>
  <w:footnote w:type="continuationSeparator" w:id="0">
    <w:p w14:paraId="6A5E4085" w14:textId="77777777" w:rsidR="003A6462" w:rsidRDefault="003A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9897</Words>
  <Characters>59382</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Magdalena Bukowska</cp:lastModifiedBy>
  <cp:revision>4</cp:revision>
  <cp:lastPrinted>2017-05-23T11:32:00Z</cp:lastPrinted>
  <dcterms:created xsi:type="dcterms:W3CDTF">2022-10-18T11:38:00Z</dcterms:created>
  <dcterms:modified xsi:type="dcterms:W3CDTF">2022-10-18T11:41:00Z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