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AFB25" w14:textId="2FCC267E" w:rsidR="00BE5A22" w:rsidRPr="00342604" w:rsidRDefault="00BE5A22" w:rsidP="00BE5A22">
      <w:pPr>
        <w:pStyle w:val="Nagwek"/>
        <w:rPr>
          <w:sz w:val="22"/>
          <w:szCs w:val="22"/>
        </w:rPr>
      </w:pPr>
      <w:r w:rsidRPr="00342604">
        <w:rPr>
          <w:sz w:val="22"/>
          <w:szCs w:val="22"/>
        </w:rPr>
        <w:t>Załącznik</w:t>
      </w:r>
      <w:r w:rsidR="00C02385">
        <w:rPr>
          <w:sz w:val="22"/>
          <w:szCs w:val="22"/>
        </w:rPr>
        <w:t xml:space="preserve"> </w:t>
      </w:r>
      <w:r w:rsidRPr="00342604">
        <w:rPr>
          <w:sz w:val="22"/>
          <w:szCs w:val="22"/>
        </w:rPr>
        <w:t>B.71.</w:t>
      </w:r>
      <w:r w:rsidR="00C02385">
        <w:rPr>
          <w:sz w:val="22"/>
          <w:szCs w:val="22"/>
        </w:rPr>
        <w:t xml:space="preserve"> </w:t>
      </w:r>
    </w:p>
    <w:p w14:paraId="6841AA75" w14:textId="77777777" w:rsidR="00BE5A22" w:rsidRPr="00342604" w:rsidRDefault="00BE5A22" w:rsidP="00BE5A22">
      <w:pPr>
        <w:pStyle w:val="Style2"/>
        <w:widowControl/>
        <w:spacing w:line="240" w:lineRule="auto"/>
        <w:rPr>
          <w:rStyle w:val="FontStyle19"/>
          <w:color w:val="auto"/>
          <w:sz w:val="22"/>
          <w:szCs w:val="22"/>
        </w:rPr>
      </w:pPr>
    </w:p>
    <w:p w14:paraId="3A35398C" w14:textId="35E8CF30" w:rsidR="004226D9" w:rsidRPr="00342604" w:rsidRDefault="00C52F67" w:rsidP="00BE5A22">
      <w:pPr>
        <w:pStyle w:val="Style2"/>
        <w:widowControl/>
        <w:spacing w:after="240" w:line="240" w:lineRule="auto"/>
        <w:rPr>
          <w:rStyle w:val="FontStyle20"/>
          <w:color w:val="auto"/>
          <w:sz w:val="28"/>
          <w:szCs w:val="28"/>
        </w:rPr>
      </w:pPr>
      <w:bookmarkStart w:id="0" w:name="_Hlk40165848"/>
      <w:r w:rsidRPr="00342604">
        <w:rPr>
          <w:rStyle w:val="FontStyle19"/>
          <w:color w:val="auto"/>
          <w:sz w:val="28"/>
          <w:szCs w:val="28"/>
        </w:rPr>
        <w:t>LECZENIE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PRZEWLEKŁEGO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WIRUSOWEGO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ZAPALENIA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WĄTROBY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TYPU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C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TERAPIĄ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BEZINTERFERONOWĄ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(ICD-10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B</w:t>
      </w:r>
      <w:r w:rsidR="00C02385">
        <w:rPr>
          <w:rStyle w:val="FontStyle19"/>
          <w:color w:val="auto"/>
          <w:sz w:val="28"/>
          <w:szCs w:val="28"/>
        </w:rPr>
        <w:t xml:space="preserve"> </w:t>
      </w:r>
      <w:r w:rsidRPr="00342604">
        <w:rPr>
          <w:rStyle w:val="FontStyle19"/>
          <w:color w:val="auto"/>
          <w:sz w:val="28"/>
          <w:szCs w:val="28"/>
        </w:rPr>
        <w:t>18</w:t>
      </w:r>
      <w:r w:rsidRPr="00342604">
        <w:rPr>
          <w:rStyle w:val="FontStyle20"/>
          <w:color w:val="auto"/>
          <w:sz w:val="28"/>
          <w:szCs w:val="28"/>
        </w:rPr>
        <w:t>.2)</w:t>
      </w:r>
      <w:bookmarkEnd w:id="0"/>
    </w:p>
    <w:tbl>
      <w:tblPr>
        <w:tblW w:w="506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3968"/>
        <w:gridCol w:w="5813"/>
      </w:tblGrid>
      <w:tr w:rsidR="00342604" w:rsidRPr="00342604" w14:paraId="02E21D08" w14:textId="77777777" w:rsidTr="00334B3A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910B" w14:textId="21B67997" w:rsidR="004226D9" w:rsidRPr="00342604" w:rsidRDefault="004226D9" w:rsidP="00334B3A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ZAKRES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ŚWIADCZENIA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342604" w:rsidRPr="00342604" w14:paraId="1DA5F8DA" w14:textId="77777777" w:rsidTr="00C02385">
        <w:trPr>
          <w:trHeight w:val="567"/>
        </w:trPr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5AB4" w14:textId="77777777" w:rsidR="004226D9" w:rsidRPr="00342604" w:rsidRDefault="004226D9" w:rsidP="00334B3A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77F8" w14:textId="1957ADAD" w:rsidR="004226D9" w:rsidRPr="00342604" w:rsidRDefault="004226D9" w:rsidP="00334B3A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SCHEMAT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DAWKOWANIA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LEKÓW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W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47FF" w14:textId="4EEF1E4B" w:rsidR="004226D9" w:rsidRPr="00342604" w:rsidRDefault="004226D9" w:rsidP="00334B3A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BADANIA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DIAGNOSTYCZNE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WYKONYWANE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W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RAMACH</w:t>
            </w:r>
            <w:r w:rsidR="00C02385">
              <w:rPr>
                <w:b/>
                <w:bCs/>
                <w:sz w:val="20"/>
                <w:szCs w:val="20"/>
              </w:rPr>
              <w:t xml:space="preserve"> </w:t>
            </w:r>
            <w:r w:rsidRPr="00342604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4226D9" w:rsidRPr="00342604" w14:paraId="564A6951" w14:textId="77777777" w:rsidTr="00C02385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764D" w14:textId="6C191B69" w:rsidR="004226D9" w:rsidRPr="00334B3A" w:rsidRDefault="004226D9" w:rsidP="005F7521">
            <w:pPr>
              <w:pStyle w:val="Akapitzlist"/>
              <w:numPr>
                <w:ilvl w:val="0"/>
                <w:numId w:val="44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C023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b/>
                <w:sz w:val="20"/>
                <w:szCs w:val="20"/>
              </w:rPr>
              <w:t>kwalifikacji</w:t>
            </w:r>
          </w:p>
          <w:p w14:paraId="62BD347B" w14:textId="44488CC8" w:rsidR="007F6CD4" w:rsidRPr="00334B3A" w:rsidRDefault="0001712C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7F6CD4" w:rsidRPr="00334B3A">
              <w:rPr>
                <w:rFonts w:ascii="Times New Roman" w:hAnsi="Times New Roman"/>
                <w:sz w:val="20"/>
                <w:szCs w:val="20"/>
              </w:rPr>
              <w:t>iek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6CD4" w:rsidRPr="00334B3A">
              <w:rPr>
                <w:rFonts w:ascii="Times New Roman" w:hAnsi="Times New Roman"/>
                <w:sz w:val="20"/>
                <w:szCs w:val="20"/>
              </w:rPr>
              <w:t>≥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18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r.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ż.</w:t>
            </w:r>
            <w:r w:rsidR="00CD1513"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00C500D" w14:textId="70E33845" w:rsidR="007F6CD4" w:rsidRPr="00334B3A" w:rsidRDefault="0001712C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r</w:t>
            </w:r>
            <w:r w:rsidR="007F6CD4" w:rsidRPr="00334B3A">
              <w:rPr>
                <w:rFonts w:ascii="Times New Roman" w:hAnsi="Times New Roman"/>
                <w:sz w:val="20"/>
                <w:szCs w:val="20"/>
              </w:rPr>
              <w:t>ozpoznanie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przewlekłe</w:t>
            </w:r>
            <w:r w:rsidR="007F6CD4" w:rsidRPr="00334B3A">
              <w:rPr>
                <w:rFonts w:ascii="Times New Roman" w:hAnsi="Times New Roman"/>
                <w:sz w:val="20"/>
                <w:szCs w:val="20"/>
              </w:rPr>
              <w:t>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wirusowe</w:t>
            </w:r>
            <w:r w:rsidR="007F6CD4" w:rsidRPr="00334B3A">
              <w:rPr>
                <w:rFonts w:ascii="Times New Roman" w:hAnsi="Times New Roman"/>
                <w:sz w:val="20"/>
                <w:szCs w:val="20"/>
              </w:rPr>
              <w:t>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zapaleni</w:t>
            </w:r>
            <w:r w:rsidR="007F6CD4" w:rsidRPr="00334B3A">
              <w:rPr>
                <w:rFonts w:ascii="Times New Roman" w:hAnsi="Times New Roman"/>
                <w:sz w:val="20"/>
                <w:szCs w:val="20"/>
              </w:rPr>
              <w:t>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typu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C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CD12B2" w14:textId="44370722" w:rsidR="007F6CD4" w:rsidRPr="00334B3A" w:rsidRDefault="00D25BF6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RN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krwi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tkance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wątrobowej;</w:t>
            </w:r>
          </w:p>
          <w:p w14:paraId="18452B04" w14:textId="2831482E" w:rsidR="007F6CD4" w:rsidRPr="00334B3A" w:rsidRDefault="00B541CE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przeciwciał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anty-HCV;</w:t>
            </w:r>
          </w:p>
          <w:p w14:paraId="5EA2853A" w14:textId="159B5A0F" w:rsidR="007F6CD4" w:rsidRPr="00334B3A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stwierdzenie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włóknienia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określonego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wykorzystaniem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elastografii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wykonanej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techniką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umożliwiającą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pomiar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ilościowy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kPa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określonego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wykorzystaniem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biopsji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wątroby.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podejrzenia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współistnienia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innej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etiologii,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niezgodności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wyniku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nieinwazyjnego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stanem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klinicznym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rozbieżności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pomiędzy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wynikami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różnych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badań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nieinwazyjnych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zalecane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jest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biopsji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(o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ile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jest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E67" w:rsidRPr="00334B3A">
              <w:rPr>
                <w:rFonts w:ascii="Times New Roman" w:hAnsi="Times New Roman"/>
                <w:sz w:val="20"/>
                <w:szCs w:val="20"/>
              </w:rPr>
              <w:t>przeciwwskazana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),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której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wynik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ma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wówczas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rozstrzygające;</w:t>
            </w:r>
          </w:p>
          <w:p w14:paraId="5914E32E" w14:textId="6FADD2A4" w:rsidR="000F750B" w:rsidRPr="00334B3A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potwierdzona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genotypem:</w:t>
            </w:r>
          </w:p>
          <w:p w14:paraId="1BF1D7B4" w14:textId="1CE7C43D" w:rsidR="000F750B" w:rsidRPr="00334B3A" w:rsidRDefault="004226D9" w:rsidP="005F7521">
            <w:pPr>
              <w:pStyle w:val="Akapitzlist"/>
              <w:numPr>
                <w:ilvl w:val="4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1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-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sofosbuwirem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ledipaswirem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(i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ewentualnie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rybawiryną</w:t>
            </w:r>
            <w:proofErr w:type="spellEnd"/>
            <w:r w:rsidRPr="00334B3A">
              <w:rPr>
                <w:rFonts w:ascii="Times New Roman" w:hAnsi="Times New Roman"/>
                <w:sz w:val="20"/>
                <w:szCs w:val="20"/>
              </w:rPr>
              <w:t>)</w:t>
            </w:r>
            <w:r w:rsidR="00046335" w:rsidRPr="00334B3A">
              <w:rPr>
                <w:rFonts w:ascii="Times New Roman" w:hAnsi="Times New Roman"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albo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29141" w14:textId="4E764E10" w:rsidR="00C04A5E" w:rsidRPr="00334B3A" w:rsidRDefault="00A94DF9" w:rsidP="005F7521">
            <w:pPr>
              <w:pStyle w:val="Akapitzlist"/>
              <w:numPr>
                <w:ilvl w:val="4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1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4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-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kwalif</w:t>
            </w:r>
            <w:r w:rsidR="00541ED6" w:rsidRPr="00334B3A">
              <w:rPr>
                <w:rFonts w:ascii="Times New Roman" w:hAnsi="Times New Roman"/>
                <w:sz w:val="20"/>
                <w:szCs w:val="20"/>
              </w:rPr>
              <w:t>ikacji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1ED6" w:rsidRPr="00334B3A">
              <w:rPr>
                <w:rFonts w:ascii="Times New Roman" w:hAnsi="Times New Roman"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1ED6" w:rsidRPr="00334B3A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1ED6" w:rsidRPr="00334B3A">
              <w:rPr>
                <w:rFonts w:ascii="Times New Roman" w:hAnsi="Times New Roman"/>
                <w:sz w:val="20"/>
                <w:szCs w:val="20"/>
              </w:rPr>
              <w:t>grazoprewirem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1ED6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1ED6" w:rsidRPr="00334B3A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1ED6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elbaswirem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(i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ewentualnie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rybawiryną</w:t>
            </w:r>
            <w:proofErr w:type="spellEnd"/>
            <w:r w:rsidR="00541ED6" w:rsidRPr="00334B3A">
              <w:rPr>
                <w:rFonts w:ascii="Times New Roman" w:hAnsi="Times New Roman"/>
                <w:sz w:val="20"/>
                <w:szCs w:val="20"/>
              </w:rPr>
              <w:t>)</w:t>
            </w:r>
            <w:r w:rsidR="005525E9" w:rsidRPr="00334B3A">
              <w:rPr>
                <w:rFonts w:ascii="Times New Roman" w:hAnsi="Times New Roman"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67C02E39" w14:textId="6DE32014" w:rsidR="006C32EE" w:rsidRPr="00334B3A" w:rsidRDefault="00541ED6" w:rsidP="005F7521">
            <w:pPr>
              <w:pStyle w:val="Akapitzlist"/>
              <w:numPr>
                <w:ilvl w:val="4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lastRenderedPageBreak/>
              <w:t>1,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2,3,4,5,6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-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4A5E" w:rsidRPr="00334B3A">
              <w:rPr>
                <w:rFonts w:ascii="Times New Roman" w:hAnsi="Times New Roman"/>
                <w:sz w:val="20"/>
                <w:szCs w:val="20"/>
              </w:rPr>
              <w:t>sofosbuwirem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4A5E" w:rsidRPr="00334B3A">
              <w:rPr>
                <w:rFonts w:ascii="Times New Roman" w:hAnsi="Times New Roman"/>
                <w:sz w:val="20"/>
                <w:szCs w:val="20"/>
              </w:rPr>
              <w:t>welpataswirem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(i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A5E" w:rsidRPr="00334B3A">
              <w:rPr>
                <w:rFonts w:ascii="Times New Roman" w:hAnsi="Times New Roman"/>
                <w:sz w:val="20"/>
                <w:szCs w:val="20"/>
              </w:rPr>
              <w:t>ewentualnie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4A5E" w:rsidRPr="00334B3A">
              <w:rPr>
                <w:rFonts w:ascii="Times New Roman" w:hAnsi="Times New Roman"/>
                <w:sz w:val="20"/>
                <w:szCs w:val="20"/>
              </w:rPr>
              <w:t>rybawiryną</w:t>
            </w:r>
            <w:proofErr w:type="spellEnd"/>
            <w:r w:rsidR="00C04A5E" w:rsidRPr="00334B3A">
              <w:rPr>
                <w:rFonts w:ascii="Times New Roman" w:hAnsi="Times New Roman"/>
                <w:sz w:val="20"/>
                <w:szCs w:val="20"/>
              </w:rPr>
              <w:t>)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E40EB" w:rsidRPr="00334B3A">
              <w:rPr>
                <w:rFonts w:ascii="Times New Roman" w:hAnsi="Times New Roman"/>
                <w:sz w:val="20"/>
                <w:szCs w:val="20"/>
              </w:rPr>
              <w:t>glekaprewirem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40EB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40EB" w:rsidRPr="00334B3A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40EB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E40EB" w:rsidRPr="00334B3A">
              <w:rPr>
                <w:rFonts w:ascii="Times New Roman" w:hAnsi="Times New Roman"/>
                <w:sz w:val="20"/>
                <w:szCs w:val="20"/>
              </w:rPr>
              <w:t>pibrentaswirem</w:t>
            </w:r>
            <w:proofErr w:type="spellEnd"/>
            <w:r w:rsidR="006C32EE" w:rsidRPr="00334B3A">
              <w:rPr>
                <w:rFonts w:ascii="Times New Roman" w:hAnsi="Times New Roman"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2EE" w:rsidRPr="00334B3A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6783D68A" w14:textId="37CABC9B" w:rsidR="006E40EB" w:rsidRPr="00334B3A" w:rsidRDefault="006C32EE" w:rsidP="005F7521">
            <w:pPr>
              <w:pStyle w:val="Akapitzlist"/>
              <w:numPr>
                <w:ilvl w:val="4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1,2,3,4,5,6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–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sofosbu</w:t>
            </w:r>
            <w:r w:rsidR="00CD1513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welpataswirem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oraz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woksylaprewirem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niepowodzeniu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uprzedniej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inhibitorami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NS5A</w:t>
            </w:r>
            <w:r w:rsidR="00EB47D0"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B4294D1" w14:textId="0D764E4E" w:rsidR="00F56F21" w:rsidRDefault="00F56F21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niemożności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oznaczenia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genotypu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powodu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niskiej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wiremii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zastosować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lek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pangenotypowy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glekaprewir</w:t>
            </w:r>
            <w:proofErr w:type="spellEnd"/>
            <w:r w:rsidRPr="00334B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pibrentaswir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sofosbuwir</w:t>
            </w:r>
            <w:proofErr w:type="spellEnd"/>
            <w:r w:rsidRPr="00334B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welpataswir</w:t>
            </w:r>
            <w:proofErr w:type="spellEnd"/>
            <w:r w:rsidRPr="00334B3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2812F9C0" w14:textId="77777777" w:rsidR="005F7521" w:rsidRPr="00334B3A" w:rsidRDefault="005F7521" w:rsidP="005F7521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62495B" w14:textId="4676E863" w:rsidR="002A7E67" w:rsidRPr="00334B3A" w:rsidRDefault="004226D9" w:rsidP="00334B3A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uniemożliwiające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kwalifikację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09A4F936" w14:textId="26B7C3B5" w:rsidR="004226D9" w:rsidRPr="005F7521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521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czynną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pomocniczą;</w:t>
            </w:r>
          </w:p>
          <w:p w14:paraId="18F9353B" w14:textId="40425304" w:rsidR="004226D9" w:rsidRPr="005F7521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521">
              <w:rPr>
                <w:rFonts w:ascii="Times New Roman" w:hAnsi="Times New Roman"/>
                <w:sz w:val="20"/>
                <w:szCs w:val="20"/>
              </w:rPr>
              <w:t>niestwierdzenie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RNA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E67" w:rsidRPr="005F7521">
              <w:rPr>
                <w:rFonts w:ascii="Times New Roman" w:hAnsi="Times New Roman"/>
                <w:sz w:val="20"/>
                <w:szCs w:val="20"/>
              </w:rPr>
              <w:t>l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tkance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wątrobowej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przy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obecności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przeciwciał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anty-HCV;</w:t>
            </w:r>
          </w:p>
          <w:p w14:paraId="2B7BDD25" w14:textId="503C1354" w:rsidR="004226D9" w:rsidRPr="005F7521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521">
              <w:rPr>
                <w:rFonts w:ascii="Times New Roman" w:hAnsi="Times New Roman"/>
                <w:sz w:val="20"/>
                <w:szCs w:val="20"/>
              </w:rPr>
              <w:t>ciężka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niewydolność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(stopień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C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wg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klasyfikacji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Child-</w:t>
            </w:r>
            <w:proofErr w:type="spellStart"/>
            <w:r w:rsidRPr="005F7521">
              <w:rPr>
                <w:rFonts w:ascii="Times New Roman" w:hAnsi="Times New Roman"/>
                <w:sz w:val="20"/>
                <w:szCs w:val="20"/>
              </w:rPr>
              <w:t>Pugh</w:t>
            </w:r>
            <w:proofErr w:type="spellEnd"/>
            <w:r w:rsidRPr="005F7521">
              <w:rPr>
                <w:rFonts w:ascii="Times New Roman" w:hAnsi="Times New Roman"/>
                <w:sz w:val="20"/>
                <w:szCs w:val="20"/>
              </w:rPr>
              <w:t>)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-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E67" w:rsidRPr="005F7521">
              <w:rPr>
                <w:rFonts w:ascii="Times New Roman" w:hAnsi="Times New Roman"/>
                <w:sz w:val="20"/>
                <w:szCs w:val="20"/>
              </w:rPr>
              <w:t>kwalifikowania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E67" w:rsidRPr="005F7521">
              <w:rPr>
                <w:rFonts w:ascii="Times New Roman" w:hAnsi="Times New Roman"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="Times New Roman" w:hAnsi="Times New Roman"/>
                <w:sz w:val="20"/>
                <w:szCs w:val="20"/>
              </w:rPr>
              <w:t>sofosbuwiru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521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="Times New Roman" w:hAnsi="Times New Roman"/>
                <w:sz w:val="20"/>
                <w:szCs w:val="20"/>
              </w:rPr>
              <w:t>ledipaswirem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E67" w:rsidRPr="005F7521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7303" w:rsidRPr="005F7521">
              <w:rPr>
                <w:rFonts w:ascii="Times New Roman" w:hAnsi="Times New Roman"/>
                <w:sz w:val="20"/>
                <w:szCs w:val="20"/>
              </w:rPr>
              <w:t>welpataswirem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303" w:rsidRPr="005F7521">
              <w:rPr>
                <w:rFonts w:ascii="Times New Roman" w:hAnsi="Times New Roman"/>
                <w:sz w:val="20"/>
                <w:szCs w:val="20"/>
              </w:rPr>
              <w:t>oraz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303" w:rsidRPr="005F7521">
              <w:rPr>
                <w:rFonts w:ascii="Times New Roman" w:hAnsi="Times New Roman"/>
                <w:sz w:val="20"/>
                <w:szCs w:val="20"/>
              </w:rPr>
              <w:t>ewentualnie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303" w:rsidRPr="005F7521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A7E67" w:rsidRPr="005F7521">
              <w:rPr>
                <w:rFonts w:ascii="Times New Roman" w:hAnsi="Times New Roman"/>
                <w:sz w:val="20"/>
                <w:szCs w:val="20"/>
              </w:rPr>
              <w:t>rybawiryną</w:t>
            </w:r>
            <w:proofErr w:type="spellEnd"/>
            <w:r w:rsidRPr="005F752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DC9C06" w14:textId="79EAB4E2" w:rsidR="00B541CE" w:rsidRPr="00334B3A" w:rsidRDefault="00B541CE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konieczność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przyjmowania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mogących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obniżać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aktywność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osoczową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sofosbuwiru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ledipaswiru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albo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sofosbuwiru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welpataswiru</w:t>
            </w:r>
            <w:proofErr w:type="spellEnd"/>
            <w:r w:rsidR="00964651" w:rsidRPr="00334B3A">
              <w:rPr>
                <w:rFonts w:ascii="Times New Roman" w:hAnsi="Times New Roman"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2EE" w:rsidRPr="00334B3A">
              <w:rPr>
                <w:rFonts w:ascii="Times New Roman" w:hAnsi="Times New Roman"/>
                <w:sz w:val="20"/>
                <w:szCs w:val="20"/>
              </w:rPr>
              <w:t>albo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C32EE" w:rsidRPr="00334B3A">
              <w:rPr>
                <w:rFonts w:ascii="Times New Roman" w:hAnsi="Times New Roman"/>
                <w:sz w:val="20"/>
                <w:szCs w:val="20"/>
              </w:rPr>
              <w:t>sofosbuwiru</w:t>
            </w:r>
            <w:proofErr w:type="spellEnd"/>
            <w:r w:rsidR="006C32EE" w:rsidRPr="00334B3A">
              <w:rPr>
                <w:rFonts w:ascii="Times New Roman" w:hAnsi="Times New Roman"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C32EE" w:rsidRPr="00334B3A">
              <w:rPr>
                <w:rFonts w:ascii="Times New Roman" w:hAnsi="Times New Roman"/>
                <w:sz w:val="20"/>
                <w:szCs w:val="20"/>
              </w:rPr>
              <w:t>welpataswiru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2EE" w:rsidRPr="00334B3A">
              <w:rPr>
                <w:rFonts w:ascii="Times New Roman" w:hAnsi="Times New Roman"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C32EE" w:rsidRPr="00334B3A">
              <w:rPr>
                <w:rFonts w:ascii="Times New Roman" w:hAnsi="Times New Roman"/>
                <w:sz w:val="20"/>
                <w:szCs w:val="20"/>
              </w:rPr>
              <w:t>woksylaprewiru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szczególności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silnych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induktorów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glikoproteiny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P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jelitach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(o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ile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651" w:rsidRPr="00334B3A">
              <w:rPr>
                <w:rFonts w:ascii="Times New Roman" w:hAnsi="Times New Roman"/>
                <w:sz w:val="20"/>
                <w:szCs w:val="20"/>
              </w:rPr>
              <w:t>dotyczy);</w:t>
            </w:r>
          </w:p>
          <w:p w14:paraId="22ACCEAB" w14:textId="3C093384" w:rsidR="004226D9" w:rsidRPr="00334B3A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czynne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uzależnienie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od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alkoholu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środków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odurzających;</w:t>
            </w:r>
          </w:p>
          <w:p w14:paraId="5A814DC9" w14:textId="00D869C6" w:rsidR="004226D9" w:rsidRPr="00334B3A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ciąża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14:paraId="2D9205CA" w14:textId="0207CF28" w:rsidR="004226D9" w:rsidRPr="00334B3A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inne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przeciwwskazania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określone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odpowiednich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charakterystykach:</w:t>
            </w:r>
          </w:p>
          <w:p w14:paraId="549A2AD5" w14:textId="1884DF39" w:rsidR="00046335" w:rsidRPr="00334B3A" w:rsidRDefault="004226D9" w:rsidP="005F7521">
            <w:pPr>
              <w:pStyle w:val="Akapitzlist"/>
              <w:numPr>
                <w:ilvl w:val="4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lastRenderedPageBreak/>
              <w:t>sofosbu</w:t>
            </w:r>
            <w:r w:rsidR="00046335" w:rsidRPr="00334B3A">
              <w:rPr>
                <w:rFonts w:ascii="Times New Roman" w:hAnsi="Times New Roman"/>
                <w:sz w:val="20"/>
                <w:szCs w:val="20"/>
              </w:rPr>
              <w:t>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02F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6335" w:rsidRPr="00334B3A">
              <w:rPr>
                <w:rFonts w:ascii="Times New Roman" w:hAnsi="Times New Roman"/>
                <w:sz w:val="20"/>
                <w:szCs w:val="20"/>
              </w:rPr>
              <w:t>ledipaswir</w:t>
            </w:r>
            <w:r w:rsidR="00A5102F" w:rsidRPr="00334B3A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303"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7303" w:rsidRPr="00334B3A">
              <w:rPr>
                <w:rFonts w:ascii="Times New Roman" w:hAnsi="Times New Roman"/>
                <w:sz w:val="20"/>
                <w:szCs w:val="20"/>
              </w:rPr>
              <w:t>sofosbuwiru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303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7303" w:rsidRPr="00334B3A">
              <w:rPr>
                <w:rFonts w:ascii="Times New Roman" w:hAnsi="Times New Roman"/>
                <w:sz w:val="20"/>
                <w:szCs w:val="20"/>
              </w:rPr>
              <w:t>welpataswirem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43F" w:rsidRPr="00334B3A">
              <w:rPr>
                <w:rFonts w:ascii="Times New Roman" w:hAnsi="Times New Roman"/>
                <w:sz w:val="20"/>
                <w:szCs w:val="20"/>
              </w:rPr>
              <w:t>oraz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7303" w:rsidRPr="00334B3A">
              <w:rPr>
                <w:rFonts w:ascii="Times New Roman" w:hAnsi="Times New Roman"/>
                <w:sz w:val="20"/>
                <w:szCs w:val="20"/>
              </w:rPr>
              <w:t>rybawiryny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2EE"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C32EE" w:rsidRPr="00334B3A">
              <w:rPr>
                <w:rFonts w:ascii="Times New Roman" w:hAnsi="Times New Roman"/>
                <w:sz w:val="20"/>
                <w:szCs w:val="20"/>
              </w:rPr>
              <w:t>sofosbuwiru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2EE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C32EE" w:rsidRPr="00334B3A">
              <w:rPr>
                <w:rFonts w:ascii="Times New Roman" w:hAnsi="Times New Roman"/>
                <w:sz w:val="20"/>
                <w:szCs w:val="20"/>
              </w:rPr>
              <w:t>welpataswirem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2EE" w:rsidRPr="00334B3A">
              <w:rPr>
                <w:rFonts w:ascii="Times New Roman" w:hAnsi="Times New Roman"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C32EE" w:rsidRPr="00334B3A">
              <w:rPr>
                <w:rFonts w:ascii="Times New Roman" w:hAnsi="Times New Roman"/>
                <w:sz w:val="20"/>
                <w:szCs w:val="20"/>
              </w:rPr>
              <w:t>woksylaprewirem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303" w:rsidRPr="00334B3A">
              <w:rPr>
                <w:rFonts w:ascii="Times New Roman" w:hAnsi="Times New Roman"/>
                <w:sz w:val="20"/>
                <w:szCs w:val="20"/>
              </w:rPr>
              <w:t>(o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303" w:rsidRPr="00334B3A">
              <w:rPr>
                <w:rFonts w:ascii="Times New Roman" w:hAnsi="Times New Roman"/>
                <w:sz w:val="20"/>
                <w:szCs w:val="20"/>
              </w:rPr>
              <w:t>ile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303" w:rsidRPr="00334B3A">
              <w:rPr>
                <w:rFonts w:ascii="Times New Roman" w:hAnsi="Times New Roman"/>
                <w:sz w:val="20"/>
                <w:szCs w:val="20"/>
              </w:rPr>
              <w:t>dotyczy)</w:t>
            </w:r>
            <w:r w:rsidR="000F2BDF" w:rsidRPr="00334B3A">
              <w:rPr>
                <w:rFonts w:ascii="Times New Roman" w:hAnsi="Times New Roman"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BDF" w:rsidRPr="00334B3A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396A0F76" w14:textId="2A6B93CA" w:rsidR="000F2BDF" w:rsidRPr="00334B3A" w:rsidRDefault="000F2BDF" w:rsidP="005F7521">
            <w:pPr>
              <w:pStyle w:val="Akapitzlist"/>
              <w:numPr>
                <w:ilvl w:val="4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grazoprewiru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2EE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elbaswir</w:t>
            </w:r>
            <w:r w:rsidR="006C32EE" w:rsidRPr="00334B3A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oraz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rybawiryny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(o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ile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dotyczy)</w:t>
            </w:r>
            <w:r w:rsidR="00F56F21" w:rsidRPr="00334B3A">
              <w:rPr>
                <w:rFonts w:ascii="Times New Roman" w:hAnsi="Times New Roman"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D35" w:rsidRPr="00334B3A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34DFF2CA" w14:textId="32EDF7BE" w:rsidR="004226D9" w:rsidRDefault="006E40EB" w:rsidP="005F7521">
            <w:pPr>
              <w:pStyle w:val="Akapitzlist"/>
              <w:numPr>
                <w:ilvl w:val="4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glekaprewiru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pibrentaswirem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62C8" w:rsidRPr="00334B3A">
              <w:rPr>
                <w:rFonts w:ascii="Times New Roman" w:hAnsi="Times New Roman"/>
                <w:sz w:val="20"/>
                <w:szCs w:val="20"/>
              </w:rPr>
              <w:t>(o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62C8" w:rsidRPr="00334B3A">
              <w:rPr>
                <w:rFonts w:ascii="Times New Roman" w:hAnsi="Times New Roman"/>
                <w:sz w:val="20"/>
                <w:szCs w:val="20"/>
              </w:rPr>
              <w:t>ile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62C8" w:rsidRPr="00334B3A">
              <w:rPr>
                <w:rFonts w:ascii="Times New Roman" w:hAnsi="Times New Roman"/>
                <w:sz w:val="20"/>
                <w:szCs w:val="20"/>
              </w:rPr>
              <w:t>dotyczy)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62FEA1B" w14:textId="77777777" w:rsidR="005F7521" w:rsidRPr="00334B3A" w:rsidRDefault="005F7521" w:rsidP="005F7521">
            <w:pPr>
              <w:pStyle w:val="Akapitzlist"/>
              <w:spacing w:after="60"/>
              <w:ind w:left="68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E720FD2" w14:textId="56F85CDB" w:rsidR="004226D9" w:rsidRPr="00334B3A" w:rsidRDefault="004226D9" w:rsidP="00334B3A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C023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wyłączenia</w:t>
            </w:r>
            <w:r w:rsidR="00C023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48D595FF" w14:textId="423E8FD9" w:rsidR="004226D9" w:rsidRPr="00334B3A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ujawnienie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okoliczności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określonych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ust.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2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44E84602" w14:textId="675059B6" w:rsidR="004226D9" w:rsidRPr="00334B3A" w:rsidRDefault="004226D9" w:rsidP="005F7521">
            <w:pPr>
              <w:pStyle w:val="Akapitzlist"/>
              <w:numPr>
                <w:ilvl w:val="3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działania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niepożądane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leków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uzasadniające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przerwanie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1DD2838F" w14:textId="1141EF52" w:rsidR="004226D9" w:rsidRPr="00334B3A" w:rsidRDefault="004226D9" w:rsidP="005F7521">
            <w:pPr>
              <w:pStyle w:val="Akapitzlist"/>
              <w:numPr>
                <w:ilvl w:val="5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opinii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terapię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05CD8CD6" w14:textId="76F81C0A" w:rsidR="008721CB" w:rsidRDefault="004226D9" w:rsidP="005F7521">
            <w:pPr>
              <w:pStyle w:val="Akapitzlist"/>
              <w:numPr>
                <w:ilvl w:val="5"/>
                <w:numId w:val="4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charakterystykami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odpowiednich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produktów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leczn</w:t>
            </w:r>
            <w:r w:rsidR="006768D6" w:rsidRPr="00334B3A">
              <w:rPr>
                <w:rFonts w:ascii="Times New Roman" w:hAnsi="Times New Roman"/>
                <w:sz w:val="20"/>
                <w:szCs w:val="20"/>
              </w:rPr>
              <w:t>iczych</w:t>
            </w:r>
            <w:r w:rsidR="00537457" w:rsidRPr="00334B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995A8B" w14:textId="3B63FC29" w:rsidR="005F7521" w:rsidRPr="00334B3A" w:rsidRDefault="005F7521" w:rsidP="005F7521">
            <w:pPr>
              <w:pStyle w:val="Akapitzlist"/>
              <w:spacing w:after="60"/>
              <w:ind w:left="90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A790" w14:textId="32B61B28" w:rsidR="00BB49F8" w:rsidRPr="00334B3A" w:rsidRDefault="00FB07B8" w:rsidP="005F7521">
            <w:pPr>
              <w:pStyle w:val="Akapitzlist"/>
              <w:numPr>
                <w:ilvl w:val="0"/>
                <w:numId w:val="45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</w:t>
            </w:r>
            <w:r w:rsidR="004226D9"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ofosbuwir+ledipaswir</w:t>
            </w:r>
            <w:proofErr w:type="spellEnd"/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A3B5B"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3B5B"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sofosbuwir</w:t>
            </w:r>
            <w:proofErr w:type="spellEnd"/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A3B5B"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  <w:proofErr w:type="spellStart"/>
            <w:r w:rsidR="005A3B5B"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welpataswir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ramach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programu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46335" w:rsidRPr="00334B3A">
              <w:rPr>
                <w:rFonts w:ascii="Times New Roman" w:hAnsi="Times New Roman"/>
                <w:bCs/>
                <w:sz w:val="20"/>
                <w:szCs w:val="20"/>
              </w:rPr>
              <w:t>dawkuje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zgodnie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odpowiednimi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aktualnymi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wydania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decyzji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Charakterystykami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Produktów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bCs/>
                <w:sz w:val="20"/>
                <w:szCs w:val="20"/>
              </w:rPr>
              <w:t>Leczniczych</w:t>
            </w:r>
            <w:r w:rsidR="00071395" w:rsidRPr="00334B3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3C4A45F" w14:textId="42B4F7E1" w:rsidR="00266598" w:rsidRDefault="00B32907" w:rsidP="005F7521">
            <w:pPr>
              <w:pStyle w:val="Akapitzlist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niezbędną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terapii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skojarzonej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sofosbuwirem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ledipaswirem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303C1" w:rsidRPr="00334B3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303C1" w:rsidRPr="00334B3A">
              <w:rPr>
                <w:rFonts w:ascii="Times New Roman" w:hAnsi="Times New Roman"/>
                <w:bCs/>
                <w:sz w:val="20"/>
                <w:szCs w:val="20"/>
              </w:rPr>
              <w:t>sofosbuwirem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303C1" w:rsidRPr="00334B3A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303C1" w:rsidRPr="00334B3A">
              <w:rPr>
                <w:rFonts w:ascii="Times New Roman" w:hAnsi="Times New Roman"/>
                <w:bCs/>
                <w:sz w:val="20"/>
                <w:szCs w:val="20"/>
              </w:rPr>
              <w:t>welpataswirem</w:t>
            </w:r>
            <w:proofErr w:type="spellEnd"/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należy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stosować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zgodnie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schematem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dawkowania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określonym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aktualnej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wydania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decyzji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47DC" w:rsidRPr="00334B3A">
              <w:rPr>
                <w:rFonts w:ascii="Times New Roman" w:hAnsi="Times New Roman"/>
                <w:bCs/>
                <w:sz w:val="20"/>
                <w:szCs w:val="20"/>
              </w:rPr>
              <w:t>Charakterystyce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47DC" w:rsidRPr="00334B3A">
              <w:rPr>
                <w:rFonts w:ascii="Times New Roman" w:hAnsi="Times New Roman"/>
                <w:bCs/>
                <w:sz w:val="20"/>
                <w:szCs w:val="20"/>
              </w:rPr>
              <w:t>Produktu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47DC" w:rsidRPr="00334B3A">
              <w:rPr>
                <w:rFonts w:ascii="Times New Roman" w:hAnsi="Times New Roman"/>
                <w:bCs/>
                <w:sz w:val="20"/>
                <w:szCs w:val="20"/>
              </w:rPr>
              <w:t>Leczniczego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47DC" w:rsidRPr="00334B3A">
              <w:rPr>
                <w:rFonts w:ascii="Times New Roman" w:hAnsi="Times New Roman"/>
                <w:bCs/>
                <w:sz w:val="20"/>
                <w:szCs w:val="20"/>
              </w:rPr>
              <w:t>zawierającego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347DC" w:rsidRPr="00334B3A">
              <w:rPr>
                <w:rFonts w:ascii="Times New Roman" w:hAnsi="Times New Roman"/>
                <w:bCs/>
                <w:sz w:val="20"/>
                <w:szCs w:val="20"/>
              </w:rPr>
              <w:t>sofosbuwir</w:t>
            </w:r>
            <w:proofErr w:type="spellEnd"/>
            <w:r w:rsidR="00C347DC" w:rsidRPr="00334B3A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347DC" w:rsidRPr="00334B3A">
              <w:rPr>
                <w:rFonts w:ascii="Times New Roman" w:hAnsi="Times New Roman"/>
                <w:bCs/>
                <w:sz w:val="20"/>
                <w:szCs w:val="20"/>
              </w:rPr>
              <w:t>ledipaswir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303C1" w:rsidRPr="00334B3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303C1" w:rsidRPr="00334B3A">
              <w:rPr>
                <w:rFonts w:ascii="Times New Roman" w:hAnsi="Times New Roman"/>
                <w:bCs/>
                <w:sz w:val="20"/>
                <w:szCs w:val="20"/>
              </w:rPr>
              <w:t>sofosbuwir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303C1" w:rsidRPr="00334B3A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  <w:proofErr w:type="spellStart"/>
            <w:r w:rsidR="00D303C1" w:rsidRPr="00334B3A">
              <w:rPr>
                <w:rFonts w:ascii="Times New Roman" w:hAnsi="Times New Roman"/>
                <w:bCs/>
                <w:sz w:val="20"/>
                <w:szCs w:val="20"/>
              </w:rPr>
              <w:t>welpataswir</w:t>
            </w:r>
            <w:proofErr w:type="spellEnd"/>
            <w:r w:rsidR="00266598" w:rsidRPr="00334B3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459C63F" w14:textId="77777777" w:rsidR="005F7521" w:rsidRPr="00334B3A" w:rsidRDefault="005F7521" w:rsidP="005F7521">
            <w:pPr>
              <w:pStyle w:val="Akapitzlist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2944AE" w14:textId="5BF3549E" w:rsidR="00D61FC0" w:rsidRPr="00334B3A" w:rsidRDefault="00D61FC0" w:rsidP="005F7521">
            <w:pPr>
              <w:pStyle w:val="Akapitzlist"/>
              <w:numPr>
                <w:ilvl w:val="0"/>
                <w:numId w:val="45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Grazoprewir+elbaswir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ramach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programu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dawkuje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zgodnie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odpowiednią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aktualną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wydania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decyzji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Charakterystyką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Produktu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Leczniczego.</w:t>
            </w:r>
          </w:p>
          <w:p w14:paraId="733CA638" w14:textId="519E71D3" w:rsidR="00D61FC0" w:rsidRDefault="00D61FC0" w:rsidP="005F7521">
            <w:pPr>
              <w:pStyle w:val="Akapitzlist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niezbędną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terapii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skojarzonej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grazoprewirem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elbaswirem</w:t>
            </w:r>
            <w:proofErr w:type="spellEnd"/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należy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stosować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zgodnie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schematem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dawkowania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określonym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aktualnej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wydania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decyzji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Charakterystyce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Produktu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Leczniczego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zawierającego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grazoprewir+elbaswir</w:t>
            </w:r>
            <w:proofErr w:type="spellEnd"/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A1F2951" w14:textId="77777777" w:rsidR="005F7521" w:rsidRPr="00334B3A" w:rsidRDefault="005F7521" w:rsidP="005F7521">
            <w:pPr>
              <w:pStyle w:val="Akapitzlist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570938D" w14:textId="12AA7A43" w:rsidR="00D61FC0" w:rsidRDefault="006E40EB" w:rsidP="005F7521">
            <w:pPr>
              <w:pStyle w:val="Akapitzlist"/>
              <w:numPr>
                <w:ilvl w:val="0"/>
                <w:numId w:val="45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Glekaprewir+pibrentaswir</w:t>
            </w:r>
            <w:proofErr w:type="spellEnd"/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ramach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programu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dawkuje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zgodnie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odpowiednią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aktualną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wydania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F7AF1" w:rsidRPr="00334B3A">
              <w:rPr>
                <w:rFonts w:ascii="Times New Roman" w:hAnsi="Times New Roman"/>
                <w:bCs/>
                <w:sz w:val="20"/>
                <w:szCs w:val="20"/>
              </w:rPr>
              <w:t>decyzji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Charakterystyką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Produktu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Leczniczego.</w:t>
            </w:r>
          </w:p>
          <w:p w14:paraId="7152F4F2" w14:textId="77777777" w:rsidR="005F7521" w:rsidRPr="00334B3A" w:rsidRDefault="005F7521" w:rsidP="005F7521">
            <w:pPr>
              <w:pStyle w:val="Akapitzlist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03239D" w14:textId="5106E336" w:rsidR="006C32EE" w:rsidRPr="00334B3A" w:rsidRDefault="006C32EE" w:rsidP="005F7521">
            <w:pPr>
              <w:pStyle w:val="Akapitzlist"/>
              <w:numPr>
                <w:ilvl w:val="0"/>
                <w:numId w:val="45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Sofosbuvir+welpataswir+woksyleprewir</w:t>
            </w:r>
            <w:proofErr w:type="spellEnd"/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ramach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programu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dawkuje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zgodnie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odpowiednią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aktualną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wydania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decyzji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Charakterystyką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Produktu</w:t>
            </w:r>
            <w:r w:rsidR="00C023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Cs/>
                <w:sz w:val="20"/>
                <w:szCs w:val="20"/>
              </w:rPr>
              <w:t>Leczniczego.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06CB" w14:textId="1F3EED6F" w:rsidR="004226D9" w:rsidRPr="00334B3A" w:rsidRDefault="004226D9" w:rsidP="005F7521">
            <w:pPr>
              <w:pStyle w:val="Akapitzlist"/>
              <w:numPr>
                <w:ilvl w:val="0"/>
                <w:numId w:val="46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Badania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przy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31635B89" w14:textId="179D8A92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BF6" w:rsidRPr="00334B3A">
              <w:rPr>
                <w:rFonts w:ascii="Times New Roman" w:hAnsi="Times New Roman"/>
                <w:sz w:val="20"/>
                <w:szCs w:val="20"/>
              </w:rPr>
              <w:t>RNA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metodą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ilościową;</w:t>
            </w:r>
          </w:p>
          <w:p w14:paraId="4BBB5CAD" w14:textId="6C3269F8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krwi;</w:t>
            </w:r>
          </w:p>
          <w:p w14:paraId="6DDF44BE" w14:textId="0939F31E" w:rsidR="003926D5" w:rsidRPr="00334B3A" w:rsidRDefault="008C520F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Al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="003926D5"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418F8C9" w14:textId="3DF6F5FF" w:rsidR="004226D9" w:rsidRPr="00334B3A" w:rsidRDefault="0037036E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albumin;</w:t>
            </w:r>
          </w:p>
          <w:p w14:paraId="7D0D19C6" w14:textId="047BD941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bilirubiny;</w:t>
            </w:r>
          </w:p>
          <w:p w14:paraId="7AA2AA5A" w14:textId="1636F66E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czas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wskaźnik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protrombinowy</w:t>
            </w:r>
            <w:proofErr w:type="spellEnd"/>
            <w:r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F76BC2" w14:textId="12692F6B" w:rsidR="004226D9" w:rsidRPr="00334B3A" w:rsidRDefault="00B1697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poziomu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kreatyniny;</w:t>
            </w:r>
          </w:p>
          <w:p w14:paraId="2CED9D63" w14:textId="261EBB4A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przeciwciał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anty-HIV</w:t>
            </w:r>
            <w:r w:rsidR="003A4FF2"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BBA360" w14:textId="5F08208D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antygenu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HBs</w:t>
            </w:r>
            <w:proofErr w:type="spellEnd"/>
            <w:r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3776D7E" w14:textId="2EDE0C05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USG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jamy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(jeśli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było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ostatnich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6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miesięcy);</w:t>
            </w:r>
          </w:p>
          <w:p w14:paraId="46C12DA2" w14:textId="0D074054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określające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zaawansowanie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włóknienia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-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elastografia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wykonana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techniką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umożliwiającą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pomiar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ilościowy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kPa</w:t>
            </w:r>
            <w:proofErr w:type="spellEnd"/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(jeśli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było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wcześniej);</w:t>
            </w:r>
          </w:p>
          <w:p w14:paraId="2CB39C1F" w14:textId="273E22A5" w:rsidR="00FD2978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genotypu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(z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podtypem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genotypu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1)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-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jeśli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było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wcześniej</w:t>
            </w:r>
            <w:r w:rsidR="00A5102F" w:rsidRPr="00334B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2564FD4" w14:textId="77777777" w:rsidR="005F7521" w:rsidRPr="00334B3A" w:rsidRDefault="005F7521" w:rsidP="005F7521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791873" w14:textId="182FA736" w:rsidR="004226D9" w:rsidRPr="00334B3A" w:rsidRDefault="004226D9" w:rsidP="005F7521">
            <w:pPr>
              <w:pStyle w:val="Akapitzlist"/>
              <w:numPr>
                <w:ilvl w:val="0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C023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</w:p>
          <w:p w14:paraId="7E0BF2BC" w14:textId="29CDDB96" w:rsidR="004226D9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lastRenderedPageBreak/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1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dniu,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przed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podaniem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leków:</w:t>
            </w:r>
          </w:p>
          <w:p w14:paraId="2B6C0DF5" w14:textId="66751409" w:rsidR="004226D9" w:rsidRPr="00334B3A" w:rsidRDefault="004226D9" w:rsidP="005F7521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krwi;</w:t>
            </w:r>
          </w:p>
          <w:p w14:paraId="6B604CFD" w14:textId="4712912D" w:rsidR="004226D9" w:rsidRPr="00334B3A" w:rsidRDefault="004226D9" w:rsidP="005F7521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6039" w:rsidRPr="00334B3A">
              <w:rPr>
                <w:rFonts w:ascii="Times New Roman" w:hAnsi="Times New Roman"/>
                <w:sz w:val="20"/>
                <w:szCs w:val="20"/>
              </w:rPr>
              <w:t>Al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8766FB5" w14:textId="4DCDC2F1" w:rsidR="004226D9" w:rsidRPr="00334B3A" w:rsidRDefault="00675622" w:rsidP="005F7521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</w:t>
            </w:r>
            <w:r w:rsidR="00706419" w:rsidRPr="00334B3A">
              <w:rPr>
                <w:rFonts w:ascii="Times New Roman" w:hAnsi="Times New Roman"/>
                <w:sz w:val="20"/>
                <w:szCs w:val="20"/>
              </w:rPr>
              <w:t>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6419" w:rsidRPr="00334B3A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6419" w:rsidRPr="00334B3A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A85EE1" w14:textId="71ACFFC9" w:rsidR="004226D9" w:rsidRPr="00334B3A" w:rsidRDefault="004226D9" w:rsidP="005F7521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próba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ciążowa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kobiet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wieku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rozrodczym;</w:t>
            </w:r>
          </w:p>
          <w:p w14:paraId="304C9556" w14:textId="6CA716D7" w:rsidR="004226D9" w:rsidRPr="00334B3A" w:rsidRDefault="00F47305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4,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8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oraz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1D" w:rsidRPr="00334B3A">
              <w:rPr>
                <w:rFonts w:ascii="Times New Roman" w:hAnsi="Times New Roman"/>
                <w:sz w:val="20"/>
                <w:szCs w:val="20"/>
              </w:rPr>
              <w:t>(</w:t>
            </w:r>
            <w:r w:rsidR="005C7F87" w:rsidRPr="00334B3A">
              <w:rPr>
                <w:rFonts w:ascii="Times New Roman" w:hAnsi="Times New Roman"/>
                <w:sz w:val="20"/>
                <w:szCs w:val="20"/>
              </w:rPr>
              <w:t>j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eżeli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651E1D" w:rsidRPr="00334B3A">
              <w:rPr>
                <w:rFonts w:ascii="Times New Roman" w:hAnsi="Times New Roman"/>
                <w:sz w:val="20"/>
                <w:szCs w:val="20"/>
              </w:rPr>
              <w:t>)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0615" w:rsidRPr="00334B3A">
              <w:rPr>
                <w:rFonts w:ascii="Times New Roman" w:hAnsi="Times New Roman"/>
                <w:sz w:val="20"/>
                <w:szCs w:val="20"/>
              </w:rPr>
              <w:t>12,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16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24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tygodniu:</w:t>
            </w:r>
          </w:p>
          <w:p w14:paraId="0509D58B" w14:textId="43FF7523" w:rsidR="004226D9" w:rsidRPr="00334B3A" w:rsidRDefault="004226D9" w:rsidP="005F7521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krwi;</w:t>
            </w:r>
          </w:p>
          <w:p w14:paraId="6551EC0B" w14:textId="74946673" w:rsidR="004226D9" w:rsidRPr="00334B3A" w:rsidRDefault="001A6039" w:rsidP="005F7521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3A">
              <w:rPr>
                <w:rFonts w:ascii="Times New Roman" w:hAnsi="Times New Roman"/>
                <w:sz w:val="20"/>
                <w:szCs w:val="20"/>
              </w:rPr>
              <w:t>Al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="004226D9"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3134B06" w14:textId="12FAE517" w:rsidR="005974CD" w:rsidRPr="00334B3A" w:rsidRDefault="005974CD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4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6322648" w14:textId="3DAC52F6" w:rsidR="005974CD" w:rsidRPr="00334B3A" w:rsidRDefault="005974CD" w:rsidP="00C02385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–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występowania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zwiększonego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4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3E561E" w:rsidRPr="00334B3A">
              <w:rPr>
                <w:rFonts w:ascii="Times New Roman" w:hAnsi="Times New Roman"/>
                <w:sz w:val="20"/>
                <w:szCs w:val="20"/>
              </w:rPr>
              <w:t>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powtórzyć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oznacz</w:t>
            </w:r>
            <w:r w:rsidR="003E561E" w:rsidRPr="00334B3A">
              <w:rPr>
                <w:rFonts w:ascii="Times New Roman" w:hAnsi="Times New Roman"/>
                <w:sz w:val="20"/>
                <w:szCs w:val="20"/>
              </w:rPr>
              <w:t>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8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tyg</w:t>
            </w:r>
            <w:r w:rsidR="00F47305" w:rsidRPr="00334B3A">
              <w:rPr>
                <w:rFonts w:ascii="Times New Roman" w:hAnsi="Times New Roman"/>
                <w:sz w:val="20"/>
                <w:szCs w:val="20"/>
              </w:rPr>
              <w:t>odniu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oraz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jeżeli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12,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16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24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tyg</w:t>
            </w:r>
            <w:r w:rsidR="00F47305" w:rsidRPr="00334B3A">
              <w:rPr>
                <w:rFonts w:ascii="Times New Roman" w:hAnsi="Times New Roman"/>
                <w:sz w:val="20"/>
                <w:szCs w:val="20"/>
              </w:rPr>
              <w:t>odniu</w:t>
            </w:r>
            <w:r w:rsidR="00DF775E" w:rsidRPr="00334B3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5D47632" w14:textId="11BF0596" w:rsidR="00CC1C5D" w:rsidRPr="00334B3A" w:rsidRDefault="004226D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zakończenie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lecze</w:t>
            </w:r>
            <w:r w:rsidR="00CD7C22" w:rsidRPr="00334B3A">
              <w:rPr>
                <w:rFonts w:ascii="Times New Roman" w:hAnsi="Times New Roman"/>
                <w:sz w:val="20"/>
                <w:szCs w:val="20"/>
              </w:rPr>
              <w:t>nia</w:t>
            </w:r>
            <w:r w:rsidR="00CC1C5D" w:rsidRPr="00334B3A">
              <w:rPr>
                <w:rFonts w:ascii="Times New Roman" w:hAnsi="Times New Roman"/>
                <w:sz w:val="20"/>
                <w:szCs w:val="20"/>
              </w:rPr>
              <w:t>: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522F1C" w14:textId="091F1CA7" w:rsidR="004226D9" w:rsidRPr="00334B3A" w:rsidRDefault="004226D9" w:rsidP="00C02385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RNA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metodą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ja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kościową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ilościową;</w:t>
            </w:r>
          </w:p>
          <w:p w14:paraId="39057425" w14:textId="09BB5423" w:rsidR="00DF775E" w:rsidRPr="00334B3A" w:rsidRDefault="00706419" w:rsidP="005F7521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po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12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tygo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dniach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od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775E" w:rsidRPr="00334B3A">
              <w:rPr>
                <w:rFonts w:ascii="Times New Roman" w:hAnsi="Times New Roman"/>
                <w:sz w:val="20"/>
                <w:szCs w:val="20"/>
              </w:rPr>
              <w:t>zakończenia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775E" w:rsidRPr="00334B3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775E" w:rsidRPr="00334B3A">
              <w:rPr>
                <w:rFonts w:ascii="Times New Roman" w:hAnsi="Times New Roman"/>
                <w:sz w:val="20"/>
                <w:szCs w:val="20"/>
              </w:rPr>
              <w:t>(w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775E" w:rsidRPr="00334B3A">
              <w:rPr>
                <w:rFonts w:ascii="Times New Roman" w:hAnsi="Times New Roman"/>
                <w:sz w:val="20"/>
                <w:szCs w:val="20"/>
              </w:rPr>
              <w:t>20,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775E" w:rsidRPr="00334B3A">
              <w:rPr>
                <w:rFonts w:ascii="Times New Roman" w:hAnsi="Times New Roman"/>
                <w:sz w:val="20"/>
                <w:szCs w:val="20"/>
              </w:rPr>
              <w:t>24,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775E" w:rsidRPr="00334B3A">
              <w:rPr>
                <w:rFonts w:ascii="Times New Roman" w:hAnsi="Times New Roman"/>
                <w:sz w:val="20"/>
                <w:szCs w:val="20"/>
              </w:rPr>
              <w:t>28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36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terapii)</w:t>
            </w:r>
            <w:r w:rsidR="00DF775E" w:rsidRPr="00334B3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C91D772" w14:textId="7766B158" w:rsidR="00DF775E" w:rsidRPr="00334B3A" w:rsidRDefault="00C02385" w:rsidP="00C02385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34B3A">
              <w:rPr>
                <w:rFonts w:ascii="Times New Roman" w:hAnsi="Times New Roman"/>
                <w:sz w:val="20"/>
                <w:szCs w:val="20"/>
              </w:rPr>
              <w:t>oznac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HCV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RNA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metodą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9A9" w:rsidRPr="00334B3A">
              <w:rPr>
                <w:rFonts w:ascii="Times New Roman" w:hAnsi="Times New Roman"/>
                <w:sz w:val="20"/>
                <w:szCs w:val="20"/>
              </w:rPr>
              <w:t>jakościową;</w:t>
            </w:r>
          </w:p>
          <w:p w14:paraId="51632252" w14:textId="06F05DD1" w:rsidR="004F0615" w:rsidRDefault="004226D9" w:rsidP="00C02385">
            <w:pPr>
              <w:pStyle w:val="Akapitzlist"/>
              <w:numPr>
                <w:ilvl w:val="4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USG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jamy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9438AD" w:rsidRPr="00334B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586761" w14:textId="77777777" w:rsidR="00C02385" w:rsidRPr="00334B3A" w:rsidRDefault="00C02385" w:rsidP="00C02385">
            <w:pPr>
              <w:pStyle w:val="Akapitzlist"/>
              <w:spacing w:after="60"/>
              <w:ind w:left="68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288019" w14:textId="4CAD3D6D" w:rsidR="000F750B" w:rsidRPr="00334B3A" w:rsidRDefault="000F750B" w:rsidP="005F7521">
            <w:pPr>
              <w:pStyle w:val="Akapitzlist"/>
              <w:numPr>
                <w:ilvl w:val="0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C023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23C736E5" w14:textId="376777AD" w:rsidR="000F750B" w:rsidRPr="00334B3A" w:rsidRDefault="000F750B" w:rsidP="00C02385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gromadzenie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medycznej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danych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każdorazowe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przedstawianie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żądanie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kontrolerów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Zdrowia;</w:t>
            </w:r>
          </w:p>
          <w:p w14:paraId="2C91B3AD" w14:textId="0A59C4F2" w:rsidR="000F750B" w:rsidRPr="00334B3A" w:rsidRDefault="0020287F" w:rsidP="00C02385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danych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zawartych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rejestrze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(SMPT)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dostępnym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za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pomocą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aplikacji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internetowej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udostępnionej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przez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OW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NFZ,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częstotliwością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zgodną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opisem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oraz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na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zakończenie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50B" w:rsidRPr="00334B3A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2382BE0E" w14:textId="788DFBAE" w:rsidR="000F750B" w:rsidRDefault="000F750B" w:rsidP="00C02385">
            <w:pPr>
              <w:pStyle w:val="Akapitzlist"/>
              <w:numPr>
                <w:ilvl w:val="3"/>
                <w:numId w:val="4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3A">
              <w:rPr>
                <w:rFonts w:ascii="Times New Roman" w:hAnsi="Times New Roman"/>
                <w:sz w:val="20"/>
                <w:szCs w:val="20"/>
              </w:rPr>
              <w:lastRenderedPageBreak/>
              <w:t>przekazywanie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sprawozdawczo-rozliczeniowych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NFZ: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się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do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NFZ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formie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papierowej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lub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formie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elektronicznej,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wymaganiami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opublikowanymi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przez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Narodowy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Fundusz</w:t>
            </w:r>
            <w:r w:rsidR="00C02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3A">
              <w:rPr>
                <w:rFonts w:ascii="Times New Roman" w:hAnsi="Times New Roman"/>
                <w:sz w:val="20"/>
                <w:szCs w:val="20"/>
              </w:rPr>
              <w:t>Zdrowia.</w:t>
            </w:r>
          </w:p>
          <w:p w14:paraId="6CA6CE6F" w14:textId="188AE513" w:rsidR="00C02385" w:rsidRPr="00334B3A" w:rsidRDefault="00C02385" w:rsidP="00C02385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B71EF7" w14:textId="21457966" w:rsidR="00C52F67" w:rsidRPr="00DF775E" w:rsidRDefault="00C52F67" w:rsidP="001509B8">
      <w:pPr>
        <w:pStyle w:val="Style2"/>
        <w:widowControl/>
        <w:rPr>
          <w:b/>
          <w:sz w:val="2"/>
        </w:rPr>
      </w:pPr>
    </w:p>
    <w:sectPr w:rsidR="00C52F67" w:rsidRPr="00DF775E" w:rsidSect="00342604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192A5" w14:textId="77777777" w:rsidR="00FC529D" w:rsidRDefault="00FC529D" w:rsidP="00913AAA">
      <w:r>
        <w:separator/>
      </w:r>
    </w:p>
  </w:endnote>
  <w:endnote w:type="continuationSeparator" w:id="0">
    <w:p w14:paraId="2B582B71" w14:textId="77777777" w:rsidR="00FC529D" w:rsidRDefault="00FC529D" w:rsidP="00913AAA">
      <w:r>
        <w:continuationSeparator/>
      </w:r>
    </w:p>
  </w:endnote>
  <w:endnote w:type="continuationNotice" w:id="1">
    <w:p w14:paraId="126AACE1" w14:textId="77777777" w:rsidR="00FC529D" w:rsidRDefault="00FC5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B3F8" w14:textId="77777777" w:rsidR="00FC529D" w:rsidRDefault="00FC529D" w:rsidP="00913AAA">
      <w:r>
        <w:separator/>
      </w:r>
    </w:p>
  </w:footnote>
  <w:footnote w:type="continuationSeparator" w:id="0">
    <w:p w14:paraId="450E0A72" w14:textId="77777777" w:rsidR="00FC529D" w:rsidRDefault="00FC529D" w:rsidP="00913AAA">
      <w:r>
        <w:continuationSeparator/>
      </w:r>
    </w:p>
  </w:footnote>
  <w:footnote w:type="continuationNotice" w:id="1">
    <w:p w14:paraId="7170C0F0" w14:textId="77777777" w:rsidR="00FC529D" w:rsidRDefault="00FC5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1040"/>
    <w:multiLevelType w:val="hybridMultilevel"/>
    <w:tmpl w:val="4E98A1F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454931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9E3"/>
    <w:multiLevelType w:val="hybridMultilevel"/>
    <w:tmpl w:val="7DC45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62EB"/>
    <w:multiLevelType w:val="multilevel"/>
    <w:tmpl w:val="E1A2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60A4ED2"/>
    <w:multiLevelType w:val="hybridMultilevel"/>
    <w:tmpl w:val="70EEDA8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6767F80"/>
    <w:multiLevelType w:val="hybridMultilevel"/>
    <w:tmpl w:val="37FC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68FF"/>
    <w:multiLevelType w:val="hybridMultilevel"/>
    <w:tmpl w:val="9A84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64C"/>
    <w:multiLevelType w:val="hybridMultilevel"/>
    <w:tmpl w:val="BE3A54B6"/>
    <w:lvl w:ilvl="0" w:tplc="5DB07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2F48"/>
    <w:multiLevelType w:val="hybridMultilevel"/>
    <w:tmpl w:val="2CD09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1E90"/>
    <w:multiLevelType w:val="hybridMultilevel"/>
    <w:tmpl w:val="6BE82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92F52"/>
    <w:multiLevelType w:val="hybridMultilevel"/>
    <w:tmpl w:val="4238B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B0CDF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17845C82"/>
    <w:multiLevelType w:val="hybridMultilevel"/>
    <w:tmpl w:val="88B29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95511"/>
    <w:multiLevelType w:val="hybridMultilevel"/>
    <w:tmpl w:val="53A2C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45870"/>
    <w:multiLevelType w:val="hybridMultilevel"/>
    <w:tmpl w:val="12606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B7A59"/>
    <w:multiLevelType w:val="hybridMultilevel"/>
    <w:tmpl w:val="8370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E5422"/>
    <w:multiLevelType w:val="hybridMultilevel"/>
    <w:tmpl w:val="5B8A2E30"/>
    <w:lvl w:ilvl="0" w:tplc="0B4483A8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7" w15:restartNumberingAfterBreak="0">
    <w:nsid w:val="1C7D238E"/>
    <w:multiLevelType w:val="hybridMultilevel"/>
    <w:tmpl w:val="EBD4E1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DD10A2C"/>
    <w:multiLevelType w:val="hybridMultilevel"/>
    <w:tmpl w:val="DBF4D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536A7"/>
    <w:multiLevelType w:val="hybridMultilevel"/>
    <w:tmpl w:val="9104E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5083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263C7F07"/>
    <w:multiLevelType w:val="hybridMultilevel"/>
    <w:tmpl w:val="EBF80F9A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5F7E30"/>
    <w:multiLevelType w:val="hybridMultilevel"/>
    <w:tmpl w:val="DC94BD0E"/>
    <w:lvl w:ilvl="0" w:tplc="7D0A74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731F7"/>
    <w:multiLevelType w:val="hybridMultilevel"/>
    <w:tmpl w:val="21AE8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A287A"/>
    <w:multiLevelType w:val="hybridMultilevel"/>
    <w:tmpl w:val="0276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238C5"/>
    <w:multiLevelType w:val="hybridMultilevel"/>
    <w:tmpl w:val="43CE8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465E6"/>
    <w:multiLevelType w:val="hybridMultilevel"/>
    <w:tmpl w:val="59EC0CB6"/>
    <w:lvl w:ilvl="0" w:tplc="2650547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0619A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3E9B7496"/>
    <w:multiLevelType w:val="hybridMultilevel"/>
    <w:tmpl w:val="FABA4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F5214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26A0C9B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440A7"/>
    <w:multiLevelType w:val="hybridMultilevel"/>
    <w:tmpl w:val="20526A14"/>
    <w:lvl w:ilvl="0" w:tplc="E18C765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4DC001EE"/>
    <w:multiLevelType w:val="multilevel"/>
    <w:tmpl w:val="8A706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4F257F45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D41FF7"/>
    <w:multiLevelType w:val="hybridMultilevel"/>
    <w:tmpl w:val="B8D6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91A6A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83E43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598F0A77"/>
    <w:multiLevelType w:val="hybridMultilevel"/>
    <w:tmpl w:val="F5B6FB22"/>
    <w:lvl w:ilvl="0" w:tplc="065E9A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308DF"/>
    <w:multiLevelType w:val="hybridMultilevel"/>
    <w:tmpl w:val="0CD2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87EA8"/>
    <w:multiLevelType w:val="hybridMultilevel"/>
    <w:tmpl w:val="69904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B07D9"/>
    <w:multiLevelType w:val="hybridMultilevel"/>
    <w:tmpl w:val="0A0829A6"/>
    <w:lvl w:ilvl="0" w:tplc="69B4829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1" w15:restartNumberingAfterBreak="0">
    <w:nsid w:val="669C42AC"/>
    <w:multiLevelType w:val="hybridMultilevel"/>
    <w:tmpl w:val="E91A385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2" w15:restartNumberingAfterBreak="0">
    <w:nsid w:val="74B052DB"/>
    <w:multiLevelType w:val="hybridMultilevel"/>
    <w:tmpl w:val="BB9CFF4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C6FA2"/>
    <w:multiLevelType w:val="hybridMultilevel"/>
    <w:tmpl w:val="F3CED48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73E9E"/>
    <w:multiLevelType w:val="hybridMultilevel"/>
    <w:tmpl w:val="0B0E9A9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80E73EA"/>
    <w:multiLevelType w:val="hybridMultilevel"/>
    <w:tmpl w:val="36581B06"/>
    <w:lvl w:ilvl="0" w:tplc="0F36E3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24"/>
  </w:num>
  <w:num w:numId="5">
    <w:abstractNumId w:val="18"/>
  </w:num>
  <w:num w:numId="6">
    <w:abstractNumId w:val="41"/>
  </w:num>
  <w:num w:numId="7">
    <w:abstractNumId w:val="6"/>
  </w:num>
  <w:num w:numId="8">
    <w:abstractNumId w:val="14"/>
  </w:num>
  <w:num w:numId="9">
    <w:abstractNumId w:val="13"/>
  </w:num>
  <w:num w:numId="10">
    <w:abstractNumId w:val="12"/>
  </w:num>
  <w:num w:numId="11">
    <w:abstractNumId w:val="37"/>
  </w:num>
  <w:num w:numId="12">
    <w:abstractNumId w:val="21"/>
  </w:num>
  <w:num w:numId="13">
    <w:abstractNumId w:val="22"/>
  </w:num>
  <w:num w:numId="14">
    <w:abstractNumId w:val="34"/>
  </w:num>
  <w:num w:numId="15">
    <w:abstractNumId w:val="43"/>
  </w:num>
  <w:num w:numId="16">
    <w:abstractNumId w:val="8"/>
  </w:num>
  <w:num w:numId="17">
    <w:abstractNumId w:val="42"/>
  </w:num>
  <w:num w:numId="18">
    <w:abstractNumId w:val="0"/>
  </w:num>
  <w:num w:numId="19">
    <w:abstractNumId w:val="38"/>
  </w:num>
  <w:num w:numId="20">
    <w:abstractNumId w:val="44"/>
  </w:num>
  <w:num w:numId="21">
    <w:abstractNumId w:val="4"/>
  </w:num>
  <w:num w:numId="22">
    <w:abstractNumId w:val="17"/>
  </w:num>
  <w:num w:numId="23">
    <w:abstractNumId w:val="5"/>
  </w:num>
  <w:num w:numId="24">
    <w:abstractNumId w:val="19"/>
  </w:num>
  <w:num w:numId="25">
    <w:abstractNumId w:val="28"/>
  </w:num>
  <w:num w:numId="26">
    <w:abstractNumId w:val="23"/>
  </w:num>
  <w:num w:numId="27">
    <w:abstractNumId w:val="10"/>
  </w:num>
  <w:num w:numId="28">
    <w:abstractNumId w:val="2"/>
  </w:num>
  <w:num w:numId="29">
    <w:abstractNumId w:val="9"/>
  </w:num>
  <w:num w:numId="30">
    <w:abstractNumId w:val="25"/>
  </w:num>
  <w:num w:numId="31">
    <w:abstractNumId w:val="31"/>
  </w:num>
  <w:num w:numId="32">
    <w:abstractNumId w:val="1"/>
  </w:num>
  <w:num w:numId="33">
    <w:abstractNumId w:val="26"/>
  </w:num>
  <w:num w:numId="34">
    <w:abstractNumId w:val="35"/>
  </w:num>
  <w:num w:numId="35">
    <w:abstractNumId w:val="45"/>
  </w:num>
  <w:num w:numId="36">
    <w:abstractNumId w:val="29"/>
  </w:num>
  <w:num w:numId="37">
    <w:abstractNumId w:val="40"/>
  </w:num>
  <w:num w:numId="38">
    <w:abstractNumId w:val="30"/>
  </w:num>
  <w:num w:numId="39">
    <w:abstractNumId w:val="33"/>
  </w:num>
  <w:num w:numId="40">
    <w:abstractNumId w:val="36"/>
  </w:num>
  <w:num w:numId="41">
    <w:abstractNumId w:val="32"/>
  </w:num>
  <w:num w:numId="42">
    <w:abstractNumId w:val="16"/>
  </w:num>
  <w:num w:numId="43">
    <w:abstractNumId w:val="39"/>
  </w:num>
  <w:num w:numId="44">
    <w:abstractNumId w:val="20"/>
  </w:num>
  <w:num w:numId="45">
    <w:abstractNumId w:val="27"/>
  </w:num>
  <w:num w:numId="46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12"/>
    <w:rsid w:val="00000643"/>
    <w:rsid w:val="00003256"/>
    <w:rsid w:val="0001712C"/>
    <w:rsid w:val="00046335"/>
    <w:rsid w:val="0005344F"/>
    <w:rsid w:val="00071395"/>
    <w:rsid w:val="00081D5A"/>
    <w:rsid w:val="000869B0"/>
    <w:rsid w:val="00094467"/>
    <w:rsid w:val="000A0490"/>
    <w:rsid w:val="000B2708"/>
    <w:rsid w:val="000F2BDF"/>
    <w:rsid w:val="000F4C3E"/>
    <w:rsid w:val="000F5F7F"/>
    <w:rsid w:val="000F750B"/>
    <w:rsid w:val="00100A37"/>
    <w:rsid w:val="001357D6"/>
    <w:rsid w:val="001400C6"/>
    <w:rsid w:val="001415E6"/>
    <w:rsid w:val="001509B8"/>
    <w:rsid w:val="0015222E"/>
    <w:rsid w:val="001A6039"/>
    <w:rsid w:val="001A6A05"/>
    <w:rsid w:val="001B43E5"/>
    <w:rsid w:val="001B566C"/>
    <w:rsid w:val="001C243F"/>
    <w:rsid w:val="001E2E25"/>
    <w:rsid w:val="001F73BF"/>
    <w:rsid w:val="00201A12"/>
    <w:rsid w:val="0020287F"/>
    <w:rsid w:val="00266598"/>
    <w:rsid w:val="002818A3"/>
    <w:rsid w:val="002A2D05"/>
    <w:rsid w:val="002A659C"/>
    <w:rsid w:val="002A7E67"/>
    <w:rsid w:val="002B6B12"/>
    <w:rsid w:val="002C4E34"/>
    <w:rsid w:val="002C79A9"/>
    <w:rsid w:val="0031597D"/>
    <w:rsid w:val="00322C3F"/>
    <w:rsid w:val="003242DB"/>
    <w:rsid w:val="00334B3A"/>
    <w:rsid w:val="00342604"/>
    <w:rsid w:val="003558AD"/>
    <w:rsid w:val="0037036E"/>
    <w:rsid w:val="0038490E"/>
    <w:rsid w:val="003926D5"/>
    <w:rsid w:val="003A1059"/>
    <w:rsid w:val="003A4FF2"/>
    <w:rsid w:val="003E561E"/>
    <w:rsid w:val="00404D79"/>
    <w:rsid w:val="00407D55"/>
    <w:rsid w:val="00411732"/>
    <w:rsid w:val="004226D9"/>
    <w:rsid w:val="00430939"/>
    <w:rsid w:val="0043324A"/>
    <w:rsid w:val="00434D4C"/>
    <w:rsid w:val="0046790F"/>
    <w:rsid w:val="004C182B"/>
    <w:rsid w:val="004E2D35"/>
    <w:rsid w:val="004F0615"/>
    <w:rsid w:val="004F1712"/>
    <w:rsid w:val="004F72E8"/>
    <w:rsid w:val="00503320"/>
    <w:rsid w:val="00513883"/>
    <w:rsid w:val="00513B65"/>
    <w:rsid w:val="0051513C"/>
    <w:rsid w:val="005158AB"/>
    <w:rsid w:val="00517F20"/>
    <w:rsid w:val="00521693"/>
    <w:rsid w:val="00537457"/>
    <w:rsid w:val="00541ED6"/>
    <w:rsid w:val="005525E9"/>
    <w:rsid w:val="0058394C"/>
    <w:rsid w:val="0059283F"/>
    <w:rsid w:val="005974CD"/>
    <w:rsid w:val="00597BE8"/>
    <w:rsid w:val="005A3B5B"/>
    <w:rsid w:val="005C04F5"/>
    <w:rsid w:val="005C4C92"/>
    <w:rsid w:val="005C7F87"/>
    <w:rsid w:val="005E574F"/>
    <w:rsid w:val="005E7ED2"/>
    <w:rsid w:val="005F6058"/>
    <w:rsid w:val="005F7521"/>
    <w:rsid w:val="005F7AF1"/>
    <w:rsid w:val="00612C4F"/>
    <w:rsid w:val="00635EB7"/>
    <w:rsid w:val="00651E1D"/>
    <w:rsid w:val="0065225A"/>
    <w:rsid w:val="00675622"/>
    <w:rsid w:val="006768D6"/>
    <w:rsid w:val="006A77AA"/>
    <w:rsid w:val="006B6526"/>
    <w:rsid w:val="006C1B22"/>
    <w:rsid w:val="006C32EE"/>
    <w:rsid w:val="006C4D75"/>
    <w:rsid w:val="006E40EB"/>
    <w:rsid w:val="00706419"/>
    <w:rsid w:val="00717EF9"/>
    <w:rsid w:val="00725F8A"/>
    <w:rsid w:val="00765D79"/>
    <w:rsid w:val="00777BFC"/>
    <w:rsid w:val="007A4DD8"/>
    <w:rsid w:val="007C53C5"/>
    <w:rsid w:val="007D1A59"/>
    <w:rsid w:val="007D53EB"/>
    <w:rsid w:val="007D7064"/>
    <w:rsid w:val="007D75E6"/>
    <w:rsid w:val="007F41CA"/>
    <w:rsid w:val="007F6CD4"/>
    <w:rsid w:val="00865166"/>
    <w:rsid w:val="00866296"/>
    <w:rsid w:val="008721CB"/>
    <w:rsid w:val="008A229F"/>
    <w:rsid w:val="008C520F"/>
    <w:rsid w:val="008D057B"/>
    <w:rsid w:val="008F7921"/>
    <w:rsid w:val="009023E7"/>
    <w:rsid w:val="00904799"/>
    <w:rsid w:val="00907303"/>
    <w:rsid w:val="00913AAA"/>
    <w:rsid w:val="009174F7"/>
    <w:rsid w:val="00922889"/>
    <w:rsid w:val="00927FEA"/>
    <w:rsid w:val="009438AD"/>
    <w:rsid w:val="00956373"/>
    <w:rsid w:val="00964651"/>
    <w:rsid w:val="00991CD0"/>
    <w:rsid w:val="009A6AC5"/>
    <w:rsid w:val="009D6876"/>
    <w:rsid w:val="009D7505"/>
    <w:rsid w:val="009E2C03"/>
    <w:rsid w:val="009E5506"/>
    <w:rsid w:val="009E6D50"/>
    <w:rsid w:val="00A0009F"/>
    <w:rsid w:val="00A056F5"/>
    <w:rsid w:val="00A162C8"/>
    <w:rsid w:val="00A44B14"/>
    <w:rsid w:val="00A5102F"/>
    <w:rsid w:val="00A86969"/>
    <w:rsid w:val="00A94DF9"/>
    <w:rsid w:val="00A96385"/>
    <w:rsid w:val="00AC66D4"/>
    <w:rsid w:val="00AF71C9"/>
    <w:rsid w:val="00B16979"/>
    <w:rsid w:val="00B2319A"/>
    <w:rsid w:val="00B32907"/>
    <w:rsid w:val="00B36FAE"/>
    <w:rsid w:val="00B541CE"/>
    <w:rsid w:val="00B718B0"/>
    <w:rsid w:val="00B92D8E"/>
    <w:rsid w:val="00B9696C"/>
    <w:rsid w:val="00BA3598"/>
    <w:rsid w:val="00BB49F8"/>
    <w:rsid w:val="00BE5A22"/>
    <w:rsid w:val="00BF2A36"/>
    <w:rsid w:val="00C02385"/>
    <w:rsid w:val="00C04A5E"/>
    <w:rsid w:val="00C252D8"/>
    <w:rsid w:val="00C27AD7"/>
    <w:rsid w:val="00C347DC"/>
    <w:rsid w:val="00C3573A"/>
    <w:rsid w:val="00C51E26"/>
    <w:rsid w:val="00C52F67"/>
    <w:rsid w:val="00C54EC7"/>
    <w:rsid w:val="00C725CD"/>
    <w:rsid w:val="00C87E8E"/>
    <w:rsid w:val="00CA3704"/>
    <w:rsid w:val="00CA500C"/>
    <w:rsid w:val="00CC1C5D"/>
    <w:rsid w:val="00CD1513"/>
    <w:rsid w:val="00CD7C22"/>
    <w:rsid w:val="00CF4575"/>
    <w:rsid w:val="00D20D07"/>
    <w:rsid w:val="00D25756"/>
    <w:rsid w:val="00D25BF6"/>
    <w:rsid w:val="00D303C1"/>
    <w:rsid w:val="00D470B3"/>
    <w:rsid w:val="00D544CD"/>
    <w:rsid w:val="00D61FC0"/>
    <w:rsid w:val="00D74224"/>
    <w:rsid w:val="00DE248E"/>
    <w:rsid w:val="00DF3792"/>
    <w:rsid w:val="00DF775E"/>
    <w:rsid w:val="00E13A86"/>
    <w:rsid w:val="00E51524"/>
    <w:rsid w:val="00E62CB6"/>
    <w:rsid w:val="00E82BFD"/>
    <w:rsid w:val="00EA5960"/>
    <w:rsid w:val="00EB47D0"/>
    <w:rsid w:val="00EC7808"/>
    <w:rsid w:val="00ED76A6"/>
    <w:rsid w:val="00EF24BE"/>
    <w:rsid w:val="00F03C0B"/>
    <w:rsid w:val="00F12A78"/>
    <w:rsid w:val="00F33D9B"/>
    <w:rsid w:val="00F40101"/>
    <w:rsid w:val="00F47305"/>
    <w:rsid w:val="00F51865"/>
    <w:rsid w:val="00F55B4D"/>
    <w:rsid w:val="00F56F21"/>
    <w:rsid w:val="00F61817"/>
    <w:rsid w:val="00F6279E"/>
    <w:rsid w:val="00F96DC7"/>
    <w:rsid w:val="00FB07B8"/>
    <w:rsid w:val="00FB60BE"/>
    <w:rsid w:val="00FC529D"/>
    <w:rsid w:val="00FD2978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76464"/>
  <w15:docId w15:val="{0C502647-A2A0-4D7D-A963-E8431C2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5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869B0"/>
    <w:rPr>
      <w:rFonts w:cs="Times New Roman"/>
      <w:color w:val="0000FF"/>
      <w:u w:val="single"/>
    </w:rPr>
  </w:style>
  <w:style w:type="paragraph" w:customStyle="1" w:styleId="Style1">
    <w:name w:val="Style1"/>
    <w:basedOn w:val="Normalny"/>
    <w:uiPriority w:val="99"/>
    <w:rsid w:val="006B6526"/>
    <w:pPr>
      <w:jc w:val="both"/>
    </w:pPr>
  </w:style>
  <w:style w:type="paragraph" w:customStyle="1" w:styleId="Style2">
    <w:name w:val="Style2"/>
    <w:basedOn w:val="Normalny"/>
    <w:uiPriority w:val="99"/>
    <w:rsid w:val="006B6526"/>
    <w:pPr>
      <w:spacing w:line="331" w:lineRule="exact"/>
      <w:jc w:val="both"/>
    </w:pPr>
  </w:style>
  <w:style w:type="paragraph" w:customStyle="1" w:styleId="Style4">
    <w:name w:val="Style4"/>
    <w:basedOn w:val="Normalny"/>
    <w:uiPriority w:val="99"/>
    <w:rsid w:val="006B6526"/>
    <w:pPr>
      <w:spacing w:line="266" w:lineRule="exact"/>
      <w:ind w:hanging="367"/>
    </w:pPr>
  </w:style>
  <w:style w:type="paragraph" w:customStyle="1" w:styleId="Style5">
    <w:name w:val="Style5"/>
    <w:basedOn w:val="Normalny"/>
    <w:uiPriority w:val="99"/>
    <w:rsid w:val="006B6526"/>
    <w:pPr>
      <w:spacing w:line="266" w:lineRule="exact"/>
    </w:pPr>
  </w:style>
  <w:style w:type="paragraph" w:customStyle="1" w:styleId="Style6">
    <w:name w:val="Style6"/>
    <w:basedOn w:val="Normalny"/>
    <w:uiPriority w:val="99"/>
    <w:rsid w:val="006B6526"/>
    <w:pPr>
      <w:spacing w:line="259" w:lineRule="exact"/>
      <w:ind w:hanging="353"/>
    </w:pPr>
  </w:style>
  <w:style w:type="paragraph" w:customStyle="1" w:styleId="Style7">
    <w:name w:val="Style7"/>
    <w:basedOn w:val="Normalny"/>
    <w:uiPriority w:val="99"/>
    <w:rsid w:val="006B6526"/>
    <w:pPr>
      <w:spacing w:line="266" w:lineRule="exact"/>
    </w:pPr>
  </w:style>
  <w:style w:type="character" w:customStyle="1" w:styleId="FontStyle19">
    <w:name w:val="Font Style19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6B6526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B1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226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D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D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FCE4A-44B9-43D9-B19C-D90BC34C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Gilead Sciences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Mierzejewski</dc:creator>
  <cp:lastModifiedBy>Królak-Buzakowska Joanna</cp:lastModifiedBy>
  <cp:revision>3</cp:revision>
  <cp:lastPrinted>2018-07-16T11:55:00Z</cp:lastPrinted>
  <dcterms:created xsi:type="dcterms:W3CDTF">2021-04-19T10:20:00Z</dcterms:created>
  <dcterms:modified xsi:type="dcterms:W3CDTF">2021-04-19T10:27:00Z</dcterms:modified>
</cp:coreProperties>
</file>