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851" w14:textId="4DE8E390" w:rsidR="00021A18" w:rsidRPr="00DD56EC" w:rsidRDefault="00DF4527" w:rsidP="00062B9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D56EC">
        <w:rPr>
          <w:rFonts w:ascii="Times New Roman" w:hAnsi="Times New Roman" w:cs="Times New Roman"/>
          <w:b/>
          <w:bCs/>
        </w:rPr>
        <w:t>Tabela uwag z</w:t>
      </w:r>
      <w:r w:rsidR="00110686" w:rsidRPr="00DD56EC">
        <w:rPr>
          <w:rFonts w:ascii="Times New Roman" w:hAnsi="Times New Roman" w:cs="Times New Roman"/>
          <w:b/>
          <w:bCs/>
        </w:rPr>
        <w:t>głoszonych w ramach</w:t>
      </w:r>
      <w:r w:rsidRPr="00DD56EC">
        <w:rPr>
          <w:rFonts w:ascii="Times New Roman" w:hAnsi="Times New Roman" w:cs="Times New Roman"/>
          <w:b/>
          <w:bCs/>
        </w:rPr>
        <w:t xml:space="preserve"> </w:t>
      </w:r>
      <w:r w:rsidR="00DD56EC">
        <w:rPr>
          <w:rFonts w:ascii="Times New Roman" w:hAnsi="Times New Roman" w:cs="Times New Roman"/>
          <w:b/>
          <w:bCs/>
        </w:rPr>
        <w:t>ponownych</w:t>
      </w:r>
      <w:r w:rsidR="00024B85" w:rsidRPr="00DD56EC">
        <w:rPr>
          <w:rFonts w:ascii="Times New Roman" w:hAnsi="Times New Roman" w:cs="Times New Roman"/>
          <w:b/>
          <w:bCs/>
        </w:rPr>
        <w:t xml:space="preserve"> </w:t>
      </w:r>
      <w:r w:rsidR="008347E5" w:rsidRPr="00DD56EC">
        <w:rPr>
          <w:rFonts w:ascii="Times New Roman" w:hAnsi="Times New Roman" w:cs="Times New Roman"/>
          <w:b/>
          <w:bCs/>
        </w:rPr>
        <w:t>konsultacji publicznych</w:t>
      </w:r>
      <w:r w:rsidR="00396DAE" w:rsidRPr="00DD56EC">
        <w:rPr>
          <w:rFonts w:ascii="Times New Roman" w:hAnsi="Times New Roman" w:cs="Times New Roman"/>
          <w:b/>
          <w:bCs/>
        </w:rPr>
        <w:t xml:space="preserve"> </w:t>
      </w:r>
      <w:r w:rsidRPr="00DD56EC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A15263" w:rsidRPr="00DD56EC">
        <w:rPr>
          <w:rFonts w:ascii="Times New Roman" w:hAnsi="Times New Roman" w:cs="Times New Roman"/>
          <w:b/>
          <w:bCs/>
        </w:rPr>
        <w:t xml:space="preserve">Rady Ministrów w sprawie </w:t>
      </w:r>
      <w:bookmarkEnd w:id="0"/>
      <w:r w:rsidR="00A15263" w:rsidRPr="00DD56EC">
        <w:rPr>
          <w:rFonts w:ascii="Times New Roman" w:hAnsi="Times New Roman" w:cs="Times New Roman"/>
          <w:b/>
          <w:bCs/>
        </w:rPr>
        <w:t xml:space="preserve">zapewnienia przez przedsiębiorcę telekomunikacyjnego warunków dostępu i utrwalania oraz przygotowania technicznych i organizacyjnych warunków udostępniania danych </w:t>
      </w:r>
      <w:r w:rsidR="00D17F79" w:rsidRPr="00DD56EC">
        <w:rPr>
          <w:rFonts w:ascii="Times New Roman" w:hAnsi="Times New Roman" w:cs="Times New Roman"/>
          <w:b/>
          <w:bCs/>
        </w:rPr>
        <w:t>(</w:t>
      </w:r>
      <w:proofErr w:type="spellStart"/>
      <w:r w:rsidR="00A15263" w:rsidRPr="00DD56EC">
        <w:rPr>
          <w:rFonts w:ascii="Times New Roman" w:hAnsi="Times New Roman" w:cs="Times New Roman"/>
          <w:b/>
          <w:bCs/>
        </w:rPr>
        <w:t>RD217</w:t>
      </w:r>
      <w:proofErr w:type="spellEnd"/>
      <w:r w:rsidR="00D17F79" w:rsidRPr="00DD56EC">
        <w:rPr>
          <w:rFonts w:ascii="Times New Roman" w:hAnsi="Times New Roman" w:cs="Times New Roman"/>
          <w:b/>
          <w:bCs/>
        </w:rPr>
        <w:t>)</w:t>
      </w:r>
    </w:p>
    <w:p w14:paraId="4B2CD379" w14:textId="77777777" w:rsidR="00DF4527" w:rsidRPr="00DD56EC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96"/>
        <w:gridCol w:w="1400"/>
        <w:gridCol w:w="1669"/>
        <w:gridCol w:w="6254"/>
        <w:gridCol w:w="5244"/>
      </w:tblGrid>
      <w:tr w:rsidR="006F492C" w:rsidRPr="00DD56EC" w14:paraId="35087CD2" w14:textId="77777777" w:rsidTr="00DD56EC">
        <w:trPr>
          <w:cantSplit/>
          <w:trHeight w:val="840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4D4A61E4" w:rsidR="00DF4527" w:rsidRPr="00DD56EC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DD56EC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2B221A83" w:rsidR="00DF4527" w:rsidRPr="00DD56EC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  <w:b/>
              </w:rPr>
              <w:t>Podmiot z</w:t>
            </w:r>
            <w:r w:rsidR="009753A3" w:rsidRPr="00DD56EC">
              <w:rPr>
                <w:rFonts w:ascii="Times New Roman" w:hAnsi="Times New Roman" w:cs="Times New Roman"/>
                <w:b/>
              </w:rPr>
              <w:t>głaszający</w:t>
            </w:r>
            <w:r w:rsidR="00ED2155">
              <w:rPr>
                <w:rFonts w:ascii="Times New Roman" w:hAnsi="Times New Roman" w:cs="Times New Roman"/>
                <w:b/>
              </w:rPr>
              <w:t xml:space="preserve"> uwagę</w:t>
            </w:r>
          </w:p>
        </w:tc>
        <w:tc>
          <w:tcPr>
            <w:tcW w:w="62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DD56EC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DD56EC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DD56EC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024B85" w:rsidRPr="00DD56EC" w14:paraId="18984956" w14:textId="77777777" w:rsidTr="00DD56EC">
        <w:tc>
          <w:tcPr>
            <w:tcW w:w="596" w:type="dxa"/>
            <w:tcBorders>
              <w:bottom w:val="single" w:sz="4" w:space="0" w:color="auto"/>
            </w:tcBorders>
          </w:tcPr>
          <w:p w14:paraId="5861C2EC" w14:textId="77777777" w:rsidR="00024B85" w:rsidRPr="00DD56EC" w:rsidRDefault="00024B85" w:rsidP="008B059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397FC129" w14:textId="0A8A974D" w:rsidR="00024B85" w:rsidRPr="00DD56EC" w:rsidRDefault="00411970" w:rsidP="0065058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§ 11 ust. 2 pkt 1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75220B2C" w14:textId="565FDFF1" w:rsidR="00024B85" w:rsidRPr="00ED2155" w:rsidRDefault="00411970" w:rsidP="00650580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D2155">
              <w:rPr>
                <w:rFonts w:ascii="Times New Roman" w:eastAsia="Times New Roman" w:hAnsi="Times New Roman" w:cs="Times New Roman"/>
                <w:b/>
                <w:lang w:eastAsia="pl-PL"/>
              </w:rPr>
              <w:t>Związek Telewizji Kablowych w Polsce Izba Gospodarcza</w:t>
            </w:r>
          </w:p>
        </w:tc>
        <w:tc>
          <w:tcPr>
            <w:tcW w:w="6254" w:type="dxa"/>
            <w:tcBorders>
              <w:bottom w:val="single" w:sz="4" w:space="0" w:color="auto"/>
            </w:tcBorders>
          </w:tcPr>
          <w:p w14:paraId="5219C1C2" w14:textId="182D9EEE" w:rsidR="00411970" w:rsidRPr="00DD56EC" w:rsidRDefault="00411970" w:rsidP="00411970">
            <w:pPr>
              <w:jc w:val="both"/>
              <w:rPr>
                <w:sz w:val="22"/>
                <w:szCs w:val="22"/>
              </w:rPr>
            </w:pPr>
            <w:r w:rsidRPr="00DD56EC">
              <w:rPr>
                <w:sz w:val="22"/>
                <w:szCs w:val="22"/>
              </w:rPr>
              <w:t>… niezwłoczny czas reakcji, w sytuacji gdy wymagany jest udział upoważnionego pracownika w przypadku przygotowania warunków udostępniania danych oraz ich udostępniania za pomocą interfejsu HI A-B albo za pomocą sieci telekomunikacyjnej określony na poziomie nie dłuższym niż 24 godziny jest czasem reakcji nieadekwatnym do możliwości rzeczywistego zareagowania przez przedsiębiorcę telekomunikacyjnego, w sytuacji gdy zgłoszenie wpłynęło w piątek popołudniu przed weekendem lub przed okresem świątecznym.</w:t>
            </w:r>
          </w:p>
          <w:p w14:paraId="412B111C" w14:textId="77777777" w:rsidR="00411970" w:rsidRPr="00DD56EC" w:rsidRDefault="00411970" w:rsidP="00411970">
            <w:pPr>
              <w:jc w:val="both"/>
              <w:rPr>
                <w:sz w:val="22"/>
                <w:szCs w:val="22"/>
              </w:rPr>
            </w:pPr>
            <w:r w:rsidRPr="00DD56EC">
              <w:rPr>
                <w:sz w:val="22"/>
                <w:szCs w:val="22"/>
              </w:rPr>
              <w:t>Można założyć, iż w godzinach popołudniowych przed weekendem lub świętami nikt u przedsiębiorcy telekomunikacyjnego informacji z interfejsu lub przekazanych pocztą elektroniczną nie czyta, co by skutkowało brakiem stosownego czasu reakcji wymaganego przepisem prawa ze strony przedsiębiorcy telekomunikacyjnego.</w:t>
            </w:r>
          </w:p>
          <w:p w14:paraId="3613898D" w14:textId="2FE652EF" w:rsidR="00024B85" w:rsidRPr="00DD56EC" w:rsidRDefault="00411970" w:rsidP="00411970">
            <w:pPr>
              <w:jc w:val="both"/>
              <w:rPr>
                <w:sz w:val="22"/>
                <w:szCs w:val="22"/>
              </w:rPr>
            </w:pPr>
            <w:r w:rsidRPr="00DD56EC">
              <w:rPr>
                <w:b/>
                <w:bCs/>
                <w:sz w:val="22"/>
                <w:szCs w:val="22"/>
              </w:rPr>
              <w:t>Proponujemy zatem w § 11 ust. 2 pkt. 1 projektu najkrótszy czas reakcji przedłużyć z 24 godzin do 72 godzin</w:t>
            </w:r>
            <w:r w:rsidRPr="00DD56EC">
              <w:rPr>
                <w:sz w:val="22"/>
                <w:szCs w:val="22"/>
              </w:rPr>
              <w:t>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F391B0C" w14:textId="2F9622C4" w:rsidR="00024B85" w:rsidRPr="00DD56EC" w:rsidRDefault="00BE56E5" w:rsidP="00991146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6EC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6B5FA460" w14:textId="52B1140A" w:rsidR="00BE56E5" w:rsidRPr="00DD56EC" w:rsidRDefault="00BE56E5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Postulat dotyczący wydłużenia czasu </w:t>
            </w:r>
            <w:r w:rsidR="001C55CF">
              <w:rPr>
                <w:rFonts w:ascii="Times New Roman" w:hAnsi="Times New Roman" w:cs="Times New Roman"/>
              </w:rPr>
              <w:t xml:space="preserve">reakcji </w:t>
            </w:r>
            <w:r w:rsidRPr="00DD56EC">
              <w:rPr>
                <w:rFonts w:ascii="Times New Roman" w:hAnsi="Times New Roman" w:cs="Times New Roman"/>
              </w:rPr>
              <w:t xml:space="preserve">do 72 godzin </w:t>
            </w:r>
            <w:r w:rsidR="0025633A" w:rsidRPr="00DD56EC">
              <w:rPr>
                <w:rFonts w:ascii="Times New Roman" w:hAnsi="Times New Roman" w:cs="Times New Roman"/>
              </w:rPr>
              <w:t>godzi w</w:t>
            </w:r>
            <w:r w:rsidRPr="00DD56EC">
              <w:rPr>
                <w:rFonts w:ascii="Times New Roman" w:hAnsi="Times New Roman" w:cs="Times New Roman"/>
              </w:rPr>
              <w:t xml:space="preserve"> efektywność działań organów ścigania.</w:t>
            </w:r>
          </w:p>
          <w:p w14:paraId="4A08F5A3" w14:textId="40768195" w:rsidR="00BE56E5" w:rsidRPr="00DD56EC" w:rsidRDefault="00BE56E5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Ewentualny koszt wprowadzenia procedur dostępu do danych w terminie 24 godzin wpisuje się specyfikę prowadzenia działalności regulowanej. Skoro podmiot decyduje się na świadczenie usług telekomunikacyjnych, musi spełniać wymogi prawne, w tym te dotyczące obronności i bezpieczeństwa państwa.</w:t>
            </w:r>
          </w:p>
          <w:p w14:paraId="281C7E46" w14:textId="1161FB35" w:rsidR="00BE56E5" w:rsidRPr="00DD56EC" w:rsidRDefault="00365C00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Poleganie na tym, czy ktoś w weekend odczyta pocztę elektroniczną, jest błędem proceduralnym podmiotu, </w:t>
            </w:r>
            <w:r w:rsidR="001C55CF">
              <w:rPr>
                <w:rFonts w:ascii="Times New Roman" w:hAnsi="Times New Roman" w:cs="Times New Roman"/>
              </w:rPr>
              <w:br/>
            </w:r>
            <w:r w:rsidRPr="00DD56EC">
              <w:rPr>
                <w:rFonts w:ascii="Times New Roman" w:hAnsi="Times New Roman" w:cs="Times New Roman"/>
              </w:rPr>
              <w:t xml:space="preserve">a nie wadą przepisu. Przedsiębiorca telekomunikacyjny zapewnia ciągłość działania sieci w trybie 24/7/365. </w:t>
            </w:r>
            <w:r w:rsidR="001C55CF">
              <w:rPr>
                <w:rFonts w:ascii="Times New Roman" w:hAnsi="Times New Roman" w:cs="Times New Roman"/>
              </w:rPr>
              <w:br/>
            </w:r>
            <w:r w:rsidRPr="00DD56EC">
              <w:rPr>
                <w:rFonts w:ascii="Times New Roman" w:hAnsi="Times New Roman" w:cs="Times New Roman"/>
              </w:rPr>
              <w:t xml:space="preserve">W jego strukturze funkcjonuje ośrodek zarządzania siecią (Network Operations Center) lub co najmniej funkcja osoby nadzorującej sieć, która monitoruje awarie </w:t>
            </w:r>
            <w:r w:rsidR="001C55CF">
              <w:rPr>
                <w:rFonts w:ascii="Times New Roman" w:hAnsi="Times New Roman" w:cs="Times New Roman"/>
              </w:rPr>
              <w:br/>
            </w:r>
            <w:r w:rsidRPr="00DD56EC">
              <w:rPr>
                <w:rFonts w:ascii="Times New Roman" w:hAnsi="Times New Roman" w:cs="Times New Roman"/>
              </w:rPr>
              <w:t xml:space="preserve">i bezpieczeństwo sieci w weekendy i święta. Biorąc pod uwagę bezpieczeństwo państwa i obywateli nie można traktować żądania dostępu do danych telekomunikacyjnych na równi z kontaktem z biurem obsługi klienta, które może być nieczynne w weekendy </w:t>
            </w:r>
            <w:r w:rsidR="001C55CF">
              <w:rPr>
                <w:rFonts w:ascii="Times New Roman" w:hAnsi="Times New Roman" w:cs="Times New Roman"/>
              </w:rPr>
              <w:br/>
            </w:r>
            <w:r w:rsidRPr="00DD56EC">
              <w:rPr>
                <w:rFonts w:ascii="Times New Roman" w:hAnsi="Times New Roman" w:cs="Times New Roman"/>
              </w:rPr>
              <w:t>i święta.</w:t>
            </w:r>
          </w:p>
          <w:p w14:paraId="09C01FF8" w14:textId="76EECFAE" w:rsidR="002175FD" w:rsidRPr="00DD56EC" w:rsidRDefault="002175FD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Ponadto propozycja </w:t>
            </w:r>
            <w:proofErr w:type="spellStart"/>
            <w:r w:rsidRPr="00DD56EC">
              <w:rPr>
                <w:rFonts w:ascii="Times New Roman" w:hAnsi="Times New Roman" w:cs="Times New Roman"/>
              </w:rPr>
              <w:t>ZTK</w:t>
            </w:r>
            <w:proofErr w:type="spellEnd"/>
            <w:r w:rsidRPr="00DD56EC">
              <w:rPr>
                <w:rFonts w:ascii="Times New Roman" w:hAnsi="Times New Roman" w:cs="Times New Roman"/>
              </w:rPr>
              <w:t xml:space="preserve"> nie jest spójna logicznie. Gdyby w zwrocie „niezwłoczny czas reakcji, jednak </w:t>
            </w:r>
            <w:proofErr w:type="spellStart"/>
            <w:r w:rsidRPr="00DD56EC">
              <w:rPr>
                <w:rFonts w:ascii="Times New Roman" w:hAnsi="Times New Roman" w:cs="Times New Roman"/>
              </w:rPr>
              <w:t>niedłuższy</w:t>
            </w:r>
            <w:proofErr w:type="spellEnd"/>
            <w:r w:rsidRPr="00DD56EC">
              <w:rPr>
                <w:rFonts w:ascii="Times New Roman" w:hAnsi="Times New Roman" w:cs="Times New Roman"/>
              </w:rPr>
              <w:t xml:space="preserve"> niż 24 godziny w sytuacji, gdy wymagany jest udział upoważnionego pracownika” czas 24 godzin wydłużyć do 72 godzin, wówczas czas reakcji trzy doby stanowi dysonans z określaniem „niezwłocznie”. Wydłużenie limitu do 72 godzin (3 dni) drastycznie zmienia dynamikę tego zdania i tworzy </w:t>
            </w:r>
            <w:r w:rsidR="00960C55" w:rsidRPr="00DD56EC">
              <w:rPr>
                <w:rFonts w:ascii="Times New Roman" w:hAnsi="Times New Roman" w:cs="Times New Roman"/>
              </w:rPr>
              <w:t>niespójność logiczną</w:t>
            </w:r>
            <w:r w:rsidRPr="00DD56EC">
              <w:rPr>
                <w:rFonts w:ascii="Times New Roman" w:hAnsi="Times New Roman" w:cs="Times New Roman"/>
              </w:rPr>
              <w:t xml:space="preserve"> z dwóch powodów:</w:t>
            </w:r>
          </w:p>
          <w:p w14:paraId="2A972A76" w14:textId="4B598174" w:rsidR="002175FD" w:rsidRPr="00DD56EC" w:rsidRDefault="001C4D7A" w:rsidP="001C55CF">
            <w:pPr>
              <w:pStyle w:val="Bezodstpw"/>
              <w:numPr>
                <w:ilvl w:val="0"/>
                <w:numId w:val="32"/>
              </w:numPr>
              <w:tabs>
                <w:tab w:val="clear" w:pos="720"/>
              </w:tabs>
              <w:ind w:left="314" w:hanging="218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j</w:t>
            </w:r>
            <w:r w:rsidR="002175FD" w:rsidRPr="00DD56EC">
              <w:rPr>
                <w:rFonts w:ascii="Times New Roman" w:hAnsi="Times New Roman" w:cs="Times New Roman"/>
              </w:rPr>
              <w:t xml:space="preserve">eśli </w:t>
            </w:r>
            <w:r w:rsidRPr="00DD56EC">
              <w:rPr>
                <w:rFonts w:ascii="Times New Roman" w:hAnsi="Times New Roman" w:cs="Times New Roman"/>
              </w:rPr>
              <w:t>dopuści</w:t>
            </w:r>
            <w:r w:rsidR="002175FD" w:rsidRPr="00DD56EC">
              <w:rPr>
                <w:rFonts w:ascii="Times New Roman" w:hAnsi="Times New Roman" w:cs="Times New Roman"/>
              </w:rPr>
              <w:t xml:space="preserve"> się sytuację, w której </w:t>
            </w:r>
            <w:r w:rsidRPr="00DD56EC">
              <w:rPr>
                <w:rFonts w:ascii="Times New Roman" w:hAnsi="Times New Roman" w:cs="Times New Roman"/>
              </w:rPr>
              <w:t>reakcja następuje</w:t>
            </w:r>
            <w:r w:rsidR="002175FD" w:rsidRPr="00DD56EC">
              <w:rPr>
                <w:rFonts w:ascii="Times New Roman" w:hAnsi="Times New Roman" w:cs="Times New Roman"/>
              </w:rPr>
              <w:t xml:space="preserve"> </w:t>
            </w:r>
            <w:r w:rsidRPr="00DD56EC">
              <w:rPr>
                <w:rFonts w:ascii="Times New Roman" w:hAnsi="Times New Roman" w:cs="Times New Roman"/>
              </w:rPr>
              <w:t xml:space="preserve">na przykład </w:t>
            </w:r>
            <w:r w:rsidR="002175FD" w:rsidRPr="00DD56EC">
              <w:rPr>
                <w:rFonts w:ascii="Times New Roman" w:hAnsi="Times New Roman" w:cs="Times New Roman"/>
              </w:rPr>
              <w:t>dopiero po 70 godzinach</w:t>
            </w:r>
            <w:r w:rsidRPr="00DD56EC">
              <w:rPr>
                <w:rFonts w:ascii="Times New Roman" w:hAnsi="Times New Roman" w:cs="Times New Roman"/>
              </w:rPr>
              <w:t xml:space="preserve">, </w:t>
            </w:r>
            <w:r w:rsidR="002175FD" w:rsidRPr="00DD56EC">
              <w:rPr>
                <w:rFonts w:ascii="Times New Roman" w:hAnsi="Times New Roman" w:cs="Times New Roman"/>
              </w:rPr>
              <w:t xml:space="preserve">to takie </w:t>
            </w:r>
            <w:r w:rsidR="002175FD" w:rsidRPr="00DD56EC">
              <w:rPr>
                <w:rFonts w:ascii="Times New Roman" w:hAnsi="Times New Roman" w:cs="Times New Roman"/>
              </w:rPr>
              <w:lastRenderedPageBreak/>
              <w:t>działanie z perspektywy języka potocznego i logiki nie ma już nic wspólnego z „niezwłocznością”.</w:t>
            </w:r>
          </w:p>
          <w:p w14:paraId="69C8EBFE" w14:textId="05E3496B" w:rsidR="002175FD" w:rsidRPr="00DD56EC" w:rsidRDefault="001C4D7A" w:rsidP="001C55CF">
            <w:pPr>
              <w:pStyle w:val="Bezodstpw"/>
              <w:numPr>
                <w:ilvl w:val="0"/>
                <w:numId w:val="32"/>
              </w:numPr>
              <w:tabs>
                <w:tab w:val="clear" w:pos="720"/>
              </w:tabs>
              <w:ind w:left="314" w:hanging="218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wyraz</w:t>
            </w:r>
            <w:r w:rsidR="002175FD" w:rsidRPr="00DD56EC">
              <w:rPr>
                <w:rFonts w:ascii="Times New Roman" w:hAnsi="Times New Roman" w:cs="Times New Roman"/>
              </w:rPr>
              <w:t xml:space="preserve"> „niezwłocznie” sugeruje wysoki priorytet</w:t>
            </w:r>
            <w:r w:rsidRPr="00DD56EC">
              <w:rPr>
                <w:rFonts w:ascii="Times New Roman" w:hAnsi="Times New Roman" w:cs="Times New Roman"/>
              </w:rPr>
              <w:t xml:space="preserve">, </w:t>
            </w:r>
            <w:r w:rsidR="001C55CF">
              <w:rPr>
                <w:rFonts w:ascii="Times New Roman" w:hAnsi="Times New Roman" w:cs="Times New Roman"/>
              </w:rPr>
              <w:br/>
            </w:r>
            <w:r w:rsidRPr="00DD56EC">
              <w:rPr>
                <w:rFonts w:ascii="Times New Roman" w:hAnsi="Times New Roman" w:cs="Times New Roman"/>
              </w:rPr>
              <w:t xml:space="preserve">a ustalenie górnego limitu czasu na </w:t>
            </w:r>
            <w:r w:rsidR="002175FD" w:rsidRPr="00DD56EC">
              <w:rPr>
                <w:rFonts w:ascii="Times New Roman" w:hAnsi="Times New Roman" w:cs="Times New Roman"/>
              </w:rPr>
              <w:t>72</w:t>
            </w:r>
            <w:r w:rsidRPr="00DD56EC">
              <w:rPr>
                <w:rFonts w:ascii="Times New Roman" w:hAnsi="Times New Roman" w:cs="Times New Roman"/>
              </w:rPr>
              <w:t xml:space="preserve"> </w:t>
            </w:r>
            <w:r w:rsidR="002175FD" w:rsidRPr="00DD56EC">
              <w:rPr>
                <w:rFonts w:ascii="Times New Roman" w:hAnsi="Times New Roman" w:cs="Times New Roman"/>
              </w:rPr>
              <w:t>godzin</w:t>
            </w:r>
            <w:r w:rsidRPr="00DD56EC">
              <w:rPr>
                <w:rFonts w:ascii="Times New Roman" w:hAnsi="Times New Roman" w:cs="Times New Roman"/>
              </w:rPr>
              <w:t>y</w:t>
            </w:r>
            <w:r w:rsidR="002175FD" w:rsidRPr="00DD56EC">
              <w:rPr>
                <w:rFonts w:ascii="Times New Roman" w:hAnsi="Times New Roman" w:cs="Times New Roman"/>
              </w:rPr>
              <w:t xml:space="preserve"> sprawia, że </w:t>
            </w:r>
            <w:r w:rsidRPr="00DD56EC">
              <w:rPr>
                <w:rFonts w:ascii="Times New Roman" w:hAnsi="Times New Roman" w:cs="Times New Roman"/>
              </w:rPr>
              <w:t>„niezwłocznie”</w:t>
            </w:r>
            <w:r w:rsidR="002175FD" w:rsidRPr="00DD56EC">
              <w:rPr>
                <w:rFonts w:ascii="Times New Roman" w:hAnsi="Times New Roman" w:cs="Times New Roman"/>
              </w:rPr>
              <w:t xml:space="preserve"> staje się wyłącznie pustą </w:t>
            </w:r>
            <w:r w:rsidRPr="00DD56EC">
              <w:rPr>
                <w:rFonts w:ascii="Times New Roman" w:hAnsi="Times New Roman" w:cs="Times New Roman"/>
              </w:rPr>
              <w:t>normą</w:t>
            </w:r>
            <w:r w:rsidR="002175FD" w:rsidRPr="00DD56EC">
              <w:rPr>
                <w:rFonts w:ascii="Times New Roman" w:hAnsi="Times New Roman" w:cs="Times New Roman"/>
              </w:rPr>
              <w:t>, bo realne, egzekwowalne zobowiązanie to aż 3 dni.</w:t>
            </w:r>
          </w:p>
          <w:p w14:paraId="41B92B88" w14:textId="40F2B924" w:rsidR="002175FD" w:rsidRPr="00DD56EC" w:rsidRDefault="002175FD" w:rsidP="00046096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Należy nadmienić, że </w:t>
            </w:r>
            <w:r w:rsidRPr="004B7941">
              <w:rPr>
                <w:rFonts w:ascii="Times New Roman" w:hAnsi="Times New Roman" w:cs="Times New Roman"/>
              </w:rPr>
              <w:t>obowiązuj</w:t>
            </w:r>
            <w:r w:rsidR="000559CD" w:rsidRPr="004B7941">
              <w:rPr>
                <w:rFonts w:ascii="Times New Roman" w:hAnsi="Times New Roman" w:cs="Times New Roman"/>
              </w:rPr>
              <w:t>ące</w:t>
            </w:r>
            <w:r w:rsidRPr="004B7941">
              <w:rPr>
                <w:rFonts w:ascii="Times New Roman" w:hAnsi="Times New Roman" w:cs="Times New Roman"/>
              </w:rPr>
              <w:t xml:space="preserve"> rozporządzenie</w:t>
            </w:r>
            <w:r w:rsidR="004B7941" w:rsidRPr="004B7941">
              <w:rPr>
                <w:rFonts w:ascii="Times New Roman" w:hAnsi="Times New Roman" w:cs="Times New Roman"/>
              </w:rPr>
              <w:t xml:space="preserve"> </w:t>
            </w:r>
            <w:bookmarkStart w:id="1" w:name="_Hlk200106043"/>
            <w:r w:rsidR="004B7941" w:rsidRPr="004B7941">
              <w:rPr>
                <w:rFonts w:ascii="Times New Roman" w:hAnsi="Times New Roman" w:cs="Times New Roman"/>
              </w:rPr>
              <w:t>Rady Ministrów z dnia 13 września 2005 r. w sprawie wypełniania przez przedsiębiorców telekomunikacyjnych zadań i obowiązków na rzecz obronności, bezpieczeństwa państwa oraz bezpieczeństwa i porządku publicznego</w:t>
            </w:r>
            <w:bookmarkEnd w:id="1"/>
            <w:r w:rsidR="004B7941" w:rsidRPr="004B7941">
              <w:rPr>
                <w:rFonts w:ascii="Times New Roman" w:hAnsi="Times New Roman" w:cs="Times New Roman"/>
              </w:rPr>
              <w:t xml:space="preserve"> (Dz. U. poz. 1568), wydane na podstawie art. 181 ustawy z dnia 16 lipca 2004 r. – Prawo telekomunikacyjne (Dz. U. z 2004 r. poz. 34, 731 i 834)</w:t>
            </w:r>
            <w:r w:rsidRPr="004B7941">
              <w:rPr>
                <w:rFonts w:ascii="Times New Roman" w:hAnsi="Times New Roman" w:cs="Times New Roman"/>
              </w:rPr>
              <w:t xml:space="preserve"> </w:t>
            </w:r>
            <w:r w:rsidR="000559CD" w:rsidRPr="00DD56EC">
              <w:rPr>
                <w:rFonts w:ascii="Times New Roman" w:hAnsi="Times New Roman" w:cs="Times New Roman"/>
              </w:rPr>
              <w:t xml:space="preserve">określa czas na wykonanie czynności przez przedsiębiorcę telekomunikacyjnego tylko w trybie „niezwłocznie”. Obecny projekt wskazuje tylko górną granicę </w:t>
            </w:r>
            <w:r w:rsidR="005A712E" w:rsidRPr="00DD56EC">
              <w:rPr>
                <w:rFonts w:ascii="Times New Roman" w:hAnsi="Times New Roman" w:cs="Times New Roman"/>
              </w:rPr>
              <w:t>czasową czynności, które mają być zrealizowane niezwłocznie.</w:t>
            </w:r>
          </w:p>
          <w:p w14:paraId="2690B5B9" w14:textId="395A6EA3" w:rsidR="00BD5220" w:rsidRPr="00DD56EC" w:rsidRDefault="00BD5220" w:rsidP="00046096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Ministerstwo Cyfryzacji </w:t>
            </w:r>
            <w:r w:rsidR="00046096" w:rsidRPr="00DD56EC">
              <w:rPr>
                <w:rFonts w:ascii="Times New Roman" w:hAnsi="Times New Roman" w:cs="Times New Roman"/>
              </w:rPr>
              <w:t xml:space="preserve">organizowało cykliczne </w:t>
            </w:r>
            <w:r w:rsidR="00046096" w:rsidRPr="00046096">
              <w:rPr>
                <w:rFonts w:ascii="Times New Roman" w:hAnsi="Times New Roman" w:cs="Times New Roman"/>
              </w:rPr>
              <w:t>warsztat</w:t>
            </w:r>
            <w:r w:rsidR="00046096">
              <w:rPr>
                <w:rFonts w:ascii="Times New Roman" w:hAnsi="Times New Roman" w:cs="Times New Roman"/>
              </w:rPr>
              <w:t>y</w:t>
            </w:r>
            <w:r w:rsidR="00046096" w:rsidRPr="00046096">
              <w:rPr>
                <w:rFonts w:ascii="Times New Roman" w:hAnsi="Times New Roman" w:cs="Times New Roman"/>
              </w:rPr>
              <w:t xml:space="preserve"> z udziałem przedstawicieli uprawnionych podmiotów i przedsiębiorców telekomunikacyjnych </w:t>
            </w:r>
            <w:r w:rsidRPr="00DD56EC">
              <w:rPr>
                <w:rFonts w:ascii="Times New Roman" w:hAnsi="Times New Roman" w:cs="Times New Roman"/>
              </w:rPr>
              <w:t>dotyczące projekt</w:t>
            </w:r>
            <w:r w:rsidR="002E190E" w:rsidRPr="00DD56EC">
              <w:rPr>
                <w:rFonts w:ascii="Times New Roman" w:hAnsi="Times New Roman" w:cs="Times New Roman"/>
              </w:rPr>
              <w:t>u</w:t>
            </w:r>
            <w:r w:rsidRPr="00DD56EC">
              <w:rPr>
                <w:rFonts w:ascii="Times New Roman" w:hAnsi="Times New Roman" w:cs="Times New Roman"/>
              </w:rPr>
              <w:t xml:space="preserve"> przedmiotowego rozporządzenia z</w:t>
            </w:r>
            <w:r w:rsidR="00916587">
              <w:rPr>
                <w:rFonts w:ascii="Times New Roman" w:hAnsi="Times New Roman" w:cs="Times New Roman"/>
              </w:rPr>
              <w:t> </w:t>
            </w:r>
            <w:r w:rsidRPr="00DD56EC">
              <w:rPr>
                <w:rFonts w:ascii="Times New Roman" w:hAnsi="Times New Roman" w:cs="Times New Roman"/>
              </w:rPr>
              <w:t>udziałem przedstawicieli uprawnionych podmiotów i</w:t>
            </w:r>
            <w:r w:rsidR="00916587">
              <w:rPr>
                <w:rFonts w:ascii="Times New Roman" w:hAnsi="Times New Roman" w:cs="Times New Roman"/>
              </w:rPr>
              <w:t> </w:t>
            </w:r>
            <w:r w:rsidRPr="00DD56EC">
              <w:rPr>
                <w:rFonts w:ascii="Times New Roman" w:hAnsi="Times New Roman" w:cs="Times New Roman"/>
              </w:rPr>
              <w:t>przedsiębiorców telekomunikacyjnych. Treść niniejszego projektu został</w:t>
            </w:r>
            <w:r w:rsidR="00181190" w:rsidRPr="00DD56EC">
              <w:rPr>
                <w:rFonts w:ascii="Times New Roman" w:hAnsi="Times New Roman" w:cs="Times New Roman"/>
              </w:rPr>
              <w:t>a</w:t>
            </w:r>
            <w:r w:rsidRPr="00DD56EC">
              <w:rPr>
                <w:rFonts w:ascii="Times New Roman" w:hAnsi="Times New Roman" w:cs="Times New Roman"/>
              </w:rPr>
              <w:t xml:space="preserve"> ustalona w trakcie tych warsztatów. W warsztatach brał również przedstawiciel Związku Telewizji Kablowych</w:t>
            </w:r>
            <w:r w:rsidR="002E190E" w:rsidRPr="00DD56EC">
              <w:rPr>
                <w:rFonts w:ascii="Times New Roman" w:hAnsi="Times New Roman" w:cs="Times New Roman"/>
              </w:rPr>
              <w:t xml:space="preserve">, </w:t>
            </w:r>
            <w:r w:rsidRPr="00DD56EC">
              <w:rPr>
                <w:rFonts w:ascii="Times New Roman" w:hAnsi="Times New Roman" w:cs="Times New Roman"/>
              </w:rPr>
              <w:t>w dniach 05.01.2026, 12.02.2026, 02.04.2026</w:t>
            </w:r>
            <w:r w:rsidR="002E190E" w:rsidRPr="00DD56EC">
              <w:rPr>
                <w:rFonts w:ascii="Times New Roman" w:hAnsi="Times New Roman" w:cs="Times New Roman"/>
              </w:rPr>
              <w:t xml:space="preserve">. Osoby reprezentujące </w:t>
            </w:r>
            <w:proofErr w:type="spellStart"/>
            <w:r w:rsidR="002E190E" w:rsidRPr="00DD56EC">
              <w:rPr>
                <w:rFonts w:ascii="Times New Roman" w:hAnsi="Times New Roman" w:cs="Times New Roman"/>
              </w:rPr>
              <w:t>ZTK</w:t>
            </w:r>
            <w:proofErr w:type="spellEnd"/>
            <w:r w:rsidR="002E190E" w:rsidRPr="00DD56EC">
              <w:rPr>
                <w:rFonts w:ascii="Times New Roman" w:hAnsi="Times New Roman" w:cs="Times New Roman"/>
              </w:rPr>
              <w:t xml:space="preserve"> otrzymywały również na bieżąco pocztą elektroniczną informacje o postępach prac nad projektem rozporządzenia oraz były zapraszane na każde warsztaty.</w:t>
            </w:r>
          </w:p>
        </w:tc>
      </w:tr>
      <w:tr w:rsidR="00411970" w:rsidRPr="00DD56EC" w14:paraId="4D709DD0" w14:textId="77777777" w:rsidTr="00DD56EC">
        <w:tc>
          <w:tcPr>
            <w:tcW w:w="596" w:type="dxa"/>
            <w:tcBorders>
              <w:bottom w:val="single" w:sz="4" w:space="0" w:color="auto"/>
            </w:tcBorders>
          </w:tcPr>
          <w:p w14:paraId="5E56F7B4" w14:textId="77777777" w:rsidR="00411970" w:rsidRPr="00DD56EC" w:rsidRDefault="00411970" w:rsidP="008B059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969A947" w14:textId="5E4C1788" w:rsidR="00411970" w:rsidRPr="00DD56EC" w:rsidRDefault="00411970" w:rsidP="0065058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§ 11 ust. 3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758FF06A" w14:textId="7F8C6A3F" w:rsidR="00411970" w:rsidRPr="00ED2155" w:rsidRDefault="00411970" w:rsidP="00650580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D2155">
              <w:rPr>
                <w:rFonts w:ascii="Times New Roman" w:eastAsia="Times New Roman" w:hAnsi="Times New Roman" w:cs="Times New Roman"/>
                <w:b/>
                <w:lang w:eastAsia="pl-PL"/>
              </w:rPr>
              <w:t>Związek Telewizji Kablowych w Polsce</w:t>
            </w:r>
            <w:r w:rsidR="00ED215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ED2155">
              <w:rPr>
                <w:rFonts w:ascii="Times New Roman" w:eastAsia="Times New Roman" w:hAnsi="Times New Roman" w:cs="Times New Roman"/>
                <w:b/>
                <w:lang w:eastAsia="pl-PL"/>
              </w:rPr>
              <w:t>Izba Gospodarcza</w:t>
            </w:r>
          </w:p>
        </w:tc>
        <w:tc>
          <w:tcPr>
            <w:tcW w:w="6254" w:type="dxa"/>
            <w:tcBorders>
              <w:bottom w:val="single" w:sz="4" w:space="0" w:color="auto"/>
            </w:tcBorders>
          </w:tcPr>
          <w:p w14:paraId="746322A1" w14:textId="6FE7EDB8" w:rsidR="00411970" w:rsidRPr="00DD56EC" w:rsidRDefault="00411970" w:rsidP="00411970">
            <w:pPr>
              <w:jc w:val="both"/>
              <w:rPr>
                <w:sz w:val="22"/>
                <w:szCs w:val="22"/>
              </w:rPr>
            </w:pPr>
            <w:r w:rsidRPr="00DD56EC">
              <w:rPr>
                <w:sz w:val="22"/>
                <w:szCs w:val="22"/>
              </w:rPr>
              <w:t xml:space="preserve">… udostępnienie danych następujące niezwłocznie, jednakże nie dłużej niż w terminie do 72 godzin winno opiewać na konkretny termin nierozciągnięty w czasie, gdyż wskazanie, że ten termin wynosi do 72 godzin, może równie dobrze oznaczać 5 minut, 60 sekund </w:t>
            </w:r>
            <w:proofErr w:type="spellStart"/>
            <w:r w:rsidRPr="00DD56EC">
              <w:rPr>
                <w:sz w:val="22"/>
                <w:szCs w:val="22"/>
              </w:rPr>
              <w:t>etc</w:t>
            </w:r>
            <w:proofErr w:type="spellEnd"/>
            <w:r w:rsidRPr="00DD56EC">
              <w:rPr>
                <w:sz w:val="22"/>
                <w:szCs w:val="22"/>
              </w:rPr>
              <w:t xml:space="preserve"> zależnie od życzenia występującego organu o te dane, co byłoby rozwiązaniem wysoce nieracjonalnym, a co za tym niezgodnym z konstytucyjną zasadą demokratycznego państwa prawnego [art. 2 Konstytucji Rzeczypospolitej z dnia 2.04.1997 r. </w:t>
            </w:r>
            <w:r w:rsidRPr="00DD56EC">
              <w:rPr>
                <w:sz w:val="22"/>
                <w:szCs w:val="22"/>
              </w:rPr>
              <w:lastRenderedPageBreak/>
              <w:t xml:space="preserve">(Dz. U. nr 78 poz. 483 z </w:t>
            </w:r>
            <w:proofErr w:type="spellStart"/>
            <w:r w:rsidRPr="00DD56EC">
              <w:rPr>
                <w:sz w:val="22"/>
                <w:szCs w:val="22"/>
              </w:rPr>
              <w:t>późn</w:t>
            </w:r>
            <w:proofErr w:type="spellEnd"/>
            <w:r w:rsidRPr="00DD56EC">
              <w:rPr>
                <w:sz w:val="22"/>
                <w:szCs w:val="22"/>
              </w:rPr>
              <w:t>. zm.)], przesądzając o nieracjonalności polskiego prawodawcy.</w:t>
            </w:r>
          </w:p>
          <w:p w14:paraId="2E071ABB" w14:textId="1A34742D" w:rsidR="00411970" w:rsidRPr="00DD56EC" w:rsidRDefault="00411970" w:rsidP="00411970">
            <w:pPr>
              <w:jc w:val="both"/>
              <w:rPr>
                <w:sz w:val="22"/>
                <w:szCs w:val="22"/>
              </w:rPr>
            </w:pPr>
            <w:r w:rsidRPr="00DD56EC">
              <w:rPr>
                <w:b/>
                <w:bCs/>
                <w:sz w:val="22"/>
                <w:szCs w:val="22"/>
              </w:rPr>
              <w:t>Proponujemy zatem, aby termin nie dłuższy niż do 72 godzin określony w § 11 ust. 3 projektu zracjonalizować do konkretnego terminu w ten sposób, że przed wyrazami „</w:t>
            </w:r>
            <w:r w:rsidRPr="00DD56EC">
              <w:rPr>
                <w:b/>
                <w:bCs/>
                <w:i/>
                <w:iCs/>
                <w:sz w:val="22"/>
                <w:szCs w:val="22"/>
              </w:rPr>
              <w:t>72 godzin</w:t>
            </w:r>
            <w:r w:rsidRPr="00DD56EC">
              <w:rPr>
                <w:b/>
                <w:bCs/>
                <w:sz w:val="22"/>
                <w:szCs w:val="22"/>
              </w:rPr>
              <w:t>” wykreślić słowo „</w:t>
            </w:r>
            <w:r w:rsidRPr="00DD56EC">
              <w:rPr>
                <w:b/>
                <w:bCs/>
                <w:i/>
                <w:iCs/>
                <w:sz w:val="22"/>
                <w:szCs w:val="22"/>
              </w:rPr>
              <w:t>do</w:t>
            </w:r>
            <w:r w:rsidRPr="00DD56EC">
              <w:rPr>
                <w:b/>
                <w:bCs/>
                <w:sz w:val="22"/>
                <w:szCs w:val="22"/>
              </w:rPr>
              <w:t>”, co skutkować będzie określeniem konkretnego terminu na udostępnienie danych na poziomie 72 godzin</w:t>
            </w:r>
            <w:r w:rsidRPr="00DD56EC">
              <w:rPr>
                <w:sz w:val="22"/>
                <w:szCs w:val="22"/>
              </w:rPr>
              <w:t>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35C7E78" w14:textId="77777777" w:rsidR="00411970" w:rsidRPr="00DD56EC" w:rsidRDefault="00411970" w:rsidP="00991146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6EC">
              <w:rPr>
                <w:rFonts w:ascii="Times New Roman" w:hAnsi="Times New Roman" w:cs="Times New Roman"/>
                <w:b/>
                <w:bCs/>
              </w:rPr>
              <w:lastRenderedPageBreak/>
              <w:t>Uwaga nieuwzględniona</w:t>
            </w:r>
          </w:p>
          <w:p w14:paraId="7DD7A98C" w14:textId="28FBD2C1" w:rsidR="00411970" w:rsidRPr="00DD56EC" w:rsidRDefault="00115398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 xml:space="preserve">Intencją przepisu § 11 ust. 3 </w:t>
            </w:r>
            <w:r w:rsidR="004B7941">
              <w:rPr>
                <w:rFonts w:ascii="Times New Roman" w:hAnsi="Times New Roman" w:cs="Times New Roman"/>
              </w:rPr>
              <w:t xml:space="preserve">projektu rozporządzenia </w:t>
            </w:r>
            <w:r w:rsidRPr="00DD56EC">
              <w:rPr>
                <w:rFonts w:ascii="Times New Roman" w:hAnsi="Times New Roman" w:cs="Times New Roman"/>
              </w:rPr>
              <w:t xml:space="preserve">jest, aby pozostawić przedsiębiorcy telekomunikacyjnemu możliwość wcześniejszego udostępnienia danych, niż po 72 godzinach. </w:t>
            </w:r>
            <w:r w:rsidR="004B7941">
              <w:rPr>
                <w:rFonts w:ascii="Times New Roman" w:hAnsi="Times New Roman" w:cs="Times New Roman"/>
              </w:rPr>
              <w:t>Projektowany p</w:t>
            </w:r>
            <w:r w:rsidRPr="00DD56EC">
              <w:rPr>
                <w:rFonts w:ascii="Times New Roman" w:hAnsi="Times New Roman" w:cs="Times New Roman"/>
              </w:rPr>
              <w:t>rzepis nie reguluje</w:t>
            </w:r>
            <w:r w:rsidR="004B7941">
              <w:rPr>
                <w:rFonts w:ascii="Times New Roman" w:hAnsi="Times New Roman" w:cs="Times New Roman"/>
              </w:rPr>
              <w:t>,</w:t>
            </w:r>
            <w:r w:rsidRPr="00DD56EC">
              <w:rPr>
                <w:rFonts w:ascii="Times New Roman" w:hAnsi="Times New Roman" w:cs="Times New Roman"/>
              </w:rPr>
              <w:t xml:space="preserve"> czy udostępnienie danych </w:t>
            </w:r>
            <w:r w:rsidR="00747AF7" w:rsidRPr="00DD56EC">
              <w:rPr>
                <w:rFonts w:ascii="Times New Roman" w:hAnsi="Times New Roman" w:cs="Times New Roman"/>
              </w:rPr>
              <w:t xml:space="preserve">ma nastąpić „zależnie od życzenia występującego organu” w określonym przez ten organ czasie. Decyzja o konkretnym czasie na udostępnienie </w:t>
            </w:r>
            <w:r w:rsidR="00747AF7" w:rsidRPr="00DD56EC">
              <w:rPr>
                <w:rFonts w:ascii="Times New Roman" w:hAnsi="Times New Roman" w:cs="Times New Roman"/>
              </w:rPr>
              <w:lastRenderedPageBreak/>
              <w:t>danych należy do przedsiębiorcy telekomunikacyjnego, jednak nie może on przekraczać 72 godzin od podjęcia przez tego przedsiębiorcę stosownych działań zmierzających do udostępnienia danych.</w:t>
            </w:r>
          </w:p>
          <w:p w14:paraId="2FF52294" w14:textId="5FD0FD4B" w:rsidR="00747AF7" w:rsidRPr="00DD56EC" w:rsidRDefault="00747AF7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Niezalenie od powyższego przedsiębiorca telekomunikacyjny powinien mieć świadomość, że dane telekomunikacyjne udostępniane uprawnionym podmiotom służą realizacji przez te podmioty ich ustawowych zadań, które mają na celu zapewnienia bezpieczeństwa państwa i obywateli. Wcześniejsze udostępnienie danych telekomunikacyjnych uprawnionym podmiotom wpłynie korzystanie na realizację ich zadań.</w:t>
            </w:r>
          </w:p>
          <w:p w14:paraId="61993419" w14:textId="5D1A59C9" w:rsidR="002E190E" w:rsidRPr="00DD56EC" w:rsidRDefault="002E190E" w:rsidP="004B7941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DD56EC">
              <w:rPr>
                <w:rFonts w:ascii="Times New Roman" w:hAnsi="Times New Roman" w:cs="Times New Roman"/>
              </w:rPr>
              <w:t>Ministerstwo Cyfryzacji organizowało cykliczne warsztaty dotyczące projektu przedmiotowego rozporządzenia z udziałem przedstawicieli uprawnionych podmiotów i przedsiębiorców telekomunikacyjnych. Treść niniejszego projektu został</w:t>
            </w:r>
            <w:r w:rsidR="00181190" w:rsidRPr="00DD56EC">
              <w:rPr>
                <w:rFonts w:ascii="Times New Roman" w:hAnsi="Times New Roman" w:cs="Times New Roman"/>
              </w:rPr>
              <w:t>a</w:t>
            </w:r>
            <w:r w:rsidRPr="00DD56EC">
              <w:rPr>
                <w:rFonts w:ascii="Times New Roman" w:hAnsi="Times New Roman" w:cs="Times New Roman"/>
              </w:rPr>
              <w:t xml:space="preserve"> ustalona w trakcie tych warsztatów. W warsztatach brał również przedstawiciel Związku Telewizji Kablowych, w dniach 05.01.2026, 12.02.2026, 02.04.2026. Osoby reprezentujące </w:t>
            </w:r>
            <w:proofErr w:type="spellStart"/>
            <w:r w:rsidRPr="00DD56EC">
              <w:rPr>
                <w:rFonts w:ascii="Times New Roman" w:hAnsi="Times New Roman" w:cs="Times New Roman"/>
              </w:rPr>
              <w:t>ZTK</w:t>
            </w:r>
            <w:proofErr w:type="spellEnd"/>
            <w:r w:rsidRPr="00DD56EC">
              <w:rPr>
                <w:rFonts w:ascii="Times New Roman" w:hAnsi="Times New Roman" w:cs="Times New Roman"/>
              </w:rPr>
              <w:t xml:space="preserve"> otrzymywały również na bieżąco pocztą elektroniczną informacje o postępach prac nad projektem rozporządzenia oraz były zapraszane na każde warsztaty.</w:t>
            </w:r>
          </w:p>
        </w:tc>
      </w:tr>
    </w:tbl>
    <w:p w14:paraId="07A8C5C9" w14:textId="77777777" w:rsidR="00425BDB" w:rsidRPr="00DD56EC" w:rsidRDefault="00425BDB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425BDB" w:rsidRPr="00DD56EC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0D04" w14:textId="77777777" w:rsidR="00A06028" w:rsidRDefault="00A06028" w:rsidP="00D841A6">
      <w:r>
        <w:separator/>
      </w:r>
    </w:p>
  </w:endnote>
  <w:endnote w:type="continuationSeparator" w:id="0">
    <w:p w14:paraId="7FC41573" w14:textId="77777777" w:rsidR="00A06028" w:rsidRDefault="00A06028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EE55" w14:textId="77777777" w:rsidR="00A06028" w:rsidRDefault="00A06028" w:rsidP="00D841A6">
      <w:r>
        <w:separator/>
      </w:r>
    </w:p>
  </w:footnote>
  <w:footnote w:type="continuationSeparator" w:id="0">
    <w:p w14:paraId="58489F5A" w14:textId="77777777" w:rsidR="00A06028" w:rsidRDefault="00A06028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5147D"/>
    <w:multiLevelType w:val="hybridMultilevel"/>
    <w:tmpl w:val="7B665DF0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A7A1B"/>
    <w:multiLevelType w:val="hybridMultilevel"/>
    <w:tmpl w:val="7C0EA59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909"/>
    <w:multiLevelType w:val="hybridMultilevel"/>
    <w:tmpl w:val="D13A3A6E"/>
    <w:lvl w:ilvl="0" w:tplc="77D8F7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55FDD"/>
    <w:multiLevelType w:val="hybridMultilevel"/>
    <w:tmpl w:val="E8488EB0"/>
    <w:lvl w:ilvl="0" w:tplc="A6B645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C0356"/>
    <w:multiLevelType w:val="hybridMultilevel"/>
    <w:tmpl w:val="6D6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94DA7"/>
    <w:multiLevelType w:val="hybridMultilevel"/>
    <w:tmpl w:val="6A3867FA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229FA"/>
    <w:multiLevelType w:val="hybridMultilevel"/>
    <w:tmpl w:val="3E688A3C"/>
    <w:lvl w:ilvl="0" w:tplc="AD2AB74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224B53DE"/>
    <w:multiLevelType w:val="hybridMultilevel"/>
    <w:tmpl w:val="B3B82708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745"/>
    <w:multiLevelType w:val="hybridMultilevel"/>
    <w:tmpl w:val="E392F0B8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C073F"/>
    <w:multiLevelType w:val="hybridMultilevel"/>
    <w:tmpl w:val="71AA2988"/>
    <w:lvl w:ilvl="0" w:tplc="C5E8EAA4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76AB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AAD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4E26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5AFE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C73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862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C4B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265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4F7256"/>
    <w:multiLevelType w:val="hybridMultilevel"/>
    <w:tmpl w:val="3258E032"/>
    <w:lvl w:ilvl="0" w:tplc="953ED3C0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8696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1AC5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62F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499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D8EA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649A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48D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3CDC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327743"/>
    <w:multiLevelType w:val="hybridMultilevel"/>
    <w:tmpl w:val="0C987A9E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62D5C"/>
    <w:multiLevelType w:val="hybridMultilevel"/>
    <w:tmpl w:val="C4EC2A0E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824EC"/>
    <w:multiLevelType w:val="hybridMultilevel"/>
    <w:tmpl w:val="3EFA7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F22FE"/>
    <w:multiLevelType w:val="hybridMultilevel"/>
    <w:tmpl w:val="F9501A40"/>
    <w:lvl w:ilvl="0" w:tplc="F42824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015E8"/>
    <w:multiLevelType w:val="hybridMultilevel"/>
    <w:tmpl w:val="4CAAAD6A"/>
    <w:lvl w:ilvl="0" w:tplc="BAA61C96">
      <w:start w:val="1"/>
      <w:numFmt w:val="decimal"/>
      <w:lvlText w:val="%1)"/>
      <w:lvlJc w:val="left"/>
      <w:pPr>
        <w:ind w:left="123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1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48C56FB7"/>
    <w:multiLevelType w:val="hybridMultilevel"/>
    <w:tmpl w:val="3DE84D5E"/>
    <w:lvl w:ilvl="0" w:tplc="A5E83378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21A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82D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85C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FEC8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3A72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465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80AE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3CD4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C22DB6"/>
    <w:multiLevelType w:val="hybridMultilevel"/>
    <w:tmpl w:val="B498B9A6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D713E"/>
    <w:multiLevelType w:val="hybridMultilevel"/>
    <w:tmpl w:val="2E945252"/>
    <w:lvl w:ilvl="0" w:tplc="BAA61C9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1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70D81"/>
    <w:multiLevelType w:val="hybridMultilevel"/>
    <w:tmpl w:val="37842974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A01F8"/>
    <w:multiLevelType w:val="multilevel"/>
    <w:tmpl w:val="7730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A95928"/>
    <w:multiLevelType w:val="hybridMultilevel"/>
    <w:tmpl w:val="37622456"/>
    <w:lvl w:ilvl="0" w:tplc="BAA61C96">
      <w:start w:val="1"/>
      <w:numFmt w:val="decimal"/>
      <w:lvlText w:val="%1)"/>
      <w:lvlJc w:val="left"/>
      <w:pPr>
        <w:ind w:left="123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1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711912F6"/>
    <w:multiLevelType w:val="hybridMultilevel"/>
    <w:tmpl w:val="1172B4E8"/>
    <w:lvl w:ilvl="0" w:tplc="AB5A3BC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DFC"/>
    <w:multiLevelType w:val="hybridMultilevel"/>
    <w:tmpl w:val="3C8E8884"/>
    <w:lvl w:ilvl="0" w:tplc="AAA4079E">
      <w:start w:val="3"/>
      <w:numFmt w:val="decimal"/>
      <w:lvlText w:val="%1.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EE1A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3AF64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CEED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CD15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4843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1629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0B1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0C4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28E7E0E"/>
    <w:multiLevelType w:val="multilevel"/>
    <w:tmpl w:val="7EAE5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291342"/>
    <w:multiLevelType w:val="hybridMultilevel"/>
    <w:tmpl w:val="73528EE4"/>
    <w:lvl w:ilvl="0" w:tplc="6AA00E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01FFF"/>
    <w:multiLevelType w:val="hybridMultilevel"/>
    <w:tmpl w:val="42CC1BE2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7FFA"/>
    <w:multiLevelType w:val="hybridMultilevel"/>
    <w:tmpl w:val="6394C11A"/>
    <w:lvl w:ilvl="0" w:tplc="731EDCB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F5835"/>
    <w:multiLevelType w:val="hybridMultilevel"/>
    <w:tmpl w:val="82E89620"/>
    <w:lvl w:ilvl="0" w:tplc="41888A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2"/>
  </w:num>
  <w:num w:numId="3" w16cid:durableId="16044596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797131">
    <w:abstractNumId w:val="30"/>
  </w:num>
  <w:num w:numId="5" w16cid:durableId="1087922420">
    <w:abstractNumId w:val="15"/>
  </w:num>
  <w:num w:numId="6" w16cid:durableId="1001547804">
    <w:abstractNumId w:val="8"/>
  </w:num>
  <w:num w:numId="7" w16cid:durableId="2073888596">
    <w:abstractNumId w:val="20"/>
  </w:num>
  <w:num w:numId="8" w16cid:durableId="1885945217">
    <w:abstractNumId w:val="17"/>
  </w:num>
  <w:num w:numId="9" w16cid:durableId="989868491">
    <w:abstractNumId w:val="23"/>
  </w:num>
  <w:num w:numId="10" w16cid:durableId="500976403">
    <w:abstractNumId w:val="11"/>
  </w:num>
  <w:num w:numId="11" w16cid:durableId="1575093291">
    <w:abstractNumId w:val="6"/>
  </w:num>
  <w:num w:numId="12" w16cid:durableId="940576064">
    <w:abstractNumId w:val="25"/>
  </w:num>
  <w:num w:numId="13" w16cid:durableId="2077585655">
    <w:abstractNumId w:val="18"/>
  </w:num>
  <w:num w:numId="14" w16cid:durableId="228735825">
    <w:abstractNumId w:val="12"/>
  </w:num>
  <w:num w:numId="15" w16cid:durableId="1909072356">
    <w:abstractNumId w:val="24"/>
  </w:num>
  <w:num w:numId="16" w16cid:durableId="1590312525">
    <w:abstractNumId w:val="5"/>
  </w:num>
  <w:num w:numId="17" w16cid:durableId="150876173">
    <w:abstractNumId w:val="9"/>
  </w:num>
  <w:num w:numId="18" w16cid:durableId="1921862692">
    <w:abstractNumId w:val="21"/>
  </w:num>
  <w:num w:numId="19" w16cid:durableId="1706052543">
    <w:abstractNumId w:val="27"/>
  </w:num>
  <w:num w:numId="20" w16cid:durableId="362368112">
    <w:abstractNumId w:val="7"/>
  </w:num>
  <w:num w:numId="21" w16cid:durableId="1692145861">
    <w:abstractNumId w:val="31"/>
  </w:num>
  <w:num w:numId="22" w16cid:durableId="3631273">
    <w:abstractNumId w:val="16"/>
  </w:num>
  <w:num w:numId="23" w16cid:durableId="81922429">
    <w:abstractNumId w:val="14"/>
  </w:num>
  <w:num w:numId="24" w16cid:durableId="494958627">
    <w:abstractNumId w:val="10"/>
  </w:num>
  <w:num w:numId="25" w16cid:durableId="133915828">
    <w:abstractNumId w:val="1"/>
  </w:num>
  <w:num w:numId="26" w16cid:durableId="1657102040">
    <w:abstractNumId w:val="19"/>
  </w:num>
  <w:num w:numId="27" w16cid:durableId="1368792420">
    <w:abstractNumId w:val="13"/>
  </w:num>
  <w:num w:numId="28" w16cid:durableId="822159562">
    <w:abstractNumId w:val="29"/>
  </w:num>
  <w:num w:numId="29" w16cid:durableId="275452046">
    <w:abstractNumId w:val="4"/>
  </w:num>
  <w:num w:numId="30" w16cid:durableId="746072420">
    <w:abstractNumId w:val="3"/>
  </w:num>
  <w:num w:numId="31" w16cid:durableId="796945581">
    <w:abstractNumId w:val="22"/>
  </w:num>
  <w:num w:numId="32" w16cid:durableId="8406549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24B85"/>
    <w:rsid w:val="00046096"/>
    <w:rsid w:val="00050B75"/>
    <w:rsid w:val="000559CD"/>
    <w:rsid w:val="000621FD"/>
    <w:rsid w:val="00062B92"/>
    <w:rsid w:val="00063BE4"/>
    <w:rsid w:val="00066747"/>
    <w:rsid w:val="0007167A"/>
    <w:rsid w:val="00072D23"/>
    <w:rsid w:val="00080031"/>
    <w:rsid w:val="00087092"/>
    <w:rsid w:val="00092369"/>
    <w:rsid w:val="00092433"/>
    <w:rsid w:val="00094E02"/>
    <w:rsid w:val="000B394D"/>
    <w:rsid w:val="000B7603"/>
    <w:rsid w:val="000C50C2"/>
    <w:rsid w:val="000D0FE3"/>
    <w:rsid w:val="000D2310"/>
    <w:rsid w:val="000E5D79"/>
    <w:rsid w:val="000E5E81"/>
    <w:rsid w:val="00105E79"/>
    <w:rsid w:val="00110686"/>
    <w:rsid w:val="00111205"/>
    <w:rsid w:val="0011170F"/>
    <w:rsid w:val="00111EA5"/>
    <w:rsid w:val="0011508E"/>
    <w:rsid w:val="00115398"/>
    <w:rsid w:val="0012268F"/>
    <w:rsid w:val="0013024C"/>
    <w:rsid w:val="00174BB7"/>
    <w:rsid w:val="00175898"/>
    <w:rsid w:val="00181190"/>
    <w:rsid w:val="00187D3C"/>
    <w:rsid w:val="00190F60"/>
    <w:rsid w:val="001B45DC"/>
    <w:rsid w:val="001C4D7A"/>
    <w:rsid w:val="001C55CF"/>
    <w:rsid w:val="001D14B4"/>
    <w:rsid w:val="001E2EB9"/>
    <w:rsid w:val="00214AF9"/>
    <w:rsid w:val="002175FD"/>
    <w:rsid w:val="002242F4"/>
    <w:rsid w:val="00233E74"/>
    <w:rsid w:val="0024617A"/>
    <w:rsid w:val="00253B6E"/>
    <w:rsid w:val="0025633A"/>
    <w:rsid w:val="002644BD"/>
    <w:rsid w:val="0026767C"/>
    <w:rsid w:val="002730BB"/>
    <w:rsid w:val="00283B9A"/>
    <w:rsid w:val="0029301C"/>
    <w:rsid w:val="002A7FEF"/>
    <w:rsid w:val="002B3023"/>
    <w:rsid w:val="002B7F97"/>
    <w:rsid w:val="002D523F"/>
    <w:rsid w:val="002E190E"/>
    <w:rsid w:val="002E34A8"/>
    <w:rsid w:val="002E5D2E"/>
    <w:rsid w:val="002E67DA"/>
    <w:rsid w:val="002F4891"/>
    <w:rsid w:val="00301CA6"/>
    <w:rsid w:val="003166AB"/>
    <w:rsid w:val="00325476"/>
    <w:rsid w:val="003279E2"/>
    <w:rsid w:val="00335C25"/>
    <w:rsid w:val="003559AF"/>
    <w:rsid w:val="00365C00"/>
    <w:rsid w:val="00372427"/>
    <w:rsid w:val="003912B1"/>
    <w:rsid w:val="00391F1D"/>
    <w:rsid w:val="003942DE"/>
    <w:rsid w:val="00396DAE"/>
    <w:rsid w:val="00397CC1"/>
    <w:rsid w:val="003A6B6E"/>
    <w:rsid w:val="003A7888"/>
    <w:rsid w:val="003B211E"/>
    <w:rsid w:val="003C5B04"/>
    <w:rsid w:val="003C7C89"/>
    <w:rsid w:val="003D7705"/>
    <w:rsid w:val="003E0F79"/>
    <w:rsid w:val="003F34F9"/>
    <w:rsid w:val="00406E44"/>
    <w:rsid w:val="00411970"/>
    <w:rsid w:val="00412579"/>
    <w:rsid w:val="0041668F"/>
    <w:rsid w:val="00417CEA"/>
    <w:rsid w:val="00425BDB"/>
    <w:rsid w:val="00431D75"/>
    <w:rsid w:val="00436EBB"/>
    <w:rsid w:val="00446B60"/>
    <w:rsid w:val="00471299"/>
    <w:rsid w:val="0048171B"/>
    <w:rsid w:val="004B4A2A"/>
    <w:rsid w:val="004B7941"/>
    <w:rsid w:val="004C0B30"/>
    <w:rsid w:val="004F3F3A"/>
    <w:rsid w:val="00525C4F"/>
    <w:rsid w:val="00552AE5"/>
    <w:rsid w:val="00561C9F"/>
    <w:rsid w:val="00566ACF"/>
    <w:rsid w:val="00573F97"/>
    <w:rsid w:val="0057644A"/>
    <w:rsid w:val="005850B4"/>
    <w:rsid w:val="0059083E"/>
    <w:rsid w:val="005A6271"/>
    <w:rsid w:val="005A712E"/>
    <w:rsid w:val="005B18A1"/>
    <w:rsid w:val="005B7A9B"/>
    <w:rsid w:val="005D1500"/>
    <w:rsid w:val="005E064C"/>
    <w:rsid w:val="005E3CA0"/>
    <w:rsid w:val="005F4717"/>
    <w:rsid w:val="00603581"/>
    <w:rsid w:val="00607237"/>
    <w:rsid w:val="0062103A"/>
    <w:rsid w:val="00626F99"/>
    <w:rsid w:val="0064569A"/>
    <w:rsid w:val="00650580"/>
    <w:rsid w:val="00654828"/>
    <w:rsid w:val="006556BD"/>
    <w:rsid w:val="00655CC6"/>
    <w:rsid w:val="00662CE9"/>
    <w:rsid w:val="00671ADA"/>
    <w:rsid w:val="006A5127"/>
    <w:rsid w:val="006B3153"/>
    <w:rsid w:val="006D43FC"/>
    <w:rsid w:val="006E01AF"/>
    <w:rsid w:val="006E2073"/>
    <w:rsid w:val="006E73D7"/>
    <w:rsid w:val="006E7782"/>
    <w:rsid w:val="006F3059"/>
    <w:rsid w:val="006F310C"/>
    <w:rsid w:val="006F492C"/>
    <w:rsid w:val="00724868"/>
    <w:rsid w:val="0074115F"/>
    <w:rsid w:val="0074319A"/>
    <w:rsid w:val="00747AF7"/>
    <w:rsid w:val="00767CD4"/>
    <w:rsid w:val="00777F8A"/>
    <w:rsid w:val="007A538E"/>
    <w:rsid w:val="007B7682"/>
    <w:rsid w:val="007C2209"/>
    <w:rsid w:val="007C6FA0"/>
    <w:rsid w:val="007F1E4C"/>
    <w:rsid w:val="008152E1"/>
    <w:rsid w:val="00822E68"/>
    <w:rsid w:val="008250C7"/>
    <w:rsid w:val="008347E5"/>
    <w:rsid w:val="008427C4"/>
    <w:rsid w:val="00881BBD"/>
    <w:rsid w:val="0088536F"/>
    <w:rsid w:val="008B0596"/>
    <w:rsid w:val="008B0955"/>
    <w:rsid w:val="008B37EF"/>
    <w:rsid w:val="008B3A0E"/>
    <w:rsid w:val="008D10E8"/>
    <w:rsid w:val="008D254D"/>
    <w:rsid w:val="008D689B"/>
    <w:rsid w:val="008D6C95"/>
    <w:rsid w:val="008F6203"/>
    <w:rsid w:val="009050EF"/>
    <w:rsid w:val="00913E38"/>
    <w:rsid w:val="00916587"/>
    <w:rsid w:val="0093636D"/>
    <w:rsid w:val="00960C55"/>
    <w:rsid w:val="009753A3"/>
    <w:rsid w:val="00991146"/>
    <w:rsid w:val="0099273F"/>
    <w:rsid w:val="009A2493"/>
    <w:rsid w:val="009B0D83"/>
    <w:rsid w:val="009C0B20"/>
    <w:rsid w:val="009C476D"/>
    <w:rsid w:val="009D0595"/>
    <w:rsid w:val="009D6E6E"/>
    <w:rsid w:val="009E0F8A"/>
    <w:rsid w:val="009F1023"/>
    <w:rsid w:val="009F211D"/>
    <w:rsid w:val="00A06028"/>
    <w:rsid w:val="00A110D8"/>
    <w:rsid w:val="00A15263"/>
    <w:rsid w:val="00A3603D"/>
    <w:rsid w:val="00A37947"/>
    <w:rsid w:val="00A410EF"/>
    <w:rsid w:val="00A50AD3"/>
    <w:rsid w:val="00A54423"/>
    <w:rsid w:val="00A675BC"/>
    <w:rsid w:val="00A74264"/>
    <w:rsid w:val="00A9454E"/>
    <w:rsid w:val="00A94F7E"/>
    <w:rsid w:val="00AB583B"/>
    <w:rsid w:val="00AC485C"/>
    <w:rsid w:val="00AE61BD"/>
    <w:rsid w:val="00B0199B"/>
    <w:rsid w:val="00B01E14"/>
    <w:rsid w:val="00B0728D"/>
    <w:rsid w:val="00B135DF"/>
    <w:rsid w:val="00B142E2"/>
    <w:rsid w:val="00B20DFA"/>
    <w:rsid w:val="00B23B36"/>
    <w:rsid w:val="00B263F1"/>
    <w:rsid w:val="00B31700"/>
    <w:rsid w:val="00B47E88"/>
    <w:rsid w:val="00B66BB2"/>
    <w:rsid w:val="00B762CB"/>
    <w:rsid w:val="00B82022"/>
    <w:rsid w:val="00B83A96"/>
    <w:rsid w:val="00BA645E"/>
    <w:rsid w:val="00BA6CA2"/>
    <w:rsid w:val="00BC2179"/>
    <w:rsid w:val="00BC6CDC"/>
    <w:rsid w:val="00BD2374"/>
    <w:rsid w:val="00BD2BBF"/>
    <w:rsid w:val="00BD5220"/>
    <w:rsid w:val="00BE1830"/>
    <w:rsid w:val="00BE56E5"/>
    <w:rsid w:val="00BF0B52"/>
    <w:rsid w:val="00C35730"/>
    <w:rsid w:val="00C43349"/>
    <w:rsid w:val="00C45A81"/>
    <w:rsid w:val="00C61D85"/>
    <w:rsid w:val="00C663A5"/>
    <w:rsid w:val="00CB00B2"/>
    <w:rsid w:val="00CB5944"/>
    <w:rsid w:val="00CB72F9"/>
    <w:rsid w:val="00CF7A97"/>
    <w:rsid w:val="00D17F79"/>
    <w:rsid w:val="00D209A1"/>
    <w:rsid w:val="00D33B90"/>
    <w:rsid w:val="00D814AA"/>
    <w:rsid w:val="00D841A6"/>
    <w:rsid w:val="00D87FC4"/>
    <w:rsid w:val="00DA6AF0"/>
    <w:rsid w:val="00DD56EC"/>
    <w:rsid w:val="00DF2ECD"/>
    <w:rsid w:val="00DF4527"/>
    <w:rsid w:val="00DF58E7"/>
    <w:rsid w:val="00E0210C"/>
    <w:rsid w:val="00E15F33"/>
    <w:rsid w:val="00E16F7E"/>
    <w:rsid w:val="00E201E9"/>
    <w:rsid w:val="00E20DB5"/>
    <w:rsid w:val="00E30F0B"/>
    <w:rsid w:val="00E33D44"/>
    <w:rsid w:val="00E37242"/>
    <w:rsid w:val="00E430A2"/>
    <w:rsid w:val="00E45AEA"/>
    <w:rsid w:val="00E65C89"/>
    <w:rsid w:val="00E76A17"/>
    <w:rsid w:val="00E8393A"/>
    <w:rsid w:val="00EA2DDB"/>
    <w:rsid w:val="00ED2155"/>
    <w:rsid w:val="00ED514A"/>
    <w:rsid w:val="00ED78C7"/>
    <w:rsid w:val="00EE7E41"/>
    <w:rsid w:val="00EF0774"/>
    <w:rsid w:val="00EF306E"/>
    <w:rsid w:val="00EF5063"/>
    <w:rsid w:val="00EF664D"/>
    <w:rsid w:val="00F170AC"/>
    <w:rsid w:val="00F26242"/>
    <w:rsid w:val="00F27686"/>
    <w:rsid w:val="00F3088A"/>
    <w:rsid w:val="00F3185B"/>
    <w:rsid w:val="00F33622"/>
    <w:rsid w:val="00F34104"/>
    <w:rsid w:val="00F37164"/>
    <w:rsid w:val="00F41C32"/>
    <w:rsid w:val="00F421F1"/>
    <w:rsid w:val="00F42A24"/>
    <w:rsid w:val="00F46A70"/>
    <w:rsid w:val="00F63B56"/>
    <w:rsid w:val="00FA7D26"/>
    <w:rsid w:val="00FB158C"/>
    <w:rsid w:val="00FC5FC8"/>
    <w:rsid w:val="00FE2E25"/>
    <w:rsid w:val="00FF500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customStyle="1" w:styleId="FontStyle65">
    <w:name w:val="Font Style65"/>
    <w:rsid w:val="00650580"/>
    <w:rPr>
      <w:rFonts w:ascii="Times New Roman" w:hAnsi="Times New Roman" w:cs="Times New Roman"/>
      <w:sz w:val="22"/>
      <w:szCs w:val="22"/>
    </w:rPr>
  </w:style>
  <w:style w:type="paragraph" w:customStyle="1" w:styleId="LITlitera">
    <w:name w:val="LIT – litera"/>
    <w:basedOn w:val="Normalny"/>
    <w:uiPriority w:val="14"/>
    <w:qFormat/>
    <w:rsid w:val="00650580"/>
    <w:pPr>
      <w:spacing w:line="360" w:lineRule="auto"/>
      <w:ind w:left="986" w:hanging="476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65058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qFormat/>
    <w:rsid w:val="00650580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65058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50580"/>
    <w:pPr>
      <w:spacing w:before="0"/>
    </w:pPr>
    <w:rPr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4AA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4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4A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E207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073"/>
    <w:rPr>
      <w:color w:val="605E5C"/>
      <w:shd w:val="clear" w:color="auto" w:fill="E1DFDD"/>
    </w:rPr>
  </w:style>
  <w:style w:type="character" w:customStyle="1" w:styleId="IGindeksgrny">
    <w:name w:val="_IG_ – indeks górny"/>
    <w:basedOn w:val="Domylnaczcionkaakapitu"/>
    <w:uiPriority w:val="2"/>
    <w:qFormat/>
    <w:rsid w:val="00FA7D26"/>
    <w:rPr>
      <w:b w:val="0"/>
      <w:i w:val="0"/>
      <w:vanish w:val="0"/>
      <w:spacing w:val="0"/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D7705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17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6</cp:revision>
  <dcterms:created xsi:type="dcterms:W3CDTF">2026-08-13T10:41:00Z</dcterms:created>
  <dcterms:modified xsi:type="dcterms:W3CDTF">2026-08-26T16:36:00Z</dcterms:modified>
</cp:coreProperties>
</file>