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A0CBC9" w14:textId="77777777" w:rsidR="003E0FFF" w:rsidRDefault="003E0FFF" w:rsidP="003E0FFF">
      <w:pPr>
        <w:pStyle w:val="NormalnyWeb"/>
        <w:spacing w:before="0" w:beforeAutospacing="0" w:after="0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40"/>
        </w:rPr>
        <w:object w:dxaOrig="780" w:dyaOrig="810" w14:anchorId="075B0A2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pt;height:40.8pt" o:ole="" fillcolor="window">
            <v:imagedata r:id="rId7" o:title=""/>
          </v:shape>
          <o:OLEObject Type="Embed" ProgID="Word.Picture.8" ShapeID="_x0000_i1025" DrawAspect="Content" ObjectID="_1815565958" r:id="rId8"/>
        </w:object>
      </w:r>
    </w:p>
    <w:p w14:paraId="20F6FF39" w14:textId="47FD90B7" w:rsidR="003E0FFF" w:rsidRPr="00717D70" w:rsidRDefault="003E0FFF" w:rsidP="00717D70">
      <w:pPr>
        <w:spacing w:line="312" w:lineRule="auto"/>
        <w:rPr>
          <w:rFonts w:ascii="Calibri" w:hAnsi="Calibri" w:cs="Calibri"/>
        </w:rPr>
      </w:pPr>
      <w:r w:rsidRPr="00717D70">
        <w:rPr>
          <w:rFonts w:ascii="Calibri" w:hAnsi="Calibri" w:cs="Calibri"/>
        </w:rPr>
        <w:t>GENERALNY DYREKTOR OCHRONY ŚRODOWISKA</w:t>
      </w:r>
    </w:p>
    <w:p w14:paraId="3EA9DF03" w14:textId="71ACF641" w:rsidR="003E0FFF" w:rsidRPr="00717D70" w:rsidRDefault="003E0FFF" w:rsidP="00717D70">
      <w:pPr>
        <w:spacing w:line="312" w:lineRule="auto"/>
        <w:rPr>
          <w:rFonts w:ascii="Calibri" w:hAnsi="Calibri" w:cs="Calibri"/>
        </w:rPr>
      </w:pPr>
      <w:r w:rsidRPr="00717D70">
        <w:rPr>
          <w:rFonts w:ascii="Calibri" w:hAnsi="Calibri" w:cs="Calibri"/>
        </w:rPr>
        <w:t xml:space="preserve">Warszawa, </w:t>
      </w:r>
      <w:r w:rsidR="00717D70" w:rsidRPr="00717D70">
        <w:rPr>
          <w:rFonts w:ascii="Calibri" w:hAnsi="Calibri" w:cs="Calibri"/>
        </w:rPr>
        <w:t>31</w:t>
      </w:r>
      <w:r w:rsidRPr="00717D70">
        <w:rPr>
          <w:rFonts w:ascii="Calibri" w:hAnsi="Calibri" w:cs="Calibri"/>
        </w:rPr>
        <w:t xml:space="preserve"> </w:t>
      </w:r>
      <w:r w:rsidR="00717D70" w:rsidRPr="00717D70">
        <w:rPr>
          <w:rFonts w:ascii="Calibri" w:hAnsi="Calibri" w:cs="Calibri"/>
        </w:rPr>
        <w:t>lipca</w:t>
      </w:r>
      <w:r w:rsidRPr="00717D70">
        <w:rPr>
          <w:rFonts w:ascii="Calibri" w:hAnsi="Calibri" w:cs="Calibri"/>
        </w:rPr>
        <w:t xml:space="preserve"> 202</w:t>
      </w:r>
      <w:r w:rsidR="00717D70" w:rsidRPr="00717D70">
        <w:rPr>
          <w:rFonts w:ascii="Calibri" w:hAnsi="Calibri" w:cs="Calibri"/>
        </w:rPr>
        <w:t>5</w:t>
      </w:r>
      <w:r w:rsidRPr="00717D70">
        <w:rPr>
          <w:rFonts w:ascii="Calibri" w:hAnsi="Calibri" w:cs="Calibri"/>
        </w:rPr>
        <w:t xml:space="preserve"> r.</w:t>
      </w:r>
    </w:p>
    <w:p w14:paraId="0B8503C0" w14:textId="522B8CE4" w:rsidR="00811E4A" w:rsidRPr="00717D70" w:rsidRDefault="00811E4A" w:rsidP="00717D70">
      <w:pPr>
        <w:spacing w:line="312" w:lineRule="auto"/>
        <w:rPr>
          <w:rFonts w:ascii="Calibri" w:hAnsi="Calibri" w:cs="Calibri"/>
        </w:rPr>
      </w:pPr>
      <w:r w:rsidRPr="00717D70">
        <w:rPr>
          <w:rFonts w:ascii="Calibri" w:hAnsi="Calibri" w:cs="Calibri"/>
        </w:rPr>
        <w:t>DOOŚ-WDŚZIL.420.</w:t>
      </w:r>
      <w:r w:rsidR="00717D70" w:rsidRPr="00717D70">
        <w:rPr>
          <w:rFonts w:ascii="Calibri" w:hAnsi="Calibri" w:cs="Calibri"/>
        </w:rPr>
        <w:t>133</w:t>
      </w:r>
      <w:r w:rsidRPr="00717D70">
        <w:rPr>
          <w:rFonts w:ascii="Calibri" w:hAnsi="Calibri" w:cs="Calibri"/>
        </w:rPr>
        <w:t>.20</w:t>
      </w:r>
      <w:r w:rsidR="00717D70" w:rsidRPr="00717D70">
        <w:rPr>
          <w:rFonts w:ascii="Calibri" w:hAnsi="Calibri" w:cs="Calibri"/>
        </w:rPr>
        <w:t>19</w:t>
      </w:r>
      <w:r w:rsidRPr="00717D70">
        <w:rPr>
          <w:rFonts w:ascii="Calibri" w:hAnsi="Calibri" w:cs="Calibri"/>
        </w:rPr>
        <w:t>.MKR.1</w:t>
      </w:r>
      <w:r w:rsidR="00717D70" w:rsidRPr="00717D70">
        <w:rPr>
          <w:rFonts w:ascii="Calibri" w:hAnsi="Calibri" w:cs="Calibri"/>
        </w:rPr>
        <w:t>4</w:t>
      </w:r>
    </w:p>
    <w:p w14:paraId="7E013E9F" w14:textId="054D8F74" w:rsidR="003E0FFF" w:rsidRPr="00717D70" w:rsidRDefault="003E0FFF" w:rsidP="00717D70">
      <w:pPr>
        <w:spacing w:line="312" w:lineRule="auto"/>
        <w:rPr>
          <w:rFonts w:ascii="Calibri" w:hAnsi="Calibri" w:cs="Calibri"/>
          <w:color w:val="000000"/>
        </w:rPr>
      </w:pPr>
      <w:r w:rsidRPr="00717D70">
        <w:rPr>
          <w:rFonts w:ascii="Calibri" w:hAnsi="Calibri" w:cs="Calibri"/>
          <w:color w:val="000000"/>
        </w:rPr>
        <w:t>ZAWIADOMIENIE</w:t>
      </w:r>
    </w:p>
    <w:p w14:paraId="652C620C" w14:textId="77777777" w:rsidR="00717D70" w:rsidRPr="00717D70" w:rsidRDefault="00717D70" w:rsidP="00717D70">
      <w:pPr>
        <w:spacing w:line="312" w:lineRule="auto"/>
        <w:rPr>
          <w:rFonts w:ascii="Calibri" w:hAnsi="Calibri" w:cs="Calibri"/>
          <w:color w:val="000000"/>
        </w:rPr>
      </w:pPr>
      <w:r w:rsidRPr="00717D70">
        <w:rPr>
          <w:rFonts w:ascii="Calibri" w:hAnsi="Calibri" w:cs="Calibri"/>
          <w:color w:val="000000"/>
        </w:rPr>
        <w:t xml:space="preserve">Generalny Dyrektor Ochrony Środowiska, na podstawie art. 10 § 1 oraz art. 49 ustawy z dnia 14 czerwca 1960 r. – Kodeks postępowania administracyjnego (Dz. U. z 2016 r. poz. 23, ze zm.), dalej k.p.a., w związku z art. 74 ust. 3 ustawy z dnia 3 października 2008 r. o udostępnianiu informacji o środowisku i jego ochronie, udziale społeczeństwa w ochronie środowiska oraz o ocenach oddziaływania na środowisko (Dz. U. z 2016 r. poz. 353, ze zm.), dalej </w:t>
      </w:r>
      <w:proofErr w:type="spellStart"/>
      <w:r w:rsidRPr="00717D70">
        <w:rPr>
          <w:rFonts w:ascii="Calibri" w:hAnsi="Calibri" w:cs="Calibri"/>
          <w:color w:val="000000"/>
        </w:rPr>
        <w:t>u.o.o.ś</w:t>
      </w:r>
      <w:proofErr w:type="spellEnd"/>
      <w:r w:rsidRPr="00717D70">
        <w:rPr>
          <w:rFonts w:ascii="Calibri" w:hAnsi="Calibri" w:cs="Calibri"/>
          <w:color w:val="000000"/>
        </w:rPr>
        <w:t>., zawiadamia, że w prowadzonym postępowaniu odwoławczym od decyzji Regionalnego Dyrektora Ochrony Środowiska w Łodzi, Nr 50/2019, z 30 maja 2019 r., znak: WOOŚ.420.41.2018.MGr.20, o środowiskowych uwarunkowaniach realizacji przedsięwzięcia pn. „Budowa drogi ekspresowej S12 na odcinku Piotrków Trybunalski (A1) - Opoczno (gr. woj. łódzkiego i mazowieckiego) oraz drogi ekspresowej S74 na odcinku Sulejów (S12) - gr. woj. łódzkiego i świętokrzyskiego” zgromadzony został cały materiał dowodowy.</w:t>
      </w:r>
    </w:p>
    <w:p w14:paraId="72BA5540" w14:textId="77777777" w:rsidR="00717D70" w:rsidRPr="00717D70" w:rsidRDefault="00717D70" w:rsidP="00717D70">
      <w:pPr>
        <w:spacing w:line="312" w:lineRule="auto"/>
        <w:rPr>
          <w:rFonts w:ascii="Calibri" w:hAnsi="Calibri" w:cs="Calibri"/>
          <w:color w:val="000000"/>
        </w:rPr>
      </w:pPr>
      <w:r w:rsidRPr="00717D70">
        <w:rPr>
          <w:rFonts w:ascii="Calibri" w:hAnsi="Calibri" w:cs="Calibri"/>
          <w:color w:val="000000"/>
        </w:rPr>
        <w:t>Równocześnie Generalny Dyrektor Ochrony Środowiska informuje, że strony mogą zapoznać się z aktami sprawy, a przed wydaniem decyzji kończącej postępowanie wypowiedzieć się co do zebranych dowodów i materiałów oraz zgłoszonych żądań. Materiał dowodowy dostępny będzie w siedzibie Generalnej Dyrekcji Ochrony Środowiska, mieszczącej się w Warszawie przy Al. Jerozolimskich 136, w dniach roboczych, w godzinach 10.00-14.00, po uprzednim uzgodnieniu terminu pod numerem telefonu 22 120 29 50.</w:t>
      </w:r>
    </w:p>
    <w:p w14:paraId="02C83D86" w14:textId="77777777" w:rsidR="00717D70" w:rsidRPr="00717D70" w:rsidRDefault="00717D70" w:rsidP="00717D70">
      <w:pPr>
        <w:spacing w:line="312" w:lineRule="auto"/>
        <w:rPr>
          <w:rFonts w:ascii="Calibri" w:hAnsi="Calibri" w:cs="Calibri"/>
          <w:color w:val="000000"/>
        </w:rPr>
      </w:pPr>
      <w:r w:rsidRPr="00717D70">
        <w:rPr>
          <w:rFonts w:ascii="Calibri" w:hAnsi="Calibri" w:cs="Calibri"/>
          <w:color w:val="000000"/>
        </w:rPr>
        <w:t>Decyzja kończąca postępowanie zostanie wydana nie wcześniej niż po upływie czternastu dni od dnia doręczenia niniejszego zawiadomienia.</w:t>
      </w:r>
    </w:p>
    <w:p w14:paraId="5A6B0306" w14:textId="77777777" w:rsidR="00717D70" w:rsidRPr="00717D70" w:rsidRDefault="00717D70" w:rsidP="00717D70">
      <w:pPr>
        <w:spacing w:line="312" w:lineRule="auto"/>
        <w:rPr>
          <w:rFonts w:ascii="Calibri" w:hAnsi="Calibri" w:cs="Calibri"/>
          <w:color w:val="000000"/>
        </w:rPr>
      </w:pPr>
    </w:p>
    <w:p w14:paraId="615BF92D" w14:textId="56ECEDC8" w:rsidR="00811E4A" w:rsidRPr="00717D70" w:rsidRDefault="00811E4A" w:rsidP="00717D70">
      <w:pPr>
        <w:spacing w:line="312" w:lineRule="auto"/>
        <w:rPr>
          <w:rFonts w:ascii="Calibri" w:hAnsi="Calibri" w:cs="Calibri"/>
        </w:rPr>
      </w:pPr>
      <w:r w:rsidRPr="00717D70">
        <w:rPr>
          <w:rFonts w:ascii="Calibri" w:hAnsi="Calibri" w:cs="Calibri"/>
        </w:rPr>
        <w:t>Upubliczniono w dniach: od ………………… do …………………</w:t>
      </w:r>
    </w:p>
    <w:p w14:paraId="3B4041AB" w14:textId="77777777" w:rsidR="00811E4A" w:rsidRPr="00717D70" w:rsidRDefault="00811E4A" w:rsidP="00717D70">
      <w:pPr>
        <w:spacing w:line="312" w:lineRule="auto"/>
        <w:rPr>
          <w:rFonts w:ascii="Calibri" w:hAnsi="Calibri" w:cs="Calibri"/>
        </w:rPr>
      </w:pPr>
      <w:r w:rsidRPr="00717D70">
        <w:rPr>
          <w:rFonts w:ascii="Calibri" w:hAnsi="Calibri" w:cs="Calibri"/>
        </w:rPr>
        <w:t>Pieczęć urzędu i podpis:</w:t>
      </w:r>
    </w:p>
    <w:p w14:paraId="32FE6516" w14:textId="0C5F5CE2" w:rsidR="00717D70" w:rsidRPr="00717D70" w:rsidRDefault="00717D70" w:rsidP="00717D70">
      <w:pPr>
        <w:pStyle w:val="Bezodstpw1"/>
        <w:spacing w:line="312" w:lineRule="auto"/>
        <w:rPr>
          <w:rFonts w:ascii="Calibri" w:hAnsi="Calibri" w:cs="Calibri"/>
        </w:rPr>
      </w:pPr>
      <w:r w:rsidRPr="00717D70">
        <w:rPr>
          <w:rFonts w:ascii="Calibri" w:hAnsi="Calibri" w:cs="Calibri"/>
        </w:rPr>
        <w:t xml:space="preserve">Z upoważnienia Generalnego Dyrektora Ochrony Środowiska </w:t>
      </w:r>
      <w:r>
        <w:rPr>
          <w:rFonts w:ascii="Calibri" w:hAnsi="Calibri" w:cs="Calibri"/>
        </w:rPr>
        <w:t>Katarzyna Bińkowska</w:t>
      </w:r>
    </w:p>
    <w:p w14:paraId="6478BEDA" w14:textId="77777777" w:rsidR="00717D70" w:rsidRPr="00717D70" w:rsidRDefault="00717D70" w:rsidP="00717D70">
      <w:pPr>
        <w:pStyle w:val="Bezodstpw1"/>
        <w:spacing w:line="312" w:lineRule="auto"/>
        <w:rPr>
          <w:rFonts w:ascii="Calibri" w:hAnsi="Calibri" w:cs="Calibri"/>
        </w:rPr>
      </w:pPr>
      <w:r w:rsidRPr="00717D70">
        <w:rPr>
          <w:rFonts w:ascii="Calibri" w:hAnsi="Calibri" w:cs="Calibri"/>
        </w:rPr>
        <w:t>Naczelnik Wydziału Departament Ocen Oddziaływania na Środowisko</w:t>
      </w:r>
    </w:p>
    <w:p w14:paraId="62B6AD1D" w14:textId="77777777" w:rsidR="00717D70" w:rsidRPr="00717D70" w:rsidRDefault="00717D70" w:rsidP="00717D70">
      <w:pPr>
        <w:pStyle w:val="Bezodstpw1"/>
        <w:spacing w:line="312" w:lineRule="auto"/>
        <w:rPr>
          <w:rFonts w:ascii="Calibri" w:hAnsi="Calibri" w:cs="Calibri"/>
        </w:rPr>
      </w:pPr>
      <w:r w:rsidRPr="00717D70">
        <w:rPr>
          <w:rFonts w:ascii="Calibri" w:hAnsi="Calibri" w:cs="Calibri"/>
        </w:rPr>
        <w:t>/podpis elektroniczny</w:t>
      </w:r>
    </w:p>
    <w:p w14:paraId="737C6A8C" w14:textId="77777777" w:rsidR="00717D70" w:rsidRPr="00717D70" w:rsidRDefault="00717D70" w:rsidP="00717D70">
      <w:pPr>
        <w:pStyle w:val="Bezodstpw1"/>
        <w:spacing w:line="312" w:lineRule="auto"/>
        <w:rPr>
          <w:rFonts w:ascii="Calibri" w:hAnsi="Calibri" w:cs="Calibri"/>
        </w:rPr>
      </w:pPr>
    </w:p>
    <w:p w14:paraId="645AF8AE" w14:textId="77777777" w:rsidR="00717D70" w:rsidRPr="00717D70" w:rsidRDefault="00717D70" w:rsidP="00717D70">
      <w:pPr>
        <w:pStyle w:val="Bezodstpw1"/>
        <w:spacing w:line="312" w:lineRule="auto"/>
        <w:rPr>
          <w:rFonts w:ascii="Calibri" w:hAnsi="Calibri" w:cs="Calibri"/>
        </w:rPr>
      </w:pPr>
      <w:r w:rsidRPr="00717D70">
        <w:rPr>
          <w:rFonts w:ascii="Calibri" w:hAnsi="Calibri" w:cs="Calibri"/>
        </w:rPr>
        <w:t>Art. 10 § 1 k.p.a. Organy administracji publicznej obowiązane są zapewnić stronom czynny udział w każdym stadium postępowania, a przed wydaniem decyzji umożliwić im wypowiedzenie się co do zebranych dowodów i materiałów oraz zgłoszonych żądań.</w:t>
      </w:r>
    </w:p>
    <w:p w14:paraId="11030D5F" w14:textId="77777777" w:rsidR="00717D70" w:rsidRPr="00717D70" w:rsidRDefault="00717D70" w:rsidP="00717D70">
      <w:pPr>
        <w:pStyle w:val="Bezodstpw1"/>
        <w:spacing w:line="312" w:lineRule="auto"/>
        <w:rPr>
          <w:rFonts w:ascii="Calibri" w:hAnsi="Calibri" w:cs="Calibri"/>
        </w:rPr>
      </w:pPr>
      <w:r w:rsidRPr="00717D70">
        <w:rPr>
          <w:rFonts w:ascii="Calibri" w:hAnsi="Calibri" w:cs="Calibri"/>
        </w:rPr>
        <w:t xml:space="preserve">Art. 49 k.p.a. Strony mogą być zawiadamiane o decyzjach i innych czynnościach organów administracji publicznej przez obwieszczenie lub w inny zwyczajowo przyjęty w danej </w:t>
      </w:r>
      <w:r w:rsidRPr="00717D70">
        <w:rPr>
          <w:rFonts w:ascii="Calibri" w:hAnsi="Calibri" w:cs="Calibri"/>
        </w:rPr>
        <w:lastRenderedPageBreak/>
        <w:t>miejscowości sposób publicznego ogłaszania, jeżeli przepis szczególny tak stanowi; w tych przypadkach zawiadomienie bądź doręczenie uważa się za dokonane po upływie czternastu dni od dnia publicznego ogłoszenia.</w:t>
      </w:r>
    </w:p>
    <w:p w14:paraId="3D24A70A" w14:textId="77777777" w:rsidR="00717D70" w:rsidRPr="00717D70" w:rsidRDefault="00717D70" w:rsidP="00717D70">
      <w:pPr>
        <w:pStyle w:val="Bezodstpw1"/>
        <w:spacing w:line="312" w:lineRule="auto"/>
        <w:rPr>
          <w:rFonts w:ascii="Calibri" w:hAnsi="Calibri" w:cs="Calibri"/>
        </w:rPr>
      </w:pPr>
      <w:r w:rsidRPr="00717D70">
        <w:rPr>
          <w:rFonts w:ascii="Calibri" w:hAnsi="Calibri" w:cs="Calibri"/>
        </w:rPr>
        <w:t>Art. 16 ustawy z dnia 7 kwietnia 2017 r. o zmianie ustawy – Kodeks postępowania administracyjnego oraz niektórych innych ustaw (Dz. U. poz. 935) Do postępowań administracyjnych wszczętych i niezakończonych przed dniem wejścia niniejszej ustawy ostateczną decyzją lub postanowieniem stosuje się przepisy ustawy zmienianej w art. 1, w brzmieniu dotychczasowym, z tym że do tych postępowań stosuje się przepisy art. 96a-96n ustawy zmienianej w art. 1.</w:t>
      </w:r>
    </w:p>
    <w:p w14:paraId="422906F2" w14:textId="77777777" w:rsidR="00717D70" w:rsidRPr="00717D70" w:rsidRDefault="00717D70" w:rsidP="00717D70">
      <w:pPr>
        <w:pStyle w:val="Bezodstpw1"/>
        <w:spacing w:line="312" w:lineRule="auto"/>
        <w:rPr>
          <w:rFonts w:ascii="Calibri" w:hAnsi="Calibri" w:cs="Calibri"/>
        </w:rPr>
      </w:pPr>
      <w:r w:rsidRPr="00717D70">
        <w:rPr>
          <w:rFonts w:ascii="Calibri" w:hAnsi="Calibri" w:cs="Calibri"/>
        </w:rPr>
        <w:t xml:space="preserve">Art. 74 ust. 3 </w:t>
      </w:r>
      <w:proofErr w:type="spellStart"/>
      <w:r w:rsidRPr="00717D70">
        <w:rPr>
          <w:rFonts w:ascii="Calibri" w:hAnsi="Calibri" w:cs="Calibri"/>
        </w:rPr>
        <w:t>u.o.o.ś</w:t>
      </w:r>
      <w:proofErr w:type="spellEnd"/>
      <w:r w:rsidRPr="00717D70">
        <w:rPr>
          <w:rFonts w:ascii="Calibri" w:hAnsi="Calibri" w:cs="Calibri"/>
        </w:rPr>
        <w:t>. Jeżeli liczba stron postępowania o wydanie decyzji o środowiskowych uwarunkowaniach przekracza 20, stosuje się przepis art. 49 Kodeksu postępowania administracyjnego.</w:t>
      </w:r>
    </w:p>
    <w:p w14:paraId="3AFC435D" w14:textId="77777777" w:rsidR="00717D70" w:rsidRPr="00717D70" w:rsidRDefault="00717D70" w:rsidP="00717D70">
      <w:pPr>
        <w:pStyle w:val="Bezodstpw1"/>
        <w:spacing w:line="312" w:lineRule="auto"/>
        <w:rPr>
          <w:rFonts w:ascii="Calibri" w:hAnsi="Calibri" w:cs="Calibri"/>
        </w:rPr>
      </w:pPr>
      <w:r w:rsidRPr="00717D70">
        <w:rPr>
          <w:rFonts w:ascii="Calibri" w:hAnsi="Calibri" w:cs="Calibri"/>
        </w:rPr>
        <w:t>Art. 6 ust. 2 ustawy z dnia 9 października 2015 r. o zmianie ustawy o udostępnianiu informacji o środowisku i jego ochronie, udziale społeczeństwa w ochronie środowiska oraz o ocenach oddziaływania na środowisko oraz niektórych innych ustaw (Dz. U. poz. 1936) Do spraw wszczętych na podstawie ustawy zmienianej w art. 1, dla których przed dniem wejścia w życie niniejszej ustawy przedłożono raport o oddziaływaniu przedsięwzięcia na środowisko lub wydano postanowienie określające zakres raportu o oddziaływaniu przedsięwzięcia na środowisko, stosuje się przepisy dotychczasowe.</w:t>
      </w:r>
    </w:p>
    <w:p w14:paraId="7AB10B44" w14:textId="77777777" w:rsidR="00717D70" w:rsidRPr="00717D70" w:rsidRDefault="00717D70" w:rsidP="00717D70">
      <w:pPr>
        <w:pStyle w:val="Bezodstpw1"/>
        <w:spacing w:line="312" w:lineRule="auto"/>
        <w:rPr>
          <w:rFonts w:ascii="Calibri" w:hAnsi="Calibri" w:cs="Calibri"/>
        </w:rPr>
      </w:pPr>
      <w:r w:rsidRPr="00717D70">
        <w:rPr>
          <w:rFonts w:ascii="Calibri" w:hAnsi="Calibri" w:cs="Calibri"/>
        </w:rPr>
        <w:t>Art. 4 ust. 1 ustawy z dnia 19 lipca 2019 r. o zmianie ustawy o udostępnianiu informacji o środowisku i jego ochronie, udziale społeczeństwa w ochronie środowiska oraz o ocenach oddziaływania na środowisko oraz niektórych innych ustaw (Dz. U. poz. 1712, ze zm.) Do spraw wszczętych na podstawie ustaw zmienianych w art. 1 oraz w art. 3 i niezakończonych przed dniem wejścia w życie niniejszej ustawy stosuje się przepisy dotychczasowe.</w:t>
      </w:r>
    </w:p>
    <w:p w14:paraId="6D969089" w14:textId="750A30A7" w:rsidR="00554D9B" w:rsidRPr="00717D70" w:rsidRDefault="00717D70" w:rsidP="00717D70">
      <w:pPr>
        <w:pStyle w:val="Bezodstpw1"/>
        <w:spacing w:line="312" w:lineRule="auto"/>
        <w:rPr>
          <w:rFonts w:ascii="Calibri" w:hAnsi="Calibri" w:cs="Calibri"/>
        </w:rPr>
      </w:pPr>
      <w:r w:rsidRPr="00717D70">
        <w:rPr>
          <w:rFonts w:ascii="Calibri" w:hAnsi="Calibri" w:cs="Calibri"/>
        </w:rPr>
        <w:t>Art. 15 ust. 1 ustawy z dnia 13 lipca 2023 r. o zmianie ustawy o udostępnianiu informacji o środowisku i jego ochronie, udziale społeczeństwa w ochronie środowiska oraz o ocenach oddziaływania na środowisko oraz niektórych innych ustaw (Dz. U. poz. 1890) Do spraw prowadzonych na podstawie ustawy zmienianej w art. 1 wszczętych i niezakończonych przed dniem wejścia w życie niniejszej ustawy stosuje się przepisy ustawy zmienianej w art. 1 w brzmieniu dotychczasowym, z wyjątkiem przepisów art. 61 ust. 1, art. 66 ust. 1 pkt 5, art. 82 ust. 1 oraz art. 86f ust. 2 i 4 ustawy zmienianej w art. 1, które stosuje się w brzmieniu nadanym niniejszą ustawą, oraz stosuje się przepisy art. 86f ust. 1a, 2a i 8 ustawy zmienianej w art. 1</w:t>
      </w:r>
    </w:p>
    <w:sectPr w:rsidR="00554D9B" w:rsidRPr="00717D70" w:rsidSect="00CA0FE1">
      <w:footerReference w:type="default" r:id="rId9"/>
      <w:footerReference w:type="first" r:id="rId10"/>
      <w:pgSz w:w="11906" w:h="16838"/>
      <w:pgMar w:top="1276" w:right="1418" w:bottom="1276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3881A6" w14:textId="77777777" w:rsidR="00901B8E" w:rsidRDefault="00901B8E">
      <w:r>
        <w:separator/>
      </w:r>
    </w:p>
  </w:endnote>
  <w:endnote w:type="continuationSeparator" w:id="0">
    <w:p w14:paraId="275048CF" w14:textId="77777777" w:rsidR="00901B8E" w:rsidRDefault="00901B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</w:font>
  <w:font w:name="DejaVu Sans">
    <w:panose1 w:val="020B0603030804020204"/>
    <w:charset w:val="EE"/>
    <w:family w:val="swiss"/>
    <w:pitch w:val="variable"/>
    <w:sig w:usb0="E7003EFF" w:usb1="D200FDFF" w:usb2="0A24602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0514E2" w14:textId="77777777" w:rsidR="00C01CA2" w:rsidRDefault="00C01CA2">
    <w:pPr>
      <w:pStyle w:val="Stopka"/>
      <w:jc w:val="right"/>
    </w:pPr>
    <w:r>
      <w:fldChar w:fldCharType="begin"/>
    </w:r>
    <w:r>
      <w:instrText xml:space="preserve"> PAGE </w:instrText>
    </w:r>
    <w:r>
      <w:fldChar w:fldCharType="separate"/>
    </w:r>
    <w:r w:rsidR="00330EA5">
      <w:rPr>
        <w:noProof/>
      </w:rPr>
      <w:t>2</w:t>
    </w:r>
    <w:r>
      <w:fldChar w:fldCharType="end"/>
    </w:r>
  </w:p>
  <w:p w14:paraId="24FF2321" w14:textId="77777777" w:rsidR="00C01CA2" w:rsidRDefault="00C01CA2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B85EA8" w14:textId="77777777" w:rsidR="00C01CA2" w:rsidRDefault="00C01CA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7E0CCA" w14:textId="77777777" w:rsidR="00901B8E" w:rsidRDefault="00901B8E">
      <w:r>
        <w:separator/>
      </w:r>
    </w:p>
  </w:footnote>
  <w:footnote w:type="continuationSeparator" w:id="0">
    <w:p w14:paraId="6F9D51D8" w14:textId="77777777" w:rsidR="00901B8E" w:rsidRDefault="00901B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91C224FE"/>
    <w:name w:val="WWNum1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Garamond" w:hAnsi="Garamond" w:hint="default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7DEC1213"/>
    <w:multiLevelType w:val="hybridMultilevel"/>
    <w:tmpl w:val="9604B4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1551494">
    <w:abstractNumId w:val="0"/>
  </w:num>
  <w:num w:numId="2" w16cid:durableId="1159346636">
    <w:abstractNumId w:val="1"/>
  </w:num>
  <w:num w:numId="3" w16cid:durableId="15092943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C0D"/>
    <w:rsid w:val="000207AF"/>
    <w:rsid w:val="000607C7"/>
    <w:rsid w:val="0015676C"/>
    <w:rsid w:val="00166E2C"/>
    <w:rsid w:val="00192894"/>
    <w:rsid w:val="001D50CA"/>
    <w:rsid w:val="001E5A2B"/>
    <w:rsid w:val="001E7466"/>
    <w:rsid w:val="00286293"/>
    <w:rsid w:val="002E49EB"/>
    <w:rsid w:val="00330EA5"/>
    <w:rsid w:val="003402B2"/>
    <w:rsid w:val="003479FA"/>
    <w:rsid w:val="003B1B7B"/>
    <w:rsid w:val="003E0FFF"/>
    <w:rsid w:val="004220F2"/>
    <w:rsid w:val="00432305"/>
    <w:rsid w:val="00457327"/>
    <w:rsid w:val="004C0C0D"/>
    <w:rsid w:val="00554D9B"/>
    <w:rsid w:val="00563315"/>
    <w:rsid w:val="00564A4F"/>
    <w:rsid w:val="005841F0"/>
    <w:rsid w:val="00592363"/>
    <w:rsid w:val="00631814"/>
    <w:rsid w:val="00673686"/>
    <w:rsid w:val="00700B18"/>
    <w:rsid w:val="007035EF"/>
    <w:rsid w:val="00717D70"/>
    <w:rsid w:val="00795A9F"/>
    <w:rsid w:val="007D18FA"/>
    <w:rsid w:val="00811E4A"/>
    <w:rsid w:val="008363BF"/>
    <w:rsid w:val="008635EE"/>
    <w:rsid w:val="008F0672"/>
    <w:rsid w:val="00901B8E"/>
    <w:rsid w:val="00964459"/>
    <w:rsid w:val="00983687"/>
    <w:rsid w:val="00A6123E"/>
    <w:rsid w:val="00A857A5"/>
    <w:rsid w:val="00AA67B8"/>
    <w:rsid w:val="00B2206F"/>
    <w:rsid w:val="00B42BFD"/>
    <w:rsid w:val="00B66F56"/>
    <w:rsid w:val="00C01CA2"/>
    <w:rsid w:val="00C27DB3"/>
    <w:rsid w:val="00C316E5"/>
    <w:rsid w:val="00C54687"/>
    <w:rsid w:val="00CA0FE1"/>
    <w:rsid w:val="00CD1A9D"/>
    <w:rsid w:val="00CF668A"/>
    <w:rsid w:val="00D01898"/>
    <w:rsid w:val="00D071B5"/>
    <w:rsid w:val="00E16A81"/>
    <w:rsid w:val="00E418B2"/>
    <w:rsid w:val="00E65A02"/>
    <w:rsid w:val="00E914EA"/>
    <w:rsid w:val="00EB35FA"/>
    <w:rsid w:val="00EB7686"/>
    <w:rsid w:val="00F60BC4"/>
    <w:rsid w:val="00F7015B"/>
    <w:rsid w:val="00F8556A"/>
    <w:rsid w:val="00FC3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oNotEmbedSmartTags/>
  <w:decimalSymbol w:val=","/>
  <w:listSeparator w:val=";"/>
  <w14:docId w14:val="706C29C7"/>
  <w15:chartTrackingRefBased/>
  <w15:docId w15:val="{48AA747F-8CA2-48D1-B70F-F4E6EC1A0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suppressAutoHyphens/>
    </w:pPr>
    <w:rPr>
      <w:sz w:val="24"/>
      <w:szCs w:val="24"/>
    </w:rPr>
  </w:style>
  <w:style w:type="paragraph" w:styleId="Nagwek1">
    <w:name w:val="heading 1"/>
    <w:basedOn w:val="Normalny"/>
    <w:qFormat/>
    <w:pPr>
      <w:keepNext/>
      <w:jc w:val="center"/>
      <w:outlineLvl w:val="0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</w:style>
  <w:style w:type="character" w:customStyle="1" w:styleId="TekstpodstawowyZnak">
    <w:name w:val="Tekst podstawowy Znak"/>
    <w:rPr>
      <w:sz w:val="24"/>
      <w:lang w:val="pl-PL" w:eastAsia="pl-PL" w:bidi="ar-SA"/>
    </w:rPr>
  </w:style>
  <w:style w:type="character" w:customStyle="1" w:styleId="Numerstrony1">
    <w:name w:val="Numer strony1"/>
    <w:basedOn w:val="Domylnaczcionkaakapitu1"/>
  </w:style>
  <w:style w:type="character" w:customStyle="1" w:styleId="Pogrubienie1">
    <w:name w:val="Pogrubienie1"/>
    <w:rPr>
      <w:b/>
      <w:bCs/>
    </w:rPr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">
    <w:name w:val="Tekst komentarza Znak"/>
    <w:basedOn w:val="Domylnaczcionkaakapitu1"/>
  </w:style>
  <w:style w:type="character" w:customStyle="1" w:styleId="TematkomentarzaZnak">
    <w:name w:val="Temat komentarza Znak"/>
    <w:rPr>
      <w:b/>
      <w:bCs/>
    </w:rPr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character" w:customStyle="1" w:styleId="NagwekZnak">
    <w:name w:val="Nagłówek Znak"/>
    <w:rPr>
      <w:sz w:val="24"/>
      <w:szCs w:val="24"/>
    </w:rPr>
  </w:style>
  <w:style w:type="character" w:customStyle="1" w:styleId="StopkaZnak">
    <w:name w:val="Stopka Znak"/>
    <w:basedOn w:val="Domylnaczcionkaakapitu1"/>
  </w:style>
  <w:style w:type="character" w:customStyle="1" w:styleId="FootnoteCharacters">
    <w:name w:val="Footnote Characters"/>
    <w:rPr>
      <w:vertAlign w:val="superscript"/>
    </w:rPr>
  </w:style>
  <w:style w:type="character" w:styleId="Odwoanieprzypisudolnego">
    <w:name w:val="footnote reference"/>
    <w:rPr>
      <w:vertAlign w:val="superscript"/>
    </w:rPr>
  </w:style>
  <w:style w:type="character" w:customStyle="1" w:styleId="Tekstpodstawowywcity3Znak">
    <w:name w:val="Tekst podstawowy wcięty 3 Znak"/>
    <w:rPr>
      <w:sz w:val="16"/>
      <w:szCs w:val="16"/>
    </w:rPr>
  </w:style>
  <w:style w:type="character" w:customStyle="1" w:styleId="AkapitzlistZnak">
    <w:name w:val="Akapit z listą Znak"/>
    <w:rPr>
      <w:sz w:val="24"/>
      <w:szCs w:val="24"/>
    </w:rPr>
  </w:style>
  <w:style w:type="character" w:styleId="Hipercze">
    <w:name w:val="Hyperlink"/>
    <w:rPr>
      <w:color w:val="0000FF"/>
      <w:u w:val="single"/>
    </w:rPr>
  </w:style>
  <w:style w:type="character" w:customStyle="1" w:styleId="alb">
    <w:name w:val="a_lb"/>
    <w:basedOn w:val="Domylnaczcionkaakapitu1"/>
  </w:style>
  <w:style w:type="character" w:customStyle="1" w:styleId="alb-s">
    <w:name w:val="a_lb-s"/>
    <w:basedOn w:val="Domylnaczcionkaakapitu1"/>
  </w:style>
  <w:style w:type="character" w:customStyle="1" w:styleId="ListLabel1">
    <w:name w:val="ListLabel 1"/>
    <w:rPr>
      <w:lang w:val="en-US"/>
    </w:rPr>
  </w:style>
  <w:style w:type="character" w:customStyle="1" w:styleId="ListLabel2">
    <w:name w:val="ListLabel 2"/>
    <w:rPr>
      <w:u w:val="none"/>
    </w:rPr>
  </w:style>
  <w:style w:type="character" w:customStyle="1" w:styleId="ListLabel3">
    <w:name w:val="ListLabel 3"/>
    <w:rPr>
      <w:color w:val="auto"/>
      <w:sz w:val="24"/>
      <w:szCs w:val="24"/>
    </w:rPr>
  </w:style>
  <w:style w:type="character" w:customStyle="1" w:styleId="ListLabel4">
    <w:name w:val="ListLabel 4"/>
    <w:rPr>
      <w:rFonts w:cs="Courier New"/>
    </w:rPr>
  </w:style>
  <w:style w:type="character" w:customStyle="1" w:styleId="ListLabel5">
    <w:name w:val="ListLabel 5"/>
    <w:rPr>
      <w:rFonts w:cs="Courier New"/>
    </w:rPr>
  </w:style>
  <w:style w:type="character" w:customStyle="1" w:styleId="ListLabel6">
    <w:name w:val="ListLabel 6"/>
    <w:rPr>
      <w:rFonts w:cs="Courier New"/>
    </w:rPr>
  </w:style>
  <w:style w:type="character" w:customStyle="1" w:styleId="ListLabel7">
    <w:name w:val="ListLabel 7"/>
    <w:rPr>
      <w:rFonts w:cs="Courier New"/>
    </w:rPr>
  </w:style>
  <w:style w:type="character" w:customStyle="1" w:styleId="ListLabel8">
    <w:name w:val="ListLabel 8"/>
    <w:rPr>
      <w:rFonts w:cs="Courier New"/>
    </w:rPr>
  </w:style>
  <w:style w:type="character" w:customStyle="1" w:styleId="ListLabel9">
    <w:name w:val="ListLabel 9"/>
    <w:rPr>
      <w:rFonts w:cs="Courier New"/>
    </w:rPr>
  </w:style>
  <w:style w:type="character" w:customStyle="1" w:styleId="ListLabel10">
    <w:name w:val="ListLabel 10"/>
    <w:rPr>
      <w:rFonts w:cs="Courier New"/>
    </w:rPr>
  </w:style>
  <w:style w:type="character" w:customStyle="1" w:styleId="ListLabel11">
    <w:name w:val="ListLabel 11"/>
    <w:rPr>
      <w:rFonts w:cs="Courier New"/>
    </w:rPr>
  </w:style>
  <w:style w:type="character" w:customStyle="1" w:styleId="ListLabel12">
    <w:name w:val="ListLabel 12"/>
    <w:rPr>
      <w:rFonts w:cs="Courier New"/>
    </w:rPr>
  </w:style>
  <w:style w:type="character" w:customStyle="1" w:styleId="ListLabel13">
    <w:name w:val="ListLabel 13"/>
    <w:rPr>
      <w:rFonts w:cs="Courier New"/>
    </w:rPr>
  </w:style>
  <w:style w:type="character" w:customStyle="1" w:styleId="ListLabel14">
    <w:name w:val="ListLabel 14"/>
    <w:rPr>
      <w:rFonts w:cs="Courier New"/>
    </w:rPr>
  </w:style>
  <w:style w:type="character" w:customStyle="1" w:styleId="ListLabel15">
    <w:name w:val="ListLabel 15"/>
    <w:rPr>
      <w:rFonts w:cs="Courier New"/>
    </w:rPr>
  </w:style>
  <w:style w:type="character" w:customStyle="1" w:styleId="ListLabel16">
    <w:name w:val="ListLabel 16"/>
    <w:rPr>
      <w:color w:val="auto"/>
      <w:sz w:val="24"/>
      <w:szCs w:val="24"/>
    </w:rPr>
  </w:style>
  <w:style w:type="character" w:customStyle="1" w:styleId="ListLabel17">
    <w:name w:val="ListLabel 17"/>
    <w:rPr>
      <w:rFonts w:cs="Courier New"/>
    </w:rPr>
  </w:style>
  <w:style w:type="character" w:customStyle="1" w:styleId="ListLabel18">
    <w:name w:val="ListLabel 18"/>
    <w:rPr>
      <w:rFonts w:cs="Courier New"/>
    </w:rPr>
  </w:style>
  <w:style w:type="character" w:customStyle="1" w:styleId="ListLabel19">
    <w:name w:val="ListLabel 19"/>
    <w:rPr>
      <w:rFonts w:cs="Courier New"/>
    </w:rPr>
  </w:style>
  <w:style w:type="character" w:customStyle="1" w:styleId="ListLabel20">
    <w:name w:val="ListLabel 20"/>
    <w:rPr>
      <w:sz w:val="20"/>
      <w:szCs w:val="20"/>
    </w:rPr>
  </w:style>
  <w:style w:type="character" w:customStyle="1" w:styleId="ListLabel21">
    <w:name w:val="ListLabel 21"/>
    <w:rPr>
      <w:sz w:val="20"/>
      <w:szCs w:val="20"/>
    </w:rPr>
  </w:style>
  <w:style w:type="character" w:customStyle="1" w:styleId="ListLabel22">
    <w:name w:val="ListLabel 22"/>
    <w:rPr>
      <w:sz w:val="20"/>
      <w:szCs w:val="20"/>
    </w:rPr>
  </w:style>
  <w:style w:type="character" w:customStyle="1" w:styleId="ListLabel23">
    <w:name w:val="ListLabel 23"/>
    <w:rPr>
      <w:sz w:val="24"/>
      <w:szCs w:val="20"/>
    </w:rPr>
  </w:style>
  <w:style w:type="character" w:customStyle="1" w:styleId="ListLabel24">
    <w:name w:val="ListLabel 24"/>
    <w:rPr>
      <w:rFonts w:cs="Courier New"/>
    </w:rPr>
  </w:style>
  <w:style w:type="character" w:customStyle="1" w:styleId="ListLabel25">
    <w:name w:val="ListLabel 25"/>
    <w:rPr>
      <w:rFonts w:cs="Courier New"/>
    </w:rPr>
  </w:style>
  <w:style w:type="character" w:customStyle="1" w:styleId="ListLabel26">
    <w:name w:val="ListLabel 26"/>
    <w:rPr>
      <w:rFonts w:cs="Courier New"/>
    </w:rPr>
  </w:style>
  <w:style w:type="character" w:customStyle="1" w:styleId="ListLabel27">
    <w:name w:val="ListLabel 27"/>
    <w:rPr>
      <w:spacing w:val="0"/>
      <w:sz w:val="16"/>
    </w:rPr>
  </w:style>
  <w:style w:type="character" w:customStyle="1" w:styleId="ListLabel28">
    <w:name w:val="ListLabel 28"/>
    <w:rPr>
      <w:rFonts w:cs="Courier New"/>
    </w:rPr>
  </w:style>
  <w:style w:type="character" w:customStyle="1" w:styleId="ListLabel29">
    <w:name w:val="ListLabel 29"/>
    <w:rPr>
      <w:rFonts w:cs="Courier New"/>
    </w:rPr>
  </w:style>
  <w:style w:type="character" w:customStyle="1" w:styleId="ListLabel30">
    <w:name w:val="ListLabel 30"/>
    <w:rPr>
      <w:rFonts w:cs="Courier New"/>
    </w:rPr>
  </w:style>
  <w:style w:type="paragraph" w:customStyle="1" w:styleId="Heading">
    <w:name w:val="Heading"/>
    <w:basedOn w:val="Normalny"/>
    <w:next w:val="Tekstpodstawowy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Tekstpodstawowy">
    <w:name w:val="Body Text"/>
    <w:basedOn w:val="Normalny"/>
    <w:rPr>
      <w:szCs w:val="20"/>
    </w:r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ny"/>
    <w:pPr>
      <w:suppressLineNumbers/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paragraph" w:customStyle="1" w:styleId="Znak">
    <w:name w:val="Znak"/>
    <w:basedOn w:val="Normalny"/>
  </w:style>
  <w:style w:type="paragraph" w:customStyle="1" w:styleId="Tekstkomentarza1">
    <w:name w:val="Tekst komentarza1"/>
    <w:basedOn w:val="Normalny"/>
    <w:rPr>
      <w:sz w:val="20"/>
      <w:szCs w:val="20"/>
    </w:rPr>
  </w:style>
  <w:style w:type="paragraph" w:customStyle="1" w:styleId="Tematkomentarza1">
    <w:name w:val="Temat komentarza1"/>
    <w:basedOn w:val="Tekstkomentarza1"/>
    <w:rPr>
      <w:b/>
      <w:bCs/>
    </w:rPr>
  </w:style>
  <w:style w:type="paragraph" w:customStyle="1" w:styleId="Tekstdymka1">
    <w:name w:val="Tekst dymka1"/>
    <w:basedOn w:val="Normalny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Tekstprzypisudolnego">
    <w:name w:val="footnote text"/>
    <w:basedOn w:val="Normalny"/>
    <w:rPr>
      <w:sz w:val="20"/>
      <w:szCs w:val="20"/>
    </w:rPr>
  </w:style>
  <w:style w:type="paragraph" w:customStyle="1" w:styleId="Mapadokumentu1">
    <w:name w:val="Mapa dokumentu1"/>
    <w:basedOn w:val="Normalny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kapitzlist1">
    <w:name w:val="Akapit z listą1"/>
    <w:basedOn w:val="Normalny"/>
    <w:pPr>
      <w:ind w:left="720"/>
      <w:contextualSpacing/>
    </w:pPr>
  </w:style>
  <w:style w:type="paragraph" w:customStyle="1" w:styleId="Bezodstpw1">
    <w:name w:val="Bez odstępów1"/>
    <w:pPr>
      <w:suppressAutoHyphens/>
    </w:pPr>
    <w:rPr>
      <w:sz w:val="24"/>
      <w:szCs w:val="24"/>
    </w:rPr>
  </w:style>
  <w:style w:type="paragraph" w:customStyle="1" w:styleId="Tekstpodstawowywcity31">
    <w:name w:val="Tekst podstawowy wcięty 31"/>
    <w:basedOn w:val="Normalny"/>
    <w:pPr>
      <w:spacing w:after="120"/>
      <w:ind w:left="283"/>
    </w:pPr>
    <w:rPr>
      <w:sz w:val="16"/>
      <w:szCs w:val="16"/>
    </w:rPr>
  </w:style>
  <w:style w:type="paragraph" w:styleId="NormalnyWeb">
    <w:name w:val="Normal (Web)"/>
    <w:basedOn w:val="Normalny"/>
    <w:unhideWhenUsed/>
    <w:rsid w:val="003E0FFF"/>
    <w:pPr>
      <w:suppressAutoHyphens w:val="0"/>
      <w:spacing w:before="100" w:beforeAutospacing="1" w:after="11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572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708</Words>
  <Characters>4254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Chaos23</Company>
  <LinksUpToDate>false</LinksUpToDate>
  <CharactersWithSpaces>4953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MINISTERSTWO ŚRODOWISKA</dc:creator>
  <cp:keywords/>
  <cp:lastModifiedBy>Marta Krulikowska</cp:lastModifiedBy>
  <cp:revision>23</cp:revision>
  <cp:lastPrinted>2018-04-11T03:55:00Z</cp:lastPrinted>
  <dcterms:created xsi:type="dcterms:W3CDTF">2021-07-04T10:01:00Z</dcterms:created>
  <dcterms:modified xsi:type="dcterms:W3CDTF">2025-08-01T13:06:00Z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MŚ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