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9F2CA9B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117785" w:rsidRPr="00117785">
        <w:rPr>
          <w:rFonts w:ascii="Lato" w:hAnsi="Lato"/>
          <w:b/>
          <w:bCs/>
          <w:i/>
          <w:iCs/>
          <w:sz w:val="20"/>
          <w:szCs w:val="20"/>
        </w:rPr>
        <w:t>technik przetwórstwa mleczarskiego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11778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przetwórstwa mleczarskiego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7A471310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7C7FE112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49E23F65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6EDA5F90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286CCF7C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4942B0BF" w14:textId="205DD39A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61D2FA02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 w:rsidR="0011778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1D9A3B5B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 w:rsidR="00117785">
        <w:rPr>
          <w:rFonts w:ascii="Lato" w:eastAsia="Times New Roman" w:hAnsi="Lato" w:cs="Arial"/>
          <w:sz w:val="20"/>
          <w:szCs w:val="20"/>
        </w:rPr>
        <w:t>Farmerskie wyrabianie serów i innych produktów z mleka – Serowar farmerski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</w:t>
      </w:r>
      <w:r w:rsidR="00117785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grupie zawodów związanych z 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7381A514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FA6EB39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19AC665" w14:textId="77777777" w:rsidR="00117785" w:rsidRPr="00502D90" w:rsidRDefault="00117785" w:rsidP="00117785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bookmarkStart w:id="1" w:name="_Hlk204872371"/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bookmarkEnd w:id="1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39B9DE9E" w14:textId="77777777" w:rsidR="00117785" w:rsidRPr="00502D90" w:rsidRDefault="00117785" w:rsidP="00117785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przetwórstwem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0B0550B" w14:textId="1970E8F4" w:rsidR="00117785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7BB4004" w14:textId="77777777" w:rsidR="00117785" w:rsidRPr="00502D90" w:rsidRDefault="00117785" w:rsidP="0011778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593BC0F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FA266C9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244E16F8" w14:textId="77777777" w:rsidR="00117785" w:rsidRPr="005978EB" w:rsidRDefault="00117785" w:rsidP="0011778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</w:p>
    <w:bookmarkEnd w:id="2"/>
    <w:p w14:paraId="62D3FBC9" w14:textId="77777777" w:rsidR="00117785" w:rsidRDefault="00117785" w:rsidP="0011778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C088ACD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BC5B06">
        <w:rPr>
          <w:rFonts w:ascii="Lato" w:eastAsia="Calibri" w:hAnsi="Lato" w:cs="Lato"/>
          <w:sz w:val="20"/>
          <w:szCs w:val="20"/>
        </w:rPr>
        <w:t>7 lipca</w:t>
      </w:r>
      <w:r w:rsidR="00CF7593">
        <w:rPr>
          <w:rFonts w:ascii="Lato" w:eastAsia="Calibri" w:hAnsi="Lato" w:cs="Lato"/>
          <w:sz w:val="20"/>
          <w:szCs w:val="20"/>
        </w:rPr>
        <w:t xml:space="preserve">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4FB31554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2FE95829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4F2AD962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3B623154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6612AB2E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6254F14A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0EB0" w14:textId="77777777" w:rsidR="00C866B9" w:rsidRDefault="00C866B9">
      <w:pPr>
        <w:spacing w:after="0" w:line="240" w:lineRule="auto"/>
      </w:pPr>
      <w:r>
        <w:separator/>
      </w:r>
    </w:p>
  </w:endnote>
  <w:endnote w:type="continuationSeparator" w:id="0">
    <w:p w14:paraId="04AF6AD0" w14:textId="77777777" w:rsidR="00C866B9" w:rsidRDefault="00C8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B680" w14:textId="77777777" w:rsidR="00C866B9" w:rsidRDefault="00C866B9">
      <w:pPr>
        <w:spacing w:after="0" w:line="240" w:lineRule="auto"/>
      </w:pPr>
      <w:r>
        <w:separator/>
      </w:r>
    </w:p>
  </w:footnote>
  <w:footnote w:type="continuationSeparator" w:id="0">
    <w:p w14:paraId="0F88BDDC" w14:textId="77777777" w:rsidR="00C866B9" w:rsidRDefault="00C866B9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3D7A997E" w14:textId="3D4A1B0A" w:rsidR="00117785" w:rsidRDefault="00117785" w:rsidP="0011778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76F5"/>
    <w:rsid w:val="0011778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12960"/>
    <w:rsid w:val="00322011"/>
    <w:rsid w:val="00326C21"/>
    <w:rsid w:val="003338B3"/>
    <w:rsid w:val="00340675"/>
    <w:rsid w:val="0034352B"/>
    <w:rsid w:val="0034697C"/>
    <w:rsid w:val="00362364"/>
    <w:rsid w:val="003B3B59"/>
    <w:rsid w:val="003E3753"/>
    <w:rsid w:val="003F490C"/>
    <w:rsid w:val="00406C3A"/>
    <w:rsid w:val="00407F90"/>
    <w:rsid w:val="0041209B"/>
    <w:rsid w:val="0042192F"/>
    <w:rsid w:val="00445A08"/>
    <w:rsid w:val="0049161E"/>
    <w:rsid w:val="00496724"/>
    <w:rsid w:val="004A2C6C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7F35B6"/>
    <w:rsid w:val="0082007A"/>
    <w:rsid w:val="00850C04"/>
    <w:rsid w:val="00876271"/>
    <w:rsid w:val="00892D84"/>
    <w:rsid w:val="00895227"/>
    <w:rsid w:val="008A21E5"/>
    <w:rsid w:val="008C7414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80C"/>
    <w:rsid w:val="00BB2C50"/>
    <w:rsid w:val="00BC5B06"/>
    <w:rsid w:val="00BC75EF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866B9"/>
    <w:rsid w:val="00CA0DFB"/>
    <w:rsid w:val="00CD79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366A0"/>
    <w:rsid w:val="00E43CCB"/>
    <w:rsid w:val="00E5015F"/>
    <w:rsid w:val="00E97567"/>
    <w:rsid w:val="00EB64DA"/>
    <w:rsid w:val="00EE327E"/>
    <w:rsid w:val="00F03CED"/>
    <w:rsid w:val="00F164AF"/>
    <w:rsid w:val="00F3267A"/>
    <w:rsid w:val="00F33D91"/>
    <w:rsid w:val="00F44ACA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2222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50</cp:revision>
  <cp:lastPrinted>2025-06-30T11:46:00Z</cp:lastPrinted>
  <dcterms:created xsi:type="dcterms:W3CDTF">2024-12-31T11:07:00Z</dcterms:created>
  <dcterms:modified xsi:type="dcterms:W3CDTF">2026-07-03T08:40:00Z</dcterms:modified>
</cp:coreProperties>
</file>