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24DC" w14:textId="72BE9759" w:rsidR="00DB0FFA" w:rsidRDefault="00DB0FFA" w:rsidP="00DB0FFA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>
        <w:rPr>
          <w:rFonts w:ascii="Lato" w:hAnsi="Lato" w:cstheme="majorHAnsi"/>
          <w:b/>
          <w:bCs/>
          <w:sz w:val="24"/>
          <w:szCs w:val="24"/>
        </w:rPr>
        <w:t>ZAŁĄCZNIK NR 2</w:t>
      </w:r>
    </w:p>
    <w:p w14:paraId="1A74063C" w14:textId="1B58009C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p w14:paraId="4CC51F9B" w14:textId="7D00F8C5" w:rsidR="00F40D01" w:rsidRPr="00F90D5C" w:rsidRDefault="001229F5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KLIMATYZATORY</w:t>
      </w:r>
    </w:p>
    <w:bookmarkEnd w:id="2"/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011D25">
        <w:tc>
          <w:tcPr>
            <w:tcW w:w="562" w:type="dxa"/>
          </w:tcPr>
          <w:p w14:paraId="0152B4AE" w14:textId="77777777" w:rsidR="0022778C" w:rsidRPr="00F90D5C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F90D5C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1229F5" w:rsidRPr="00F90D5C" w14:paraId="61750867" w14:textId="77777777" w:rsidTr="001229F5">
        <w:tc>
          <w:tcPr>
            <w:tcW w:w="562" w:type="dxa"/>
          </w:tcPr>
          <w:p w14:paraId="7ADE3177" w14:textId="00F3A1A3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DC7B3DC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  <w:p w14:paraId="4590E4F8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1C0FDB8F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391C9C37" w14:textId="6D438E9F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6C38B419" w14:textId="244AF1AE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56F3B0F9" w14:textId="77777777" w:rsidTr="001229F5">
        <w:tc>
          <w:tcPr>
            <w:tcW w:w="562" w:type="dxa"/>
          </w:tcPr>
          <w:p w14:paraId="61D03228" w14:textId="1D8C9C1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634CDD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handlowa modelu</w:t>
            </w:r>
          </w:p>
          <w:p w14:paraId="6D2EA6BA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0B21011A" w14:textId="07B71DA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7E82C03" w14:textId="60FFB81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5570798B" w14:textId="200B1D5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276622A7" w14:textId="77777777" w:rsidTr="001229F5">
        <w:tc>
          <w:tcPr>
            <w:tcW w:w="562" w:type="dxa"/>
          </w:tcPr>
          <w:p w14:paraId="412D64A3" w14:textId="77777777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7B8D782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4820" w:type="dxa"/>
          </w:tcPr>
          <w:p w14:paraId="4AB5441B" w14:textId="021EB339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2702899D" w14:textId="65713FDC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37AA5996" w14:textId="77777777" w:rsidTr="001229F5">
        <w:tc>
          <w:tcPr>
            <w:tcW w:w="562" w:type="dxa"/>
          </w:tcPr>
          <w:p w14:paraId="6B52AE89" w14:textId="364E03B1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2CB50B63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Karta katalogowa/folder PDF</w:t>
            </w:r>
          </w:p>
        </w:tc>
        <w:tc>
          <w:tcPr>
            <w:tcW w:w="4820" w:type="dxa"/>
          </w:tcPr>
          <w:p w14:paraId="0E7AA5D9" w14:textId="79411941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123934C6" w14:textId="44ABD00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47481F54" w14:textId="77777777" w:rsidTr="001229F5">
        <w:tc>
          <w:tcPr>
            <w:tcW w:w="562" w:type="dxa"/>
          </w:tcPr>
          <w:p w14:paraId="515769FA" w14:textId="69F065A4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4B9AFC9C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4820" w:type="dxa"/>
          </w:tcPr>
          <w:p w14:paraId="33313206" w14:textId="3DE8E3D8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Klimatyzator przenośny do pracy w trudnych warunkach (biura, obiekty polowe, magazynowe, pomieszczenia służb)</w:t>
            </w:r>
          </w:p>
        </w:tc>
        <w:tc>
          <w:tcPr>
            <w:tcW w:w="2504" w:type="dxa"/>
          </w:tcPr>
          <w:p w14:paraId="0158D09F" w14:textId="0E58BF71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62E794D7" w14:textId="77777777" w:rsidTr="001229F5">
        <w:tc>
          <w:tcPr>
            <w:tcW w:w="562" w:type="dxa"/>
          </w:tcPr>
          <w:p w14:paraId="5D8205EC" w14:textId="46783FE9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78DCC48B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chłodnicza</w:t>
            </w:r>
          </w:p>
        </w:tc>
        <w:tc>
          <w:tcPr>
            <w:tcW w:w="4820" w:type="dxa"/>
          </w:tcPr>
          <w:p w14:paraId="4824B1BD" w14:textId="194FDAFC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5,0 kW (≥ 17 000 BTU)</w:t>
            </w:r>
          </w:p>
        </w:tc>
        <w:tc>
          <w:tcPr>
            <w:tcW w:w="2504" w:type="dxa"/>
          </w:tcPr>
          <w:p w14:paraId="42C38C3B" w14:textId="7DB5012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3A7B4875" w14:textId="77777777" w:rsidTr="001229F5">
        <w:tc>
          <w:tcPr>
            <w:tcW w:w="562" w:type="dxa"/>
          </w:tcPr>
          <w:p w14:paraId="3ED64EDB" w14:textId="77777777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40E43EA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grzewcza (jeśli dostępna)</w:t>
            </w:r>
          </w:p>
        </w:tc>
        <w:tc>
          <w:tcPr>
            <w:tcW w:w="4820" w:type="dxa"/>
          </w:tcPr>
          <w:p w14:paraId="015EBE32" w14:textId="778550C0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4,0 kW</w:t>
            </w:r>
          </w:p>
        </w:tc>
        <w:tc>
          <w:tcPr>
            <w:tcW w:w="2504" w:type="dxa"/>
          </w:tcPr>
          <w:p w14:paraId="2AB3456E" w14:textId="23FB253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7FD9E435" w14:textId="77777777" w:rsidTr="001229F5">
        <w:tc>
          <w:tcPr>
            <w:tcW w:w="562" w:type="dxa"/>
          </w:tcPr>
          <w:p w14:paraId="76184EF0" w14:textId="018DF208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486CF3B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osuszania</w:t>
            </w:r>
          </w:p>
        </w:tc>
        <w:tc>
          <w:tcPr>
            <w:tcW w:w="4820" w:type="dxa"/>
          </w:tcPr>
          <w:p w14:paraId="1CA82D99" w14:textId="1CA60E0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50 l/24h</w:t>
            </w:r>
          </w:p>
        </w:tc>
        <w:tc>
          <w:tcPr>
            <w:tcW w:w="2504" w:type="dxa"/>
          </w:tcPr>
          <w:p w14:paraId="7AEA0BF6" w14:textId="74CF9135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06602EBA" w14:textId="77777777" w:rsidTr="001229F5">
        <w:tc>
          <w:tcPr>
            <w:tcW w:w="562" w:type="dxa"/>
          </w:tcPr>
          <w:p w14:paraId="2D0B522E" w14:textId="3D8AE00B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5712494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Przepływ powietrza roboczego</w:t>
            </w:r>
          </w:p>
        </w:tc>
        <w:tc>
          <w:tcPr>
            <w:tcW w:w="4820" w:type="dxa"/>
          </w:tcPr>
          <w:p w14:paraId="452EEF12" w14:textId="6F40CA6F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500 m³/h</w:t>
            </w:r>
          </w:p>
        </w:tc>
        <w:tc>
          <w:tcPr>
            <w:tcW w:w="2504" w:type="dxa"/>
          </w:tcPr>
          <w:p w14:paraId="349655A3" w14:textId="5A02A37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1193E782" w14:textId="77777777" w:rsidTr="001229F5">
        <w:tc>
          <w:tcPr>
            <w:tcW w:w="562" w:type="dxa"/>
          </w:tcPr>
          <w:p w14:paraId="0C3C8D28" w14:textId="13C1D640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26DC7C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Poziom hałasu</w:t>
            </w:r>
          </w:p>
          <w:p w14:paraId="09FFECCF" w14:textId="6930603F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2C7A4C" w14:textId="3F19EA6A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 xml:space="preserve">Maks. 65 </w:t>
            </w:r>
            <w:proofErr w:type="spellStart"/>
            <w:r w:rsidRPr="001229F5">
              <w:rPr>
                <w:rFonts w:ascii="Lato" w:hAnsi="Lato"/>
                <w:sz w:val="24"/>
                <w:szCs w:val="24"/>
              </w:rPr>
              <w:t>dB</w:t>
            </w:r>
            <w:proofErr w:type="spellEnd"/>
            <w:r w:rsidRPr="001229F5">
              <w:rPr>
                <w:rFonts w:ascii="Lato" w:hAnsi="Lato"/>
                <w:sz w:val="24"/>
                <w:szCs w:val="24"/>
              </w:rPr>
              <w:t>(A)</w:t>
            </w:r>
          </w:p>
        </w:tc>
        <w:tc>
          <w:tcPr>
            <w:tcW w:w="2504" w:type="dxa"/>
          </w:tcPr>
          <w:p w14:paraId="575C78D2" w14:textId="324657A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0EB6353D" w14:textId="77777777" w:rsidTr="001229F5">
        <w:tc>
          <w:tcPr>
            <w:tcW w:w="562" w:type="dxa"/>
          </w:tcPr>
          <w:p w14:paraId="743A0CEB" w14:textId="0E45026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16CEB0F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Zakres pracy otoczenia</w:t>
            </w:r>
          </w:p>
        </w:tc>
        <w:tc>
          <w:tcPr>
            <w:tcW w:w="4820" w:type="dxa"/>
          </w:tcPr>
          <w:p w14:paraId="3243771E" w14:textId="7BCF4B07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Od +16°C do co najmniej +45°C</w:t>
            </w:r>
          </w:p>
        </w:tc>
        <w:tc>
          <w:tcPr>
            <w:tcW w:w="2504" w:type="dxa"/>
          </w:tcPr>
          <w:p w14:paraId="613D7B76" w14:textId="4F9DCE27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5F4F4B89" w14:textId="77777777" w:rsidTr="001229F5">
        <w:tc>
          <w:tcPr>
            <w:tcW w:w="562" w:type="dxa"/>
          </w:tcPr>
          <w:p w14:paraId="5DD91460" w14:textId="087B241C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126896E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Czynnik chłodniczy</w:t>
            </w:r>
          </w:p>
        </w:tc>
        <w:tc>
          <w:tcPr>
            <w:tcW w:w="4820" w:type="dxa"/>
          </w:tcPr>
          <w:p w14:paraId="60ADA12F" w14:textId="3766B001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R290 lub równoważny, ekologiczny</w:t>
            </w:r>
          </w:p>
        </w:tc>
        <w:tc>
          <w:tcPr>
            <w:tcW w:w="2504" w:type="dxa"/>
          </w:tcPr>
          <w:p w14:paraId="1C0AA457" w14:textId="73FA8D40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E310380" w14:textId="77777777" w:rsidTr="001229F5">
        <w:tc>
          <w:tcPr>
            <w:tcW w:w="562" w:type="dxa"/>
          </w:tcPr>
          <w:p w14:paraId="0C3CDDA0" w14:textId="7724FA18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81E37E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Zasilanie</w:t>
            </w:r>
          </w:p>
          <w:p w14:paraId="160EF927" w14:textId="44F15262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78FF38" w14:textId="799D8C3E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230 V AC</w:t>
            </w:r>
          </w:p>
        </w:tc>
        <w:tc>
          <w:tcPr>
            <w:tcW w:w="2504" w:type="dxa"/>
          </w:tcPr>
          <w:p w14:paraId="57E3EE12" w14:textId="6E09BD5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78421A1D" w14:textId="77777777" w:rsidTr="001229F5">
        <w:tc>
          <w:tcPr>
            <w:tcW w:w="562" w:type="dxa"/>
          </w:tcPr>
          <w:p w14:paraId="2017CCEE" w14:textId="609B6633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A2DE603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Klasa ochrony</w:t>
            </w:r>
          </w:p>
          <w:p w14:paraId="4C1D906A" w14:textId="0397864E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53A1710" w14:textId="0412AAE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Min. IP24</w:t>
            </w:r>
          </w:p>
        </w:tc>
        <w:tc>
          <w:tcPr>
            <w:tcW w:w="2504" w:type="dxa"/>
          </w:tcPr>
          <w:p w14:paraId="40939183" w14:textId="06B1C4CB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03BE87B" w14:textId="77777777" w:rsidTr="001229F5">
        <w:tc>
          <w:tcPr>
            <w:tcW w:w="562" w:type="dxa"/>
          </w:tcPr>
          <w:p w14:paraId="678C1121" w14:textId="44AC998E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04A38D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Waga urządzenia</w:t>
            </w:r>
          </w:p>
          <w:p w14:paraId="037A0AD0" w14:textId="3A8676E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FD8FA5" w14:textId="5AB40917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lastRenderedPageBreak/>
              <w:t xml:space="preserve">Maks. </w:t>
            </w:r>
            <w:r w:rsidR="005E2CD1" w:rsidRPr="005E2CD1">
              <w:rPr>
                <w:rFonts w:ascii="Lato" w:hAnsi="Lato"/>
                <w:sz w:val="24"/>
                <w:szCs w:val="24"/>
              </w:rPr>
              <w:t>do 33 kg</w:t>
            </w:r>
          </w:p>
        </w:tc>
        <w:tc>
          <w:tcPr>
            <w:tcW w:w="2504" w:type="dxa"/>
          </w:tcPr>
          <w:p w14:paraId="497CB516" w14:textId="6CD761E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67CCC733" w14:textId="77777777" w:rsidTr="001229F5">
        <w:tc>
          <w:tcPr>
            <w:tcW w:w="562" w:type="dxa"/>
          </w:tcPr>
          <w:p w14:paraId="2DAA5B27" w14:textId="2C8BAD0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527960C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Funkcje dodatkowe</w:t>
            </w:r>
          </w:p>
        </w:tc>
        <w:tc>
          <w:tcPr>
            <w:tcW w:w="4820" w:type="dxa"/>
          </w:tcPr>
          <w:p w14:paraId="3C931722" w14:textId="282C89CA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Chłodzenie, grzanie, osuszanie, wentylacja; sterowanie elektroniczne; wyświetlacz LED; pilot; możliwość sterowania przez Wi-Fi</w:t>
            </w:r>
          </w:p>
        </w:tc>
        <w:tc>
          <w:tcPr>
            <w:tcW w:w="2504" w:type="dxa"/>
          </w:tcPr>
          <w:p w14:paraId="71EB37E9" w14:textId="1DD3EA0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2A8CCD8" w14:textId="77777777" w:rsidTr="001229F5">
        <w:tc>
          <w:tcPr>
            <w:tcW w:w="562" w:type="dxa"/>
          </w:tcPr>
          <w:p w14:paraId="2C179773" w14:textId="057AF570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3C99F1C4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Wyposażenie standardowe</w:t>
            </w:r>
          </w:p>
        </w:tc>
        <w:tc>
          <w:tcPr>
            <w:tcW w:w="4820" w:type="dxa"/>
          </w:tcPr>
          <w:p w14:paraId="1D33BA74" w14:textId="4FAECBB8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Rura wyrzutowa, zestaw montażowy, instrukcja PL</w:t>
            </w:r>
          </w:p>
        </w:tc>
        <w:tc>
          <w:tcPr>
            <w:tcW w:w="2504" w:type="dxa"/>
          </w:tcPr>
          <w:p w14:paraId="6484B88C" w14:textId="65C60C5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63CF6E75" w14:textId="77777777" w:rsidTr="001229F5">
        <w:tc>
          <w:tcPr>
            <w:tcW w:w="562" w:type="dxa"/>
          </w:tcPr>
          <w:p w14:paraId="4CDC8288" w14:textId="59268D1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887B64" w14:textId="4718A101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4820" w:type="dxa"/>
          </w:tcPr>
          <w:p w14:paraId="35A8074C" w14:textId="77777777" w:rsidR="005E2CD1" w:rsidRPr="005E2CD1" w:rsidRDefault="005E2CD1" w:rsidP="005E2CD1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2CD1">
              <w:rPr>
                <w:rFonts w:ascii="Lato" w:hAnsi="Lato"/>
                <w:sz w:val="24"/>
                <w:szCs w:val="24"/>
              </w:rPr>
              <w:t>Urządzenie musi posiadać:</w:t>
            </w:r>
          </w:p>
          <w:p w14:paraId="0A2CBF29" w14:textId="77777777" w:rsidR="005E2CD1" w:rsidRPr="005E2CD1" w:rsidRDefault="005E2CD1" w:rsidP="005E2CD1">
            <w:pPr>
              <w:numPr>
                <w:ilvl w:val="0"/>
                <w:numId w:val="24"/>
              </w:num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2CD1">
              <w:rPr>
                <w:rFonts w:ascii="Lato" w:hAnsi="Lato"/>
                <w:sz w:val="24"/>
                <w:szCs w:val="24"/>
              </w:rPr>
              <w:t>deklarację zgodności CE,</w:t>
            </w:r>
          </w:p>
          <w:p w14:paraId="71AE457C" w14:textId="77777777" w:rsidR="005E2CD1" w:rsidRPr="005E2CD1" w:rsidRDefault="005E2CD1" w:rsidP="005E2CD1">
            <w:pPr>
              <w:numPr>
                <w:ilvl w:val="0"/>
                <w:numId w:val="24"/>
              </w:num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2CD1">
              <w:rPr>
                <w:rFonts w:ascii="Lato" w:hAnsi="Lato"/>
                <w:sz w:val="24"/>
                <w:szCs w:val="24"/>
              </w:rPr>
              <w:t>instrukcję obsługi w języku polskim,</w:t>
            </w:r>
          </w:p>
          <w:p w14:paraId="08F278F5" w14:textId="169B9B4D" w:rsidR="001229F5" w:rsidRPr="005E2CD1" w:rsidRDefault="005E2CD1" w:rsidP="001229F5">
            <w:pPr>
              <w:numPr>
                <w:ilvl w:val="0"/>
                <w:numId w:val="24"/>
              </w:num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2CD1">
              <w:rPr>
                <w:rFonts w:ascii="Lato" w:hAnsi="Lato"/>
                <w:sz w:val="24"/>
                <w:szCs w:val="24"/>
              </w:rPr>
              <w:t>certyfikat ISO 9001:2015 lub równoważny dokument potwierdzający jakość lub bezpieczeństwo produktu (np. Atest PZH lub inny certyfikat wydany przez uprawnioną jednostkę).</w:t>
            </w:r>
          </w:p>
        </w:tc>
        <w:tc>
          <w:tcPr>
            <w:tcW w:w="2504" w:type="dxa"/>
          </w:tcPr>
          <w:p w14:paraId="5917095F" w14:textId="79D48B32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1A724478" w14:textId="77777777" w:rsidTr="001229F5">
        <w:trPr>
          <w:trHeight w:val="390"/>
        </w:trPr>
        <w:tc>
          <w:tcPr>
            <w:tcW w:w="562" w:type="dxa"/>
          </w:tcPr>
          <w:p w14:paraId="27CD5C64" w14:textId="4DC34879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5E32A9" w14:textId="7D6E40A5" w:rsidR="001229F5" w:rsidRPr="00F90D5C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4BA7DA73" w14:textId="77777777" w:rsidR="001229F5" w:rsidRDefault="001229F5" w:rsidP="004E6444">
            <w:pPr>
              <w:spacing w:line="20" w:lineRule="atLeast"/>
              <w:rPr>
                <w:rFonts w:ascii="Lato" w:hAnsi="Lato"/>
                <w:i/>
                <w:iCs/>
                <w:strike/>
                <w:sz w:val="24"/>
                <w:szCs w:val="24"/>
              </w:rPr>
            </w:pPr>
            <w:r w:rsidRPr="004E6444">
              <w:rPr>
                <w:rFonts w:ascii="Lato" w:hAnsi="Lato"/>
                <w:sz w:val="24"/>
                <w:szCs w:val="24"/>
              </w:rPr>
              <w:t>Minimum 24 miesiące</w:t>
            </w:r>
            <w:r w:rsidRPr="0002620D">
              <w:rPr>
                <w:rFonts w:ascii="Lato" w:hAnsi="Lato"/>
                <w:i/>
                <w:iCs/>
                <w:strike/>
                <w:sz w:val="24"/>
                <w:szCs w:val="24"/>
              </w:rPr>
              <w:t xml:space="preserve"> </w:t>
            </w:r>
          </w:p>
          <w:p w14:paraId="14CA3811" w14:textId="4EE9E5FA" w:rsidR="00CC7B3A" w:rsidRPr="00CC7B3A" w:rsidRDefault="00CC7B3A" w:rsidP="004E6444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CD5A045" w14:textId="69ECE75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6C58A8E4" w14:textId="77777777" w:rsidTr="001229F5">
        <w:tc>
          <w:tcPr>
            <w:tcW w:w="562" w:type="dxa"/>
            <w:tcBorders>
              <w:bottom w:val="single" w:sz="4" w:space="0" w:color="auto"/>
            </w:tcBorders>
          </w:tcPr>
          <w:p w14:paraId="77678C68" w14:textId="57C01EC6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A825B94" w14:textId="31A9356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Serwis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0028E3" w14:textId="01744E37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Autoryzowany serwis w Polsce; dostępność części zamiennych ≤ 7 dni roboczych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5F2D6A6C" w14:textId="4073B6EB" w:rsidR="001229F5" w:rsidRPr="001229F5" w:rsidRDefault="001229F5" w:rsidP="001229F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12526FD8" w14:textId="77777777" w:rsidR="0002620D" w:rsidRPr="00EE7742" w:rsidRDefault="0002620D" w:rsidP="0002620D">
      <w:pPr>
        <w:spacing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7F99798C" w14:textId="77777777" w:rsidR="0002620D" w:rsidRPr="00FB1792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3DD8E606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44FD38E4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Odbiór przedmiotu zamówienia</w:t>
      </w:r>
      <w:r w:rsidRPr="00FB1792">
        <w:rPr>
          <w:rFonts w:ascii="Lato" w:hAnsi="Lato"/>
        </w:rPr>
        <w:t xml:space="preserve"> nastąpi na podstawie protokołu ilościowo–jakościowego, podpisanego przez upoważnionych przedstawicieli Zamawiającego i Wykonawcy.</w:t>
      </w:r>
    </w:p>
    <w:p w14:paraId="417C4BF5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W ramach odbioru Zamawiający dokona sprawdzenia:</w:t>
      </w:r>
    </w:p>
    <w:p w14:paraId="587ADAA2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kompletności,</w:t>
      </w:r>
    </w:p>
    <w:p w14:paraId="7C225084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zgodności parametrów technicznych,</w:t>
      </w:r>
    </w:p>
    <w:p w14:paraId="4B77C5B9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stanu technicznego,</w:t>
      </w:r>
    </w:p>
    <w:p w14:paraId="4CE92817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dokumentacji i oznakowania.</w:t>
      </w:r>
    </w:p>
    <w:p w14:paraId="0432947D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B1792">
        <w:rPr>
          <w:rFonts w:ascii="Lato" w:hAnsi="Lato"/>
        </w:rPr>
        <w:t>W przypadku urządzeń technicznych Zamawiający może dodatkowo przeprowadzić testy funkcjonalne lub zażądać krótkiego instruktażu/szkolenia.</w:t>
      </w:r>
    </w:p>
    <w:p w14:paraId="373407FE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t>W przypadku stwierdzenia braków lub niezgodności, Zamawiający ma prawo odmówić podpisania protokołu do czasu ich usunięcia.</w:t>
      </w:r>
    </w:p>
    <w:p w14:paraId="6E804385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t>Termin dostawy: do 30 dni od podpisania umowy, odbiór końcowy: do 3 dni roboczych od dostawy.</w:t>
      </w:r>
    </w:p>
    <w:p w14:paraId="72E13AC8" w14:textId="1E0CDCD3" w:rsidR="0002620D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lastRenderedPageBreak/>
        <w:t>Wykonawca zapewni instruktaż dla wyznaczonych użytkowników w zakresie zasad bezpiecznego użytkowania, regulacji oraz konserwacji klimatyzatorów.</w:t>
      </w:r>
    </w:p>
    <w:bookmarkEnd w:id="1"/>
    <w:p w14:paraId="5C1151E2" w14:textId="77777777" w:rsidR="0002620D" w:rsidRPr="004E6444" w:rsidRDefault="0002620D" w:rsidP="004E6444">
      <w:pPr>
        <w:spacing w:before="120" w:after="0" w:line="264" w:lineRule="auto"/>
        <w:ind w:left="284"/>
        <w:jc w:val="both"/>
        <w:rPr>
          <w:rFonts w:ascii="Lato" w:hAnsi="Lato"/>
        </w:rPr>
      </w:pPr>
    </w:p>
    <w:sectPr w:rsidR="0002620D" w:rsidRPr="004E6444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70A" w14:textId="77777777" w:rsidR="003A4202" w:rsidRPr="00DB19A9" w:rsidRDefault="003A4202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5F922F33" w14:textId="77777777" w:rsidR="003A4202" w:rsidRPr="00DB19A9" w:rsidRDefault="003A4202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054D" w14:textId="77777777" w:rsidR="003A4202" w:rsidRPr="00DB19A9" w:rsidRDefault="003A4202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1DB977A6" w14:textId="77777777" w:rsidR="003A4202" w:rsidRPr="00DB19A9" w:rsidRDefault="003A4202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1"/>
  </w:num>
  <w:num w:numId="8" w16cid:durableId="170605608">
    <w:abstractNumId w:val="6"/>
  </w:num>
  <w:num w:numId="9" w16cid:durableId="1449425243">
    <w:abstractNumId w:val="13"/>
  </w:num>
  <w:num w:numId="10" w16cid:durableId="63872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0"/>
  </w:num>
  <w:num w:numId="12" w16cid:durableId="257640275">
    <w:abstractNumId w:val="7"/>
  </w:num>
  <w:num w:numId="13" w16cid:durableId="1518348429">
    <w:abstractNumId w:val="17"/>
  </w:num>
  <w:num w:numId="14" w16cid:durableId="162821502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2"/>
  </w:num>
  <w:num w:numId="16" w16cid:durableId="1214585848">
    <w:abstractNumId w:val="15"/>
  </w:num>
  <w:num w:numId="17" w16cid:durableId="1807041582">
    <w:abstractNumId w:val="11"/>
  </w:num>
  <w:num w:numId="18" w16cid:durableId="1634434779">
    <w:abstractNumId w:val="20"/>
  </w:num>
  <w:num w:numId="19" w16cid:durableId="664404407">
    <w:abstractNumId w:val="12"/>
  </w:num>
  <w:num w:numId="20" w16cid:durableId="526211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18"/>
  </w:num>
  <w:num w:numId="24" w16cid:durableId="19279623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C460F"/>
    <w:rsid w:val="000E0050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789C"/>
    <w:rsid w:val="00196237"/>
    <w:rsid w:val="001A0245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A3BA8"/>
    <w:rsid w:val="003A4202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E2CD1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A5D"/>
    <w:rsid w:val="006F3D10"/>
    <w:rsid w:val="006F62FB"/>
    <w:rsid w:val="00701529"/>
    <w:rsid w:val="0071590E"/>
    <w:rsid w:val="00720F83"/>
    <w:rsid w:val="00740176"/>
    <w:rsid w:val="00742B4B"/>
    <w:rsid w:val="00786D49"/>
    <w:rsid w:val="00793B3E"/>
    <w:rsid w:val="007D41E8"/>
    <w:rsid w:val="007D5FAF"/>
    <w:rsid w:val="008210B9"/>
    <w:rsid w:val="008349C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5331F"/>
    <w:rsid w:val="00975CDC"/>
    <w:rsid w:val="0098399F"/>
    <w:rsid w:val="009A70CF"/>
    <w:rsid w:val="009B45DB"/>
    <w:rsid w:val="00A03809"/>
    <w:rsid w:val="00A04D63"/>
    <w:rsid w:val="00A42064"/>
    <w:rsid w:val="00A57057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F6A79"/>
    <w:rsid w:val="00CF6D55"/>
    <w:rsid w:val="00D025E3"/>
    <w:rsid w:val="00D16C03"/>
    <w:rsid w:val="00D2248A"/>
    <w:rsid w:val="00D27310"/>
    <w:rsid w:val="00D30295"/>
    <w:rsid w:val="00D36EC1"/>
    <w:rsid w:val="00D52612"/>
    <w:rsid w:val="00D87FFB"/>
    <w:rsid w:val="00D96D1A"/>
    <w:rsid w:val="00DB0ED9"/>
    <w:rsid w:val="00DB0FFA"/>
    <w:rsid w:val="00DB19A9"/>
    <w:rsid w:val="00DB5A41"/>
    <w:rsid w:val="00DC6EE4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2025-08-01T12:44:00Z</cp:lastPrinted>
  <dcterms:created xsi:type="dcterms:W3CDTF">2025-10-13T11:23:00Z</dcterms:created>
  <dcterms:modified xsi:type="dcterms:W3CDTF">2025-10-13T11:23:00Z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