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lastRenderedPageBreak/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lastRenderedPageBreak/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17B3346A" w14:textId="1BD9352D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B83DCE">
        <w:rPr>
          <w:b/>
        </w:rPr>
        <w:t>2 676</w:t>
      </w:r>
      <w:r>
        <w:rPr>
          <w:b/>
        </w:rPr>
        <w:t>,</w:t>
      </w:r>
      <w:r w:rsidR="00B83DCE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B83DCE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lastRenderedPageBreak/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</w:t>
      </w:r>
      <w:r w:rsidRPr="008E18FB">
        <w:rPr>
          <w:rFonts w:asciiTheme="minorHAnsi" w:hAnsiTheme="minorHAnsi" w:cstheme="minorHAnsi"/>
          <w:sz w:val="21"/>
          <w:szCs w:val="21"/>
        </w:rPr>
        <w:t>2007 r. o Karcie Polaka,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5D86097A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B83DC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7E1C7B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272771">
        <w:t>2 676,50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272771">
        <w:t>2 180,95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1D430F44" w:rsidR="00D039DE" w:rsidRPr="00DC58D1" w:rsidRDefault="00DC58D1" w:rsidP="00DC58D1">
    <w:pPr>
      <w:pStyle w:val="Nagwek"/>
      <w:ind w:right="37"/>
      <w:jc w:val="center"/>
      <w:rPr>
        <w:sz w:val="28"/>
        <w:szCs w:val="28"/>
      </w:rPr>
    </w:pPr>
    <w:r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  <w:r w:rsidR="00515424" w:rsidRPr="00DC58D1">
      <w:rPr>
        <w:noProof/>
        <w:sz w:val="28"/>
        <w:szCs w:val="28"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C58D1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1634</Words>
  <Characters>11238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43</cp:revision>
  <cp:lastPrinted>2019-02-15T08:29:00Z</cp:lastPrinted>
  <dcterms:created xsi:type="dcterms:W3CDTF">2023-07-31T11:14:00Z</dcterms:created>
  <dcterms:modified xsi:type="dcterms:W3CDTF">2026-01-22T09:50:00Z</dcterms:modified>
</cp:coreProperties>
</file>