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75E72" w14:textId="77777777" w:rsidR="00592354" w:rsidRPr="008604C9" w:rsidRDefault="00592354" w:rsidP="00592354">
      <w:pPr>
        <w:spacing w:before="480" w:after="480" w:line="360" w:lineRule="auto"/>
        <w:rPr>
          <w:rFonts w:ascii="Calibri" w:hAnsi="Calibri" w:cs="Calibri"/>
          <w:b/>
          <w:bCs/>
          <w:i/>
          <w:iCs/>
        </w:rPr>
      </w:pPr>
      <w:r w:rsidRPr="008604C9">
        <w:rPr>
          <w:rFonts w:ascii="Calibri" w:hAnsi="Calibri" w:cs="Calibri"/>
        </w:rPr>
        <w:object w:dxaOrig="641" w:dyaOrig="721" w14:anchorId="77A540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Szary orzeł w koronie z głową zwróconą w lewą stronę." style="width:39.75pt;height:39.75pt" o:ole="" fillcolor="window">
            <v:imagedata r:id="rId7" o:title=""/>
          </v:shape>
          <o:OLEObject Type="Embed" ProgID="Word.Picture.8" ShapeID="_x0000_i1026" DrawAspect="Content" ObjectID="_1707884973" r:id="rId8"/>
        </w:object>
      </w:r>
    </w:p>
    <w:p w14:paraId="2AAEF962" w14:textId="77777777" w:rsidR="00592354" w:rsidRPr="008604C9" w:rsidRDefault="00592354" w:rsidP="00592354">
      <w:pPr>
        <w:spacing w:before="480" w:after="480" w:line="360" w:lineRule="auto"/>
        <w:rPr>
          <w:rFonts w:ascii="Calibri" w:hAnsi="Calibri" w:cs="Calibri"/>
          <w:b/>
          <w:bCs/>
        </w:rPr>
      </w:pPr>
      <w:r w:rsidRPr="008604C9">
        <w:rPr>
          <w:rFonts w:ascii="Calibri" w:hAnsi="Calibri" w:cs="Calibri"/>
          <w:b/>
          <w:bCs/>
          <w:sz w:val="32"/>
          <w:szCs w:val="32"/>
        </w:rPr>
        <w:t>Regionalny Dyrektor Ochrony Środowiska w Gorzowie Wielkopolskim</w:t>
      </w:r>
    </w:p>
    <w:p w14:paraId="7F614C74" w14:textId="77777777" w:rsidR="00592354" w:rsidRDefault="00592354" w:rsidP="00592354">
      <w:pPr>
        <w:spacing w:before="480" w:after="480" w:line="360" w:lineRule="auto"/>
        <w:rPr>
          <w:rFonts w:cstheme="minorHAnsi"/>
          <w:sz w:val="24"/>
          <w:szCs w:val="24"/>
        </w:rPr>
      </w:pPr>
      <w:r w:rsidRPr="00B01B14">
        <w:rPr>
          <w:rFonts w:cstheme="minorHAnsi"/>
          <w:sz w:val="24"/>
          <w:szCs w:val="24"/>
        </w:rPr>
        <w:t xml:space="preserve">Gorzów Wlkp., 2 </w:t>
      </w:r>
      <w:r>
        <w:rPr>
          <w:rFonts w:cstheme="minorHAnsi"/>
          <w:sz w:val="24"/>
          <w:szCs w:val="24"/>
        </w:rPr>
        <w:t>marca</w:t>
      </w:r>
      <w:r w:rsidRPr="00B01B14">
        <w:rPr>
          <w:rFonts w:cstheme="minorHAnsi"/>
          <w:sz w:val="24"/>
          <w:szCs w:val="24"/>
        </w:rPr>
        <w:t xml:space="preserve"> 2022 r. </w:t>
      </w:r>
    </w:p>
    <w:p w14:paraId="11F27BEF" w14:textId="73437EB8" w:rsidR="001D480A" w:rsidRPr="00592354" w:rsidRDefault="001D480A" w:rsidP="00592354">
      <w:pPr>
        <w:spacing w:before="480" w:after="480" w:line="360" w:lineRule="auto"/>
        <w:rPr>
          <w:rFonts w:cstheme="minorHAnsi"/>
          <w:sz w:val="24"/>
          <w:szCs w:val="24"/>
        </w:rPr>
      </w:pPr>
      <w:r w:rsidRPr="001D480A">
        <w:rPr>
          <w:rFonts w:ascii="Arial" w:eastAsia="Times New Roman" w:hAnsi="Arial" w:cs="Arial"/>
          <w:sz w:val="20"/>
          <w:szCs w:val="20"/>
          <w:lang w:eastAsia="pl-PL"/>
        </w:rPr>
        <w:t>WZŚ.420.35.2021.AJ</w:t>
      </w:r>
    </w:p>
    <w:p w14:paraId="1E892EBB" w14:textId="05C2B59D" w:rsidR="001D480A" w:rsidRPr="00592354" w:rsidRDefault="00592354" w:rsidP="00592354">
      <w:pPr>
        <w:pStyle w:val="Nagwek1"/>
        <w:spacing w:before="480" w:after="480" w:line="360" w:lineRule="auto"/>
        <w:rPr>
          <w:rFonts w:asciiTheme="minorHAnsi" w:eastAsia="Times New Roman" w:hAnsiTheme="minorHAnsi" w:cstheme="minorHAnsi"/>
          <w:b/>
          <w:bCs/>
          <w:color w:val="auto"/>
          <w:lang w:eastAsia="pl-PL"/>
        </w:rPr>
      </w:pPr>
      <w:r w:rsidRPr="00592354">
        <w:rPr>
          <w:rFonts w:asciiTheme="minorHAnsi" w:eastAsia="Times New Roman" w:hAnsiTheme="minorHAnsi" w:cstheme="minorHAnsi"/>
          <w:b/>
          <w:bCs/>
          <w:color w:val="auto"/>
          <w:lang w:eastAsia="pl-PL"/>
        </w:rPr>
        <w:t>Decyzja o środowiskowych uwarunkowaniach</w:t>
      </w:r>
    </w:p>
    <w:p w14:paraId="0FD28A89" w14:textId="77777777" w:rsidR="001D480A" w:rsidRPr="001D480A" w:rsidRDefault="001D480A" w:rsidP="00592354">
      <w:pPr>
        <w:spacing w:before="480" w:after="480" w:line="360" w:lineRule="auto"/>
        <w:rPr>
          <w:rFonts w:ascii="Arial" w:hAnsi="Arial" w:cs="Arial"/>
        </w:rPr>
      </w:pPr>
      <w:r w:rsidRPr="001D480A">
        <w:rPr>
          <w:rFonts w:ascii="Arial" w:eastAsia="Times New Roman" w:hAnsi="Arial" w:cs="Arial"/>
          <w:lang w:eastAsia="pl-PL"/>
        </w:rPr>
        <w:t xml:space="preserve">Regionalny Dyrektor Ochrony Środowiska w Gorzowie Wielkopolskim, działając na podstawie art. 104 i 107 ustawy z dnia 14 czerwca 1960 r. Kodeks postępowania administracyjnego (t. j. Dz. U. z 2021 r. poz. 735, z późn. zm.), art. </w:t>
      </w:r>
      <w:r w:rsidRPr="001D480A">
        <w:rPr>
          <w:rFonts w:ascii="Arial" w:hAnsi="Arial" w:cs="Arial"/>
        </w:rPr>
        <w:t xml:space="preserve">71 ust. 2 pkt 2, art. 75 ust. 1 pkt 1 lit. f, art. 84 ust. 1 i ust. 2, art. 85 ust. 1 i ust. 2 pkt 2 </w:t>
      </w:r>
      <w:r w:rsidRPr="001D480A">
        <w:rPr>
          <w:rFonts w:ascii="Arial" w:eastAsia="Times New Roman" w:hAnsi="Arial" w:cs="Arial"/>
          <w:lang w:eastAsia="pl-PL"/>
        </w:rPr>
        <w:t xml:space="preserve">ustawy z dnia 3 października 2008 r. o udostępnianiu informacji o środowisku i jego ochronie, udziale społeczeństwa w ochronie środowiska oraz o ocenach oddziaływania na środowisko (t. j. Dz. U. z 2021 r. poz. 2373, z późn. zm.) oraz </w:t>
      </w:r>
      <w:r w:rsidRPr="001D480A">
        <w:rPr>
          <w:rFonts w:ascii="Arial" w:eastAsia="Calibri" w:hAnsi="Arial" w:cs="Arial"/>
        </w:rPr>
        <w:t xml:space="preserve">art. 19 ust. 1 ustawy </w:t>
      </w:r>
      <w:r w:rsidRPr="001D480A">
        <w:rPr>
          <w:rFonts w:ascii="Arial" w:hAnsi="Arial" w:cs="Arial"/>
        </w:rPr>
        <w:t>z dnia 24 kwietnia 2009 r.</w:t>
      </w:r>
      <w:r w:rsidRPr="001D480A">
        <w:rPr>
          <w:rFonts w:ascii="Arial" w:eastAsia="Calibri" w:hAnsi="Arial" w:cs="Arial"/>
        </w:rPr>
        <w:t xml:space="preserve"> </w:t>
      </w:r>
      <w:r w:rsidRPr="001D480A">
        <w:rPr>
          <w:rFonts w:ascii="Arial" w:hAnsi="Arial" w:cs="Arial"/>
        </w:rPr>
        <w:t xml:space="preserve">o inwestycjach w zakresie </w:t>
      </w:r>
      <w:r w:rsidRPr="001D480A">
        <w:rPr>
          <w:rFonts w:ascii="Arial" w:hAnsi="Arial" w:cs="Arial"/>
          <w:iCs/>
        </w:rPr>
        <w:t>terminalu</w:t>
      </w:r>
      <w:r w:rsidRPr="001D480A">
        <w:rPr>
          <w:rFonts w:ascii="Arial" w:hAnsi="Arial" w:cs="Arial"/>
        </w:rPr>
        <w:t xml:space="preserve"> regazyfikacyjnego skroplonego gazu ziemnego w Świnoujściu (t. j. Dz. U. z 2021 r. poz. 1836, z późn. zm.) </w:t>
      </w:r>
      <w:r w:rsidRPr="001D480A">
        <w:rPr>
          <w:rFonts w:ascii="Arial" w:eastAsia="Times New Roman" w:hAnsi="Arial" w:cs="Arial"/>
          <w:lang w:eastAsia="pl-PL"/>
        </w:rPr>
        <w:t xml:space="preserve">po rozpatrzeniu wniosku </w:t>
      </w:r>
      <w:r w:rsidRPr="001D480A">
        <w:rPr>
          <w:rFonts w:ascii="Arial" w:hAnsi="Arial" w:cs="Arial"/>
          <w:highlight w:val="black"/>
        </w:rPr>
        <w:t>Martyny Frąszczak</w:t>
      </w:r>
      <w:r w:rsidRPr="001D480A">
        <w:rPr>
          <w:rFonts w:ascii="Arial" w:eastAsia="Times New Roman" w:hAnsi="Arial" w:cs="Arial"/>
          <w:lang w:eastAsia="pl-PL"/>
        </w:rPr>
        <w:t xml:space="preserve">, pełnomocnika działającego w imieniu </w:t>
      </w:r>
      <w:r w:rsidRPr="001D480A">
        <w:rPr>
          <w:rFonts w:ascii="Arial" w:eastAsia="Calibri" w:hAnsi="Arial" w:cs="Arial"/>
        </w:rPr>
        <w:t>Operatora Gazociągów Przesyłowych Gaz-System S.A. z siedzibą w Warszawie</w:t>
      </w:r>
      <w:r w:rsidRPr="001D480A">
        <w:rPr>
          <w:rFonts w:ascii="Arial" w:eastAsia="Times New Roman" w:hAnsi="Arial" w:cs="Arial"/>
          <w:lang w:eastAsia="pl-PL"/>
        </w:rPr>
        <w:t xml:space="preserve">, </w:t>
      </w:r>
    </w:p>
    <w:p w14:paraId="1B197201" w14:textId="77777777" w:rsidR="001D480A" w:rsidRPr="001D480A" w:rsidRDefault="001D480A" w:rsidP="00592354">
      <w:pPr>
        <w:autoSpaceDE w:val="0"/>
        <w:autoSpaceDN w:val="0"/>
        <w:adjustRightInd w:val="0"/>
        <w:spacing w:before="480" w:after="480" w:line="360" w:lineRule="auto"/>
        <w:rPr>
          <w:rFonts w:ascii="Arial" w:hAnsi="Arial" w:cs="Arial"/>
          <w:b/>
        </w:rPr>
      </w:pPr>
      <w:r w:rsidRPr="001D480A">
        <w:rPr>
          <w:rFonts w:ascii="Arial" w:hAnsi="Arial" w:cs="Arial"/>
          <w:b/>
        </w:rPr>
        <w:t xml:space="preserve">stwierdza brak konieczności przeprowadzenia oceny oddziaływania na środowisko </w:t>
      </w:r>
      <w:r w:rsidRPr="001D480A">
        <w:rPr>
          <w:rFonts w:ascii="Arial" w:eastAsia="Times New Roman" w:hAnsi="Arial" w:cs="Arial"/>
          <w:b/>
          <w:lang w:eastAsia="pl-PL"/>
        </w:rPr>
        <w:t>dla przedsięwzięcia pn.: „Wymiana odcinka gazociągu DN100 między ZP Otyń a torami kolejowymi”</w:t>
      </w:r>
      <w:r w:rsidRPr="001D480A">
        <w:rPr>
          <w:rFonts w:ascii="Arial" w:hAnsi="Arial" w:cs="Arial"/>
          <w:b/>
        </w:rPr>
        <w:t>.</w:t>
      </w:r>
    </w:p>
    <w:p w14:paraId="3A3747BC" w14:textId="539FBC75" w:rsidR="001D480A" w:rsidRPr="00592354" w:rsidRDefault="00592354" w:rsidP="00592354">
      <w:pPr>
        <w:pStyle w:val="Nagwek1"/>
        <w:spacing w:before="480" w:after="480" w:line="360" w:lineRule="auto"/>
        <w:rPr>
          <w:rFonts w:asciiTheme="minorHAnsi" w:eastAsia="Times New Roman" w:hAnsiTheme="minorHAnsi" w:cstheme="minorHAnsi"/>
          <w:b/>
          <w:bCs/>
          <w:color w:val="auto"/>
          <w:lang w:eastAsia="pl-PL"/>
        </w:rPr>
      </w:pPr>
      <w:r w:rsidRPr="00592354">
        <w:rPr>
          <w:rFonts w:asciiTheme="minorHAnsi" w:eastAsia="Times New Roman" w:hAnsiTheme="minorHAnsi" w:cstheme="minorHAnsi"/>
          <w:b/>
          <w:bCs/>
          <w:color w:val="auto"/>
          <w:lang w:eastAsia="pl-PL"/>
        </w:rPr>
        <w:lastRenderedPageBreak/>
        <w:t>Uzasadnienie</w:t>
      </w:r>
    </w:p>
    <w:p w14:paraId="75C7DA0D"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24 listopada 2021 r. do Regionalnego Dyrektora Ochrony Środowiska w Gorzowie Wielkopolskim wpłynął wniosek </w:t>
      </w:r>
      <w:r w:rsidRPr="001D480A">
        <w:rPr>
          <w:rFonts w:ascii="Arial" w:hAnsi="Arial" w:cs="Arial"/>
          <w:highlight w:val="black"/>
        </w:rPr>
        <w:t>Martyny Frąszczak</w:t>
      </w:r>
      <w:r w:rsidRPr="001D480A">
        <w:rPr>
          <w:rFonts w:ascii="Arial" w:eastAsia="Times New Roman" w:hAnsi="Arial" w:cs="Arial"/>
          <w:lang w:eastAsia="pl-PL"/>
        </w:rPr>
        <w:t xml:space="preserve">, pełnomocnika działającego w imieniu </w:t>
      </w:r>
      <w:r w:rsidRPr="001D480A">
        <w:rPr>
          <w:rFonts w:ascii="Arial" w:eastAsia="Calibri" w:hAnsi="Arial" w:cs="Arial"/>
        </w:rPr>
        <w:t>Operatora Gazociągów Przesyłowych Gaz-System S.A. z siedzibą w Warszawie</w:t>
      </w:r>
      <w:r w:rsidRPr="001D480A">
        <w:rPr>
          <w:rFonts w:ascii="Arial" w:eastAsia="Times New Roman" w:hAnsi="Arial" w:cs="Arial"/>
          <w:lang w:eastAsia="pl-PL"/>
        </w:rPr>
        <w:t>, o wydanie decyzji o środowiskowych uwarunkowaniach dla przedsięwzięcia pn.: „Wymiana odcinka gazociągu DN100 między ZP Otyń a torami kolejowymi”.</w:t>
      </w:r>
    </w:p>
    <w:p w14:paraId="0F050E00" w14:textId="77777777" w:rsidR="001D480A" w:rsidRPr="001D480A" w:rsidRDefault="001D480A" w:rsidP="00592354">
      <w:pPr>
        <w:spacing w:before="480" w:after="480" w:line="360" w:lineRule="auto"/>
        <w:rPr>
          <w:rFonts w:ascii="Arial" w:hAnsi="Arial" w:cs="Arial"/>
        </w:rPr>
      </w:pPr>
      <w:r w:rsidRPr="001D480A">
        <w:rPr>
          <w:rFonts w:ascii="Arial" w:eastAsia="Times New Roman" w:hAnsi="Arial" w:cs="Arial"/>
          <w:bCs/>
          <w:iCs/>
        </w:rPr>
        <w:t xml:space="preserve">Przedsięwzięcie objęte wnioskiem będzie realizowane na podstawie </w:t>
      </w:r>
      <w:r w:rsidRPr="001D480A">
        <w:rPr>
          <w:rFonts w:ascii="Arial" w:hAnsi="Arial" w:cs="Arial"/>
        </w:rPr>
        <w:t>ustawy z dnia 24 kwietnia 2009 r.</w:t>
      </w:r>
      <w:r w:rsidRPr="001D480A">
        <w:rPr>
          <w:rFonts w:ascii="Arial" w:eastAsia="Calibri" w:hAnsi="Arial" w:cs="Arial"/>
        </w:rPr>
        <w:t xml:space="preserve"> </w:t>
      </w:r>
      <w:r w:rsidRPr="001D480A">
        <w:rPr>
          <w:rFonts w:ascii="Arial" w:hAnsi="Arial" w:cs="Arial"/>
        </w:rPr>
        <w:t xml:space="preserve">o inwestycjach w zakresie </w:t>
      </w:r>
      <w:r w:rsidRPr="001D480A">
        <w:rPr>
          <w:rFonts w:ascii="Arial" w:hAnsi="Arial" w:cs="Arial"/>
          <w:iCs/>
        </w:rPr>
        <w:t>terminalu</w:t>
      </w:r>
      <w:r w:rsidRPr="001D480A">
        <w:rPr>
          <w:rFonts w:ascii="Arial" w:hAnsi="Arial" w:cs="Arial"/>
        </w:rPr>
        <w:t xml:space="preserve"> regazyfikacyjnego skroplonego gazu ziemnego w Świnoujściu (t. j. Dz. U. z 2021 r. poz. 1836, z późn. zm., zwana dalej ustawa w zakresie terminalu).</w:t>
      </w:r>
    </w:p>
    <w:p w14:paraId="4FF6D16B" w14:textId="77777777" w:rsidR="001D480A" w:rsidRPr="001D480A" w:rsidRDefault="001D480A" w:rsidP="00592354">
      <w:pPr>
        <w:spacing w:before="480" w:after="480" w:line="360" w:lineRule="auto"/>
        <w:rPr>
          <w:rFonts w:ascii="Arial" w:eastAsiaTheme="minorEastAsia" w:hAnsi="Arial" w:cs="Arial"/>
          <w:lang w:eastAsia="pl-PL"/>
        </w:rPr>
      </w:pPr>
      <w:r w:rsidRPr="001D480A">
        <w:rPr>
          <w:rFonts w:ascii="Arial" w:eastAsiaTheme="minorEastAsia" w:hAnsi="Arial" w:cs="Arial"/>
          <w:lang w:eastAsia="pl-PL"/>
        </w:rPr>
        <w:t xml:space="preserve">Przedłożony do rozpatrzenia wniosek nie spełniał wymagań formalnych wynikające z art. 74 ustawy z dnia 3 października 2008 r. o udostępnianiu informacji o środowisku i jego ochronie, udziale społeczeństwa w ochronie środowiska oraz o ocenach oddziaływania na środowisko (t. j. Dz. U. z 2021 r. poz. 2373, z późn. zm., zwanej dalej ustawa ooś), dlatego pismem z 26 listopada 2021 r. wezwano pełnomocnika do usunięcia braków formalnych. Pełnomocnik uzupełnił wniosek we wskazanym terminie. Wniosek  po uzupełnieniu spełnia wymagania formalne wynikające z zapisów ustawy ooś. W związku z tym wszczęto postępowanie administracyjne w przedmiotowej sprawie, o czym powiadomiono strony postępowania obwieszczeniem z 5 stycznia 2021 r., znak: </w:t>
      </w:r>
      <w:r w:rsidRPr="001D480A">
        <w:rPr>
          <w:rFonts w:ascii="Arial" w:eastAsiaTheme="minorEastAsia" w:hAnsi="Arial" w:cs="Arial"/>
          <w:bCs/>
          <w:iCs/>
          <w:lang w:eastAsia="pl-PL"/>
        </w:rPr>
        <w:t>WZŚ.420.35.2021.AJ</w:t>
      </w:r>
      <w:r w:rsidRPr="001D480A">
        <w:rPr>
          <w:rFonts w:ascii="Arial" w:eastAsiaTheme="minorEastAsia" w:hAnsi="Arial" w:cs="Arial"/>
          <w:lang w:eastAsia="pl-PL"/>
        </w:rPr>
        <w:t xml:space="preserve">. </w:t>
      </w:r>
    </w:p>
    <w:p w14:paraId="4ACCD149" w14:textId="77777777" w:rsidR="001D480A" w:rsidRPr="001D480A" w:rsidRDefault="001D480A" w:rsidP="00592354">
      <w:pPr>
        <w:spacing w:before="480" w:after="480" w:line="360" w:lineRule="auto"/>
        <w:rPr>
          <w:rFonts w:ascii="Arial" w:eastAsia="Times New Roman" w:hAnsi="Arial" w:cs="Arial"/>
          <w:bCs/>
          <w:iCs/>
          <w:lang w:eastAsia="pl-PL"/>
        </w:rPr>
      </w:pPr>
      <w:r w:rsidRPr="001D480A">
        <w:rPr>
          <w:rFonts w:ascii="Arial" w:eastAsiaTheme="minorEastAsia" w:hAnsi="Arial" w:cs="Arial"/>
          <w:lang w:eastAsia="pl-PL"/>
        </w:rPr>
        <w:t>Ze względu na to, iż liczba stron postępowania w niniejszej sprawie przekracza 10, zgodnie z art. 74 ust. 3 ustawy ooś do doręczeń zastosowano przepisy art. 49 ustawy z dnia 14 czerwca 1960 r. Kodeks postępowania administracyjnego (t. j. Dz. U. z 2021 r. poz. 735, z późn. zm., zwana dalej Kodeks postępowania administracyjnego). Obwieszczenie zostało opublikowane w Biuletynie Informacji Publicznej Regionalnej Dyrekcji Ochrony Środowiska w Gorzowie Wielkopolskim na stronie internetowej</w:t>
      </w:r>
      <w:r w:rsidRPr="001D480A">
        <w:rPr>
          <w:rFonts w:ascii="Arial" w:eastAsia="Times New Roman" w:hAnsi="Arial" w:cs="Arial"/>
          <w:bCs/>
          <w:iCs/>
          <w:lang w:eastAsia="pl-PL"/>
        </w:rPr>
        <w:t xml:space="preserve">. </w:t>
      </w:r>
    </w:p>
    <w:p w14:paraId="2E85A813" w14:textId="77777777" w:rsidR="001D480A" w:rsidRPr="001D480A" w:rsidRDefault="001D480A" w:rsidP="00592354">
      <w:pPr>
        <w:spacing w:before="480" w:after="480" w:line="360" w:lineRule="auto"/>
        <w:rPr>
          <w:rFonts w:ascii="Arial" w:eastAsiaTheme="minorEastAsia" w:hAnsi="Arial" w:cs="Arial"/>
          <w:bCs/>
          <w:iCs/>
          <w:lang w:eastAsia="pl-PL"/>
        </w:rPr>
      </w:pPr>
      <w:r w:rsidRPr="001D480A">
        <w:rPr>
          <w:rFonts w:ascii="Arial" w:eastAsiaTheme="minorEastAsia" w:hAnsi="Arial" w:cs="Arial"/>
          <w:lang w:eastAsia="pl-PL"/>
        </w:rPr>
        <w:t>Dodatkowo działając na podstawie art. 19 ust. 2 ustawy w zakresie terminalu, pismem z 3 stycznia 2022 r. zawiadamiano Generalnego Dyrektora Ochrony Środowiska o złożeniu wniosku</w:t>
      </w:r>
      <w:r w:rsidRPr="001D480A">
        <w:rPr>
          <w:rFonts w:ascii="Arial" w:eastAsiaTheme="minorEastAsia" w:hAnsi="Arial" w:cs="Arial"/>
          <w:sz w:val="20"/>
          <w:szCs w:val="20"/>
          <w:lang w:eastAsia="pl-PL"/>
        </w:rPr>
        <w:t xml:space="preserve"> </w:t>
      </w:r>
      <w:r w:rsidRPr="001D480A">
        <w:rPr>
          <w:rFonts w:ascii="Arial" w:eastAsiaTheme="minorEastAsia" w:hAnsi="Arial" w:cs="Arial"/>
          <w:lang w:eastAsia="pl-PL"/>
        </w:rPr>
        <w:t>o wydanie decyzji o środowiskowych uwarunkowaniach.</w:t>
      </w:r>
    </w:p>
    <w:p w14:paraId="588DB07A" w14:textId="77777777" w:rsidR="001D480A" w:rsidRPr="001D480A" w:rsidRDefault="001D480A" w:rsidP="00592354">
      <w:pPr>
        <w:spacing w:before="480" w:after="480" w:line="360" w:lineRule="auto"/>
        <w:rPr>
          <w:rFonts w:ascii="Arial" w:eastAsiaTheme="minorEastAsia" w:hAnsi="Arial" w:cs="Arial"/>
          <w:lang w:eastAsia="pl-PL"/>
        </w:rPr>
      </w:pPr>
      <w:r w:rsidRPr="001D480A">
        <w:rPr>
          <w:rFonts w:ascii="Arial" w:eastAsiaTheme="minorEastAsia" w:hAnsi="Arial" w:cs="Arial"/>
          <w:lang w:eastAsia="pl-PL"/>
        </w:rPr>
        <w:lastRenderedPageBreak/>
        <w:t xml:space="preserve">Informacja o wniosku została wpisana do publicznie dostępnego wykazu danych zawierających informacje o środowisku „Ekoportal”, prowadzonego na podstawie art. 21 ust. 1 </w:t>
      </w:r>
      <w:r w:rsidRPr="001D480A">
        <w:rPr>
          <w:rFonts w:ascii="Arial" w:eastAsiaTheme="minorEastAsia" w:hAnsi="Arial" w:cs="Arial"/>
          <w:color w:val="000000"/>
          <w:lang w:eastAsia="pl-PL"/>
        </w:rPr>
        <w:t xml:space="preserve">ustawy </w:t>
      </w:r>
      <w:r w:rsidRPr="001D480A">
        <w:rPr>
          <w:rFonts w:ascii="Arial" w:eastAsiaTheme="minorEastAsia" w:hAnsi="Arial" w:cs="Arial"/>
          <w:lang w:eastAsia="pl-PL"/>
        </w:rPr>
        <w:t>ooś, pod numerem: 4/2022.</w:t>
      </w:r>
    </w:p>
    <w:p w14:paraId="4EB80E6A"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Przedsięwzięcie polega na realizacji odcinka gazociągu DN100 o długości ok. 330 mb równolegle do istniejącego wadliwego odcinka przeznaczonego do likwidacji. Planowany odcinek zlokalizowany będzie na działkach nr 227/18, 227/29, 548/3, 548/2, 226, 463, 494 obręb 0008 Zakęcie, gmina Otyń, powiat nowosolski, województwo lubuskie. </w:t>
      </w:r>
    </w:p>
    <w:p w14:paraId="060DC709"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Przedmiotowe przedsięwzięcie, zgodnie z § 3 ust. 1 pkt 31 rozporządzenia Rady Ministrów z dnia 10 września 2019 r. w sprawie przedsięwzięć mogących znacząco oddziaływać na środowisko (Dz. U. z 2019 r. poz. 1839) jest przedsięwzięciem mogącym potencjalnie znacząco oddziaływać na środowisko. </w:t>
      </w:r>
    </w:p>
    <w:p w14:paraId="59996588" w14:textId="77777777" w:rsidR="001D480A" w:rsidRPr="001D480A" w:rsidRDefault="001D480A" w:rsidP="00592354">
      <w:pPr>
        <w:autoSpaceDE w:val="0"/>
        <w:autoSpaceDN w:val="0"/>
        <w:adjustRightInd w:val="0"/>
        <w:spacing w:before="480" w:after="480" w:line="360" w:lineRule="auto"/>
        <w:rPr>
          <w:rFonts w:ascii="Arial" w:hAnsi="Arial" w:cs="Arial"/>
        </w:rPr>
      </w:pPr>
      <w:r w:rsidRPr="001D480A">
        <w:rPr>
          <w:rFonts w:ascii="Arial" w:hAnsi="Arial" w:cs="Arial"/>
        </w:rPr>
        <w:t xml:space="preserve">W myśl art. 71 ust. 2 pkt 2 ustawy ooś, dla planowanych przedsięwzięć mogących potencjalnie znacząco oddziaływać na środowisko, wymagane jest uzyskanie decyzji o środowiskowych uwarunkowaniach. Wydanie decyzji o środowiskowych uwarunkowaniach następuje przed wydaniem decyzji wymienionych w art. 72 ust. 1 lub dokonaniem zgłoszeń, o których mowa w ust. 1 a ustawy ooś. </w:t>
      </w:r>
    </w:p>
    <w:p w14:paraId="6CD8F443"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Planowana inwestycja, zgodnie z art. 38 pkt 2 lit. zg ustawy w zakresie terminalu, stanowi inwestycję towarzyszącą inwestycjom w zakresie terminalu.</w:t>
      </w:r>
    </w:p>
    <w:p w14:paraId="5A1F90B8" w14:textId="77777777" w:rsidR="001D480A" w:rsidRPr="001D480A" w:rsidRDefault="001D480A" w:rsidP="00592354">
      <w:pPr>
        <w:autoSpaceDE w:val="0"/>
        <w:autoSpaceDN w:val="0"/>
        <w:adjustRightInd w:val="0"/>
        <w:spacing w:before="480" w:after="480" w:line="360" w:lineRule="auto"/>
        <w:rPr>
          <w:rFonts w:ascii="Arial" w:hAnsi="Arial" w:cs="Arial"/>
        </w:rPr>
      </w:pPr>
      <w:r w:rsidRPr="001D480A">
        <w:rPr>
          <w:rFonts w:ascii="Arial" w:hAnsi="Arial" w:cs="Arial"/>
        </w:rPr>
        <w:t>Zgodnie z art. 75 ust. 1 pkt 1 lit. f ustawy ooś organem właściwym do wydania decyzji o środowiskowych uwarunkowaniach dla inwestycji w zakresie terminalu, jest regionalny dyrektor ochrony środowiska. Właściwym miejscowo jest w tym przypadku Regionalny Dyrektor Ochrony Środowiska w Gorzowie Wielkopolskim.</w:t>
      </w:r>
    </w:p>
    <w:p w14:paraId="07FFCFB8" w14:textId="77777777" w:rsidR="001D480A" w:rsidRPr="001D480A" w:rsidRDefault="001D480A" w:rsidP="00592354">
      <w:pPr>
        <w:spacing w:before="480" w:after="480" w:line="360" w:lineRule="auto"/>
        <w:rPr>
          <w:rFonts w:ascii="Arial" w:eastAsia="SimSun" w:hAnsi="Arial" w:cs="Arial"/>
          <w:kern w:val="16"/>
          <w:lang w:bidi="en-US"/>
        </w:rPr>
      </w:pPr>
      <w:r w:rsidRPr="001D480A">
        <w:rPr>
          <w:rFonts w:ascii="Arial" w:eastAsia="SimSun" w:hAnsi="Arial" w:cs="Arial"/>
          <w:kern w:val="16"/>
          <w:lang w:bidi="en-US"/>
        </w:rPr>
        <w:t xml:space="preserve">W toku prowadzonego postępowania, uzyskano wymagane ustawą opinie organu właściwego do wydania oceny wodnoprawnej oraz Państwowej Inspekcji Sanitarnej. </w:t>
      </w:r>
    </w:p>
    <w:p w14:paraId="7BD07665"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SimSun" w:hAnsi="Arial" w:cs="Arial"/>
          <w:kern w:val="16"/>
          <w:lang w:bidi="en-US"/>
        </w:rPr>
        <w:t xml:space="preserve">Działając na podstawie art. 64 ust. 1 pkt 4 ustawy ooś, w związku z art. </w:t>
      </w:r>
      <w:r w:rsidRPr="001D480A">
        <w:rPr>
          <w:rFonts w:ascii="Arial" w:eastAsia="Times New Roman" w:hAnsi="Arial" w:cs="Arial"/>
          <w:lang w:eastAsia="pl-PL"/>
        </w:rPr>
        <w:t xml:space="preserve">397 ust. </w:t>
      </w:r>
      <w:r w:rsidRPr="001D480A">
        <w:rPr>
          <w:rFonts w:ascii="Arial" w:hAnsi="Arial" w:cs="Arial"/>
        </w:rPr>
        <w:t>3 pkt 2 lit. b</w:t>
      </w:r>
      <w:r w:rsidRPr="001D480A">
        <w:rPr>
          <w:rFonts w:ascii="Arial" w:eastAsia="Times New Roman" w:hAnsi="Arial" w:cs="Arial"/>
          <w:lang w:eastAsia="pl-PL"/>
        </w:rPr>
        <w:t xml:space="preserve"> ustawy z dnia 20 lipca 2017 r. Prawo wodne (t. j. Dz. U. z 2021 r. poz. 2233, z późn. zm.)</w:t>
      </w:r>
      <w:r w:rsidRPr="001D480A">
        <w:rPr>
          <w:rFonts w:ascii="Arial" w:eastAsia="SimSun" w:hAnsi="Arial" w:cs="Arial"/>
          <w:kern w:val="16"/>
          <w:lang w:bidi="en-US"/>
        </w:rPr>
        <w:t xml:space="preserve">, Organ wystąpił do Dyrektora Zarządu Zlewni Wód Polskich w Zielonej Górze o </w:t>
      </w:r>
      <w:r w:rsidRPr="001D480A">
        <w:rPr>
          <w:rFonts w:ascii="Arial" w:hAnsi="Arial" w:cs="Arial"/>
        </w:rPr>
        <w:t>opinię, co do potrzeby przeprowadzenia oceny oddziaływania</w:t>
      </w:r>
      <w:r w:rsidRPr="001D480A">
        <w:rPr>
          <w:rFonts w:ascii="Arial" w:eastAsia="Times New Roman" w:hAnsi="Arial" w:cs="Arial"/>
          <w:lang w:eastAsia="pl-PL"/>
        </w:rPr>
        <w:t xml:space="preserve"> </w:t>
      </w:r>
      <w:r w:rsidRPr="001D480A">
        <w:rPr>
          <w:rFonts w:ascii="Arial" w:eastAsia="SimSun" w:hAnsi="Arial" w:cs="Arial"/>
          <w:kern w:val="16"/>
          <w:lang w:bidi="en-US"/>
        </w:rPr>
        <w:t>przedsięwzięcia</w:t>
      </w:r>
      <w:r w:rsidRPr="001D480A">
        <w:rPr>
          <w:rFonts w:ascii="Arial" w:hAnsi="Arial" w:cs="Arial"/>
        </w:rPr>
        <w:t xml:space="preserve"> na środowisko</w:t>
      </w:r>
      <w:r w:rsidRPr="001D480A">
        <w:rPr>
          <w:rFonts w:ascii="Arial" w:eastAsia="SimSun" w:hAnsi="Arial" w:cs="Arial"/>
          <w:kern w:val="16"/>
          <w:lang w:bidi="en-US"/>
        </w:rPr>
        <w:t xml:space="preserve">. </w:t>
      </w:r>
      <w:r w:rsidRPr="001D480A">
        <w:rPr>
          <w:rFonts w:ascii="Arial" w:eastAsia="Times New Roman" w:hAnsi="Arial" w:cs="Arial"/>
          <w:lang w:eastAsia="pl-PL"/>
        </w:rPr>
        <w:t xml:space="preserve">Dyrektor </w:t>
      </w:r>
      <w:r w:rsidRPr="001D480A">
        <w:rPr>
          <w:rFonts w:ascii="Arial" w:eastAsia="Times New Roman" w:hAnsi="Arial" w:cs="Arial"/>
          <w:lang w:eastAsia="pl-PL"/>
        </w:rPr>
        <w:lastRenderedPageBreak/>
        <w:t xml:space="preserve">ZZWP w Zielonej Górze pismem z 19 stycznia 2022 r., znak: WR.ZZŚ.7.435.4.2022.MLW wyraził opinię o braku potrzeby przeprowadzenia oceny oddziaływania przedsięwzięcia na środowisko. </w:t>
      </w:r>
    </w:p>
    <w:p w14:paraId="075AF582"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SimSun" w:hAnsi="Arial" w:cs="Arial"/>
          <w:kern w:val="16"/>
          <w:lang w:bidi="en-US"/>
        </w:rPr>
        <w:t xml:space="preserve">Działając na podstawie art. </w:t>
      </w:r>
      <w:r w:rsidRPr="001D480A">
        <w:rPr>
          <w:rFonts w:ascii="Arial" w:eastAsia="Times New Roman" w:hAnsi="Arial" w:cs="Arial"/>
          <w:lang w:eastAsia="pl-PL"/>
        </w:rPr>
        <w:t>64 ust. 1 pkt 2 w związku z art. 78 ust. 1 pkt 1 lit. c</w:t>
      </w:r>
      <w:r w:rsidRPr="001D480A">
        <w:rPr>
          <w:rFonts w:ascii="Arial" w:eastAsia="SimSun" w:hAnsi="Arial" w:cs="Arial"/>
          <w:kern w:val="16"/>
          <w:lang w:bidi="en-US"/>
        </w:rPr>
        <w:t xml:space="preserve"> ustawy ooś, Organ wystąpił do Lubuskiego Państwowego Wojewódzkiego Inspektora Sanitarnego w Gorzowie Wielkopolskim o </w:t>
      </w:r>
      <w:r w:rsidRPr="001D480A">
        <w:rPr>
          <w:rFonts w:ascii="Arial" w:hAnsi="Arial" w:cs="Arial"/>
        </w:rPr>
        <w:t>opinię, co do potrzeby przeprowadzenia oceny oddziaływania</w:t>
      </w:r>
      <w:r w:rsidRPr="001D480A">
        <w:rPr>
          <w:rFonts w:ascii="Arial" w:eastAsia="Times New Roman" w:hAnsi="Arial" w:cs="Arial"/>
          <w:lang w:eastAsia="pl-PL"/>
        </w:rPr>
        <w:t xml:space="preserve"> </w:t>
      </w:r>
      <w:r w:rsidRPr="001D480A">
        <w:rPr>
          <w:rFonts w:ascii="Arial" w:eastAsia="SimSun" w:hAnsi="Arial" w:cs="Arial"/>
          <w:kern w:val="16"/>
          <w:lang w:bidi="en-US"/>
        </w:rPr>
        <w:t>przedsięwzięcia</w:t>
      </w:r>
      <w:r w:rsidRPr="001D480A">
        <w:rPr>
          <w:rFonts w:ascii="Arial" w:hAnsi="Arial" w:cs="Arial"/>
        </w:rPr>
        <w:t xml:space="preserve"> na środowisko</w:t>
      </w:r>
      <w:r w:rsidRPr="001D480A">
        <w:rPr>
          <w:rFonts w:ascii="Arial" w:eastAsia="SimSun" w:hAnsi="Arial" w:cs="Arial"/>
          <w:kern w:val="16"/>
          <w:lang w:bidi="en-US"/>
        </w:rPr>
        <w:t xml:space="preserve">. </w:t>
      </w:r>
      <w:r w:rsidRPr="001D480A">
        <w:rPr>
          <w:rFonts w:ascii="Arial" w:eastAsia="Times New Roman" w:hAnsi="Arial" w:cs="Arial"/>
          <w:lang w:eastAsia="pl-PL"/>
        </w:rPr>
        <w:t xml:space="preserve">LPWIS w Gorzowie Wlkp. pismem z 21 stycznia 2022 r., znak: NZ.9022.5.2022.AU wyraził opinię o braku potrzeby przeprowadzenia oceny oddziaływania przedsięwzięcia na środowisko. </w:t>
      </w:r>
    </w:p>
    <w:p w14:paraId="47893698" w14:textId="77777777" w:rsidR="001D480A" w:rsidRPr="001D480A" w:rsidRDefault="001D480A" w:rsidP="00592354">
      <w:pPr>
        <w:spacing w:before="480" w:after="480" w:line="360" w:lineRule="auto"/>
        <w:rPr>
          <w:rFonts w:ascii="Arial" w:eastAsiaTheme="minorEastAsia" w:hAnsi="Arial" w:cs="Arial"/>
          <w:lang w:eastAsia="pl-PL"/>
        </w:rPr>
      </w:pPr>
      <w:r w:rsidRPr="001D480A">
        <w:rPr>
          <w:rFonts w:ascii="Arial" w:eastAsiaTheme="minorEastAsia" w:hAnsi="Arial" w:cs="Arial"/>
          <w:lang w:eastAsia="pl-PL"/>
        </w:rPr>
        <w:t>Mając na uwadze brzmienie art. 10 § 1 Kodeks postępowania administracyjnego, obwieszczeniem z 2 lutego 2022 r. poinformowano strony postępowania o zgromadzeniu całości materiału dowodowego w sprawie wydania decyzji o środowiskowych uwarunkowaniach dla planowanego przedsięwzięcia oraz o możliwości wypowiedzenia się w terminie 7 dni, co do zebranych dowodów i materiałów przed wydaniem decyzji. Na skutek przedmiotowego zawiadomienia, żadna ze stron nie zapoznała się z aktami sprawy, ani nie wypowiedziała się na temat zebranych dowodów i materiałów.</w:t>
      </w:r>
    </w:p>
    <w:p w14:paraId="76005229" w14:textId="77777777" w:rsidR="001D480A" w:rsidRPr="001D480A" w:rsidRDefault="001D480A" w:rsidP="00592354">
      <w:pPr>
        <w:spacing w:before="480" w:after="480" w:line="360" w:lineRule="auto"/>
        <w:rPr>
          <w:rFonts w:ascii="Arial" w:eastAsia="Times New Roman" w:hAnsi="Arial" w:cs="Arial"/>
          <w:iCs/>
          <w:lang w:eastAsia="pl-PL"/>
        </w:rPr>
      </w:pPr>
      <w:r w:rsidRPr="001D480A">
        <w:rPr>
          <w:rFonts w:ascii="Arial" w:eastAsia="Times New Roman" w:hAnsi="Arial" w:cs="Arial"/>
          <w:iCs/>
          <w:lang w:eastAsia="pl-PL"/>
        </w:rPr>
        <w:t>Na podstawie całego zgromadzonego materiału dowodowego ustalono co następuje:</w:t>
      </w:r>
    </w:p>
    <w:p w14:paraId="055CF326" w14:textId="77777777" w:rsidR="001D480A" w:rsidRPr="001D480A" w:rsidRDefault="001D480A" w:rsidP="00592354">
      <w:pPr>
        <w:spacing w:before="480" w:after="480" w:line="360" w:lineRule="auto"/>
        <w:ind w:right="57"/>
        <w:rPr>
          <w:rFonts w:ascii="Arial" w:eastAsia="Times New Roman" w:hAnsi="Arial" w:cs="Arial"/>
          <w:lang w:eastAsia="ar-SA"/>
        </w:rPr>
      </w:pPr>
      <w:r w:rsidRPr="001D480A">
        <w:rPr>
          <w:rFonts w:ascii="Arial" w:eastAsia="Times New Roman" w:hAnsi="Arial" w:cs="Arial"/>
          <w:lang w:eastAsia="pl-PL"/>
        </w:rPr>
        <w:t xml:space="preserve">Planowane przedsięwzięcie </w:t>
      </w:r>
      <w:bookmarkStart w:id="0" w:name="_Hlk61876013"/>
      <w:r w:rsidRPr="001D480A">
        <w:rPr>
          <w:rFonts w:ascii="Arial" w:eastAsia="Calibri" w:hAnsi="Arial" w:cs="Arial"/>
          <w:lang w:eastAsia="ar-SA"/>
        </w:rPr>
        <w:t xml:space="preserve">obejmuje likwidację wadliwego odcinka gazociągu wysokiego ciśnienia DN100 </w:t>
      </w:r>
      <w:r w:rsidRPr="001D480A">
        <w:rPr>
          <w:rFonts w:ascii="Arial" w:eastAsia="Calibri" w:hAnsi="Arial" w:cs="Arial"/>
          <w:kern w:val="24"/>
          <w:lang w:eastAsia="ar-SA"/>
        </w:rPr>
        <w:t xml:space="preserve">MOP 5,5 MPa </w:t>
      </w:r>
      <w:r w:rsidRPr="001D480A">
        <w:rPr>
          <w:rFonts w:ascii="Arial" w:eastAsia="Calibri" w:hAnsi="Arial" w:cs="Arial"/>
          <w:lang w:eastAsia="ar-SA"/>
        </w:rPr>
        <w:t xml:space="preserve">o długości ~305 mb w sposób klasyczny, poprzez zastosowanie metody wykopu otwartego oraz </w:t>
      </w:r>
      <w:r w:rsidRPr="001D480A">
        <w:rPr>
          <w:rFonts w:ascii="Arial" w:eastAsia="Calibri" w:hAnsi="Arial" w:cs="Arial"/>
        </w:rPr>
        <w:t>likwidację odboczki zespołu przyłączeniowego ZP Otyń wraz z podziemnym zaworem DN100. Równolegle do istniejącego odcinka p</w:t>
      </w:r>
      <w:r w:rsidRPr="001D480A">
        <w:rPr>
          <w:rFonts w:ascii="Arial" w:eastAsia="Times New Roman" w:hAnsi="Arial" w:cs="Arial"/>
          <w:lang w:eastAsia="ar-SA"/>
        </w:rPr>
        <w:t xml:space="preserve">rojektuje się rurociąg DN100, 114,3x6,3 L360NE w izolacji fabrycznej trójwarstwowej o długości ok. 330 m oraz odboczkę ZP Otyń z zaworem podziemnym  DN100 PN63.  </w:t>
      </w:r>
      <w:r w:rsidRPr="001D480A">
        <w:rPr>
          <w:rFonts w:ascii="Arial" w:eastAsia="Times New Roman" w:hAnsi="Arial" w:cs="Arial"/>
          <w:color w:val="000000"/>
          <w:lang w:eastAsia="ar-SA"/>
        </w:rPr>
        <w:t>Głębokość prowadzonych wykopów wyniesie od 1,5 m do 2 m, natomiast jego szerokość około 1,5 m</w:t>
      </w:r>
      <w:bookmarkEnd w:id="0"/>
      <w:r w:rsidRPr="001D480A">
        <w:rPr>
          <w:rFonts w:ascii="Arial" w:eastAsia="Times New Roman" w:hAnsi="Arial" w:cs="Arial"/>
          <w:color w:val="000000"/>
          <w:lang w:eastAsia="ar-SA"/>
        </w:rPr>
        <w:t>.</w:t>
      </w:r>
    </w:p>
    <w:p w14:paraId="59E89CD8" w14:textId="77777777" w:rsidR="001D480A" w:rsidRPr="001D480A" w:rsidRDefault="001D480A" w:rsidP="00592354">
      <w:pPr>
        <w:suppressAutoHyphens/>
        <w:spacing w:before="480" w:after="480" w:line="360" w:lineRule="auto"/>
        <w:rPr>
          <w:rFonts w:ascii="Arial" w:eastAsia="Times New Roman" w:hAnsi="Arial" w:cs="Arial"/>
          <w:color w:val="000000"/>
          <w:lang w:eastAsia="ar-SA"/>
        </w:rPr>
      </w:pPr>
      <w:r w:rsidRPr="001D480A">
        <w:rPr>
          <w:rFonts w:ascii="Arial" w:eastAsia="Times New Roman" w:hAnsi="Arial" w:cs="Arial"/>
          <w:lang w:eastAsia="ar-SA"/>
        </w:rPr>
        <w:t xml:space="preserve">W celu bezpiecznego wykonania robót technologicznych przewidziano czynne zabezpieczenie w czasie prac remontowych gazociągu wysokiego ciśnienia DN100 relacji ZP Otyń – Otyń oraz gazociągu wysokiego ciśnienia DN250 relacji Kotowice – Chynów. Zabezpieczenie czynnych gazociągów może zostać wykonane poprzez zastosowanie płyt drogowych betonowych lub mat o wysokiej wytrzymałości w miejscu poruszania się </w:t>
      </w:r>
      <w:r w:rsidRPr="001D480A">
        <w:rPr>
          <w:rFonts w:ascii="Arial" w:eastAsia="Times New Roman" w:hAnsi="Arial" w:cs="Arial"/>
          <w:lang w:eastAsia="ar-SA"/>
        </w:rPr>
        <w:lastRenderedPageBreak/>
        <w:t xml:space="preserve">ciężkiego sprzętu (dróg montażowych i przejazdów). Dokładny sposób zabezpieczenia zostanie </w:t>
      </w:r>
      <w:r w:rsidRPr="001D480A">
        <w:rPr>
          <w:rFonts w:ascii="Arial" w:eastAsia="Times New Roman" w:hAnsi="Arial" w:cs="Arial"/>
          <w:color w:val="000000"/>
          <w:lang w:eastAsia="ar-SA"/>
        </w:rPr>
        <w:t>określony w dokumentacji projektowej.</w:t>
      </w:r>
    </w:p>
    <w:p w14:paraId="4BD5F278" w14:textId="77777777" w:rsidR="001D480A" w:rsidRPr="001D480A" w:rsidRDefault="001D480A" w:rsidP="00592354">
      <w:pPr>
        <w:suppressAutoHyphens/>
        <w:spacing w:before="480" w:after="480" w:line="360" w:lineRule="auto"/>
        <w:rPr>
          <w:rFonts w:ascii="Arial" w:eastAsia="Times New Roman" w:hAnsi="Arial" w:cs="Arial"/>
          <w:color w:val="000000"/>
          <w:lang w:eastAsia="ar-SA"/>
        </w:rPr>
      </w:pPr>
      <w:r w:rsidRPr="001D480A">
        <w:rPr>
          <w:rFonts w:ascii="Arial" w:eastAsia="Times New Roman" w:hAnsi="Arial" w:cs="Arial"/>
          <w:color w:val="000000"/>
          <w:lang w:eastAsia="ar-SA"/>
        </w:rPr>
        <w:t>W związku z brakiem możliwości wyłączenia gazociągu na czas prowadzenia prac projektuje się wariant przepięcia z wykorzystaniem pełnej hermetyki wraz z gazociągiem tymczasowym (by-pass).</w:t>
      </w:r>
    </w:p>
    <w:p w14:paraId="4DD9CC99" w14:textId="77777777" w:rsidR="00592354" w:rsidRDefault="001D480A" w:rsidP="00592354">
      <w:pPr>
        <w:suppressAutoHyphens/>
        <w:spacing w:before="480" w:after="480" w:line="360" w:lineRule="auto"/>
        <w:rPr>
          <w:rFonts w:ascii="Arial" w:eastAsia="Times New Roman" w:hAnsi="Arial" w:cs="Arial"/>
          <w:color w:val="FF0000"/>
          <w:lang w:eastAsia="ar-SA"/>
        </w:rPr>
      </w:pPr>
      <w:r w:rsidRPr="001D480A">
        <w:rPr>
          <w:rFonts w:ascii="Arial" w:eastAsia="Times New Roman" w:hAnsi="Arial" w:cs="Arial"/>
          <w:color w:val="000000"/>
          <w:lang w:eastAsia="ar-SA"/>
        </w:rPr>
        <w:t>Prace te umożliwią prowadzenie prac montażowo – spawalniczych i jednocześnie zapewnią ciągłą dostawę paliwa gazowego do odbiorców bez konieczności zapewniania zasilania tymczasowego. Tymczasowy nadziemny odcinek gazociągu (tzw. by-pass) zabezpieczy miejsce prac przed napływem gazu oraz zapewni bezpieczeństwo systemu przesyłowego. W celu wykonania włączenia metodą hermetyczną, konieczne będzie zabudowanie na istniejącym gazociągu po oby dwóch stronach punktu włączenia specjalnych króćców (tzw. fittingów), które umożliwią wstrzymanie przepływu paliwa gazowego w miejscu fizycznego włączenia, a jednocześnie umożliwią podłączenie tymczasowego gazociągu.</w:t>
      </w:r>
    </w:p>
    <w:p w14:paraId="16404F3D" w14:textId="365AA0DB" w:rsidR="001D480A" w:rsidRPr="001D480A" w:rsidRDefault="001D480A" w:rsidP="00592354">
      <w:pPr>
        <w:suppressAutoHyphens/>
        <w:spacing w:before="480" w:after="480" w:line="360" w:lineRule="auto"/>
        <w:rPr>
          <w:rFonts w:ascii="Arial" w:eastAsia="Times New Roman" w:hAnsi="Arial" w:cs="Arial"/>
          <w:color w:val="FF0000"/>
          <w:sz w:val="24"/>
          <w:szCs w:val="24"/>
          <w:lang w:eastAsia="ar-SA"/>
        </w:rPr>
      </w:pPr>
      <w:r w:rsidRPr="001D480A">
        <w:rPr>
          <w:rFonts w:ascii="Arial" w:eastAsia="Times New Roman" w:hAnsi="Arial" w:cs="Arial"/>
          <w:lang w:eastAsia="ar-SA"/>
        </w:rPr>
        <w:t>Dojazd do miejsca prowadzenia prac budowlanych będzie realizowany przy wykorzystaniu istniejącej drogi lokalnej od strony zachodniej poprzez wykorzystanie istniejącego zjazdu z działki drogowej nr 264. Od strony północno – wschodniej zostanie wykorzystana działka drogowa nr 275.</w:t>
      </w:r>
    </w:p>
    <w:p w14:paraId="3C2C9F77"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Uwzględniając łącznie uwarunkowania związane z kwalifikowaniem przedsięwzięcia do przeprowadzenia oceny oddziaływania na środowisko, określone w art. 63 ustawy ooś, po analizie wniosku o wydanie decyzji o środowiskowych uwarunkowaniach dla planowanego przedsięwzięcia oraz karty informacyjnej, stwierdzono, że planowany odcinek nie jest zlokalizowany na obszarach wodno-błotnych, innych obszarach o płytkim zaleganiu wód podziemnych, w tym siedliskach łęgowych oraz ujściach rzek, obszarach wybrzeży i w środowisku morskim, obszarach górskich, leśnych, obszarach objętych ochroną, w tym strefach ochronnych ujęć wód i obszarach ochronnych zbiorników wód śródlądowych, obszarach wymagających specjalnej ochrony ze względu na występowanie gatunków roślin, grzybów i zwierząt lub ich siedlisk lub siedlisk przyrodniczych objętych ochroną, obszarach, na których standardy jakości środowiska zostały przekroczone lub istnieje prawdopodobieństwo ich przekroczenia, obszarach o krajobrazie mającym znaczenie historyczne, kulturowe lub archeologiczne, obszarach ochrony uzdrowiskowej. </w:t>
      </w:r>
    </w:p>
    <w:p w14:paraId="16EE7CF0" w14:textId="433C17CC"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lastRenderedPageBreak/>
        <w:t xml:space="preserve">Przedsięwzięcie nie jest również zlokalizowane w granicach obszarów objętych ochroną, na podstawie ustawy z dnia 16 kwietnia 2004 r. o ochronie przyrody (t. j. Dz. U. z 2021 r. poz. 1098, z późn. zm.), wymagających specjalnej ochrony ze względu na występowanie gatunków roślin, grzybów i zwierząt lub ich siedlisk oraz siedlisk przyrodniczych objętych ochroną, w tym obszarach sieci Natura 2000 i nie będzie oddziaływać na gatunki i siedliska tam chronione oraz nie spowoduje fragmentacji obszarów. </w:t>
      </w:r>
      <w:r w:rsidRPr="001D480A">
        <w:rPr>
          <w:rFonts w:ascii="Arial" w:eastAsia="Times New Roman" w:hAnsi="Arial" w:cs="Arial"/>
          <w:iCs/>
          <w:lang w:eastAsia="pl-PL"/>
        </w:rPr>
        <w:t xml:space="preserve">Najbliżej położonymi obszarami ochrony przyrody jest </w:t>
      </w:r>
      <w:r w:rsidRPr="001D480A">
        <w:rPr>
          <w:rFonts w:ascii="Arial" w:eastAsia="Times New Roman" w:hAnsi="Arial" w:cs="Arial"/>
          <w:lang w:eastAsia="pl-PL"/>
        </w:rPr>
        <w:t xml:space="preserve">obszar chronionego krajobrazu „Dolina Śląskiej Ochli” oddalony o ponad 0,16 km od terenu realizacji przedsięwzięcia. Inwestycja ta nie przecina także korytarzy ekologicznych. </w:t>
      </w:r>
    </w:p>
    <w:p w14:paraId="563BBB75"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Planowane przedsięwzięcie zlokalizowane zostanie w południowo-zachodniej, peryferyjnej części miejscowości Otyń, na terenie użytkowanym rolniczo, w sąsiedztwie pojedynczej zabudowy mieszkaniowej.</w:t>
      </w:r>
    </w:p>
    <w:p w14:paraId="4C936127"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Calibri" w:hAnsi="Arial" w:cs="Arial"/>
        </w:rPr>
        <w:t>Specyfika robót budowlanych związanych z układaniem gazociągu równolegle do istniejącego będzie polegać na m.in.: odhumusowaniu podłoża, wykonaniu odkrywki pod gazociąg, złożeniu rur w pasie montażowym, scaleniu (zespawaniu) rur, ułożeniu gazociągu, wykonaniu izolacji, prób ciśnieniowych i zasypaniu wykopu. Zasięg ewentualnych oddziaływań ograniczy się do pasa montażowego gazociągu. Szerokość strefy kontrolowanej gazociągi wyniesie po 2 m na stronę licząc od osi gazociągu. Dodatkowo w</w:t>
      </w:r>
      <w:r w:rsidRPr="001D480A">
        <w:rPr>
          <w:rFonts w:ascii="Arial" w:eastAsia="Times New Roman" w:hAnsi="Arial" w:cs="Arial"/>
          <w:lang w:eastAsia="pl-PL"/>
        </w:rPr>
        <w:t xml:space="preserve"> ramach realizacji przedsięwzięcia istniejące ogrodzenie zespołu przyłączeniowego ZP Otyń zostanie zdemontowane i ponownie zamontowane w miejscu projektowanej nowej lokalizacji. W związku z umiejscowieniem układu w bezpośredniej bliskości drogi przewidziano powiększenie terenu ZP Otyń. </w:t>
      </w:r>
    </w:p>
    <w:p w14:paraId="4D02F35A" w14:textId="77777777" w:rsidR="001D480A" w:rsidRPr="001D480A" w:rsidRDefault="001D480A" w:rsidP="00592354">
      <w:pPr>
        <w:spacing w:before="480" w:after="480" w:line="360" w:lineRule="auto"/>
        <w:rPr>
          <w:rFonts w:ascii="Arial" w:hAnsi="Arial" w:cs="Arial"/>
        </w:rPr>
      </w:pPr>
      <w:r w:rsidRPr="001D480A">
        <w:rPr>
          <w:rFonts w:ascii="Arial" w:hAnsi="Arial" w:cs="Arial"/>
        </w:rPr>
        <w:t>Podczas budowy oddziaływanie na środowisko będzie występować zwłaszcza podczas prowadzenia prac ziemnych i budowlano – montażowych wymagających zastosowania specjalistycznego sprzętu mechanicznego. W trakcie wykonywania robót budowlanych może dojść do krótkotrwałego, niewielkiego, lokalnego pogorszenia warunków aerosanitarnych terenu, związanego emisją gazów i pyłów do powietrza. Z czynności takich, jak roboty ziemne (odkopywanie i zasypywanie) emitowana będzie pewna ilość pyłu. Poziom zanieczyszczeń zależeć będzie od czasu trwania prowadzonych prac budowlanych, zastosowanych maszyn budowlanych, doboru urządzeń z niską emisją gazów spalinowych. Biorąc pod uwagę krótki czas realizacji prac wykonywanie gazociągu nie będzie zagrożeniem dla stanu atmosfery.</w:t>
      </w:r>
    </w:p>
    <w:p w14:paraId="053EA9E7" w14:textId="378AD7A8" w:rsidR="001D480A" w:rsidRPr="001D480A" w:rsidRDefault="001D480A" w:rsidP="00592354">
      <w:pPr>
        <w:spacing w:before="480" w:after="480" w:line="360" w:lineRule="auto"/>
        <w:rPr>
          <w:rFonts w:ascii="Arial" w:hAnsi="Arial" w:cs="Arial"/>
        </w:rPr>
      </w:pPr>
      <w:r w:rsidRPr="001D480A">
        <w:rPr>
          <w:rFonts w:ascii="Arial" w:hAnsi="Arial" w:cs="Arial"/>
        </w:rPr>
        <w:lastRenderedPageBreak/>
        <w:t xml:space="preserve">W trakcie wykonywania robót budowlanych dojdzie również do zwiększenia hałasu. Na etapie realizacji inwestycji hałas emitowany będzie w wyniku m.in.: przemieszczania się środków transportu; wykonywania prac montażowych z wykorzystaniem agregatu prądotwórczego, sprężarki, ładowarki; wykonywania robót spawalniczych; prac ziemnych, polegających na odhumusowaniu ziemi i wykonaniu wykopów; zasypywania i </w:t>
      </w:r>
      <w:proofErr w:type="spellStart"/>
      <w:r w:rsidRPr="001D480A">
        <w:rPr>
          <w:rFonts w:ascii="Arial" w:hAnsi="Arial" w:cs="Arial"/>
        </w:rPr>
        <w:t>zahumusowania</w:t>
      </w:r>
      <w:proofErr w:type="spellEnd"/>
      <w:r w:rsidRPr="001D480A">
        <w:rPr>
          <w:rFonts w:ascii="Arial" w:hAnsi="Arial" w:cs="Arial"/>
        </w:rPr>
        <w:t xml:space="preserve"> wykopów. Prace budowlano-montażowe wykonywane będą w porze dnia, tj. pomiędzy godz. 6:00 a 22:00. Negatywne oddziaływania w zakresie hałasu będą miały charakter wyłącznie krótkotrwały i lokalny – ich ujemny wpływ na środowisko ustanie po zakończeniu prac. Prowadzenie prac nie będzie powodowało takich przekroczeń norm poziomu hałasu, które mogłyby zagrażać środowisku, a przede wszystkim zdrowiu człowieka. Uciążliwości zostaną zminimalizowane m. in. poprzez dobrą organizację samej budowy (dobór odpowiedniego sprzętu, maksymalne wykorzystanie kursów transportujących materiał, ograniczenie do niezbędnego minimum wjazdów samochodami itp.).</w:t>
      </w:r>
    </w:p>
    <w:p w14:paraId="5008AD1A" w14:textId="77777777" w:rsidR="001D480A" w:rsidRPr="001D480A" w:rsidRDefault="001D480A" w:rsidP="00592354">
      <w:pPr>
        <w:spacing w:before="480" w:after="480" w:line="360" w:lineRule="auto"/>
        <w:rPr>
          <w:rFonts w:ascii="Arial" w:hAnsi="Arial" w:cs="Arial"/>
        </w:rPr>
      </w:pPr>
      <w:r w:rsidRPr="001D480A">
        <w:rPr>
          <w:rFonts w:ascii="Arial" w:hAnsi="Arial" w:cs="Arial"/>
        </w:rPr>
        <w:t>Przewidywane potencjalne oddziaływanie na wody w trakcie realizacji przedmiotowej inwestycji będzie dotyczyć przede wszystkim możliwego przedostania się zanieczyszczeń, zarówno do gruntu, a w konsekwencji również za jego pośrednictwem do wód podziemnych, jak i powierzchniowych. W ramach planowanych prac konieczne będzie prowadzenie robót ziemnych i budowlanych za pomocą maszyn i sprzętu mechanicznego, co generuje ryzyko zanieczyszczenia wód substancjami ropopochodnymi w przypadku wycieku z nich paliwa lub płynów eksploatacyjnych. Zagrożenia te będą jednak skutecznie wyeliminowane dzięki zastosowaniu podstawowych zasad i dobrych praktyk prowadzenia robót budowlanych.</w:t>
      </w:r>
    </w:p>
    <w:p w14:paraId="77E5A266"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Inwestycja nie wymaga organizowania typowego zaplecza budowy. Przywożony materiał będzie bezpośrednio wbudowywany. Plac budowy zostanie wyposażony w sorbenty. Maszyny i pojazdy obsługujące inwestycję będą tankowane na stacjach paliw, w przypadku koniczności tankowania na placu budowy w celu zabezpieczenia środowiska gruntowo-wodnego zostaną wykorzystane maty sorpcyjne. </w:t>
      </w:r>
    </w:p>
    <w:p w14:paraId="3F9408BC" w14:textId="77777777" w:rsidR="001D480A" w:rsidRPr="001D480A" w:rsidRDefault="001D480A" w:rsidP="00592354">
      <w:pPr>
        <w:spacing w:before="480" w:after="480" w:line="360" w:lineRule="auto"/>
        <w:rPr>
          <w:rFonts w:ascii="Arial" w:hAnsi="Arial" w:cs="Arial"/>
        </w:rPr>
      </w:pPr>
      <w:r w:rsidRPr="001D480A">
        <w:rPr>
          <w:rFonts w:ascii="Arial" w:hAnsi="Arial" w:cs="Arial"/>
        </w:rPr>
        <w:t>Wykonanie prac może wymagać odwodnienia prowadzonych wykopów. Do odwodnienia wykopów zostanie zastosowana metoda wgłębna np. igłofiltry w obsypce piaskowej zapuszczone w zawodnione warstwy. Woda z odwodnienia odprowadzana będzie do beczkowozu, a następnie na oczyszczalnię ścieków. Ze względu na krótkotrwały czas odwodnienia wykopów, niewielkie wymagane obniżenie poziomu wody gruntowej, nie przewiduje się bezpośredniego negatywnego wpływu odwodnienia na wody powierzchniowe i podziemne. Należy dodać, że będzie to oddziaływanie krótkotrwałe i odwracalne.</w:t>
      </w:r>
    </w:p>
    <w:p w14:paraId="2D1FDA82" w14:textId="77777777" w:rsidR="001D480A" w:rsidRPr="001D480A" w:rsidRDefault="001D480A" w:rsidP="00592354">
      <w:pPr>
        <w:spacing w:before="480" w:after="480" w:line="360" w:lineRule="auto"/>
        <w:rPr>
          <w:rFonts w:ascii="Arial" w:hAnsi="Arial" w:cs="Arial"/>
        </w:rPr>
      </w:pPr>
      <w:r w:rsidRPr="001D480A">
        <w:rPr>
          <w:rFonts w:ascii="Arial" w:hAnsi="Arial" w:cs="Arial"/>
        </w:rPr>
        <w:lastRenderedPageBreak/>
        <w:t xml:space="preserve">Przed oddaniem gazociągu do eksploatacji zostaną przeprowadzone hydrauliczne próby ciśnieniowe. Próby zostaną poprzedzone płukaniem gazociągu. Woda na potrzeby wykonania prób będzie dostarczona beczkowozem. Woda płucząca zostanie wywieziona wozami asenizacyjnymi na oczyszczalnię ścieków. </w:t>
      </w:r>
    </w:p>
    <w:p w14:paraId="3A0E6845"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color w:val="000000"/>
          <w:lang w:eastAsia="pl-PL"/>
        </w:rPr>
        <w:t>Odwodnienie</w:t>
      </w:r>
      <w:r w:rsidRPr="001D480A">
        <w:rPr>
          <w:rFonts w:ascii="Arial" w:eastAsia="Times New Roman" w:hAnsi="Arial" w:cs="Arial"/>
          <w:lang w:eastAsia="pl-PL"/>
        </w:rPr>
        <w:t xml:space="preserve"> z terenów utwardzonych zespołu przyłączeniowego realizowane będzie przez układ pochyleń poprzecznych i podłużnych nawierzchni utwardzonych. Woda opadowa z nawierzchni utwardzonych odprowadzana będzie w tereny z kamieniem typu otoczak w celu wsiąkania w głąb terenu.</w:t>
      </w:r>
    </w:p>
    <w:p w14:paraId="55C2FE00" w14:textId="77777777" w:rsidR="001D480A" w:rsidRPr="001D480A" w:rsidRDefault="001D480A" w:rsidP="00592354">
      <w:pPr>
        <w:spacing w:before="480" w:after="480" w:line="360" w:lineRule="auto"/>
        <w:rPr>
          <w:rFonts w:ascii="Arial" w:hAnsi="Arial" w:cs="Arial"/>
        </w:rPr>
      </w:pPr>
      <w:r w:rsidRPr="001D480A">
        <w:rPr>
          <w:rFonts w:ascii="Arial" w:hAnsi="Arial" w:cs="Arial"/>
        </w:rPr>
        <w:t>Przy odpowiedniej organizacji prac budowlanych i zastosowaniu reżimu technologicznego podczas prowadzonych robót, planowana inwestycja nie będzie miała negatywnego wpływu na środowisko gruntowo – wodne.</w:t>
      </w:r>
    </w:p>
    <w:p w14:paraId="34972529"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Calibri" w:hAnsi="Arial" w:cs="Arial"/>
          <w:color w:val="000000"/>
          <w:lang w:eastAsia="x-none"/>
        </w:rPr>
        <w:t>Na etapie realizacji przedsięwzięcia p</w:t>
      </w:r>
      <w:r w:rsidRPr="001D480A">
        <w:rPr>
          <w:rFonts w:ascii="Arial" w:eastAsia="Calibri" w:hAnsi="Arial" w:cs="Arial"/>
          <w:color w:val="000000"/>
          <w:lang w:val="x-none" w:eastAsia="x-none"/>
        </w:rPr>
        <w:t>owstawać będą przede wszystkim odpady „budowlane” z grupy 17 wg Katalogu odpadów, kt</w:t>
      </w:r>
      <w:r w:rsidRPr="001D480A">
        <w:rPr>
          <w:rFonts w:ascii="Arial" w:eastAsia="Calibri" w:hAnsi="Arial" w:cs="Arial"/>
          <w:color w:val="000000"/>
          <w:lang w:eastAsia="x-none"/>
        </w:rPr>
        <w:t>óre będą zagospodarowywane przez wykonawcę robót.</w:t>
      </w:r>
      <w:r w:rsidRPr="001D480A">
        <w:rPr>
          <w:rFonts w:ascii="Arial" w:eastAsia="Calibri" w:hAnsi="Arial" w:cs="Arial"/>
          <w:color w:val="000000"/>
          <w:lang w:val="x-none" w:eastAsia="x-none"/>
        </w:rPr>
        <w:t xml:space="preserve"> </w:t>
      </w:r>
      <w:r w:rsidRPr="001D480A">
        <w:rPr>
          <w:rFonts w:ascii="Arial" w:eastAsia="Times New Roman" w:hAnsi="Arial" w:cs="Arial"/>
          <w:lang w:eastAsia="pl-PL"/>
        </w:rPr>
        <w:t xml:space="preserve">Inwestor deklaruje selektywną zbiórkę odpadów w miejscach do tego przeznaczonych, odpowiednio oznaczonych, zabezpieczonych przed wpływem czynników atmosferycznych, a następnie przekazanie odpadów wyspecjalizowanym firmom do zagospodarowania. </w:t>
      </w:r>
    </w:p>
    <w:p w14:paraId="25796399" w14:textId="77777777" w:rsidR="001D480A" w:rsidRPr="001D480A" w:rsidRDefault="001D480A" w:rsidP="00592354">
      <w:pPr>
        <w:autoSpaceDE w:val="0"/>
        <w:autoSpaceDN w:val="0"/>
        <w:adjustRightInd w:val="0"/>
        <w:spacing w:before="480" w:after="480" w:line="360" w:lineRule="auto"/>
        <w:rPr>
          <w:rFonts w:ascii="Arial" w:eastAsia="Times New Roman" w:hAnsi="Arial" w:cs="Arial"/>
          <w:color w:val="000000"/>
          <w:lang w:eastAsia="pl-PL"/>
        </w:rPr>
      </w:pPr>
      <w:r w:rsidRPr="001D480A">
        <w:rPr>
          <w:rFonts w:ascii="Arial" w:eastAsia="Calibri" w:hAnsi="Arial" w:cs="Arial"/>
          <w:color w:val="000000"/>
          <w:lang w:val="x-none" w:eastAsia="x-none"/>
        </w:rPr>
        <w:t>Oddziaływania na etapie realizacji będą miały charakter krótkookresowy, odwracalny i</w:t>
      </w:r>
      <w:r w:rsidRPr="001D480A">
        <w:rPr>
          <w:rFonts w:ascii="Arial" w:eastAsia="Calibri" w:hAnsi="Arial" w:cs="Arial"/>
          <w:color w:val="000000"/>
          <w:lang w:eastAsia="x-none"/>
        </w:rPr>
        <w:t> </w:t>
      </w:r>
      <w:r w:rsidRPr="001D480A">
        <w:rPr>
          <w:rFonts w:ascii="Arial" w:eastAsia="Calibri" w:hAnsi="Arial" w:cs="Arial"/>
          <w:color w:val="000000"/>
          <w:lang w:val="x-none" w:eastAsia="x-none"/>
        </w:rPr>
        <w:t>lokalny. Ustaną one po zakończeniu budowy.</w:t>
      </w:r>
      <w:r w:rsidRPr="001D480A">
        <w:rPr>
          <w:rFonts w:ascii="Arial" w:eastAsia="Calibri" w:hAnsi="Arial" w:cs="Arial"/>
          <w:color w:val="000000"/>
          <w:lang w:eastAsia="x-none"/>
        </w:rPr>
        <w:t xml:space="preserve"> </w:t>
      </w:r>
    </w:p>
    <w:p w14:paraId="3CEEA5EC"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Na etapie eksploatacji inwestycji w związku z hermetycznym przesyłem gazu i mało znaczącymi emisjami zanieczyszczeń do powietrza, wody, gleby (w przypadku awarii) inwestycja w żadnym stopniu nie będzie stanowiła zagrożenia dla świata zwierzęcego czy roślinnego, a także ludzi. Podczas normalnej pracy gazociągu, nie występuje emisja przesyłanego gazu do atmosfery. Emisja gazu może nastąpić tylko w czasie awarii odcinka gazociągu i awaryjnego zrzutu gazu z wyznaczonego odcinka gazociągu. Sytuacje takie kwalifikowane są jako stany awaryjne. </w:t>
      </w:r>
    </w:p>
    <w:p w14:paraId="2A601133"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Faza eksploatacji planowanego przedsięwzięcia nie będzie powodować emisji hałasu. </w:t>
      </w:r>
    </w:p>
    <w:p w14:paraId="4280896D"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Na etapie eksploatacji gazociągu nie będą powstawały odpady. </w:t>
      </w:r>
      <w:r w:rsidRPr="001D480A">
        <w:rPr>
          <w:rFonts w:ascii="Arial" w:eastAsia="Calibri" w:hAnsi="Arial" w:cs="Arial"/>
        </w:rPr>
        <w:t xml:space="preserve">Odpady związane z niezbędnymi naprawami eksploatacyjnymi i przeglądami konserwacyjnymi wytwarzać będą </w:t>
      </w:r>
      <w:r w:rsidRPr="001D480A">
        <w:rPr>
          <w:rFonts w:ascii="Arial" w:eastAsia="Calibri" w:hAnsi="Arial" w:cs="Arial"/>
        </w:rPr>
        <w:lastRenderedPageBreak/>
        <w:t>uprawnione firmy jako wykonawcy usługi. Zakłada się, że potrzeba takich napraw serwisowych nie nastąpi wcześniej niż po kilkunastu latach eksploatacji.</w:t>
      </w:r>
    </w:p>
    <w:p w14:paraId="5824E167"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Eksploatacja przedsięwzięcia nie będzie powodować powstawania ścieków. </w:t>
      </w:r>
    </w:p>
    <w:p w14:paraId="19E81F36" w14:textId="77777777" w:rsidR="001D480A" w:rsidRPr="001D480A" w:rsidRDefault="001D480A" w:rsidP="00592354">
      <w:pPr>
        <w:spacing w:before="480" w:after="480" w:line="360" w:lineRule="auto"/>
        <w:rPr>
          <w:rFonts w:ascii="Arial" w:hAnsi="Arial" w:cs="Arial"/>
        </w:rPr>
      </w:pPr>
      <w:r w:rsidRPr="001D480A">
        <w:rPr>
          <w:rFonts w:ascii="Arial" w:hAnsi="Arial" w:cs="Arial"/>
        </w:rPr>
        <w:t>Podczas eksploatacji przedsięwzięcia niekorzystne oddziaływanie na środowisko gruntowe może wystąpić w sytuacjach awaryjnych związanych z mechanicznym uszkodzeniem gazociągu. W przypadku niewielkiej nieszczelności może nastąpić powolny wypływ gazu z uszkodzonego gazociągu do gruntu. Dla zapewnienia prawidłowych warunków ochrony środowiska gruntowego przedmiotowy gazociąg został zaprojektowany i zostanie wykonany przy zastosowaniu nowoczesnych technologii i z wykorzystaniem najlepszej, jakości materiałów (wysokiej jakości stal). Projektowany gazociąg posiada odpowiedni systemem zabezpieczeń m.in. system ochrony katodowej, monitoring szczelności wraz ze stałym nadzorem jego pracy. Możliwość wystąpienia niekontrolowanego uwolnienia gazu do gruntu w wyniku awarii, przy zastosowaniu wskazanych zabezpieczeń będzie znikoma.</w:t>
      </w:r>
    </w:p>
    <w:p w14:paraId="79021894" w14:textId="77777777" w:rsidR="001D480A" w:rsidRPr="001D480A" w:rsidRDefault="001D480A" w:rsidP="00592354">
      <w:pPr>
        <w:spacing w:before="480" w:after="480" w:line="360" w:lineRule="auto"/>
        <w:rPr>
          <w:rFonts w:ascii="Arial" w:hAnsi="Arial" w:cs="Arial"/>
        </w:rPr>
      </w:pPr>
      <w:r w:rsidRPr="001D480A">
        <w:rPr>
          <w:rFonts w:ascii="Arial" w:hAnsi="Arial" w:cs="Arial"/>
        </w:rPr>
        <w:t xml:space="preserve">Negatywne oddziaływanie przedsięwzięcia na wody może wystąpić tylko w sytuacji awaryjnej. W przypadku awaryjnego rozszczelnienia gazociągu i migracji gazu poprzez środowisko glebowe do wód. Prawdopodobieństwo awarii jest niewielkie. Właściwie dobrana fabryczna izolacja gazociągu w połączeniu z projektowanym system ochrony katodowej przeciwdziałającym korozji stanowić będą skuteczne zabezpieczenie wód przed uwolnieniem do nich przesyłanego gazu. Ponadto, dzięki nowoczesnemu systemowi kontrolowania szczelności gazociągu, w przypadku uszkodzenia rurociągu dopływ gazu zostanie odcięty, a nadzorujący pracę gazociągu zostanie powiadomiony o awarii w celu podjęcia szybkich działań naprawczych. </w:t>
      </w:r>
    </w:p>
    <w:p w14:paraId="6075EE49"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Przedsięwzięcie zlokalizowane jest w obszarze dorzecza Odry, na terenie jednolitej części wód powierzchniowych PLRW600019155299 Śląska Ochla od Kanału Jeleniówka do Odry. Jest to silnie zmieniona część wód. Jej stan oceniono jako zły. a osiągnięcie celów środowiskowych, tj. dobrego potencjału ekologicznego i dobrego stanu chemicznego, jest niezagrożone. Ponadto, inwestycja zlokalizowana jest na terenie jednolitej części wód podziemnych oznaczonych nr PLGW600078, której stan ilościowy i chemiczny określono jako dobry. Osiągnięcie celów środowiskowych, jakimi są dobry stan ilościowy i chemiczny, oceniono jako zagrożone. </w:t>
      </w:r>
    </w:p>
    <w:p w14:paraId="27433E90"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lastRenderedPageBreak/>
        <w:t>Ponadto, wnioskowany odcinek gazociągu zlokalizowany będzie poza obszarami szczególnego zagrożenia powodzią, na obszarze Głównego Zbiornika Wód Podziemnych (GZWP nr 302) Pradolina Barycz Głogów. Nie znajduje się natomiast w obrębie strefy ochronnej ujęcia wody. Najbliższe ujęcie wody znajduje się w odległości ponad 4,9 km w obrębie Niedoradz. Nie przewiduje się negatywnego wpływu planowanego przedsięwzięcia na to ujęcie.</w:t>
      </w:r>
    </w:p>
    <w:p w14:paraId="59C3DE32"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Organ prowadzący postępowanie przychyla się do stanowiska Dyrektora Zarządu Zlewni Wód Polskich w Zielonej Górze, który stwierdził brak negatywnego wpływu na stan jednolitych części wód oraz możliwość osiągnięcia celów środowiskowych. Regionalny Dyrektor Ochrony Środowiska w Gorzowie Wielkopolskim, nie uwzględnił wskazanych w opinii warunków. W ocenie organu warunki mają charakter zbyt ogólny albo też wynikają wprost z innych przepisów prawa, w związku z tym nie zostały one uwzględnione w decyzji.</w:t>
      </w:r>
    </w:p>
    <w:p w14:paraId="4A3013BB"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Przedsięwzięcie nie będzie miało wpływu na ewentualne zmiany klimatu. Inwestycja nie jest znaczącym bezpośrednim źródłem zanieczyszczeń gazowych, w tym gazów cieplarnianych. Realizacja inwestycji nie spowoduje także zajęcia terenów zdolnych do pochłaniania gazów cieplarnianych czy retencji wód powodziowych. Inwestycja nie wpłynie także na zmniejszenie różnorodności biologicznej na omawianym terenie.</w:t>
      </w:r>
    </w:p>
    <w:p w14:paraId="3171D888" w14:textId="77777777" w:rsidR="001D480A" w:rsidRPr="001D480A" w:rsidRDefault="001D480A" w:rsidP="00592354">
      <w:pPr>
        <w:suppressAutoHyphens/>
        <w:spacing w:before="480" w:after="480" w:line="360" w:lineRule="auto"/>
        <w:textAlignment w:val="baseline"/>
        <w:rPr>
          <w:rFonts w:ascii="Arial" w:hAnsi="Arial" w:cs="Arial"/>
        </w:rPr>
      </w:pPr>
      <w:r w:rsidRPr="001D480A">
        <w:rPr>
          <w:rFonts w:ascii="Arial" w:eastAsia="Calibri" w:hAnsi="Arial" w:cs="Arial"/>
          <w:lang w:val="x-none" w:eastAsia="x-none"/>
        </w:rPr>
        <w:t>Z uwagi na rodzaj oraz lokalizację planowanej inwestycji brak jest przesłanek do stwierdzenia możliwości powstania oddziaływań skumulowanych</w:t>
      </w:r>
      <w:r w:rsidRPr="001D480A">
        <w:rPr>
          <w:rFonts w:ascii="Arial" w:eastAsia="ArialMT" w:hAnsi="Arial" w:cs="Arial"/>
          <w:lang w:val="x-none" w:eastAsia="x-none"/>
        </w:rPr>
        <w:t>.</w:t>
      </w:r>
      <w:r w:rsidRPr="001D480A">
        <w:rPr>
          <w:rFonts w:ascii="Arial" w:hAnsi="Arial" w:cs="Arial"/>
          <w:color w:val="FF0000"/>
        </w:rPr>
        <w:t xml:space="preserve"> </w:t>
      </w:r>
      <w:r w:rsidRPr="001D480A">
        <w:rPr>
          <w:rFonts w:ascii="Arial" w:hAnsi="Arial" w:cs="Arial"/>
        </w:rPr>
        <w:t xml:space="preserve">Przedmiotowej inwestycji nie dotyczy art. 248 ustawy </w:t>
      </w:r>
      <w:r w:rsidRPr="001D480A">
        <w:rPr>
          <w:rFonts w:ascii="Arial" w:eastAsia="Calibri" w:hAnsi="Arial" w:cs="Arial"/>
        </w:rPr>
        <w:t xml:space="preserve">z dnia 27 kwietnia 2001 r. Prawo ochrony środowiska </w:t>
      </w:r>
      <w:r w:rsidRPr="001D480A">
        <w:rPr>
          <w:rFonts w:ascii="Arial" w:hAnsi="Arial" w:cs="Arial"/>
        </w:rPr>
        <w:t xml:space="preserve">(t. j. z 2021 r. poz. 1973, z późn. zm.), o zakładach stwarzających zagrożenie wystąpienia poważnych awarii przemysłowych. Nie stwierdzono również konieczności ustanowienia obszaru ograniczonego użytkowania w trybie art. 135 ustawy Prawo ochrony środowiska. Ze względu na lokalizację oraz zakres przedsięwzięcia nie zachodzi ryzyko transgranicznego oddziaływania na środowisko. </w:t>
      </w:r>
    </w:p>
    <w:p w14:paraId="778CACF3" w14:textId="77777777" w:rsidR="001D480A" w:rsidRPr="001D480A" w:rsidRDefault="001D480A" w:rsidP="00592354">
      <w:pPr>
        <w:autoSpaceDE w:val="0"/>
        <w:autoSpaceDN w:val="0"/>
        <w:adjustRightInd w:val="0"/>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Uwzględniając łącznie uwarunkowania związane z kwalifikowaniem przedsięwzięcia do przeprowadzenia oceny oddziaływania na środowisko, określone w art. 85 ust. 2 pkt 2 ustawy ooś, po analizie wniosku o wydanie decyzji o środowiskowych uwarunkowaniach dla planowanego przedsięwzięcia, karty informacyjnej przedsięwzięcia, a także stanowisk: Dyrektora Zarządu Zlewni Wód Polskich w Zielonej Górze i Lubuskiego Państwowego Wojewódzkiego Inspektora Sanitarnego w Gorzowie Wielkopolskim, Regionalny Dyrektor </w:t>
      </w:r>
      <w:r w:rsidRPr="001D480A">
        <w:rPr>
          <w:rFonts w:ascii="Arial" w:eastAsia="Times New Roman" w:hAnsi="Arial" w:cs="Arial"/>
          <w:lang w:eastAsia="pl-PL"/>
        </w:rPr>
        <w:lastRenderedPageBreak/>
        <w:t xml:space="preserve">Ochrony Środowiska w Gorzowie Wielkopolskim stwierdził brak konieczności przeprowadzenia oceny oddziaływania na środowisko dla rozpatrywanego przedsięwzięcia. </w:t>
      </w:r>
    </w:p>
    <w:p w14:paraId="6AD3D46B"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W związku z powyższym oraz w oparciu o cytowane na wstępie przepisy rozstrzygnięto jak w sentencji.</w:t>
      </w:r>
    </w:p>
    <w:p w14:paraId="5B890DAC" w14:textId="3D6699EA" w:rsidR="001D480A" w:rsidRPr="00592354" w:rsidRDefault="00592354" w:rsidP="00592354">
      <w:pPr>
        <w:pStyle w:val="Nagwek1"/>
        <w:spacing w:before="480" w:after="480" w:line="360" w:lineRule="auto"/>
        <w:rPr>
          <w:rFonts w:asciiTheme="minorHAnsi" w:eastAsia="Times New Roman" w:hAnsiTheme="minorHAnsi" w:cstheme="minorHAnsi"/>
          <w:b/>
          <w:bCs/>
          <w:color w:val="auto"/>
          <w:lang w:eastAsia="pl-PL"/>
        </w:rPr>
      </w:pPr>
      <w:r w:rsidRPr="00592354">
        <w:rPr>
          <w:rFonts w:asciiTheme="minorHAnsi" w:eastAsia="Times New Roman" w:hAnsiTheme="minorHAnsi" w:cstheme="minorHAnsi"/>
          <w:b/>
          <w:bCs/>
          <w:color w:val="auto"/>
          <w:lang w:eastAsia="pl-PL"/>
        </w:rPr>
        <w:t>Pouczenie</w:t>
      </w:r>
    </w:p>
    <w:p w14:paraId="33DE629E"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 xml:space="preserve">Od niniejszej decyzji służy stronom prawo wniesienia odwołania do Generalnego Dyrektora Ochrony Środowiska, za pośrednictwem Regionalnego Dyrektora Ochrony Środowiska w Gorzowie Wielkopolskim, w terminie </w:t>
      </w:r>
      <w:r w:rsidRPr="001D480A">
        <w:rPr>
          <w:rFonts w:ascii="Arial" w:eastAsia="Times New Roman" w:hAnsi="Arial" w:cs="Arial"/>
          <w:b/>
          <w:lang w:eastAsia="pl-PL"/>
        </w:rPr>
        <w:t>14 dni</w:t>
      </w:r>
      <w:r w:rsidRPr="001D480A">
        <w:rPr>
          <w:rFonts w:ascii="Arial" w:eastAsia="Times New Roman" w:hAnsi="Arial" w:cs="Arial"/>
          <w:lang w:eastAsia="pl-PL"/>
        </w:rPr>
        <w:t xml:space="preserve"> od daty doręczenia.</w:t>
      </w:r>
    </w:p>
    <w:p w14:paraId="757A06C9" w14:textId="77777777" w:rsidR="001D480A" w:rsidRPr="001D480A" w:rsidRDefault="001D480A" w:rsidP="00592354">
      <w:pPr>
        <w:spacing w:before="480" w:after="480" w:line="360" w:lineRule="auto"/>
        <w:rPr>
          <w:rFonts w:ascii="Arial" w:eastAsia="Times New Roman" w:hAnsi="Arial" w:cs="Times New Roman"/>
          <w:lang w:eastAsia="pl-PL"/>
        </w:rPr>
      </w:pPr>
      <w:r w:rsidRPr="001D480A">
        <w:rPr>
          <w:rFonts w:ascii="Arial" w:eastAsia="Times New Roman" w:hAnsi="Arial" w:cs="Times New Roman"/>
          <w:lang w:eastAsia="pl-PL"/>
        </w:rPr>
        <w:t>W trakcie biegu terminu do wniesienia odwołania strona może zrzec się prawa do wniesienia odwołania wobec Regionalnego Dyrektora Ochrony Środowiska w Gorzowie Wielkopolskim.</w:t>
      </w:r>
    </w:p>
    <w:p w14:paraId="6563407B" w14:textId="77777777" w:rsidR="001D480A" w:rsidRPr="001D480A"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Times New Roman"/>
          <w:lang w:eastAsia="pl-PL"/>
        </w:rPr>
        <w:t>Z dniem doręczenia organowi administracji publicznej oświadczenia o zrzeczeniu się prawa do wniesienia odwołania przez ostatnią ze stron postępowania, decyzja staje się ostateczna i prawomocna.</w:t>
      </w:r>
    </w:p>
    <w:p w14:paraId="2BADAB71" w14:textId="77777777" w:rsidR="001D480A" w:rsidRPr="001D480A" w:rsidRDefault="001D480A" w:rsidP="00592354">
      <w:pPr>
        <w:spacing w:before="480" w:after="480" w:line="360" w:lineRule="auto"/>
        <w:rPr>
          <w:rFonts w:ascii="Arial" w:eastAsia="Times New Roman" w:hAnsi="Arial" w:cs="Arial"/>
          <w:iCs/>
          <w:lang w:eastAsia="pl-PL"/>
        </w:rPr>
      </w:pPr>
      <w:r w:rsidRPr="001D480A">
        <w:rPr>
          <w:rFonts w:ascii="Arial" w:eastAsia="Times New Roman" w:hAnsi="Arial" w:cs="Arial"/>
          <w:lang w:eastAsia="pl-PL"/>
        </w:rPr>
        <w:t>Decyzję o środowiskowych uwarunkowaniach dołącza się do wniosku o wydanie decyzji, o której mowa w art. 72 ust. 1 ustawy ooś, w terminie określonym w art. 72 ust. 3 i 4 ustawy ooś.</w:t>
      </w:r>
      <w:r w:rsidRPr="001D480A">
        <w:rPr>
          <w:rFonts w:ascii="Arial" w:eastAsia="Times New Roman" w:hAnsi="Arial" w:cs="Arial"/>
          <w:iCs/>
          <w:lang w:eastAsia="pl-PL"/>
        </w:rPr>
        <w:t xml:space="preserve"> Do zmiany decyzji o środowiskowych uwarunkowaniach stosuje się odpowiednio przepisy o wydaniu decyzji o środowiskowych uwarunkowaniach.</w:t>
      </w:r>
    </w:p>
    <w:p w14:paraId="75066D22" w14:textId="64802C35" w:rsidR="001D480A" w:rsidRPr="00592354" w:rsidRDefault="001D480A" w:rsidP="00592354">
      <w:pPr>
        <w:spacing w:before="480" w:after="480" w:line="360" w:lineRule="auto"/>
        <w:rPr>
          <w:rFonts w:ascii="Arial" w:eastAsia="Times New Roman" w:hAnsi="Arial" w:cs="Arial"/>
          <w:lang w:eastAsia="pl-PL"/>
        </w:rPr>
      </w:pPr>
      <w:r w:rsidRPr="001D480A">
        <w:rPr>
          <w:rFonts w:ascii="Arial" w:eastAsia="Times New Roman" w:hAnsi="Arial" w:cs="Arial"/>
          <w:lang w:eastAsia="pl-PL"/>
        </w:rPr>
        <w:t>Informacja o niniejszej decyzji podlega ujawnieniu w publicznie dostępnym wykazie danych.</w:t>
      </w:r>
    </w:p>
    <w:p w14:paraId="58854B33" w14:textId="242CE7D7" w:rsidR="001D480A" w:rsidRPr="001D480A" w:rsidRDefault="001D480A" w:rsidP="00592354">
      <w:pPr>
        <w:spacing w:before="480" w:after="480" w:line="360" w:lineRule="auto"/>
        <w:rPr>
          <w:rFonts w:ascii="Arial" w:eastAsia="Times New Roman" w:hAnsi="Arial" w:cs="Arial"/>
          <w:sz w:val="24"/>
          <w:szCs w:val="24"/>
          <w:lang w:eastAsia="pl-PL"/>
        </w:rPr>
      </w:pPr>
      <w:r w:rsidRPr="001D480A">
        <w:rPr>
          <w:noProof/>
          <w:lang w:eastAsia="pl-PL"/>
        </w:rPr>
        <w:drawing>
          <wp:inline distT="0" distB="0" distL="0" distR="0" wp14:anchorId="72E90C53" wp14:editId="0BBBFCB6">
            <wp:extent cx="2438400" cy="305977"/>
            <wp:effectExtent l="0" t="0" r="0" b="0"/>
            <wp:docPr id="3" name="Obraz 3" descr="Napis: podpisano bezpiecznym podpisem elektronicznym weryfikowanym kwalifikowanym certyfika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descr="Napis: podpisano bezpiecznym podpisem elektronicznym weryfikowanym kwalifikowanym certyfikate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23447" cy="316649"/>
                    </a:xfrm>
                    <a:prstGeom prst="rect">
                      <a:avLst/>
                    </a:prstGeom>
                    <a:noFill/>
                    <a:ln>
                      <a:noFill/>
                    </a:ln>
                  </pic:spPr>
                </pic:pic>
              </a:graphicData>
            </a:graphic>
          </wp:inline>
        </w:drawing>
      </w:r>
    </w:p>
    <w:p w14:paraId="4F6A7F72" w14:textId="69C6DCDF" w:rsidR="001D480A" w:rsidRPr="001D480A" w:rsidRDefault="001D480A" w:rsidP="004A09CE">
      <w:pPr>
        <w:spacing w:before="480" w:after="1080" w:line="360" w:lineRule="auto"/>
        <w:rPr>
          <w:rFonts w:ascii="Arial" w:eastAsia="Times New Roman" w:hAnsi="Arial" w:cs="Arial"/>
          <w:sz w:val="24"/>
          <w:szCs w:val="24"/>
          <w:lang w:eastAsia="pl-PL"/>
        </w:rPr>
      </w:pPr>
      <w:r w:rsidRPr="001D480A">
        <w:rPr>
          <w:rFonts w:ascii="Arial" w:eastAsia="Times New Roman" w:hAnsi="Arial" w:cs="Arial"/>
          <w:iCs/>
          <w:lang w:eastAsia="pl-PL"/>
        </w:rPr>
        <w:t>Na podstawie art. 6 ust. 1 pkt 1 ustawy z dnia 16 listopada 2006 r. o opłacie skarbowej (t. j. Dz. U. z 2021 r. poz. 1923, z późn. zm.) za wydanie niniejszej decyzji pobrano opłatę skarbową w kwocie 205 zł.</w:t>
      </w:r>
    </w:p>
    <w:p w14:paraId="43A80F8E" w14:textId="77777777" w:rsidR="001D480A" w:rsidRPr="001D480A" w:rsidRDefault="001D480A" w:rsidP="00592354">
      <w:pPr>
        <w:spacing w:before="480" w:after="480" w:line="360" w:lineRule="auto"/>
        <w:rPr>
          <w:rFonts w:ascii="Arial" w:eastAsia="Times New Roman" w:hAnsi="Arial" w:cs="Arial"/>
          <w:sz w:val="20"/>
          <w:szCs w:val="24"/>
          <w:u w:val="single"/>
          <w:lang w:eastAsia="pl-PL"/>
        </w:rPr>
      </w:pPr>
      <w:r w:rsidRPr="001D480A">
        <w:rPr>
          <w:rFonts w:ascii="Arial" w:eastAsia="Times New Roman" w:hAnsi="Arial" w:cs="Arial"/>
          <w:sz w:val="20"/>
          <w:szCs w:val="24"/>
          <w:u w:val="single"/>
          <w:lang w:eastAsia="pl-PL"/>
        </w:rPr>
        <w:lastRenderedPageBreak/>
        <w:t>Załącznik:</w:t>
      </w:r>
    </w:p>
    <w:p w14:paraId="0DE5137C" w14:textId="28CF19C6" w:rsidR="001D480A" w:rsidRPr="00592354" w:rsidRDefault="001D480A" w:rsidP="00592354">
      <w:pPr>
        <w:numPr>
          <w:ilvl w:val="0"/>
          <w:numId w:val="2"/>
        </w:numPr>
        <w:spacing w:before="480" w:after="480" w:line="360" w:lineRule="auto"/>
        <w:ind w:left="426" w:hanging="426"/>
        <w:rPr>
          <w:rFonts w:ascii="Arial" w:eastAsia="Times New Roman" w:hAnsi="Arial" w:cs="Arial"/>
          <w:sz w:val="20"/>
          <w:szCs w:val="24"/>
          <w:lang w:eastAsia="pl-PL"/>
        </w:rPr>
      </w:pPr>
      <w:r w:rsidRPr="001D480A">
        <w:rPr>
          <w:rFonts w:ascii="Arial" w:eastAsia="Times New Roman" w:hAnsi="Arial" w:cs="Arial"/>
          <w:sz w:val="20"/>
          <w:szCs w:val="24"/>
          <w:lang w:eastAsia="pl-PL"/>
        </w:rPr>
        <w:t>Charakterystyka przedsięwzięcia z 2 marca 2021 r., znak: WZŚ.420.35.2021.AJ.</w:t>
      </w:r>
    </w:p>
    <w:p w14:paraId="28292E8D" w14:textId="77777777" w:rsidR="001D480A" w:rsidRPr="001D480A" w:rsidRDefault="001D480A" w:rsidP="00592354">
      <w:pPr>
        <w:spacing w:before="480" w:after="480" w:line="360" w:lineRule="auto"/>
        <w:rPr>
          <w:rFonts w:ascii="Arial" w:eastAsia="Times New Roman" w:hAnsi="Arial" w:cs="Arial"/>
          <w:sz w:val="20"/>
          <w:szCs w:val="20"/>
          <w:lang w:eastAsia="pl-PL"/>
        </w:rPr>
      </w:pPr>
      <w:r w:rsidRPr="001D480A">
        <w:rPr>
          <w:rFonts w:ascii="Arial" w:eastAsia="Times New Roman" w:hAnsi="Arial" w:cs="Arial"/>
          <w:sz w:val="20"/>
          <w:szCs w:val="20"/>
          <w:u w:val="single"/>
          <w:lang w:eastAsia="pl-PL"/>
        </w:rPr>
        <w:t>Otrzymują</w:t>
      </w:r>
      <w:r w:rsidRPr="001D480A">
        <w:rPr>
          <w:rFonts w:ascii="Arial" w:eastAsia="Times New Roman" w:hAnsi="Arial" w:cs="Arial"/>
          <w:sz w:val="20"/>
          <w:szCs w:val="20"/>
          <w:lang w:eastAsia="pl-PL"/>
        </w:rPr>
        <w:t>:</w:t>
      </w:r>
    </w:p>
    <w:p w14:paraId="4EEB9B08" w14:textId="77777777" w:rsidR="001D480A" w:rsidRPr="001D480A" w:rsidRDefault="001D480A" w:rsidP="00592354">
      <w:pPr>
        <w:numPr>
          <w:ilvl w:val="0"/>
          <w:numId w:val="1"/>
        </w:numPr>
        <w:spacing w:before="480" w:after="480" w:line="360" w:lineRule="auto"/>
        <w:ind w:left="426"/>
        <w:rPr>
          <w:rFonts w:ascii="Arial" w:eastAsia="Times New Roman" w:hAnsi="Arial" w:cs="Arial"/>
          <w:sz w:val="20"/>
          <w:szCs w:val="20"/>
          <w:lang w:eastAsia="pl-PL"/>
        </w:rPr>
      </w:pPr>
      <w:r w:rsidRPr="001D480A">
        <w:rPr>
          <w:rFonts w:ascii="Arial" w:eastAsia="Times New Roman" w:hAnsi="Arial" w:cs="Arial"/>
          <w:sz w:val="20"/>
          <w:highlight w:val="black"/>
          <w:lang w:eastAsia="pl-PL"/>
        </w:rPr>
        <w:t>Martyna Frąszczak</w:t>
      </w:r>
      <w:r w:rsidRPr="001D480A">
        <w:rPr>
          <w:rFonts w:ascii="Arial" w:eastAsia="Times New Roman" w:hAnsi="Arial" w:cs="Arial"/>
          <w:sz w:val="20"/>
          <w:lang w:eastAsia="pl-PL"/>
        </w:rPr>
        <w:t xml:space="preserve"> </w:t>
      </w:r>
      <w:r w:rsidRPr="001D480A">
        <w:rPr>
          <w:rFonts w:ascii="Arial" w:eastAsia="Times New Roman" w:hAnsi="Arial" w:cs="Arial"/>
          <w:bCs/>
          <w:sz w:val="20"/>
          <w:lang w:eastAsia="pl-PL"/>
        </w:rPr>
        <w:t>MJP Sieci i Usługi</w:t>
      </w:r>
      <w:r w:rsidRPr="001D480A">
        <w:rPr>
          <w:rFonts w:ascii="Arial" w:eastAsia="Times New Roman" w:hAnsi="Arial" w:cs="Arial"/>
          <w:sz w:val="20"/>
          <w:lang w:eastAsia="pl-PL"/>
        </w:rPr>
        <w:t xml:space="preserve"> </w:t>
      </w:r>
      <w:r w:rsidRPr="001D480A">
        <w:rPr>
          <w:rFonts w:ascii="Arial" w:eastAsia="Times New Roman" w:hAnsi="Arial" w:cs="Arial"/>
          <w:bCs/>
          <w:sz w:val="20"/>
          <w:lang w:eastAsia="pl-PL"/>
        </w:rPr>
        <w:t>Projektowo-Wykonawcze</w:t>
      </w:r>
      <w:r w:rsidRPr="001D480A">
        <w:rPr>
          <w:rFonts w:ascii="Arial" w:eastAsia="Times New Roman" w:hAnsi="Arial" w:cs="Arial"/>
          <w:sz w:val="20"/>
          <w:lang w:eastAsia="pl-PL"/>
        </w:rPr>
        <w:t xml:space="preserve"> (pełnomocnik inwestora)</w:t>
      </w:r>
      <w:r w:rsidRPr="001D480A">
        <w:rPr>
          <w:rFonts w:ascii="Arial" w:eastAsia="Times New Roman" w:hAnsi="Arial" w:cs="Arial"/>
          <w:sz w:val="20"/>
          <w:szCs w:val="20"/>
          <w:lang w:eastAsia="pl-PL"/>
        </w:rPr>
        <w:t>,</w:t>
      </w:r>
    </w:p>
    <w:p w14:paraId="3FA76A82" w14:textId="77777777" w:rsidR="001D480A" w:rsidRPr="001D480A" w:rsidRDefault="001D480A" w:rsidP="00592354">
      <w:pPr>
        <w:numPr>
          <w:ilvl w:val="0"/>
          <w:numId w:val="1"/>
        </w:numPr>
        <w:spacing w:before="480" w:after="480" w:line="360" w:lineRule="auto"/>
        <w:ind w:left="426"/>
        <w:rPr>
          <w:rFonts w:ascii="Arial" w:eastAsia="Times New Roman" w:hAnsi="Arial" w:cs="Arial"/>
          <w:color w:val="000000"/>
          <w:sz w:val="20"/>
          <w:szCs w:val="20"/>
          <w:lang w:eastAsia="pl-PL"/>
        </w:rPr>
      </w:pPr>
      <w:r w:rsidRPr="001D480A">
        <w:rPr>
          <w:rFonts w:ascii="Arial" w:eastAsia="Times New Roman" w:hAnsi="Arial" w:cs="Arial"/>
          <w:sz w:val="20"/>
          <w:szCs w:val="20"/>
          <w:lang w:eastAsia="pl-PL"/>
        </w:rPr>
        <w:t>Lubuski Państwowy Wojewódzki Inspektor Sanitarny w Gorzowie Wielkopolskim,</w:t>
      </w:r>
    </w:p>
    <w:p w14:paraId="14ADC696" w14:textId="77777777" w:rsidR="001D480A" w:rsidRPr="001D480A" w:rsidRDefault="001D480A" w:rsidP="00592354">
      <w:pPr>
        <w:numPr>
          <w:ilvl w:val="0"/>
          <w:numId w:val="1"/>
        </w:numPr>
        <w:spacing w:before="480" w:after="480" w:line="360" w:lineRule="auto"/>
        <w:ind w:left="426"/>
        <w:rPr>
          <w:rFonts w:ascii="Arial" w:eastAsia="Times New Roman" w:hAnsi="Arial" w:cs="Arial"/>
          <w:sz w:val="20"/>
          <w:szCs w:val="20"/>
          <w:lang w:eastAsia="pl-PL"/>
        </w:rPr>
      </w:pPr>
      <w:r w:rsidRPr="001D480A">
        <w:rPr>
          <w:rFonts w:ascii="Arial" w:eastAsia="Times New Roman" w:hAnsi="Arial" w:cs="Arial"/>
          <w:sz w:val="20"/>
          <w:szCs w:val="20"/>
          <w:lang w:eastAsia="pl-PL"/>
        </w:rPr>
        <w:t>Dyrektor Zarządu Zlewni Wód Polskich w Zielonej Górze,</w:t>
      </w:r>
    </w:p>
    <w:p w14:paraId="69A8154C" w14:textId="77777777" w:rsidR="001D480A" w:rsidRPr="001D480A" w:rsidRDefault="001D480A" w:rsidP="00592354">
      <w:pPr>
        <w:numPr>
          <w:ilvl w:val="0"/>
          <w:numId w:val="1"/>
        </w:numPr>
        <w:spacing w:before="480" w:after="480" w:line="360" w:lineRule="auto"/>
        <w:ind w:left="426"/>
        <w:rPr>
          <w:rFonts w:ascii="Arial" w:eastAsia="Times New Roman" w:hAnsi="Arial" w:cs="Arial"/>
          <w:color w:val="000000"/>
          <w:sz w:val="20"/>
          <w:szCs w:val="20"/>
          <w:lang w:eastAsia="pl-PL"/>
        </w:rPr>
      </w:pPr>
      <w:r w:rsidRPr="001D480A">
        <w:rPr>
          <w:rFonts w:ascii="Arial" w:eastAsia="Times New Roman" w:hAnsi="Arial" w:cs="Arial"/>
          <w:sz w:val="20"/>
          <w:szCs w:val="20"/>
          <w:lang w:eastAsia="pl-PL"/>
        </w:rPr>
        <w:t>pozostałe strony postępowania – w trybie art. 49 Kpa,</w:t>
      </w:r>
    </w:p>
    <w:p w14:paraId="4705CA53" w14:textId="343D569E" w:rsidR="008F196D" w:rsidRPr="004A09CE" w:rsidRDefault="001D480A" w:rsidP="00592354">
      <w:pPr>
        <w:numPr>
          <w:ilvl w:val="0"/>
          <w:numId w:val="1"/>
        </w:numPr>
        <w:spacing w:before="480" w:after="480" w:line="360" w:lineRule="auto"/>
        <w:ind w:left="426"/>
        <w:rPr>
          <w:rFonts w:ascii="Arial" w:eastAsia="Times New Roman" w:hAnsi="Arial" w:cs="Arial"/>
          <w:sz w:val="20"/>
          <w:szCs w:val="20"/>
          <w:lang w:eastAsia="pl-PL"/>
        </w:rPr>
      </w:pPr>
      <w:r w:rsidRPr="001D480A">
        <w:rPr>
          <w:rFonts w:ascii="Arial" w:eastAsia="Times New Roman" w:hAnsi="Arial" w:cs="Arial"/>
          <w:sz w:val="20"/>
          <w:szCs w:val="20"/>
          <w:lang w:eastAsia="pl-PL"/>
        </w:rPr>
        <w:t>ad acta.</w:t>
      </w:r>
    </w:p>
    <w:sectPr w:rsidR="008F196D" w:rsidRPr="004A09CE" w:rsidSect="009B6B9C">
      <w:headerReference w:type="even" r:id="rId10"/>
      <w:footerReference w:type="even" r:id="rId11"/>
      <w:footerReference w:type="default" r:id="rId12"/>
      <w:pgSz w:w="11906" w:h="16838"/>
      <w:pgMar w:top="1418" w:right="1418" w:bottom="1418" w:left="1418" w:header="709" w:footer="5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C3EC7" w14:textId="77777777" w:rsidR="00C441D0" w:rsidRDefault="00C441D0">
      <w:pPr>
        <w:spacing w:after="0" w:line="240" w:lineRule="auto"/>
      </w:pPr>
      <w:r>
        <w:separator/>
      </w:r>
    </w:p>
  </w:endnote>
  <w:endnote w:type="continuationSeparator" w:id="0">
    <w:p w14:paraId="306CB29A" w14:textId="77777777" w:rsidR="00C441D0" w:rsidRDefault="00C441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MT">
    <w:altName w:val="Times New Roman"/>
    <w:panose1 w:val="00000000000000000000"/>
    <w:charset w:val="80"/>
    <w:family w:val="auto"/>
    <w:notTrueType/>
    <w:pitch w:val="default"/>
    <w:sig w:usb0="00000003" w:usb1="08070000" w:usb2="00000010" w:usb3="00000000" w:csb0="0002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82FB8" w14:textId="77777777" w:rsidR="00FF7288" w:rsidRDefault="001D480A" w:rsidP="00FD08DC">
    <w:pPr>
      <w:pStyle w:val="Stopka"/>
      <w:framePr w:wrap="around" w:vAnchor="text" w:hAnchor="margin" w:xAlign="center" w:y="1"/>
      <w:rPr>
        <w:rStyle w:val="Numerstrony"/>
        <w:rFonts w:eastAsiaTheme="majorEastAsia"/>
      </w:rPr>
    </w:pPr>
    <w:r>
      <w:rPr>
        <w:rStyle w:val="Numerstrony"/>
        <w:rFonts w:eastAsiaTheme="majorEastAsia"/>
      </w:rPr>
      <w:fldChar w:fldCharType="begin"/>
    </w:r>
    <w:r>
      <w:rPr>
        <w:rStyle w:val="Numerstrony"/>
        <w:rFonts w:eastAsiaTheme="majorEastAsia"/>
      </w:rPr>
      <w:instrText xml:space="preserve">PAGE  </w:instrText>
    </w:r>
    <w:r>
      <w:rPr>
        <w:rStyle w:val="Numerstrony"/>
        <w:rFonts w:eastAsiaTheme="majorEastAsia"/>
      </w:rPr>
      <w:fldChar w:fldCharType="end"/>
    </w:r>
  </w:p>
  <w:p w14:paraId="3BABA4D9" w14:textId="77777777" w:rsidR="00FF7288" w:rsidRDefault="00C441D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109EB" w14:textId="77777777" w:rsidR="00FF7288" w:rsidRPr="006E37BF" w:rsidRDefault="001D480A" w:rsidP="003C4C7D">
    <w:pPr>
      <w:pStyle w:val="Stopka"/>
      <w:rPr>
        <w:rFonts w:ascii="Arial Narrow" w:hAnsi="Arial Narrow"/>
        <w:sz w:val="18"/>
        <w:szCs w:val="18"/>
      </w:rPr>
    </w:pPr>
    <w:r>
      <w:rPr>
        <w:rFonts w:ascii="Arial Narrow" w:hAnsi="Arial Narrow"/>
        <w:noProof/>
        <w:sz w:val="18"/>
        <w:szCs w:val="18"/>
        <w:lang w:eastAsia="pl-PL"/>
      </w:rPr>
      <mc:AlternateContent>
        <mc:Choice Requires="wpg">
          <w:drawing>
            <wp:anchor distT="0" distB="0" distL="114300" distR="114300" simplePos="0" relativeHeight="251659264" behindDoc="0" locked="0" layoutInCell="1" allowOverlap="1" wp14:anchorId="61D63FDA" wp14:editId="31230D77">
              <wp:simplePos x="0" y="0"/>
              <wp:positionH relativeFrom="page">
                <wp:posOffset>20320</wp:posOffset>
              </wp:positionH>
              <wp:positionV relativeFrom="bottomMargin">
                <wp:posOffset>111760</wp:posOffset>
              </wp:positionV>
              <wp:extent cx="7544435" cy="190500"/>
              <wp:effectExtent l="10795" t="6985" r="5080" b="2540"/>
              <wp:wrapNone/>
              <wp:docPr id="1" name="Grupa 1" descr="Element dekoracyjny i napis: Decyzja o środowiskowych uwarunkowaniach z 2 marca 2022 r., znak: WZŚ.420.35.2021.AJ"/>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4435" cy="190500"/>
                        <a:chOff x="0" y="14970"/>
                        <a:chExt cx="12255" cy="300"/>
                      </a:xfrm>
                    </wpg:grpSpPr>
                    <wps:wsp>
                      <wps:cNvPr id="2" name="Text Box 2"/>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85A221" w14:textId="77777777" w:rsidR="00FF7288" w:rsidRPr="006E37BF" w:rsidRDefault="001D480A">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Pr="001D480A">
                              <w:rPr>
                                <w:noProof/>
                                <w:color w:val="8C8C8C" w:themeColor="background1" w:themeShade="8C"/>
                                <w:sz w:val="18"/>
                                <w:szCs w:val="18"/>
                              </w:rPr>
                              <w:t>7</w:t>
                            </w:r>
                            <w:r w:rsidRPr="006E37BF">
                              <w:rPr>
                                <w:sz w:val="18"/>
                                <w:szCs w:val="18"/>
                              </w:rPr>
                              <w:fldChar w:fldCharType="end"/>
                            </w:r>
                          </w:p>
                        </w:txbxContent>
                      </wps:txbx>
                      <wps:bodyPr rot="0" vert="horz" wrap="square" lIns="0" tIns="0" rIns="0" bIns="0" anchor="t" anchorCtr="0" upright="1">
                        <a:noAutofit/>
                      </wps:bodyPr>
                    </wps:wsp>
                    <wpg:grpSp>
                      <wpg:cNvPr id="4" name="Group 3"/>
                      <wpg:cNvGrpSpPr>
                        <a:grpSpLocks/>
                      </wpg:cNvGrpSpPr>
                      <wpg:grpSpPr bwMode="auto">
                        <a:xfrm flipH="1">
                          <a:off x="0" y="14970"/>
                          <a:ext cx="12255" cy="230"/>
                          <a:chOff x="-8" y="14978"/>
                          <a:chExt cx="12255" cy="230"/>
                        </a:xfrm>
                      </wpg:grpSpPr>
                      <wps:wsp>
                        <wps:cNvPr id="5" name="AutoShape 4"/>
                        <wps:cNvCnPr>
                          <a:cxnSpLocks noChangeShapeType="1"/>
                        </wps:cNvCnPr>
                        <wps:spPr bwMode="auto">
                          <a:xfrm flipV="1">
                            <a:off x="-8" y="14978"/>
                            <a:ext cx="1260" cy="230"/>
                          </a:xfrm>
                          <a:prstGeom prst="bentConnector3">
                            <a:avLst>
                              <a:gd name="adj1" fmla="val 50000"/>
                            </a:avLst>
                          </a:prstGeom>
                          <a:noFill/>
                          <a:ln w="9525">
                            <a:solidFill>
                              <a:sysClr val="window" lastClr="FFFFFF">
                                <a:lumMod val="65000"/>
                                <a:lumOff val="0"/>
                              </a:sysClr>
                            </a:solidFill>
                            <a:miter lim="800000"/>
                            <a:headEnd/>
                            <a:tailEnd/>
                          </a:ln>
                          <a:extLst>
                            <a:ext uri="{909E8E84-426E-40DD-AFC4-6F175D3DCCD1}">
                              <a14:hiddenFill xmlns:a14="http://schemas.microsoft.com/office/drawing/2010/main">
                                <a:noFill/>
                              </a14:hiddenFill>
                            </a:ext>
                          </a:extLst>
                        </wps:spPr>
                        <wps:bodyPr/>
                      </wps:wsp>
                      <wps:wsp>
                        <wps:cNvPr id="6" name="AutoShape 5"/>
                        <wps:cNvCnPr>
                          <a:cxnSpLocks noChangeShapeType="1"/>
                        </wps:cNvCnPr>
                        <wps:spPr bwMode="auto">
                          <a:xfrm rot="10800000">
                            <a:off x="1252" y="14978"/>
                            <a:ext cx="10995" cy="230"/>
                          </a:xfrm>
                          <a:prstGeom prst="bentConnector3">
                            <a:avLst>
                              <a:gd name="adj1" fmla="val 96778"/>
                            </a:avLst>
                          </a:prstGeom>
                          <a:noFill/>
                          <a:ln w="9525">
                            <a:solidFill>
                              <a:sysClr val="window" lastClr="FFFFFF">
                                <a:lumMod val="65000"/>
                                <a:lumOff val="0"/>
                              </a:sysClr>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61D63FDA" id="Grupa 1" o:spid="_x0000_s1026" alt="Element dekoracyjny i napis: Decyzja o środowiskowych uwarunkowaniach z 2 marca 2022 r., znak: WZŚ.420.35.2021.AJ" style="position:absolute;margin-left:1.6pt;margin-top:8.8pt;width:594.05pt;height:15pt;z-index:251659264;mso-width-percent:1000;mso-position-horizontal-relative:page;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">
              <v:shapetype id="_x0000_t202" coordsize="21600,21600" o:spt="202" path="m,l,21600r21600,l21600,xe">
                <v:stroke joinstyle="miter"/>
                <v:path gradientshapeok="t" o:connecttype="rect"/>
              </v:shapetype>
              <v:shape id="Text Box 2"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3C85A221" w14:textId="77777777" w:rsidR="00FF7288" w:rsidRPr="006E37BF" w:rsidRDefault="001D480A">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Pr="001D480A">
                        <w:rPr>
                          <w:noProof/>
                          <w:color w:val="8C8C8C" w:themeColor="background1" w:themeShade="8C"/>
                          <w:sz w:val="18"/>
                          <w:szCs w:val="18"/>
                        </w:rPr>
                        <w:t>7</w:t>
                      </w:r>
                      <w:r w:rsidRPr="006E37BF">
                        <w:rPr>
                          <w:sz w:val="18"/>
                          <w:szCs w:val="18"/>
                        </w:rPr>
                        <w:fldChar w:fldCharType="end"/>
                      </w:r>
                    </w:p>
                  </w:txbxContent>
                </v:textbox>
              </v:shape>
              <v:group id="Group 3"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" strokecolor="#a6a6a6"/>
                <v:shape id="AutoShape 5"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" adj="20904" strokecolor="#a6a6a6"/>
              </v:group>
              <w10:wrap anchorx="page" anchory="margin"/>
            </v:group>
          </w:pict>
        </mc:Fallback>
      </mc:AlternateContent>
    </w:r>
    <w:r>
      <w:rPr>
        <w:rFonts w:ascii="Arial Narrow" w:hAnsi="Arial Narrow"/>
        <w:sz w:val="18"/>
        <w:szCs w:val="18"/>
      </w:rPr>
      <w:t xml:space="preserve">Decyzja o środowiskowych uwarunkowaniach z 2 marca </w:t>
    </w:r>
    <w:r w:rsidRPr="006E37BF">
      <w:rPr>
        <w:rFonts w:ascii="Arial Narrow" w:hAnsi="Arial Narrow"/>
        <w:sz w:val="18"/>
        <w:szCs w:val="18"/>
      </w:rPr>
      <w:t>20</w:t>
    </w:r>
    <w:r>
      <w:rPr>
        <w:rFonts w:ascii="Arial Narrow" w:hAnsi="Arial Narrow"/>
        <w:sz w:val="18"/>
        <w:szCs w:val="18"/>
      </w:rPr>
      <w:t>22 r., znak: WZŚ.420</w:t>
    </w:r>
    <w:r w:rsidRPr="006E37BF">
      <w:rPr>
        <w:rFonts w:ascii="Arial Narrow" w:hAnsi="Arial Narrow"/>
        <w:sz w:val="18"/>
        <w:szCs w:val="18"/>
      </w:rPr>
      <w:t>.</w:t>
    </w:r>
    <w:r>
      <w:rPr>
        <w:rFonts w:ascii="Arial Narrow" w:hAnsi="Arial Narrow"/>
        <w:sz w:val="18"/>
        <w:szCs w:val="18"/>
      </w:rPr>
      <w:t>35.2021.AJ</w:t>
    </w:r>
  </w:p>
  <w:p w14:paraId="3FA6407B" w14:textId="77777777" w:rsidR="00FF7288" w:rsidRDefault="00C441D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09BF9" w14:textId="77777777" w:rsidR="00C441D0" w:rsidRDefault="00C441D0">
      <w:pPr>
        <w:spacing w:after="0" w:line="240" w:lineRule="auto"/>
      </w:pPr>
      <w:r>
        <w:separator/>
      </w:r>
    </w:p>
  </w:footnote>
  <w:footnote w:type="continuationSeparator" w:id="0">
    <w:p w14:paraId="5227C4DA" w14:textId="77777777" w:rsidR="00C441D0" w:rsidRDefault="00C441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A50F0" w14:textId="77777777" w:rsidR="00FF7288" w:rsidRDefault="001D480A">
    <w:pPr>
      <w:framePr w:wrap="around" w:vAnchor="text" w:hAnchor="margin" w:xAlign="center" w:y="1"/>
      <w:rPr>
        <w:rStyle w:val="Numerstrony"/>
        <w:rFonts w:eastAsiaTheme="majorEastAsia"/>
      </w:rPr>
    </w:pPr>
    <w:r>
      <w:rPr>
        <w:rStyle w:val="Numerstrony"/>
        <w:rFonts w:eastAsiaTheme="majorEastAsia"/>
      </w:rPr>
      <w:fldChar w:fldCharType="begin"/>
    </w:r>
    <w:r>
      <w:rPr>
        <w:rStyle w:val="Numerstrony"/>
        <w:rFonts w:eastAsiaTheme="majorEastAsia"/>
      </w:rPr>
      <w:instrText xml:space="preserve">PAGE  </w:instrText>
    </w:r>
    <w:r>
      <w:rPr>
        <w:rStyle w:val="Numerstrony"/>
        <w:rFonts w:eastAsiaTheme="majorEastAsia"/>
      </w:rPr>
      <w:fldChar w:fldCharType="end"/>
    </w:r>
  </w:p>
  <w:p w14:paraId="64EFD3C3" w14:textId="77777777" w:rsidR="00FF7288" w:rsidRDefault="00C441D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309E7"/>
    <w:multiLevelType w:val="hybridMultilevel"/>
    <w:tmpl w:val="001ED978"/>
    <w:lvl w:ilvl="0" w:tplc="66B8242A">
      <w:start w:val="1"/>
      <w:numFmt w:val="decimal"/>
      <w:lvlText w:val="%1."/>
      <w:lvlJc w:val="left"/>
      <w:pPr>
        <w:ind w:left="1080" w:hanging="360"/>
      </w:pPr>
      <w:rPr>
        <w:rFonts w:ascii="Arial" w:hAnsi="Arial" w:cs="Aria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2A1C3139"/>
    <w:multiLevelType w:val="hybridMultilevel"/>
    <w:tmpl w:val="EB2A6C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480A"/>
    <w:rsid w:val="001D480A"/>
    <w:rsid w:val="004A09CE"/>
    <w:rsid w:val="004C4AE7"/>
    <w:rsid w:val="00572E80"/>
    <w:rsid w:val="00592354"/>
    <w:rsid w:val="00C441D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09AEA"/>
  <w15:chartTrackingRefBased/>
  <w15:docId w15:val="{06141B0E-0AB5-48A6-B3B9-88D011E11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59235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1D480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D480A"/>
  </w:style>
  <w:style w:type="character" w:styleId="Numerstrony">
    <w:name w:val="page number"/>
    <w:basedOn w:val="Domylnaczcionkaakapitu"/>
    <w:uiPriority w:val="99"/>
    <w:rsid w:val="001D480A"/>
  </w:style>
  <w:style w:type="paragraph" w:styleId="Nagwek">
    <w:name w:val="header"/>
    <w:basedOn w:val="Normalny"/>
    <w:link w:val="NagwekZnak"/>
    <w:uiPriority w:val="99"/>
    <w:unhideWhenUsed/>
    <w:rsid w:val="0059235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92354"/>
  </w:style>
  <w:style w:type="character" w:customStyle="1" w:styleId="Nagwek1Znak">
    <w:name w:val="Nagłówek 1 Znak"/>
    <w:basedOn w:val="Domylnaczcionkaakapitu"/>
    <w:link w:val="Nagwek1"/>
    <w:uiPriority w:val="9"/>
    <w:rsid w:val="0059235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12</Pages>
  <Words>3443</Words>
  <Characters>20664</Characters>
  <Application>Microsoft Office Word</Application>
  <DocSecurity>0</DocSecurity>
  <Lines>172</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Decyzja o środowiskowych uwarunkowaniach z 2 marca 2022 roku, znak WZŚ.420.35.2021.AJ</dc:title>
  <dc:subject/>
  <dc:creator>Aleksandra Jankowska</dc:creator>
  <cp:keywords/>
  <dc:description/>
  <cp:lastModifiedBy>k.skoluda</cp:lastModifiedBy>
  <cp:revision>2</cp:revision>
  <cp:lastPrinted>2022-03-04T06:35:00Z</cp:lastPrinted>
  <dcterms:created xsi:type="dcterms:W3CDTF">2022-03-03T07:23:00Z</dcterms:created>
  <dcterms:modified xsi:type="dcterms:W3CDTF">2022-03-04T06:43:00Z</dcterms:modified>
</cp:coreProperties>
</file>