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7458E" w14:textId="77777777" w:rsidR="00BC3573" w:rsidRDefault="00BC3573" w:rsidP="004E2D48">
      <w:pPr>
        <w:pStyle w:val="Nagwek1"/>
        <w:spacing w:before="0" w:after="120" w:line="240" w:lineRule="auto"/>
        <w:jc w:val="center"/>
        <w:rPr>
          <w:rFonts w:cs="Arial"/>
          <w:b/>
          <w:color w:val="auto"/>
          <w:szCs w:val="20"/>
        </w:rPr>
      </w:pPr>
    </w:p>
    <w:p w14:paraId="23343952" w14:textId="77777777" w:rsidR="00E575C3" w:rsidRPr="004E2D48" w:rsidRDefault="0074657B" w:rsidP="004E2D48">
      <w:pPr>
        <w:pStyle w:val="Nagwek1"/>
        <w:spacing w:before="0" w:after="120" w:line="240" w:lineRule="auto"/>
        <w:jc w:val="center"/>
        <w:rPr>
          <w:rFonts w:cs="Arial"/>
          <w:b/>
          <w:color w:val="auto"/>
          <w:szCs w:val="20"/>
        </w:rPr>
      </w:pPr>
      <w:r w:rsidRPr="004E2D48">
        <w:rPr>
          <w:rFonts w:cs="Arial"/>
          <w:b/>
          <w:color w:val="auto"/>
          <w:szCs w:val="20"/>
        </w:rPr>
        <w:t>Szczegółowy O</w:t>
      </w:r>
      <w:r w:rsidR="00811F7E" w:rsidRPr="004E2D48">
        <w:rPr>
          <w:rFonts w:cs="Arial"/>
          <w:b/>
          <w:color w:val="auto"/>
          <w:szCs w:val="20"/>
        </w:rPr>
        <w:t xml:space="preserve">pis </w:t>
      </w:r>
      <w:r w:rsidR="00766BCB" w:rsidRPr="004E2D48">
        <w:rPr>
          <w:rFonts w:cs="Arial"/>
          <w:b/>
          <w:color w:val="auto"/>
          <w:szCs w:val="20"/>
        </w:rPr>
        <w:t>P</w:t>
      </w:r>
      <w:r w:rsidR="00811F7E" w:rsidRPr="004E2D48">
        <w:rPr>
          <w:rFonts w:cs="Arial"/>
          <w:b/>
          <w:color w:val="auto"/>
          <w:szCs w:val="20"/>
        </w:rPr>
        <w:t xml:space="preserve">rzedmiotu </w:t>
      </w:r>
      <w:r w:rsidR="00766BCB" w:rsidRPr="004E2D48">
        <w:rPr>
          <w:rFonts w:cs="Arial"/>
          <w:b/>
          <w:color w:val="auto"/>
          <w:szCs w:val="20"/>
        </w:rPr>
        <w:t>Z</w:t>
      </w:r>
      <w:r w:rsidR="00811F7E" w:rsidRPr="004E2D48">
        <w:rPr>
          <w:rFonts w:cs="Arial"/>
          <w:b/>
          <w:color w:val="auto"/>
          <w:szCs w:val="20"/>
        </w:rPr>
        <w:t>amówienia</w:t>
      </w:r>
      <w:r w:rsidR="00726A40" w:rsidRPr="004E2D48">
        <w:rPr>
          <w:rFonts w:cs="Arial"/>
          <w:b/>
          <w:color w:val="auto"/>
          <w:szCs w:val="20"/>
        </w:rPr>
        <w:t xml:space="preserve"> dot</w:t>
      </w:r>
      <w:r w:rsidR="003C6D2F" w:rsidRPr="004E2D48">
        <w:rPr>
          <w:rFonts w:cs="Arial"/>
          <w:b/>
          <w:color w:val="auto"/>
          <w:szCs w:val="20"/>
        </w:rPr>
        <w:t>yczącego</w:t>
      </w:r>
      <w:r w:rsidR="00726A40" w:rsidRPr="004E2D48">
        <w:rPr>
          <w:rFonts w:cs="Arial"/>
          <w:b/>
          <w:color w:val="auto"/>
          <w:szCs w:val="20"/>
        </w:rPr>
        <w:t xml:space="preserve"> </w:t>
      </w:r>
      <w:r w:rsidR="00755BC1">
        <w:rPr>
          <w:rFonts w:cs="Arial"/>
          <w:b/>
          <w:color w:val="auto"/>
          <w:szCs w:val="20"/>
        </w:rPr>
        <w:t>usługi doradczo-konsultacyjnej w zakresie opracowania Krajowej Strategii Niskoemisyjnej</w:t>
      </w:r>
    </w:p>
    <w:p w14:paraId="2587C560" w14:textId="77777777" w:rsidR="0083456C" w:rsidRPr="004E2D48" w:rsidRDefault="0083456C" w:rsidP="004E2D4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4ABAB65" w14:textId="77777777" w:rsidR="00D3379B" w:rsidRPr="004E2D48" w:rsidRDefault="00D3379B" w:rsidP="004E2D4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8DB3263" w14:textId="77777777" w:rsidR="00BF36D5" w:rsidRPr="004E2D48" w:rsidRDefault="000B4D3A" w:rsidP="004E2D48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Opis Przedmiotu Zamówienia</w:t>
      </w:r>
      <w:r w:rsidR="00AE0849" w:rsidRPr="004E2D48">
        <w:rPr>
          <w:rFonts w:ascii="Arial" w:hAnsi="Arial" w:cs="Arial"/>
          <w:b/>
          <w:sz w:val="20"/>
          <w:szCs w:val="20"/>
        </w:rPr>
        <w:t xml:space="preserve"> na potrzeby szacowania wartości zamówienia</w:t>
      </w:r>
    </w:p>
    <w:p w14:paraId="7C28BAA1" w14:textId="77777777" w:rsidR="004E2D48" w:rsidRPr="004E2D48" w:rsidRDefault="004E2D48" w:rsidP="004E2D48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8CBB4F" w14:textId="77777777" w:rsidR="00BF36D5" w:rsidRPr="004E2D48" w:rsidRDefault="00BF36D5" w:rsidP="004E2D48">
      <w:pPr>
        <w:pStyle w:val="Akapitzlist"/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Postanowienia ogólne</w:t>
      </w:r>
    </w:p>
    <w:p w14:paraId="4EFA9340" w14:textId="77777777" w:rsidR="00BF36D5" w:rsidRPr="004E2D48" w:rsidRDefault="002E5064" w:rsidP="004E2D48">
      <w:pPr>
        <w:keepNext/>
        <w:numPr>
          <w:ilvl w:val="0"/>
          <w:numId w:val="3"/>
        </w:num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Ministerstwo Przedsiębiorczości i T</w:t>
      </w:r>
      <w:r w:rsidR="00F948C2">
        <w:rPr>
          <w:rFonts w:ascii="Arial" w:hAnsi="Arial" w:cs="Arial"/>
          <w:sz w:val="20"/>
          <w:szCs w:val="20"/>
        </w:rPr>
        <w:t>e</w:t>
      </w:r>
      <w:r w:rsidRPr="004E2D48">
        <w:rPr>
          <w:rFonts w:ascii="Arial" w:hAnsi="Arial" w:cs="Arial"/>
          <w:sz w:val="20"/>
          <w:szCs w:val="20"/>
        </w:rPr>
        <w:t>chnologii</w:t>
      </w:r>
      <w:r w:rsidR="00BF36D5" w:rsidRPr="004E2D48">
        <w:rPr>
          <w:rFonts w:ascii="Arial" w:hAnsi="Arial" w:cs="Arial"/>
          <w:sz w:val="20"/>
          <w:szCs w:val="20"/>
        </w:rPr>
        <w:t>, Departament Innowacji, z siedzi</w:t>
      </w:r>
      <w:r w:rsidRPr="004E2D48">
        <w:rPr>
          <w:rFonts w:ascii="Arial" w:hAnsi="Arial" w:cs="Arial"/>
          <w:sz w:val="20"/>
          <w:szCs w:val="20"/>
        </w:rPr>
        <w:t xml:space="preserve">bą przy Pl. Trzech Krzyży 3/5, </w:t>
      </w:r>
      <w:r w:rsidR="00BF36D5" w:rsidRPr="004E2D48">
        <w:rPr>
          <w:rFonts w:ascii="Arial" w:hAnsi="Arial" w:cs="Arial"/>
          <w:sz w:val="20"/>
          <w:szCs w:val="20"/>
        </w:rPr>
        <w:t>00-507 Warszawa,</w:t>
      </w:r>
      <w:r w:rsidR="00CB144A">
        <w:rPr>
          <w:rFonts w:ascii="Arial" w:hAnsi="Arial" w:cs="Arial"/>
          <w:sz w:val="20"/>
          <w:szCs w:val="20"/>
        </w:rPr>
        <w:t xml:space="preserve"> </w:t>
      </w:r>
      <w:r w:rsidR="00BF36D5" w:rsidRPr="004E2D48">
        <w:rPr>
          <w:rFonts w:ascii="Arial" w:hAnsi="Arial" w:cs="Arial"/>
          <w:sz w:val="20"/>
          <w:szCs w:val="20"/>
        </w:rPr>
        <w:t xml:space="preserve">zaprasza do składania </w:t>
      </w:r>
      <w:r w:rsidR="00F4097A" w:rsidRPr="004E2D48">
        <w:rPr>
          <w:rFonts w:ascii="Arial" w:hAnsi="Arial" w:cs="Arial"/>
          <w:sz w:val="20"/>
          <w:szCs w:val="20"/>
        </w:rPr>
        <w:t>ofert</w:t>
      </w:r>
      <w:r w:rsidR="00BF36D5" w:rsidRPr="004E2D48">
        <w:rPr>
          <w:rFonts w:ascii="Arial" w:hAnsi="Arial" w:cs="Arial"/>
          <w:sz w:val="20"/>
          <w:szCs w:val="20"/>
        </w:rPr>
        <w:t xml:space="preserve"> </w:t>
      </w:r>
      <w:r w:rsidR="00FD46FF" w:rsidRPr="004E2D48">
        <w:rPr>
          <w:rFonts w:ascii="Arial" w:hAnsi="Arial" w:cs="Arial"/>
          <w:sz w:val="20"/>
          <w:szCs w:val="20"/>
        </w:rPr>
        <w:t xml:space="preserve">w zakresie </w:t>
      </w:r>
      <w:r w:rsidR="00BB176E" w:rsidRPr="004E2D48">
        <w:rPr>
          <w:rFonts w:ascii="Arial" w:hAnsi="Arial" w:cs="Arial"/>
          <w:sz w:val="20"/>
          <w:szCs w:val="20"/>
        </w:rPr>
        <w:t>realizacji</w:t>
      </w:r>
      <w:r w:rsidR="003708E9" w:rsidRPr="004E2D48">
        <w:rPr>
          <w:rFonts w:ascii="Arial" w:hAnsi="Arial" w:cs="Arial"/>
          <w:sz w:val="20"/>
          <w:szCs w:val="20"/>
        </w:rPr>
        <w:t xml:space="preserve"> zamówienia polegającego </w:t>
      </w:r>
      <w:r w:rsidR="00755BC1">
        <w:rPr>
          <w:rFonts w:ascii="Arial" w:hAnsi="Arial" w:cs="Arial"/>
          <w:sz w:val="20"/>
          <w:szCs w:val="20"/>
        </w:rPr>
        <w:t>wsparciu dorad</w:t>
      </w:r>
      <w:r w:rsidR="00CB144A">
        <w:rPr>
          <w:rFonts w:ascii="Arial" w:hAnsi="Arial" w:cs="Arial"/>
          <w:sz w:val="20"/>
          <w:szCs w:val="20"/>
        </w:rPr>
        <w:t>c</w:t>
      </w:r>
      <w:r w:rsidR="00755BC1">
        <w:rPr>
          <w:rFonts w:ascii="Arial" w:hAnsi="Arial" w:cs="Arial"/>
          <w:sz w:val="20"/>
          <w:szCs w:val="20"/>
        </w:rPr>
        <w:t>zo-konsultac</w:t>
      </w:r>
      <w:r w:rsidR="00CB144A">
        <w:rPr>
          <w:rFonts w:ascii="Arial" w:hAnsi="Arial" w:cs="Arial"/>
          <w:sz w:val="20"/>
          <w:szCs w:val="20"/>
        </w:rPr>
        <w:t>y</w:t>
      </w:r>
      <w:r w:rsidR="00755BC1">
        <w:rPr>
          <w:rFonts w:ascii="Arial" w:hAnsi="Arial" w:cs="Arial"/>
          <w:sz w:val="20"/>
          <w:szCs w:val="20"/>
        </w:rPr>
        <w:t>jnym</w:t>
      </w:r>
      <w:r w:rsidR="00EB1B48">
        <w:rPr>
          <w:rFonts w:ascii="Arial" w:hAnsi="Arial" w:cs="Arial"/>
          <w:sz w:val="20"/>
          <w:szCs w:val="20"/>
        </w:rPr>
        <w:t xml:space="preserve"> </w:t>
      </w:r>
      <w:r w:rsidR="001E329F">
        <w:rPr>
          <w:rFonts w:ascii="Arial" w:hAnsi="Arial" w:cs="Arial"/>
          <w:sz w:val="20"/>
          <w:szCs w:val="20"/>
        </w:rPr>
        <w:t>na potrzeby opracowania</w:t>
      </w:r>
      <w:r w:rsidR="00E575C3" w:rsidRPr="004E2D48">
        <w:rPr>
          <w:rFonts w:ascii="Arial" w:hAnsi="Arial" w:cs="Arial"/>
          <w:sz w:val="20"/>
          <w:szCs w:val="20"/>
        </w:rPr>
        <w:t xml:space="preserve"> </w:t>
      </w:r>
      <w:r w:rsidR="00755BC1">
        <w:rPr>
          <w:rFonts w:ascii="Arial" w:hAnsi="Arial" w:cs="Arial"/>
          <w:sz w:val="20"/>
          <w:szCs w:val="20"/>
        </w:rPr>
        <w:t>Krajowej Strategii Niskoemisyjnej</w:t>
      </w:r>
      <w:r w:rsidR="003C6D2F" w:rsidRPr="004E2D48">
        <w:rPr>
          <w:rFonts w:ascii="Arial" w:hAnsi="Arial" w:cs="Arial"/>
          <w:sz w:val="20"/>
          <w:szCs w:val="20"/>
        </w:rPr>
        <w:t>.</w:t>
      </w:r>
    </w:p>
    <w:p w14:paraId="7DEFD803" w14:textId="77777777" w:rsidR="00407071" w:rsidRPr="004E2D48" w:rsidRDefault="00407071" w:rsidP="004E2D48">
      <w:pPr>
        <w:keepNext/>
        <w:numPr>
          <w:ilvl w:val="0"/>
          <w:numId w:val="3"/>
        </w:numPr>
        <w:spacing w:after="120" w:line="240" w:lineRule="auto"/>
        <w:ind w:left="426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2D48">
        <w:rPr>
          <w:rFonts w:ascii="Arial" w:hAnsi="Arial" w:cs="Arial"/>
          <w:color w:val="000000" w:themeColor="text1"/>
          <w:sz w:val="20"/>
          <w:szCs w:val="20"/>
        </w:rPr>
        <w:t>Osobami uprawnionymi</w:t>
      </w:r>
      <w:r w:rsidR="00BF36D5" w:rsidRPr="004E2D48">
        <w:rPr>
          <w:rFonts w:ascii="Arial" w:hAnsi="Arial" w:cs="Arial"/>
          <w:color w:val="000000" w:themeColor="text1"/>
          <w:sz w:val="20"/>
          <w:szCs w:val="20"/>
        </w:rPr>
        <w:t xml:space="preserve"> do kontaktów roboczych w ramach</w:t>
      </w:r>
      <w:r w:rsidR="00C12B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36D5" w:rsidRPr="004E2D48">
        <w:rPr>
          <w:rFonts w:ascii="Arial" w:hAnsi="Arial" w:cs="Arial"/>
          <w:color w:val="000000" w:themeColor="text1"/>
          <w:sz w:val="20"/>
          <w:szCs w:val="20"/>
        </w:rPr>
        <w:t>niniejszego zamówie</w:t>
      </w:r>
      <w:r w:rsidRPr="004E2D48">
        <w:rPr>
          <w:rFonts w:ascii="Arial" w:hAnsi="Arial" w:cs="Arial"/>
          <w:color w:val="000000" w:themeColor="text1"/>
          <w:sz w:val="20"/>
          <w:szCs w:val="20"/>
        </w:rPr>
        <w:t>nia ze strony zamawiającego są:</w:t>
      </w:r>
    </w:p>
    <w:p w14:paraId="448183CA" w14:textId="309F7A4D" w:rsidR="00AE7890" w:rsidRDefault="00D0192E" w:rsidP="00D7768E">
      <w:pPr>
        <w:pStyle w:val="Akapitzlist"/>
        <w:keepNext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Igor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Barcikowski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, e-mail: </w:t>
      </w:r>
      <w:hyperlink r:id="rId9" w:history="1">
        <w:r w:rsidRPr="00033311">
          <w:rPr>
            <w:rStyle w:val="Hipercze"/>
            <w:rFonts w:ascii="Arial" w:hAnsi="Arial" w:cs="Arial"/>
            <w:sz w:val="20"/>
            <w:szCs w:val="20"/>
            <w:lang w:val="en-GB"/>
          </w:rPr>
          <w:t>Igor.Barcikowski@mpit.gov.pl</w:t>
        </w:r>
      </w:hyperlink>
      <w:r w:rsidRPr="00FA3626">
        <w:rPr>
          <w:rFonts w:ascii="Arial" w:hAnsi="Arial" w:cs="Arial"/>
          <w:color w:val="000000" w:themeColor="text1"/>
          <w:sz w:val="20"/>
          <w:szCs w:val="20"/>
          <w:lang w:val="en-GB"/>
        </w:rPr>
        <w:t>, tel.: 22-262-9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2</w:t>
      </w:r>
      <w:r w:rsidRPr="00FA3626">
        <w:rPr>
          <w:rFonts w:ascii="Arial" w:hAnsi="Arial" w:cs="Arial"/>
          <w:color w:val="000000" w:themeColor="text1"/>
          <w:sz w:val="20"/>
          <w:szCs w:val="20"/>
          <w:lang w:val="en-GB"/>
        </w:rPr>
        <w:t>-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75</w:t>
      </w:r>
      <w:r w:rsidR="00AE7890">
        <w:rPr>
          <w:rFonts w:ascii="Arial" w:hAnsi="Arial" w:cs="Arial"/>
          <w:color w:val="000000" w:themeColor="text1"/>
          <w:sz w:val="20"/>
          <w:szCs w:val="20"/>
          <w:lang w:val="en-GB"/>
        </w:rPr>
        <w:t>,</w:t>
      </w:r>
    </w:p>
    <w:p w14:paraId="50A3F844" w14:textId="37A9B613" w:rsidR="00AE7890" w:rsidRPr="00AE7890" w:rsidRDefault="00AE7890" w:rsidP="00D7768E">
      <w:pPr>
        <w:pStyle w:val="Akapitzlist"/>
        <w:keepNext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7890">
        <w:rPr>
          <w:rFonts w:ascii="Arial" w:hAnsi="Arial" w:cs="Arial"/>
          <w:color w:val="000000" w:themeColor="text1"/>
          <w:sz w:val="20"/>
          <w:szCs w:val="20"/>
        </w:rPr>
        <w:t xml:space="preserve"> Agnieszka Boniewicz, e-mail: </w:t>
      </w:r>
      <w:hyperlink r:id="rId10" w:history="1">
        <w:r w:rsidRPr="00AE7890">
          <w:rPr>
            <w:rStyle w:val="Hipercze"/>
            <w:rFonts w:ascii="Arial" w:hAnsi="Arial" w:cs="Arial"/>
            <w:sz w:val="20"/>
            <w:szCs w:val="20"/>
          </w:rPr>
          <w:t>Agnieszka.Boniewicz@mpit.gov.pl</w:t>
        </w:r>
      </w:hyperlink>
      <w:r w:rsidRPr="00AE7890">
        <w:rPr>
          <w:rFonts w:ascii="Arial" w:hAnsi="Arial" w:cs="Arial"/>
          <w:color w:val="000000" w:themeColor="text1"/>
          <w:sz w:val="20"/>
          <w:szCs w:val="20"/>
        </w:rPr>
        <w:t>, tel.: 22-262-94-86</w:t>
      </w:r>
    </w:p>
    <w:p w14:paraId="0790C81F" w14:textId="77777777" w:rsidR="00407071" w:rsidRPr="00AE7890" w:rsidRDefault="00407071" w:rsidP="001E2AEA">
      <w:pPr>
        <w:pStyle w:val="Akapitzlist"/>
        <w:keepNext/>
        <w:spacing w:after="120" w:line="240" w:lineRule="auto"/>
        <w:ind w:left="114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1D6CDF" w14:textId="298F5C82" w:rsidR="00D3379B" w:rsidRPr="00AE7890" w:rsidRDefault="00D3379B" w:rsidP="004E2D48">
      <w:pPr>
        <w:keepNext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78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E65D7B" w14:textId="77777777" w:rsidR="007D74F3" w:rsidRPr="004E2D48" w:rsidRDefault="00796030" w:rsidP="00FA3626">
      <w:pPr>
        <w:pStyle w:val="Akapitzlist"/>
        <w:numPr>
          <w:ilvl w:val="0"/>
          <w:numId w:val="4"/>
        </w:numPr>
        <w:shd w:val="clear" w:color="auto" w:fill="BFBFBF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Przedmiot zamówienia:</w:t>
      </w:r>
    </w:p>
    <w:p w14:paraId="7E9D39E8" w14:textId="1280C9C6" w:rsidR="004715F2" w:rsidRPr="00AE7890" w:rsidRDefault="004715F2" w:rsidP="004E2D48">
      <w:pPr>
        <w:pStyle w:val="Tekstpodstawowywcity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715F2">
        <w:rPr>
          <w:rFonts w:ascii="Arial" w:hAnsi="Arial" w:cs="Arial"/>
          <w:sz w:val="20"/>
          <w:szCs w:val="20"/>
        </w:rPr>
        <w:t>Przedmiotem zamówienia jest zakup usługi doradczo – konsultacyjnej</w:t>
      </w:r>
      <w:r w:rsidR="00865495">
        <w:rPr>
          <w:rFonts w:ascii="Arial" w:hAnsi="Arial" w:cs="Arial"/>
          <w:sz w:val="20"/>
          <w:szCs w:val="20"/>
        </w:rPr>
        <w:t xml:space="preserve">, polegającej na </w:t>
      </w:r>
      <w:r w:rsidR="00AE7890">
        <w:rPr>
          <w:rFonts w:ascii="Arial" w:hAnsi="Arial" w:cs="Arial"/>
          <w:sz w:val="20"/>
          <w:szCs w:val="20"/>
        </w:rPr>
        <w:t>wsparciu Ministerstwa Przedsiębiorczości i Technologii w pracach nad przygotowaniem</w:t>
      </w:r>
      <w:r>
        <w:rPr>
          <w:rFonts w:ascii="Arial" w:hAnsi="Arial" w:cs="Arial"/>
          <w:sz w:val="20"/>
          <w:szCs w:val="20"/>
        </w:rPr>
        <w:t xml:space="preserve"> Krajowej Strategii Niskoemisyjnej. </w:t>
      </w:r>
    </w:p>
    <w:p w14:paraId="70C36DCB" w14:textId="77777777" w:rsidR="00FA3626" w:rsidRDefault="00AE0849" w:rsidP="00FA3626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Przeznaczenie produktu:  </w:t>
      </w:r>
    </w:p>
    <w:p w14:paraId="1457EFF9" w14:textId="77777777" w:rsidR="00690890" w:rsidRPr="004E2D48" w:rsidRDefault="004715F2" w:rsidP="00690890">
      <w:pPr>
        <w:pStyle w:val="Tekstpodstawowywcity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Krajowa Strategia Niskoemisyjna jest dokumentem strategicznym, który określi cele i podstawowe założenia transformacji polskiej gospodarki do gospodarki niskoemisyjnej</w:t>
      </w:r>
      <w:r w:rsidR="00C928D7">
        <w:rPr>
          <w:rFonts w:ascii="Arial" w:hAnsi="Arial" w:cs="Arial"/>
          <w:sz w:val="20"/>
          <w:szCs w:val="20"/>
        </w:rPr>
        <w:t xml:space="preserve"> do 2050 roku</w:t>
      </w:r>
      <w:r>
        <w:rPr>
          <w:rFonts w:ascii="Arial" w:hAnsi="Arial" w:cs="Arial"/>
          <w:sz w:val="20"/>
          <w:szCs w:val="20"/>
        </w:rPr>
        <w:t xml:space="preserve">. Wymóg jej opracowania </w:t>
      </w:r>
      <w:r w:rsidR="003E2FD3">
        <w:rPr>
          <w:rFonts w:ascii="Arial" w:hAnsi="Arial" w:cs="Arial"/>
          <w:sz w:val="20"/>
          <w:szCs w:val="20"/>
        </w:rPr>
        <w:t xml:space="preserve">wynika bezpośrednio z art. 15 rozporządzenia Parlamentu Europejskiego i Rady (UE) 2018/1999 z dnia 11 grudnia 2018 r. w sprawie zarządzania unią energetyczną i działaniami w dziedzinie klimatu(…) oraz </w:t>
      </w:r>
      <w:r>
        <w:rPr>
          <w:rFonts w:ascii="Arial" w:hAnsi="Arial" w:cs="Arial"/>
          <w:sz w:val="20"/>
          <w:szCs w:val="20"/>
        </w:rPr>
        <w:t>związany jest z wydaniem przez Komisję Europejską Komunikatu – Czysta Planeta dla wszystkich. Europejska długoterminowa wizja strategiczna dobrze prosperującej, nowoczesnej, konkurencyjnej i neutralnej dla klimatu gospodarki (COM(2018)</w:t>
      </w:r>
      <w:r w:rsidR="00690890">
        <w:rPr>
          <w:rFonts w:ascii="Arial" w:hAnsi="Arial" w:cs="Arial"/>
          <w:sz w:val="20"/>
          <w:szCs w:val="20"/>
        </w:rPr>
        <w:t>773).</w:t>
      </w:r>
    </w:p>
    <w:p w14:paraId="0C9DD43D" w14:textId="77777777" w:rsidR="00FA3626" w:rsidRDefault="000E1BE5" w:rsidP="00FA3626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1DE3E527" w14:textId="77777777" w:rsidR="001C4333" w:rsidRPr="004E2D48" w:rsidRDefault="00E86CE9" w:rsidP="004E2D48">
      <w:pPr>
        <w:pStyle w:val="Tekstpodstawowywcity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7</w:t>
      </w:r>
      <w:r w:rsidR="00D0192E">
        <w:rPr>
          <w:rFonts w:ascii="Arial" w:hAnsi="Arial" w:cs="Arial"/>
          <w:sz w:val="20"/>
          <w:szCs w:val="20"/>
        </w:rPr>
        <w:t>32</w:t>
      </w:r>
      <w:r w:rsidRPr="004E2D48">
        <w:rPr>
          <w:rFonts w:ascii="Arial" w:hAnsi="Arial" w:cs="Arial"/>
          <w:sz w:val="20"/>
          <w:szCs w:val="20"/>
        </w:rPr>
        <w:t>00000-</w:t>
      </w:r>
      <w:r w:rsidR="00D0192E">
        <w:rPr>
          <w:rFonts w:ascii="Arial" w:hAnsi="Arial" w:cs="Arial"/>
          <w:sz w:val="20"/>
          <w:szCs w:val="20"/>
        </w:rPr>
        <w:t>4</w:t>
      </w:r>
      <w:r w:rsidRPr="004E2D48">
        <w:rPr>
          <w:rFonts w:ascii="Arial" w:hAnsi="Arial" w:cs="Arial"/>
          <w:sz w:val="20"/>
          <w:szCs w:val="20"/>
        </w:rPr>
        <w:t xml:space="preserve"> Usługi </w:t>
      </w:r>
      <w:r w:rsidR="00D0192E">
        <w:rPr>
          <w:rFonts w:ascii="Arial" w:hAnsi="Arial" w:cs="Arial"/>
          <w:sz w:val="20"/>
          <w:szCs w:val="20"/>
        </w:rPr>
        <w:t>doradcze w zakresie badań i rozwoju</w:t>
      </w:r>
      <w:r w:rsidR="0074657B" w:rsidRPr="004E2D48">
        <w:rPr>
          <w:rFonts w:ascii="Arial" w:hAnsi="Arial" w:cs="Arial"/>
          <w:sz w:val="20"/>
          <w:szCs w:val="20"/>
        </w:rPr>
        <w:t xml:space="preserve"> </w:t>
      </w:r>
    </w:p>
    <w:p w14:paraId="4ADADD76" w14:textId="77777777" w:rsidR="00D3379B" w:rsidRPr="004E2D48" w:rsidRDefault="00D3379B" w:rsidP="004E2D48">
      <w:pPr>
        <w:pStyle w:val="Tekstpodstawowywcity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96EDEF8" w14:textId="77777777" w:rsidR="007D74F3" w:rsidRPr="004E2D48" w:rsidRDefault="00726A40" w:rsidP="004E2D48">
      <w:pPr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Cel zamówienia</w:t>
      </w:r>
    </w:p>
    <w:p w14:paraId="5F4FF356" w14:textId="77777777" w:rsidR="004C1A85" w:rsidRDefault="004C1A85" w:rsidP="004C1A8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C1A85">
        <w:rPr>
          <w:rFonts w:ascii="Arial" w:hAnsi="Arial" w:cs="Arial"/>
          <w:bCs/>
          <w:sz w:val="20"/>
          <w:szCs w:val="20"/>
          <w:lang w:eastAsia="pl-PL"/>
        </w:rPr>
        <w:t>Krajowa Strategia Niskoemisyjna to dokument strategiczny określający wizje i kierunki transformacji polskiej gospodarki do gospodarki niskoemisyjnej do 2050 roku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, który </w:t>
      </w:r>
      <w:r>
        <w:rPr>
          <w:rFonts w:ascii="Arial" w:hAnsi="Arial" w:cs="Arial"/>
          <w:bCs/>
          <w:sz w:val="20"/>
          <w:szCs w:val="20"/>
          <w:lang w:eastAsia="pl-PL"/>
        </w:rPr>
        <w:t>Polska zobowiązana jest opracować i przedłożyć Komisji Europejskiej do dnia 1 stycznia 2020 r.</w:t>
      </w:r>
    </w:p>
    <w:p w14:paraId="25201B47" w14:textId="70FD3045" w:rsidR="004C1A85" w:rsidRPr="004C1A85" w:rsidRDefault="004C1A85" w:rsidP="004C1A8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W dążeniu do osiągnięcia neutralności klimatycznej kluczową rolę będą pełnić inwestycje w innowacyjne rozwiązania technologiczne oraz systemowe podejście do redukcji szkodliwych emisji we wszystkich sektorach nowoczesnej gospodarki. </w:t>
      </w:r>
    </w:p>
    <w:p w14:paraId="5BC32E6F" w14:textId="77777777" w:rsidR="004C1A85" w:rsidRPr="004C1A85" w:rsidRDefault="004C1A85" w:rsidP="004C1A8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Systemowe podejście obejmie: wysokosprawne, niskoemisyjne i zintegrowane układy wytwarzania, magazynowania, </w:t>
      </w:r>
      <w:proofErr w:type="spellStart"/>
      <w:r w:rsidRPr="004C1A85">
        <w:rPr>
          <w:rFonts w:ascii="Arial" w:hAnsi="Arial" w:cs="Arial"/>
          <w:bCs/>
          <w:sz w:val="20"/>
          <w:szCs w:val="20"/>
          <w:lang w:eastAsia="pl-PL"/>
        </w:rPr>
        <w:t>przesyłu</w:t>
      </w:r>
      <w:proofErr w:type="spellEnd"/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 i dystrybucji energii, inteligentne i energooszczędne budownictwo, niskoemisyjne i </w:t>
      </w:r>
      <w:proofErr w:type="spellStart"/>
      <w:r w:rsidRPr="004C1A85">
        <w:rPr>
          <w:rFonts w:ascii="Arial" w:hAnsi="Arial" w:cs="Arial"/>
          <w:bCs/>
          <w:sz w:val="20"/>
          <w:szCs w:val="20"/>
          <w:lang w:eastAsia="pl-PL"/>
        </w:rPr>
        <w:t>bezemisyjne</w:t>
      </w:r>
      <w:proofErr w:type="spellEnd"/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 pojazdy, zwiększenie przepustowości sieci kolejowej, skuteczną cyfrową organizację systemu transportu, inteligentną infrastrukturę, wychwytywanie i składowanie dwutlenku węgla oraz gospodarkę o obiegu zamkniętym. Czynnikiem napędzającym rozwój w tych obszarach będą  innowacje i inwestycje.</w:t>
      </w:r>
    </w:p>
    <w:p w14:paraId="69D948A4" w14:textId="7C918BAF" w:rsidR="004C1A85" w:rsidRPr="004C1A85" w:rsidRDefault="004C1A85" w:rsidP="004C1A8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Jednym z elementów Strategii będzie diagnoza stopnia rozwoju technologicznego polskiej gospodarki. Na jej podstawie i w drodze konsultacji z zainteresowanymi stronami, naukowcami oraz </w:t>
      </w:r>
      <w:r w:rsidRPr="004C1A85">
        <w:rPr>
          <w:rFonts w:ascii="Arial" w:hAnsi="Arial" w:cs="Arial"/>
          <w:bCs/>
          <w:sz w:val="20"/>
          <w:szCs w:val="20"/>
          <w:lang w:eastAsia="pl-PL"/>
        </w:rPr>
        <w:lastRenderedPageBreak/>
        <w:t xml:space="preserve">przedsiębiorcami wskazane zostaną obszary finansowania innowacyjnych produktów i usług. Pogłębiona analiza szans rozwojowych polskiej gospodarki pozwoli na lepszą koncentrację tematyczną innowacji i skuteczne wydatkowanie środków w ramach nowej perspektywy finansowej na lata 2021-2027. </w:t>
      </w:r>
    </w:p>
    <w:p w14:paraId="4FC4A022" w14:textId="77777777" w:rsidR="004C1A85" w:rsidRPr="004C1A85" w:rsidRDefault="004C1A85" w:rsidP="004C1A8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C1A85">
        <w:rPr>
          <w:rFonts w:ascii="Arial" w:hAnsi="Arial" w:cs="Arial"/>
          <w:bCs/>
          <w:sz w:val="20"/>
          <w:szCs w:val="20"/>
          <w:lang w:eastAsia="pl-PL"/>
        </w:rPr>
        <w:t>W nowej perspektywie wyłącznie wizja oparta na synergii międzysektorowej pozwoli na zrealizowanie ambitnych celów postawionych w komunikacie Komisji Europejskiej – Czysta planeta dla wszystkich. Dlatego na bazie Krajowej Strategii Niskoemisyjnej tworzone będą nowe narzędzia wsparcia innowacyjności oraz pilotaże nowych instrumentów, których celem będzie integracja i animacja współpracy wewnątrz oraz między sektorami transportu, energetyki, budownictwa i przemysłu.</w:t>
      </w:r>
    </w:p>
    <w:p w14:paraId="73C5464F" w14:textId="4540090D" w:rsidR="004C1A85" w:rsidRDefault="004C1A85" w:rsidP="004C1A8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Wydatki na opracowanie Krajowej Strategii Niskoemisyjnej będą współfinansowane z projektu realizowanego w ramach poddziałania 2.4.2. POIR nr POIR.02.04.02-00-0001/15 w ramach 2 osi priorytetowej Wsparcie otoczenia i potencjału przedsiębiorstw do prowadzenia działalności B+R+I Program Operacyjny Inteligentny Rozwój 2014-2020, realizowanego na podstawie Porozumienia Nr POIR.02.04.02-00-0001/15-02 z dnia 19 lipca 2018 roku oraz w ramach Programu Operacyjnego Inteligentny Rozwój 2014-2020 (PO IR): 2.4.1 </w:t>
      </w:r>
      <w:proofErr w:type="spellStart"/>
      <w:r w:rsidRPr="004C1A85">
        <w:rPr>
          <w:rFonts w:ascii="Arial" w:hAnsi="Arial" w:cs="Arial"/>
          <w:bCs/>
          <w:sz w:val="20"/>
          <w:szCs w:val="20"/>
          <w:lang w:eastAsia="pl-PL"/>
        </w:rPr>
        <w:t>inno_LAB</w:t>
      </w:r>
      <w:proofErr w:type="spellEnd"/>
      <w:r w:rsidRPr="004C1A85">
        <w:rPr>
          <w:rFonts w:ascii="Arial" w:hAnsi="Arial" w:cs="Arial"/>
          <w:bCs/>
          <w:sz w:val="20"/>
          <w:szCs w:val="20"/>
          <w:lang w:eastAsia="pl-PL"/>
        </w:rPr>
        <w:t xml:space="preserve"> – Centrum analiz i pilotaży nowych instrumentów.</w:t>
      </w:r>
    </w:p>
    <w:p w14:paraId="0C640BA3" w14:textId="77777777" w:rsidR="003E2FD3" w:rsidRDefault="003E2FD3" w:rsidP="0064034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Dokument powinien określić planowane do podjęcia działania</w:t>
      </w:r>
      <w:r w:rsidR="00770F59">
        <w:rPr>
          <w:rFonts w:ascii="Arial" w:hAnsi="Arial" w:cs="Arial"/>
          <w:bCs/>
          <w:sz w:val="20"/>
          <w:szCs w:val="20"/>
          <w:lang w:eastAsia="pl-PL"/>
        </w:rPr>
        <w:t xml:space="preserve"> zmierzające do transformacji gospodarczej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</w:t>
      </w:r>
      <w:r w:rsidR="00770F59">
        <w:rPr>
          <w:rFonts w:ascii="Arial" w:hAnsi="Arial" w:cs="Arial"/>
          <w:bCs/>
          <w:sz w:val="20"/>
          <w:szCs w:val="20"/>
          <w:lang w:eastAsia="pl-PL"/>
        </w:rPr>
        <w:t xml:space="preserve"> obszarach wskazanych </w:t>
      </w:r>
      <w:r w:rsidR="00AD4D02">
        <w:rPr>
          <w:rFonts w:ascii="Arial" w:hAnsi="Arial" w:cs="Arial"/>
          <w:bCs/>
          <w:sz w:val="20"/>
          <w:szCs w:val="20"/>
          <w:lang w:eastAsia="pl-PL"/>
        </w:rPr>
        <w:t xml:space="preserve">w Załączniku IV do </w:t>
      </w:r>
      <w:r w:rsidR="00AD4D02">
        <w:rPr>
          <w:rFonts w:ascii="Arial" w:hAnsi="Arial" w:cs="Arial"/>
          <w:sz w:val="20"/>
          <w:szCs w:val="20"/>
        </w:rPr>
        <w:t>rozporządzenia Parlamentu Europejskiego i Rady (UE) 2018/1999 z dnia 11 grudnia 2018 r. w sprawie zarządzania unią energetyczną i działaniami w dziedzinie klimatu(…)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. Ponadto strategia dążyć powinna do zapewnienia, aby zaproponowana transformacja była społecznie sprawiedliwa i nie wpływała negatywnie na konkurencyjność gospodarki. </w:t>
      </w:r>
    </w:p>
    <w:p w14:paraId="47AF4803" w14:textId="62912B26" w:rsidR="00640345" w:rsidRDefault="001E329F" w:rsidP="00E27FD2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Komisja Europejska</w:t>
      </w:r>
      <w:r w:rsidR="00AE789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AE7890" w:rsidRPr="00AE7890">
        <w:rPr>
          <w:rFonts w:ascii="Arial" w:hAnsi="Arial" w:cs="Arial"/>
          <w:bCs/>
          <w:sz w:val="20"/>
          <w:szCs w:val="20"/>
          <w:lang w:eastAsia="pl-PL"/>
        </w:rPr>
        <w:t>w Komunikacie (</w:t>
      </w:r>
      <w:r w:rsidR="00AE7890" w:rsidRPr="00AE7890">
        <w:rPr>
          <w:rFonts w:ascii="Arial" w:hAnsi="Arial" w:cs="Arial"/>
          <w:sz w:val="20"/>
          <w:szCs w:val="20"/>
        </w:rPr>
        <w:t xml:space="preserve">COM (2018) 773 </w:t>
      </w:r>
      <w:r w:rsidR="00AE7890" w:rsidRPr="00AE789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AE7890" w:rsidRPr="00AE7890">
        <w:rPr>
          <w:rFonts w:ascii="Arial" w:hAnsi="Arial" w:cs="Arial"/>
          <w:sz w:val="20"/>
          <w:szCs w:val="20"/>
        </w:rPr>
        <w:t>Czysta planeta dla wszystkich - długoterminowa strategiczna wizja dla dostatniej, nowoczesnej, konkurencyjnej i neutralnej dla klimatu gospodarki do 2050 r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określ</w:t>
      </w:r>
      <w:r w:rsidR="00865495">
        <w:rPr>
          <w:rFonts w:ascii="Arial" w:hAnsi="Arial" w:cs="Arial"/>
          <w:bCs/>
          <w:sz w:val="20"/>
          <w:szCs w:val="20"/>
          <w:lang w:eastAsia="pl-PL"/>
        </w:rPr>
        <w:t>iła 8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scenariusz</w:t>
      </w:r>
      <w:r w:rsidR="00865495">
        <w:rPr>
          <w:rFonts w:ascii="Arial" w:hAnsi="Arial" w:cs="Arial"/>
          <w:bCs/>
          <w:sz w:val="20"/>
          <w:szCs w:val="20"/>
          <w:lang w:eastAsia="pl-PL"/>
        </w:rPr>
        <w:t>y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działań </w:t>
      </w:r>
      <w:r w:rsidR="00FE73A3">
        <w:rPr>
          <w:rFonts w:ascii="Arial" w:hAnsi="Arial" w:cs="Arial"/>
          <w:bCs/>
          <w:sz w:val="20"/>
          <w:szCs w:val="20"/>
          <w:lang w:eastAsia="pl-PL"/>
        </w:rPr>
        <w:t>mających doprowadzić do osiągnię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cia poziomu </w:t>
      </w:r>
      <w:proofErr w:type="spellStart"/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>zeroemisyjności</w:t>
      </w:r>
      <w:proofErr w:type="spellEnd"/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netto w UE w produkcji energii do 2050 r. lub bardzo zbliżonego do tego poziomu w odniesieniu do emisji dwutlenku węgla. T</w:t>
      </w:r>
      <w:r w:rsidR="00770F59">
        <w:rPr>
          <w:rFonts w:ascii="Arial" w:hAnsi="Arial" w:cs="Arial"/>
          <w:bCs/>
          <w:sz w:val="20"/>
          <w:szCs w:val="20"/>
          <w:lang w:eastAsia="pl-PL"/>
        </w:rPr>
        <w:t>e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scenariusz</w:t>
      </w:r>
      <w:r w:rsidR="00770F59">
        <w:rPr>
          <w:rFonts w:ascii="Arial" w:hAnsi="Arial" w:cs="Arial"/>
          <w:bCs/>
          <w:sz w:val="20"/>
          <w:szCs w:val="20"/>
          <w:lang w:eastAsia="pl-PL"/>
        </w:rPr>
        <w:t>e są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bardziej ambitn</w:t>
      </w:r>
      <w:r w:rsidR="00770F59">
        <w:rPr>
          <w:rFonts w:ascii="Arial" w:hAnsi="Arial" w:cs="Arial"/>
          <w:bCs/>
          <w:sz w:val="20"/>
          <w:szCs w:val="20"/>
          <w:lang w:eastAsia="pl-PL"/>
        </w:rPr>
        <w:t>e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niż Porozumienie paryskie, które zakłada osiągnięcie neutralności klimatycznej w drugiej połowie stulecia</w:t>
      </w:r>
      <w:r w:rsidR="00AD4D02">
        <w:rPr>
          <w:rFonts w:ascii="Arial" w:hAnsi="Arial" w:cs="Arial"/>
          <w:bCs/>
          <w:sz w:val="20"/>
          <w:szCs w:val="20"/>
          <w:lang w:eastAsia="pl-PL"/>
        </w:rPr>
        <w:t>, a ich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 xml:space="preserve"> realizacja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będzie miała bardzo duży wpływ na gospodarki państw członkowskich, a nawet poszczególne regiony oraz przełoży się na konkretne koszty realizacji polityki klimatycznej.</w:t>
      </w:r>
    </w:p>
    <w:p w14:paraId="2A6A6E43" w14:textId="77777777" w:rsidR="00865495" w:rsidRDefault="00865495" w:rsidP="00E27FD2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Osiem  scenariuszy opiera się na strategiach typu „no </w:t>
      </w:r>
      <w:proofErr w:type="spellStart"/>
      <w:r w:rsidRPr="00865495">
        <w:rPr>
          <w:rFonts w:ascii="Arial" w:hAnsi="Arial" w:cs="Arial"/>
          <w:bCs/>
          <w:sz w:val="20"/>
          <w:szCs w:val="20"/>
          <w:lang w:eastAsia="pl-PL"/>
        </w:rPr>
        <w:t>regret</w:t>
      </w:r>
      <w:proofErr w:type="spellEnd"/>
      <w:r w:rsidRPr="00865495">
        <w:rPr>
          <w:rFonts w:ascii="Arial" w:hAnsi="Arial" w:cs="Arial"/>
          <w:bCs/>
          <w:sz w:val="20"/>
          <w:szCs w:val="20"/>
          <w:lang w:eastAsia="pl-PL"/>
        </w:rPr>
        <w:t>” (przynoszących same korzyści), takich jak wysokie wykorzystanie energii ze źródeł odnawialnych i efektywność energetyczna.</w:t>
      </w:r>
    </w:p>
    <w:p w14:paraId="5014CBA4" w14:textId="77777777" w:rsidR="00865495" w:rsidRDefault="00865495" w:rsidP="00E27FD2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5495">
        <w:rPr>
          <w:rFonts w:ascii="Arial" w:hAnsi="Arial" w:cs="Arial"/>
          <w:bCs/>
          <w:sz w:val="20"/>
          <w:szCs w:val="20"/>
          <w:lang w:eastAsia="pl-PL"/>
        </w:rPr>
        <w:t>Pięć z nich uwzględnia różne technologie i działania, które sprzyjają przechodzeniu na gospodarkę neutralną pod względem emisji gazów cieplarnianych. Różnią się one intensywnością stosowania elektryfikacji, wodoru i e-paliw (tj. technologii „</w:t>
      </w:r>
      <w:proofErr w:type="spellStart"/>
      <w:r w:rsidRPr="00865495">
        <w:rPr>
          <w:rFonts w:ascii="Arial" w:hAnsi="Arial" w:cs="Arial"/>
          <w:bCs/>
          <w:sz w:val="20"/>
          <w:szCs w:val="20"/>
          <w:lang w:eastAsia="pl-PL"/>
        </w:rPr>
        <w:t>power</w:t>
      </w:r>
      <w:proofErr w:type="spellEnd"/>
      <w:r w:rsidRPr="00865495">
        <w:rPr>
          <w:rFonts w:ascii="Arial" w:hAnsi="Arial" w:cs="Arial"/>
          <w:bCs/>
          <w:sz w:val="20"/>
          <w:szCs w:val="20"/>
          <w:lang w:eastAsia="pl-PL"/>
        </w:rPr>
        <w:t>-to-X”), a także efektywnością energetyczną końcowego wykorzystania energii i rolą gospodarki o obiegu zamkniętym jako działań na rzecz ograniczenia emisji. Pozwala to</w:t>
      </w:r>
      <w:r w:rsidR="00F017F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5495">
        <w:rPr>
          <w:rFonts w:ascii="Arial" w:hAnsi="Arial" w:cs="Arial"/>
          <w:bCs/>
          <w:sz w:val="20"/>
          <w:szCs w:val="20"/>
          <w:lang w:eastAsia="pl-PL"/>
        </w:rPr>
        <w:t>na zbadanie ich wspólnych cech, a także różnych skutków dla systemu energetycznego. W przypadku wszystkich tych ścieżek rośnie zużycie energii elektrycznej, ale występują znaczne różnice. Ścieżki, które w większym stopniu skupiają się na elektryfikacji w sektorach końcowego wykorzystania energii, wymagają wprowadzenia znacznej infrastruktury magazynowania (6 razy większej niż w chwili obecnej), aby poradzić sobie ze zmiennością systemu energii elektrycznej</w:t>
      </w:r>
      <w:r w:rsidR="001E329F">
        <w:rPr>
          <w:rFonts w:ascii="Arial" w:hAnsi="Arial" w:cs="Arial"/>
          <w:bCs/>
          <w:sz w:val="20"/>
          <w:szCs w:val="20"/>
          <w:lang w:eastAsia="pl-PL"/>
        </w:rPr>
        <w:t>,</w:t>
      </w:r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1E329F">
        <w:rPr>
          <w:rFonts w:ascii="Arial" w:hAnsi="Arial" w:cs="Arial"/>
          <w:bCs/>
          <w:sz w:val="20"/>
          <w:szCs w:val="20"/>
          <w:lang w:eastAsia="pl-PL"/>
        </w:rPr>
        <w:t>natomiast</w:t>
      </w:r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 ścieżki zakładające stosowanie większej ilości wodoru wymagają przede wszystkim więcej energii elektrycznej do produkcji wodoru. Ścieżki wykorzystujące największe ilości energii elektrycznej to takie, które zakładają rozwój e-paliw, co spowoduje wzrost produkcji energii elektrycznej w 2050 r. o blisko 150 % w porównaniu z obecną sytuacją. Zamiast tego, ścieżki, które odnoszą się do popytu</w:t>
      </w:r>
      <w:r w:rsidR="001E329F">
        <w:rPr>
          <w:rFonts w:ascii="Arial" w:hAnsi="Arial" w:cs="Arial"/>
          <w:bCs/>
          <w:sz w:val="20"/>
          <w:szCs w:val="20"/>
          <w:lang w:eastAsia="pl-PL"/>
        </w:rPr>
        <w:t xml:space="preserve"> (</w:t>
      </w:r>
      <w:r w:rsidRPr="00865495">
        <w:rPr>
          <w:rFonts w:ascii="Arial" w:hAnsi="Arial" w:cs="Arial"/>
          <w:bCs/>
          <w:sz w:val="20"/>
          <w:szCs w:val="20"/>
          <w:lang w:eastAsia="pl-PL"/>
        </w:rPr>
        <w:t>wysoka efektywność końcowego wykorzystania energii lub gospodarka o obiegu zamkniętym</w:t>
      </w:r>
      <w:r w:rsidR="001E329F">
        <w:rPr>
          <w:rFonts w:ascii="Arial" w:hAnsi="Arial" w:cs="Arial"/>
          <w:bCs/>
          <w:sz w:val="20"/>
          <w:szCs w:val="20"/>
          <w:lang w:eastAsia="pl-PL"/>
        </w:rPr>
        <w:t>)</w:t>
      </w:r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 wymagają najmniejszego wzrostu wytwarzania energii elektrycznej (o około 35 % więcej do 2050 r. w porównaniu z obecną sytuacją), powodują mniej potrzeb w zakresie magazynowania oraz przynoszą najwięcej oszczędności energii w sektorze mieszkaniowym i przemysłowym. Wszystkie te ścieżki dodatkowo uwzględniają zróżnicowane potrzeby w zakresie inwestycji i transformacji na poziomie sektorowym. Ścieżki w większym stopniu oparte na </w:t>
      </w:r>
      <w:proofErr w:type="spellStart"/>
      <w:r w:rsidRPr="00865495">
        <w:rPr>
          <w:rFonts w:ascii="Arial" w:hAnsi="Arial" w:cs="Arial"/>
          <w:bCs/>
          <w:sz w:val="20"/>
          <w:szCs w:val="20"/>
          <w:lang w:eastAsia="pl-PL"/>
        </w:rPr>
        <w:t>bezemisyjnych</w:t>
      </w:r>
      <w:proofErr w:type="spellEnd"/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 nośnikach energii wymagają mniejszej transformacji i mniej inwestycji w sektorze końcowego wykorzystania energii, ale również generują największe potrzeby inwestycyjne w sektorach dostaw energii. Natomiast ścieżki skoncentrowane na popycie wymagają najmniej inwestycji w sektorach dostaw energii. Te pięć scenariuszy prowadzi do redukcji emisji gazów cieplarnianych o nieco ponad 80 % – z wyłączeniem sektorów użytkowania gruntów i leśnictwa – do </w:t>
      </w:r>
      <w:r w:rsidRPr="00865495">
        <w:rPr>
          <w:rFonts w:ascii="Arial" w:hAnsi="Arial" w:cs="Arial"/>
          <w:bCs/>
          <w:sz w:val="20"/>
          <w:szCs w:val="20"/>
          <w:lang w:eastAsia="pl-PL"/>
        </w:rPr>
        <w:lastRenderedPageBreak/>
        <w:t>2050 r. w porównaniu z rokiem 1990. W przypadku sektorów użytkowania gruntów i leśnictwa, które pochłaniają więcej CO2 niż emitują, scenariusze te dają redukcję emisji gazów cieplarnianych netto o około 85 % do 2050 r. w porównaniu z rokiem 1990.</w:t>
      </w:r>
    </w:p>
    <w:p w14:paraId="48D54179" w14:textId="77777777" w:rsidR="00865495" w:rsidRDefault="00865495" w:rsidP="00E27FD2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Scenariusz łączący wszystkie pięć wariantów, lecz na niższych poziomach, doprowadzi do redukcji emisji gazów cieplarnianych o aż 90 % (łącznie z pochłanianiem przez sektory użytkowania gruntów i leśnictwa). Nie pozwala on jednak na osiągnięcie neutralności pod względem emisji gazów cieplarnianych do 2050 r. Wynika to z faktu, że niektóre emisje gazów cieplarnianych utrzymają się, zwłaszcza w sektorze rolnictwa. Sektory rolnictwa i leśnictwa są wyjątkowe, ponieważ mogą również usuwać CO2 z atmosfery. Pochłaniane przez nie ilości są obecnie znaczące – w UE sektory te działają jako pochłaniacz netto około 300 mln ton CO2 rocznie. Nie wystarczy to jednak, aby zrekompensować pozostałe emisje bez dodatkowych środków zwiększających rolę gruntów w tym zakresie. W związku z tym należy zbadać dalsze możliwości zaopatrzenia w biomasę w zrównoważony sposób przy jednoczesnym zwiększeniu naturalnego pochłaniania lub w połączeniu z wychwytywaniem i składowaniem dwutlenku węgla, co może prowadzić do wzrostu ujemnych emisji. </w:t>
      </w:r>
    </w:p>
    <w:p w14:paraId="383D9234" w14:textId="77777777" w:rsidR="001E329F" w:rsidRDefault="00865495" w:rsidP="00E27FD2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Siódmy scenariusz kładzie nacisk na wszystkie rodzaje </w:t>
      </w:r>
      <w:proofErr w:type="spellStart"/>
      <w:r w:rsidRPr="00865495">
        <w:rPr>
          <w:rFonts w:ascii="Arial" w:hAnsi="Arial" w:cs="Arial"/>
          <w:bCs/>
          <w:sz w:val="20"/>
          <w:szCs w:val="20"/>
          <w:lang w:eastAsia="pl-PL"/>
        </w:rPr>
        <w:t>bezemisyjnych</w:t>
      </w:r>
      <w:proofErr w:type="spellEnd"/>
      <w:r w:rsidRPr="00865495">
        <w:rPr>
          <w:rFonts w:ascii="Arial" w:hAnsi="Arial" w:cs="Arial"/>
          <w:bCs/>
          <w:sz w:val="20"/>
          <w:szCs w:val="20"/>
          <w:lang w:eastAsia="pl-PL"/>
        </w:rPr>
        <w:t xml:space="preserve"> nośników energii, a także na efektywność i opiera się na technologii ujemnych emisji w postaci bioenergii połączonej z wychwytywaniem i składowaniem dwutlenku węgla w celu zbilansowania pozostałych emisji. Scenariusz ósmy opiera się na poprzednim scenariuszu, ale zawiera ocenę wpływu gospodarki o obiegu w wysokim stopniu zamkniętym oraz potencjalnie korzystnego wpływu ewolucji wyborów konsumenckich w stronę mniejszej emisyjności.</w:t>
      </w:r>
    </w:p>
    <w:p w14:paraId="0BFFBAAC" w14:textId="77777777" w:rsidR="00FE73A3" w:rsidRDefault="00FE73A3" w:rsidP="00640345">
      <w:pPr>
        <w:pStyle w:val="Tekstpodstawowywcity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Transformacja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 xml:space="preserve"> do gospodarki neutralnej dla klimatu wymagać będzie wspólnych działań </w:t>
      </w:r>
      <w:r w:rsidR="000B551E">
        <w:rPr>
          <w:rFonts w:ascii="Arial" w:hAnsi="Arial" w:cs="Arial"/>
          <w:bCs/>
          <w:sz w:val="20"/>
          <w:szCs w:val="20"/>
          <w:lang w:eastAsia="pl-PL"/>
        </w:rPr>
        <w:t>w obszarze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siedmiu strategicznych elementów podstawowych</w:t>
      </w:r>
      <w:r w:rsidR="00640345" w:rsidRPr="00640345">
        <w:rPr>
          <w:rFonts w:ascii="Arial" w:hAnsi="Arial" w:cs="Arial"/>
          <w:bCs/>
          <w:sz w:val="20"/>
          <w:szCs w:val="20"/>
          <w:lang w:eastAsia="pl-PL"/>
        </w:rPr>
        <w:t>:</w:t>
      </w:r>
    </w:p>
    <w:p w14:paraId="6CA905BD" w14:textId="77777777" w:rsid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FE73A3">
        <w:rPr>
          <w:rFonts w:ascii="Arial" w:hAnsi="Arial" w:cs="Arial"/>
          <w:bCs/>
          <w:sz w:val="20"/>
          <w:szCs w:val="20"/>
          <w:lang w:eastAsia="pl-PL"/>
        </w:rPr>
        <w:t>1.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 xml:space="preserve">Maksymalizacja korzyści płynących z efektywności energetycznej, w tym budynków </w:t>
      </w:r>
      <w:proofErr w:type="spellStart"/>
      <w:r w:rsidRPr="00FE73A3">
        <w:rPr>
          <w:rFonts w:ascii="Arial" w:hAnsi="Arial" w:cs="Arial"/>
          <w:bCs/>
          <w:sz w:val="20"/>
          <w:szCs w:val="20"/>
          <w:lang w:eastAsia="pl-PL"/>
        </w:rPr>
        <w:t>bezemisyjnych</w:t>
      </w:r>
      <w:proofErr w:type="spellEnd"/>
      <w:r w:rsidR="001158A8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2B4E18C6" w14:textId="77777777" w:rsid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2.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>Maksymalizacja wykorzystania odnawialnych źródeł energii i energii elektrycznej w celu całkowitej dekarbonizacji dostaw energii w Europie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6E193A2B" w14:textId="77777777" w:rsid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3.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>Przyjęcie czystej, bezpiecznej i opartej na sieci mobilności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58D98672" w14:textId="77777777" w:rsid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4.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>Konkurencyjny przemysł unijny i gospodarka o obiegu zamkniętym jako kluczowy czynnik umożliwiający ograniczenie emisji gazów cieplarnianych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2C07A2F3" w14:textId="77777777" w:rsid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5.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>Rozwój odpowiedniej infrastruktury sieciowej i wzajemnych połączeń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3C030E75" w14:textId="77777777" w:rsid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6.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 xml:space="preserve">Czerpanie pełnych korzyści z </w:t>
      </w:r>
      <w:proofErr w:type="spellStart"/>
      <w:r w:rsidRPr="00FE73A3">
        <w:rPr>
          <w:rFonts w:ascii="Arial" w:hAnsi="Arial" w:cs="Arial"/>
          <w:bCs/>
          <w:sz w:val="20"/>
          <w:szCs w:val="20"/>
          <w:lang w:eastAsia="pl-PL"/>
        </w:rPr>
        <w:t>biogospodarki</w:t>
      </w:r>
      <w:proofErr w:type="spellEnd"/>
      <w:r w:rsidRPr="00FE73A3">
        <w:rPr>
          <w:rFonts w:ascii="Arial" w:hAnsi="Arial" w:cs="Arial"/>
          <w:bCs/>
          <w:sz w:val="20"/>
          <w:szCs w:val="20"/>
          <w:lang w:eastAsia="pl-PL"/>
        </w:rPr>
        <w:t xml:space="preserve"> i tworzenie niezbędnych pochłaniaczy dwutlenku węgla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5C4E7199" w14:textId="77777777" w:rsidR="00FE73A3" w:rsidRPr="00FE73A3" w:rsidRDefault="00FE73A3" w:rsidP="00FE73A3">
      <w:pPr>
        <w:pStyle w:val="Tekstpodstawowywcity"/>
        <w:spacing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7. </w:t>
      </w:r>
      <w:r w:rsidRPr="00FE73A3">
        <w:rPr>
          <w:rFonts w:ascii="Arial" w:hAnsi="Arial" w:cs="Arial"/>
          <w:bCs/>
          <w:sz w:val="20"/>
          <w:szCs w:val="20"/>
          <w:lang w:eastAsia="pl-PL"/>
        </w:rPr>
        <w:t>Wyeliminowanie pozostałych emisji CO2 dzięki wychwytywaniu i składowaniu dwutlenku węgla</w:t>
      </w:r>
      <w:r w:rsidR="001158A8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4868E548" w14:textId="2591B590" w:rsidR="00723563" w:rsidRDefault="00106E3F" w:rsidP="004E2D48">
      <w:pPr>
        <w:pStyle w:val="Tekstpodstawowywcity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Krajowa Strategia Niskoemisyjna powinna być zgodna z powyższymi założeniami</w:t>
      </w:r>
      <w:r w:rsidR="00C27D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6E2313" w14:textId="77777777" w:rsidR="00793A86" w:rsidRPr="004E2D48" w:rsidRDefault="00793A86" w:rsidP="004E2D48">
      <w:pPr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Szczegółowy zakres zamówienia</w:t>
      </w:r>
    </w:p>
    <w:p w14:paraId="31443F7C" w14:textId="435CD5F5" w:rsidR="00362323" w:rsidRDefault="00362323" w:rsidP="00362323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0F0089">
        <w:rPr>
          <w:rFonts w:ascii="Arial" w:hAnsi="Arial" w:cs="Arial"/>
          <w:sz w:val="20"/>
          <w:szCs w:val="20"/>
        </w:rPr>
        <w:t>Usługa doradczo-konsu</w:t>
      </w:r>
      <w:r>
        <w:rPr>
          <w:rFonts w:ascii="Arial" w:hAnsi="Arial" w:cs="Arial"/>
          <w:sz w:val="20"/>
          <w:szCs w:val="20"/>
        </w:rPr>
        <w:t>ltacyjna</w:t>
      </w:r>
      <w:r w:rsidRPr="000F0089">
        <w:rPr>
          <w:rFonts w:ascii="Arial" w:hAnsi="Arial" w:cs="Arial"/>
          <w:sz w:val="20"/>
          <w:szCs w:val="20"/>
        </w:rPr>
        <w:t xml:space="preserve"> obejmuje ogół czynności związanych z</w:t>
      </w:r>
      <w:r w:rsidR="00AE7890">
        <w:rPr>
          <w:rFonts w:ascii="Arial" w:hAnsi="Arial" w:cs="Arial"/>
          <w:sz w:val="20"/>
          <w:szCs w:val="20"/>
        </w:rPr>
        <w:t xml:space="preserve">e wsparciem w </w:t>
      </w:r>
      <w:r w:rsidRPr="000F00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przygotowan</w:t>
      </w:r>
      <w:r w:rsidR="001E2AEA">
        <w:rPr>
          <w:rFonts w:ascii="Arial" w:hAnsi="Arial" w:cs="Arial"/>
          <w:sz w:val="20"/>
          <w:szCs w:val="20"/>
        </w:rPr>
        <w:t>i</w:t>
      </w:r>
      <w:r w:rsidR="00AE789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Krajow</w:t>
      </w:r>
      <w:r w:rsidR="00AE7890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</w:t>
      </w:r>
      <w:r w:rsidR="00AE7890">
        <w:rPr>
          <w:rFonts w:ascii="Arial" w:hAnsi="Arial" w:cs="Arial"/>
          <w:sz w:val="20"/>
          <w:szCs w:val="20"/>
        </w:rPr>
        <w:t xml:space="preserve">Strategii </w:t>
      </w:r>
      <w:r>
        <w:rPr>
          <w:rFonts w:ascii="Arial" w:hAnsi="Arial" w:cs="Arial"/>
          <w:sz w:val="20"/>
          <w:szCs w:val="20"/>
        </w:rPr>
        <w:t>Niskoemisyjn</w:t>
      </w:r>
      <w:r w:rsidR="001E2AEA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.</w:t>
      </w:r>
      <w:r w:rsidR="00A34641">
        <w:rPr>
          <w:rFonts w:ascii="Arial" w:hAnsi="Arial" w:cs="Arial"/>
          <w:sz w:val="20"/>
          <w:szCs w:val="20"/>
        </w:rPr>
        <w:t xml:space="preserve"> Do zadań Wykonawcy należeć będzie m.in.:</w:t>
      </w:r>
    </w:p>
    <w:p w14:paraId="224438A3" w14:textId="5B88E840" w:rsidR="004D6369" w:rsidRDefault="00133643" w:rsidP="00362323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1</w:t>
      </w:r>
      <w:r w:rsidR="004D6369">
        <w:rPr>
          <w:rFonts w:ascii="Arial" w:hAnsi="Arial" w:cs="Arial"/>
          <w:sz w:val="20"/>
          <w:szCs w:val="20"/>
        </w:rPr>
        <w:t xml:space="preserve">. </w:t>
      </w:r>
      <w:r w:rsidR="00AE7890">
        <w:rPr>
          <w:rFonts w:ascii="Arial" w:hAnsi="Arial" w:cs="Arial"/>
          <w:sz w:val="20"/>
          <w:szCs w:val="20"/>
        </w:rPr>
        <w:t>Przygotowanie projektu d</w:t>
      </w:r>
      <w:r w:rsidR="004D6369">
        <w:rPr>
          <w:rFonts w:ascii="Arial" w:hAnsi="Arial" w:cs="Arial"/>
          <w:sz w:val="20"/>
          <w:szCs w:val="20"/>
        </w:rPr>
        <w:t>iagnoz</w:t>
      </w:r>
      <w:r w:rsidR="00AE7890">
        <w:rPr>
          <w:rFonts w:ascii="Arial" w:hAnsi="Arial" w:cs="Arial"/>
          <w:sz w:val="20"/>
          <w:szCs w:val="20"/>
        </w:rPr>
        <w:t>y</w:t>
      </w:r>
      <w:r w:rsidR="004D6369">
        <w:rPr>
          <w:rFonts w:ascii="Arial" w:hAnsi="Arial" w:cs="Arial"/>
          <w:sz w:val="20"/>
          <w:szCs w:val="20"/>
        </w:rPr>
        <w:t xml:space="preserve"> obecnej sytuacji gospodarczej w Polsce pod kątem emisyjności w podziale na sektory (</w:t>
      </w:r>
      <w:r w:rsidR="004D6369">
        <w:rPr>
          <w:rFonts w:ascii="Arial" w:hAnsi="Arial" w:cs="Arial"/>
          <w:bCs/>
          <w:sz w:val="20"/>
          <w:szCs w:val="20"/>
          <w:lang w:eastAsia="pl-PL"/>
        </w:rPr>
        <w:t xml:space="preserve">energetyka, przemysł, budownictwo, transport, rolnictwo) </w:t>
      </w:r>
      <w:r w:rsidR="00197952">
        <w:rPr>
          <w:rFonts w:ascii="Arial" w:hAnsi="Arial" w:cs="Arial"/>
          <w:bCs/>
          <w:sz w:val="20"/>
          <w:szCs w:val="20"/>
          <w:lang w:eastAsia="pl-PL"/>
        </w:rPr>
        <w:t>–</w:t>
      </w:r>
      <w:r w:rsidR="001E2A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197952">
        <w:rPr>
          <w:rFonts w:ascii="Arial" w:hAnsi="Arial" w:cs="Arial"/>
          <w:bCs/>
          <w:sz w:val="20"/>
          <w:szCs w:val="20"/>
          <w:lang w:eastAsia="pl-PL"/>
        </w:rPr>
        <w:t xml:space="preserve">raport </w:t>
      </w:r>
      <w:r w:rsidR="00AE7890">
        <w:rPr>
          <w:rFonts w:ascii="Arial" w:hAnsi="Arial" w:cs="Arial"/>
          <w:bCs/>
          <w:sz w:val="20"/>
          <w:szCs w:val="20"/>
          <w:lang w:eastAsia="pl-PL"/>
        </w:rPr>
        <w:t>cząstkowy</w:t>
      </w:r>
      <w:r w:rsidR="004D6369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2E3D8EB9" w14:textId="77777777" w:rsidR="00197952" w:rsidRDefault="00133643" w:rsidP="00197952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eastAsia="pl-PL"/>
        </w:rPr>
        <w:t>2</w:t>
      </w:r>
      <w:r w:rsidR="00197952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197952">
        <w:rPr>
          <w:rFonts w:ascii="Arial" w:hAnsi="Arial" w:cs="Arial"/>
          <w:sz w:val="20"/>
          <w:szCs w:val="20"/>
        </w:rPr>
        <w:t>Przeprowadzenie</w:t>
      </w:r>
      <w:r w:rsidR="004D38D6">
        <w:rPr>
          <w:rFonts w:ascii="Arial" w:hAnsi="Arial" w:cs="Arial"/>
          <w:sz w:val="20"/>
          <w:szCs w:val="20"/>
        </w:rPr>
        <w:t xml:space="preserve"> minimum 2</w:t>
      </w:r>
      <w:r w:rsidR="00197952">
        <w:rPr>
          <w:rFonts w:ascii="Arial" w:hAnsi="Arial" w:cs="Arial"/>
          <w:sz w:val="20"/>
          <w:szCs w:val="20"/>
        </w:rPr>
        <w:t xml:space="preserve"> warsztatów </w:t>
      </w:r>
      <w:r w:rsidR="004D38D6">
        <w:rPr>
          <w:rFonts w:ascii="Arial" w:hAnsi="Arial" w:cs="Arial"/>
          <w:sz w:val="20"/>
          <w:szCs w:val="20"/>
        </w:rPr>
        <w:t>eksperckich na różnych etapach prac.</w:t>
      </w:r>
      <w:r w:rsidR="00197952">
        <w:rPr>
          <w:rFonts w:ascii="Arial" w:hAnsi="Arial" w:cs="Arial"/>
          <w:sz w:val="20"/>
          <w:szCs w:val="20"/>
        </w:rPr>
        <w:t xml:space="preserve"> </w:t>
      </w:r>
    </w:p>
    <w:p w14:paraId="0A9909F4" w14:textId="77777777" w:rsidR="004D6369" w:rsidRDefault="00133643" w:rsidP="00362323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eastAsia="pl-PL"/>
        </w:rPr>
        <w:t>3</w:t>
      </w:r>
      <w:r w:rsidR="004D6369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4D6369">
        <w:rPr>
          <w:rFonts w:ascii="Arial" w:hAnsi="Arial" w:cs="Arial"/>
          <w:sz w:val="20"/>
          <w:szCs w:val="20"/>
        </w:rPr>
        <w:t xml:space="preserve">Identyfikacja działań służących realizacji celu, </w:t>
      </w:r>
      <w:r w:rsidR="004D38D6">
        <w:rPr>
          <w:rFonts w:ascii="Arial" w:hAnsi="Arial" w:cs="Arial"/>
          <w:sz w:val="20"/>
          <w:szCs w:val="20"/>
        </w:rPr>
        <w:t>estymacja ich</w:t>
      </w:r>
      <w:r w:rsidR="004D6369">
        <w:rPr>
          <w:rFonts w:ascii="Arial" w:hAnsi="Arial" w:cs="Arial"/>
          <w:sz w:val="20"/>
          <w:szCs w:val="20"/>
        </w:rPr>
        <w:t xml:space="preserve"> kosztów, ocena </w:t>
      </w:r>
      <w:proofErr w:type="spellStart"/>
      <w:r w:rsidR="004D6369">
        <w:rPr>
          <w:rFonts w:ascii="Arial" w:hAnsi="Arial" w:cs="Arial"/>
          <w:sz w:val="20"/>
          <w:szCs w:val="20"/>
        </w:rPr>
        <w:t>ryzyk</w:t>
      </w:r>
      <w:proofErr w:type="spellEnd"/>
      <w:r w:rsidR="004D6369">
        <w:rPr>
          <w:rFonts w:ascii="Arial" w:hAnsi="Arial" w:cs="Arial"/>
          <w:sz w:val="20"/>
          <w:szCs w:val="20"/>
        </w:rPr>
        <w:t xml:space="preserve"> związanych z ich podjęciem, identyfikacja istotnych barier wdrożeniowych</w:t>
      </w:r>
      <w:r w:rsidR="004D38D6">
        <w:rPr>
          <w:rFonts w:ascii="Arial" w:hAnsi="Arial" w:cs="Arial"/>
          <w:sz w:val="20"/>
          <w:szCs w:val="20"/>
        </w:rPr>
        <w:t xml:space="preserve"> oraz</w:t>
      </w:r>
      <w:r w:rsidR="004D6369">
        <w:rPr>
          <w:rFonts w:ascii="Arial" w:hAnsi="Arial" w:cs="Arial"/>
          <w:sz w:val="20"/>
          <w:szCs w:val="20"/>
        </w:rPr>
        <w:t xml:space="preserve"> mechanizmów usuwania istniejących barier.</w:t>
      </w:r>
    </w:p>
    <w:p w14:paraId="2C1F98B4" w14:textId="5970E456" w:rsidR="00197952" w:rsidRDefault="00133643" w:rsidP="00362323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D6369">
        <w:rPr>
          <w:rFonts w:ascii="Arial" w:hAnsi="Arial" w:cs="Arial"/>
          <w:sz w:val="20"/>
          <w:szCs w:val="20"/>
        </w:rPr>
        <w:t xml:space="preserve">. </w:t>
      </w:r>
      <w:r w:rsidR="00197952">
        <w:rPr>
          <w:rFonts w:ascii="Arial" w:hAnsi="Arial" w:cs="Arial"/>
          <w:sz w:val="20"/>
          <w:szCs w:val="20"/>
        </w:rPr>
        <w:t xml:space="preserve">Przygotowanie raportu końcowego zawierającego propozycje </w:t>
      </w:r>
      <w:r w:rsidR="00AF3BB9">
        <w:rPr>
          <w:rFonts w:ascii="Arial" w:hAnsi="Arial" w:cs="Arial"/>
          <w:sz w:val="20"/>
          <w:szCs w:val="20"/>
        </w:rPr>
        <w:t>5</w:t>
      </w:r>
      <w:r w:rsidR="004D6369">
        <w:rPr>
          <w:rFonts w:ascii="Arial" w:hAnsi="Arial" w:cs="Arial"/>
          <w:sz w:val="20"/>
          <w:szCs w:val="20"/>
        </w:rPr>
        <w:t xml:space="preserve"> finalnych</w:t>
      </w:r>
      <w:r w:rsidR="001F633D">
        <w:rPr>
          <w:rFonts w:ascii="Arial" w:hAnsi="Arial" w:cs="Arial"/>
          <w:sz w:val="20"/>
          <w:szCs w:val="20"/>
        </w:rPr>
        <w:t xml:space="preserve"> scenariuszy</w:t>
      </w:r>
      <w:r w:rsidR="00197952">
        <w:rPr>
          <w:rFonts w:ascii="Arial" w:hAnsi="Arial" w:cs="Arial"/>
          <w:sz w:val="20"/>
          <w:szCs w:val="20"/>
        </w:rPr>
        <w:t xml:space="preserve"> transformacji niskoemisyjnej</w:t>
      </w:r>
      <w:r w:rsidR="001E2AEA">
        <w:rPr>
          <w:rFonts w:ascii="Arial" w:hAnsi="Arial" w:cs="Arial"/>
          <w:sz w:val="20"/>
          <w:szCs w:val="20"/>
        </w:rPr>
        <w:t>.</w:t>
      </w:r>
      <w:r w:rsidR="004A4A1B">
        <w:rPr>
          <w:rFonts w:ascii="Arial" w:hAnsi="Arial" w:cs="Arial"/>
          <w:sz w:val="20"/>
          <w:szCs w:val="20"/>
        </w:rPr>
        <w:t xml:space="preserve"> Przynajmniej jeden ze scenariuszy powinien być spójny z </w:t>
      </w:r>
      <w:r w:rsidR="004A4A1B" w:rsidRPr="007B299F">
        <w:rPr>
          <w:rFonts w:ascii="Arial" w:hAnsi="Arial" w:cs="Arial"/>
          <w:sz w:val="20"/>
          <w:szCs w:val="20"/>
        </w:rPr>
        <w:t>Krajowy</w:t>
      </w:r>
      <w:r w:rsidR="004A4A1B">
        <w:rPr>
          <w:rFonts w:ascii="Arial" w:hAnsi="Arial" w:cs="Arial"/>
          <w:sz w:val="20"/>
          <w:szCs w:val="20"/>
        </w:rPr>
        <w:t>m</w:t>
      </w:r>
      <w:r w:rsidR="004A4A1B" w:rsidRPr="007B299F">
        <w:rPr>
          <w:rFonts w:ascii="Arial" w:hAnsi="Arial" w:cs="Arial"/>
          <w:sz w:val="20"/>
          <w:szCs w:val="20"/>
        </w:rPr>
        <w:t xml:space="preserve"> plan</w:t>
      </w:r>
      <w:r w:rsidR="004A4A1B">
        <w:rPr>
          <w:rFonts w:ascii="Arial" w:hAnsi="Arial" w:cs="Arial"/>
          <w:sz w:val="20"/>
          <w:szCs w:val="20"/>
        </w:rPr>
        <w:t>em</w:t>
      </w:r>
      <w:r w:rsidR="004A4A1B" w:rsidRPr="007B299F">
        <w:rPr>
          <w:rFonts w:ascii="Arial" w:hAnsi="Arial" w:cs="Arial"/>
          <w:sz w:val="20"/>
          <w:szCs w:val="20"/>
        </w:rPr>
        <w:t xml:space="preserve"> na rzecz energii i klimatu na lata 2021-2030</w:t>
      </w:r>
      <w:r w:rsidR="001E2AEA">
        <w:rPr>
          <w:rFonts w:ascii="Arial" w:hAnsi="Arial" w:cs="Arial"/>
          <w:sz w:val="20"/>
          <w:szCs w:val="20"/>
        </w:rPr>
        <w:t>.</w:t>
      </w:r>
    </w:p>
    <w:p w14:paraId="5331FAAB" w14:textId="2E705D92" w:rsidR="007B299F" w:rsidRDefault="007B299F" w:rsidP="007B299F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Opracowania powinny </w:t>
      </w:r>
      <w:r w:rsidR="00C27DBE">
        <w:rPr>
          <w:rFonts w:ascii="Arial" w:hAnsi="Arial" w:cs="Arial"/>
          <w:sz w:val="20"/>
          <w:szCs w:val="20"/>
        </w:rPr>
        <w:t>wskazywać</w:t>
      </w:r>
      <w:r>
        <w:rPr>
          <w:rFonts w:ascii="Arial" w:hAnsi="Arial" w:cs="Arial"/>
          <w:sz w:val="20"/>
          <w:szCs w:val="20"/>
        </w:rPr>
        <w:t xml:space="preserve"> kierunki</w:t>
      </w:r>
      <w:r w:rsidR="00C27DBE">
        <w:rPr>
          <w:rFonts w:ascii="Arial" w:hAnsi="Arial" w:cs="Arial"/>
          <w:sz w:val="20"/>
          <w:szCs w:val="20"/>
        </w:rPr>
        <w:t xml:space="preserve"> działań</w:t>
      </w:r>
      <w:r>
        <w:rPr>
          <w:rFonts w:ascii="Arial" w:hAnsi="Arial" w:cs="Arial"/>
          <w:sz w:val="20"/>
          <w:szCs w:val="20"/>
        </w:rPr>
        <w:t xml:space="preserve"> komplementarne</w:t>
      </w:r>
      <w:r w:rsidR="00C27DBE">
        <w:rPr>
          <w:rFonts w:ascii="Arial" w:hAnsi="Arial" w:cs="Arial"/>
          <w:sz w:val="20"/>
          <w:szCs w:val="20"/>
        </w:rPr>
        <w:t xml:space="preserve"> lub sprzeczne</w:t>
      </w:r>
      <w:r>
        <w:rPr>
          <w:rFonts w:ascii="Arial" w:hAnsi="Arial" w:cs="Arial"/>
          <w:sz w:val="20"/>
          <w:szCs w:val="20"/>
        </w:rPr>
        <w:t xml:space="preserve"> z horyzontalną strategią rozwoju kraju tj. ze </w:t>
      </w:r>
      <w:r w:rsidRPr="007B299F">
        <w:rPr>
          <w:rFonts w:ascii="Arial" w:hAnsi="Arial" w:cs="Arial"/>
          <w:sz w:val="20"/>
          <w:szCs w:val="20"/>
        </w:rPr>
        <w:t>Strategią Odpowiedzialnego Rozwoju oraz jej zintegrowanymi strategiami</w:t>
      </w:r>
      <w:r>
        <w:rPr>
          <w:rFonts w:ascii="Arial" w:hAnsi="Arial" w:cs="Arial"/>
          <w:sz w:val="20"/>
          <w:szCs w:val="20"/>
        </w:rPr>
        <w:t xml:space="preserve"> </w:t>
      </w:r>
      <w:r w:rsidRPr="007B299F">
        <w:rPr>
          <w:rFonts w:ascii="Arial" w:hAnsi="Arial" w:cs="Arial"/>
          <w:sz w:val="20"/>
          <w:szCs w:val="20"/>
        </w:rPr>
        <w:t>sektorowymi będącymi obecnie w procesie ak</w:t>
      </w:r>
      <w:r w:rsidR="00F376D1">
        <w:rPr>
          <w:rFonts w:ascii="Arial" w:hAnsi="Arial" w:cs="Arial"/>
          <w:sz w:val="20"/>
          <w:szCs w:val="20"/>
        </w:rPr>
        <w:t>t</w:t>
      </w:r>
      <w:r w:rsidRPr="007B299F">
        <w:rPr>
          <w:rFonts w:ascii="Arial" w:hAnsi="Arial" w:cs="Arial"/>
          <w:sz w:val="20"/>
          <w:szCs w:val="20"/>
        </w:rPr>
        <w:t>ualizacji, w szczególności z projektem Polityki</w:t>
      </w:r>
      <w:r>
        <w:rPr>
          <w:rFonts w:ascii="Arial" w:hAnsi="Arial" w:cs="Arial"/>
          <w:sz w:val="20"/>
          <w:szCs w:val="20"/>
        </w:rPr>
        <w:t xml:space="preserve"> </w:t>
      </w:r>
      <w:r w:rsidRPr="007B299F">
        <w:rPr>
          <w:rFonts w:ascii="Arial" w:hAnsi="Arial" w:cs="Arial"/>
          <w:sz w:val="20"/>
          <w:szCs w:val="20"/>
        </w:rPr>
        <w:lastRenderedPageBreak/>
        <w:t>energetycznej Polski do roku 2040,</w:t>
      </w:r>
      <w:r>
        <w:rPr>
          <w:rFonts w:ascii="Arial" w:hAnsi="Arial" w:cs="Arial"/>
          <w:sz w:val="20"/>
          <w:szCs w:val="20"/>
        </w:rPr>
        <w:t xml:space="preserve"> </w:t>
      </w:r>
      <w:r w:rsidRPr="007B299F">
        <w:rPr>
          <w:rFonts w:ascii="Arial" w:hAnsi="Arial" w:cs="Arial"/>
          <w:sz w:val="20"/>
          <w:szCs w:val="20"/>
        </w:rPr>
        <w:t>Krajowy</w:t>
      </w:r>
      <w:r>
        <w:rPr>
          <w:rFonts w:ascii="Arial" w:hAnsi="Arial" w:cs="Arial"/>
          <w:sz w:val="20"/>
          <w:szCs w:val="20"/>
        </w:rPr>
        <w:t>m</w:t>
      </w:r>
      <w:r w:rsidRPr="007B299F">
        <w:rPr>
          <w:rFonts w:ascii="Arial" w:hAnsi="Arial" w:cs="Arial"/>
          <w:sz w:val="20"/>
          <w:szCs w:val="20"/>
        </w:rPr>
        <w:t xml:space="preserve"> Program</w:t>
      </w:r>
      <w:r w:rsidR="001E329F">
        <w:rPr>
          <w:rFonts w:ascii="Arial" w:hAnsi="Arial" w:cs="Arial"/>
          <w:sz w:val="20"/>
          <w:szCs w:val="20"/>
        </w:rPr>
        <w:t>em</w:t>
      </w:r>
      <w:r w:rsidRPr="007B299F">
        <w:rPr>
          <w:rFonts w:ascii="Arial" w:hAnsi="Arial" w:cs="Arial"/>
          <w:sz w:val="20"/>
          <w:szCs w:val="20"/>
        </w:rPr>
        <w:t xml:space="preserve"> Ograniczania Zanieczyszczenia Powietrza projektem Polityki ekologicznej państwa 2030</w:t>
      </w:r>
      <w:r>
        <w:rPr>
          <w:rFonts w:ascii="Arial" w:hAnsi="Arial" w:cs="Arial"/>
          <w:sz w:val="20"/>
          <w:szCs w:val="20"/>
        </w:rPr>
        <w:t xml:space="preserve"> oraz </w:t>
      </w:r>
      <w:r w:rsidRPr="007B299F">
        <w:rPr>
          <w:rFonts w:ascii="Arial" w:hAnsi="Arial" w:cs="Arial"/>
          <w:sz w:val="20"/>
          <w:szCs w:val="20"/>
        </w:rPr>
        <w:t>projektem Strategii</w:t>
      </w:r>
      <w:r>
        <w:rPr>
          <w:rFonts w:ascii="Arial" w:hAnsi="Arial" w:cs="Arial"/>
          <w:sz w:val="20"/>
          <w:szCs w:val="20"/>
        </w:rPr>
        <w:t xml:space="preserve"> </w:t>
      </w:r>
      <w:r w:rsidRPr="007B299F">
        <w:rPr>
          <w:rFonts w:ascii="Arial" w:hAnsi="Arial" w:cs="Arial"/>
          <w:sz w:val="20"/>
          <w:szCs w:val="20"/>
        </w:rPr>
        <w:t>Zrównoważonego Rozwoju Transportu do 2030 r.</w:t>
      </w:r>
    </w:p>
    <w:p w14:paraId="3F6A64B0" w14:textId="77777777" w:rsidR="007E155F" w:rsidRDefault="00E61F6F" w:rsidP="007B299F">
      <w:pPr>
        <w:pStyle w:val="Tekstpodstawowyzwciciem"/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opracowania ekspertyz Wykonawca może korzystać z opracowanego</w:t>
      </w:r>
      <w:r w:rsidR="001A3F5D">
        <w:rPr>
          <w:rFonts w:ascii="Arial" w:hAnsi="Arial" w:cs="Arial"/>
          <w:sz w:val="20"/>
          <w:szCs w:val="20"/>
        </w:rPr>
        <w:t xml:space="preserve"> wcześniej</w:t>
      </w:r>
      <w:r>
        <w:rPr>
          <w:rFonts w:ascii="Arial" w:hAnsi="Arial" w:cs="Arial"/>
          <w:sz w:val="20"/>
          <w:szCs w:val="20"/>
        </w:rPr>
        <w:t xml:space="preserve"> przez </w:t>
      </w:r>
      <w:r w:rsidR="00A97873">
        <w:rPr>
          <w:rFonts w:ascii="Arial" w:hAnsi="Arial" w:cs="Arial"/>
          <w:sz w:val="20"/>
          <w:szCs w:val="20"/>
        </w:rPr>
        <w:t>Ministerstwo Przedsiębiorczości i Technologii projekt</w:t>
      </w:r>
      <w:r>
        <w:rPr>
          <w:rFonts w:ascii="Arial" w:hAnsi="Arial" w:cs="Arial"/>
          <w:sz w:val="20"/>
          <w:szCs w:val="20"/>
        </w:rPr>
        <w:t>u</w:t>
      </w:r>
      <w:r w:rsidR="00A97873">
        <w:rPr>
          <w:rFonts w:ascii="Arial" w:hAnsi="Arial" w:cs="Arial"/>
          <w:sz w:val="20"/>
          <w:szCs w:val="20"/>
        </w:rPr>
        <w:t xml:space="preserve"> dokumentu strategicznego </w:t>
      </w:r>
      <w:r w:rsidR="001E329F">
        <w:rPr>
          <w:rFonts w:ascii="Arial" w:hAnsi="Arial" w:cs="Arial"/>
          <w:sz w:val="20"/>
          <w:szCs w:val="20"/>
        </w:rPr>
        <w:t xml:space="preserve">- </w:t>
      </w:r>
      <w:r w:rsidR="00A97873">
        <w:rPr>
          <w:rFonts w:ascii="Arial" w:hAnsi="Arial" w:cs="Arial"/>
          <w:sz w:val="20"/>
          <w:szCs w:val="20"/>
        </w:rPr>
        <w:t xml:space="preserve">Narodowy Program Rozwoju Gospodarki Niskoemisyjnej. </w:t>
      </w:r>
    </w:p>
    <w:p w14:paraId="6FA5835C" w14:textId="77777777" w:rsidR="00D84FB0" w:rsidRPr="004E2D48" w:rsidRDefault="00D84FB0" w:rsidP="004E2D48">
      <w:pPr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Sposób wykonania zamówienia</w:t>
      </w:r>
    </w:p>
    <w:p w14:paraId="3BAD4EF1" w14:textId="77777777" w:rsidR="00EA3C93" w:rsidRDefault="00EA3C93" w:rsidP="00462642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</w:p>
    <w:p w14:paraId="3FC4CC2C" w14:textId="54BF3DB9" w:rsidR="00ED1AB3" w:rsidRDefault="00ED1AB3" w:rsidP="00462642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467CDE">
        <w:rPr>
          <w:rFonts w:ascii="Arial" w:hAnsi="Arial" w:cs="Arial"/>
          <w:sz w:val="20"/>
          <w:szCs w:val="20"/>
        </w:rPr>
        <w:t xml:space="preserve"> we współpracy z Zamawiającym</w:t>
      </w:r>
      <w:r w:rsidR="003C2FC3">
        <w:rPr>
          <w:rFonts w:ascii="Arial" w:hAnsi="Arial" w:cs="Arial"/>
          <w:sz w:val="20"/>
          <w:szCs w:val="20"/>
        </w:rPr>
        <w:t xml:space="preserve"> dokona diagnozy obecnej sytuacji gospodarczej w Polsce pod kątem emisyjności w podziale na sektory oraz</w:t>
      </w:r>
      <w:r>
        <w:rPr>
          <w:rFonts w:ascii="Arial" w:hAnsi="Arial" w:cs="Arial"/>
          <w:sz w:val="20"/>
          <w:szCs w:val="20"/>
        </w:rPr>
        <w:t xml:space="preserve"> przedstawi wstępną koncepcję scenariuszy transformacji do gospodarki </w:t>
      </w:r>
      <w:proofErr w:type="spellStart"/>
      <w:r>
        <w:rPr>
          <w:rFonts w:ascii="Arial" w:hAnsi="Arial" w:cs="Arial"/>
          <w:sz w:val="20"/>
          <w:szCs w:val="20"/>
        </w:rPr>
        <w:t>zeroemisyjnej</w:t>
      </w:r>
      <w:proofErr w:type="spellEnd"/>
      <w:r>
        <w:rPr>
          <w:rFonts w:ascii="Arial" w:hAnsi="Arial" w:cs="Arial"/>
          <w:sz w:val="20"/>
          <w:szCs w:val="20"/>
        </w:rPr>
        <w:t xml:space="preserve"> do 2050 roku</w:t>
      </w:r>
      <w:r w:rsidR="003C2FC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954BF">
        <w:rPr>
          <w:rFonts w:ascii="Arial" w:hAnsi="Arial" w:cs="Arial"/>
          <w:sz w:val="20"/>
          <w:szCs w:val="20"/>
        </w:rPr>
        <w:t xml:space="preserve">Przedstawi raport </w:t>
      </w:r>
      <w:r w:rsidR="001B1CFD">
        <w:rPr>
          <w:rFonts w:ascii="Arial" w:hAnsi="Arial" w:cs="Arial"/>
          <w:sz w:val="20"/>
          <w:szCs w:val="20"/>
        </w:rPr>
        <w:t>wstępny</w:t>
      </w:r>
      <w:r w:rsidR="00A954BF">
        <w:rPr>
          <w:rFonts w:ascii="Arial" w:hAnsi="Arial" w:cs="Arial"/>
          <w:sz w:val="20"/>
          <w:szCs w:val="20"/>
        </w:rPr>
        <w:t xml:space="preserve"> zawierający wnioski i rekomendacje.</w:t>
      </w:r>
    </w:p>
    <w:p w14:paraId="7BD998C3" w14:textId="77777777" w:rsidR="004D38D6" w:rsidRDefault="004D38D6" w:rsidP="00462642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</w:p>
    <w:p w14:paraId="32CAF438" w14:textId="77777777" w:rsidR="00AF3BB9" w:rsidRDefault="005D7C8E" w:rsidP="00462642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we współpracy z Zamawiającym zorganizuje</w:t>
      </w:r>
      <w:r w:rsidR="00AF3BB9">
        <w:rPr>
          <w:rFonts w:ascii="Arial" w:hAnsi="Arial" w:cs="Arial"/>
          <w:sz w:val="20"/>
          <w:szCs w:val="20"/>
        </w:rPr>
        <w:t xml:space="preserve"> przynajmniej 2</w:t>
      </w:r>
      <w:r>
        <w:rPr>
          <w:rFonts w:ascii="Arial" w:hAnsi="Arial" w:cs="Arial"/>
          <w:sz w:val="20"/>
          <w:szCs w:val="20"/>
        </w:rPr>
        <w:t xml:space="preserve"> warsztaty </w:t>
      </w:r>
      <w:r w:rsidRPr="005D7C8E">
        <w:rPr>
          <w:rFonts w:ascii="Arial" w:hAnsi="Arial" w:cs="Arial"/>
          <w:sz w:val="20"/>
          <w:szCs w:val="20"/>
        </w:rPr>
        <w:t>z</w:t>
      </w:r>
      <w:r w:rsidR="00AF3BB9">
        <w:rPr>
          <w:rFonts w:ascii="Arial" w:hAnsi="Arial" w:cs="Arial"/>
          <w:sz w:val="20"/>
          <w:szCs w:val="20"/>
        </w:rPr>
        <w:t xml:space="preserve"> ekspertami oraz</w:t>
      </w:r>
      <w:r w:rsidRPr="005D7C8E">
        <w:rPr>
          <w:rFonts w:ascii="Arial" w:hAnsi="Arial" w:cs="Arial"/>
          <w:sz w:val="20"/>
          <w:szCs w:val="20"/>
        </w:rPr>
        <w:t xml:space="preserve"> przedstawicielami administracji publicznej reprezentującymi sektory gospodarki objęte strategią niskoemisyjną</w:t>
      </w:r>
      <w:r w:rsidR="00AF3BB9">
        <w:rPr>
          <w:rFonts w:ascii="Arial" w:hAnsi="Arial" w:cs="Arial"/>
          <w:sz w:val="20"/>
          <w:szCs w:val="20"/>
        </w:rPr>
        <w:t xml:space="preserve"> oraz ekspertami</w:t>
      </w:r>
      <w:r>
        <w:rPr>
          <w:rFonts w:ascii="Arial" w:hAnsi="Arial" w:cs="Arial"/>
          <w:sz w:val="20"/>
          <w:szCs w:val="20"/>
        </w:rPr>
        <w:t>.</w:t>
      </w:r>
    </w:p>
    <w:p w14:paraId="5BC7DEE4" w14:textId="77777777" w:rsidR="00AF3BB9" w:rsidRDefault="00AF3BB9" w:rsidP="00462642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</w:p>
    <w:p w14:paraId="1DBEC7AB" w14:textId="77777777" w:rsidR="00AF3BB9" w:rsidRPr="00CD347A" w:rsidRDefault="00AF3BB9" w:rsidP="00AF3BB9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zadań Wykonawcy w ramach warsztatów należeć będzie p</w:t>
      </w:r>
      <w:r w:rsidRPr="00CD347A">
        <w:rPr>
          <w:rFonts w:ascii="Arial" w:hAnsi="Arial" w:cs="Arial"/>
          <w:sz w:val="20"/>
          <w:szCs w:val="20"/>
        </w:rPr>
        <w:t>rzygotowanie i przesłanie do akceptacji Zamawiającego listy uczestników warsztatów, przygotowanie</w:t>
      </w:r>
      <w:r>
        <w:rPr>
          <w:rFonts w:ascii="Arial" w:hAnsi="Arial" w:cs="Arial"/>
          <w:sz w:val="20"/>
          <w:szCs w:val="20"/>
        </w:rPr>
        <w:t xml:space="preserve"> zaproszeń, przygotowanie</w:t>
      </w:r>
      <w:r w:rsidRPr="00CD347A">
        <w:rPr>
          <w:rFonts w:ascii="Arial" w:hAnsi="Arial" w:cs="Arial"/>
          <w:sz w:val="20"/>
          <w:szCs w:val="20"/>
        </w:rPr>
        <w:t xml:space="preserve"> merytoryczne</w:t>
      </w:r>
      <w:r>
        <w:rPr>
          <w:rFonts w:ascii="Arial" w:hAnsi="Arial" w:cs="Arial"/>
          <w:sz w:val="20"/>
          <w:szCs w:val="20"/>
        </w:rPr>
        <w:t xml:space="preserve"> (agenda, materiały)</w:t>
      </w:r>
      <w:r w:rsidRPr="00CD347A">
        <w:rPr>
          <w:rFonts w:ascii="Arial" w:hAnsi="Arial" w:cs="Arial"/>
          <w:sz w:val="20"/>
          <w:szCs w:val="20"/>
        </w:rPr>
        <w:t xml:space="preserve"> i przeprowadzenie warsztatów oraz opracowanie raportu z warsztatów.</w:t>
      </w:r>
    </w:p>
    <w:p w14:paraId="3AFEA1BF" w14:textId="77777777" w:rsidR="00AF3BB9" w:rsidRDefault="00AF3BB9" w:rsidP="00AF3BB9">
      <w:pPr>
        <w:pStyle w:val="Tekstpodstawowyzwciciem"/>
        <w:spacing w:after="0" w:line="240" w:lineRule="auto"/>
        <w:ind w:left="425" w:firstLine="0"/>
        <w:jc w:val="both"/>
        <w:rPr>
          <w:rFonts w:ascii="Cambria" w:hAnsi="Cambria"/>
        </w:rPr>
      </w:pPr>
    </w:p>
    <w:p w14:paraId="08618AF4" w14:textId="558FDFD2" w:rsidR="005D7C8E" w:rsidRDefault="00AF3BB9" w:rsidP="00AF3BB9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105958">
        <w:rPr>
          <w:rFonts w:ascii="Arial" w:hAnsi="Arial" w:cs="Arial"/>
          <w:sz w:val="20"/>
          <w:szCs w:val="20"/>
        </w:rPr>
        <w:t>Zamawiający zapewnia salę na potrzeby przeprowadzenia warsztatów</w:t>
      </w:r>
      <w:r>
        <w:rPr>
          <w:rFonts w:ascii="Arial" w:hAnsi="Arial" w:cs="Arial"/>
          <w:sz w:val="20"/>
          <w:szCs w:val="20"/>
        </w:rPr>
        <w:t>.</w:t>
      </w:r>
      <w:r w:rsidRPr="00105958">
        <w:rPr>
          <w:rFonts w:ascii="Cambria" w:hAnsi="Cambria"/>
        </w:rPr>
        <w:t xml:space="preserve"> </w:t>
      </w:r>
      <w:r w:rsidR="005D7C8E">
        <w:rPr>
          <w:rFonts w:ascii="Arial" w:hAnsi="Arial" w:cs="Arial"/>
          <w:sz w:val="20"/>
          <w:szCs w:val="20"/>
        </w:rPr>
        <w:t xml:space="preserve"> </w:t>
      </w:r>
    </w:p>
    <w:p w14:paraId="7333E970" w14:textId="77777777" w:rsidR="00640CBD" w:rsidRDefault="00640CBD" w:rsidP="00462642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</w:p>
    <w:p w14:paraId="02D5F42C" w14:textId="6A6D0DEF" w:rsidR="001B1CFD" w:rsidRDefault="00AF3BB9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Finalne s</w:t>
      </w:r>
      <w:r w:rsidR="005B172E">
        <w:rPr>
          <w:rFonts w:ascii="Arial" w:hAnsi="Arial" w:cs="Arial"/>
          <w:sz w:val="20"/>
          <w:szCs w:val="20"/>
        </w:rPr>
        <w:t>cenariusz</w:t>
      </w:r>
      <w:r>
        <w:rPr>
          <w:rFonts w:ascii="Arial" w:hAnsi="Arial" w:cs="Arial"/>
          <w:sz w:val="20"/>
          <w:szCs w:val="20"/>
        </w:rPr>
        <w:t>e opracowane przez Wykonawcę we współpracy z Zamawiającym</w:t>
      </w:r>
      <w:r w:rsidR="005B172E">
        <w:rPr>
          <w:rFonts w:ascii="Arial" w:hAnsi="Arial" w:cs="Arial"/>
          <w:sz w:val="20"/>
          <w:szCs w:val="20"/>
        </w:rPr>
        <w:t xml:space="preserve"> </w:t>
      </w:r>
      <w:r w:rsidR="001B1CFD">
        <w:rPr>
          <w:rFonts w:ascii="Arial" w:hAnsi="Arial" w:cs="Arial"/>
          <w:sz w:val="20"/>
          <w:szCs w:val="20"/>
        </w:rPr>
        <w:t>powin</w:t>
      </w:r>
      <w:r>
        <w:rPr>
          <w:rFonts w:ascii="Arial" w:hAnsi="Arial" w:cs="Arial"/>
          <w:sz w:val="20"/>
          <w:szCs w:val="20"/>
        </w:rPr>
        <w:t>ny</w:t>
      </w:r>
      <w:r w:rsidR="001B1CFD">
        <w:rPr>
          <w:rFonts w:ascii="Arial" w:hAnsi="Arial" w:cs="Arial"/>
          <w:sz w:val="20"/>
          <w:szCs w:val="20"/>
        </w:rPr>
        <w:t xml:space="preserve"> opierać się na d</w:t>
      </w:r>
      <w:r w:rsidR="001B1CFD" w:rsidRPr="00207ADE">
        <w:rPr>
          <w:rFonts w:ascii="Arial" w:hAnsi="Arial" w:cs="Arial"/>
          <w:sz w:val="20"/>
          <w:szCs w:val="20"/>
        </w:rPr>
        <w:t>ziałania</w:t>
      </w:r>
      <w:r w:rsidR="001B1CFD">
        <w:rPr>
          <w:rFonts w:ascii="Arial" w:hAnsi="Arial" w:cs="Arial"/>
          <w:sz w:val="20"/>
          <w:szCs w:val="20"/>
        </w:rPr>
        <w:t xml:space="preserve">ch </w:t>
      </w:r>
      <w:r w:rsidR="001B1CFD">
        <w:rPr>
          <w:rFonts w:ascii="Arial" w:hAnsi="Arial" w:cs="Arial"/>
          <w:bCs/>
          <w:sz w:val="20"/>
          <w:szCs w:val="20"/>
          <w:lang w:eastAsia="pl-PL"/>
        </w:rPr>
        <w:t>w obszarze siedmiu strategicznych elementów podstawowych</w:t>
      </w:r>
      <w:r w:rsidR="00442267">
        <w:rPr>
          <w:rFonts w:ascii="Arial" w:hAnsi="Arial" w:cs="Arial"/>
          <w:bCs/>
          <w:sz w:val="20"/>
          <w:szCs w:val="20"/>
          <w:lang w:eastAsia="pl-PL"/>
        </w:rPr>
        <w:t xml:space="preserve"> opisanych w punkcie III</w:t>
      </w:r>
      <w:r w:rsidR="00E67D9B">
        <w:rPr>
          <w:rFonts w:ascii="Arial" w:hAnsi="Arial" w:cs="Arial"/>
          <w:bCs/>
          <w:sz w:val="20"/>
          <w:szCs w:val="20"/>
          <w:lang w:eastAsia="pl-PL"/>
        </w:rPr>
        <w:t xml:space="preserve"> oraz następujących 8 </w:t>
      </w:r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>wymiar</w:t>
      </w:r>
      <w:r w:rsidR="00E67D9B">
        <w:rPr>
          <w:rFonts w:ascii="Arial" w:hAnsi="Arial" w:cs="Arial"/>
          <w:bCs/>
          <w:sz w:val="20"/>
          <w:szCs w:val="20"/>
          <w:lang w:eastAsia="pl-PL"/>
        </w:rPr>
        <w:t>ach</w:t>
      </w:r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 xml:space="preserve">: sekwencyjność, synergia międzysektorowa, wymierność kosztowa, stopień odchylenia od </w:t>
      </w:r>
      <w:proofErr w:type="spellStart"/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>zeroemisyjności</w:t>
      </w:r>
      <w:proofErr w:type="spellEnd"/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 xml:space="preserve">, endogeniczność, </w:t>
      </w:r>
      <w:proofErr w:type="spellStart"/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>konwertowalność</w:t>
      </w:r>
      <w:proofErr w:type="spellEnd"/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 xml:space="preserve"> na </w:t>
      </w:r>
      <w:proofErr w:type="spellStart"/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>miks</w:t>
      </w:r>
      <w:proofErr w:type="spellEnd"/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 xml:space="preserve"> energetyczny, aspekt </w:t>
      </w:r>
      <w:r w:rsidR="00E67D9B">
        <w:rPr>
          <w:rFonts w:ascii="Arial" w:hAnsi="Arial" w:cs="Arial"/>
          <w:bCs/>
          <w:sz w:val="20"/>
          <w:szCs w:val="20"/>
          <w:lang w:eastAsia="pl-PL"/>
        </w:rPr>
        <w:t>instrumentów wdrożeniowych</w:t>
      </w:r>
      <w:r w:rsidR="00E67D9B" w:rsidRPr="00E67D9B">
        <w:rPr>
          <w:rFonts w:ascii="Arial" w:hAnsi="Arial" w:cs="Arial"/>
          <w:bCs/>
          <w:sz w:val="20"/>
          <w:szCs w:val="20"/>
          <w:lang w:eastAsia="pl-PL"/>
        </w:rPr>
        <w:t>, wymiar infrastrukturalny</w:t>
      </w:r>
      <w:r w:rsidR="001B1CFD">
        <w:rPr>
          <w:rFonts w:ascii="Arial" w:hAnsi="Arial" w:cs="Arial"/>
          <w:bCs/>
          <w:sz w:val="20"/>
          <w:szCs w:val="20"/>
          <w:lang w:eastAsia="pl-PL"/>
        </w:rPr>
        <w:t>. Wymaganymi elementami są także:</w:t>
      </w:r>
    </w:p>
    <w:p w14:paraId="6504FC0C" w14:textId="77777777" w:rsidR="001B1CFD" w:rsidRDefault="001B1CFD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eastAsia="pl-PL"/>
        </w:rPr>
        <w:t>-</w:t>
      </w:r>
      <w:r w:rsidR="005B172E">
        <w:rPr>
          <w:rFonts w:ascii="Arial" w:hAnsi="Arial" w:cs="Arial"/>
          <w:sz w:val="20"/>
          <w:szCs w:val="20"/>
        </w:rPr>
        <w:t xml:space="preserve"> prognoz</w:t>
      </w:r>
      <w:r>
        <w:rPr>
          <w:rFonts w:ascii="Arial" w:hAnsi="Arial" w:cs="Arial"/>
          <w:sz w:val="20"/>
          <w:szCs w:val="20"/>
        </w:rPr>
        <w:t>a</w:t>
      </w:r>
      <w:r w:rsidR="005B172E">
        <w:rPr>
          <w:rFonts w:ascii="Arial" w:hAnsi="Arial" w:cs="Arial"/>
          <w:sz w:val="20"/>
          <w:szCs w:val="20"/>
        </w:rPr>
        <w:t xml:space="preserve"> </w:t>
      </w:r>
      <w:r w:rsidR="005B172E" w:rsidRPr="005B172E">
        <w:rPr>
          <w:rFonts w:ascii="Arial" w:hAnsi="Arial" w:cs="Arial"/>
          <w:sz w:val="20"/>
          <w:szCs w:val="20"/>
        </w:rPr>
        <w:t>oczekiwan</w:t>
      </w:r>
      <w:r w:rsidR="005B172E">
        <w:rPr>
          <w:rFonts w:ascii="Arial" w:hAnsi="Arial" w:cs="Arial"/>
          <w:sz w:val="20"/>
          <w:szCs w:val="20"/>
        </w:rPr>
        <w:t>ych</w:t>
      </w:r>
      <w:r w:rsidR="005B172E" w:rsidRPr="005B172E">
        <w:rPr>
          <w:rFonts w:ascii="Arial" w:hAnsi="Arial" w:cs="Arial"/>
          <w:sz w:val="20"/>
          <w:szCs w:val="20"/>
        </w:rPr>
        <w:t xml:space="preserve"> postęp</w:t>
      </w:r>
      <w:r w:rsidR="005B172E">
        <w:rPr>
          <w:rFonts w:ascii="Arial" w:hAnsi="Arial" w:cs="Arial"/>
          <w:sz w:val="20"/>
          <w:szCs w:val="20"/>
        </w:rPr>
        <w:t>ów</w:t>
      </w:r>
      <w:r w:rsidR="005B172E" w:rsidRPr="005B172E">
        <w:rPr>
          <w:rFonts w:ascii="Arial" w:hAnsi="Arial" w:cs="Arial"/>
          <w:sz w:val="20"/>
          <w:szCs w:val="20"/>
        </w:rPr>
        <w:t xml:space="preserve"> w przechodzeniu na gospodarkę o niskim poziomie emisji gazów cieplarnianych</w:t>
      </w:r>
      <w:r>
        <w:rPr>
          <w:rFonts w:ascii="Arial" w:hAnsi="Arial" w:cs="Arial"/>
          <w:sz w:val="20"/>
          <w:szCs w:val="20"/>
        </w:rPr>
        <w:t>, w tym</w:t>
      </w:r>
      <w:r w:rsidR="005344B6">
        <w:rPr>
          <w:rFonts w:ascii="Arial" w:hAnsi="Arial" w:cs="Arial"/>
          <w:sz w:val="20"/>
          <w:szCs w:val="20"/>
        </w:rPr>
        <w:t xml:space="preserve"> dane</w:t>
      </w:r>
      <w:r w:rsidR="005B172E" w:rsidRPr="005B172E">
        <w:rPr>
          <w:rFonts w:ascii="Arial" w:hAnsi="Arial" w:cs="Arial"/>
          <w:sz w:val="20"/>
          <w:szCs w:val="20"/>
        </w:rPr>
        <w:t xml:space="preserve"> </w:t>
      </w:r>
      <w:r w:rsidR="005344B6">
        <w:rPr>
          <w:rFonts w:ascii="Arial" w:hAnsi="Arial" w:cs="Arial"/>
          <w:sz w:val="20"/>
          <w:szCs w:val="20"/>
        </w:rPr>
        <w:t xml:space="preserve">dotyczące </w:t>
      </w:r>
      <w:r w:rsidR="005B172E" w:rsidRPr="005B172E">
        <w:rPr>
          <w:rFonts w:ascii="Arial" w:hAnsi="Arial" w:cs="Arial"/>
          <w:sz w:val="20"/>
          <w:szCs w:val="20"/>
        </w:rPr>
        <w:t>intensywnoś</w:t>
      </w:r>
      <w:r w:rsidR="005344B6">
        <w:rPr>
          <w:rFonts w:ascii="Arial" w:hAnsi="Arial" w:cs="Arial"/>
          <w:sz w:val="20"/>
          <w:szCs w:val="20"/>
        </w:rPr>
        <w:t>ci</w:t>
      </w:r>
      <w:r w:rsidR="005B172E" w:rsidRPr="005B172E">
        <w:rPr>
          <w:rFonts w:ascii="Arial" w:hAnsi="Arial" w:cs="Arial"/>
          <w:sz w:val="20"/>
          <w:szCs w:val="20"/>
        </w:rPr>
        <w:t xml:space="preserve"> emisji gazów cieplarnianych</w:t>
      </w:r>
      <w:r>
        <w:rPr>
          <w:rFonts w:ascii="Arial" w:hAnsi="Arial" w:cs="Arial"/>
          <w:sz w:val="20"/>
          <w:szCs w:val="20"/>
        </w:rPr>
        <w:t xml:space="preserve"> oraz</w:t>
      </w:r>
      <w:r w:rsidR="005B172E" w:rsidRPr="005B172E">
        <w:rPr>
          <w:rFonts w:ascii="Arial" w:hAnsi="Arial" w:cs="Arial"/>
          <w:sz w:val="20"/>
          <w:szCs w:val="20"/>
        </w:rPr>
        <w:t xml:space="preserve"> intensywnoś</w:t>
      </w:r>
      <w:r w:rsidR="005344B6">
        <w:rPr>
          <w:rFonts w:ascii="Arial" w:hAnsi="Arial" w:cs="Arial"/>
          <w:sz w:val="20"/>
          <w:szCs w:val="20"/>
        </w:rPr>
        <w:t>ci</w:t>
      </w:r>
      <w:r w:rsidR="005B172E" w:rsidRPr="005B172E">
        <w:rPr>
          <w:rFonts w:ascii="Arial" w:hAnsi="Arial" w:cs="Arial"/>
          <w:sz w:val="20"/>
          <w:szCs w:val="20"/>
        </w:rPr>
        <w:t xml:space="preserve"> emisji CO2 w przełożeniu na produkt krajowy brutto,</w:t>
      </w:r>
    </w:p>
    <w:p w14:paraId="0B463DD1" w14:textId="77777777" w:rsidR="00133643" w:rsidRDefault="00133643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określenie wymiernych celów obniżki emisji w 2050 roku </w:t>
      </w:r>
      <w:r w:rsidR="00697A3E">
        <w:rPr>
          <w:rFonts w:ascii="Arial" w:hAnsi="Arial" w:cs="Arial"/>
          <w:sz w:val="20"/>
          <w:szCs w:val="20"/>
        </w:rPr>
        <w:t xml:space="preserve">oraz trajektorie dojścia w okresach 5-letnich </w:t>
      </w:r>
      <w:r>
        <w:rPr>
          <w:rFonts w:ascii="Arial" w:hAnsi="Arial" w:cs="Arial"/>
          <w:sz w:val="20"/>
          <w:szCs w:val="20"/>
        </w:rPr>
        <w:t>dla wszystkich scenariuszy,</w:t>
      </w:r>
    </w:p>
    <w:p w14:paraId="20BE4329" w14:textId="7100AD62" w:rsidR="001B1CFD" w:rsidRDefault="001B1CFD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5344B6">
        <w:rPr>
          <w:rFonts w:ascii="Arial" w:hAnsi="Arial" w:cs="Arial"/>
          <w:sz w:val="20"/>
          <w:szCs w:val="20"/>
        </w:rPr>
        <w:t xml:space="preserve"> </w:t>
      </w:r>
      <w:r w:rsidR="00E67D9B">
        <w:rPr>
          <w:rFonts w:ascii="Arial" w:hAnsi="Arial" w:cs="Arial"/>
          <w:sz w:val="20"/>
          <w:szCs w:val="20"/>
        </w:rPr>
        <w:t xml:space="preserve">ewolucja </w:t>
      </w:r>
      <w:proofErr w:type="spellStart"/>
      <w:r w:rsidR="00E67D9B">
        <w:rPr>
          <w:rFonts w:ascii="Arial" w:hAnsi="Arial" w:cs="Arial"/>
          <w:sz w:val="20"/>
          <w:szCs w:val="20"/>
        </w:rPr>
        <w:t>miksu</w:t>
      </w:r>
      <w:proofErr w:type="spellEnd"/>
      <w:r w:rsidR="00E67D9B">
        <w:rPr>
          <w:rFonts w:ascii="Arial" w:hAnsi="Arial" w:cs="Arial"/>
          <w:sz w:val="20"/>
          <w:szCs w:val="20"/>
        </w:rPr>
        <w:t xml:space="preserve"> energii końcowej</w:t>
      </w:r>
      <w:r w:rsidR="005344B6">
        <w:rPr>
          <w:rFonts w:ascii="Arial" w:hAnsi="Arial" w:cs="Arial"/>
          <w:sz w:val="20"/>
          <w:szCs w:val="20"/>
        </w:rPr>
        <w:t>,</w:t>
      </w:r>
    </w:p>
    <w:p w14:paraId="3E233344" w14:textId="5A7E1AAD" w:rsidR="001B1CFD" w:rsidRDefault="001B1CFD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B172E" w:rsidRPr="005B172E">
        <w:rPr>
          <w:rFonts w:ascii="Arial" w:hAnsi="Arial" w:cs="Arial"/>
          <w:sz w:val="20"/>
          <w:szCs w:val="20"/>
        </w:rPr>
        <w:t>szacunki inwestycji długoterminowych</w:t>
      </w:r>
      <w:r>
        <w:rPr>
          <w:rFonts w:ascii="Arial" w:hAnsi="Arial" w:cs="Arial"/>
          <w:sz w:val="20"/>
          <w:szCs w:val="20"/>
        </w:rPr>
        <w:t xml:space="preserve"> oraz</w:t>
      </w:r>
      <w:r w:rsidR="005B172E" w:rsidRPr="005B172E">
        <w:rPr>
          <w:rFonts w:ascii="Arial" w:hAnsi="Arial" w:cs="Arial"/>
          <w:sz w:val="20"/>
          <w:szCs w:val="20"/>
        </w:rPr>
        <w:t xml:space="preserve"> </w:t>
      </w:r>
      <w:r w:rsidR="00E67D9B">
        <w:rPr>
          <w:rFonts w:ascii="Arial" w:hAnsi="Arial" w:cs="Arial"/>
          <w:sz w:val="20"/>
          <w:szCs w:val="20"/>
        </w:rPr>
        <w:t>ogólne kierunki</w:t>
      </w:r>
      <w:r w:rsidR="005B172E" w:rsidRPr="005B172E">
        <w:rPr>
          <w:rFonts w:ascii="Arial" w:hAnsi="Arial" w:cs="Arial"/>
          <w:sz w:val="20"/>
          <w:szCs w:val="20"/>
        </w:rPr>
        <w:t xml:space="preserve"> badań, rozwoju i innowacji w </w:t>
      </w:r>
      <w:r w:rsidR="005344B6">
        <w:rPr>
          <w:rFonts w:ascii="Arial" w:hAnsi="Arial" w:cs="Arial"/>
          <w:sz w:val="20"/>
          <w:szCs w:val="20"/>
        </w:rPr>
        <w:t>poszczególnych sektorach</w:t>
      </w:r>
      <w:r w:rsidR="00442267">
        <w:rPr>
          <w:rFonts w:ascii="Arial" w:hAnsi="Arial" w:cs="Arial"/>
          <w:sz w:val="20"/>
          <w:szCs w:val="20"/>
        </w:rPr>
        <w:t xml:space="preserve"> gospodarki</w:t>
      </w:r>
      <w:r w:rsidR="005344B6">
        <w:rPr>
          <w:rFonts w:ascii="Arial" w:hAnsi="Arial" w:cs="Arial"/>
          <w:sz w:val="20"/>
          <w:szCs w:val="20"/>
        </w:rPr>
        <w:t>,</w:t>
      </w:r>
    </w:p>
    <w:p w14:paraId="67729A75" w14:textId="77777777" w:rsidR="001B1CFD" w:rsidRDefault="001B1CFD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5344B6">
        <w:rPr>
          <w:rFonts w:ascii="Arial" w:hAnsi="Arial" w:cs="Arial"/>
          <w:sz w:val="20"/>
          <w:szCs w:val="20"/>
        </w:rPr>
        <w:t xml:space="preserve"> </w:t>
      </w:r>
      <w:r w:rsidR="00133643">
        <w:rPr>
          <w:rFonts w:ascii="Arial" w:hAnsi="Arial" w:cs="Arial"/>
          <w:sz w:val="20"/>
          <w:szCs w:val="20"/>
        </w:rPr>
        <w:t>koszty oraz źródła finansowania</w:t>
      </w:r>
      <w:r>
        <w:rPr>
          <w:rFonts w:ascii="Arial" w:hAnsi="Arial" w:cs="Arial"/>
          <w:sz w:val="20"/>
          <w:szCs w:val="20"/>
        </w:rPr>
        <w:t>,</w:t>
      </w:r>
      <w:r w:rsidR="005344B6">
        <w:rPr>
          <w:rFonts w:ascii="Arial" w:hAnsi="Arial" w:cs="Arial"/>
          <w:sz w:val="20"/>
          <w:szCs w:val="20"/>
        </w:rPr>
        <w:t xml:space="preserve"> </w:t>
      </w:r>
    </w:p>
    <w:p w14:paraId="329C63C8" w14:textId="77777777" w:rsidR="005344B6" w:rsidRDefault="001B1CFD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344B6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>a</w:t>
      </w:r>
      <w:r w:rsidR="005344B6">
        <w:rPr>
          <w:rFonts w:ascii="Arial" w:hAnsi="Arial" w:cs="Arial"/>
          <w:sz w:val="20"/>
          <w:szCs w:val="20"/>
        </w:rPr>
        <w:t xml:space="preserve"> skutków społeczno-gospodarczych.</w:t>
      </w:r>
    </w:p>
    <w:p w14:paraId="34ACAB00" w14:textId="3FF8168B" w:rsidR="001B1CFD" w:rsidRDefault="00697A3E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wymagania dotyczące zakresu analiz, w tym scenariuszy</w:t>
      </w:r>
      <w:r w:rsidR="004B45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są określone w załączniku IV do rozporządzenia 2018/1999.</w:t>
      </w:r>
    </w:p>
    <w:p w14:paraId="5B578855" w14:textId="77777777" w:rsidR="00EB7138" w:rsidRDefault="00EB7138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</w:p>
    <w:p w14:paraId="48160A42" w14:textId="1D5AA603" w:rsidR="00EB7138" w:rsidRDefault="00EB7138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Scenariusze powinny </w:t>
      </w:r>
      <w:r w:rsidR="00E67D9B">
        <w:rPr>
          <w:rFonts w:ascii="Arial" w:hAnsi="Arial" w:cs="Arial"/>
          <w:sz w:val="20"/>
          <w:szCs w:val="20"/>
        </w:rPr>
        <w:t>służyć optymalizacji ścieżki</w:t>
      </w:r>
      <w:r>
        <w:rPr>
          <w:rFonts w:ascii="Arial" w:hAnsi="Arial" w:cs="Arial"/>
          <w:sz w:val="20"/>
          <w:szCs w:val="20"/>
        </w:rPr>
        <w:t xml:space="preserve"> osiągnięcia możliwie najniższego poziomu emisyjności, przy uwzględnieniu kosztów w ujęciu ekonomicznym oraz </w:t>
      </w:r>
      <w:r w:rsidR="00E67D9B">
        <w:rPr>
          <w:rFonts w:ascii="Arial" w:hAnsi="Arial" w:cs="Arial"/>
          <w:sz w:val="20"/>
          <w:szCs w:val="20"/>
        </w:rPr>
        <w:t>czynników stymulujących rozwój gospodarczy</w:t>
      </w:r>
      <w:r>
        <w:rPr>
          <w:rFonts w:ascii="Arial" w:hAnsi="Arial" w:cs="Arial"/>
          <w:sz w:val="20"/>
          <w:szCs w:val="20"/>
        </w:rPr>
        <w:t>.</w:t>
      </w:r>
    </w:p>
    <w:p w14:paraId="1094569A" w14:textId="77777777" w:rsidR="00EB7138" w:rsidRDefault="00EB7138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</w:p>
    <w:p w14:paraId="47C47604" w14:textId="7B88AF07" w:rsidR="00EB7138" w:rsidRDefault="008E4984" w:rsidP="005344B6">
      <w:pPr>
        <w:pStyle w:val="Tekstpodstawowyzwciciem"/>
        <w:spacing w:after="0" w:line="240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 wp14:anchorId="48E37C64" wp14:editId="6BA6DD67">
            <wp:extent cx="3411109" cy="2559753"/>
            <wp:effectExtent l="0" t="0" r="0" b="0"/>
            <wp:docPr id="2" name="Obraz 2" descr="C:\Users\i.barcikowski\Desktop\Prezentac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.barcikowski\Desktop\Prezentacja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09" cy="255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9330BC" w14:textId="77777777" w:rsidR="00D84FB0" w:rsidRPr="004E2D48" w:rsidRDefault="00485FD2" w:rsidP="00F53E7A">
      <w:pPr>
        <w:pStyle w:val="Tekstpodstawowyzwciciem"/>
        <w:spacing w:after="12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Raporty opracowane przez Wykonawcę powinny</w:t>
      </w:r>
      <w:r w:rsidR="00D84FB0" w:rsidRPr="004E2D48">
        <w:rPr>
          <w:rFonts w:ascii="Arial" w:hAnsi="Arial" w:cs="Arial"/>
          <w:sz w:val="20"/>
          <w:szCs w:val="20"/>
        </w:rPr>
        <w:t xml:space="preserve"> </w:t>
      </w:r>
      <w:r w:rsidR="004A2115" w:rsidRPr="004E2D48">
        <w:rPr>
          <w:rFonts w:ascii="Arial" w:hAnsi="Arial" w:cs="Arial"/>
          <w:sz w:val="20"/>
          <w:szCs w:val="20"/>
        </w:rPr>
        <w:t>spełniać</w:t>
      </w:r>
      <w:r w:rsidR="00D84FB0" w:rsidRPr="004E2D48">
        <w:rPr>
          <w:rFonts w:ascii="Arial" w:hAnsi="Arial" w:cs="Arial"/>
          <w:sz w:val="20"/>
          <w:szCs w:val="20"/>
        </w:rPr>
        <w:t xml:space="preserve"> następujące </w:t>
      </w:r>
      <w:r w:rsidR="004A2115" w:rsidRPr="004E2D48">
        <w:rPr>
          <w:rFonts w:ascii="Arial" w:hAnsi="Arial" w:cs="Arial"/>
          <w:sz w:val="20"/>
          <w:szCs w:val="20"/>
        </w:rPr>
        <w:t>warunki</w:t>
      </w:r>
      <w:r w:rsidR="00D84FB0" w:rsidRPr="004E2D48">
        <w:rPr>
          <w:rFonts w:ascii="Arial" w:hAnsi="Arial" w:cs="Arial"/>
          <w:sz w:val="20"/>
          <w:szCs w:val="20"/>
        </w:rPr>
        <w:t>:</w:t>
      </w:r>
    </w:p>
    <w:p w14:paraId="74C18678" w14:textId="77777777" w:rsidR="003708E9" w:rsidRDefault="00A07381" w:rsidP="001E2AEA">
      <w:pPr>
        <w:pStyle w:val="Tekstpodstawowyzwciciem"/>
        <w:numPr>
          <w:ilvl w:val="0"/>
          <w:numId w:val="7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Dokument</w:t>
      </w:r>
      <w:r w:rsidR="00D84FB0" w:rsidRPr="004E2D48">
        <w:rPr>
          <w:rFonts w:ascii="Arial" w:hAnsi="Arial" w:cs="Arial"/>
          <w:sz w:val="20"/>
          <w:szCs w:val="20"/>
        </w:rPr>
        <w:t xml:space="preserve"> </w:t>
      </w:r>
      <w:r w:rsidR="00485FD2">
        <w:rPr>
          <w:rFonts w:ascii="Arial" w:hAnsi="Arial" w:cs="Arial"/>
          <w:sz w:val="20"/>
          <w:szCs w:val="20"/>
        </w:rPr>
        <w:t>powinien</w:t>
      </w:r>
      <w:r w:rsidR="00D84FB0" w:rsidRPr="004E2D48">
        <w:rPr>
          <w:rFonts w:ascii="Arial" w:hAnsi="Arial" w:cs="Arial"/>
          <w:sz w:val="20"/>
          <w:szCs w:val="20"/>
        </w:rPr>
        <w:t xml:space="preserve"> sporządzon</w:t>
      </w:r>
      <w:r w:rsidRPr="004E2D48">
        <w:rPr>
          <w:rFonts w:ascii="Arial" w:hAnsi="Arial" w:cs="Arial"/>
          <w:sz w:val="20"/>
          <w:szCs w:val="20"/>
        </w:rPr>
        <w:t>y</w:t>
      </w:r>
      <w:r w:rsidR="00D84FB0" w:rsidRPr="004E2D48">
        <w:rPr>
          <w:rFonts w:ascii="Arial" w:hAnsi="Arial" w:cs="Arial"/>
          <w:sz w:val="20"/>
          <w:szCs w:val="20"/>
        </w:rPr>
        <w:t xml:space="preserve"> poprawnie pod </w:t>
      </w:r>
      <w:r w:rsidR="003708E9" w:rsidRPr="004E2D48">
        <w:rPr>
          <w:rFonts w:ascii="Arial" w:hAnsi="Arial" w:cs="Arial"/>
          <w:sz w:val="20"/>
          <w:szCs w:val="20"/>
        </w:rPr>
        <w:t>względem</w:t>
      </w:r>
      <w:r w:rsidR="00D84FB0" w:rsidRPr="004E2D48">
        <w:rPr>
          <w:rFonts w:ascii="Arial" w:hAnsi="Arial" w:cs="Arial"/>
          <w:sz w:val="20"/>
          <w:szCs w:val="20"/>
        </w:rPr>
        <w:t xml:space="preserve"> stylistycznym i ortograficznym, zgodnie z regułami </w:t>
      </w:r>
      <w:r w:rsidR="00D3379B" w:rsidRPr="004E2D48">
        <w:rPr>
          <w:rFonts w:ascii="Arial" w:hAnsi="Arial" w:cs="Arial"/>
          <w:sz w:val="20"/>
          <w:szCs w:val="20"/>
        </w:rPr>
        <w:t>języka</w:t>
      </w:r>
      <w:r w:rsidR="00D84FB0" w:rsidRPr="004E2D48">
        <w:rPr>
          <w:rFonts w:ascii="Arial" w:hAnsi="Arial" w:cs="Arial"/>
          <w:sz w:val="20"/>
          <w:szCs w:val="20"/>
        </w:rPr>
        <w:t xml:space="preserve"> polskiego.</w:t>
      </w:r>
    </w:p>
    <w:p w14:paraId="3F509232" w14:textId="77777777" w:rsidR="00ED1AB3" w:rsidRPr="004E2D48" w:rsidRDefault="00ED1AB3" w:rsidP="001E2AEA">
      <w:pPr>
        <w:pStyle w:val="Tekstpodstawowyzwciciem"/>
        <w:numPr>
          <w:ilvl w:val="0"/>
          <w:numId w:val="7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będzie poddany korekcie językowej, stylistycznej oraz edytorskiej itp.</w:t>
      </w:r>
    </w:p>
    <w:p w14:paraId="11055186" w14:textId="77777777" w:rsidR="003708E9" w:rsidRPr="004E2D48" w:rsidRDefault="00D84FB0" w:rsidP="001E2AEA">
      <w:pPr>
        <w:pStyle w:val="Tekstpodstawowyzwciciem"/>
        <w:numPr>
          <w:ilvl w:val="0"/>
          <w:numId w:val="7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Dokument </w:t>
      </w:r>
      <w:r w:rsidR="00ED1AB3">
        <w:rPr>
          <w:rFonts w:ascii="Arial" w:hAnsi="Arial" w:cs="Arial"/>
          <w:sz w:val="20"/>
          <w:szCs w:val="20"/>
        </w:rPr>
        <w:t xml:space="preserve">będzie </w:t>
      </w:r>
      <w:r w:rsidR="003708E9" w:rsidRPr="004E2D48">
        <w:rPr>
          <w:rFonts w:ascii="Arial" w:hAnsi="Arial" w:cs="Arial"/>
          <w:sz w:val="20"/>
          <w:szCs w:val="20"/>
        </w:rPr>
        <w:t>uporządkowany</w:t>
      </w:r>
      <w:r w:rsidRPr="004E2D48">
        <w:rPr>
          <w:rFonts w:ascii="Arial" w:hAnsi="Arial" w:cs="Arial"/>
          <w:sz w:val="20"/>
          <w:szCs w:val="20"/>
        </w:rPr>
        <w:t xml:space="preserve"> pod </w:t>
      </w:r>
      <w:r w:rsidR="003708E9" w:rsidRPr="004E2D48">
        <w:rPr>
          <w:rFonts w:ascii="Arial" w:hAnsi="Arial" w:cs="Arial"/>
          <w:sz w:val="20"/>
          <w:szCs w:val="20"/>
        </w:rPr>
        <w:t>względem</w:t>
      </w:r>
      <w:r w:rsidRPr="004E2D48">
        <w:rPr>
          <w:rFonts w:ascii="Arial" w:hAnsi="Arial" w:cs="Arial"/>
          <w:sz w:val="20"/>
          <w:szCs w:val="20"/>
        </w:rPr>
        <w:t xml:space="preserve"> wizualnym, tzn. formatowanie tekstu oraz </w:t>
      </w:r>
      <w:r w:rsidR="003708E9" w:rsidRPr="004E2D48">
        <w:rPr>
          <w:rFonts w:ascii="Arial" w:hAnsi="Arial" w:cs="Arial"/>
          <w:sz w:val="20"/>
          <w:szCs w:val="20"/>
        </w:rPr>
        <w:t>rozwiązania</w:t>
      </w:r>
      <w:r w:rsidRPr="004E2D48">
        <w:rPr>
          <w:rFonts w:ascii="Arial" w:hAnsi="Arial" w:cs="Arial"/>
          <w:sz w:val="20"/>
          <w:szCs w:val="20"/>
        </w:rPr>
        <w:t xml:space="preserve"> graficzne (tabele, grafy, mapy oraz inne </w:t>
      </w:r>
      <w:r w:rsidR="003708E9" w:rsidRPr="004E2D48">
        <w:rPr>
          <w:rFonts w:ascii="Arial" w:hAnsi="Arial" w:cs="Arial"/>
          <w:sz w:val="20"/>
          <w:szCs w:val="20"/>
        </w:rPr>
        <w:t>narzędzia</w:t>
      </w:r>
      <w:r w:rsidRPr="004E2D48">
        <w:rPr>
          <w:rFonts w:ascii="Arial" w:hAnsi="Arial" w:cs="Arial"/>
          <w:sz w:val="20"/>
          <w:szCs w:val="20"/>
        </w:rPr>
        <w:t xml:space="preserve"> prezentacji informacji) zastosowane zostaną w sposób jednolity oraz </w:t>
      </w:r>
      <w:r w:rsidR="003708E9" w:rsidRPr="004E2D48">
        <w:rPr>
          <w:rFonts w:ascii="Arial" w:hAnsi="Arial" w:cs="Arial"/>
          <w:sz w:val="20"/>
          <w:szCs w:val="20"/>
        </w:rPr>
        <w:t>powodujący</w:t>
      </w:r>
      <w:r w:rsidRPr="004E2D48">
        <w:rPr>
          <w:rFonts w:ascii="Arial" w:hAnsi="Arial" w:cs="Arial"/>
          <w:sz w:val="20"/>
          <w:szCs w:val="20"/>
        </w:rPr>
        <w:t xml:space="preserve">, </w:t>
      </w:r>
      <w:r w:rsidR="00FA3626" w:rsidRPr="004E2D48">
        <w:rPr>
          <w:rFonts w:ascii="Arial" w:hAnsi="Arial" w:cs="Arial"/>
          <w:sz w:val="20"/>
          <w:szCs w:val="20"/>
        </w:rPr>
        <w:t>że</w:t>
      </w:r>
      <w:r w:rsidRPr="004E2D48">
        <w:rPr>
          <w:rFonts w:ascii="Arial" w:hAnsi="Arial" w:cs="Arial"/>
          <w:sz w:val="20"/>
          <w:szCs w:val="20"/>
        </w:rPr>
        <w:t xml:space="preserve"> </w:t>
      </w:r>
      <w:r w:rsidR="003708E9" w:rsidRPr="004E2D48">
        <w:rPr>
          <w:rFonts w:ascii="Arial" w:hAnsi="Arial" w:cs="Arial"/>
          <w:sz w:val="20"/>
          <w:szCs w:val="20"/>
        </w:rPr>
        <w:t>będzie</w:t>
      </w:r>
      <w:r w:rsidRPr="004E2D48">
        <w:rPr>
          <w:rFonts w:ascii="Arial" w:hAnsi="Arial" w:cs="Arial"/>
          <w:sz w:val="20"/>
          <w:szCs w:val="20"/>
        </w:rPr>
        <w:t xml:space="preserve"> on czytelny i</w:t>
      </w:r>
      <w:r w:rsidR="00FA3626">
        <w:rPr>
          <w:rFonts w:ascii="Arial" w:hAnsi="Arial" w:cs="Arial"/>
          <w:sz w:val="20"/>
          <w:szCs w:val="20"/>
        </w:rPr>
        <w:t> </w:t>
      </w:r>
      <w:r w:rsidRPr="004E2D48">
        <w:rPr>
          <w:rFonts w:ascii="Arial" w:hAnsi="Arial" w:cs="Arial"/>
          <w:sz w:val="20"/>
          <w:szCs w:val="20"/>
        </w:rPr>
        <w:t>przejrzysty.</w:t>
      </w:r>
    </w:p>
    <w:p w14:paraId="14152E7D" w14:textId="77777777" w:rsidR="003708E9" w:rsidRPr="004E2D48" w:rsidRDefault="00D84FB0" w:rsidP="001E2AEA">
      <w:pPr>
        <w:pStyle w:val="Tekstpodstawowyzwciciem"/>
        <w:numPr>
          <w:ilvl w:val="0"/>
          <w:numId w:val="7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Dokument </w:t>
      </w:r>
      <w:r w:rsidR="00ED1AB3">
        <w:rPr>
          <w:rFonts w:ascii="Arial" w:hAnsi="Arial" w:cs="Arial"/>
          <w:sz w:val="20"/>
          <w:szCs w:val="20"/>
        </w:rPr>
        <w:t>będzie miał możliwość edycji</w:t>
      </w:r>
      <w:r w:rsidR="004B2BD9">
        <w:rPr>
          <w:rFonts w:ascii="Arial" w:hAnsi="Arial" w:cs="Arial"/>
          <w:sz w:val="20"/>
          <w:szCs w:val="20"/>
        </w:rPr>
        <w:t>.</w:t>
      </w:r>
    </w:p>
    <w:p w14:paraId="0BA53CB7" w14:textId="61AB290F" w:rsidR="003708E9" w:rsidRPr="004E2D48" w:rsidRDefault="00E53A54" w:rsidP="001E2AEA">
      <w:pPr>
        <w:pStyle w:val="Tekstpodstawowyzwciciem"/>
        <w:numPr>
          <w:ilvl w:val="0"/>
          <w:numId w:val="7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Pliki graficzne oraz infografiki</w:t>
      </w:r>
      <w:r w:rsidR="00AF3BB9">
        <w:rPr>
          <w:rFonts w:ascii="Arial" w:hAnsi="Arial" w:cs="Arial"/>
          <w:sz w:val="20"/>
          <w:szCs w:val="20"/>
        </w:rPr>
        <w:t xml:space="preserve"> opisujące scenariusze</w:t>
      </w:r>
      <w:r w:rsidR="00D84FB0" w:rsidRPr="004E2D48">
        <w:rPr>
          <w:rFonts w:ascii="Arial" w:hAnsi="Arial" w:cs="Arial"/>
          <w:sz w:val="20"/>
          <w:szCs w:val="20"/>
        </w:rPr>
        <w:t xml:space="preserve"> dostarczone w formie pozwalającej na ich późniejsze wykorzystanie i zapisane w otwartych formatach.</w:t>
      </w:r>
    </w:p>
    <w:p w14:paraId="5D170102" w14:textId="77777777" w:rsidR="004E2D48" w:rsidRDefault="00485FD2" w:rsidP="001E2AEA">
      <w:pPr>
        <w:pStyle w:val="Tekstpodstawowyzwciciem"/>
        <w:numPr>
          <w:ilvl w:val="0"/>
          <w:numId w:val="7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 powinien być przekazany </w:t>
      </w:r>
      <w:r w:rsidRPr="004E2D48">
        <w:rPr>
          <w:rFonts w:ascii="Arial" w:hAnsi="Arial" w:cs="Arial"/>
          <w:sz w:val="20"/>
          <w:szCs w:val="20"/>
        </w:rPr>
        <w:t>Zamawiającemu w</w:t>
      </w:r>
      <w:r>
        <w:rPr>
          <w:rFonts w:ascii="Arial" w:hAnsi="Arial" w:cs="Arial"/>
          <w:sz w:val="20"/>
          <w:szCs w:val="20"/>
        </w:rPr>
        <w:t> </w:t>
      </w:r>
      <w:r w:rsidRPr="004E2D48">
        <w:rPr>
          <w:rFonts w:ascii="Arial" w:hAnsi="Arial" w:cs="Arial"/>
          <w:sz w:val="20"/>
          <w:szCs w:val="20"/>
        </w:rPr>
        <w:t>postaci elektronicznej, pocztą e-mail w plikach .</w:t>
      </w:r>
      <w:proofErr w:type="spellStart"/>
      <w:r w:rsidRPr="004E2D48">
        <w:rPr>
          <w:rFonts w:ascii="Arial" w:hAnsi="Arial" w:cs="Arial"/>
          <w:sz w:val="20"/>
          <w:szCs w:val="20"/>
        </w:rPr>
        <w:t>doc</w:t>
      </w:r>
      <w:proofErr w:type="spellEnd"/>
      <w:r w:rsidRPr="004E2D48">
        <w:rPr>
          <w:rFonts w:ascii="Arial" w:hAnsi="Arial" w:cs="Arial"/>
          <w:sz w:val="20"/>
          <w:szCs w:val="20"/>
        </w:rPr>
        <w:t xml:space="preserve"> oraz.pdf., a także w wersji papierowej (1</w:t>
      </w:r>
      <w:r>
        <w:rPr>
          <w:rFonts w:ascii="Arial" w:hAnsi="Arial" w:cs="Arial"/>
          <w:sz w:val="20"/>
          <w:szCs w:val="20"/>
        </w:rPr>
        <w:t> </w:t>
      </w:r>
      <w:r w:rsidRPr="004E2D48">
        <w:rPr>
          <w:rFonts w:ascii="Arial" w:hAnsi="Arial" w:cs="Arial"/>
          <w:sz w:val="20"/>
          <w:szCs w:val="20"/>
        </w:rPr>
        <w:t>egzemplarz).</w:t>
      </w:r>
    </w:p>
    <w:p w14:paraId="391CEC84" w14:textId="77777777" w:rsidR="00B03E5E" w:rsidRPr="004E2D48" w:rsidRDefault="00B03E5E" w:rsidP="004E2D48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AA485D" w14:textId="77777777" w:rsidR="00BB176E" w:rsidRPr="004E2D48" w:rsidRDefault="00E83749" w:rsidP="004E2D48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BB176E" w:rsidRPr="004E2D48">
        <w:rPr>
          <w:rFonts w:ascii="Arial" w:hAnsi="Arial" w:cs="Arial"/>
          <w:b/>
          <w:bCs/>
          <w:sz w:val="20"/>
          <w:szCs w:val="20"/>
        </w:rPr>
        <w:t>Organizacja i harmonogram wykonania zadania</w:t>
      </w:r>
    </w:p>
    <w:tbl>
      <w:tblPr>
        <w:tblStyle w:val="TableNormal"/>
        <w:tblW w:w="878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2268"/>
      </w:tblGrid>
      <w:tr w:rsidR="00D4731A" w:rsidRPr="004E2D48" w14:paraId="2B56F30C" w14:textId="77777777" w:rsidTr="006D16EA">
        <w:trPr>
          <w:trHeight w:val="570"/>
          <w:tblHeader/>
        </w:trPr>
        <w:tc>
          <w:tcPr>
            <w:tcW w:w="425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6EB69" w14:textId="77777777" w:rsidR="00BB176E" w:rsidRPr="004E2D48" w:rsidRDefault="00BB176E" w:rsidP="004E2D4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b/>
                <w:bCs/>
                <w:sz w:val="20"/>
                <w:szCs w:val="20"/>
              </w:rPr>
              <w:t>ZADANIE WYKONAWCY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1C387" w14:textId="77777777" w:rsidR="00BB176E" w:rsidRPr="004E2D48" w:rsidRDefault="00BB176E" w:rsidP="004E2D4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b/>
                <w:bCs/>
                <w:sz w:val="20"/>
                <w:szCs w:val="20"/>
              </w:rPr>
              <w:t>UWAGI ZAMAWIAJĄCEGO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0E93" w14:textId="77777777" w:rsidR="00BB176E" w:rsidRPr="004E2D48" w:rsidRDefault="00BB176E" w:rsidP="004E2D4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</w:tc>
      </w:tr>
      <w:tr w:rsidR="00BB176E" w:rsidRPr="004E2D48" w14:paraId="635EFDA6" w14:textId="77777777" w:rsidTr="006D16EA">
        <w:tblPrEx>
          <w:shd w:val="clear" w:color="auto" w:fill="CED7E7"/>
        </w:tblPrEx>
        <w:trPr>
          <w:trHeight w:val="740"/>
        </w:trPr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DE70" w14:textId="77777777" w:rsidR="00BB176E" w:rsidRPr="004E2D48" w:rsidRDefault="00BB176E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sz w:val="20"/>
                <w:szCs w:val="20"/>
              </w:rPr>
              <w:t xml:space="preserve">Spotkanie rozpoczynające prace, doprecyzowujące zakres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48AE" w14:textId="77777777" w:rsidR="00BB176E" w:rsidRPr="004E2D48" w:rsidRDefault="00BB176E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F475" w14:textId="77777777" w:rsidR="00BB176E" w:rsidRPr="004E2D48" w:rsidRDefault="00BB176E" w:rsidP="00B512C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r w:rsidR="00474615">
              <w:rPr>
                <w:rFonts w:ascii="Arial" w:hAnsi="Arial" w:cs="Arial"/>
                <w:sz w:val="20"/>
                <w:szCs w:val="20"/>
              </w:rPr>
              <w:t>5</w:t>
            </w:r>
            <w:r w:rsidRPr="004E2D48">
              <w:rPr>
                <w:rFonts w:ascii="Arial" w:hAnsi="Arial" w:cs="Arial"/>
                <w:sz w:val="20"/>
                <w:szCs w:val="20"/>
              </w:rPr>
              <w:t xml:space="preserve"> dni roboczy</w:t>
            </w:r>
            <w:r w:rsidR="00B512C9">
              <w:rPr>
                <w:rFonts w:ascii="Arial" w:hAnsi="Arial" w:cs="Arial"/>
                <w:sz w:val="20"/>
                <w:szCs w:val="20"/>
              </w:rPr>
              <w:t>ch</w:t>
            </w:r>
            <w:r w:rsidRPr="004E2D48">
              <w:rPr>
                <w:rFonts w:ascii="Arial" w:hAnsi="Arial" w:cs="Arial"/>
                <w:sz w:val="20"/>
                <w:szCs w:val="20"/>
              </w:rPr>
              <w:t xml:space="preserve"> od dnia podpisania umowy</w:t>
            </w:r>
          </w:p>
        </w:tc>
      </w:tr>
      <w:tr w:rsidR="00091A20" w:rsidRPr="004E2D48" w14:paraId="695EF4DB" w14:textId="77777777" w:rsidTr="00091A20">
        <w:tblPrEx>
          <w:shd w:val="clear" w:color="auto" w:fill="CED7E7"/>
        </w:tblPrEx>
        <w:trPr>
          <w:trHeight w:val="857"/>
        </w:trPr>
        <w:tc>
          <w:tcPr>
            <w:tcW w:w="425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79D2" w14:textId="77777777" w:rsidR="00091A20" w:rsidRDefault="00091A20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Przedstawienie raportu końcowego.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3C1E" w14:textId="77777777" w:rsidR="00091A20" w:rsidRPr="004E2D48" w:rsidRDefault="00091A20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01AC" w14:textId="77777777" w:rsidR="00091A20" w:rsidRDefault="00091A20" w:rsidP="00C2698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ciągu 1</w:t>
            </w:r>
            <w:r w:rsidR="00C2698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dni od dnia podpisania umowy.</w:t>
            </w:r>
          </w:p>
        </w:tc>
      </w:tr>
      <w:tr w:rsidR="00091A20" w:rsidRPr="004E2D48" w14:paraId="0DAE73C4" w14:textId="77777777" w:rsidTr="006D16EA">
        <w:tblPrEx>
          <w:shd w:val="clear" w:color="auto" w:fill="CED7E7"/>
        </w:tblPrEx>
        <w:trPr>
          <w:trHeight w:val="367"/>
        </w:trPr>
        <w:tc>
          <w:tcPr>
            <w:tcW w:w="425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4596F" w14:textId="77777777" w:rsidR="00091A20" w:rsidRDefault="00091A20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FC66" w14:textId="77777777" w:rsidR="00091A20" w:rsidRPr="004E2D48" w:rsidRDefault="00091A20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przedstawi swoje uwagi oraz propozycje uzupełnień i przekaże je Wykonawcy.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A9F4F" w14:textId="548FC4E9" w:rsidR="00091A20" w:rsidRDefault="00091A20" w:rsidP="00AF3BB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ciągu 1</w:t>
            </w:r>
            <w:r w:rsidR="00AF3BB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dni od dnia otrzymania raportu końcowego.</w:t>
            </w:r>
          </w:p>
        </w:tc>
      </w:tr>
      <w:tr w:rsidR="00B03E5E" w:rsidRPr="004E2D48" w14:paraId="365FAE78" w14:textId="77777777" w:rsidTr="00133643">
        <w:tblPrEx>
          <w:shd w:val="clear" w:color="auto" w:fill="CED7E7"/>
        </w:tblPrEx>
        <w:trPr>
          <w:trHeight w:val="1353"/>
        </w:trPr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E66A" w14:textId="77777777" w:rsidR="00B03E5E" w:rsidRPr="004E2D48" w:rsidRDefault="00B03E5E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Wykonawca dostarczy wersję raportu końcowego uwzględniającego uwagi Zamawiającego.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63E7" w14:textId="77777777" w:rsidR="00B03E5E" w:rsidRPr="004E2D48" w:rsidRDefault="00B03E5E" w:rsidP="004E2D4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3DE8" w14:textId="7B37A833" w:rsidR="00B03E5E" w:rsidRPr="004E2D48" w:rsidRDefault="00B03E5E" w:rsidP="00E53A54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3A54">
              <w:rPr>
                <w:rFonts w:ascii="Arial" w:hAnsi="Arial" w:cs="Arial"/>
                <w:sz w:val="20"/>
                <w:szCs w:val="20"/>
              </w:rPr>
              <w:t>3</w:t>
            </w:r>
            <w:r w:rsidRPr="004E2D48">
              <w:rPr>
                <w:rFonts w:ascii="Arial" w:hAnsi="Arial" w:cs="Arial"/>
                <w:sz w:val="20"/>
                <w:szCs w:val="20"/>
              </w:rPr>
              <w:t>0 dni od dnia podpisania umowy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FB50C7C" w14:textId="77777777" w:rsidR="00BB176E" w:rsidRDefault="00BB176E" w:rsidP="004E2D48">
      <w:pPr>
        <w:pStyle w:val="Tekstpodstawowyzwciciem"/>
        <w:spacing w:after="120"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</w:p>
    <w:p w14:paraId="2FACB130" w14:textId="77777777" w:rsidR="00E83749" w:rsidRPr="004E2D48" w:rsidRDefault="00E83749" w:rsidP="004E2D48">
      <w:pPr>
        <w:pStyle w:val="Tekstpodstawowyzwciciem"/>
        <w:spacing w:after="120"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</w:p>
    <w:p w14:paraId="0F164480" w14:textId="77777777" w:rsidR="00726A40" w:rsidRPr="004E2D48" w:rsidRDefault="00F4097A" w:rsidP="00E83749">
      <w:pPr>
        <w:pStyle w:val="1pkt"/>
        <w:numPr>
          <w:ilvl w:val="0"/>
          <w:numId w:val="4"/>
        </w:numPr>
        <w:spacing w:before="0"/>
        <w:ind w:left="426" w:hanging="437"/>
      </w:pPr>
      <w:r w:rsidRPr="004E2D48">
        <w:t>Warunki udziału w postępowaniu</w:t>
      </w:r>
      <w:r w:rsidR="00726A40" w:rsidRPr="004E2D48">
        <w:t>:</w:t>
      </w:r>
    </w:p>
    <w:p w14:paraId="26007ACC" w14:textId="77777777" w:rsidR="004A4A1B" w:rsidRDefault="000B3CD7" w:rsidP="004A4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spacing w:after="12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0B3CD7">
        <w:rPr>
          <w:rFonts w:ascii="Arial" w:hAnsi="Arial" w:cs="Arial"/>
          <w:sz w:val="20"/>
          <w:szCs w:val="20"/>
        </w:rPr>
        <w:t>Za spełniających warunki udziału w postępowaniu Zamawiający uzna Wykonawc</w:t>
      </w:r>
      <w:r w:rsidR="00A97436">
        <w:rPr>
          <w:rFonts w:ascii="Arial" w:hAnsi="Arial" w:cs="Arial"/>
          <w:sz w:val="20"/>
          <w:szCs w:val="20"/>
        </w:rPr>
        <w:t>ę</w:t>
      </w:r>
      <w:r w:rsidRPr="000B3CD7">
        <w:rPr>
          <w:rFonts w:ascii="Arial" w:hAnsi="Arial" w:cs="Arial"/>
          <w:sz w:val="20"/>
          <w:szCs w:val="20"/>
        </w:rPr>
        <w:t>, który wykaż</w:t>
      </w:r>
      <w:r w:rsidR="00A97436">
        <w:rPr>
          <w:rFonts w:ascii="Arial" w:hAnsi="Arial" w:cs="Arial"/>
          <w:sz w:val="20"/>
          <w:szCs w:val="20"/>
        </w:rPr>
        <w:t>e</w:t>
      </w:r>
      <w:r w:rsidRPr="000B3CD7">
        <w:rPr>
          <w:rFonts w:ascii="Arial" w:hAnsi="Arial" w:cs="Arial"/>
          <w:sz w:val="20"/>
          <w:szCs w:val="20"/>
        </w:rPr>
        <w:t>, że:</w:t>
      </w:r>
    </w:p>
    <w:p w14:paraId="12A50AB2" w14:textId="10A71A0F" w:rsidR="004A4A1B" w:rsidRPr="004A4A1B" w:rsidRDefault="004A4A1B" w:rsidP="001E2AEA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spacing w:after="12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4A4A1B">
        <w:rPr>
          <w:rFonts w:ascii="Arial" w:hAnsi="Arial" w:cs="Arial"/>
          <w:sz w:val="20"/>
          <w:szCs w:val="20"/>
        </w:rPr>
        <w:t xml:space="preserve">w okresie ostatnich </w:t>
      </w:r>
      <w:r w:rsidR="00E418B8">
        <w:rPr>
          <w:rFonts w:ascii="Arial" w:hAnsi="Arial" w:cs="Arial"/>
          <w:sz w:val="20"/>
          <w:szCs w:val="20"/>
        </w:rPr>
        <w:t>5</w:t>
      </w:r>
      <w:r w:rsidR="00E418B8" w:rsidRPr="004A4A1B">
        <w:rPr>
          <w:rFonts w:ascii="Arial" w:hAnsi="Arial" w:cs="Arial"/>
          <w:sz w:val="20"/>
          <w:szCs w:val="20"/>
        </w:rPr>
        <w:t xml:space="preserve"> </w:t>
      </w:r>
      <w:r w:rsidRPr="004A4A1B">
        <w:rPr>
          <w:rFonts w:ascii="Arial" w:hAnsi="Arial" w:cs="Arial"/>
          <w:sz w:val="20"/>
          <w:szCs w:val="20"/>
        </w:rPr>
        <w:t>lat przed upływem terminu składania ofert (a jeżeli okres prowadzenia działalności jest krótszy – w tym okresie), wykonał należycie co najmniej cztery usługi, z których jedna polegała na realizacji zadań dotyczących punktu a), a pozostałe polegały na sporządzeniu analizy lub raportu w zakresie 3 różnych kwestii spośród wymienionych w punktach b) – h) :</w:t>
      </w:r>
    </w:p>
    <w:p w14:paraId="609816AB" w14:textId="77777777" w:rsidR="004A4A1B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Długoterminowe prognozy i koncepcje w obszarze polityki klimatyczno-energetycznej,</w:t>
      </w:r>
    </w:p>
    <w:p w14:paraId="45AA8D51" w14:textId="77777777" w:rsidR="004A4A1B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Redukcja emisji gazów cieplarnianych oraz technologie pochłaniania emisji,</w:t>
      </w:r>
    </w:p>
    <w:p w14:paraId="3AFC252F" w14:textId="77777777" w:rsidR="004A4A1B" w:rsidRPr="002364CC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Efektywny energetycznie i oparty na odnawialnych źródłach energii system energetyczny</w:t>
      </w:r>
      <w:r w:rsidRPr="002364CC">
        <w:rPr>
          <w:rFonts w:ascii="Arial" w:hAnsi="Arial" w:cs="Arial"/>
          <w:sz w:val="20"/>
          <w:szCs w:val="20"/>
        </w:rPr>
        <w:t xml:space="preserve">, </w:t>
      </w:r>
    </w:p>
    <w:p w14:paraId="762B3DDC" w14:textId="77777777" w:rsidR="004A4A1B" w:rsidRPr="002364CC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Społeczno-gospodarczy wpływ środków obniżania emisyjności</w:t>
      </w:r>
      <w:r w:rsidRPr="002364CC">
        <w:rPr>
          <w:rFonts w:ascii="Arial" w:hAnsi="Arial" w:cs="Arial"/>
          <w:sz w:val="20"/>
          <w:szCs w:val="20"/>
        </w:rPr>
        <w:t>,</w:t>
      </w:r>
    </w:p>
    <w:p w14:paraId="73F10D31" w14:textId="77777777" w:rsidR="004A4A1B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Rozwiązania w dziedzinie zmniejszania emisyjności w przemyśle,</w:t>
      </w:r>
    </w:p>
    <w:p w14:paraId="0193FCC7" w14:textId="77777777" w:rsidR="004A4A1B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Niskoemisyjne środki transportu,</w:t>
      </w:r>
    </w:p>
    <w:p w14:paraId="25550808" w14:textId="77777777" w:rsidR="004A4A1B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Niskoemisyjne rozwiązania w budownictwie,</w:t>
      </w:r>
    </w:p>
    <w:p w14:paraId="4A21D50D" w14:textId="77777777" w:rsidR="004A4A1B" w:rsidRPr="009B3A3A" w:rsidRDefault="004A4A1B" w:rsidP="001E2AE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Ograniczenie emisyjności w sektorze rolnictwa i leśnictwa.</w:t>
      </w:r>
    </w:p>
    <w:p w14:paraId="0EF73745" w14:textId="471F6A3F" w:rsidR="004A4A1B" w:rsidRPr="004A4A1B" w:rsidRDefault="004A4A1B" w:rsidP="001E2AEA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A4A1B">
        <w:rPr>
          <w:rFonts w:ascii="Arial" w:hAnsi="Arial" w:cs="Arial"/>
          <w:sz w:val="20"/>
          <w:szCs w:val="20"/>
        </w:rPr>
        <w:t>dysponuje lub będzie dysponował zespołem przynajmniej 5 osób, które będą uczestniczyć w wykonywaniu zamówienia, które posiadają n/w wykształcenie lub doświadczenie, to jest:</w:t>
      </w:r>
    </w:p>
    <w:p w14:paraId="3D0FFE46" w14:textId="77777777" w:rsidR="004A4A1B" w:rsidRDefault="004A4A1B" w:rsidP="001E2AEA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przynajmniej 2 osoby z wykształceniem w zakresie metod ilościowych;</w:t>
      </w:r>
    </w:p>
    <w:p w14:paraId="299AA3B7" w14:textId="792CC095" w:rsidR="004A4A1B" w:rsidRDefault="004A4A1B" w:rsidP="001E2AEA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5312A">
        <w:rPr>
          <w:rFonts w:ascii="Arial" w:hAnsi="Arial" w:cs="Arial"/>
          <w:sz w:val="20"/>
          <w:szCs w:val="20"/>
        </w:rPr>
        <w:t>przynajmniej 1 osoba z wykształceniem makroekonomicznym, która realizowała projekty w zakresie ekonomii energetycznej</w:t>
      </w:r>
      <w:r>
        <w:rPr>
          <w:rFonts w:ascii="Arial" w:hAnsi="Arial" w:cs="Arial"/>
          <w:sz w:val="20"/>
          <w:szCs w:val="20"/>
        </w:rPr>
        <w:t>;</w:t>
      </w:r>
    </w:p>
    <w:p w14:paraId="2C87669E" w14:textId="77777777" w:rsidR="004A4A1B" w:rsidRDefault="004A4A1B" w:rsidP="001E2AEA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przynajmniej 1 osoba znająca kontekst prawno-instytucjonalny w obszarze polityki klimatycznej Unii Europejskiej w tym obejmującej transport, energetykę, rolnictwo i leśnictwo oraz przemysł;</w:t>
      </w:r>
    </w:p>
    <w:p w14:paraId="61788BA5" w14:textId="77777777" w:rsidR="004A4A1B" w:rsidRDefault="004A4A1B" w:rsidP="001E2AEA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przynajmniej 1 osoba z wykształceniem ekonometrycznym, która opracowała lub użytkowała model makroekonomiczny DSGE w obszarze energetyki lub emisyjności, który będzie wykorzystywany przy realizacji niniejszego zamówienia,</w:t>
      </w:r>
    </w:p>
    <w:p w14:paraId="68922762" w14:textId="4EFFA75E" w:rsidR="004A4A1B" w:rsidRPr="00962851" w:rsidRDefault="004A4A1B" w:rsidP="004A4A1B">
      <w:pPr>
        <w:spacing w:after="12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oraz, że przynajmniej 3 wybrane z zespołu osoby, w okresie ostatnich 7 lat przed upływem terminu składania ofert, opracowały razem (są współautorami) co najmniej jednego przekrojowego raportu w zakresie gospodarki niskoemisyjnej, obejmujący perspektywę co najmniej 10 lat oraz co najmniej trzech raportów dotyczących różnych </w:t>
      </w:r>
      <w:r w:rsidR="00E418B8">
        <w:rPr>
          <w:rFonts w:ascii="Arial" w:hAnsi="Arial" w:cs="Arial"/>
          <w:sz w:val="20"/>
          <w:szCs w:val="20"/>
        </w:rPr>
        <w:t xml:space="preserve">sektorów gospodarki </w:t>
      </w:r>
      <w:r w:rsidR="00E418B8">
        <w:rPr>
          <w:rFonts w:ascii="Arial" w:hAnsi="Arial" w:cs="Arial"/>
          <w:sz w:val="20"/>
          <w:szCs w:val="20"/>
        </w:rPr>
        <w:lastRenderedPageBreak/>
        <w:t>niskoemisyjnej, wymienionych w punktach e) – h) w punkcie 4.2.3.1</w:t>
      </w:r>
      <w:r w:rsidRPr="00962851">
        <w:rPr>
          <w:rFonts w:ascii="Arial" w:hAnsi="Arial" w:cs="Arial"/>
          <w:sz w:val="20"/>
          <w:szCs w:val="20"/>
        </w:rPr>
        <w:t xml:space="preserve">. Potwierdzeniem spełnienia tego kryterium jest dołączenie do oferty </w:t>
      </w:r>
      <w:r w:rsidR="00E67D9B">
        <w:rPr>
          <w:rFonts w:ascii="Arial" w:hAnsi="Arial" w:cs="Arial"/>
          <w:sz w:val="20"/>
          <w:szCs w:val="20"/>
        </w:rPr>
        <w:t>CV</w:t>
      </w:r>
      <w:r w:rsidRPr="00962851">
        <w:rPr>
          <w:rFonts w:ascii="Arial" w:hAnsi="Arial" w:cs="Arial"/>
          <w:sz w:val="20"/>
          <w:szCs w:val="20"/>
        </w:rPr>
        <w:t xml:space="preserve"> w/w osób wraz z listą sporządzonych przez nich raportów.</w:t>
      </w:r>
    </w:p>
    <w:p w14:paraId="49FDD0C3" w14:textId="7D81F0AA" w:rsidR="004A4A1B" w:rsidRPr="00962851" w:rsidRDefault="004A4A1B" w:rsidP="001E2AE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851">
        <w:rPr>
          <w:rFonts w:ascii="Arial" w:hAnsi="Arial" w:cs="Arial"/>
          <w:sz w:val="20"/>
          <w:szCs w:val="20"/>
        </w:rPr>
        <w:t xml:space="preserve">ma prawo do użytkowania narzędzia analitycznego – modelu makroekonomicznego DSGE w obszarze energetycznym lub emisyjnym, który będzie wykorzystywany przy realizacji niniejszego zamówienia. </w:t>
      </w:r>
    </w:p>
    <w:p w14:paraId="293EB3D7" w14:textId="77777777" w:rsidR="004A4A1B" w:rsidRPr="00962851" w:rsidRDefault="004A4A1B" w:rsidP="004A4A1B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5860144" w14:textId="33DDEC13" w:rsidR="004A4A1B" w:rsidRPr="00962851" w:rsidRDefault="004A4A1B" w:rsidP="001E2AE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851">
        <w:rPr>
          <w:rFonts w:ascii="Arial" w:hAnsi="Arial" w:cs="Arial"/>
          <w:sz w:val="20"/>
          <w:szCs w:val="20"/>
        </w:rPr>
        <w:t>posiada umowy o funkcji użyczenia doświadczenia z co najmniej 7 doradcami technicznymi, w stopniu naukowym co najmniej doktora, w zakresie technologii niskoemisyjnych we wszystkich obszarach gospodarki niskoemisyjnej tj. energetyce, przemyśle, transporcie, budownictwie, rolnictwie i leśnictwie, którzy będą do dyspozycji Wykonawcy i Zamawiającego na czas realizacji niniejszego zamówienia.</w:t>
      </w:r>
    </w:p>
    <w:p w14:paraId="60EB7674" w14:textId="77777777" w:rsidR="004A4A1B" w:rsidRPr="00962851" w:rsidRDefault="004A4A1B" w:rsidP="004A4A1B">
      <w:pPr>
        <w:ind w:left="720"/>
        <w:jc w:val="both"/>
        <w:rPr>
          <w:rFonts w:ascii="Arial" w:hAnsi="Arial" w:cs="Arial"/>
          <w:sz w:val="20"/>
          <w:szCs w:val="20"/>
        </w:rPr>
      </w:pPr>
      <w:r w:rsidRPr="00962851">
        <w:rPr>
          <w:rFonts w:ascii="Arial" w:hAnsi="Arial" w:cs="Arial"/>
          <w:sz w:val="20"/>
          <w:szCs w:val="20"/>
        </w:rPr>
        <w:t xml:space="preserve">Potwierdzeniem spełnienia tego kryterium będzie lista ekspertów dołączona do oferty wraz z listą publikacji każdego z w/w doradców. </w:t>
      </w:r>
    </w:p>
    <w:p w14:paraId="12C3AEA6" w14:textId="77777777" w:rsidR="00726A40" w:rsidRPr="004E2D48" w:rsidRDefault="00F4097A" w:rsidP="00E83749">
      <w:pPr>
        <w:pStyle w:val="1pkt"/>
        <w:numPr>
          <w:ilvl w:val="0"/>
          <w:numId w:val="4"/>
        </w:numPr>
        <w:spacing w:before="0"/>
        <w:ind w:left="426" w:hanging="437"/>
      </w:pPr>
      <w:r w:rsidRPr="004E2D48">
        <w:t>Kryteria oceny ofert</w:t>
      </w:r>
    </w:p>
    <w:p w14:paraId="780FD611" w14:textId="77777777" w:rsidR="00F4097A" w:rsidRPr="004E2D48" w:rsidRDefault="00246DED" w:rsidP="004E2D48">
      <w:pPr>
        <w:tabs>
          <w:tab w:val="left" w:pos="8789"/>
        </w:tabs>
        <w:spacing w:after="120" w:line="240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510C5C" w:rsidRPr="004E2D48" w14:paraId="77FE4F46" w14:textId="77777777" w:rsidTr="00395899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943A1F" w14:textId="77777777" w:rsidR="00510C5C" w:rsidRPr="004E2D48" w:rsidRDefault="00510C5C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D4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86791F" w14:textId="77777777" w:rsidR="00510C5C" w:rsidRPr="004E2D48" w:rsidRDefault="00510C5C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D48">
              <w:rPr>
                <w:rFonts w:ascii="Arial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E18D80" w14:textId="77777777" w:rsidR="00510C5C" w:rsidRPr="004E2D48" w:rsidRDefault="00510C5C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D48">
              <w:rPr>
                <w:rFonts w:ascii="Arial" w:hAnsi="Arial" w:cs="Arial"/>
                <w:b/>
                <w:sz w:val="20"/>
                <w:szCs w:val="20"/>
              </w:rPr>
              <w:t>Waga %</w:t>
            </w:r>
          </w:p>
        </w:tc>
      </w:tr>
      <w:tr w:rsidR="00510C5C" w:rsidRPr="004E2D48" w14:paraId="3271023B" w14:textId="77777777" w:rsidTr="00395899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42038" w14:textId="77777777" w:rsidR="00510C5C" w:rsidRPr="004E2D48" w:rsidRDefault="00510C5C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04D8" w14:textId="77777777" w:rsidR="00510C5C" w:rsidRPr="004E2D48" w:rsidRDefault="00395899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7C017" w14:textId="6FDBF7CD" w:rsidR="00510C5C" w:rsidRPr="004E2D48" w:rsidRDefault="004A4A1B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E2D48">
              <w:rPr>
                <w:rFonts w:ascii="Arial" w:hAnsi="Arial" w:cs="Arial"/>
                <w:sz w:val="20"/>
                <w:szCs w:val="20"/>
              </w:rPr>
              <w:t>0</w:t>
            </w:r>
            <w:r w:rsidR="00510C5C" w:rsidRPr="004E2D4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10C5C" w:rsidRPr="004E2D48" w14:paraId="2C8C3CC3" w14:textId="77777777" w:rsidTr="00395899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34BC" w14:textId="77777777" w:rsidR="00510C5C" w:rsidRPr="004E2D48" w:rsidRDefault="00510C5C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D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0496" w14:textId="74DF39D7" w:rsidR="00510C5C" w:rsidRPr="004E2D48" w:rsidRDefault="004A4A1B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Koncepcja realizacji zamówienia wraz z planem prac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C4BB" w14:textId="45B37E1A" w:rsidR="00510C5C" w:rsidRPr="004E2D48" w:rsidRDefault="004A4A1B" w:rsidP="004E2D48">
            <w:pPr>
              <w:tabs>
                <w:tab w:val="left" w:pos="8789"/>
              </w:tabs>
              <w:spacing w:after="120" w:line="240" w:lineRule="auto"/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E2D48">
              <w:rPr>
                <w:rFonts w:ascii="Arial" w:hAnsi="Arial" w:cs="Arial"/>
                <w:sz w:val="20"/>
                <w:szCs w:val="20"/>
              </w:rPr>
              <w:t>0</w:t>
            </w:r>
            <w:r w:rsidR="00510C5C" w:rsidRPr="004E2D4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1B03BE03" w14:textId="77777777" w:rsidR="00395899" w:rsidRPr="004E2D48" w:rsidRDefault="00395899" w:rsidP="004E2D48">
      <w:pPr>
        <w:tabs>
          <w:tab w:val="left" w:pos="8789"/>
        </w:tabs>
        <w:spacing w:after="120" w:line="240" w:lineRule="auto"/>
        <w:ind w:right="282"/>
        <w:jc w:val="both"/>
        <w:rPr>
          <w:rFonts w:ascii="Arial" w:hAnsi="Arial" w:cs="Arial"/>
          <w:sz w:val="20"/>
          <w:szCs w:val="20"/>
        </w:rPr>
      </w:pPr>
    </w:p>
    <w:p w14:paraId="799D4344" w14:textId="77777777" w:rsidR="00510C5C" w:rsidRPr="004E2D48" w:rsidRDefault="00510C5C" w:rsidP="004E2D48">
      <w:pPr>
        <w:tabs>
          <w:tab w:val="left" w:pos="8789"/>
        </w:tabs>
        <w:spacing w:after="120" w:line="240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Wykonawca może uzyskać maksymalnie 100 pkt.</w:t>
      </w:r>
    </w:p>
    <w:p w14:paraId="212A812A" w14:textId="270160F4" w:rsidR="00395899" w:rsidRPr="004E2D48" w:rsidRDefault="00395899" w:rsidP="001E2AEA">
      <w:pPr>
        <w:numPr>
          <w:ilvl w:val="0"/>
          <w:numId w:val="6"/>
        </w:numPr>
        <w:tabs>
          <w:tab w:val="left" w:pos="8789"/>
        </w:tabs>
        <w:spacing w:after="120" w:line="240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Cena brutto </w:t>
      </w:r>
      <w:r w:rsidR="00FA3626" w:rsidRPr="004E2D48">
        <w:rPr>
          <w:rFonts w:ascii="Arial" w:hAnsi="Arial" w:cs="Arial"/>
          <w:sz w:val="20"/>
          <w:szCs w:val="20"/>
        </w:rPr>
        <w:t>obejmująca</w:t>
      </w:r>
      <w:r w:rsidRPr="004E2D48">
        <w:rPr>
          <w:rFonts w:ascii="Arial" w:hAnsi="Arial" w:cs="Arial"/>
          <w:sz w:val="20"/>
          <w:szCs w:val="20"/>
        </w:rPr>
        <w:t xml:space="preserve"> wszelkie koszty </w:t>
      </w:r>
      <w:r w:rsidR="006253D7" w:rsidRPr="004E2D48">
        <w:rPr>
          <w:rFonts w:ascii="Arial" w:hAnsi="Arial" w:cs="Arial"/>
          <w:sz w:val="20"/>
          <w:szCs w:val="20"/>
        </w:rPr>
        <w:t>związane</w:t>
      </w:r>
      <w:r w:rsidRPr="004E2D48">
        <w:rPr>
          <w:rFonts w:ascii="Arial" w:hAnsi="Arial" w:cs="Arial"/>
          <w:sz w:val="20"/>
          <w:szCs w:val="20"/>
        </w:rPr>
        <w:t xml:space="preserve"> z realizacją przedmiotu zamówienia – max. </w:t>
      </w:r>
      <w:r w:rsidR="00640CBD">
        <w:rPr>
          <w:rFonts w:ascii="Arial" w:hAnsi="Arial" w:cs="Arial"/>
          <w:sz w:val="20"/>
          <w:szCs w:val="20"/>
        </w:rPr>
        <w:t>5</w:t>
      </w:r>
      <w:r w:rsidR="000B339C" w:rsidRPr="004E2D48">
        <w:rPr>
          <w:rFonts w:ascii="Arial" w:hAnsi="Arial" w:cs="Arial"/>
          <w:sz w:val="20"/>
          <w:szCs w:val="20"/>
        </w:rPr>
        <w:t>0</w:t>
      </w:r>
      <w:r w:rsidRPr="004E2D48">
        <w:rPr>
          <w:rFonts w:ascii="Arial" w:hAnsi="Arial" w:cs="Arial"/>
          <w:sz w:val="20"/>
          <w:szCs w:val="20"/>
        </w:rPr>
        <w:t xml:space="preserve"> pkt, (</w:t>
      </w:r>
      <w:r w:rsidR="00640CBD">
        <w:rPr>
          <w:rFonts w:ascii="Arial" w:hAnsi="Arial" w:cs="Arial"/>
          <w:sz w:val="20"/>
          <w:szCs w:val="20"/>
        </w:rPr>
        <w:t>5</w:t>
      </w:r>
      <w:r w:rsidRPr="004E2D48">
        <w:rPr>
          <w:rFonts w:ascii="Arial" w:hAnsi="Arial" w:cs="Arial"/>
          <w:sz w:val="20"/>
          <w:szCs w:val="20"/>
        </w:rPr>
        <w:t xml:space="preserve">0%). Liczba punktów, którą </w:t>
      </w:r>
      <w:r w:rsidR="00FA3626" w:rsidRPr="004E2D48">
        <w:rPr>
          <w:rFonts w:ascii="Arial" w:hAnsi="Arial" w:cs="Arial"/>
          <w:sz w:val="20"/>
          <w:szCs w:val="20"/>
        </w:rPr>
        <w:t>można</w:t>
      </w:r>
      <w:r w:rsidRPr="004E2D48">
        <w:rPr>
          <w:rFonts w:ascii="Arial" w:hAnsi="Arial" w:cs="Arial"/>
          <w:sz w:val="20"/>
          <w:szCs w:val="20"/>
        </w:rPr>
        <w:t xml:space="preserve"> </w:t>
      </w:r>
      <w:r w:rsidR="00FA3626" w:rsidRPr="004E2D48">
        <w:rPr>
          <w:rFonts w:ascii="Arial" w:hAnsi="Arial" w:cs="Arial"/>
          <w:sz w:val="20"/>
          <w:szCs w:val="20"/>
        </w:rPr>
        <w:t>uzyska</w:t>
      </w:r>
      <w:r w:rsidR="00772609">
        <w:rPr>
          <w:rFonts w:ascii="Arial" w:hAnsi="Arial" w:cs="Arial"/>
          <w:sz w:val="20"/>
          <w:szCs w:val="20"/>
        </w:rPr>
        <w:t>ć</w:t>
      </w:r>
      <w:r w:rsidRPr="004E2D48">
        <w:rPr>
          <w:rFonts w:ascii="Arial" w:hAnsi="Arial" w:cs="Arial"/>
          <w:sz w:val="20"/>
          <w:szCs w:val="20"/>
        </w:rPr>
        <w:t xml:space="preserve"> w tym kryterium zostanie obliczona według </w:t>
      </w:r>
      <w:r w:rsidR="00FA3626" w:rsidRPr="004E2D48">
        <w:rPr>
          <w:rFonts w:ascii="Arial" w:hAnsi="Arial" w:cs="Arial"/>
          <w:sz w:val="20"/>
          <w:szCs w:val="20"/>
        </w:rPr>
        <w:t>następującego</w:t>
      </w:r>
      <w:r w:rsidRPr="004E2D48">
        <w:rPr>
          <w:rFonts w:ascii="Arial" w:hAnsi="Arial" w:cs="Arial"/>
          <w:sz w:val="20"/>
          <w:szCs w:val="20"/>
        </w:rPr>
        <w:t xml:space="preserve"> wzoru: </w:t>
      </w:r>
    </w:p>
    <w:p w14:paraId="76A9ECAA" w14:textId="550D1D8F" w:rsidR="00793942" w:rsidRPr="004E2D48" w:rsidRDefault="00793942" w:rsidP="004E2D48">
      <w:pPr>
        <w:tabs>
          <w:tab w:val="left" w:pos="8789"/>
        </w:tabs>
        <w:spacing w:after="120" w:line="240" w:lineRule="auto"/>
        <w:ind w:right="282"/>
        <w:jc w:val="both"/>
        <w:rPr>
          <w:rFonts w:ascii="Arial" w:hAnsi="Arial" w:cs="Arial"/>
          <w:i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liczba punktów = 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najniższa cena brutto przedstawiona w ofertach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ocenianej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50 pkt. </m:t>
          </m:r>
        </m:oMath>
      </m:oMathPara>
    </w:p>
    <w:p w14:paraId="6FE92FBD" w14:textId="77777777" w:rsidR="00395899" w:rsidRPr="004E2D48" w:rsidRDefault="00395899" w:rsidP="004E2D48">
      <w:pPr>
        <w:tabs>
          <w:tab w:val="left" w:pos="8789"/>
        </w:tabs>
        <w:spacing w:after="120" w:line="240" w:lineRule="auto"/>
        <w:ind w:left="360" w:right="282"/>
        <w:jc w:val="both"/>
        <w:rPr>
          <w:rFonts w:ascii="Arial" w:hAnsi="Arial" w:cs="Arial"/>
          <w:sz w:val="20"/>
          <w:szCs w:val="20"/>
        </w:rPr>
      </w:pPr>
    </w:p>
    <w:p w14:paraId="1BD5FEE1" w14:textId="0CBC4807" w:rsidR="004A4A1B" w:rsidRDefault="004A4A1B" w:rsidP="001E2AEA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Ocena kryterium „</w:t>
      </w:r>
      <w:r>
        <w:rPr>
          <w:b/>
          <w:bCs/>
          <w:sz w:val="20"/>
          <w:szCs w:val="20"/>
        </w:rPr>
        <w:t>Koncepcja realizacji zamówienia</w:t>
      </w:r>
      <w:r>
        <w:rPr>
          <w:sz w:val="20"/>
          <w:szCs w:val="20"/>
        </w:rPr>
        <w:t xml:space="preserve">” </w:t>
      </w:r>
      <w:r w:rsidRPr="00962851">
        <w:rPr>
          <w:sz w:val="20"/>
          <w:szCs w:val="20"/>
        </w:rPr>
        <w:t>zawierająca plan pracy</w:t>
      </w:r>
      <w:r>
        <w:rPr>
          <w:sz w:val="20"/>
          <w:szCs w:val="20"/>
        </w:rPr>
        <w:t xml:space="preserve"> zostanie podzielona na elementy, za które zostanie przyznane w sumie w skali punktowej do 50 pkt, zgodnie z poniższymi zasadami:</w:t>
      </w:r>
    </w:p>
    <w:p w14:paraId="7B9FAE70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37F40170" w14:textId="790ADF88" w:rsidR="004A4A1B" w:rsidRDefault="004A4A1B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a) Koncepcja nieczytelna, nielogiczna</w:t>
      </w:r>
      <w:r w:rsidR="00C27DBE">
        <w:rPr>
          <w:sz w:val="20"/>
          <w:szCs w:val="20"/>
        </w:rPr>
        <w:t>,</w:t>
      </w:r>
      <w:r>
        <w:rPr>
          <w:sz w:val="20"/>
          <w:szCs w:val="20"/>
        </w:rPr>
        <w:t xml:space="preserve"> niespójna</w:t>
      </w:r>
      <w:r w:rsidR="00C27DBE">
        <w:rPr>
          <w:sz w:val="20"/>
          <w:szCs w:val="20"/>
        </w:rPr>
        <w:t xml:space="preserve"> lub rozwlekła</w:t>
      </w:r>
      <w:r>
        <w:rPr>
          <w:sz w:val="20"/>
          <w:szCs w:val="20"/>
        </w:rPr>
        <w:t xml:space="preserve"> jest wykluczana i nie podlega dalszej ocenie, </w:t>
      </w:r>
    </w:p>
    <w:p w14:paraId="26E7FE2E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2D0EF20B" w14:textId="4C966514" w:rsidR="004A4A1B" w:rsidRDefault="004A4A1B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b) Ocenie podlegać będzie czy plan pracy posiada realne</w:t>
      </w:r>
      <w:r w:rsidR="00C27DBE">
        <w:rPr>
          <w:sz w:val="20"/>
          <w:szCs w:val="20"/>
        </w:rPr>
        <w:t xml:space="preserve"> czasowo</w:t>
      </w:r>
      <w:r>
        <w:rPr>
          <w:sz w:val="20"/>
          <w:szCs w:val="20"/>
        </w:rPr>
        <w:t xml:space="preserve"> i jasno określone etapy oraz ewentualnie propozycje dodatkowych modułów/działań podczas realizacji zamówienia </w:t>
      </w:r>
      <w:r w:rsidR="00E67D9B">
        <w:rPr>
          <w:sz w:val="20"/>
          <w:szCs w:val="20"/>
        </w:rPr>
        <w:t xml:space="preserve">ponad opisane w pkt IV. </w:t>
      </w:r>
    </w:p>
    <w:p w14:paraId="316866D7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(0 pkt – 10 pkt </w:t>
      </w:r>
    </w:p>
    <w:p w14:paraId="0D3E0D97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209C1846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pkt – w ogóle/w niewielkim stopniu; 5 pkt – w wystarczającym stopniu; 10 pkt – w bardzo dobrym stopniu), </w:t>
      </w:r>
    </w:p>
    <w:p w14:paraId="1F5BF4AC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25C629A7" w14:textId="67520952" w:rsidR="004A4A1B" w:rsidRDefault="004A4A1B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Ocenie podlegać będą zaproponowane scenariusze transformacji do gospodarki </w:t>
      </w:r>
      <w:proofErr w:type="spellStart"/>
      <w:r>
        <w:rPr>
          <w:sz w:val="20"/>
          <w:szCs w:val="20"/>
        </w:rPr>
        <w:t>zeroemisyjnej</w:t>
      </w:r>
      <w:proofErr w:type="spellEnd"/>
      <w:r>
        <w:rPr>
          <w:sz w:val="20"/>
          <w:szCs w:val="20"/>
        </w:rPr>
        <w:t xml:space="preserve">, ich wartość merytoryczna, stopień zaawansowania, zróżnicowanie kierunków i wizji, realność, wydajność rozumiana jako stosunek kosztów proponowanych działań do efektów ich realizacji oraz pozytywny </w:t>
      </w:r>
      <w:r w:rsidRPr="0034128A">
        <w:rPr>
          <w:sz w:val="20"/>
          <w:szCs w:val="20"/>
        </w:rPr>
        <w:t>wpływ na rozwój polskiej gospodarki w całym okresie podlegającym programowaniu</w:t>
      </w:r>
      <w:r>
        <w:rPr>
          <w:sz w:val="20"/>
          <w:szCs w:val="20"/>
        </w:rPr>
        <w:t xml:space="preserve">. Ocenie od 0 do 5 pkt podlegać będzie każdy z następujących </w:t>
      </w:r>
      <w:r w:rsidR="00640CBD">
        <w:rPr>
          <w:sz w:val="20"/>
          <w:szCs w:val="20"/>
        </w:rPr>
        <w:t xml:space="preserve">8 wymiarów scenariuszy: </w:t>
      </w:r>
      <w:r w:rsidR="00C27DBE">
        <w:rPr>
          <w:sz w:val="20"/>
          <w:szCs w:val="20"/>
        </w:rPr>
        <w:t xml:space="preserve">sekwencyjność, synergia międzysektorowa, wymierność kosztowa, stopień odchylenia od </w:t>
      </w:r>
      <w:proofErr w:type="spellStart"/>
      <w:r w:rsidR="00C27DBE">
        <w:rPr>
          <w:sz w:val="20"/>
          <w:szCs w:val="20"/>
        </w:rPr>
        <w:t>zeroemisyjności</w:t>
      </w:r>
      <w:proofErr w:type="spellEnd"/>
      <w:r w:rsidR="00C27DBE">
        <w:rPr>
          <w:sz w:val="20"/>
          <w:szCs w:val="20"/>
        </w:rPr>
        <w:t xml:space="preserve">, endogeniczność, </w:t>
      </w:r>
      <w:proofErr w:type="spellStart"/>
      <w:r w:rsidR="00C27DBE">
        <w:rPr>
          <w:sz w:val="20"/>
          <w:szCs w:val="20"/>
        </w:rPr>
        <w:t>konwertowalność</w:t>
      </w:r>
      <w:proofErr w:type="spellEnd"/>
      <w:r w:rsidR="00C27DBE">
        <w:rPr>
          <w:sz w:val="20"/>
          <w:szCs w:val="20"/>
        </w:rPr>
        <w:t xml:space="preserve"> na </w:t>
      </w:r>
      <w:proofErr w:type="spellStart"/>
      <w:r w:rsidR="00C27DBE">
        <w:rPr>
          <w:sz w:val="20"/>
          <w:szCs w:val="20"/>
        </w:rPr>
        <w:t>miks</w:t>
      </w:r>
      <w:proofErr w:type="spellEnd"/>
      <w:r w:rsidR="00C27DBE">
        <w:rPr>
          <w:sz w:val="20"/>
          <w:szCs w:val="20"/>
        </w:rPr>
        <w:t xml:space="preserve"> energetyczny, </w:t>
      </w:r>
      <w:r w:rsidR="00E67D9B">
        <w:rPr>
          <w:bCs/>
          <w:sz w:val="20"/>
          <w:szCs w:val="20"/>
        </w:rPr>
        <w:t>aspekt instrumentów wdrożeniowych</w:t>
      </w:r>
      <w:r w:rsidR="00C27DBE">
        <w:rPr>
          <w:sz w:val="20"/>
          <w:szCs w:val="20"/>
        </w:rPr>
        <w:t>, wymiar infrastrukturalny</w:t>
      </w:r>
      <w:r w:rsidR="0096285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E38A3DD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1DF337F8" w14:textId="6E918700" w:rsidR="004A4A1B" w:rsidRDefault="00C27DBE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Każdy z zaproponowanych scenariuszy powinien</w:t>
      </w:r>
      <w:r w:rsidR="004A4A1B">
        <w:rPr>
          <w:sz w:val="20"/>
          <w:szCs w:val="20"/>
        </w:rPr>
        <w:t xml:space="preserve"> mieć objętość maksymalnie </w:t>
      </w:r>
      <w:r>
        <w:rPr>
          <w:sz w:val="20"/>
          <w:szCs w:val="20"/>
        </w:rPr>
        <w:t>1</w:t>
      </w:r>
      <w:r w:rsidR="004A4A1B">
        <w:rPr>
          <w:sz w:val="20"/>
          <w:szCs w:val="20"/>
        </w:rPr>
        <w:t>0 stron.</w:t>
      </w:r>
    </w:p>
    <w:p w14:paraId="16B6E10A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00E3FC1A" w14:textId="088130A5" w:rsidR="004A4A1B" w:rsidRDefault="004A4A1B" w:rsidP="004A4A1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Liczby punktów, o których mowa w pkt 1 i 2 po zsumowaniu stanowić będą końcową ocenę oferty. </w:t>
      </w:r>
    </w:p>
    <w:p w14:paraId="454B1F27" w14:textId="77777777" w:rsidR="004A4A1B" w:rsidRDefault="004A4A1B" w:rsidP="004A4A1B">
      <w:pPr>
        <w:pStyle w:val="Default"/>
        <w:jc w:val="both"/>
        <w:rPr>
          <w:sz w:val="20"/>
          <w:szCs w:val="20"/>
        </w:rPr>
      </w:pPr>
    </w:p>
    <w:p w14:paraId="5309B6E0" w14:textId="77777777" w:rsidR="00395899" w:rsidRPr="004E2D48" w:rsidRDefault="00395899" w:rsidP="00CD69EA">
      <w:pPr>
        <w:pStyle w:val="Akapitzlist"/>
        <w:tabs>
          <w:tab w:val="left" w:pos="8789"/>
        </w:tabs>
        <w:spacing w:after="120" w:line="240" w:lineRule="auto"/>
        <w:ind w:left="360" w:right="282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 </w:t>
      </w:r>
    </w:p>
    <w:p w14:paraId="36B98312" w14:textId="77777777" w:rsidR="003754B8" w:rsidRPr="004E2D48" w:rsidRDefault="003754B8" w:rsidP="00E83749">
      <w:pPr>
        <w:pStyle w:val="Akapitzlist"/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Termin realizacji</w:t>
      </w:r>
    </w:p>
    <w:p w14:paraId="05E61F43" w14:textId="77777777" w:rsidR="003754B8" w:rsidRDefault="00640345" w:rsidP="00640345">
      <w:pPr>
        <w:tabs>
          <w:tab w:val="left" w:pos="8789"/>
        </w:tabs>
        <w:spacing w:after="120" w:line="240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640345">
        <w:rPr>
          <w:rFonts w:ascii="Arial" w:hAnsi="Arial" w:cs="Arial"/>
          <w:sz w:val="20"/>
          <w:szCs w:val="20"/>
        </w:rPr>
        <w:t xml:space="preserve">Termin wykonania zamówienia: do </w:t>
      </w:r>
      <w:r w:rsidR="00134F07">
        <w:rPr>
          <w:rFonts w:ascii="Arial" w:hAnsi="Arial" w:cs="Arial"/>
          <w:sz w:val="20"/>
          <w:szCs w:val="20"/>
        </w:rPr>
        <w:t>15</w:t>
      </w:r>
      <w:r w:rsidRPr="00640345">
        <w:rPr>
          <w:rFonts w:ascii="Arial" w:hAnsi="Arial" w:cs="Arial"/>
          <w:sz w:val="20"/>
          <w:szCs w:val="20"/>
        </w:rPr>
        <w:t xml:space="preserve"> </w:t>
      </w:r>
      <w:r w:rsidR="00134F07">
        <w:rPr>
          <w:rFonts w:ascii="Arial" w:hAnsi="Arial" w:cs="Arial"/>
          <w:sz w:val="20"/>
          <w:szCs w:val="20"/>
        </w:rPr>
        <w:t>grudnia</w:t>
      </w:r>
      <w:r w:rsidRPr="00640345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19</w:t>
      </w:r>
      <w:r w:rsidRPr="00640345">
        <w:rPr>
          <w:rFonts w:ascii="Arial" w:hAnsi="Arial" w:cs="Arial"/>
          <w:sz w:val="20"/>
          <w:szCs w:val="20"/>
        </w:rPr>
        <w:t xml:space="preserve"> r.</w:t>
      </w:r>
    </w:p>
    <w:p w14:paraId="6849F905" w14:textId="77777777" w:rsidR="00E83749" w:rsidRPr="004E2D48" w:rsidRDefault="00E83749" w:rsidP="004E2D48">
      <w:pPr>
        <w:tabs>
          <w:tab w:val="left" w:pos="8789"/>
        </w:tabs>
        <w:spacing w:after="120" w:line="240" w:lineRule="auto"/>
        <w:ind w:right="282" w:firstLine="360"/>
        <w:jc w:val="both"/>
        <w:rPr>
          <w:rFonts w:ascii="Arial" w:hAnsi="Arial" w:cs="Arial"/>
          <w:sz w:val="20"/>
          <w:szCs w:val="20"/>
        </w:rPr>
      </w:pPr>
    </w:p>
    <w:p w14:paraId="78E3310B" w14:textId="77777777" w:rsidR="00E665AE" w:rsidRPr="004E2D48" w:rsidRDefault="00E665AE" w:rsidP="00E83749">
      <w:pPr>
        <w:pStyle w:val="Akapitzlist"/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Zasady wyboru wykonawcy</w:t>
      </w:r>
    </w:p>
    <w:p w14:paraId="3EDD7958" w14:textId="77777777" w:rsidR="00E665AE" w:rsidRPr="004E2D48" w:rsidRDefault="00E665AE" w:rsidP="004E2D48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>1.</w:t>
      </w: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ab/>
        <w:t>W celu zapewnienia porównywalności wszystkich ofert, Zamawiający zastrzega sobie prawo do skontaktowania się z oferentami, w celu uzupełnienia lub doprecyzowania ofert.</w:t>
      </w:r>
    </w:p>
    <w:p w14:paraId="5184F2AB" w14:textId="77777777" w:rsidR="00E665AE" w:rsidRPr="004E2D48" w:rsidRDefault="00E665AE" w:rsidP="004E2D48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>2.</w:t>
      </w: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Zamawiający zawiera umowy na podstawie własnych wzorów umów stosowanych przez Zamawiającego. </w:t>
      </w:r>
    </w:p>
    <w:p w14:paraId="745E71D2" w14:textId="77777777" w:rsidR="00E665AE" w:rsidRPr="004E2D48" w:rsidRDefault="00B319C9" w:rsidP="004E2D48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E2D48">
        <w:rPr>
          <w:rFonts w:ascii="Arial" w:hAnsi="Arial" w:cs="Arial"/>
          <w:color w:val="000000"/>
          <w:sz w:val="20"/>
          <w:szCs w:val="20"/>
          <w:lang w:eastAsia="pl-PL"/>
        </w:rPr>
        <w:t>3</w:t>
      </w:r>
      <w:r w:rsidR="00E665AE" w:rsidRPr="004E2D48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="00E665AE" w:rsidRPr="004E2D48">
        <w:rPr>
          <w:rFonts w:ascii="Arial" w:hAnsi="Arial" w:cs="Arial"/>
          <w:color w:val="000000"/>
          <w:sz w:val="20"/>
          <w:szCs w:val="20"/>
          <w:lang w:eastAsia="pl-PL"/>
        </w:rPr>
        <w:tab/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66416E1D" w14:textId="77777777" w:rsidR="007D74F3" w:rsidRPr="004E2D48" w:rsidRDefault="00514BFE" w:rsidP="00E83749">
      <w:pPr>
        <w:numPr>
          <w:ilvl w:val="0"/>
          <w:numId w:val="4"/>
        </w:numPr>
        <w:shd w:val="clear" w:color="auto" w:fill="BFBFBF"/>
        <w:spacing w:after="120" w:line="24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4E2D48">
        <w:rPr>
          <w:rFonts w:ascii="Arial" w:hAnsi="Arial" w:cs="Arial"/>
          <w:b/>
          <w:sz w:val="20"/>
          <w:szCs w:val="20"/>
        </w:rPr>
        <w:t>Kontakt</w:t>
      </w:r>
      <w:r w:rsidR="00A92E02" w:rsidRPr="004E2D48">
        <w:rPr>
          <w:rFonts w:ascii="Arial" w:hAnsi="Arial" w:cs="Arial"/>
          <w:b/>
          <w:sz w:val="20"/>
          <w:szCs w:val="20"/>
        </w:rPr>
        <w:t>:</w:t>
      </w:r>
    </w:p>
    <w:p w14:paraId="280834CA" w14:textId="77777777" w:rsidR="00FD5C36" w:rsidRDefault="00640345" w:rsidP="00640345">
      <w:pPr>
        <w:pStyle w:val="Lista4"/>
        <w:spacing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4A1B">
        <w:rPr>
          <w:rFonts w:ascii="Arial" w:hAnsi="Arial" w:cs="Arial"/>
          <w:color w:val="000000" w:themeColor="text1"/>
          <w:sz w:val="20"/>
          <w:szCs w:val="20"/>
        </w:rPr>
        <w:t xml:space="preserve">Igor Barcikowski, e-mail: </w:t>
      </w:r>
      <w:hyperlink r:id="rId12" w:history="1">
        <w:r w:rsidRPr="004A4A1B">
          <w:rPr>
            <w:rStyle w:val="Hipercze"/>
            <w:rFonts w:ascii="Arial" w:hAnsi="Arial" w:cs="Arial"/>
            <w:sz w:val="20"/>
            <w:szCs w:val="20"/>
          </w:rPr>
          <w:t>Igor.Barcikowski@mpit.gov.pl</w:t>
        </w:r>
      </w:hyperlink>
      <w:r w:rsidRPr="004A4A1B">
        <w:rPr>
          <w:rFonts w:ascii="Arial" w:hAnsi="Arial" w:cs="Arial"/>
          <w:color w:val="000000" w:themeColor="text1"/>
          <w:sz w:val="20"/>
          <w:szCs w:val="20"/>
        </w:rPr>
        <w:t>, tel.: 22-262-92-75</w:t>
      </w:r>
    </w:p>
    <w:p w14:paraId="61D38BBB" w14:textId="77777777" w:rsidR="004A4A1B" w:rsidRPr="008C4FE1" w:rsidRDefault="004A4A1B" w:rsidP="004A4A1B">
      <w:pPr>
        <w:keepNext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1">
        <w:rPr>
          <w:rFonts w:ascii="Arial" w:hAnsi="Arial" w:cs="Arial"/>
          <w:color w:val="000000" w:themeColor="text1"/>
          <w:sz w:val="20"/>
          <w:szCs w:val="20"/>
        </w:rPr>
        <w:t xml:space="preserve">Agnieszka Boniewicz, e-mail: </w:t>
      </w:r>
      <w:hyperlink r:id="rId13" w:history="1">
        <w:r w:rsidRPr="008C4FE1">
          <w:rPr>
            <w:rStyle w:val="Hipercze"/>
            <w:rFonts w:ascii="Arial" w:hAnsi="Arial" w:cs="Arial"/>
            <w:sz w:val="20"/>
            <w:szCs w:val="20"/>
          </w:rPr>
          <w:t>Agnieszka.Boniewicz@mpit.gov.pl</w:t>
        </w:r>
      </w:hyperlink>
      <w:r w:rsidRPr="008C4FE1">
        <w:rPr>
          <w:rFonts w:ascii="Arial" w:hAnsi="Arial" w:cs="Arial"/>
          <w:color w:val="000000" w:themeColor="text1"/>
          <w:sz w:val="20"/>
          <w:szCs w:val="20"/>
        </w:rPr>
        <w:t>, tel.: 22-262-94-86</w:t>
      </w:r>
    </w:p>
    <w:p w14:paraId="4C2FD38C" w14:textId="77777777" w:rsidR="004A4A1B" w:rsidRPr="004A4A1B" w:rsidRDefault="004A4A1B" w:rsidP="00640345">
      <w:pPr>
        <w:pStyle w:val="Lista4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DDDF1D6" w14:textId="77777777" w:rsidR="001C5B58" w:rsidRPr="004A4A1B" w:rsidRDefault="001C5B58" w:rsidP="00E83749">
      <w:pPr>
        <w:pStyle w:val="Lista4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6939162" w14:textId="77777777" w:rsidR="00FD5C36" w:rsidRPr="004E2D48" w:rsidRDefault="00FD5C36" w:rsidP="00E83749">
      <w:pPr>
        <w:pStyle w:val="Lista4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 xml:space="preserve">Ministerstwo </w:t>
      </w:r>
      <w:r w:rsidR="00F344B9" w:rsidRPr="004E2D48">
        <w:rPr>
          <w:rFonts w:ascii="Arial" w:hAnsi="Arial" w:cs="Arial"/>
          <w:sz w:val="20"/>
          <w:szCs w:val="20"/>
        </w:rPr>
        <w:t>Przedsiębiorczości i Technologii</w:t>
      </w:r>
    </w:p>
    <w:p w14:paraId="063D32FF" w14:textId="77777777" w:rsidR="00D3379B" w:rsidRPr="004E2D48" w:rsidRDefault="00D3379B" w:rsidP="00E83749">
      <w:pPr>
        <w:pStyle w:val="Lista4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Departament Innowacji</w:t>
      </w:r>
    </w:p>
    <w:p w14:paraId="74DA24AB" w14:textId="77777777" w:rsidR="00FD5C36" w:rsidRPr="004E2D48" w:rsidRDefault="00E83749" w:rsidP="00E83749">
      <w:pPr>
        <w:pStyle w:val="Lista4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Pl.</w:t>
      </w:r>
      <w:r w:rsidR="00FD5C36" w:rsidRPr="004E2D48">
        <w:rPr>
          <w:rFonts w:ascii="Arial" w:hAnsi="Arial" w:cs="Arial"/>
          <w:sz w:val="20"/>
          <w:szCs w:val="20"/>
        </w:rPr>
        <w:t xml:space="preserve"> Trzech Krzyży 3/5</w:t>
      </w:r>
    </w:p>
    <w:p w14:paraId="6FBDB1A0" w14:textId="77777777" w:rsidR="00FD5C36" w:rsidRDefault="00FD5C36" w:rsidP="00E83749">
      <w:pPr>
        <w:pStyle w:val="Lista4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E2D48">
        <w:rPr>
          <w:rFonts w:ascii="Arial" w:hAnsi="Arial" w:cs="Arial"/>
          <w:sz w:val="20"/>
          <w:szCs w:val="20"/>
        </w:rPr>
        <w:t>00-507 Warszawa</w:t>
      </w:r>
    </w:p>
    <w:sectPr w:rsidR="00FD5C36" w:rsidSect="00CC10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EC470B" w15:done="0"/>
  <w15:commentEx w15:paraId="5B6E50FA" w15:done="0"/>
  <w15:commentEx w15:paraId="62E537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FEC17" w14:textId="77777777" w:rsidR="00C71F2B" w:rsidRDefault="00C71F2B" w:rsidP="00840519">
      <w:pPr>
        <w:spacing w:after="0" w:line="240" w:lineRule="auto"/>
      </w:pPr>
      <w:r>
        <w:separator/>
      </w:r>
    </w:p>
  </w:endnote>
  <w:endnote w:type="continuationSeparator" w:id="0">
    <w:p w14:paraId="754B1BD8" w14:textId="77777777" w:rsidR="00C71F2B" w:rsidRDefault="00C71F2B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0A1F" w14:textId="77777777" w:rsidR="0004770C" w:rsidRDefault="000477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2D43E062" w14:textId="77777777" w:rsidR="0004770C" w:rsidRDefault="00047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F99">
          <w:rPr>
            <w:noProof/>
          </w:rPr>
          <w:t>8</w:t>
        </w:r>
        <w:r>
          <w:fldChar w:fldCharType="end"/>
        </w:r>
      </w:p>
    </w:sdtContent>
  </w:sdt>
  <w:p w14:paraId="2003EB8A" w14:textId="77777777" w:rsidR="0004770C" w:rsidRPr="00AC5B69" w:rsidRDefault="0004770C" w:rsidP="00AC5B69">
    <w:pPr>
      <w:pStyle w:val="Stopka"/>
      <w:spacing w:after="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43AD8" w14:textId="77777777" w:rsidR="0004770C" w:rsidRDefault="000477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BE1B1" w14:textId="77777777" w:rsidR="00C71F2B" w:rsidRDefault="00C71F2B" w:rsidP="00840519">
      <w:pPr>
        <w:spacing w:after="0" w:line="240" w:lineRule="auto"/>
      </w:pPr>
      <w:r>
        <w:separator/>
      </w:r>
    </w:p>
  </w:footnote>
  <w:footnote w:type="continuationSeparator" w:id="0">
    <w:p w14:paraId="65453A44" w14:textId="77777777" w:rsidR="00C71F2B" w:rsidRDefault="00C71F2B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37389" w14:textId="77777777" w:rsidR="0004770C" w:rsidRDefault="000477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E281" w14:textId="700E83F2" w:rsidR="0004770C" w:rsidRDefault="0004770C" w:rsidP="002E506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1ADEA" w14:textId="77777777" w:rsidR="0004770C" w:rsidRDefault="000477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521167"/>
    <w:multiLevelType w:val="hybridMultilevel"/>
    <w:tmpl w:val="B0A65EE2"/>
    <w:lvl w:ilvl="0" w:tplc="B72A6C3C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64364DD"/>
    <w:multiLevelType w:val="multilevel"/>
    <w:tmpl w:val="7CCE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2E35"/>
    <w:multiLevelType w:val="hybridMultilevel"/>
    <w:tmpl w:val="434E8AEA"/>
    <w:lvl w:ilvl="0" w:tplc="B0CCF25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CD0B76"/>
    <w:multiLevelType w:val="hybridMultilevel"/>
    <w:tmpl w:val="C76AC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40B38"/>
    <w:multiLevelType w:val="hybridMultilevel"/>
    <w:tmpl w:val="1B561D1E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98B0226"/>
    <w:multiLevelType w:val="hybridMultilevel"/>
    <w:tmpl w:val="D4CADEBC"/>
    <w:lvl w:ilvl="0" w:tplc="F4307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2183C"/>
    <w:multiLevelType w:val="hybridMultilevel"/>
    <w:tmpl w:val="ECD402B0"/>
    <w:lvl w:ilvl="0" w:tplc="7040E5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66191F"/>
    <w:multiLevelType w:val="multilevel"/>
    <w:tmpl w:val="CAE681C6"/>
    <w:lvl w:ilvl="0">
      <w:start w:val="1"/>
      <w:numFmt w:val="decimal"/>
      <w:lvlText w:val="%1."/>
      <w:lvlJc w:val="left"/>
      <w:pPr>
        <w:ind w:left="644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yniak Anna">
    <w15:presenceInfo w15:providerId="AD" w15:userId="S-1-5-21-2772274710-4158002609-2733852753-4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3CA6"/>
    <w:rsid w:val="0001747C"/>
    <w:rsid w:val="000237EF"/>
    <w:rsid w:val="00026457"/>
    <w:rsid w:val="00026479"/>
    <w:rsid w:val="0003206D"/>
    <w:rsid w:val="000346ED"/>
    <w:rsid w:val="00034CA8"/>
    <w:rsid w:val="0004029A"/>
    <w:rsid w:val="0004770C"/>
    <w:rsid w:val="0005031F"/>
    <w:rsid w:val="00051872"/>
    <w:rsid w:val="00060936"/>
    <w:rsid w:val="00083461"/>
    <w:rsid w:val="00085132"/>
    <w:rsid w:val="0008603B"/>
    <w:rsid w:val="0008767E"/>
    <w:rsid w:val="00091A20"/>
    <w:rsid w:val="000B1732"/>
    <w:rsid w:val="000B339C"/>
    <w:rsid w:val="000B3CD7"/>
    <w:rsid w:val="000B4D3A"/>
    <w:rsid w:val="000B551E"/>
    <w:rsid w:val="000B7C05"/>
    <w:rsid w:val="000D4F26"/>
    <w:rsid w:val="000D5D75"/>
    <w:rsid w:val="000D6EC3"/>
    <w:rsid w:val="000E1BE5"/>
    <w:rsid w:val="000E3EA5"/>
    <w:rsid w:val="000F0089"/>
    <w:rsid w:val="000F04E9"/>
    <w:rsid w:val="000F38A0"/>
    <w:rsid w:val="00102403"/>
    <w:rsid w:val="00104183"/>
    <w:rsid w:val="001043F9"/>
    <w:rsid w:val="00104908"/>
    <w:rsid w:val="00105958"/>
    <w:rsid w:val="00106443"/>
    <w:rsid w:val="00106E3F"/>
    <w:rsid w:val="001158A8"/>
    <w:rsid w:val="00133643"/>
    <w:rsid w:val="00134F07"/>
    <w:rsid w:val="00135500"/>
    <w:rsid w:val="00146D1B"/>
    <w:rsid w:val="0018380B"/>
    <w:rsid w:val="00184F7A"/>
    <w:rsid w:val="00185834"/>
    <w:rsid w:val="001863B3"/>
    <w:rsid w:val="00192425"/>
    <w:rsid w:val="00193547"/>
    <w:rsid w:val="00197952"/>
    <w:rsid w:val="00197C8C"/>
    <w:rsid w:val="001A38AE"/>
    <w:rsid w:val="001A3F5D"/>
    <w:rsid w:val="001B1CFD"/>
    <w:rsid w:val="001B2C8B"/>
    <w:rsid w:val="001B319B"/>
    <w:rsid w:val="001B4A79"/>
    <w:rsid w:val="001B793D"/>
    <w:rsid w:val="001C1A96"/>
    <w:rsid w:val="001C4333"/>
    <w:rsid w:val="001C597C"/>
    <w:rsid w:val="001C5B58"/>
    <w:rsid w:val="001C7479"/>
    <w:rsid w:val="001C77C8"/>
    <w:rsid w:val="001D4C88"/>
    <w:rsid w:val="001D7AED"/>
    <w:rsid w:val="001E2AEA"/>
    <w:rsid w:val="001E2E85"/>
    <w:rsid w:val="001E329F"/>
    <w:rsid w:val="001F25CF"/>
    <w:rsid w:val="001F633D"/>
    <w:rsid w:val="002016A4"/>
    <w:rsid w:val="00207ADE"/>
    <w:rsid w:val="00217F07"/>
    <w:rsid w:val="0022222D"/>
    <w:rsid w:val="00223308"/>
    <w:rsid w:val="00224FD3"/>
    <w:rsid w:val="00225317"/>
    <w:rsid w:val="00236B95"/>
    <w:rsid w:val="0024571F"/>
    <w:rsid w:val="00246DED"/>
    <w:rsid w:val="00254A40"/>
    <w:rsid w:val="00256C8B"/>
    <w:rsid w:val="00274029"/>
    <w:rsid w:val="00287104"/>
    <w:rsid w:val="00291899"/>
    <w:rsid w:val="0029733C"/>
    <w:rsid w:val="002A2F39"/>
    <w:rsid w:val="002A6722"/>
    <w:rsid w:val="002A6F58"/>
    <w:rsid w:val="002A7A1C"/>
    <w:rsid w:val="002A7ECE"/>
    <w:rsid w:val="002B2D23"/>
    <w:rsid w:val="002B460F"/>
    <w:rsid w:val="002B4F49"/>
    <w:rsid w:val="002B70FA"/>
    <w:rsid w:val="002C50B0"/>
    <w:rsid w:val="002C78A2"/>
    <w:rsid w:val="002D4BA1"/>
    <w:rsid w:val="002D50B5"/>
    <w:rsid w:val="002D5C7F"/>
    <w:rsid w:val="002E5064"/>
    <w:rsid w:val="002F233C"/>
    <w:rsid w:val="002F25B8"/>
    <w:rsid w:val="0030111B"/>
    <w:rsid w:val="00310E8E"/>
    <w:rsid w:val="00312178"/>
    <w:rsid w:val="003121F9"/>
    <w:rsid w:val="00315ED7"/>
    <w:rsid w:val="0031608C"/>
    <w:rsid w:val="0031702A"/>
    <w:rsid w:val="00322D15"/>
    <w:rsid w:val="00323220"/>
    <w:rsid w:val="00323434"/>
    <w:rsid w:val="003274F0"/>
    <w:rsid w:val="00335A67"/>
    <w:rsid w:val="00342B0E"/>
    <w:rsid w:val="00343F30"/>
    <w:rsid w:val="0034455B"/>
    <w:rsid w:val="003448B9"/>
    <w:rsid w:val="003455B1"/>
    <w:rsid w:val="003576D7"/>
    <w:rsid w:val="00362323"/>
    <w:rsid w:val="0036517F"/>
    <w:rsid w:val="00366F7D"/>
    <w:rsid w:val="003708E9"/>
    <w:rsid w:val="0037358E"/>
    <w:rsid w:val="00374289"/>
    <w:rsid w:val="003754B8"/>
    <w:rsid w:val="003774BD"/>
    <w:rsid w:val="00380650"/>
    <w:rsid w:val="00384220"/>
    <w:rsid w:val="00392E82"/>
    <w:rsid w:val="0039539B"/>
    <w:rsid w:val="00395899"/>
    <w:rsid w:val="00396694"/>
    <w:rsid w:val="00397F3A"/>
    <w:rsid w:val="003A1B5B"/>
    <w:rsid w:val="003A23FC"/>
    <w:rsid w:val="003A60B4"/>
    <w:rsid w:val="003B54A4"/>
    <w:rsid w:val="003C2555"/>
    <w:rsid w:val="003C2FC3"/>
    <w:rsid w:val="003C6D2F"/>
    <w:rsid w:val="003D3941"/>
    <w:rsid w:val="003E2FD3"/>
    <w:rsid w:val="003E70D8"/>
    <w:rsid w:val="003F0831"/>
    <w:rsid w:val="003F2CA3"/>
    <w:rsid w:val="003F54DF"/>
    <w:rsid w:val="003F7F5A"/>
    <w:rsid w:val="00401694"/>
    <w:rsid w:val="00404062"/>
    <w:rsid w:val="00407071"/>
    <w:rsid w:val="00423B05"/>
    <w:rsid w:val="0042668B"/>
    <w:rsid w:val="00441783"/>
    <w:rsid w:val="00441D22"/>
    <w:rsid w:val="00442267"/>
    <w:rsid w:val="0045079F"/>
    <w:rsid w:val="0045312A"/>
    <w:rsid w:val="00456A14"/>
    <w:rsid w:val="00462642"/>
    <w:rsid w:val="0046348E"/>
    <w:rsid w:val="00467797"/>
    <w:rsid w:val="00467CDE"/>
    <w:rsid w:val="004715F2"/>
    <w:rsid w:val="00474192"/>
    <w:rsid w:val="00474615"/>
    <w:rsid w:val="00482FB8"/>
    <w:rsid w:val="00485FD2"/>
    <w:rsid w:val="004917D5"/>
    <w:rsid w:val="00495B10"/>
    <w:rsid w:val="004A0180"/>
    <w:rsid w:val="004A2115"/>
    <w:rsid w:val="004A4A1B"/>
    <w:rsid w:val="004B2994"/>
    <w:rsid w:val="004B2BD9"/>
    <w:rsid w:val="004B4587"/>
    <w:rsid w:val="004C0AC1"/>
    <w:rsid w:val="004C1A85"/>
    <w:rsid w:val="004D38D6"/>
    <w:rsid w:val="004D49AD"/>
    <w:rsid w:val="004D6369"/>
    <w:rsid w:val="004E1590"/>
    <w:rsid w:val="004E2D48"/>
    <w:rsid w:val="004F0E91"/>
    <w:rsid w:val="00501862"/>
    <w:rsid w:val="0050497D"/>
    <w:rsid w:val="005063A1"/>
    <w:rsid w:val="00510C5C"/>
    <w:rsid w:val="00514BFE"/>
    <w:rsid w:val="00514F00"/>
    <w:rsid w:val="00516867"/>
    <w:rsid w:val="00525A14"/>
    <w:rsid w:val="005300E2"/>
    <w:rsid w:val="0053234B"/>
    <w:rsid w:val="00532CD0"/>
    <w:rsid w:val="005344B6"/>
    <w:rsid w:val="00534511"/>
    <w:rsid w:val="005359C8"/>
    <w:rsid w:val="00541A9D"/>
    <w:rsid w:val="00544891"/>
    <w:rsid w:val="005519B8"/>
    <w:rsid w:val="00551DA0"/>
    <w:rsid w:val="00557C3C"/>
    <w:rsid w:val="005604F2"/>
    <w:rsid w:val="00562E39"/>
    <w:rsid w:val="005719EF"/>
    <w:rsid w:val="005800A6"/>
    <w:rsid w:val="00581109"/>
    <w:rsid w:val="00582F99"/>
    <w:rsid w:val="0058571C"/>
    <w:rsid w:val="0059032E"/>
    <w:rsid w:val="0059185C"/>
    <w:rsid w:val="005A0C70"/>
    <w:rsid w:val="005B172E"/>
    <w:rsid w:val="005B3FA6"/>
    <w:rsid w:val="005B4A8A"/>
    <w:rsid w:val="005C68C5"/>
    <w:rsid w:val="005D7C8E"/>
    <w:rsid w:val="005E0934"/>
    <w:rsid w:val="005E1009"/>
    <w:rsid w:val="005E237B"/>
    <w:rsid w:val="005F5839"/>
    <w:rsid w:val="005F7D91"/>
    <w:rsid w:val="006146A2"/>
    <w:rsid w:val="0061568B"/>
    <w:rsid w:val="006232F6"/>
    <w:rsid w:val="00624AE7"/>
    <w:rsid w:val="006253D7"/>
    <w:rsid w:val="00637586"/>
    <w:rsid w:val="00640345"/>
    <w:rsid w:val="00640CBD"/>
    <w:rsid w:val="0064595D"/>
    <w:rsid w:val="006468AA"/>
    <w:rsid w:val="006522B3"/>
    <w:rsid w:val="0065398A"/>
    <w:rsid w:val="006542FB"/>
    <w:rsid w:val="006561E7"/>
    <w:rsid w:val="006665FA"/>
    <w:rsid w:val="00667E0C"/>
    <w:rsid w:val="00686CBF"/>
    <w:rsid w:val="00690890"/>
    <w:rsid w:val="006967C4"/>
    <w:rsid w:val="00697A3E"/>
    <w:rsid w:val="006B2FFC"/>
    <w:rsid w:val="006B6422"/>
    <w:rsid w:val="006C2C0B"/>
    <w:rsid w:val="006C3BE7"/>
    <w:rsid w:val="006C56ED"/>
    <w:rsid w:val="006C5B9E"/>
    <w:rsid w:val="006C5CF4"/>
    <w:rsid w:val="006D16EA"/>
    <w:rsid w:val="006D62B8"/>
    <w:rsid w:val="006D7CFE"/>
    <w:rsid w:val="006E3227"/>
    <w:rsid w:val="006F1EAB"/>
    <w:rsid w:val="006F2195"/>
    <w:rsid w:val="00704FDC"/>
    <w:rsid w:val="00711FFB"/>
    <w:rsid w:val="007214A3"/>
    <w:rsid w:val="00722FF7"/>
    <w:rsid w:val="00723563"/>
    <w:rsid w:val="00723F9A"/>
    <w:rsid w:val="00726A40"/>
    <w:rsid w:val="00731205"/>
    <w:rsid w:val="00742A26"/>
    <w:rsid w:val="007438E8"/>
    <w:rsid w:val="0074657B"/>
    <w:rsid w:val="00750861"/>
    <w:rsid w:val="007513D2"/>
    <w:rsid w:val="00754BF9"/>
    <w:rsid w:val="00755BC1"/>
    <w:rsid w:val="00757764"/>
    <w:rsid w:val="007603D5"/>
    <w:rsid w:val="007669E8"/>
    <w:rsid w:val="00766BCB"/>
    <w:rsid w:val="00770280"/>
    <w:rsid w:val="00770F59"/>
    <w:rsid w:val="00772609"/>
    <w:rsid w:val="00793942"/>
    <w:rsid w:val="00793A86"/>
    <w:rsid w:val="00796030"/>
    <w:rsid w:val="007962F7"/>
    <w:rsid w:val="00796AF7"/>
    <w:rsid w:val="007A6346"/>
    <w:rsid w:val="007B299F"/>
    <w:rsid w:val="007C28C9"/>
    <w:rsid w:val="007D31F6"/>
    <w:rsid w:val="007D6BE8"/>
    <w:rsid w:val="007D74F3"/>
    <w:rsid w:val="007E155F"/>
    <w:rsid w:val="007E451A"/>
    <w:rsid w:val="007E6861"/>
    <w:rsid w:val="007F33DF"/>
    <w:rsid w:val="007F6271"/>
    <w:rsid w:val="008044AD"/>
    <w:rsid w:val="00805E09"/>
    <w:rsid w:val="00807FA4"/>
    <w:rsid w:val="00811F7E"/>
    <w:rsid w:val="00816C2C"/>
    <w:rsid w:val="00823726"/>
    <w:rsid w:val="0082453C"/>
    <w:rsid w:val="008251E5"/>
    <w:rsid w:val="00826B8E"/>
    <w:rsid w:val="00827E54"/>
    <w:rsid w:val="0083456C"/>
    <w:rsid w:val="00837B3F"/>
    <w:rsid w:val="00840519"/>
    <w:rsid w:val="00842718"/>
    <w:rsid w:val="00845E21"/>
    <w:rsid w:val="008529BE"/>
    <w:rsid w:val="0085469A"/>
    <w:rsid w:val="008547DB"/>
    <w:rsid w:val="00854F8C"/>
    <w:rsid w:val="00861254"/>
    <w:rsid w:val="00865495"/>
    <w:rsid w:val="0087334C"/>
    <w:rsid w:val="00876CA0"/>
    <w:rsid w:val="00877E46"/>
    <w:rsid w:val="008814FE"/>
    <w:rsid w:val="00882C0E"/>
    <w:rsid w:val="008868CF"/>
    <w:rsid w:val="008908C2"/>
    <w:rsid w:val="00897A2A"/>
    <w:rsid w:val="00897BA6"/>
    <w:rsid w:val="008A6EC1"/>
    <w:rsid w:val="008B373E"/>
    <w:rsid w:val="008B37C5"/>
    <w:rsid w:val="008B5BB9"/>
    <w:rsid w:val="008C0E78"/>
    <w:rsid w:val="008C3609"/>
    <w:rsid w:val="008C410D"/>
    <w:rsid w:val="008C4E2F"/>
    <w:rsid w:val="008D5381"/>
    <w:rsid w:val="008E4984"/>
    <w:rsid w:val="0090580D"/>
    <w:rsid w:val="00907078"/>
    <w:rsid w:val="0091206B"/>
    <w:rsid w:val="00912C8D"/>
    <w:rsid w:val="009153B1"/>
    <w:rsid w:val="0091763B"/>
    <w:rsid w:val="00923BCD"/>
    <w:rsid w:val="00924690"/>
    <w:rsid w:val="0092501C"/>
    <w:rsid w:val="00925390"/>
    <w:rsid w:val="0094316F"/>
    <w:rsid w:val="00960AE3"/>
    <w:rsid w:val="00962851"/>
    <w:rsid w:val="00965CE3"/>
    <w:rsid w:val="009713E5"/>
    <w:rsid w:val="00972264"/>
    <w:rsid w:val="00973657"/>
    <w:rsid w:val="00977740"/>
    <w:rsid w:val="00981C13"/>
    <w:rsid w:val="00981EF8"/>
    <w:rsid w:val="00983D23"/>
    <w:rsid w:val="0098737E"/>
    <w:rsid w:val="00990460"/>
    <w:rsid w:val="009927C9"/>
    <w:rsid w:val="009A084D"/>
    <w:rsid w:val="009A0CD7"/>
    <w:rsid w:val="009A2E8C"/>
    <w:rsid w:val="009B0E16"/>
    <w:rsid w:val="009B1261"/>
    <w:rsid w:val="009B19AA"/>
    <w:rsid w:val="009C0549"/>
    <w:rsid w:val="009C1D24"/>
    <w:rsid w:val="009C223D"/>
    <w:rsid w:val="009D3D7F"/>
    <w:rsid w:val="009D5873"/>
    <w:rsid w:val="009D682C"/>
    <w:rsid w:val="009E1833"/>
    <w:rsid w:val="009E5C0D"/>
    <w:rsid w:val="009E745F"/>
    <w:rsid w:val="009F05A3"/>
    <w:rsid w:val="009F1C00"/>
    <w:rsid w:val="00A004F4"/>
    <w:rsid w:val="00A0163F"/>
    <w:rsid w:val="00A028BC"/>
    <w:rsid w:val="00A07381"/>
    <w:rsid w:val="00A27454"/>
    <w:rsid w:val="00A33205"/>
    <w:rsid w:val="00A34641"/>
    <w:rsid w:val="00A43AF6"/>
    <w:rsid w:val="00A46630"/>
    <w:rsid w:val="00A47E4E"/>
    <w:rsid w:val="00A575F1"/>
    <w:rsid w:val="00A6032C"/>
    <w:rsid w:val="00A60FD1"/>
    <w:rsid w:val="00A66633"/>
    <w:rsid w:val="00A77020"/>
    <w:rsid w:val="00A77766"/>
    <w:rsid w:val="00A826EB"/>
    <w:rsid w:val="00A8272F"/>
    <w:rsid w:val="00A865E8"/>
    <w:rsid w:val="00A92E02"/>
    <w:rsid w:val="00A954BF"/>
    <w:rsid w:val="00A97436"/>
    <w:rsid w:val="00A97873"/>
    <w:rsid w:val="00AB6AC2"/>
    <w:rsid w:val="00AC5B69"/>
    <w:rsid w:val="00AD0460"/>
    <w:rsid w:val="00AD4D02"/>
    <w:rsid w:val="00AE0849"/>
    <w:rsid w:val="00AE356A"/>
    <w:rsid w:val="00AE686F"/>
    <w:rsid w:val="00AE6C04"/>
    <w:rsid w:val="00AE7341"/>
    <w:rsid w:val="00AE7890"/>
    <w:rsid w:val="00AF3313"/>
    <w:rsid w:val="00AF3BB9"/>
    <w:rsid w:val="00B0059C"/>
    <w:rsid w:val="00B02E31"/>
    <w:rsid w:val="00B03E5E"/>
    <w:rsid w:val="00B05F4C"/>
    <w:rsid w:val="00B0670D"/>
    <w:rsid w:val="00B12060"/>
    <w:rsid w:val="00B16EF2"/>
    <w:rsid w:val="00B22C26"/>
    <w:rsid w:val="00B26A00"/>
    <w:rsid w:val="00B2719B"/>
    <w:rsid w:val="00B27E15"/>
    <w:rsid w:val="00B319C9"/>
    <w:rsid w:val="00B36AD8"/>
    <w:rsid w:val="00B4316B"/>
    <w:rsid w:val="00B43D80"/>
    <w:rsid w:val="00B50B82"/>
    <w:rsid w:val="00B512C9"/>
    <w:rsid w:val="00B51CAE"/>
    <w:rsid w:val="00B56578"/>
    <w:rsid w:val="00B615F6"/>
    <w:rsid w:val="00B623AE"/>
    <w:rsid w:val="00B70340"/>
    <w:rsid w:val="00B75867"/>
    <w:rsid w:val="00B92EDD"/>
    <w:rsid w:val="00B9627F"/>
    <w:rsid w:val="00B97B56"/>
    <w:rsid w:val="00BA2353"/>
    <w:rsid w:val="00BB0817"/>
    <w:rsid w:val="00BB176E"/>
    <w:rsid w:val="00BB414A"/>
    <w:rsid w:val="00BC3573"/>
    <w:rsid w:val="00BD402A"/>
    <w:rsid w:val="00BE2C67"/>
    <w:rsid w:val="00BE39F8"/>
    <w:rsid w:val="00BE65C0"/>
    <w:rsid w:val="00BF1DD0"/>
    <w:rsid w:val="00BF31FF"/>
    <w:rsid w:val="00BF36D5"/>
    <w:rsid w:val="00BF5FC1"/>
    <w:rsid w:val="00C12BEB"/>
    <w:rsid w:val="00C209AC"/>
    <w:rsid w:val="00C247A7"/>
    <w:rsid w:val="00C26988"/>
    <w:rsid w:val="00C27DBE"/>
    <w:rsid w:val="00C404D9"/>
    <w:rsid w:val="00C41A96"/>
    <w:rsid w:val="00C45D6B"/>
    <w:rsid w:val="00C52235"/>
    <w:rsid w:val="00C528B3"/>
    <w:rsid w:val="00C549D6"/>
    <w:rsid w:val="00C71F2B"/>
    <w:rsid w:val="00C756CF"/>
    <w:rsid w:val="00C77688"/>
    <w:rsid w:val="00C82FDA"/>
    <w:rsid w:val="00C83620"/>
    <w:rsid w:val="00C925D6"/>
    <w:rsid w:val="00C928D7"/>
    <w:rsid w:val="00CA34FC"/>
    <w:rsid w:val="00CB0A12"/>
    <w:rsid w:val="00CB144A"/>
    <w:rsid w:val="00CC105C"/>
    <w:rsid w:val="00CC224A"/>
    <w:rsid w:val="00CC24FA"/>
    <w:rsid w:val="00CC2C34"/>
    <w:rsid w:val="00CC342F"/>
    <w:rsid w:val="00CC4AFF"/>
    <w:rsid w:val="00CD2CE5"/>
    <w:rsid w:val="00CD347A"/>
    <w:rsid w:val="00CD4B15"/>
    <w:rsid w:val="00CD69EA"/>
    <w:rsid w:val="00CE5AD0"/>
    <w:rsid w:val="00CE7339"/>
    <w:rsid w:val="00CF05E9"/>
    <w:rsid w:val="00CF1F2A"/>
    <w:rsid w:val="00CF3280"/>
    <w:rsid w:val="00CF3DA8"/>
    <w:rsid w:val="00D0192E"/>
    <w:rsid w:val="00D041A6"/>
    <w:rsid w:val="00D0485A"/>
    <w:rsid w:val="00D17816"/>
    <w:rsid w:val="00D30059"/>
    <w:rsid w:val="00D3379B"/>
    <w:rsid w:val="00D41FB1"/>
    <w:rsid w:val="00D4230A"/>
    <w:rsid w:val="00D4731A"/>
    <w:rsid w:val="00D54A05"/>
    <w:rsid w:val="00D55923"/>
    <w:rsid w:val="00D6305F"/>
    <w:rsid w:val="00D74832"/>
    <w:rsid w:val="00D7590F"/>
    <w:rsid w:val="00D7768E"/>
    <w:rsid w:val="00D84FB0"/>
    <w:rsid w:val="00D93A1F"/>
    <w:rsid w:val="00D9460F"/>
    <w:rsid w:val="00D97718"/>
    <w:rsid w:val="00DA4D26"/>
    <w:rsid w:val="00DB06E1"/>
    <w:rsid w:val="00DB6930"/>
    <w:rsid w:val="00DC2D3E"/>
    <w:rsid w:val="00DC47C2"/>
    <w:rsid w:val="00DC5B74"/>
    <w:rsid w:val="00DC7EC6"/>
    <w:rsid w:val="00DD7681"/>
    <w:rsid w:val="00DE01FC"/>
    <w:rsid w:val="00DE4A37"/>
    <w:rsid w:val="00DF2DA2"/>
    <w:rsid w:val="00DF5ED3"/>
    <w:rsid w:val="00E000D3"/>
    <w:rsid w:val="00E01542"/>
    <w:rsid w:val="00E02168"/>
    <w:rsid w:val="00E05A04"/>
    <w:rsid w:val="00E10184"/>
    <w:rsid w:val="00E11773"/>
    <w:rsid w:val="00E15EC7"/>
    <w:rsid w:val="00E27AD2"/>
    <w:rsid w:val="00E27FD2"/>
    <w:rsid w:val="00E315A0"/>
    <w:rsid w:val="00E32A1B"/>
    <w:rsid w:val="00E3385D"/>
    <w:rsid w:val="00E418B8"/>
    <w:rsid w:val="00E51C4B"/>
    <w:rsid w:val="00E53A54"/>
    <w:rsid w:val="00E53B35"/>
    <w:rsid w:val="00E575C3"/>
    <w:rsid w:val="00E61E7C"/>
    <w:rsid w:val="00E61F6F"/>
    <w:rsid w:val="00E64AD6"/>
    <w:rsid w:val="00E665AE"/>
    <w:rsid w:val="00E67D9B"/>
    <w:rsid w:val="00E74037"/>
    <w:rsid w:val="00E82BB0"/>
    <w:rsid w:val="00E83749"/>
    <w:rsid w:val="00E8499D"/>
    <w:rsid w:val="00E86CE9"/>
    <w:rsid w:val="00E94192"/>
    <w:rsid w:val="00E974B6"/>
    <w:rsid w:val="00EA3C93"/>
    <w:rsid w:val="00EB03D4"/>
    <w:rsid w:val="00EB1B48"/>
    <w:rsid w:val="00EB45F4"/>
    <w:rsid w:val="00EB7138"/>
    <w:rsid w:val="00EC21B9"/>
    <w:rsid w:val="00EC4B68"/>
    <w:rsid w:val="00EC6851"/>
    <w:rsid w:val="00ED1AB3"/>
    <w:rsid w:val="00ED43D3"/>
    <w:rsid w:val="00EF0DFE"/>
    <w:rsid w:val="00EF2655"/>
    <w:rsid w:val="00F017F1"/>
    <w:rsid w:val="00F04ABE"/>
    <w:rsid w:val="00F06001"/>
    <w:rsid w:val="00F11F5F"/>
    <w:rsid w:val="00F15D9D"/>
    <w:rsid w:val="00F201A7"/>
    <w:rsid w:val="00F2254B"/>
    <w:rsid w:val="00F271DB"/>
    <w:rsid w:val="00F30A7C"/>
    <w:rsid w:val="00F344B9"/>
    <w:rsid w:val="00F351C9"/>
    <w:rsid w:val="00F376D1"/>
    <w:rsid w:val="00F4097A"/>
    <w:rsid w:val="00F41D0A"/>
    <w:rsid w:val="00F515FD"/>
    <w:rsid w:val="00F53E7A"/>
    <w:rsid w:val="00F545C1"/>
    <w:rsid w:val="00F57BE1"/>
    <w:rsid w:val="00F71C57"/>
    <w:rsid w:val="00F931F7"/>
    <w:rsid w:val="00F93A17"/>
    <w:rsid w:val="00F948C2"/>
    <w:rsid w:val="00FA0806"/>
    <w:rsid w:val="00FA3626"/>
    <w:rsid w:val="00FA4CC6"/>
    <w:rsid w:val="00FA54CF"/>
    <w:rsid w:val="00FA5AB8"/>
    <w:rsid w:val="00FA6994"/>
    <w:rsid w:val="00FB1D3E"/>
    <w:rsid w:val="00FB3649"/>
    <w:rsid w:val="00FD3893"/>
    <w:rsid w:val="00FD390C"/>
    <w:rsid w:val="00FD46FF"/>
    <w:rsid w:val="00FD5C36"/>
    <w:rsid w:val="00FD74E9"/>
    <w:rsid w:val="00FE3D48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AA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numbering" w:customStyle="1" w:styleId="Numery">
    <w:name w:val="Numery"/>
    <w:rsid w:val="00AE0849"/>
    <w:pPr>
      <w:numPr>
        <w:numId w:val="5"/>
      </w:numPr>
    </w:pPr>
  </w:style>
  <w:style w:type="character" w:styleId="Pogrubienie">
    <w:name w:val="Strong"/>
    <w:basedOn w:val="Domylnaczcionkaakapitu"/>
    <w:uiPriority w:val="22"/>
    <w:qFormat/>
    <w:rsid w:val="00D0485A"/>
    <w:rPr>
      <w:b/>
      <w:bCs/>
    </w:rPr>
  </w:style>
  <w:style w:type="table" w:customStyle="1" w:styleId="TableNormal">
    <w:name w:val="Table Normal"/>
    <w:rsid w:val="00BB17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793942"/>
    <w:rPr>
      <w:color w:val="808080"/>
    </w:rPr>
  </w:style>
  <w:style w:type="character" w:customStyle="1" w:styleId="chemf">
    <w:name w:val="chemf"/>
    <w:rsid w:val="00CF1F2A"/>
  </w:style>
  <w:style w:type="paragraph" w:customStyle="1" w:styleId="ZnakZnak0">
    <w:name w:val="Znak Znak"/>
    <w:basedOn w:val="Normalny"/>
    <w:rsid w:val="004A4A1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numbering" w:customStyle="1" w:styleId="Numery">
    <w:name w:val="Numery"/>
    <w:rsid w:val="00AE0849"/>
    <w:pPr>
      <w:numPr>
        <w:numId w:val="5"/>
      </w:numPr>
    </w:pPr>
  </w:style>
  <w:style w:type="character" w:styleId="Pogrubienie">
    <w:name w:val="Strong"/>
    <w:basedOn w:val="Domylnaczcionkaakapitu"/>
    <w:uiPriority w:val="22"/>
    <w:qFormat/>
    <w:rsid w:val="00D0485A"/>
    <w:rPr>
      <w:b/>
      <w:bCs/>
    </w:rPr>
  </w:style>
  <w:style w:type="table" w:customStyle="1" w:styleId="TableNormal">
    <w:name w:val="Table Normal"/>
    <w:rsid w:val="00BB17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793942"/>
    <w:rPr>
      <w:color w:val="808080"/>
    </w:rPr>
  </w:style>
  <w:style w:type="character" w:customStyle="1" w:styleId="chemf">
    <w:name w:val="chemf"/>
    <w:rsid w:val="00CF1F2A"/>
  </w:style>
  <w:style w:type="paragraph" w:customStyle="1" w:styleId="ZnakZnak0">
    <w:name w:val="Znak Znak"/>
    <w:basedOn w:val="Normalny"/>
    <w:rsid w:val="004A4A1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nieszka.Boniewicz@mpit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gor.Barcikowski@mpit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hyperlink" Target="mailto:Agnieszka.Boniewicz@mpit.gov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Igor.Barcikowski@mpit.gov.pl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9B4F-50EC-44C8-8D7D-87ED5E2C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3194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RTR</vt:lpstr>
    </vt:vector>
  </TitlesOfParts>
  <Company>MPiT</Company>
  <LinksUpToDate>false</LinksUpToDate>
  <CharactersWithSpaces>22316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RTR</dc:title>
  <dc:creator>Anna Rusiecka</dc:creator>
  <cp:lastModifiedBy>Igor Barcikowski</cp:lastModifiedBy>
  <cp:revision>7</cp:revision>
  <cp:lastPrinted>2019-06-03T14:19:00Z</cp:lastPrinted>
  <dcterms:created xsi:type="dcterms:W3CDTF">2019-06-03T08:21:00Z</dcterms:created>
  <dcterms:modified xsi:type="dcterms:W3CDTF">2019-06-06T12:03:00Z</dcterms:modified>
</cp:coreProperties>
</file>