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4D86BB9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9A1B42">
        <w:rPr>
          <w:rFonts w:ascii="Lato" w:hAnsi="Lato"/>
          <w:b/>
          <w:bCs/>
          <w:sz w:val="20"/>
          <w:szCs w:val="20"/>
        </w:rPr>
        <w:t>piekarz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37442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piekarstwa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0F7D892A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9A1B42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5B0FCAEE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118C5376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63E20F4D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9A1B42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45042810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4942B0BF" w14:textId="4DCF3817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3544DB81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 w:rsidR="009A1B4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48632B78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propozycji nowych kwalifikacji wolnorynkowych/sektorowych w</w:t>
      </w:r>
      <w:r w:rsidR="009A1B42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grupie zawodów związanych z 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0BCE59E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" w:name="_Hlk167701574"/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9C1B624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7755174" w14:textId="548D65F6" w:rsidR="00CF7593" w:rsidRPr="00502D90" w:rsidRDefault="00CF7593" w:rsidP="00CF7593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7A4D6A">
        <w:rPr>
          <w:rFonts w:ascii="Calibri" w:eastAsia="Calibri" w:hAnsi="Calibri" w:cs="Times New Roman"/>
          <w:i/>
          <w:iCs/>
          <w:vertAlign w:val="superscript"/>
        </w:rPr>
        <w:footnoteReference w:id="2"/>
      </w:r>
      <w:r w:rsidR="007A4D6A">
        <w:rPr>
          <w:rFonts w:ascii="Lato" w:eastAsia="Times New Roman" w:hAnsi="Lato" w:cs="Arial"/>
          <w:bCs/>
          <w:sz w:val="20"/>
          <w:szCs w:val="20"/>
        </w:rPr>
        <w:t xml:space="preserve">lub tytuł mistrza w zawodzie </w:t>
      </w:r>
      <w:r w:rsidR="009A1B42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AC2A8D4" w14:textId="79AD9295" w:rsidR="00CF7593" w:rsidRPr="00502D90" w:rsidRDefault="00CF7593" w:rsidP="00CF7593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374423">
        <w:rPr>
          <w:rFonts w:ascii="Lato" w:eastAsia="Times New Roman" w:hAnsi="Lato" w:cs="Arial"/>
          <w:bCs/>
          <w:sz w:val="20"/>
          <w:szCs w:val="20"/>
        </w:rPr>
        <w:t>piekarstwem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78D3B71C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447002C" w14:textId="77777777" w:rsidR="00CF7593" w:rsidRPr="00502D90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2DE71D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AC17D5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156915F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981CDC">
        <w:rPr>
          <w:rFonts w:ascii="Lato" w:eastAsia="Calibri" w:hAnsi="Lato" w:cs="Lato"/>
          <w:sz w:val="20"/>
          <w:szCs w:val="20"/>
        </w:rPr>
        <w:t>29</w:t>
      </w:r>
      <w:r w:rsidR="00CF7593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6C658295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4CFDF7A9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627E3A5A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62191FA6" w14:textId="77777777" w:rsidR="00CF7593" w:rsidRDefault="00CF7593" w:rsidP="00CF7593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1646B49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15C0D794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0061FE3D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312D8EC4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544A6F87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2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2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1221" w14:textId="77777777" w:rsidR="00EF0F6F" w:rsidRDefault="00EF0F6F">
      <w:pPr>
        <w:spacing w:after="0" w:line="240" w:lineRule="auto"/>
      </w:pPr>
      <w:r>
        <w:separator/>
      </w:r>
    </w:p>
  </w:endnote>
  <w:endnote w:type="continuationSeparator" w:id="0">
    <w:p w14:paraId="62D7F70E" w14:textId="77777777" w:rsidR="00EF0F6F" w:rsidRDefault="00EF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A143" w14:textId="77777777" w:rsidR="00EF0F6F" w:rsidRDefault="00EF0F6F">
      <w:pPr>
        <w:spacing w:after="0" w:line="240" w:lineRule="auto"/>
      </w:pPr>
      <w:r>
        <w:separator/>
      </w:r>
    </w:p>
  </w:footnote>
  <w:footnote w:type="continuationSeparator" w:id="0">
    <w:p w14:paraId="4108CA00" w14:textId="77777777" w:rsidR="00EF0F6F" w:rsidRDefault="00EF0F6F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025B4CBA" w14:textId="63258314" w:rsidR="00CF7593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14F1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3D8F"/>
    <w:rsid w:val="000F76F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00908"/>
    <w:rsid w:val="00312960"/>
    <w:rsid w:val="00322011"/>
    <w:rsid w:val="00326C21"/>
    <w:rsid w:val="003338B3"/>
    <w:rsid w:val="00340675"/>
    <w:rsid w:val="0034352B"/>
    <w:rsid w:val="0034697C"/>
    <w:rsid w:val="00374423"/>
    <w:rsid w:val="003B3B59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934C7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82007A"/>
    <w:rsid w:val="00850C04"/>
    <w:rsid w:val="00892D84"/>
    <w:rsid w:val="00895227"/>
    <w:rsid w:val="008A21E5"/>
    <w:rsid w:val="008C7414"/>
    <w:rsid w:val="008E694F"/>
    <w:rsid w:val="00913C45"/>
    <w:rsid w:val="00981CDC"/>
    <w:rsid w:val="009844F1"/>
    <w:rsid w:val="009A1B42"/>
    <w:rsid w:val="009D67F6"/>
    <w:rsid w:val="009E422C"/>
    <w:rsid w:val="009E5556"/>
    <w:rsid w:val="00A17EDE"/>
    <w:rsid w:val="00A27761"/>
    <w:rsid w:val="00A42653"/>
    <w:rsid w:val="00A47507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BC75EF"/>
    <w:rsid w:val="00C01830"/>
    <w:rsid w:val="00C14BFA"/>
    <w:rsid w:val="00C348FA"/>
    <w:rsid w:val="00C358E5"/>
    <w:rsid w:val="00C40D6C"/>
    <w:rsid w:val="00C46370"/>
    <w:rsid w:val="00C57E08"/>
    <w:rsid w:val="00C62E9B"/>
    <w:rsid w:val="00C721DF"/>
    <w:rsid w:val="00C7575B"/>
    <w:rsid w:val="00CA0D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43CCB"/>
    <w:rsid w:val="00E5015F"/>
    <w:rsid w:val="00E97567"/>
    <w:rsid w:val="00EB64DA"/>
    <w:rsid w:val="00EE327E"/>
    <w:rsid w:val="00EF0F6F"/>
    <w:rsid w:val="00F03CED"/>
    <w:rsid w:val="00F164AF"/>
    <w:rsid w:val="00F3267A"/>
    <w:rsid w:val="00F33D91"/>
    <w:rsid w:val="00F51B19"/>
    <w:rsid w:val="00F52434"/>
    <w:rsid w:val="00FA20E6"/>
    <w:rsid w:val="00FB377C"/>
    <w:rsid w:val="00FC0ED6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50</cp:revision>
  <cp:lastPrinted>2025-06-30T11:46:00Z</cp:lastPrinted>
  <dcterms:created xsi:type="dcterms:W3CDTF">2024-12-31T11:07:00Z</dcterms:created>
  <dcterms:modified xsi:type="dcterms:W3CDTF">2026-06-24T10:02:00Z</dcterms:modified>
</cp:coreProperties>
</file>